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7DD612E3"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2AB189AF" w:rsidR="0042468E" w:rsidRPr="00DE188B" w:rsidRDefault="0042468E" w:rsidP="00DE188B">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DE188B">
        <w:rPr>
          <w:rFonts w:ascii="Arial" w:eastAsia="Verdana" w:hAnsi="Arial" w:cs="Times New Roman"/>
          <w:b/>
          <w:bCs/>
          <w:color w:val="auto"/>
        </w:rPr>
        <w:t xml:space="preserve">The Federal Update for </w:t>
      </w:r>
      <w:bookmarkEnd w:id="10"/>
      <w:bookmarkEnd w:id="11"/>
      <w:bookmarkEnd w:id="12"/>
      <w:bookmarkEnd w:id="13"/>
      <w:bookmarkEnd w:id="14"/>
      <w:bookmarkEnd w:id="15"/>
      <w:r w:rsidR="00BB6286" w:rsidRPr="00DE188B">
        <w:rPr>
          <w:rFonts w:ascii="Arial" w:eastAsia="Verdana" w:hAnsi="Arial" w:cs="Times New Roman"/>
          <w:b/>
          <w:bCs/>
          <w:color w:val="auto"/>
        </w:rPr>
        <w:t xml:space="preserve">January </w:t>
      </w:r>
      <w:r w:rsidR="00F1163C" w:rsidRPr="00DE188B">
        <w:rPr>
          <w:rFonts w:ascii="Arial" w:eastAsia="Verdana" w:hAnsi="Arial" w:cs="Times New Roman"/>
          <w:b/>
          <w:bCs/>
          <w:color w:val="auto"/>
        </w:rPr>
        <w:t>1</w:t>
      </w:r>
      <w:r w:rsidR="00244B37" w:rsidRPr="00DE188B">
        <w:rPr>
          <w:rFonts w:ascii="Arial" w:eastAsia="Verdana" w:hAnsi="Arial" w:cs="Times New Roman"/>
          <w:b/>
          <w:bCs/>
          <w:color w:val="auto"/>
        </w:rPr>
        <w:t>9</w:t>
      </w:r>
      <w:r w:rsidR="005D3FF9" w:rsidRPr="00DE188B">
        <w:rPr>
          <w:rFonts w:ascii="Arial" w:eastAsia="Verdana" w:hAnsi="Arial" w:cs="Times New Roman"/>
          <w:b/>
          <w:bCs/>
          <w:color w:val="auto"/>
        </w:rPr>
        <w:t>, 202</w:t>
      </w:r>
      <w:r w:rsidR="00BB6286" w:rsidRPr="00DE188B">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04BE3A48" w:rsidR="0063135C" w:rsidRDefault="00D0389C" w:rsidP="009B424F">
      <w:pPr>
        <w:pStyle w:val="MessageHeader"/>
        <w:spacing w:after="240"/>
      </w:pPr>
      <w:r>
        <w:t>Date:</w:t>
      </w:r>
      <w:r>
        <w:tab/>
      </w:r>
      <w:r w:rsidR="00BB6286">
        <w:t>January</w:t>
      </w:r>
      <w:r w:rsidR="00036FD8">
        <w:t xml:space="preserve"> </w:t>
      </w:r>
      <w:r w:rsidR="00F1163C">
        <w:t>1</w:t>
      </w:r>
      <w:r w:rsidR="00244B37">
        <w:t>9</w:t>
      </w:r>
      <w:r w:rsidR="00537D4B">
        <w:t>, 202</w:t>
      </w:r>
      <w:r w:rsidR="00BB6286">
        <w:t>4</w:t>
      </w:r>
    </w:p>
    <w:p w14:paraId="5D39FEFF" w14:textId="04A99D23" w:rsidR="005D28A8" w:rsidRDefault="663486F3" w:rsidP="005D28A8">
      <w:pPr>
        <w:pStyle w:val="TOC2"/>
        <w:rPr>
          <w:rFonts w:asciiTheme="minorHAnsi" w:eastAsiaTheme="minorEastAsia" w:hAnsiTheme="minorHAnsi" w:cstheme="minorBidi"/>
          <w:kern w:val="2"/>
          <w:sz w:val="24"/>
          <w:szCs w:val="24"/>
          <w14:ligatures w14:val="standardContextual"/>
        </w:rPr>
      </w:pPr>
      <w:r>
        <w:fldChar w:fldCharType="begin"/>
      </w:r>
      <w:r w:rsidR="00156AA4">
        <w:instrText>TOC \o "1-3" \h \z \u</w:instrText>
      </w:r>
      <w:r>
        <w:fldChar w:fldCharType="separate"/>
      </w:r>
      <w:hyperlink w:anchor="_Toc156562339" w:history="1">
        <w:r w:rsidR="005D28A8" w:rsidRPr="00FB197B">
          <w:rPr>
            <w:rStyle w:val="Hyperlink"/>
            <w:rFonts w:eastAsia="Calibri"/>
          </w:rPr>
          <w:t>Legislation and Guidance</w:t>
        </w:r>
        <w:r w:rsidR="005D28A8">
          <w:rPr>
            <w:webHidden/>
          </w:rPr>
          <w:tab/>
        </w:r>
        <w:r w:rsidR="005D28A8">
          <w:rPr>
            <w:webHidden/>
          </w:rPr>
          <w:fldChar w:fldCharType="begin"/>
        </w:r>
        <w:r w:rsidR="005D28A8">
          <w:rPr>
            <w:webHidden/>
          </w:rPr>
          <w:instrText xml:space="preserve"> PAGEREF _Toc156562339 \h </w:instrText>
        </w:r>
        <w:r w:rsidR="005D28A8">
          <w:rPr>
            <w:webHidden/>
          </w:rPr>
        </w:r>
        <w:r w:rsidR="005D28A8">
          <w:rPr>
            <w:webHidden/>
          </w:rPr>
          <w:fldChar w:fldCharType="separate"/>
        </w:r>
        <w:r w:rsidR="005D28A8">
          <w:rPr>
            <w:webHidden/>
          </w:rPr>
          <w:t>1</w:t>
        </w:r>
        <w:r w:rsidR="005D28A8">
          <w:rPr>
            <w:webHidden/>
          </w:rPr>
          <w:fldChar w:fldCharType="end"/>
        </w:r>
      </w:hyperlink>
    </w:p>
    <w:p w14:paraId="14F853C8" w14:textId="0B45DD58" w:rsidR="005D28A8" w:rsidRDefault="00C012F1">
      <w:pPr>
        <w:pStyle w:val="TOC3"/>
        <w:rPr>
          <w:rFonts w:asciiTheme="minorHAnsi" w:eastAsiaTheme="minorEastAsia" w:hAnsiTheme="minorHAnsi" w:cstheme="minorBidi"/>
          <w:b w:val="0"/>
          <w:kern w:val="2"/>
          <w:sz w:val="24"/>
          <w:szCs w:val="24"/>
          <w14:ligatures w14:val="standardContextual"/>
        </w:rPr>
      </w:pPr>
      <w:hyperlink w:anchor="_Toc156562340" w:history="1">
        <w:r w:rsidR="005D28A8" w:rsidRPr="00FB197B">
          <w:rPr>
            <w:rStyle w:val="Hyperlink"/>
          </w:rPr>
          <w:t>Congress Passes Third Stopgap Measure for FY 2024 Funding</w:t>
        </w:r>
        <w:r w:rsidR="005D28A8">
          <w:rPr>
            <w:webHidden/>
          </w:rPr>
          <w:tab/>
        </w:r>
        <w:r w:rsidR="005D28A8">
          <w:rPr>
            <w:webHidden/>
          </w:rPr>
          <w:fldChar w:fldCharType="begin"/>
        </w:r>
        <w:r w:rsidR="005D28A8">
          <w:rPr>
            <w:webHidden/>
          </w:rPr>
          <w:instrText xml:space="preserve"> PAGEREF _Toc156562340 \h </w:instrText>
        </w:r>
        <w:r w:rsidR="005D28A8">
          <w:rPr>
            <w:webHidden/>
          </w:rPr>
        </w:r>
        <w:r w:rsidR="005D28A8">
          <w:rPr>
            <w:webHidden/>
          </w:rPr>
          <w:fldChar w:fldCharType="separate"/>
        </w:r>
        <w:r w:rsidR="005D28A8">
          <w:rPr>
            <w:webHidden/>
          </w:rPr>
          <w:t>1</w:t>
        </w:r>
        <w:r w:rsidR="005D28A8">
          <w:rPr>
            <w:webHidden/>
          </w:rPr>
          <w:fldChar w:fldCharType="end"/>
        </w:r>
      </w:hyperlink>
    </w:p>
    <w:p w14:paraId="15B2DCA7" w14:textId="2E0550C5" w:rsidR="005D28A8" w:rsidRDefault="00C012F1" w:rsidP="005D28A8">
      <w:pPr>
        <w:pStyle w:val="TOC2"/>
        <w:rPr>
          <w:rFonts w:asciiTheme="minorHAnsi" w:eastAsiaTheme="minorEastAsia" w:hAnsiTheme="minorHAnsi" w:cstheme="minorBidi"/>
          <w:kern w:val="2"/>
          <w:sz w:val="24"/>
          <w:szCs w:val="24"/>
          <w14:ligatures w14:val="standardContextual"/>
        </w:rPr>
      </w:pPr>
      <w:hyperlink w:anchor="_Toc156562341" w:history="1">
        <w:r w:rsidR="005D28A8" w:rsidRPr="00FB197B">
          <w:rPr>
            <w:rStyle w:val="Hyperlink"/>
          </w:rPr>
          <w:t>News</w:t>
        </w:r>
        <w:r w:rsidR="005D28A8">
          <w:rPr>
            <w:webHidden/>
          </w:rPr>
          <w:tab/>
        </w:r>
        <w:r w:rsidR="005D28A8">
          <w:rPr>
            <w:webHidden/>
          </w:rPr>
          <w:fldChar w:fldCharType="begin"/>
        </w:r>
        <w:r w:rsidR="005D28A8">
          <w:rPr>
            <w:webHidden/>
          </w:rPr>
          <w:instrText xml:space="preserve"> PAGEREF _Toc156562341 \h </w:instrText>
        </w:r>
        <w:r w:rsidR="005D28A8">
          <w:rPr>
            <w:webHidden/>
          </w:rPr>
        </w:r>
        <w:r w:rsidR="005D28A8">
          <w:rPr>
            <w:webHidden/>
          </w:rPr>
          <w:fldChar w:fldCharType="separate"/>
        </w:r>
        <w:r w:rsidR="005D28A8">
          <w:rPr>
            <w:webHidden/>
          </w:rPr>
          <w:t>2</w:t>
        </w:r>
        <w:r w:rsidR="005D28A8">
          <w:rPr>
            <w:webHidden/>
          </w:rPr>
          <w:fldChar w:fldCharType="end"/>
        </w:r>
      </w:hyperlink>
    </w:p>
    <w:p w14:paraId="09C7A09A" w14:textId="5146FE6E" w:rsidR="005D28A8" w:rsidRDefault="00C012F1">
      <w:pPr>
        <w:pStyle w:val="TOC3"/>
        <w:rPr>
          <w:rFonts w:asciiTheme="minorHAnsi" w:eastAsiaTheme="minorEastAsia" w:hAnsiTheme="minorHAnsi" w:cstheme="minorBidi"/>
          <w:b w:val="0"/>
          <w:kern w:val="2"/>
          <w:sz w:val="24"/>
          <w:szCs w:val="24"/>
          <w14:ligatures w14:val="standardContextual"/>
        </w:rPr>
      </w:pPr>
      <w:hyperlink w:anchor="_Toc156562342" w:history="1">
        <w:r w:rsidR="005D28A8" w:rsidRPr="00FB197B">
          <w:rPr>
            <w:rStyle w:val="Hyperlink"/>
          </w:rPr>
          <w:t>Supreme Court Hears Oral Arguments in Agency Deference Case</w:t>
        </w:r>
        <w:r w:rsidR="005D28A8">
          <w:rPr>
            <w:webHidden/>
          </w:rPr>
          <w:tab/>
        </w:r>
        <w:r w:rsidR="005D28A8">
          <w:rPr>
            <w:webHidden/>
          </w:rPr>
          <w:fldChar w:fldCharType="begin"/>
        </w:r>
        <w:r w:rsidR="005D28A8">
          <w:rPr>
            <w:webHidden/>
          </w:rPr>
          <w:instrText xml:space="preserve"> PAGEREF _Toc156562342 \h </w:instrText>
        </w:r>
        <w:r w:rsidR="005D28A8">
          <w:rPr>
            <w:webHidden/>
          </w:rPr>
        </w:r>
        <w:r w:rsidR="005D28A8">
          <w:rPr>
            <w:webHidden/>
          </w:rPr>
          <w:fldChar w:fldCharType="separate"/>
        </w:r>
        <w:r w:rsidR="005D28A8">
          <w:rPr>
            <w:webHidden/>
          </w:rPr>
          <w:t>2</w:t>
        </w:r>
        <w:r w:rsidR="005D28A8">
          <w:rPr>
            <w:webHidden/>
          </w:rPr>
          <w:fldChar w:fldCharType="end"/>
        </w:r>
      </w:hyperlink>
    </w:p>
    <w:p w14:paraId="4A68F4AF" w14:textId="64706D8A" w:rsidR="005D28A8" w:rsidRDefault="00C012F1">
      <w:pPr>
        <w:pStyle w:val="TOC3"/>
        <w:rPr>
          <w:rFonts w:asciiTheme="minorHAnsi" w:eastAsiaTheme="minorEastAsia" w:hAnsiTheme="minorHAnsi" w:cstheme="minorBidi"/>
          <w:b w:val="0"/>
          <w:kern w:val="2"/>
          <w:sz w:val="24"/>
          <w:szCs w:val="24"/>
          <w14:ligatures w14:val="standardContextual"/>
        </w:rPr>
      </w:pPr>
      <w:hyperlink w:anchor="_Toc156562343" w:history="1">
        <w:r w:rsidR="005D28A8" w:rsidRPr="00FB197B">
          <w:rPr>
            <w:rStyle w:val="Hyperlink"/>
          </w:rPr>
          <w:t>House Committee Criticizes ED on Audit Findings</w:t>
        </w:r>
        <w:r w:rsidR="005D28A8">
          <w:rPr>
            <w:webHidden/>
          </w:rPr>
          <w:tab/>
        </w:r>
        <w:r w:rsidR="005D28A8">
          <w:rPr>
            <w:webHidden/>
          </w:rPr>
          <w:fldChar w:fldCharType="begin"/>
        </w:r>
        <w:r w:rsidR="005D28A8">
          <w:rPr>
            <w:webHidden/>
          </w:rPr>
          <w:instrText xml:space="preserve"> PAGEREF _Toc156562343 \h </w:instrText>
        </w:r>
        <w:r w:rsidR="005D28A8">
          <w:rPr>
            <w:webHidden/>
          </w:rPr>
        </w:r>
        <w:r w:rsidR="005D28A8">
          <w:rPr>
            <w:webHidden/>
          </w:rPr>
          <w:fldChar w:fldCharType="separate"/>
        </w:r>
        <w:r w:rsidR="005D28A8">
          <w:rPr>
            <w:webHidden/>
          </w:rPr>
          <w:t>3</w:t>
        </w:r>
        <w:r w:rsidR="005D28A8">
          <w:rPr>
            <w:webHidden/>
          </w:rPr>
          <w:fldChar w:fldCharType="end"/>
        </w:r>
      </w:hyperlink>
    </w:p>
    <w:p w14:paraId="213D63B9" w14:textId="377FB504" w:rsidR="000C28C1" w:rsidRPr="00BB6286"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6562339"/>
      <w:r w:rsidRPr="663486F3">
        <w:rPr>
          <w:rFonts w:eastAsia="Calibri"/>
        </w:rPr>
        <w:t>Legislation and Guidance</w:t>
      </w:r>
      <w:bookmarkEnd w:id="17"/>
    </w:p>
    <w:p w14:paraId="1DDFFF69" w14:textId="60DE7ED8" w:rsidR="00F0628D" w:rsidRDefault="00D8121D" w:rsidP="00F0628D">
      <w:pPr>
        <w:pStyle w:val="Heading3"/>
      </w:pPr>
      <w:bookmarkStart w:id="18" w:name="_Toc156562340"/>
      <w:r>
        <w:t xml:space="preserve">Congress </w:t>
      </w:r>
      <w:r w:rsidR="00841E99">
        <w:t>Passes Third Stopgap Measure for FY 2024 Funding</w:t>
      </w:r>
      <w:bookmarkEnd w:id="18"/>
    </w:p>
    <w:p w14:paraId="30A63D47" w14:textId="36F2C61E" w:rsidR="00D7431B" w:rsidRDefault="00841E99" w:rsidP="00D7431B">
      <w:r>
        <w:t xml:space="preserve">Congress passed a third short-term spending bill on Thursday for fiscal year (FY) 2024, extending funding at current levels to early March.  </w:t>
      </w:r>
      <w:r w:rsidR="00D7431B">
        <w:t xml:space="preserve">Funding for certain federal agencies </w:t>
      </w:r>
      <w:r>
        <w:t>was</w:t>
      </w:r>
      <w:r w:rsidR="00D7431B">
        <w:t xml:space="preserve"> set to expire Friday night without additional action by Congress</w:t>
      </w:r>
      <w:r>
        <w:t xml:space="preserve"> – the first deadline under </w:t>
      </w:r>
      <w:r w:rsidR="00D7431B">
        <w:t xml:space="preserve">the “laddered” continuing resolution (CR) Congress passed in the fall.  The </w:t>
      </w:r>
      <w:r w:rsidR="005D28A8">
        <w:t xml:space="preserve">previous </w:t>
      </w:r>
      <w:r w:rsidR="00D7431B">
        <w:t>laddered CR extended funding for four appropriations accounts until January 19 and the remaining accounts, including</w:t>
      </w:r>
      <w:r>
        <w:t xml:space="preserve"> funding for</w:t>
      </w:r>
      <w:r w:rsidR="00D7431B">
        <w:t xml:space="preserve"> the U.S. Department of Education, until February 2.  </w:t>
      </w:r>
    </w:p>
    <w:p w14:paraId="1573718D" w14:textId="77777777" w:rsidR="00841E99" w:rsidRDefault="00D7431B" w:rsidP="00D7431B">
      <w:r>
        <w:t xml:space="preserve">Congressional leaders recently reached a deal on overall levels for defense and non-defense spending for </w:t>
      </w:r>
      <w:r w:rsidR="00841E99">
        <w:t>FY</w:t>
      </w:r>
      <w:r>
        <w:t xml:space="preserve"> 2024 that would increase funding less than one percent</w:t>
      </w:r>
      <w:r w:rsidR="00841E99">
        <w:t xml:space="preserve"> </w:t>
      </w:r>
      <w:r>
        <w:t xml:space="preserve">compared to FY 2023.  However, lawmakers </w:t>
      </w:r>
      <w:r w:rsidR="00841E99">
        <w:t>did not</w:t>
      </w:r>
      <w:r>
        <w:t xml:space="preserve"> have enough time to draft and pass final legislation before the </w:t>
      </w:r>
      <w:r w:rsidR="00841E99">
        <w:t>January and early February CR deadlines arrived.</w:t>
      </w:r>
      <w:r>
        <w:t xml:space="preserve">  </w:t>
      </w:r>
      <w:r w:rsidR="00841E99">
        <w:t xml:space="preserve">The third CR passed Thursday follows the same “laddered” approach as the prior short-term measure, </w:t>
      </w:r>
      <w:r>
        <w:t>extend</w:t>
      </w:r>
      <w:r w:rsidR="00841E99">
        <w:t>ing</w:t>
      </w:r>
      <w:r>
        <w:t xml:space="preserve"> funding for the first batch of agencies to March 1 and</w:t>
      </w:r>
      <w:r w:rsidR="008D01B4">
        <w:t xml:space="preserve"> funding for</w:t>
      </w:r>
      <w:r>
        <w:t xml:space="preserve"> the remaining agencies, including ED, to March 8.  </w:t>
      </w:r>
    </w:p>
    <w:p w14:paraId="5F040F72" w14:textId="308ACF05" w:rsidR="00D7431B" w:rsidRDefault="005D28A8" w:rsidP="00D7431B">
      <w:r>
        <w:t>Following passage in the Senate, t</w:t>
      </w:r>
      <w:r w:rsidR="00841E99">
        <w:t>he CR was passed with significant Democratic support in the House</w:t>
      </w:r>
      <w:r>
        <w:t xml:space="preserve"> but significant Republican opposition</w:t>
      </w:r>
      <w:r w:rsidR="00841E99">
        <w:t xml:space="preserve"> as many conservative Republicans opposed passing another </w:t>
      </w:r>
      <w:r>
        <w:t>short-term spending bill</w:t>
      </w:r>
      <w:r w:rsidR="00841E99">
        <w:t>.</w:t>
      </w:r>
      <w:r w:rsidR="00D7431B">
        <w:t xml:space="preserve">  Lawmakers will turn to drafting and </w:t>
      </w:r>
      <w:r w:rsidR="00D7431B">
        <w:lastRenderedPageBreak/>
        <w:t xml:space="preserve">passing </w:t>
      </w:r>
      <w:r w:rsidR="00841E99">
        <w:t xml:space="preserve">final </w:t>
      </w:r>
      <w:r w:rsidR="00D7431B">
        <w:t>appropriations legislation over the next few weeks, but negotiations are expected to be challenging</w:t>
      </w:r>
      <w:r w:rsidR="008D01B4">
        <w:t>,</w:t>
      </w:r>
      <w:r w:rsidR="00D7431B">
        <w:t xml:space="preserve"> as House conservatives push </w:t>
      </w:r>
      <w:r w:rsidR="00841E99">
        <w:t xml:space="preserve">to include </w:t>
      </w:r>
      <w:r>
        <w:t>changes</w:t>
      </w:r>
      <w:r w:rsidR="00841E99">
        <w:t xml:space="preserve"> addressing U.S. border security</w:t>
      </w:r>
      <w:r>
        <w:t xml:space="preserve"> </w:t>
      </w:r>
      <w:r w:rsidR="00841E99">
        <w:t>and controversial policy provisions.</w:t>
      </w:r>
    </w:p>
    <w:p w14:paraId="06289F2C" w14:textId="07C1FAB6" w:rsidR="00E97048" w:rsidRDefault="00D7431B" w:rsidP="00D7431B">
      <w:r>
        <w:t>Author: KSC</w:t>
      </w:r>
    </w:p>
    <w:p w14:paraId="1B700B61" w14:textId="44F6D0EA" w:rsidR="00F15B7B" w:rsidRDefault="00F15B7B" w:rsidP="00F15B7B">
      <w:pPr>
        <w:pStyle w:val="Heading2"/>
      </w:pPr>
      <w:bookmarkStart w:id="19" w:name="_Toc156562341"/>
      <w:r>
        <w:t>News</w:t>
      </w:r>
      <w:bookmarkEnd w:id="19"/>
    </w:p>
    <w:p w14:paraId="27C9F010" w14:textId="5196F688" w:rsidR="00F15B7B" w:rsidRDefault="007F3A6E" w:rsidP="00F15B7B">
      <w:pPr>
        <w:pStyle w:val="Heading3"/>
      </w:pPr>
      <w:bookmarkStart w:id="20" w:name="_Toc156562342"/>
      <w:r>
        <w:t>Supreme Court Hears Oral Arguments in Agency Deference Case</w:t>
      </w:r>
      <w:bookmarkEnd w:id="20"/>
    </w:p>
    <w:bookmarkEnd w:id="6"/>
    <w:bookmarkEnd w:id="7"/>
    <w:bookmarkEnd w:id="8"/>
    <w:bookmarkEnd w:id="9"/>
    <w:bookmarkEnd w:id="16"/>
    <w:p w14:paraId="0C4DCB7C" w14:textId="16F31EFA" w:rsidR="00AC22F7" w:rsidRPr="00512F09" w:rsidRDefault="00AC22F7" w:rsidP="00AC22F7">
      <w:pPr>
        <w:rPr>
          <w:rFonts w:cs="Arial"/>
          <w:szCs w:val="24"/>
        </w:rPr>
      </w:pPr>
      <w:r w:rsidRPr="00512F09">
        <w:rPr>
          <w:rFonts w:cs="Arial"/>
          <w:szCs w:val="24"/>
        </w:rPr>
        <w:t xml:space="preserve">This week the U.S. Supreme Court heard oral arguments in </w:t>
      </w:r>
      <w:r w:rsidR="001C6587">
        <w:rPr>
          <w:rFonts w:cs="Arial"/>
          <w:szCs w:val="24"/>
        </w:rPr>
        <w:t xml:space="preserve">two </w:t>
      </w:r>
      <w:r w:rsidRPr="00512F09">
        <w:rPr>
          <w:rFonts w:cs="Arial"/>
          <w:szCs w:val="24"/>
        </w:rPr>
        <w:t xml:space="preserve">cases that could upend the amount of deference courts and other entities give to </w:t>
      </w:r>
      <w:r w:rsidR="001C6587">
        <w:rPr>
          <w:rFonts w:cs="Arial"/>
          <w:szCs w:val="24"/>
        </w:rPr>
        <w:t xml:space="preserve">federal </w:t>
      </w:r>
      <w:r w:rsidRPr="00512F09">
        <w:rPr>
          <w:rFonts w:cs="Arial"/>
          <w:szCs w:val="24"/>
        </w:rPr>
        <w:t>agency interpretations.  The two cases challenge a rule issued by the National Marine Fisheries Services</w:t>
      </w:r>
      <w:r w:rsidR="00B0192D">
        <w:rPr>
          <w:rFonts w:cs="Arial"/>
          <w:szCs w:val="24"/>
        </w:rPr>
        <w:t>,</w:t>
      </w:r>
      <w:r w:rsidRPr="00512F09">
        <w:rPr>
          <w:rFonts w:cs="Arial"/>
          <w:szCs w:val="24"/>
        </w:rPr>
        <w:t xml:space="preserve"> which requires herring fishboats to transport and pay the cost of </w:t>
      </w:r>
      <w:r w:rsidR="001C6587">
        <w:rPr>
          <w:rFonts w:cs="Arial"/>
          <w:szCs w:val="24"/>
        </w:rPr>
        <w:t xml:space="preserve">the </w:t>
      </w:r>
      <w:r w:rsidRPr="00512F09">
        <w:rPr>
          <w:rFonts w:cs="Arial"/>
          <w:szCs w:val="24"/>
        </w:rPr>
        <w:t>federal fishing observers</w:t>
      </w:r>
      <w:r w:rsidR="00841E99">
        <w:rPr>
          <w:rFonts w:cs="Arial"/>
          <w:szCs w:val="24"/>
        </w:rPr>
        <w:t xml:space="preserve"> who serve as federal monitors</w:t>
      </w:r>
      <w:r w:rsidR="003A4A9F">
        <w:rPr>
          <w:rFonts w:cs="Arial"/>
          <w:szCs w:val="24"/>
        </w:rPr>
        <w:t>.</w:t>
      </w:r>
      <w:r w:rsidR="00B0192D">
        <w:rPr>
          <w:rFonts w:cs="Arial"/>
          <w:szCs w:val="24"/>
        </w:rPr>
        <w:t xml:space="preserve"> </w:t>
      </w:r>
      <w:r w:rsidR="003A4A9F">
        <w:rPr>
          <w:rFonts w:cs="Arial"/>
          <w:szCs w:val="24"/>
        </w:rPr>
        <w:t xml:space="preserve"> </w:t>
      </w:r>
      <w:r w:rsidR="001C6587">
        <w:rPr>
          <w:rFonts w:cs="Arial"/>
          <w:szCs w:val="24"/>
        </w:rPr>
        <w:t>The p</w:t>
      </w:r>
      <w:r w:rsidRPr="00512F09">
        <w:rPr>
          <w:rFonts w:cs="Arial"/>
          <w:szCs w:val="24"/>
        </w:rPr>
        <w:t xml:space="preserve">laintiffs challenged the rule, </w:t>
      </w:r>
      <w:r w:rsidR="001C6587">
        <w:rPr>
          <w:rFonts w:cs="Arial"/>
          <w:szCs w:val="24"/>
        </w:rPr>
        <w:t>arguing</w:t>
      </w:r>
      <w:r w:rsidR="001C6587" w:rsidRPr="00512F09">
        <w:rPr>
          <w:rFonts w:cs="Arial"/>
          <w:szCs w:val="24"/>
        </w:rPr>
        <w:t xml:space="preserve"> </w:t>
      </w:r>
      <w:r w:rsidRPr="00512F09">
        <w:rPr>
          <w:rFonts w:cs="Arial"/>
          <w:szCs w:val="24"/>
        </w:rPr>
        <w:t xml:space="preserve">that it was not reasonable to ask the </w:t>
      </w:r>
      <w:r w:rsidR="001C6587">
        <w:rPr>
          <w:rFonts w:cs="Arial"/>
          <w:szCs w:val="24"/>
        </w:rPr>
        <w:t xml:space="preserve">herring </w:t>
      </w:r>
      <w:r w:rsidRPr="00512F09">
        <w:rPr>
          <w:rFonts w:cs="Arial"/>
          <w:szCs w:val="24"/>
        </w:rPr>
        <w:t xml:space="preserve">industry to pay the cost of federal monitoring.  </w:t>
      </w:r>
      <w:r w:rsidR="00F07967">
        <w:rPr>
          <w:rFonts w:cs="Arial"/>
          <w:szCs w:val="24"/>
        </w:rPr>
        <w:t>Lower</w:t>
      </w:r>
      <w:r w:rsidRPr="00512F09">
        <w:rPr>
          <w:rFonts w:cs="Arial"/>
          <w:szCs w:val="24"/>
        </w:rPr>
        <w:t xml:space="preserve"> courts, however, upheld the rule, </w:t>
      </w:r>
      <w:r w:rsidR="00F07967">
        <w:rPr>
          <w:rFonts w:cs="Arial"/>
          <w:szCs w:val="24"/>
        </w:rPr>
        <w:t>determining</w:t>
      </w:r>
      <w:r w:rsidR="001C6587" w:rsidRPr="00512F09">
        <w:rPr>
          <w:rFonts w:cs="Arial"/>
          <w:szCs w:val="24"/>
        </w:rPr>
        <w:t xml:space="preserve"> </w:t>
      </w:r>
      <w:r w:rsidRPr="00512F09">
        <w:rPr>
          <w:rFonts w:cs="Arial"/>
          <w:szCs w:val="24"/>
        </w:rPr>
        <w:t xml:space="preserve">that it was a reasonable interpretation of federal law </w:t>
      </w:r>
      <w:r w:rsidR="001C6587">
        <w:rPr>
          <w:rFonts w:cs="Arial"/>
          <w:szCs w:val="24"/>
        </w:rPr>
        <w:t>allowable under</w:t>
      </w:r>
      <w:r w:rsidRPr="00512F09">
        <w:rPr>
          <w:rFonts w:cs="Arial"/>
          <w:szCs w:val="24"/>
        </w:rPr>
        <w:t xml:space="preserve"> a principle known as the Chevron Doctrine.  This principle, named after a 1984 Supreme Court decision in </w:t>
      </w:r>
      <w:r w:rsidRPr="00512F09">
        <w:rPr>
          <w:rFonts w:cs="Arial"/>
          <w:i/>
          <w:iCs/>
          <w:szCs w:val="24"/>
        </w:rPr>
        <w:t>Chevron v. Natural Resources Defense Council</w:t>
      </w:r>
      <w:r w:rsidRPr="00512F09">
        <w:rPr>
          <w:rFonts w:cs="Arial"/>
          <w:szCs w:val="24"/>
        </w:rPr>
        <w:t xml:space="preserve">, </w:t>
      </w:r>
      <w:r w:rsidR="003A4A9F">
        <w:rPr>
          <w:rFonts w:cs="Arial"/>
          <w:szCs w:val="24"/>
        </w:rPr>
        <w:t>held</w:t>
      </w:r>
      <w:r w:rsidR="003A4A9F" w:rsidRPr="00512F09">
        <w:rPr>
          <w:rFonts w:cs="Arial"/>
          <w:szCs w:val="24"/>
        </w:rPr>
        <w:t xml:space="preserve"> </w:t>
      </w:r>
      <w:r w:rsidRPr="00512F09">
        <w:rPr>
          <w:rFonts w:cs="Arial"/>
          <w:szCs w:val="24"/>
        </w:rPr>
        <w:t xml:space="preserve">that </w:t>
      </w:r>
      <w:r w:rsidR="003A4A9F">
        <w:rPr>
          <w:rFonts w:cs="Arial"/>
          <w:szCs w:val="24"/>
        </w:rPr>
        <w:t xml:space="preserve">because federal </w:t>
      </w:r>
      <w:r w:rsidRPr="00512F09">
        <w:rPr>
          <w:rFonts w:cs="Arial"/>
          <w:szCs w:val="24"/>
        </w:rPr>
        <w:t xml:space="preserve">agencies and their staff are subject matter experts, in cases where Congress has not been adequately specific in outlining interpretations of law, courts and others should defer to </w:t>
      </w:r>
      <w:r w:rsidR="003A4A9F">
        <w:rPr>
          <w:rFonts w:cs="Arial"/>
          <w:szCs w:val="24"/>
        </w:rPr>
        <w:t xml:space="preserve">the “reasonable” interpretation of the relevant </w:t>
      </w:r>
      <w:r w:rsidRPr="00512F09">
        <w:rPr>
          <w:rFonts w:cs="Arial"/>
          <w:szCs w:val="24"/>
        </w:rPr>
        <w:t>federal agenc</w:t>
      </w:r>
      <w:r w:rsidR="003A4A9F">
        <w:rPr>
          <w:rFonts w:cs="Arial"/>
          <w:szCs w:val="24"/>
        </w:rPr>
        <w:t>y.</w:t>
      </w:r>
    </w:p>
    <w:p w14:paraId="1F841D41" w14:textId="261ADF7B" w:rsidR="00AC22F7" w:rsidRPr="00512F09" w:rsidRDefault="00AC22F7" w:rsidP="00AC22F7">
      <w:pPr>
        <w:rPr>
          <w:rFonts w:cs="Arial"/>
          <w:szCs w:val="24"/>
        </w:rPr>
      </w:pPr>
      <w:r w:rsidRPr="00512F09">
        <w:rPr>
          <w:rFonts w:cs="Arial"/>
          <w:szCs w:val="24"/>
        </w:rPr>
        <w:t xml:space="preserve">The plaintiffs in </w:t>
      </w:r>
      <w:r w:rsidR="00F07967">
        <w:rPr>
          <w:rFonts w:cs="Arial"/>
          <w:szCs w:val="24"/>
        </w:rPr>
        <w:t xml:space="preserve">the cases currently before the Supreme Court, </w:t>
      </w:r>
      <w:r w:rsidRPr="00512F09">
        <w:rPr>
          <w:rFonts w:cs="Arial"/>
          <w:i/>
          <w:iCs/>
          <w:szCs w:val="24"/>
        </w:rPr>
        <w:t xml:space="preserve">Loper Bright Enterprises. Raimondo </w:t>
      </w:r>
      <w:r w:rsidRPr="00512F09">
        <w:rPr>
          <w:rFonts w:cs="Arial"/>
          <w:szCs w:val="24"/>
        </w:rPr>
        <w:t xml:space="preserve">and </w:t>
      </w:r>
      <w:r w:rsidRPr="00512F09">
        <w:rPr>
          <w:rFonts w:cs="Arial"/>
          <w:i/>
          <w:iCs/>
          <w:szCs w:val="24"/>
        </w:rPr>
        <w:t>Relentless, Inc. v. Department of Commerce</w:t>
      </w:r>
      <w:r w:rsidR="00F07967">
        <w:rPr>
          <w:rFonts w:cs="Arial"/>
          <w:szCs w:val="24"/>
        </w:rPr>
        <w:t>,</w:t>
      </w:r>
      <w:r w:rsidRPr="00512F09">
        <w:rPr>
          <w:rFonts w:cs="Arial"/>
          <w:szCs w:val="24"/>
        </w:rPr>
        <w:t xml:space="preserve"> argue that this approach </w:t>
      </w:r>
      <w:r w:rsidR="003A4A9F">
        <w:rPr>
          <w:rFonts w:cs="Arial"/>
          <w:szCs w:val="24"/>
        </w:rPr>
        <w:t>requires</w:t>
      </w:r>
      <w:r w:rsidR="003A4A9F" w:rsidRPr="00512F09">
        <w:rPr>
          <w:rFonts w:cs="Arial"/>
          <w:szCs w:val="24"/>
        </w:rPr>
        <w:t xml:space="preserve"> </w:t>
      </w:r>
      <w:r w:rsidRPr="00512F09">
        <w:rPr>
          <w:rFonts w:cs="Arial"/>
          <w:szCs w:val="24"/>
        </w:rPr>
        <w:t xml:space="preserve">courts </w:t>
      </w:r>
      <w:r w:rsidR="003A4A9F">
        <w:rPr>
          <w:rFonts w:cs="Arial"/>
          <w:szCs w:val="24"/>
        </w:rPr>
        <w:t>to</w:t>
      </w:r>
      <w:r w:rsidR="003A4A9F" w:rsidRPr="00512F09">
        <w:rPr>
          <w:rFonts w:cs="Arial"/>
          <w:szCs w:val="24"/>
        </w:rPr>
        <w:t xml:space="preserve"> </w:t>
      </w:r>
      <w:r w:rsidRPr="00512F09">
        <w:rPr>
          <w:rFonts w:cs="Arial"/>
          <w:szCs w:val="24"/>
        </w:rPr>
        <w:t xml:space="preserve">allow agencies to </w:t>
      </w:r>
      <w:r w:rsidR="003A4A9F">
        <w:rPr>
          <w:rFonts w:cs="Arial"/>
          <w:szCs w:val="24"/>
        </w:rPr>
        <w:t>apply</w:t>
      </w:r>
      <w:r w:rsidRPr="00512F09">
        <w:rPr>
          <w:rFonts w:cs="Arial"/>
          <w:szCs w:val="24"/>
        </w:rPr>
        <w:t xml:space="preserve"> interpretations that are burdensome, politically motivated, or less logical than others </w:t>
      </w:r>
      <w:r w:rsidR="003A4A9F">
        <w:rPr>
          <w:rFonts w:cs="Arial"/>
          <w:szCs w:val="24"/>
        </w:rPr>
        <w:t xml:space="preserve">simply because they broadly qualify as </w:t>
      </w:r>
      <w:r w:rsidRPr="00512F09">
        <w:rPr>
          <w:rFonts w:cs="Arial"/>
          <w:szCs w:val="24"/>
        </w:rPr>
        <w:t xml:space="preserve">“reasonable.” </w:t>
      </w:r>
      <w:r w:rsidR="00B0192D">
        <w:rPr>
          <w:rFonts w:cs="Arial"/>
          <w:szCs w:val="24"/>
        </w:rPr>
        <w:t xml:space="preserve"> The</w:t>
      </w:r>
      <w:r w:rsidRPr="00512F09">
        <w:rPr>
          <w:rFonts w:cs="Arial"/>
          <w:szCs w:val="24"/>
        </w:rPr>
        <w:t xml:space="preserve"> </w:t>
      </w:r>
      <w:r w:rsidR="00B0192D">
        <w:rPr>
          <w:rFonts w:cs="Arial"/>
          <w:szCs w:val="24"/>
        </w:rPr>
        <w:t>p</w:t>
      </w:r>
      <w:r w:rsidRPr="00512F09">
        <w:rPr>
          <w:rFonts w:cs="Arial"/>
          <w:szCs w:val="24"/>
        </w:rPr>
        <w:t>laintiffs’ attorneys also cited as problematic the fact that agency interpretations can change from one administration to another, and that these</w:t>
      </w:r>
      <w:r w:rsidR="003A4A9F">
        <w:rPr>
          <w:rFonts w:cs="Arial"/>
          <w:szCs w:val="24"/>
        </w:rPr>
        <w:t xml:space="preserve"> </w:t>
      </w:r>
      <w:r w:rsidR="005D28A8">
        <w:rPr>
          <w:rFonts w:cs="Arial"/>
          <w:szCs w:val="24"/>
        </w:rPr>
        <w:t xml:space="preserve">frequently </w:t>
      </w:r>
      <w:r w:rsidR="003A4A9F">
        <w:rPr>
          <w:rFonts w:cs="Arial"/>
          <w:szCs w:val="24"/>
        </w:rPr>
        <w:t>changing</w:t>
      </w:r>
      <w:r w:rsidRPr="00512F09">
        <w:rPr>
          <w:rFonts w:cs="Arial"/>
          <w:szCs w:val="24"/>
        </w:rPr>
        <w:t xml:space="preserve"> interpretations may place additional costs on individuals and businesses.</w:t>
      </w:r>
    </w:p>
    <w:p w14:paraId="2A630BD9" w14:textId="1C96E4CE" w:rsidR="00AC22F7" w:rsidRPr="00512F09" w:rsidRDefault="00AC22F7" w:rsidP="00AC22F7">
      <w:pPr>
        <w:rPr>
          <w:rFonts w:cs="Arial"/>
          <w:szCs w:val="24"/>
        </w:rPr>
      </w:pPr>
      <w:r w:rsidRPr="00512F09">
        <w:rPr>
          <w:rFonts w:cs="Arial"/>
          <w:szCs w:val="24"/>
        </w:rPr>
        <w:t xml:space="preserve">While the Court’s three liberal justices suggested that it makes sense to have an agency or entity with expertise be a “tiebreaker” in situations where there is real disagreement about what an ambiguous law means, the conservative justices seemed poised to overturn Chevron.  The </w:t>
      </w:r>
      <w:r w:rsidR="00F07967">
        <w:rPr>
          <w:rFonts w:cs="Arial"/>
          <w:szCs w:val="24"/>
        </w:rPr>
        <w:t>c</w:t>
      </w:r>
      <w:r w:rsidR="003A4A9F">
        <w:rPr>
          <w:rFonts w:cs="Arial"/>
          <w:szCs w:val="24"/>
        </w:rPr>
        <w:t>onservative justices</w:t>
      </w:r>
      <w:r w:rsidR="003A4A9F" w:rsidRPr="00512F09">
        <w:rPr>
          <w:rFonts w:cs="Arial"/>
          <w:szCs w:val="24"/>
        </w:rPr>
        <w:t xml:space="preserve"> </w:t>
      </w:r>
      <w:r w:rsidRPr="00512F09">
        <w:rPr>
          <w:rFonts w:cs="Arial"/>
          <w:szCs w:val="24"/>
        </w:rPr>
        <w:t xml:space="preserve">also suggested that the impact of overruling Chevron would be minimal since the Court has not directly relied on </w:t>
      </w:r>
      <w:r w:rsidR="003A4A9F">
        <w:rPr>
          <w:rFonts w:cs="Arial"/>
          <w:szCs w:val="24"/>
        </w:rPr>
        <w:t>the case</w:t>
      </w:r>
      <w:r w:rsidRPr="00512F09">
        <w:rPr>
          <w:rFonts w:cs="Arial"/>
          <w:szCs w:val="24"/>
        </w:rPr>
        <w:t xml:space="preserve"> in some years.  But the Solicitor General, arguing for the federal government, suggested that litigants would “come out of the woodwork” to challenge agency decisions if they knew deference would no longer be granted.  </w:t>
      </w:r>
    </w:p>
    <w:p w14:paraId="34CA5761" w14:textId="3A47CD0B" w:rsidR="00AC22F7" w:rsidRPr="00512F09" w:rsidRDefault="00AC22F7" w:rsidP="00AC22F7">
      <w:pPr>
        <w:rPr>
          <w:rFonts w:cs="Arial"/>
          <w:szCs w:val="24"/>
        </w:rPr>
      </w:pPr>
      <w:r w:rsidRPr="00512F09">
        <w:rPr>
          <w:rFonts w:cs="Arial"/>
          <w:szCs w:val="24"/>
        </w:rPr>
        <w:t xml:space="preserve">If the Chevron doctrine is overturned in the Court’s decision this spring, it could have significant implications for upcoming regulations from the U.S. Department of Education </w:t>
      </w:r>
      <w:r w:rsidR="00B0192D">
        <w:rPr>
          <w:rFonts w:cs="Arial"/>
          <w:szCs w:val="24"/>
        </w:rPr>
        <w:t xml:space="preserve">(ED) </w:t>
      </w:r>
      <w:r w:rsidRPr="00512F09">
        <w:rPr>
          <w:rFonts w:cs="Arial"/>
          <w:szCs w:val="24"/>
        </w:rPr>
        <w:t xml:space="preserve">in areas where the statute is ambiguous.  This includes, for example, the forthcoming regulations on Title IX, where </w:t>
      </w:r>
      <w:r w:rsidR="00B0192D">
        <w:rPr>
          <w:rFonts w:cs="Arial"/>
          <w:szCs w:val="24"/>
        </w:rPr>
        <w:t>ED</w:t>
      </w:r>
      <w:r w:rsidRPr="00512F09">
        <w:rPr>
          <w:rFonts w:cs="Arial"/>
          <w:szCs w:val="24"/>
        </w:rPr>
        <w:t xml:space="preserve"> plans to define “sex” – a term which the 1972 statute leaves vague – to include gender identity and sexual orientation.</w:t>
      </w:r>
    </w:p>
    <w:p w14:paraId="5186EC05" w14:textId="77777777" w:rsidR="00AC22F7" w:rsidRDefault="00AC22F7" w:rsidP="00AC22F7">
      <w:pPr>
        <w:rPr>
          <w:rFonts w:cs="Arial"/>
          <w:szCs w:val="24"/>
        </w:rPr>
      </w:pPr>
      <w:r w:rsidRPr="00512F09">
        <w:rPr>
          <w:rFonts w:cs="Arial"/>
          <w:szCs w:val="24"/>
        </w:rPr>
        <w:t>Author: JCM</w:t>
      </w:r>
    </w:p>
    <w:p w14:paraId="584300BE" w14:textId="52E3CF65" w:rsidR="00AC22F7" w:rsidRDefault="00607CC9" w:rsidP="00607CC9">
      <w:pPr>
        <w:pStyle w:val="Heading3"/>
      </w:pPr>
      <w:bookmarkStart w:id="21" w:name="_Toc156562343"/>
      <w:r>
        <w:lastRenderedPageBreak/>
        <w:t xml:space="preserve">House Committee Criticizes ED </w:t>
      </w:r>
      <w:r w:rsidR="005D28A8">
        <w:t>o</w:t>
      </w:r>
      <w:r>
        <w:t>n Audit F</w:t>
      </w:r>
      <w:r w:rsidR="005D28A8">
        <w:t>i</w:t>
      </w:r>
      <w:r>
        <w:t>ndings</w:t>
      </w:r>
      <w:bookmarkEnd w:id="21"/>
    </w:p>
    <w:p w14:paraId="6F3F9E1E" w14:textId="77777777" w:rsidR="004E281E" w:rsidRPr="00512F09" w:rsidRDefault="004E281E" w:rsidP="004E281E">
      <w:pPr>
        <w:rPr>
          <w:rFonts w:cs="Arial"/>
          <w:szCs w:val="24"/>
        </w:rPr>
      </w:pPr>
      <w:r w:rsidRPr="00512F09">
        <w:rPr>
          <w:rFonts w:cs="Arial"/>
          <w:szCs w:val="24"/>
        </w:rPr>
        <w:t xml:space="preserve">In a letter from the House Committee on Education and the Workforce, lawmakers slammed the U.S. Department of Education (ED) on weaknesses in its administration of federal student loan programs as identified in independent audits.  </w:t>
      </w:r>
    </w:p>
    <w:p w14:paraId="76A1E685" w14:textId="1994559E" w:rsidR="004E281E" w:rsidRPr="00512F09" w:rsidRDefault="004E281E" w:rsidP="004E281E">
      <w:pPr>
        <w:rPr>
          <w:rFonts w:cs="Arial"/>
          <w:szCs w:val="24"/>
        </w:rPr>
      </w:pPr>
      <w:r w:rsidRPr="00512F09">
        <w:rPr>
          <w:rFonts w:cs="Arial"/>
          <w:szCs w:val="24"/>
        </w:rPr>
        <w:t>The audits, conducted by KPMG, determined that ED had made errors in student loan data</w:t>
      </w:r>
      <w:r w:rsidR="00B12008">
        <w:rPr>
          <w:rFonts w:cs="Arial"/>
          <w:szCs w:val="24"/>
        </w:rPr>
        <w:t>,</w:t>
      </w:r>
      <w:r w:rsidRPr="00512F09">
        <w:rPr>
          <w:rFonts w:cs="Arial"/>
          <w:szCs w:val="24"/>
        </w:rPr>
        <w:t xml:space="preserve"> which it then used to calculate subsidies for the Direct and Federal Family Educational Loan programs.  KPMG also stated that it was not able to obtain “sufficient appropriate audit evidence” to determine the extent of the impact of these errors.  In addition, the audit identified internal controls weaknesses at ED, as well as information technology systems issues.  Prior IT issues identified in audits had not been remediated, per the audit report.</w:t>
      </w:r>
    </w:p>
    <w:p w14:paraId="3C1585CF" w14:textId="54F2FE02" w:rsidR="004E281E" w:rsidRPr="00512F09" w:rsidRDefault="004E281E" w:rsidP="004E281E">
      <w:pPr>
        <w:rPr>
          <w:rFonts w:cs="Arial"/>
          <w:szCs w:val="24"/>
        </w:rPr>
      </w:pPr>
      <w:r w:rsidRPr="00512F09">
        <w:rPr>
          <w:rFonts w:cs="Arial"/>
          <w:szCs w:val="24"/>
        </w:rPr>
        <w:t>In their letter, the Committee members say they will ask Secretary of Education Miguel Cardona to appear at a future hearing regarding the audit</w:t>
      </w:r>
      <w:r w:rsidR="00B0192D">
        <w:rPr>
          <w:rFonts w:cs="Arial"/>
          <w:szCs w:val="24"/>
        </w:rPr>
        <w:t xml:space="preserve"> </w:t>
      </w:r>
      <w:r w:rsidRPr="00512F09">
        <w:rPr>
          <w:rFonts w:cs="Arial"/>
          <w:szCs w:val="24"/>
        </w:rPr>
        <w:t>and have asked him to provide detailed information on the data errors, ED’s efforts to address the</w:t>
      </w:r>
      <w:r w:rsidR="00B0192D">
        <w:rPr>
          <w:rFonts w:cs="Arial"/>
          <w:szCs w:val="24"/>
        </w:rPr>
        <w:t xml:space="preserve"> errors</w:t>
      </w:r>
      <w:r w:rsidRPr="00512F09">
        <w:rPr>
          <w:rFonts w:cs="Arial"/>
          <w:szCs w:val="24"/>
        </w:rPr>
        <w:t>, and correspondence within ED and with other federal agencies on these issues.  The letter criticizes the agency’s actions as “bungling, dereliction of duties, and general disregard for the interests of the taxpayer” and suggests that the results of the audit are an “embarrassment.”</w:t>
      </w:r>
    </w:p>
    <w:p w14:paraId="20BB3C07" w14:textId="77777777" w:rsidR="004E281E" w:rsidRPr="00512F09" w:rsidRDefault="004E281E" w:rsidP="004E281E">
      <w:pPr>
        <w:rPr>
          <w:rFonts w:cs="Arial"/>
          <w:szCs w:val="24"/>
        </w:rPr>
      </w:pPr>
      <w:r w:rsidRPr="00512F09">
        <w:rPr>
          <w:rFonts w:cs="Arial"/>
          <w:szCs w:val="24"/>
        </w:rPr>
        <w:t xml:space="preserve">The </w:t>
      </w:r>
      <w:hyperlink r:id="rId11" w:history="1">
        <w:r w:rsidRPr="00512F09">
          <w:rPr>
            <w:rStyle w:val="Hyperlink"/>
            <w:rFonts w:cs="Arial"/>
            <w:szCs w:val="24"/>
          </w:rPr>
          <w:t>Congressional letter is here.</w:t>
        </w:r>
      </w:hyperlink>
    </w:p>
    <w:p w14:paraId="50573E1C" w14:textId="01CC0A97" w:rsidR="00607CC9" w:rsidRPr="004E281E" w:rsidRDefault="004E281E" w:rsidP="00607CC9">
      <w:pPr>
        <w:rPr>
          <w:rFonts w:cs="Arial"/>
          <w:szCs w:val="24"/>
        </w:rPr>
      </w:pPr>
      <w:r w:rsidRPr="00512F09">
        <w:rPr>
          <w:rFonts w:cs="Arial"/>
          <w:szCs w:val="24"/>
        </w:rPr>
        <w:t>Author: JCM</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44114326"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p>
    <w:p w14:paraId="444CFFD1" w14:textId="2EAA7990" w:rsidR="00DE188B" w:rsidRPr="003D7BE9" w:rsidRDefault="00DE188B" w:rsidP="003D7BE9">
      <w:pPr>
        <w:spacing w:before="240" w:after="240"/>
        <w:rPr>
          <w:rFonts w:eastAsia="Times New Roman" w:cs="Arial"/>
          <w:szCs w:val="24"/>
        </w:rPr>
      </w:pPr>
      <w:bookmarkStart w:id="22" w:name="_Hlk159491581"/>
      <w:r>
        <w:t xml:space="preserve">Posted by the California Department of Education, </w:t>
      </w:r>
      <w:bookmarkEnd w:id="22"/>
      <w:r>
        <w:t>January 2024</w:t>
      </w:r>
    </w:p>
    <w:sectPr w:rsidR="00DE188B" w:rsidRPr="003D7BE9" w:rsidSect="00803DE4">
      <w:headerReference w:type="default" r:id="rId12"/>
      <w:footerReference w:type="defaul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976C" w14:textId="77777777" w:rsidR="00803DE4" w:rsidRDefault="00803DE4">
      <w:pPr>
        <w:spacing w:before="0" w:after="0"/>
      </w:pPr>
      <w:r>
        <w:separator/>
      </w:r>
    </w:p>
  </w:endnote>
  <w:endnote w:type="continuationSeparator" w:id="0">
    <w:p w14:paraId="6965032C" w14:textId="77777777" w:rsidR="00803DE4" w:rsidRDefault="00803DE4">
      <w:pPr>
        <w:spacing w:before="0" w:after="0"/>
      </w:pPr>
      <w:r>
        <w:continuationSeparator/>
      </w:r>
    </w:p>
  </w:endnote>
  <w:endnote w:type="continuationNotice" w:id="1">
    <w:p w14:paraId="66C4DE96" w14:textId="77777777" w:rsidR="00803DE4" w:rsidRDefault="00803D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C012F1">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BDAC" w14:textId="77777777" w:rsidR="00803DE4" w:rsidRDefault="00803DE4">
      <w:pPr>
        <w:spacing w:before="0" w:after="0"/>
      </w:pPr>
      <w:r>
        <w:separator/>
      </w:r>
    </w:p>
  </w:footnote>
  <w:footnote w:type="continuationSeparator" w:id="0">
    <w:p w14:paraId="160EB0FD" w14:textId="77777777" w:rsidR="00803DE4" w:rsidRDefault="00803DE4">
      <w:pPr>
        <w:spacing w:before="0" w:after="0"/>
      </w:pPr>
      <w:r>
        <w:continuationSeparator/>
      </w:r>
    </w:p>
  </w:footnote>
  <w:footnote w:type="continuationNotice" w:id="1">
    <w:p w14:paraId="7950601E" w14:textId="77777777" w:rsidR="00803DE4" w:rsidRDefault="00803D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E72B160" w:rsidR="003C7552" w:rsidRPr="00662BDC" w:rsidRDefault="00152EEE" w:rsidP="000A590A">
    <w:pPr>
      <w:pStyle w:val="NoSpacing"/>
      <w:tabs>
        <w:tab w:val="left" w:pos="7920"/>
      </w:tabs>
    </w:pPr>
    <w:r>
      <w:t>January</w:t>
    </w:r>
    <w:r w:rsidR="00FB2F14">
      <w:t xml:space="preserve"> </w:t>
    </w:r>
    <w:r w:rsidR="00F1163C">
      <w:t>1</w:t>
    </w:r>
    <w:r w:rsidR="00D8121D">
      <w:t>9</w:t>
    </w:r>
    <w:r w:rsidR="0007306F">
      <w:t>, 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10043">
    <w:abstractNumId w:val="1"/>
  </w:num>
  <w:num w:numId="2" w16cid:durableId="1818833844">
    <w:abstractNumId w:val="10"/>
  </w:num>
  <w:num w:numId="3" w16cid:durableId="444471313">
    <w:abstractNumId w:val="11"/>
  </w:num>
  <w:num w:numId="4" w16cid:durableId="1613240789">
    <w:abstractNumId w:val="12"/>
  </w:num>
  <w:num w:numId="5" w16cid:durableId="1715885236">
    <w:abstractNumId w:val="13"/>
  </w:num>
  <w:num w:numId="6" w16cid:durableId="796528261">
    <w:abstractNumId w:val="2"/>
  </w:num>
  <w:num w:numId="7" w16cid:durableId="1699162996">
    <w:abstractNumId w:val="8"/>
  </w:num>
  <w:num w:numId="8" w16cid:durableId="1680351870">
    <w:abstractNumId w:val="7"/>
  </w:num>
  <w:num w:numId="9" w16cid:durableId="905341960">
    <w:abstractNumId w:val="5"/>
  </w:num>
  <w:num w:numId="10" w16cid:durableId="1613126888">
    <w:abstractNumId w:val="4"/>
  </w:num>
  <w:num w:numId="11" w16cid:durableId="2110157220">
    <w:abstractNumId w:val="0"/>
  </w:num>
  <w:num w:numId="12" w16cid:durableId="620695148">
    <w:abstractNumId w:val="9"/>
  </w:num>
  <w:num w:numId="13" w16cid:durableId="1214930901">
    <w:abstractNumId w:val="6"/>
  </w:num>
  <w:num w:numId="14" w16cid:durableId="2087219387">
    <w:abstractNumId w:val="3"/>
  </w:num>
  <w:num w:numId="15" w16cid:durableId="14017142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C4B"/>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87F"/>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86"/>
    <w:rsid w:val="003E77A1"/>
    <w:rsid w:val="003E77AA"/>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E08"/>
    <w:rsid w:val="005B03C7"/>
    <w:rsid w:val="005B056F"/>
    <w:rsid w:val="005B1118"/>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ED0"/>
    <w:rsid w:val="007F2B24"/>
    <w:rsid w:val="007F30FE"/>
    <w:rsid w:val="007F3516"/>
    <w:rsid w:val="007F3636"/>
    <w:rsid w:val="007F3A6E"/>
    <w:rsid w:val="007F44A7"/>
    <w:rsid w:val="007F458B"/>
    <w:rsid w:val="007F4A8B"/>
    <w:rsid w:val="007F620D"/>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3DC"/>
    <w:rsid w:val="0083445F"/>
    <w:rsid w:val="00834737"/>
    <w:rsid w:val="00834DD6"/>
    <w:rsid w:val="008355A1"/>
    <w:rsid w:val="00836183"/>
    <w:rsid w:val="00836DD6"/>
    <w:rsid w:val="008375AB"/>
    <w:rsid w:val="00840235"/>
    <w:rsid w:val="008407D7"/>
    <w:rsid w:val="008413D3"/>
    <w:rsid w:val="00841A39"/>
    <w:rsid w:val="00841E4E"/>
    <w:rsid w:val="00841E99"/>
    <w:rsid w:val="00842DC4"/>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012"/>
    <w:rsid w:val="00A26CA2"/>
    <w:rsid w:val="00A26E74"/>
    <w:rsid w:val="00A2715B"/>
    <w:rsid w:val="00A302F5"/>
    <w:rsid w:val="00A3060C"/>
    <w:rsid w:val="00A30BA9"/>
    <w:rsid w:val="00A30E8F"/>
    <w:rsid w:val="00A31766"/>
    <w:rsid w:val="00A327FC"/>
    <w:rsid w:val="00A32A3B"/>
    <w:rsid w:val="00A33341"/>
    <w:rsid w:val="00A342B2"/>
    <w:rsid w:val="00A34354"/>
    <w:rsid w:val="00A34928"/>
    <w:rsid w:val="00A34E14"/>
    <w:rsid w:val="00A352A8"/>
    <w:rsid w:val="00A35A89"/>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008"/>
    <w:rsid w:val="00B12601"/>
    <w:rsid w:val="00B12C75"/>
    <w:rsid w:val="00B1339A"/>
    <w:rsid w:val="00B13555"/>
    <w:rsid w:val="00B13AE9"/>
    <w:rsid w:val="00B13C69"/>
    <w:rsid w:val="00B13F71"/>
    <w:rsid w:val="00B14243"/>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2F1"/>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66E9"/>
    <w:rsid w:val="00D072A0"/>
    <w:rsid w:val="00D07425"/>
    <w:rsid w:val="00D10B69"/>
    <w:rsid w:val="00D10DD0"/>
    <w:rsid w:val="00D11FFA"/>
    <w:rsid w:val="00D12A0D"/>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88B"/>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97"/>
    <w:rsid w:val="00DF2133"/>
    <w:rsid w:val="00DF219D"/>
    <w:rsid w:val="00DF231B"/>
    <w:rsid w:val="00DF277C"/>
    <w:rsid w:val="00DF3701"/>
    <w:rsid w:val="00DF4609"/>
    <w:rsid w:val="00DF51FA"/>
    <w:rsid w:val="00DF5272"/>
    <w:rsid w:val="00DF533B"/>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424E"/>
    <w:rsid w:val="00F04EAF"/>
    <w:rsid w:val="00F051F8"/>
    <w:rsid w:val="00F057C7"/>
    <w:rsid w:val="00F06174"/>
    <w:rsid w:val="00F0628D"/>
    <w:rsid w:val="00F06E7A"/>
    <w:rsid w:val="00F07015"/>
    <w:rsid w:val="00F07967"/>
    <w:rsid w:val="00F07E1A"/>
    <w:rsid w:val="00F10CE4"/>
    <w:rsid w:val="00F1163C"/>
    <w:rsid w:val="00F1292D"/>
    <w:rsid w:val="00F12C83"/>
    <w:rsid w:val="00F12D79"/>
    <w:rsid w:val="00F1336F"/>
    <w:rsid w:val="00F141ED"/>
    <w:rsid w:val="00F15B7B"/>
    <w:rsid w:val="00F160C9"/>
    <w:rsid w:val="00F1693E"/>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3208"/>
    <w:rsid w:val="00FF3DC0"/>
    <w:rsid w:val="00FF4769"/>
    <w:rsid w:val="00FF48AC"/>
    <w:rsid w:val="00FF4A2D"/>
    <w:rsid w:val="00FF4B55"/>
    <w:rsid w:val="00FF4E73"/>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5D28A8"/>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workforce.house.gov/uploadedfiles/ltr_fy2023_audi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uman.com/" TargetMode="Externa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19, 2024 - Government Affairs (CA Dept of Education)</dc:title>
  <dc:subject>The BruMan Group weekly Federal Update Report for January 19, 2024.</dc:subject>
  <dc:creator/>
  <cp:lastModifiedBy/>
  <cp:revision>1</cp:revision>
  <dcterms:created xsi:type="dcterms:W3CDTF">2024-03-05T18:17:00Z</dcterms:created>
  <dcterms:modified xsi:type="dcterms:W3CDTF">2024-03-05T18:17:00Z</dcterms:modified>
</cp:coreProperties>
</file>