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737E061"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01EF724E" w:rsidR="0042468E" w:rsidRPr="008F1C84" w:rsidRDefault="0042468E" w:rsidP="008F1C84">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8F1C84">
        <w:rPr>
          <w:rFonts w:ascii="Arial" w:eastAsia="Verdana" w:hAnsi="Arial" w:cs="Times New Roman"/>
          <w:b/>
          <w:bCs/>
          <w:color w:val="auto"/>
        </w:rPr>
        <w:t xml:space="preserve">The Federal Update for </w:t>
      </w:r>
      <w:bookmarkEnd w:id="10"/>
      <w:bookmarkEnd w:id="11"/>
      <w:bookmarkEnd w:id="12"/>
      <w:bookmarkEnd w:id="13"/>
      <w:bookmarkEnd w:id="14"/>
      <w:bookmarkEnd w:id="15"/>
      <w:r w:rsidR="007B6362" w:rsidRPr="008F1C84">
        <w:rPr>
          <w:rFonts w:ascii="Arial" w:eastAsia="Verdana" w:hAnsi="Arial" w:cs="Times New Roman"/>
          <w:b/>
          <w:bCs/>
          <w:color w:val="auto"/>
        </w:rPr>
        <w:t>May 1</w:t>
      </w:r>
      <w:r w:rsidR="00C71873" w:rsidRPr="008F1C84">
        <w:rPr>
          <w:rFonts w:ascii="Arial" w:eastAsia="Verdana" w:hAnsi="Arial" w:cs="Times New Roman"/>
          <w:b/>
          <w:bCs/>
          <w:color w:val="auto"/>
        </w:rPr>
        <w:t>7</w:t>
      </w:r>
      <w:r w:rsidR="005D3FF9" w:rsidRPr="008F1C84">
        <w:rPr>
          <w:rFonts w:ascii="Arial" w:eastAsia="Verdana" w:hAnsi="Arial" w:cs="Times New Roman"/>
          <w:b/>
          <w:bCs/>
          <w:color w:val="auto"/>
        </w:rPr>
        <w:t>, 202</w:t>
      </w:r>
      <w:r w:rsidR="00BB6286" w:rsidRPr="008F1C84">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6E42FAF2" w:rsidR="0063135C" w:rsidRDefault="00D0389C" w:rsidP="009B424F">
      <w:pPr>
        <w:pStyle w:val="MessageHeader"/>
        <w:spacing w:after="240"/>
      </w:pPr>
      <w:r>
        <w:t>Date:</w:t>
      </w:r>
      <w:r>
        <w:tab/>
      </w:r>
      <w:r w:rsidR="007B6362">
        <w:t>May 1</w:t>
      </w:r>
      <w:r w:rsidR="00C71873">
        <w:t>7</w:t>
      </w:r>
      <w:r w:rsidR="00537D4B">
        <w:t>, 202</w:t>
      </w:r>
      <w:r w:rsidR="00BB6286">
        <w:t>4</w:t>
      </w:r>
    </w:p>
    <w:p w14:paraId="03F4A12A" w14:textId="4558026B" w:rsidR="00CB7F7C"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66832781" w:history="1">
        <w:r w:rsidR="00CB7F7C" w:rsidRPr="00E22B8F">
          <w:rPr>
            <w:rStyle w:val="Hyperlink"/>
            <w:rFonts w:eastAsia="Calibri"/>
          </w:rPr>
          <w:t>Legislation and Guidance</w:t>
        </w:r>
        <w:r w:rsidR="00CB7F7C">
          <w:rPr>
            <w:webHidden/>
          </w:rPr>
          <w:tab/>
        </w:r>
        <w:r w:rsidR="00CB7F7C">
          <w:rPr>
            <w:webHidden/>
          </w:rPr>
          <w:fldChar w:fldCharType="begin"/>
        </w:r>
        <w:r w:rsidR="00CB7F7C">
          <w:rPr>
            <w:webHidden/>
          </w:rPr>
          <w:instrText xml:space="preserve"> PAGEREF _Toc166832781 \h </w:instrText>
        </w:r>
        <w:r w:rsidR="00CB7F7C">
          <w:rPr>
            <w:webHidden/>
          </w:rPr>
        </w:r>
        <w:r w:rsidR="00CB7F7C">
          <w:rPr>
            <w:webHidden/>
          </w:rPr>
          <w:fldChar w:fldCharType="separate"/>
        </w:r>
        <w:r w:rsidR="00CB7F7C">
          <w:rPr>
            <w:webHidden/>
          </w:rPr>
          <w:t>1</w:t>
        </w:r>
        <w:r w:rsidR="00CB7F7C">
          <w:rPr>
            <w:webHidden/>
          </w:rPr>
          <w:fldChar w:fldCharType="end"/>
        </w:r>
      </w:hyperlink>
    </w:p>
    <w:p w14:paraId="5AD78360" w14:textId="362B8BF0" w:rsidR="00CB7F7C" w:rsidRDefault="00754D3E">
      <w:pPr>
        <w:pStyle w:val="TOC3"/>
        <w:rPr>
          <w:rFonts w:asciiTheme="minorHAnsi" w:eastAsiaTheme="minorEastAsia" w:hAnsiTheme="minorHAnsi" w:cstheme="minorBidi"/>
          <w:b w:val="0"/>
          <w:kern w:val="2"/>
          <w:sz w:val="24"/>
          <w:szCs w:val="24"/>
          <w14:ligatures w14:val="standardContextual"/>
        </w:rPr>
      </w:pPr>
      <w:hyperlink w:anchor="_Toc166832782" w:history="1">
        <w:r w:rsidR="00CB7F7C" w:rsidRPr="00E22B8F">
          <w:rPr>
            <w:rStyle w:val="Hyperlink"/>
          </w:rPr>
          <w:t>Online Safety Legislation Gaining Traction</w:t>
        </w:r>
        <w:r w:rsidR="00CB7F7C">
          <w:rPr>
            <w:webHidden/>
          </w:rPr>
          <w:tab/>
        </w:r>
        <w:r w:rsidR="00CB7F7C">
          <w:rPr>
            <w:webHidden/>
          </w:rPr>
          <w:fldChar w:fldCharType="begin"/>
        </w:r>
        <w:r w:rsidR="00CB7F7C">
          <w:rPr>
            <w:webHidden/>
          </w:rPr>
          <w:instrText xml:space="preserve"> PAGEREF _Toc166832782 \h </w:instrText>
        </w:r>
        <w:r w:rsidR="00CB7F7C">
          <w:rPr>
            <w:webHidden/>
          </w:rPr>
        </w:r>
        <w:r w:rsidR="00CB7F7C">
          <w:rPr>
            <w:webHidden/>
          </w:rPr>
          <w:fldChar w:fldCharType="separate"/>
        </w:r>
        <w:r w:rsidR="00CB7F7C">
          <w:rPr>
            <w:webHidden/>
          </w:rPr>
          <w:t>1</w:t>
        </w:r>
        <w:r w:rsidR="00CB7F7C">
          <w:rPr>
            <w:webHidden/>
          </w:rPr>
          <w:fldChar w:fldCharType="end"/>
        </w:r>
      </w:hyperlink>
    </w:p>
    <w:p w14:paraId="18D7DFC8" w14:textId="4C3BEF2C" w:rsidR="00CB7F7C" w:rsidRDefault="00754D3E">
      <w:pPr>
        <w:pStyle w:val="TOC3"/>
        <w:rPr>
          <w:rFonts w:asciiTheme="minorHAnsi" w:eastAsiaTheme="minorEastAsia" w:hAnsiTheme="minorHAnsi" w:cstheme="minorBidi"/>
          <w:b w:val="0"/>
          <w:kern w:val="2"/>
          <w:sz w:val="24"/>
          <w:szCs w:val="24"/>
          <w14:ligatures w14:val="standardContextual"/>
        </w:rPr>
      </w:pPr>
      <w:hyperlink w:anchor="_Toc166832783" w:history="1">
        <w:r w:rsidR="00CB7F7C" w:rsidRPr="00E22B8F">
          <w:rPr>
            <w:rStyle w:val="Hyperlink"/>
          </w:rPr>
          <w:t>ED Encourages States to Use Federal Funds for Prison Programs</w:t>
        </w:r>
        <w:r w:rsidR="00CB7F7C">
          <w:rPr>
            <w:webHidden/>
          </w:rPr>
          <w:tab/>
        </w:r>
        <w:r w:rsidR="00CB7F7C">
          <w:rPr>
            <w:webHidden/>
          </w:rPr>
          <w:fldChar w:fldCharType="begin"/>
        </w:r>
        <w:r w:rsidR="00CB7F7C">
          <w:rPr>
            <w:webHidden/>
          </w:rPr>
          <w:instrText xml:space="preserve"> PAGEREF _Toc166832783 \h </w:instrText>
        </w:r>
        <w:r w:rsidR="00CB7F7C">
          <w:rPr>
            <w:webHidden/>
          </w:rPr>
        </w:r>
        <w:r w:rsidR="00CB7F7C">
          <w:rPr>
            <w:webHidden/>
          </w:rPr>
          <w:fldChar w:fldCharType="separate"/>
        </w:r>
        <w:r w:rsidR="00CB7F7C">
          <w:rPr>
            <w:webHidden/>
          </w:rPr>
          <w:t>2</w:t>
        </w:r>
        <w:r w:rsidR="00CB7F7C">
          <w:rPr>
            <w:webHidden/>
          </w:rPr>
          <w:fldChar w:fldCharType="end"/>
        </w:r>
      </w:hyperlink>
    </w:p>
    <w:p w14:paraId="2CB0B055" w14:textId="60BB8190" w:rsidR="00CB7F7C" w:rsidRDefault="00754D3E">
      <w:pPr>
        <w:pStyle w:val="TOC2"/>
        <w:rPr>
          <w:rFonts w:asciiTheme="minorHAnsi" w:eastAsiaTheme="minorEastAsia" w:hAnsiTheme="minorHAnsi" w:cstheme="minorBidi"/>
          <w:b w:val="0"/>
          <w:kern w:val="2"/>
          <w:sz w:val="24"/>
          <w:szCs w:val="24"/>
          <w14:ligatures w14:val="standardContextual"/>
        </w:rPr>
      </w:pPr>
      <w:hyperlink w:anchor="_Toc166832784" w:history="1">
        <w:r w:rsidR="00CB7F7C" w:rsidRPr="00E22B8F">
          <w:rPr>
            <w:rStyle w:val="Hyperlink"/>
            <w:shd w:val="clear" w:color="auto" w:fill="FFFFFF"/>
          </w:rPr>
          <w:t>News</w:t>
        </w:r>
        <w:r w:rsidR="00CB7F7C">
          <w:rPr>
            <w:webHidden/>
          </w:rPr>
          <w:tab/>
        </w:r>
        <w:r w:rsidR="00CB7F7C">
          <w:rPr>
            <w:webHidden/>
          </w:rPr>
          <w:fldChar w:fldCharType="begin"/>
        </w:r>
        <w:r w:rsidR="00CB7F7C">
          <w:rPr>
            <w:webHidden/>
          </w:rPr>
          <w:instrText xml:space="preserve"> PAGEREF _Toc166832784 \h </w:instrText>
        </w:r>
        <w:r w:rsidR="00CB7F7C">
          <w:rPr>
            <w:webHidden/>
          </w:rPr>
        </w:r>
        <w:r w:rsidR="00CB7F7C">
          <w:rPr>
            <w:webHidden/>
          </w:rPr>
          <w:fldChar w:fldCharType="separate"/>
        </w:r>
        <w:r w:rsidR="00CB7F7C">
          <w:rPr>
            <w:webHidden/>
          </w:rPr>
          <w:t>3</w:t>
        </w:r>
        <w:r w:rsidR="00CB7F7C">
          <w:rPr>
            <w:webHidden/>
          </w:rPr>
          <w:fldChar w:fldCharType="end"/>
        </w:r>
      </w:hyperlink>
    </w:p>
    <w:p w14:paraId="11697AF5" w14:textId="4DB2288A" w:rsidR="00CB7F7C" w:rsidRDefault="00754D3E">
      <w:pPr>
        <w:pStyle w:val="TOC3"/>
        <w:rPr>
          <w:rFonts w:asciiTheme="minorHAnsi" w:eastAsiaTheme="minorEastAsia" w:hAnsiTheme="minorHAnsi" w:cstheme="minorBidi"/>
          <w:b w:val="0"/>
          <w:kern w:val="2"/>
          <w:sz w:val="24"/>
          <w:szCs w:val="24"/>
          <w14:ligatures w14:val="standardContextual"/>
        </w:rPr>
      </w:pPr>
      <w:hyperlink w:anchor="_Toc166832785" w:history="1">
        <w:r w:rsidR="00CB7F7C" w:rsidRPr="00E22B8F">
          <w:rPr>
            <w:rStyle w:val="Hyperlink"/>
          </w:rPr>
          <w:t>White House Releases Fact Sheet on Chronic Absenteeism</w:t>
        </w:r>
        <w:r w:rsidR="00CB7F7C">
          <w:rPr>
            <w:webHidden/>
          </w:rPr>
          <w:tab/>
        </w:r>
        <w:r w:rsidR="00CB7F7C">
          <w:rPr>
            <w:webHidden/>
          </w:rPr>
          <w:fldChar w:fldCharType="begin"/>
        </w:r>
        <w:r w:rsidR="00CB7F7C">
          <w:rPr>
            <w:webHidden/>
          </w:rPr>
          <w:instrText xml:space="preserve"> PAGEREF _Toc166832785 \h </w:instrText>
        </w:r>
        <w:r w:rsidR="00CB7F7C">
          <w:rPr>
            <w:webHidden/>
          </w:rPr>
        </w:r>
        <w:r w:rsidR="00CB7F7C">
          <w:rPr>
            <w:webHidden/>
          </w:rPr>
          <w:fldChar w:fldCharType="separate"/>
        </w:r>
        <w:r w:rsidR="00CB7F7C">
          <w:rPr>
            <w:webHidden/>
          </w:rPr>
          <w:t>3</w:t>
        </w:r>
        <w:r w:rsidR="00CB7F7C">
          <w:rPr>
            <w:webHidden/>
          </w:rPr>
          <w:fldChar w:fldCharType="end"/>
        </w:r>
      </w:hyperlink>
    </w:p>
    <w:p w14:paraId="169EC6D3" w14:textId="71C6827C" w:rsidR="00CB7F7C" w:rsidRDefault="00754D3E">
      <w:pPr>
        <w:pStyle w:val="TOC2"/>
        <w:rPr>
          <w:rFonts w:asciiTheme="minorHAnsi" w:eastAsiaTheme="minorEastAsia" w:hAnsiTheme="minorHAnsi" w:cstheme="minorBidi"/>
          <w:b w:val="0"/>
          <w:kern w:val="2"/>
          <w:sz w:val="24"/>
          <w:szCs w:val="24"/>
          <w14:ligatures w14:val="standardContextual"/>
        </w:rPr>
      </w:pPr>
      <w:hyperlink w:anchor="_Toc166832786" w:history="1">
        <w:r w:rsidR="00CB7F7C" w:rsidRPr="00E22B8F">
          <w:rPr>
            <w:rStyle w:val="Hyperlink"/>
          </w:rPr>
          <w:t>Reports</w:t>
        </w:r>
        <w:r w:rsidR="00CB7F7C">
          <w:rPr>
            <w:webHidden/>
          </w:rPr>
          <w:tab/>
        </w:r>
        <w:r w:rsidR="00CB7F7C">
          <w:rPr>
            <w:webHidden/>
          </w:rPr>
          <w:fldChar w:fldCharType="begin"/>
        </w:r>
        <w:r w:rsidR="00CB7F7C">
          <w:rPr>
            <w:webHidden/>
          </w:rPr>
          <w:instrText xml:space="preserve"> PAGEREF _Toc166832786 \h </w:instrText>
        </w:r>
        <w:r w:rsidR="00CB7F7C">
          <w:rPr>
            <w:webHidden/>
          </w:rPr>
        </w:r>
        <w:r w:rsidR="00CB7F7C">
          <w:rPr>
            <w:webHidden/>
          </w:rPr>
          <w:fldChar w:fldCharType="separate"/>
        </w:r>
        <w:r w:rsidR="00CB7F7C">
          <w:rPr>
            <w:webHidden/>
          </w:rPr>
          <w:t>3</w:t>
        </w:r>
        <w:r w:rsidR="00CB7F7C">
          <w:rPr>
            <w:webHidden/>
          </w:rPr>
          <w:fldChar w:fldCharType="end"/>
        </w:r>
      </w:hyperlink>
    </w:p>
    <w:p w14:paraId="643E3A82" w14:textId="1602377E" w:rsidR="00CB7F7C" w:rsidRDefault="00754D3E">
      <w:pPr>
        <w:pStyle w:val="TOC3"/>
        <w:rPr>
          <w:rFonts w:asciiTheme="minorHAnsi" w:eastAsiaTheme="minorEastAsia" w:hAnsiTheme="minorHAnsi" w:cstheme="minorBidi"/>
          <w:b w:val="0"/>
          <w:kern w:val="2"/>
          <w:sz w:val="24"/>
          <w:szCs w:val="24"/>
          <w14:ligatures w14:val="standardContextual"/>
        </w:rPr>
      </w:pPr>
      <w:hyperlink w:anchor="_Toc166832787" w:history="1">
        <w:r w:rsidR="00CB7F7C" w:rsidRPr="00E22B8F">
          <w:rPr>
            <w:rStyle w:val="Hyperlink"/>
          </w:rPr>
          <w:t>GAO Says Title IX Oversight Too Lax</w:t>
        </w:r>
        <w:r w:rsidR="00CB7F7C">
          <w:rPr>
            <w:webHidden/>
          </w:rPr>
          <w:tab/>
        </w:r>
        <w:r w:rsidR="00CB7F7C">
          <w:rPr>
            <w:webHidden/>
          </w:rPr>
          <w:fldChar w:fldCharType="begin"/>
        </w:r>
        <w:r w:rsidR="00CB7F7C">
          <w:rPr>
            <w:webHidden/>
          </w:rPr>
          <w:instrText xml:space="preserve"> PAGEREF _Toc166832787 \h </w:instrText>
        </w:r>
        <w:r w:rsidR="00CB7F7C">
          <w:rPr>
            <w:webHidden/>
          </w:rPr>
        </w:r>
        <w:r w:rsidR="00CB7F7C">
          <w:rPr>
            <w:webHidden/>
          </w:rPr>
          <w:fldChar w:fldCharType="separate"/>
        </w:r>
        <w:r w:rsidR="00CB7F7C">
          <w:rPr>
            <w:webHidden/>
          </w:rPr>
          <w:t>3</w:t>
        </w:r>
        <w:r w:rsidR="00CB7F7C">
          <w:rPr>
            <w:webHidden/>
          </w:rPr>
          <w:fldChar w:fldCharType="end"/>
        </w:r>
      </w:hyperlink>
    </w:p>
    <w:p w14:paraId="651E9C56" w14:textId="42576D5C" w:rsidR="00AF1820" w:rsidRPr="007B6362" w:rsidRDefault="663486F3" w:rsidP="007B6362">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66832781"/>
      <w:r w:rsidRPr="663486F3">
        <w:rPr>
          <w:rFonts w:eastAsia="Calibri"/>
        </w:rPr>
        <w:t>Legislation and Guidance</w:t>
      </w:r>
      <w:bookmarkEnd w:id="17"/>
    </w:p>
    <w:p w14:paraId="2FFF1EE3" w14:textId="1F41DB4B" w:rsidR="00212327" w:rsidRPr="00873D07" w:rsidRDefault="00C71873" w:rsidP="00873D07">
      <w:pPr>
        <w:pStyle w:val="Heading3"/>
      </w:pPr>
      <w:bookmarkStart w:id="18" w:name="_Toc166832782"/>
      <w:r>
        <w:t>Online Safety Legislation Gaining Traction</w:t>
      </w:r>
      <w:bookmarkEnd w:id="18"/>
    </w:p>
    <w:p w14:paraId="1633E465" w14:textId="77777777" w:rsidR="002808DA" w:rsidRDefault="002808DA" w:rsidP="002808DA">
      <w:r>
        <w:t>Senators are surveying support for a package of online safety bills this week, known as “</w:t>
      </w:r>
      <w:proofErr w:type="spellStart"/>
      <w:r>
        <w:t>hotlining</w:t>
      </w:r>
      <w:proofErr w:type="spellEnd"/>
      <w:r>
        <w:t xml:space="preserve">,” with the hope of bringing the legislation to the full Senate for a vote in the coming days or weeks.  The package consists of three bills, the Kids Online Safety Act, the Kids Off Social Media Act, and the Children and Teens Online Privacy Protection Act, which reauthorizes a 1998 online privacy bill known as COPPA. </w:t>
      </w:r>
    </w:p>
    <w:p w14:paraId="5FCDB99A" w14:textId="3AF6F564" w:rsidR="002808DA" w:rsidRDefault="002808DA" w:rsidP="002808DA">
      <w:pPr>
        <w:rPr>
          <w:rStyle w:val="normaltextrun"/>
          <w:rFonts w:cs="Arial"/>
          <w:color w:val="000000"/>
          <w:shd w:val="clear" w:color="auto" w:fill="FFFFFF"/>
        </w:rPr>
      </w:pPr>
      <w:r>
        <w:t xml:space="preserve">The Kids Online Safety Act would require online platforms to take reasonable measures to prevent harm that could arise from use of those platforms by children, such as cyberbullying, as well as protect minors’ personal information.  The Kids Off Social Media Act would prohibit companies from allowing children that it knows are under 13 years of age from creating or maintaining an account or profile for any of its online platforms </w:t>
      </w:r>
      <w:proofErr w:type="gramStart"/>
      <w:r>
        <w:t>and also</w:t>
      </w:r>
      <w:proofErr w:type="gramEnd"/>
      <w:r>
        <w:t xml:space="preserve"> includes privacy and data protection requirements for minors.  Finally, the Children and Teens Online Privacy Protection Act, which is being referred to as COPPA 2.0, </w:t>
      </w:r>
      <w:r>
        <w:rPr>
          <w:rStyle w:val="normaltextrun"/>
          <w:rFonts w:cs="Arial"/>
          <w:color w:val="000000"/>
          <w:shd w:val="clear" w:color="auto" w:fill="FFFFFF"/>
        </w:rPr>
        <w:t>clarifies when online website</w:t>
      </w:r>
      <w:r w:rsidR="00A06F79">
        <w:rPr>
          <w:rStyle w:val="normaltextrun"/>
          <w:rFonts w:cs="Arial"/>
          <w:color w:val="000000"/>
          <w:shd w:val="clear" w:color="auto" w:fill="FFFFFF"/>
        </w:rPr>
        <w:t>s</w:t>
      </w:r>
      <w:r>
        <w:rPr>
          <w:rStyle w:val="normaltextrun"/>
          <w:rFonts w:cs="Arial"/>
          <w:color w:val="000000"/>
          <w:shd w:val="clear" w:color="auto" w:fill="FFFFFF"/>
        </w:rPr>
        <w:t xml:space="preserve"> or other online service operators </w:t>
      </w:r>
      <w:r w:rsidR="00A843A5">
        <w:rPr>
          <w:rStyle w:val="normaltextrun"/>
          <w:rFonts w:cs="Arial"/>
          <w:color w:val="000000"/>
          <w:shd w:val="clear" w:color="auto" w:fill="FFFFFF"/>
        </w:rPr>
        <w:t xml:space="preserve">would be </w:t>
      </w:r>
      <w:r>
        <w:rPr>
          <w:rStyle w:val="normaltextrun"/>
          <w:rFonts w:cs="Arial"/>
          <w:color w:val="000000"/>
          <w:shd w:val="clear" w:color="auto" w:fill="FFFFFF"/>
        </w:rPr>
        <w:t>required to obtain parental consent before collecting personal information from children</w:t>
      </w:r>
      <w:r w:rsidR="00A843A5">
        <w:rPr>
          <w:rStyle w:val="normaltextrun"/>
          <w:rFonts w:cs="Arial"/>
          <w:color w:val="000000"/>
          <w:shd w:val="clear" w:color="auto" w:fill="FFFFFF"/>
        </w:rPr>
        <w:t>.</w:t>
      </w:r>
      <w:r>
        <w:rPr>
          <w:rStyle w:val="normaltextrun"/>
          <w:rFonts w:cs="Arial"/>
          <w:color w:val="000000"/>
          <w:shd w:val="clear" w:color="auto" w:fill="FFFFFF"/>
        </w:rPr>
        <w:t xml:space="preserve"> </w:t>
      </w:r>
      <w:r w:rsidR="00A843A5">
        <w:rPr>
          <w:rStyle w:val="normaltextrun"/>
          <w:rFonts w:cs="Arial"/>
          <w:color w:val="000000"/>
          <w:shd w:val="clear" w:color="auto" w:fill="FFFFFF"/>
        </w:rPr>
        <w:t xml:space="preserve"> COPPA 2.0 </w:t>
      </w:r>
      <w:r w:rsidR="00A843A5">
        <w:rPr>
          <w:rStyle w:val="normaltextrun"/>
          <w:rFonts w:cs="Arial"/>
          <w:color w:val="000000"/>
          <w:shd w:val="clear" w:color="auto" w:fill="FFFFFF"/>
        </w:rPr>
        <w:lastRenderedPageBreak/>
        <w:t xml:space="preserve">would also </w:t>
      </w:r>
      <w:r>
        <w:rPr>
          <w:rStyle w:val="normaltextrun"/>
          <w:rFonts w:cs="Arial"/>
          <w:color w:val="000000"/>
          <w:shd w:val="clear" w:color="auto" w:fill="FFFFFF"/>
        </w:rPr>
        <w:t>require schools to ensure any educational technology companies they contract with have adequate privacy safeguards in place for students.</w:t>
      </w:r>
    </w:p>
    <w:p w14:paraId="72562AA6" w14:textId="4A306629" w:rsidR="002808DA" w:rsidRDefault="00652603" w:rsidP="002808DA">
      <w:pPr>
        <w:rPr>
          <w:rStyle w:val="normaltextrun"/>
          <w:rFonts w:cs="Arial"/>
          <w:color w:val="000000"/>
          <w:shd w:val="clear" w:color="auto" w:fill="FFFFFF"/>
        </w:rPr>
      </w:pPr>
      <w:r>
        <w:rPr>
          <w:rStyle w:val="normaltextrun"/>
          <w:rFonts w:cs="Arial"/>
          <w:color w:val="000000"/>
          <w:shd w:val="clear" w:color="auto" w:fill="FFFFFF"/>
        </w:rPr>
        <w:t>While all three bills have bipartisan support, t</w:t>
      </w:r>
      <w:r w:rsidR="002808DA">
        <w:rPr>
          <w:rStyle w:val="normaltextrun"/>
          <w:rFonts w:cs="Arial"/>
          <w:color w:val="000000"/>
          <w:shd w:val="clear" w:color="auto" w:fill="FFFFFF"/>
        </w:rPr>
        <w:t>he Kids Online Safety Act has significant bipartisan support, with 68 Republican and Democratic senators co-sponsoring the bill, which was introduced by Senator Richard Blumenthal (D-CT) last year.  However, at least one Democratic senator is concerned about the impact the legislation could have on restricting access to LGBTQ+ content online.</w:t>
      </w:r>
    </w:p>
    <w:p w14:paraId="6EAF1D1C" w14:textId="77777777" w:rsidR="002808DA" w:rsidRDefault="002808DA" w:rsidP="002808DA">
      <w:pPr>
        <w:rPr>
          <w:rStyle w:val="normaltextrun"/>
          <w:rFonts w:cs="Arial"/>
          <w:color w:val="000000"/>
          <w:shd w:val="clear" w:color="auto" w:fill="FFFFFF"/>
        </w:rPr>
      </w:pPr>
      <w:r>
        <w:rPr>
          <w:rStyle w:val="normaltextrun"/>
          <w:rFonts w:cs="Arial"/>
          <w:color w:val="000000"/>
          <w:shd w:val="clear" w:color="auto" w:fill="FFFFFF"/>
        </w:rPr>
        <w:t xml:space="preserve">An exact timeline for consideration on the Senate floor is unclear. </w:t>
      </w:r>
    </w:p>
    <w:p w14:paraId="4EFCB049" w14:textId="77777777" w:rsidR="002808DA" w:rsidRDefault="002808DA" w:rsidP="002808DA">
      <w:pPr>
        <w:spacing w:after="0"/>
        <w:rPr>
          <w:rStyle w:val="normaltextrun"/>
          <w:rFonts w:cs="Arial"/>
          <w:color w:val="000000"/>
          <w:shd w:val="clear" w:color="auto" w:fill="FFFFFF"/>
        </w:rPr>
      </w:pPr>
      <w:r>
        <w:rPr>
          <w:rStyle w:val="normaltextrun"/>
          <w:rFonts w:cs="Arial"/>
          <w:color w:val="000000"/>
          <w:shd w:val="clear" w:color="auto" w:fill="FFFFFF"/>
        </w:rPr>
        <w:t xml:space="preserve">Resources: </w:t>
      </w:r>
    </w:p>
    <w:p w14:paraId="4F03B6C3" w14:textId="77777777" w:rsidR="002808DA" w:rsidRDefault="002808DA" w:rsidP="002808DA">
      <w:pPr>
        <w:spacing w:before="0" w:after="0"/>
        <w:rPr>
          <w:rStyle w:val="normaltextrun"/>
          <w:rFonts w:cs="Arial"/>
          <w:color w:val="000000"/>
          <w:shd w:val="clear" w:color="auto" w:fill="FFFFFF"/>
        </w:rPr>
      </w:pPr>
      <w:r>
        <w:rPr>
          <w:rStyle w:val="normaltextrun"/>
          <w:rFonts w:cs="Arial"/>
          <w:color w:val="000000"/>
          <w:shd w:val="clear" w:color="auto" w:fill="FFFFFF"/>
        </w:rPr>
        <w:t xml:space="preserve">Rebecca Kern, “Senate starts hotlines for </w:t>
      </w:r>
      <w:proofErr w:type="gramStart"/>
      <w:r>
        <w:rPr>
          <w:rStyle w:val="normaltextrun"/>
          <w:rFonts w:cs="Arial"/>
          <w:color w:val="000000"/>
          <w:shd w:val="clear" w:color="auto" w:fill="FFFFFF"/>
        </w:rPr>
        <w:t>kids</w:t>
      </w:r>
      <w:proofErr w:type="gramEnd"/>
      <w:r>
        <w:rPr>
          <w:rStyle w:val="normaltextrun"/>
          <w:rFonts w:cs="Arial"/>
          <w:color w:val="000000"/>
          <w:shd w:val="clear" w:color="auto" w:fill="FFFFFF"/>
        </w:rPr>
        <w:t xml:space="preserve"> online safety, privacy bills,” </w:t>
      </w:r>
      <w:r>
        <w:rPr>
          <w:rStyle w:val="normaltextrun"/>
          <w:rFonts w:cs="Arial"/>
          <w:i/>
          <w:iCs/>
          <w:color w:val="000000"/>
          <w:shd w:val="clear" w:color="auto" w:fill="FFFFFF"/>
        </w:rPr>
        <w:t>Politico</w:t>
      </w:r>
      <w:r>
        <w:rPr>
          <w:rStyle w:val="normaltextrun"/>
          <w:rFonts w:cs="Arial"/>
          <w:color w:val="000000"/>
          <w:shd w:val="clear" w:color="auto" w:fill="FFFFFF"/>
        </w:rPr>
        <w:t>, May 10, 2024.</w:t>
      </w:r>
    </w:p>
    <w:p w14:paraId="5C87334D" w14:textId="77777777" w:rsidR="002808DA" w:rsidRPr="00782955" w:rsidRDefault="002808DA" w:rsidP="005D2470">
      <w:pPr>
        <w:spacing w:before="0"/>
      </w:pPr>
      <w:r>
        <w:rPr>
          <w:rStyle w:val="normaltextrun"/>
          <w:rFonts w:cs="Arial"/>
          <w:color w:val="000000"/>
          <w:shd w:val="clear" w:color="auto" w:fill="FFFFFF"/>
        </w:rPr>
        <w:t>Author: KSC</w:t>
      </w:r>
    </w:p>
    <w:p w14:paraId="3255747C" w14:textId="55960130" w:rsidR="00ED069D" w:rsidRPr="005D2470" w:rsidRDefault="005D2470" w:rsidP="005D2470">
      <w:pPr>
        <w:pStyle w:val="Heading3"/>
      </w:pPr>
      <w:bookmarkStart w:id="19" w:name="_Toc166832783"/>
      <w:r w:rsidRPr="002304DC">
        <w:t>ED Encourages States to Use Federal Funds for Prison Programs</w:t>
      </w:r>
      <w:bookmarkEnd w:id="19"/>
    </w:p>
    <w:p w14:paraId="026253A8" w14:textId="3F50228A" w:rsidR="00ED50CD" w:rsidRDefault="00ED50CD" w:rsidP="00ED50CD">
      <w:pPr>
        <w:rPr>
          <w:rFonts w:cs="Arial"/>
          <w:szCs w:val="24"/>
        </w:rPr>
      </w:pPr>
      <w:r>
        <w:rPr>
          <w:rFonts w:cs="Arial"/>
          <w:szCs w:val="24"/>
        </w:rPr>
        <w:t xml:space="preserve">The U.S. Department of Education’s </w:t>
      </w:r>
      <w:r w:rsidRPr="009C423C">
        <w:rPr>
          <w:rFonts w:cs="Arial"/>
          <w:szCs w:val="24"/>
        </w:rPr>
        <w:t>Office of Career, Technical, and Adult Education</w:t>
      </w:r>
      <w:r>
        <w:rPr>
          <w:rFonts w:cs="Arial"/>
          <w:szCs w:val="24"/>
        </w:rPr>
        <w:t xml:space="preserve"> (OCTAE) issued a</w:t>
      </w:r>
      <w:r w:rsidRPr="009C423C">
        <w:rPr>
          <w:rFonts w:cs="Arial"/>
          <w:szCs w:val="24"/>
        </w:rPr>
        <w:t xml:space="preserve"> memo </w:t>
      </w:r>
      <w:r>
        <w:rPr>
          <w:rFonts w:cs="Arial"/>
          <w:szCs w:val="24"/>
        </w:rPr>
        <w:t xml:space="preserve">earlier this month urging States and local governments to use federal grant funds to support both basic education, high school, and post-secondary programs in </w:t>
      </w:r>
      <w:proofErr w:type="gramStart"/>
      <w:r w:rsidR="00A522C3">
        <w:rPr>
          <w:rFonts w:cs="Arial"/>
          <w:szCs w:val="24"/>
        </w:rPr>
        <w:t>correctional facilities</w:t>
      </w:r>
      <w:proofErr w:type="gramEnd"/>
      <w:r>
        <w:rPr>
          <w:rFonts w:cs="Arial"/>
          <w:szCs w:val="24"/>
        </w:rPr>
        <w:t>.  OCTAE outlines the ways that federal funds under the</w:t>
      </w:r>
      <w:r w:rsidRPr="005D0F4C">
        <w:rPr>
          <w:rFonts w:cs="Arial"/>
          <w:szCs w:val="24"/>
        </w:rPr>
        <w:t xml:space="preserve"> Carl D. Perkins Career and Technical Education Ac</w:t>
      </w:r>
      <w:r>
        <w:rPr>
          <w:rFonts w:cs="Arial"/>
          <w:szCs w:val="24"/>
        </w:rPr>
        <w:t>t</w:t>
      </w:r>
      <w:r w:rsidRPr="005D0F4C">
        <w:rPr>
          <w:rFonts w:cs="Arial"/>
          <w:szCs w:val="24"/>
        </w:rPr>
        <w:t xml:space="preserve"> (Perkins V)</w:t>
      </w:r>
      <w:r>
        <w:rPr>
          <w:rFonts w:cs="Arial"/>
          <w:szCs w:val="24"/>
        </w:rPr>
        <w:t xml:space="preserve"> </w:t>
      </w:r>
      <w:r w:rsidRPr="005D0F4C">
        <w:rPr>
          <w:rFonts w:cs="Arial"/>
          <w:szCs w:val="24"/>
        </w:rPr>
        <w:t>and the Adult Education and Family Literacy Act (AEFLA)</w:t>
      </w:r>
      <w:r>
        <w:rPr>
          <w:rFonts w:cs="Arial"/>
          <w:szCs w:val="24"/>
        </w:rPr>
        <w:t xml:space="preserve"> can be used for these programs and allow more students to benefit from expanded Pell Grant eligibility. </w:t>
      </w:r>
    </w:p>
    <w:p w14:paraId="1130076F" w14:textId="17E3950E" w:rsidR="00ED50CD" w:rsidRDefault="00ED50CD" w:rsidP="00ED50CD">
      <w:pPr>
        <w:rPr>
          <w:rFonts w:cs="Arial"/>
          <w:szCs w:val="24"/>
        </w:rPr>
      </w:pPr>
      <w:r>
        <w:rPr>
          <w:rFonts w:cs="Arial"/>
          <w:szCs w:val="24"/>
        </w:rPr>
        <w:t xml:space="preserve">The FAFSA Simplification Act, passed in 2020, restored Pell </w:t>
      </w:r>
      <w:r w:rsidR="00CB7F7C">
        <w:rPr>
          <w:rFonts w:cs="Arial"/>
          <w:szCs w:val="24"/>
        </w:rPr>
        <w:t xml:space="preserve">grant </w:t>
      </w:r>
      <w:r>
        <w:rPr>
          <w:rFonts w:cs="Arial"/>
          <w:szCs w:val="24"/>
        </w:rPr>
        <w:t>eligibility for incarcerated students in approved prison education program</w:t>
      </w:r>
      <w:r w:rsidR="00CB7F7C">
        <w:rPr>
          <w:rFonts w:cs="Arial"/>
          <w:szCs w:val="24"/>
        </w:rPr>
        <w:t>s</w:t>
      </w:r>
      <w:r>
        <w:rPr>
          <w:rFonts w:cs="Arial"/>
          <w:szCs w:val="24"/>
        </w:rPr>
        <w:t xml:space="preserve"> beginning in July of 2023.  However, some States have noted that the program approval process has been slow, with one program waiting five months for approval. </w:t>
      </w:r>
    </w:p>
    <w:p w14:paraId="7A99F807" w14:textId="77777777" w:rsidR="00ED50CD" w:rsidRDefault="00ED50CD" w:rsidP="00ED50CD">
      <w:pPr>
        <w:rPr>
          <w:rFonts w:cs="Arial"/>
          <w:szCs w:val="24"/>
        </w:rPr>
      </w:pPr>
      <w:r>
        <w:rPr>
          <w:rFonts w:cs="Arial"/>
          <w:szCs w:val="24"/>
        </w:rPr>
        <w:t xml:space="preserve">Despite the delay, OCTAE’s memo stresses the importance of investing in prison programs.  OCTAE states that education programs are critical to address recidivism rates, with </w:t>
      </w:r>
      <w:r w:rsidRPr="00DB36AD">
        <w:rPr>
          <w:rFonts w:cs="Arial"/>
          <w:szCs w:val="24"/>
        </w:rPr>
        <w:t>post</w:t>
      </w:r>
      <w:r>
        <w:rPr>
          <w:rFonts w:cs="Arial"/>
          <w:szCs w:val="24"/>
        </w:rPr>
        <w:t>-</w:t>
      </w:r>
      <w:r w:rsidRPr="00DB36AD">
        <w:rPr>
          <w:rFonts w:cs="Arial"/>
          <w:szCs w:val="24"/>
        </w:rPr>
        <w:t>secondary education programs</w:t>
      </w:r>
      <w:r>
        <w:rPr>
          <w:rFonts w:cs="Arial"/>
          <w:szCs w:val="24"/>
        </w:rPr>
        <w:t xml:space="preserve"> resulting in a</w:t>
      </w:r>
      <w:r w:rsidRPr="00DB36AD">
        <w:rPr>
          <w:rFonts w:cs="Arial"/>
          <w:szCs w:val="24"/>
        </w:rPr>
        <w:t xml:space="preserve"> 48 percent lower risk of reci</w:t>
      </w:r>
      <w:r>
        <w:rPr>
          <w:rFonts w:cs="Arial"/>
          <w:szCs w:val="24"/>
        </w:rPr>
        <w:t>divism.  The memo also cites research finding that “</w:t>
      </w:r>
      <w:r w:rsidRPr="00D51B6B">
        <w:rPr>
          <w:rFonts w:cs="Arial"/>
          <w:szCs w:val="24"/>
        </w:rPr>
        <w:t>for every dollar</w:t>
      </w:r>
      <w:r>
        <w:rPr>
          <w:rFonts w:cs="Arial"/>
          <w:szCs w:val="24"/>
        </w:rPr>
        <w:t xml:space="preserve"> </w:t>
      </w:r>
      <w:r w:rsidRPr="00D51B6B">
        <w:rPr>
          <w:rFonts w:cs="Arial"/>
          <w:szCs w:val="24"/>
        </w:rPr>
        <w:t>invested in correctional education programs, taxpayers save four to five dollars from lowered recidivism</w:t>
      </w:r>
      <w:r>
        <w:rPr>
          <w:rFonts w:cs="Arial"/>
          <w:szCs w:val="24"/>
        </w:rPr>
        <w:t xml:space="preserve"> </w:t>
      </w:r>
      <w:r w:rsidRPr="00D51B6B">
        <w:rPr>
          <w:rFonts w:cs="Arial"/>
          <w:szCs w:val="24"/>
        </w:rPr>
        <w:t>rates</w:t>
      </w:r>
      <w:r>
        <w:rPr>
          <w:rFonts w:cs="Arial"/>
          <w:szCs w:val="24"/>
        </w:rPr>
        <w:t>.”</w:t>
      </w:r>
      <w:r w:rsidRPr="00D51B6B">
        <w:rPr>
          <w:rFonts w:cs="Arial"/>
          <w:szCs w:val="24"/>
        </w:rPr>
        <w:t xml:space="preserve"> </w:t>
      </w:r>
      <w:r>
        <w:rPr>
          <w:rFonts w:cs="Arial"/>
          <w:szCs w:val="24"/>
        </w:rPr>
        <w:t xml:space="preserve"> </w:t>
      </w:r>
    </w:p>
    <w:p w14:paraId="7FCD190E" w14:textId="1DA5B39C" w:rsidR="00ED50CD" w:rsidRDefault="00ED50CD" w:rsidP="00ED50CD">
      <w:pPr>
        <w:rPr>
          <w:rFonts w:cs="Arial"/>
          <w:szCs w:val="24"/>
        </w:rPr>
      </w:pPr>
      <w:r>
        <w:rPr>
          <w:rFonts w:cs="Arial"/>
          <w:szCs w:val="24"/>
        </w:rPr>
        <w:t>Yet, OCTAE says that most States are not fully utilizing the many funding streams available to support educati</w:t>
      </w:r>
      <w:r w:rsidR="00107129">
        <w:rPr>
          <w:rFonts w:cs="Arial"/>
          <w:szCs w:val="24"/>
        </w:rPr>
        <w:t>ng</w:t>
      </w:r>
      <w:r>
        <w:rPr>
          <w:rFonts w:cs="Arial"/>
          <w:szCs w:val="24"/>
        </w:rPr>
        <w:t xml:space="preserve"> incarcerated students.  Perkins V </w:t>
      </w:r>
      <w:r w:rsidRPr="009C423C">
        <w:rPr>
          <w:rFonts w:cs="Arial"/>
          <w:szCs w:val="24"/>
        </w:rPr>
        <w:t>authorizes States to allocate up to 2 percent of th</w:t>
      </w:r>
      <w:r>
        <w:rPr>
          <w:rFonts w:cs="Arial"/>
          <w:szCs w:val="24"/>
        </w:rPr>
        <w:t>eir</w:t>
      </w:r>
      <w:r w:rsidRPr="009C423C">
        <w:rPr>
          <w:rFonts w:cs="Arial"/>
          <w:szCs w:val="24"/>
        </w:rPr>
        <w:t xml:space="preserve"> allocation</w:t>
      </w:r>
      <w:r>
        <w:rPr>
          <w:rFonts w:cs="Arial"/>
          <w:szCs w:val="24"/>
        </w:rPr>
        <w:t xml:space="preserve"> for State leadership activities to serve those in institutions, including correctional institutions.  However, only five States </w:t>
      </w:r>
      <w:r w:rsidR="00CB7F7C">
        <w:rPr>
          <w:rFonts w:cs="Arial"/>
          <w:szCs w:val="24"/>
        </w:rPr>
        <w:t xml:space="preserve">have </w:t>
      </w:r>
      <w:r>
        <w:rPr>
          <w:rFonts w:cs="Arial"/>
          <w:szCs w:val="24"/>
        </w:rPr>
        <w:t>used the full two percent.  Under AEFLA, States can award 16.5 percent of their total allocation to these programs, but an average of</w:t>
      </w:r>
      <w:r w:rsidR="00092B36">
        <w:rPr>
          <w:rFonts w:cs="Arial"/>
          <w:szCs w:val="24"/>
        </w:rPr>
        <w:t xml:space="preserve"> only</w:t>
      </w:r>
      <w:r>
        <w:rPr>
          <w:rFonts w:cs="Arial"/>
          <w:szCs w:val="24"/>
        </w:rPr>
        <w:t xml:space="preserve"> 4.2 percent is spent on them, and no State spends </w:t>
      </w:r>
      <w:proofErr w:type="gramStart"/>
      <w:r>
        <w:rPr>
          <w:rFonts w:cs="Arial"/>
          <w:szCs w:val="24"/>
        </w:rPr>
        <w:t>all of</w:t>
      </w:r>
      <w:proofErr w:type="gramEnd"/>
      <w:r>
        <w:rPr>
          <w:rFonts w:cs="Arial"/>
          <w:szCs w:val="24"/>
        </w:rPr>
        <w:t xml:space="preserve"> the full 16.5 percent on prison education programs. </w:t>
      </w:r>
    </w:p>
    <w:p w14:paraId="7A47194E" w14:textId="78E83897" w:rsidR="00ED50CD" w:rsidRDefault="00ED50CD" w:rsidP="00ED50CD">
      <w:pPr>
        <w:rPr>
          <w:rFonts w:cs="Arial"/>
          <w:szCs w:val="24"/>
        </w:rPr>
      </w:pPr>
      <w:r>
        <w:rPr>
          <w:rFonts w:cs="Arial"/>
          <w:szCs w:val="24"/>
        </w:rPr>
        <w:t xml:space="preserve">OCTAE urges States and local governments to consider using Perkins V funds to create and grow prison education programs but ensure that the funds are used to supplement and not supplant non-federal resources.  Under AEFLA, funds can be used for adult education activities and workforce preparation for a specific occupation. </w:t>
      </w:r>
    </w:p>
    <w:p w14:paraId="14A2C2D8" w14:textId="567010F4" w:rsidR="00ED50CD" w:rsidRDefault="00ED50CD" w:rsidP="00ED50CD">
      <w:pPr>
        <w:rPr>
          <w:rFonts w:cs="Arial"/>
          <w:szCs w:val="24"/>
        </w:rPr>
      </w:pPr>
      <w:r>
        <w:rPr>
          <w:rFonts w:cs="Arial"/>
          <w:szCs w:val="24"/>
        </w:rPr>
        <w:lastRenderedPageBreak/>
        <w:t xml:space="preserve">The memo is part of the administration’s effort to promote educational access for underserved populations and OCTAE encourages </w:t>
      </w:r>
      <w:r w:rsidRPr="007B774B">
        <w:rPr>
          <w:rFonts w:cs="Arial"/>
          <w:szCs w:val="24"/>
        </w:rPr>
        <w:t>t</w:t>
      </w:r>
      <w:r>
        <w:rPr>
          <w:rFonts w:cs="Arial"/>
          <w:szCs w:val="24"/>
        </w:rPr>
        <w:t>aking a</w:t>
      </w:r>
      <w:r w:rsidRPr="007B774B">
        <w:rPr>
          <w:rFonts w:cs="Arial"/>
          <w:szCs w:val="24"/>
        </w:rPr>
        <w:t xml:space="preserve"> holistic</w:t>
      </w:r>
      <w:r>
        <w:rPr>
          <w:rFonts w:cs="Arial"/>
          <w:szCs w:val="24"/>
        </w:rPr>
        <w:t xml:space="preserve"> approach to developing programs for incarcerated students to allow for reentry into the workforce.  </w:t>
      </w:r>
    </w:p>
    <w:p w14:paraId="43199589" w14:textId="0339B102" w:rsidR="00ED50CD" w:rsidRPr="009C423C" w:rsidRDefault="00754D3E" w:rsidP="00ED50CD">
      <w:pPr>
        <w:rPr>
          <w:rFonts w:cs="Arial"/>
          <w:szCs w:val="24"/>
        </w:rPr>
      </w:pPr>
      <w:hyperlink r:id="rId9" w:history="1">
        <w:r w:rsidR="00ED50CD" w:rsidRPr="00CB7F7C">
          <w:rPr>
            <w:rStyle w:val="Hyperlink"/>
            <w:rFonts w:cs="Arial"/>
            <w:szCs w:val="24"/>
          </w:rPr>
          <w:t>The full memo can be found here</w:t>
        </w:r>
      </w:hyperlink>
      <w:r w:rsidR="00ED50CD">
        <w:rPr>
          <w:rFonts w:cs="Arial"/>
          <w:szCs w:val="24"/>
        </w:rPr>
        <w:t xml:space="preserve">. </w:t>
      </w:r>
    </w:p>
    <w:p w14:paraId="478A8408" w14:textId="77777777" w:rsidR="00ED50CD" w:rsidRDefault="00ED50CD" w:rsidP="00ED50CD">
      <w:pPr>
        <w:spacing w:after="0"/>
        <w:rPr>
          <w:rFonts w:cs="Arial"/>
          <w:color w:val="17232E"/>
          <w:szCs w:val="24"/>
          <w:shd w:val="clear" w:color="auto" w:fill="FFFFFF"/>
        </w:rPr>
      </w:pPr>
      <w:r>
        <w:rPr>
          <w:rFonts w:cs="Arial"/>
          <w:color w:val="17232E"/>
          <w:szCs w:val="24"/>
          <w:shd w:val="clear" w:color="auto" w:fill="FFFFFF"/>
        </w:rPr>
        <w:t xml:space="preserve">Resources: </w:t>
      </w:r>
    </w:p>
    <w:p w14:paraId="27F809E3" w14:textId="77777777" w:rsidR="00ED50CD" w:rsidRDefault="00ED50CD" w:rsidP="00ED50CD">
      <w:pPr>
        <w:spacing w:before="0" w:after="0"/>
        <w:rPr>
          <w:rFonts w:cs="Arial"/>
          <w:color w:val="17232E"/>
          <w:szCs w:val="24"/>
          <w:shd w:val="clear" w:color="auto" w:fill="FFFFFF"/>
        </w:rPr>
      </w:pPr>
      <w:r>
        <w:rPr>
          <w:rFonts w:cs="Arial"/>
          <w:color w:val="17232E"/>
          <w:szCs w:val="24"/>
          <w:shd w:val="clear" w:color="auto" w:fill="FFFFFF"/>
        </w:rPr>
        <w:t>Lexi Lonas, “</w:t>
      </w:r>
      <w:r w:rsidRPr="00D43061">
        <w:rPr>
          <w:rFonts w:cs="Arial"/>
          <w:color w:val="17232E"/>
          <w:szCs w:val="24"/>
          <w:shd w:val="clear" w:color="auto" w:fill="FFFFFF"/>
        </w:rPr>
        <w:t>Prison education programs ready to expand, but new Pell Grants slow to arrive</w:t>
      </w:r>
      <w:r>
        <w:rPr>
          <w:rFonts w:cs="Arial"/>
          <w:color w:val="17232E"/>
          <w:szCs w:val="24"/>
          <w:shd w:val="clear" w:color="auto" w:fill="FFFFFF"/>
        </w:rPr>
        <w:t xml:space="preserve">,” </w:t>
      </w:r>
      <w:r w:rsidRPr="00D43061">
        <w:rPr>
          <w:rFonts w:cs="Arial"/>
          <w:i/>
          <w:iCs/>
          <w:color w:val="17232E"/>
          <w:szCs w:val="24"/>
          <w:shd w:val="clear" w:color="auto" w:fill="FFFFFF"/>
        </w:rPr>
        <w:t>The Hill</w:t>
      </w:r>
      <w:r>
        <w:rPr>
          <w:rFonts w:cs="Arial"/>
          <w:color w:val="17232E"/>
          <w:szCs w:val="24"/>
          <w:shd w:val="clear" w:color="auto" w:fill="FFFFFF"/>
        </w:rPr>
        <w:t xml:space="preserve">, May 6, 2024. </w:t>
      </w:r>
    </w:p>
    <w:p w14:paraId="71A02147" w14:textId="4C6E9869" w:rsidR="00ED50CD" w:rsidRDefault="00ED50CD" w:rsidP="00ED50CD">
      <w:pPr>
        <w:spacing w:before="0" w:after="0"/>
        <w:rPr>
          <w:rFonts w:cs="Arial"/>
          <w:color w:val="17232E"/>
          <w:szCs w:val="24"/>
          <w:shd w:val="clear" w:color="auto" w:fill="FFFFFF"/>
        </w:rPr>
      </w:pPr>
      <w:r>
        <w:rPr>
          <w:rFonts w:cs="Arial"/>
          <w:color w:val="17232E"/>
          <w:szCs w:val="24"/>
          <w:shd w:val="clear" w:color="auto" w:fill="FFFFFF"/>
        </w:rPr>
        <w:t xml:space="preserve">Author: BTW </w:t>
      </w:r>
    </w:p>
    <w:p w14:paraId="27FE1739" w14:textId="19D0CD4B" w:rsidR="00EE7E3F" w:rsidRDefault="00EE7E3F" w:rsidP="00EE7E3F">
      <w:pPr>
        <w:pStyle w:val="Heading2"/>
        <w:rPr>
          <w:shd w:val="clear" w:color="auto" w:fill="FFFFFF"/>
        </w:rPr>
      </w:pPr>
      <w:bookmarkStart w:id="20" w:name="_Toc166832784"/>
      <w:r>
        <w:rPr>
          <w:shd w:val="clear" w:color="auto" w:fill="FFFFFF"/>
        </w:rPr>
        <w:t>News</w:t>
      </w:r>
      <w:bookmarkEnd w:id="20"/>
    </w:p>
    <w:p w14:paraId="640EBE79" w14:textId="4EA8E369" w:rsidR="00EE7E3F" w:rsidRDefault="00EE7E3F" w:rsidP="00EE7E3F">
      <w:pPr>
        <w:pStyle w:val="Heading3"/>
      </w:pPr>
      <w:bookmarkStart w:id="21" w:name="_Toc166832785"/>
      <w:r>
        <w:t>White House Releases Fact Sheet on Chronic Absenteeism</w:t>
      </w:r>
      <w:bookmarkEnd w:id="21"/>
    </w:p>
    <w:p w14:paraId="44386B6D" w14:textId="01F6B653" w:rsidR="00EE7E3F" w:rsidRDefault="00EE7E3F" w:rsidP="00EE7E3F">
      <w:r>
        <w:t xml:space="preserve">The White House released a fact sheet </w:t>
      </w:r>
      <w:r w:rsidR="006076AA">
        <w:t>following</w:t>
      </w:r>
      <w:r w:rsidR="008F6FE2">
        <w:t xml:space="preserve"> a summit</w:t>
      </w:r>
      <w:r w:rsidR="006076AA">
        <w:t xml:space="preserve"> this week</w:t>
      </w:r>
      <w:r w:rsidR="008F6FE2">
        <w:t xml:space="preserve"> </w:t>
      </w:r>
      <w:r w:rsidR="006076AA">
        <w:t>highlighting ways for State and local leaders to reduce chronic absenteeism</w:t>
      </w:r>
      <w:r w:rsidR="008F6FE2">
        <w:t xml:space="preserve">.  The fact sheet highlights action the U.S. Department of Education has already taken, as well as planned initiatives. </w:t>
      </w:r>
    </w:p>
    <w:p w14:paraId="7E8D60E7" w14:textId="673EDBD5" w:rsidR="008F6FE2" w:rsidRDefault="008F6FE2" w:rsidP="00EE7E3F">
      <w:r>
        <w:t xml:space="preserve">The Biden administration is urging States and school districts to collect and use data on school attendance and plans to incorporate attendance data into existing federal reporting and surveys, such as through the National Center for Education Statistics School Pulse Panel.  In addition, the fact sheet highlights existing and new resources from ED and the Institute of Education Sciences to support States and school districts in using data to address attendance issues.  The fact sheet </w:t>
      </w:r>
      <w:r w:rsidR="00CB7F7C">
        <w:t xml:space="preserve">also </w:t>
      </w:r>
      <w:r>
        <w:t>announces two new resources addressing absenteeism, including a fact sheet on “Bolstering Student Attendance, Engagement, and Success Through Career-Connected Learning” and a yet-to-be-released resource on transportation to improve student attendance, which is often a barrier.</w:t>
      </w:r>
    </w:p>
    <w:p w14:paraId="1F2CA3F8" w14:textId="47AE5483" w:rsidR="00CB7F7C" w:rsidRDefault="00CB7F7C" w:rsidP="00EE7E3F">
      <w:r>
        <w:t>The administration also emphasizes federal funding opportunities to address attendance, including a</w:t>
      </w:r>
      <w:r w:rsidR="00BF252C">
        <w:t>n</w:t>
      </w:r>
      <w:r>
        <w:t xml:space="preserve"> Education Innovation and Research grant that is currently accepting applications and will provide funding “</w:t>
      </w:r>
      <w:r w:rsidRPr="00CB7F7C">
        <w:t>to create, develop, implement, and replicate evidence-based solutions that accelerate student achievement, including those designed to reduce chronic absenteeism and increase student engagement</w:t>
      </w:r>
      <w:r>
        <w:t xml:space="preserve">.”  ED will also open application periods for two other federal grants that can support chronic absenteeism reduction efforts soon – the Stronger Connections Technical Assistance and Capacity Building grant and the Promise Neighborhoods grant.  </w:t>
      </w:r>
    </w:p>
    <w:p w14:paraId="04916C88" w14:textId="5A5C8380" w:rsidR="00CB7F7C" w:rsidRDefault="00754D3E" w:rsidP="00EE7E3F">
      <w:hyperlink r:id="rId10" w:anchor=":~:text=The%20U.S.%20rate%20of%20chronic,progress%20based%20on%20proven%20strategies." w:history="1">
        <w:r w:rsidR="00CB7F7C" w:rsidRPr="00CB7F7C">
          <w:rPr>
            <w:rStyle w:val="Hyperlink"/>
          </w:rPr>
          <w:t xml:space="preserve">The administration’s fact sheet, which provides access to </w:t>
        </w:r>
        <w:proofErr w:type="gramStart"/>
        <w:r w:rsidR="00CB7F7C" w:rsidRPr="00CB7F7C">
          <w:rPr>
            <w:rStyle w:val="Hyperlink"/>
          </w:rPr>
          <w:t>a number of</w:t>
        </w:r>
        <w:proofErr w:type="gramEnd"/>
        <w:r w:rsidR="00CB7F7C" w:rsidRPr="00CB7F7C">
          <w:rPr>
            <w:rStyle w:val="Hyperlink"/>
          </w:rPr>
          <w:t xml:space="preserve"> resources, is available here</w:t>
        </w:r>
      </w:hyperlink>
      <w:r w:rsidR="00CB7F7C">
        <w:t xml:space="preserve">. </w:t>
      </w:r>
    </w:p>
    <w:p w14:paraId="6DFC288E" w14:textId="152C7E3B" w:rsidR="00BF252C" w:rsidRPr="00EE7E3F" w:rsidRDefault="00BF252C" w:rsidP="00EE7E3F">
      <w:r>
        <w:t>Author: KSC</w:t>
      </w:r>
    </w:p>
    <w:p w14:paraId="50D46730" w14:textId="12E90CC5" w:rsidR="00ED50CD" w:rsidRDefault="00ED50CD" w:rsidP="00ED50CD">
      <w:pPr>
        <w:pStyle w:val="Heading2"/>
      </w:pPr>
      <w:bookmarkStart w:id="22" w:name="_Toc166832786"/>
      <w:r>
        <w:t>Reports</w:t>
      </w:r>
      <w:bookmarkEnd w:id="22"/>
    </w:p>
    <w:p w14:paraId="1B4C7AAB" w14:textId="64215809" w:rsidR="00ED50CD" w:rsidRDefault="004F77A3" w:rsidP="00ED50CD">
      <w:pPr>
        <w:pStyle w:val="Heading3"/>
      </w:pPr>
      <w:bookmarkStart w:id="23" w:name="_Toc166832787"/>
      <w:r>
        <w:t>GAO Says Title IX Oversight Too Lax</w:t>
      </w:r>
      <w:bookmarkEnd w:id="23"/>
    </w:p>
    <w:p w14:paraId="46F58BFE" w14:textId="77777777" w:rsidR="00DA1056" w:rsidRPr="00A22276" w:rsidRDefault="00DA1056" w:rsidP="00DA1056">
      <w:pPr>
        <w:rPr>
          <w:rFonts w:cs="Arial"/>
          <w:szCs w:val="24"/>
        </w:rPr>
      </w:pPr>
      <w:r w:rsidRPr="00A22276">
        <w:rPr>
          <w:rFonts w:cs="Arial"/>
          <w:szCs w:val="24"/>
        </w:rPr>
        <w:t xml:space="preserve">In a report issued last month, the U.S. Government Accountability Office (GAO) criticized </w:t>
      </w:r>
      <w:r w:rsidRPr="00A22276">
        <w:rPr>
          <w:rFonts w:cs="Arial"/>
          <w:szCs w:val="24"/>
        </w:rPr>
        <w:lastRenderedPageBreak/>
        <w:t>the U.S. Department of Education (ED) and what it considered insufficient enforcement of Title IX of the Education Amendments of 1972 when it comes to college athletics.</w:t>
      </w:r>
    </w:p>
    <w:p w14:paraId="55085EFF" w14:textId="7C3D4023" w:rsidR="00DA1056" w:rsidRPr="00A22276" w:rsidRDefault="00DA1056" w:rsidP="00DA1056">
      <w:pPr>
        <w:rPr>
          <w:rFonts w:cs="Arial"/>
          <w:szCs w:val="24"/>
        </w:rPr>
      </w:pPr>
      <w:r w:rsidRPr="00A22276">
        <w:rPr>
          <w:rFonts w:cs="Arial"/>
          <w:szCs w:val="24"/>
        </w:rPr>
        <w:t>The report notes that it is ED’s responsibility to enforce Title IX and ensure that schools a</w:t>
      </w:r>
      <w:r w:rsidR="00BF252C">
        <w:rPr>
          <w:rFonts w:cs="Arial"/>
          <w:szCs w:val="24"/>
        </w:rPr>
        <w:t>nd</w:t>
      </w:r>
      <w:r w:rsidRPr="00A22276">
        <w:rPr>
          <w:rFonts w:cs="Arial"/>
          <w:szCs w:val="24"/>
        </w:rPr>
        <w:t xml:space="preserve"> colleges are meeting the requirements of the law.  ED’s </w:t>
      </w:r>
      <w:r w:rsidR="00BF252C">
        <w:rPr>
          <w:rFonts w:cs="Arial"/>
          <w:szCs w:val="24"/>
        </w:rPr>
        <w:t>O</w:t>
      </w:r>
      <w:r w:rsidRPr="00A22276">
        <w:rPr>
          <w:rFonts w:cs="Arial"/>
          <w:szCs w:val="24"/>
        </w:rPr>
        <w:t>ffice for Civil Rights (OCR) uses data on athletics scholarship</w:t>
      </w:r>
      <w:r w:rsidR="008F42AE">
        <w:rPr>
          <w:rFonts w:cs="Arial"/>
          <w:szCs w:val="24"/>
        </w:rPr>
        <w:t>s</w:t>
      </w:r>
      <w:r w:rsidRPr="00A22276">
        <w:rPr>
          <w:rFonts w:cs="Arial"/>
          <w:szCs w:val="24"/>
        </w:rPr>
        <w:t xml:space="preserve"> and participation to help select colleges for some athletics reviews</w:t>
      </w:r>
      <w:r w:rsidR="00C44202">
        <w:rPr>
          <w:rFonts w:cs="Arial"/>
          <w:szCs w:val="24"/>
        </w:rPr>
        <w:t xml:space="preserve"> it conducts</w:t>
      </w:r>
      <w:r w:rsidRPr="00A22276">
        <w:rPr>
          <w:rFonts w:cs="Arial"/>
          <w:szCs w:val="24"/>
        </w:rPr>
        <w:t xml:space="preserve">.  However, GAO noted data which show that the athletic participation rate for women overall was 14 percentage points lower than college enrollment rates in 2021-2022, and that the number of women’s sports offered at many colleges had </w:t>
      </w:r>
      <w:proofErr w:type="gramStart"/>
      <w:r w:rsidRPr="00A22276">
        <w:rPr>
          <w:rFonts w:cs="Arial"/>
          <w:szCs w:val="24"/>
        </w:rPr>
        <w:t>actually decreased</w:t>
      </w:r>
      <w:proofErr w:type="gramEnd"/>
      <w:r w:rsidRPr="00A22276">
        <w:rPr>
          <w:rFonts w:cs="Arial"/>
          <w:szCs w:val="24"/>
        </w:rPr>
        <w:t xml:space="preserve"> in the last ten years.  GAO argued that given these numbers OCR should be conducting a greater number of investigations to ensure that all students have equitable opportunities to participate in athletics programs.</w:t>
      </w:r>
    </w:p>
    <w:p w14:paraId="3D3140AB" w14:textId="454FEEF8" w:rsidR="00DA1056" w:rsidRPr="00A22276" w:rsidRDefault="00DA1056" w:rsidP="00DA1056">
      <w:pPr>
        <w:rPr>
          <w:rFonts w:cs="Arial"/>
          <w:szCs w:val="24"/>
        </w:rPr>
      </w:pPr>
      <w:r w:rsidRPr="00A22276">
        <w:rPr>
          <w:rFonts w:cs="Arial"/>
          <w:szCs w:val="24"/>
        </w:rPr>
        <w:t xml:space="preserve">In reviewing 26 cases where OCR obtained agreements from colleges to address compliance issues, GAO found significant delays in responding to those complaints.  In </w:t>
      </w:r>
      <w:r w:rsidR="00664136">
        <w:rPr>
          <w:rFonts w:cs="Arial"/>
          <w:szCs w:val="24"/>
        </w:rPr>
        <w:t>10</w:t>
      </w:r>
      <w:r w:rsidRPr="00A22276">
        <w:rPr>
          <w:rFonts w:cs="Arial"/>
          <w:szCs w:val="24"/>
        </w:rPr>
        <w:t xml:space="preserve"> of the cases, ED took more than a year to review and approve college plans for improving their Title IX policies and procedures.  In five cases, OCR did not communicate to colleges about their plans for </w:t>
      </w:r>
      <w:r w:rsidR="00664136">
        <w:rPr>
          <w:rFonts w:cs="Arial"/>
          <w:szCs w:val="24"/>
        </w:rPr>
        <w:t>five</w:t>
      </w:r>
      <w:r w:rsidRPr="00A22276">
        <w:rPr>
          <w:rFonts w:cs="Arial"/>
          <w:szCs w:val="24"/>
        </w:rPr>
        <w:t xml:space="preserve"> years or more.  OCR does not require staff to create or record due dates for responding to colleges they monitor, and that information is often</w:t>
      </w:r>
      <w:r w:rsidR="00F31BBE">
        <w:rPr>
          <w:rFonts w:cs="Arial"/>
          <w:szCs w:val="24"/>
        </w:rPr>
        <w:t xml:space="preserve"> not</w:t>
      </w:r>
      <w:r w:rsidRPr="00A22276">
        <w:rPr>
          <w:rFonts w:cs="Arial"/>
          <w:szCs w:val="24"/>
        </w:rPr>
        <w:t xml:space="preserve"> entered into OCR’s management system.  Given these shortfalls, GAO recommends that OCR improve its oversight and monitoring policies, establishing timeliness goals</w:t>
      </w:r>
      <w:r w:rsidR="00BF252C">
        <w:rPr>
          <w:rFonts w:cs="Arial"/>
          <w:szCs w:val="24"/>
        </w:rPr>
        <w:t>,</w:t>
      </w:r>
      <w:r w:rsidRPr="00A22276">
        <w:rPr>
          <w:rFonts w:cs="Arial"/>
          <w:szCs w:val="24"/>
        </w:rPr>
        <w:t xml:space="preserve"> and expand the use of data for oversight.</w:t>
      </w:r>
    </w:p>
    <w:p w14:paraId="258AA668" w14:textId="50890487" w:rsidR="00DA1056" w:rsidRPr="00A22276" w:rsidRDefault="00DA1056" w:rsidP="00DA1056">
      <w:pPr>
        <w:rPr>
          <w:rFonts w:cs="Arial"/>
          <w:szCs w:val="24"/>
        </w:rPr>
      </w:pPr>
      <w:r w:rsidRPr="00A22276">
        <w:rPr>
          <w:rFonts w:cs="Arial"/>
          <w:szCs w:val="24"/>
        </w:rPr>
        <w:t xml:space="preserve">Funding for OCR and Title IX investigations has been a controversial issue in Congress as ED has recently published new regulations on discrimination under Title IX which indicate that schools and colleges must accommodate transgender students in locker rooms or bathrooms that align with their gender identity. </w:t>
      </w:r>
      <w:r w:rsidR="001F755D">
        <w:rPr>
          <w:rFonts w:cs="Arial"/>
          <w:szCs w:val="24"/>
        </w:rPr>
        <w:t xml:space="preserve"> </w:t>
      </w:r>
      <w:r w:rsidRPr="00A22276">
        <w:rPr>
          <w:rFonts w:cs="Arial"/>
          <w:szCs w:val="24"/>
        </w:rPr>
        <w:t>A rule specific to discrimination in athletics was published in draft form last year and ED has said it plans to issue that rule soon.</w:t>
      </w:r>
    </w:p>
    <w:p w14:paraId="531EA5CB" w14:textId="059686EE" w:rsidR="00DA1056" w:rsidRPr="00A22276" w:rsidRDefault="00754D3E" w:rsidP="00DA1056">
      <w:pPr>
        <w:rPr>
          <w:rFonts w:cs="Arial"/>
          <w:szCs w:val="24"/>
        </w:rPr>
      </w:pPr>
      <w:hyperlink r:id="rId11" w:history="1">
        <w:r w:rsidR="00DA1056" w:rsidRPr="00D637EC">
          <w:rPr>
            <w:rStyle w:val="Hyperlink"/>
            <w:rFonts w:cs="Arial"/>
            <w:szCs w:val="24"/>
          </w:rPr>
          <w:t>The full GAO report is available here</w:t>
        </w:r>
      </w:hyperlink>
      <w:r w:rsidR="00DA1056" w:rsidRPr="00E50ADF">
        <w:rPr>
          <w:rFonts w:cs="Arial"/>
          <w:szCs w:val="24"/>
        </w:rPr>
        <w:t>.</w:t>
      </w:r>
    </w:p>
    <w:p w14:paraId="70675207" w14:textId="7DB3B194" w:rsidR="004F77A3" w:rsidRPr="00DA1056" w:rsidRDefault="00DA1056" w:rsidP="004F77A3">
      <w:pPr>
        <w:rPr>
          <w:rFonts w:cs="Arial"/>
          <w:szCs w:val="24"/>
        </w:rPr>
      </w:pPr>
      <w:r w:rsidRPr="00A22276">
        <w:rPr>
          <w:rFonts w:cs="Arial"/>
          <w:szCs w:val="24"/>
        </w:rPr>
        <w:t>Author: JCM</w:t>
      </w:r>
    </w:p>
    <w:bookmarkEnd w:id="6"/>
    <w:bookmarkEnd w:id="7"/>
    <w:bookmarkEnd w:id="8"/>
    <w:bookmarkEnd w:id="9"/>
    <w:bookmarkEnd w:id="16"/>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34C3843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3D5FEA">
        <w:rPr>
          <w:rFonts w:eastAsia="Times New Roman" w:cs="Arial"/>
          <w:szCs w:val="24"/>
        </w:rPr>
        <w:t xml:space="preserve">Julia Martin, </w:t>
      </w:r>
      <w:r w:rsidR="00944CAF">
        <w:rPr>
          <w:rFonts w:eastAsia="Times New Roman" w:cs="Arial"/>
          <w:szCs w:val="24"/>
        </w:rPr>
        <w:t>Kelly Christiansen</w:t>
      </w:r>
      <w:r w:rsidR="00861813">
        <w:rPr>
          <w:rFonts w:eastAsia="Times New Roman" w:cs="Arial"/>
          <w:szCs w:val="24"/>
        </w:rPr>
        <w:t>, Brandi Tennant Wills</w:t>
      </w:r>
    </w:p>
    <w:p w14:paraId="1EAF9AA0" w14:textId="77777777" w:rsidR="008F1C84" w:rsidRPr="003D7BE9" w:rsidRDefault="008F1C84" w:rsidP="008F1C84">
      <w:pPr>
        <w:spacing w:before="240" w:after="240"/>
        <w:rPr>
          <w:rFonts w:eastAsia="Times New Roman" w:cs="Arial"/>
          <w:szCs w:val="24"/>
        </w:rPr>
      </w:pPr>
      <w:bookmarkStart w:id="24" w:name="_Hlk159491581"/>
      <w:r>
        <w:t xml:space="preserve">Posted by the California Department of Education, </w:t>
      </w:r>
      <w:bookmarkEnd w:id="24"/>
      <w:r>
        <w:t>May 2024</w:t>
      </w:r>
    </w:p>
    <w:p w14:paraId="54F38E86" w14:textId="77777777" w:rsidR="008F1C84" w:rsidRPr="003D7BE9" w:rsidRDefault="008F1C84" w:rsidP="003D7BE9">
      <w:pPr>
        <w:spacing w:before="240" w:after="240"/>
        <w:rPr>
          <w:rFonts w:eastAsia="Times New Roman" w:cs="Arial"/>
          <w:szCs w:val="24"/>
        </w:rPr>
      </w:pPr>
    </w:p>
    <w:sectPr w:rsidR="008F1C84" w:rsidRPr="003D7BE9" w:rsidSect="008C514B">
      <w:headerReference w:type="default" r:id="rId12"/>
      <w:footerReference w:type="defaul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04AD0" w14:textId="77777777" w:rsidR="00A367BF" w:rsidRDefault="00A367BF">
      <w:pPr>
        <w:spacing w:before="0" w:after="0"/>
      </w:pPr>
      <w:r>
        <w:separator/>
      </w:r>
    </w:p>
  </w:endnote>
  <w:endnote w:type="continuationSeparator" w:id="0">
    <w:p w14:paraId="4D6A6C89" w14:textId="77777777" w:rsidR="00A367BF" w:rsidRDefault="00A367BF">
      <w:pPr>
        <w:spacing w:before="0" w:after="0"/>
      </w:pPr>
      <w:r>
        <w:continuationSeparator/>
      </w:r>
    </w:p>
  </w:endnote>
  <w:endnote w:type="continuationNotice" w:id="1">
    <w:p w14:paraId="5ACCA622" w14:textId="77777777" w:rsidR="00A367BF" w:rsidRDefault="00A367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754D3E">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0A0CB" w14:textId="77777777" w:rsidR="00A367BF" w:rsidRDefault="00A367BF">
      <w:pPr>
        <w:spacing w:before="0" w:after="0"/>
      </w:pPr>
      <w:r>
        <w:separator/>
      </w:r>
    </w:p>
  </w:footnote>
  <w:footnote w:type="continuationSeparator" w:id="0">
    <w:p w14:paraId="428D4E17" w14:textId="77777777" w:rsidR="00A367BF" w:rsidRDefault="00A367BF">
      <w:pPr>
        <w:spacing w:before="0" w:after="0"/>
      </w:pPr>
      <w:r>
        <w:continuationSeparator/>
      </w:r>
    </w:p>
  </w:footnote>
  <w:footnote w:type="continuationNotice" w:id="1">
    <w:p w14:paraId="20297157" w14:textId="77777777" w:rsidR="00A367BF" w:rsidRDefault="00A367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BB0FB19" w:rsidR="003C7552" w:rsidRPr="00662BDC" w:rsidRDefault="007B6362" w:rsidP="000A590A">
    <w:pPr>
      <w:pStyle w:val="NoSpacing"/>
      <w:tabs>
        <w:tab w:val="left" w:pos="7920"/>
      </w:tabs>
    </w:pPr>
    <w:r>
      <w:t>May 1</w:t>
    </w:r>
    <w:r w:rsidR="00C71873">
      <w:t>7</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750895">
    <w:abstractNumId w:val="1"/>
  </w:num>
  <w:num w:numId="2" w16cid:durableId="566233627">
    <w:abstractNumId w:val="10"/>
  </w:num>
  <w:num w:numId="3" w16cid:durableId="24596301">
    <w:abstractNumId w:val="11"/>
  </w:num>
  <w:num w:numId="4" w16cid:durableId="530075878">
    <w:abstractNumId w:val="12"/>
  </w:num>
  <w:num w:numId="5" w16cid:durableId="73940928">
    <w:abstractNumId w:val="13"/>
  </w:num>
  <w:num w:numId="6" w16cid:durableId="1745569920">
    <w:abstractNumId w:val="2"/>
  </w:num>
  <w:num w:numId="7" w16cid:durableId="1367566206">
    <w:abstractNumId w:val="8"/>
  </w:num>
  <w:num w:numId="8" w16cid:durableId="1510560902">
    <w:abstractNumId w:val="7"/>
  </w:num>
  <w:num w:numId="9" w16cid:durableId="2028628896">
    <w:abstractNumId w:val="5"/>
  </w:num>
  <w:num w:numId="10" w16cid:durableId="1279137944">
    <w:abstractNumId w:val="4"/>
  </w:num>
  <w:num w:numId="11" w16cid:durableId="1458178264">
    <w:abstractNumId w:val="0"/>
  </w:num>
  <w:num w:numId="12" w16cid:durableId="260379428">
    <w:abstractNumId w:val="9"/>
  </w:num>
  <w:num w:numId="13" w16cid:durableId="1522356226">
    <w:abstractNumId w:val="6"/>
  </w:num>
  <w:num w:numId="14" w16cid:durableId="522591220">
    <w:abstractNumId w:val="3"/>
  </w:num>
  <w:num w:numId="15" w16cid:durableId="15145640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47E"/>
    <w:rsid w:val="000218AB"/>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228"/>
    <w:rsid w:val="0003654C"/>
    <w:rsid w:val="00036551"/>
    <w:rsid w:val="00036F11"/>
    <w:rsid w:val="00036FD8"/>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2AC"/>
    <w:rsid w:val="00074DD8"/>
    <w:rsid w:val="00074F7F"/>
    <w:rsid w:val="00074FBD"/>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42CA"/>
    <w:rsid w:val="000B4DA9"/>
    <w:rsid w:val="000B4F3B"/>
    <w:rsid w:val="000B54E5"/>
    <w:rsid w:val="000B5AEC"/>
    <w:rsid w:val="000B67AD"/>
    <w:rsid w:val="000B694B"/>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7447"/>
    <w:rsid w:val="000D7843"/>
    <w:rsid w:val="000D7FEF"/>
    <w:rsid w:val="000E01A5"/>
    <w:rsid w:val="000E0C89"/>
    <w:rsid w:val="000E1449"/>
    <w:rsid w:val="000E1A8A"/>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992"/>
    <w:rsid w:val="000E626C"/>
    <w:rsid w:val="000E6FC0"/>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E70"/>
    <w:rsid w:val="00105F37"/>
    <w:rsid w:val="00106461"/>
    <w:rsid w:val="00106A74"/>
    <w:rsid w:val="00106DAA"/>
    <w:rsid w:val="00107129"/>
    <w:rsid w:val="00107217"/>
    <w:rsid w:val="00107304"/>
    <w:rsid w:val="001076CB"/>
    <w:rsid w:val="0011067A"/>
    <w:rsid w:val="001108A8"/>
    <w:rsid w:val="001118B2"/>
    <w:rsid w:val="00112709"/>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20195"/>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3D0"/>
    <w:rsid w:val="00197ABE"/>
    <w:rsid w:val="00197BDC"/>
    <w:rsid w:val="00197D8D"/>
    <w:rsid w:val="001A086D"/>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48C"/>
    <w:rsid w:val="001D37A2"/>
    <w:rsid w:val="001D38BE"/>
    <w:rsid w:val="001D3D54"/>
    <w:rsid w:val="001D5966"/>
    <w:rsid w:val="001D5D51"/>
    <w:rsid w:val="001D5F42"/>
    <w:rsid w:val="001D611E"/>
    <w:rsid w:val="001D63E9"/>
    <w:rsid w:val="001D706C"/>
    <w:rsid w:val="001E0665"/>
    <w:rsid w:val="001E0F22"/>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55D"/>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313"/>
    <w:rsid w:val="002077EC"/>
    <w:rsid w:val="00211CBE"/>
    <w:rsid w:val="00212192"/>
    <w:rsid w:val="0021231A"/>
    <w:rsid w:val="00212327"/>
    <w:rsid w:val="00212FA0"/>
    <w:rsid w:val="00213463"/>
    <w:rsid w:val="002135BB"/>
    <w:rsid w:val="00213D37"/>
    <w:rsid w:val="00214501"/>
    <w:rsid w:val="0021464D"/>
    <w:rsid w:val="002148AB"/>
    <w:rsid w:val="002148D2"/>
    <w:rsid w:val="00215847"/>
    <w:rsid w:val="00215C72"/>
    <w:rsid w:val="00217869"/>
    <w:rsid w:val="002178C3"/>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EB0"/>
    <w:rsid w:val="0024449A"/>
    <w:rsid w:val="0024486D"/>
    <w:rsid w:val="00244B37"/>
    <w:rsid w:val="00245102"/>
    <w:rsid w:val="002451EE"/>
    <w:rsid w:val="00245D0C"/>
    <w:rsid w:val="002467D3"/>
    <w:rsid w:val="0024687F"/>
    <w:rsid w:val="0024704A"/>
    <w:rsid w:val="00247462"/>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97"/>
    <w:rsid w:val="00277A18"/>
    <w:rsid w:val="00277D86"/>
    <w:rsid w:val="002808DA"/>
    <w:rsid w:val="00282317"/>
    <w:rsid w:val="0028282A"/>
    <w:rsid w:val="002828E1"/>
    <w:rsid w:val="00282A68"/>
    <w:rsid w:val="00282AAA"/>
    <w:rsid w:val="00282D63"/>
    <w:rsid w:val="00282E9E"/>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2B44"/>
    <w:rsid w:val="00292B89"/>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50"/>
    <w:rsid w:val="002A2263"/>
    <w:rsid w:val="002A249C"/>
    <w:rsid w:val="002A52C6"/>
    <w:rsid w:val="002A597D"/>
    <w:rsid w:val="002A5CB8"/>
    <w:rsid w:val="002A6033"/>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2C9"/>
    <w:rsid w:val="002C633B"/>
    <w:rsid w:val="002C6356"/>
    <w:rsid w:val="002C6512"/>
    <w:rsid w:val="002C6F25"/>
    <w:rsid w:val="002C6FEE"/>
    <w:rsid w:val="002C7664"/>
    <w:rsid w:val="002D03E0"/>
    <w:rsid w:val="002D06DF"/>
    <w:rsid w:val="002D1049"/>
    <w:rsid w:val="002D1B95"/>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0B16"/>
    <w:rsid w:val="00312678"/>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10C"/>
    <w:rsid w:val="0033423C"/>
    <w:rsid w:val="00336532"/>
    <w:rsid w:val="003365D6"/>
    <w:rsid w:val="00336976"/>
    <w:rsid w:val="0033719E"/>
    <w:rsid w:val="00337C37"/>
    <w:rsid w:val="00337CE2"/>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108"/>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95"/>
    <w:rsid w:val="003654D3"/>
    <w:rsid w:val="00365AD0"/>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09B6"/>
    <w:rsid w:val="00381DFE"/>
    <w:rsid w:val="00382236"/>
    <w:rsid w:val="0038286F"/>
    <w:rsid w:val="003844B3"/>
    <w:rsid w:val="00384A39"/>
    <w:rsid w:val="00384B3B"/>
    <w:rsid w:val="003859D6"/>
    <w:rsid w:val="00385DC2"/>
    <w:rsid w:val="0038606C"/>
    <w:rsid w:val="0038607C"/>
    <w:rsid w:val="00386112"/>
    <w:rsid w:val="0038643F"/>
    <w:rsid w:val="00386A86"/>
    <w:rsid w:val="00386B98"/>
    <w:rsid w:val="00386C3C"/>
    <w:rsid w:val="00386DDB"/>
    <w:rsid w:val="00387788"/>
    <w:rsid w:val="003916F7"/>
    <w:rsid w:val="003918BB"/>
    <w:rsid w:val="00391B69"/>
    <w:rsid w:val="00391C56"/>
    <w:rsid w:val="00391DC9"/>
    <w:rsid w:val="003929AC"/>
    <w:rsid w:val="0039442C"/>
    <w:rsid w:val="00394ECC"/>
    <w:rsid w:val="00396888"/>
    <w:rsid w:val="00396F70"/>
    <w:rsid w:val="0039734F"/>
    <w:rsid w:val="003973C1"/>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5C1"/>
    <w:rsid w:val="003B18E4"/>
    <w:rsid w:val="003B214F"/>
    <w:rsid w:val="003B2CF0"/>
    <w:rsid w:val="003B3FC4"/>
    <w:rsid w:val="003B4971"/>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A4"/>
    <w:rsid w:val="003D3BF6"/>
    <w:rsid w:val="003D458D"/>
    <w:rsid w:val="003D47C8"/>
    <w:rsid w:val="003D4C95"/>
    <w:rsid w:val="003D5FEA"/>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5569"/>
    <w:rsid w:val="003E625A"/>
    <w:rsid w:val="003E6288"/>
    <w:rsid w:val="003E66A4"/>
    <w:rsid w:val="003E6883"/>
    <w:rsid w:val="003E6C6E"/>
    <w:rsid w:val="003E6C86"/>
    <w:rsid w:val="003E75BA"/>
    <w:rsid w:val="003E77A1"/>
    <w:rsid w:val="003E77AA"/>
    <w:rsid w:val="003E7991"/>
    <w:rsid w:val="003E7D11"/>
    <w:rsid w:val="003F12FB"/>
    <w:rsid w:val="003F1343"/>
    <w:rsid w:val="003F147C"/>
    <w:rsid w:val="003F15E8"/>
    <w:rsid w:val="003F26B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A0"/>
    <w:rsid w:val="0041664D"/>
    <w:rsid w:val="004166DE"/>
    <w:rsid w:val="00416AB1"/>
    <w:rsid w:val="004174D4"/>
    <w:rsid w:val="004177D5"/>
    <w:rsid w:val="00417AA8"/>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27FDF"/>
    <w:rsid w:val="00430C35"/>
    <w:rsid w:val="00431120"/>
    <w:rsid w:val="004314A4"/>
    <w:rsid w:val="004315FD"/>
    <w:rsid w:val="00431765"/>
    <w:rsid w:val="00431AF0"/>
    <w:rsid w:val="00432923"/>
    <w:rsid w:val="00432A6D"/>
    <w:rsid w:val="00433579"/>
    <w:rsid w:val="00433645"/>
    <w:rsid w:val="00433B0D"/>
    <w:rsid w:val="00434262"/>
    <w:rsid w:val="00434863"/>
    <w:rsid w:val="004350CA"/>
    <w:rsid w:val="004351A4"/>
    <w:rsid w:val="00435BC0"/>
    <w:rsid w:val="00436C26"/>
    <w:rsid w:val="0043752C"/>
    <w:rsid w:val="00437C4A"/>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4232"/>
    <w:rsid w:val="00454A7A"/>
    <w:rsid w:val="00454E5B"/>
    <w:rsid w:val="00454FF1"/>
    <w:rsid w:val="00455448"/>
    <w:rsid w:val="004563BD"/>
    <w:rsid w:val="0045679B"/>
    <w:rsid w:val="00456AF3"/>
    <w:rsid w:val="00456BA9"/>
    <w:rsid w:val="00456F7B"/>
    <w:rsid w:val="004575F2"/>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3BF"/>
    <w:rsid w:val="00465CD6"/>
    <w:rsid w:val="00465EB5"/>
    <w:rsid w:val="00467311"/>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6C5"/>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57"/>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139D"/>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3910"/>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208B"/>
    <w:rsid w:val="0050294B"/>
    <w:rsid w:val="00502A25"/>
    <w:rsid w:val="005035D9"/>
    <w:rsid w:val="00503AD9"/>
    <w:rsid w:val="00503BC8"/>
    <w:rsid w:val="00504ABB"/>
    <w:rsid w:val="00504D6D"/>
    <w:rsid w:val="00506294"/>
    <w:rsid w:val="00506782"/>
    <w:rsid w:val="00507743"/>
    <w:rsid w:val="00507BA3"/>
    <w:rsid w:val="005102F8"/>
    <w:rsid w:val="005117FC"/>
    <w:rsid w:val="00511ABC"/>
    <w:rsid w:val="0051214A"/>
    <w:rsid w:val="00513AE4"/>
    <w:rsid w:val="0051406D"/>
    <w:rsid w:val="00514315"/>
    <w:rsid w:val="00514C23"/>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0A8B"/>
    <w:rsid w:val="00570CED"/>
    <w:rsid w:val="005711BE"/>
    <w:rsid w:val="0057236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357"/>
    <w:rsid w:val="00593ECE"/>
    <w:rsid w:val="00594108"/>
    <w:rsid w:val="00594261"/>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5C9B"/>
    <w:rsid w:val="005C61DD"/>
    <w:rsid w:val="005C6393"/>
    <w:rsid w:val="005C7326"/>
    <w:rsid w:val="005C77AB"/>
    <w:rsid w:val="005C79AD"/>
    <w:rsid w:val="005D00D3"/>
    <w:rsid w:val="005D0345"/>
    <w:rsid w:val="005D0CD6"/>
    <w:rsid w:val="005D127E"/>
    <w:rsid w:val="005D12A4"/>
    <w:rsid w:val="005D1736"/>
    <w:rsid w:val="005D2470"/>
    <w:rsid w:val="005D28A8"/>
    <w:rsid w:val="005D29F7"/>
    <w:rsid w:val="005D2AF2"/>
    <w:rsid w:val="005D3388"/>
    <w:rsid w:val="005D36C3"/>
    <w:rsid w:val="005D3FF9"/>
    <w:rsid w:val="005D4843"/>
    <w:rsid w:val="005D564B"/>
    <w:rsid w:val="005D5BE6"/>
    <w:rsid w:val="005D618F"/>
    <w:rsid w:val="005D64AF"/>
    <w:rsid w:val="005D661F"/>
    <w:rsid w:val="005D6732"/>
    <w:rsid w:val="005E0364"/>
    <w:rsid w:val="005E0800"/>
    <w:rsid w:val="005E0CCF"/>
    <w:rsid w:val="005E0FAC"/>
    <w:rsid w:val="005E1F2B"/>
    <w:rsid w:val="005E1FC7"/>
    <w:rsid w:val="005E49B8"/>
    <w:rsid w:val="005E4A28"/>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9CA"/>
    <w:rsid w:val="006425D5"/>
    <w:rsid w:val="006427CF"/>
    <w:rsid w:val="00643730"/>
    <w:rsid w:val="00643A94"/>
    <w:rsid w:val="00644053"/>
    <w:rsid w:val="006441B0"/>
    <w:rsid w:val="006445B8"/>
    <w:rsid w:val="006449C8"/>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603"/>
    <w:rsid w:val="00654378"/>
    <w:rsid w:val="006544A3"/>
    <w:rsid w:val="006544CD"/>
    <w:rsid w:val="00654B08"/>
    <w:rsid w:val="00654C5E"/>
    <w:rsid w:val="0065614D"/>
    <w:rsid w:val="00657097"/>
    <w:rsid w:val="00657FFC"/>
    <w:rsid w:val="006602CF"/>
    <w:rsid w:val="006603A5"/>
    <w:rsid w:val="00660412"/>
    <w:rsid w:val="00660F6C"/>
    <w:rsid w:val="00661A83"/>
    <w:rsid w:val="00661D78"/>
    <w:rsid w:val="00662681"/>
    <w:rsid w:val="00662BDC"/>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6DB3"/>
    <w:rsid w:val="006774FD"/>
    <w:rsid w:val="006775E5"/>
    <w:rsid w:val="00677A59"/>
    <w:rsid w:val="00680208"/>
    <w:rsid w:val="00680AF1"/>
    <w:rsid w:val="00681CD8"/>
    <w:rsid w:val="0068222C"/>
    <w:rsid w:val="006824EF"/>
    <w:rsid w:val="006829EB"/>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6C2"/>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917"/>
    <w:rsid w:val="006D2E06"/>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3467"/>
    <w:rsid w:val="006F420B"/>
    <w:rsid w:val="006F47EE"/>
    <w:rsid w:val="006F4BB2"/>
    <w:rsid w:val="006F504A"/>
    <w:rsid w:val="006F540E"/>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6C30"/>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2C3E"/>
    <w:rsid w:val="00753226"/>
    <w:rsid w:val="00754D3E"/>
    <w:rsid w:val="00755287"/>
    <w:rsid w:val="0075536B"/>
    <w:rsid w:val="007554F1"/>
    <w:rsid w:val="007559F6"/>
    <w:rsid w:val="00755C07"/>
    <w:rsid w:val="00755D96"/>
    <w:rsid w:val="00756009"/>
    <w:rsid w:val="00756437"/>
    <w:rsid w:val="007566A5"/>
    <w:rsid w:val="0075675F"/>
    <w:rsid w:val="00756806"/>
    <w:rsid w:val="00756D2C"/>
    <w:rsid w:val="007572E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F86"/>
    <w:rsid w:val="00787EEF"/>
    <w:rsid w:val="007926C1"/>
    <w:rsid w:val="00792EFB"/>
    <w:rsid w:val="00793312"/>
    <w:rsid w:val="007947DD"/>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558F"/>
    <w:rsid w:val="007A62F0"/>
    <w:rsid w:val="007A6438"/>
    <w:rsid w:val="007A664A"/>
    <w:rsid w:val="007A790B"/>
    <w:rsid w:val="007A7B10"/>
    <w:rsid w:val="007B027A"/>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6F5E"/>
    <w:rsid w:val="007D7431"/>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3D3"/>
    <w:rsid w:val="00841A39"/>
    <w:rsid w:val="00841E4E"/>
    <w:rsid w:val="00841E99"/>
    <w:rsid w:val="008420EC"/>
    <w:rsid w:val="00842DC4"/>
    <w:rsid w:val="008437C2"/>
    <w:rsid w:val="00843B27"/>
    <w:rsid w:val="00843DED"/>
    <w:rsid w:val="00843E74"/>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0C5"/>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998"/>
    <w:rsid w:val="008720F6"/>
    <w:rsid w:val="008721B7"/>
    <w:rsid w:val="008728A4"/>
    <w:rsid w:val="008730BB"/>
    <w:rsid w:val="0087317D"/>
    <w:rsid w:val="008738BD"/>
    <w:rsid w:val="00873D07"/>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97FDA"/>
    <w:rsid w:val="008A041D"/>
    <w:rsid w:val="008A06BA"/>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4DE"/>
    <w:rsid w:val="008D7830"/>
    <w:rsid w:val="008D78AB"/>
    <w:rsid w:val="008D7C19"/>
    <w:rsid w:val="008E1034"/>
    <w:rsid w:val="008E16DE"/>
    <w:rsid w:val="008E21F2"/>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F032D"/>
    <w:rsid w:val="008F09D7"/>
    <w:rsid w:val="008F0AED"/>
    <w:rsid w:val="008F0B95"/>
    <w:rsid w:val="008F1C84"/>
    <w:rsid w:val="008F2235"/>
    <w:rsid w:val="008F2317"/>
    <w:rsid w:val="008F2EF7"/>
    <w:rsid w:val="008F32CF"/>
    <w:rsid w:val="008F37C1"/>
    <w:rsid w:val="008F3A95"/>
    <w:rsid w:val="008F3E77"/>
    <w:rsid w:val="008F42AE"/>
    <w:rsid w:val="008F4418"/>
    <w:rsid w:val="008F4772"/>
    <w:rsid w:val="008F48FB"/>
    <w:rsid w:val="008F5059"/>
    <w:rsid w:val="008F5255"/>
    <w:rsid w:val="008F59F7"/>
    <w:rsid w:val="008F5C60"/>
    <w:rsid w:val="008F69C9"/>
    <w:rsid w:val="008F6A0C"/>
    <w:rsid w:val="008F6DD0"/>
    <w:rsid w:val="008F6FE2"/>
    <w:rsid w:val="008F70F0"/>
    <w:rsid w:val="008F7290"/>
    <w:rsid w:val="008F7979"/>
    <w:rsid w:val="00900179"/>
    <w:rsid w:val="00900668"/>
    <w:rsid w:val="00900866"/>
    <w:rsid w:val="00901BB2"/>
    <w:rsid w:val="00902248"/>
    <w:rsid w:val="00902A6A"/>
    <w:rsid w:val="00902DBD"/>
    <w:rsid w:val="0090369C"/>
    <w:rsid w:val="009037BE"/>
    <w:rsid w:val="00903A97"/>
    <w:rsid w:val="00904447"/>
    <w:rsid w:val="00905566"/>
    <w:rsid w:val="0090666A"/>
    <w:rsid w:val="00906885"/>
    <w:rsid w:val="00906A59"/>
    <w:rsid w:val="00906AFE"/>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65AB"/>
    <w:rsid w:val="00927190"/>
    <w:rsid w:val="0092751C"/>
    <w:rsid w:val="00927557"/>
    <w:rsid w:val="0092760C"/>
    <w:rsid w:val="00927C48"/>
    <w:rsid w:val="00930FD5"/>
    <w:rsid w:val="00931539"/>
    <w:rsid w:val="00931A11"/>
    <w:rsid w:val="00931C79"/>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4E1F"/>
    <w:rsid w:val="009552A2"/>
    <w:rsid w:val="00955C10"/>
    <w:rsid w:val="00955D7D"/>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47D1"/>
    <w:rsid w:val="00984A98"/>
    <w:rsid w:val="00984F25"/>
    <w:rsid w:val="0098525C"/>
    <w:rsid w:val="00985821"/>
    <w:rsid w:val="00985C11"/>
    <w:rsid w:val="0098630A"/>
    <w:rsid w:val="00986BA9"/>
    <w:rsid w:val="00987504"/>
    <w:rsid w:val="00987740"/>
    <w:rsid w:val="00987ECC"/>
    <w:rsid w:val="00990115"/>
    <w:rsid w:val="009903A1"/>
    <w:rsid w:val="00990761"/>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105D"/>
    <w:rsid w:val="009B16D9"/>
    <w:rsid w:val="009B1E90"/>
    <w:rsid w:val="009B23E0"/>
    <w:rsid w:val="009B2937"/>
    <w:rsid w:val="009B2F22"/>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CE7"/>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D65"/>
    <w:rsid w:val="009D6ECA"/>
    <w:rsid w:val="009D78AF"/>
    <w:rsid w:val="009D7DC3"/>
    <w:rsid w:val="009E15A2"/>
    <w:rsid w:val="009E16B6"/>
    <w:rsid w:val="009E1DD8"/>
    <w:rsid w:val="009E1F60"/>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689"/>
    <w:rsid w:val="009F2F7A"/>
    <w:rsid w:val="009F39DE"/>
    <w:rsid w:val="009F3CDE"/>
    <w:rsid w:val="009F41B2"/>
    <w:rsid w:val="009F55A6"/>
    <w:rsid w:val="009F5CC6"/>
    <w:rsid w:val="009F65FD"/>
    <w:rsid w:val="009F6738"/>
    <w:rsid w:val="009F7528"/>
    <w:rsid w:val="00A00309"/>
    <w:rsid w:val="00A01E0D"/>
    <w:rsid w:val="00A01F4C"/>
    <w:rsid w:val="00A02074"/>
    <w:rsid w:val="00A02395"/>
    <w:rsid w:val="00A029BD"/>
    <w:rsid w:val="00A02CA8"/>
    <w:rsid w:val="00A03385"/>
    <w:rsid w:val="00A06F79"/>
    <w:rsid w:val="00A07336"/>
    <w:rsid w:val="00A07E61"/>
    <w:rsid w:val="00A07F2C"/>
    <w:rsid w:val="00A11FD7"/>
    <w:rsid w:val="00A13D46"/>
    <w:rsid w:val="00A14B70"/>
    <w:rsid w:val="00A14F5E"/>
    <w:rsid w:val="00A152A5"/>
    <w:rsid w:val="00A15438"/>
    <w:rsid w:val="00A1604A"/>
    <w:rsid w:val="00A16ACA"/>
    <w:rsid w:val="00A17983"/>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7AD"/>
    <w:rsid w:val="00A26CA2"/>
    <w:rsid w:val="00A26E1C"/>
    <w:rsid w:val="00A26E74"/>
    <w:rsid w:val="00A2715B"/>
    <w:rsid w:val="00A302F5"/>
    <w:rsid w:val="00A3060C"/>
    <w:rsid w:val="00A30BA9"/>
    <w:rsid w:val="00A30E8F"/>
    <w:rsid w:val="00A313B0"/>
    <w:rsid w:val="00A31766"/>
    <w:rsid w:val="00A31E8B"/>
    <w:rsid w:val="00A327FC"/>
    <w:rsid w:val="00A32A3B"/>
    <w:rsid w:val="00A33341"/>
    <w:rsid w:val="00A33521"/>
    <w:rsid w:val="00A342B2"/>
    <w:rsid w:val="00A34354"/>
    <w:rsid w:val="00A34928"/>
    <w:rsid w:val="00A34E14"/>
    <w:rsid w:val="00A352A8"/>
    <w:rsid w:val="00A35A89"/>
    <w:rsid w:val="00A367BF"/>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385E"/>
    <w:rsid w:val="00A44228"/>
    <w:rsid w:val="00A4434D"/>
    <w:rsid w:val="00A445FA"/>
    <w:rsid w:val="00A45798"/>
    <w:rsid w:val="00A45F6C"/>
    <w:rsid w:val="00A46094"/>
    <w:rsid w:val="00A460F3"/>
    <w:rsid w:val="00A461EF"/>
    <w:rsid w:val="00A46A05"/>
    <w:rsid w:val="00A471C1"/>
    <w:rsid w:val="00A477E9"/>
    <w:rsid w:val="00A500C3"/>
    <w:rsid w:val="00A500DE"/>
    <w:rsid w:val="00A50212"/>
    <w:rsid w:val="00A50F0F"/>
    <w:rsid w:val="00A51801"/>
    <w:rsid w:val="00A522C3"/>
    <w:rsid w:val="00A5401A"/>
    <w:rsid w:val="00A545C8"/>
    <w:rsid w:val="00A547A0"/>
    <w:rsid w:val="00A55810"/>
    <w:rsid w:val="00A55DE9"/>
    <w:rsid w:val="00A55F05"/>
    <w:rsid w:val="00A563BD"/>
    <w:rsid w:val="00A5721B"/>
    <w:rsid w:val="00A574FE"/>
    <w:rsid w:val="00A57D9F"/>
    <w:rsid w:val="00A603D1"/>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5CD4"/>
    <w:rsid w:val="00A75D63"/>
    <w:rsid w:val="00A7609A"/>
    <w:rsid w:val="00A76210"/>
    <w:rsid w:val="00A7646E"/>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A4C"/>
    <w:rsid w:val="00A95DB4"/>
    <w:rsid w:val="00A95F2D"/>
    <w:rsid w:val="00A9602C"/>
    <w:rsid w:val="00AA0F5B"/>
    <w:rsid w:val="00AA1BB2"/>
    <w:rsid w:val="00AA2244"/>
    <w:rsid w:val="00AA27B7"/>
    <w:rsid w:val="00AA27D2"/>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6A"/>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581"/>
    <w:rsid w:val="00B2058A"/>
    <w:rsid w:val="00B206FE"/>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56F6"/>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5A2"/>
    <w:rsid w:val="00B60D43"/>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B14"/>
    <w:rsid w:val="00B72939"/>
    <w:rsid w:val="00B72B54"/>
    <w:rsid w:val="00B72F6A"/>
    <w:rsid w:val="00B72FD9"/>
    <w:rsid w:val="00B73082"/>
    <w:rsid w:val="00B73D51"/>
    <w:rsid w:val="00B751AC"/>
    <w:rsid w:val="00B775F8"/>
    <w:rsid w:val="00B77C8A"/>
    <w:rsid w:val="00B77DC5"/>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1A5B"/>
    <w:rsid w:val="00B926AA"/>
    <w:rsid w:val="00B9298D"/>
    <w:rsid w:val="00B930FE"/>
    <w:rsid w:val="00B9319F"/>
    <w:rsid w:val="00B932CE"/>
    <w:rsid w:val="00B933E1"/>
    <w:rsid w:val="00B936AD"/>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4251"/>
    <w:rsid w:val="00BF4BD8"/>
    <w:rsid w:val="00BF4D18"/>
    <w:rsid w:val="00BF5AEA"/>
    <w:rsid w:val="00BF5C4D"/>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89"/>
    <w:rsid w:val="00C138EF"/>
    <w:rsid w:val="00C1393E"/>
    <w:rsid w:val="00C13992"/>
    <w:rsid w:val="00C13AC6"/>
    <w:rsid w:val="00C13E1E"/>
    <w:rsid w:val="00C145EB"/>
    <w:rsid w:val="00C14806"/>
    <w:rsid w:val="00C14B17"/>
    <w:rsid w:val="00C153C4"/>
    <w:rsid w:val="00C156B0"/>
    <w:rsid w:val="00C15A0F"/>
    <w:rsid w:val="00C15E97"/>
    <w:rsid w:val="00C16673"/>
    <w:rsid w:val="00C16C43"/>
    <w:rsid w:val="00C16E74"/>
    <w:rsid w:val="00C16E8E"/>
    <w:rsid w:val="00C16E94"/>
    <w:rsid w:val="00C1738E"/>
    <w:rsid w:val="00C17477"/>
    <w:rsid w:val="00C17E3C"/>
    <w:rsid w:val="00C2058F"/>
    <w:rsid w:val="00C208C9"/>
    <w:rsid w:val="00C217B1"/>
    <w:rsid w:val="00C224C5"/>
    <w:rsid w:val="00C23DD2"/>
    <w:rsid w:val="00C24AF8"/>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202"/>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0F4"/>
    <w:rsid w:val="00C655AF"/>
    <w:rsid w:val="00C661A7"/>
    <w:rsid w:val="00C66B45"/>
    <w:rsid w:val="00C66F0B"/>
    <w:rsid w:val="00C6771C"/>
    <w:rsid w:val="00C704E2"/>
    <w:rsid w:val="00C7083B"/>
    <w:rsid w:val="00C70BBB"/>
    <w:rsid w:val="00C70D17"/>
    <w:rsid w:val="00C714A4"/>
    <w:rsid w:val="00C71873"/>
    <w:rsid w:val="00C71EAA"/>
    <w:rsid w:val="00C729CD"/>
    <w:rsid w:val="00C72A69"/>
    <w:rsid w:val="00C72EA1"/>
    <w:rsid w:val="00C73294"/>
    <w:rsid w:val="00C73422"/>
    <w:rsid w:val="00C73AFD"/>
    <w:rsid w:val="00C75150"/>
    <w:rsid w:val="00C75154"/>
    <w:rsid w:val="00C753A0"/>
    <w:rsid w:val="00C757F0"/>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E4F"/>
    <w:rsid w:val="00CB7F7C"/>
    <w:rsid w:val="00CC011C"/>
    <w:rsid w:val="00CC1770"/>
    <w:rsid w:val="00CC1EEB"/>
    <w:rsid w:val="00CC2156"/>
    <w:rsid w:val="00CC2AEB"/>
    <w:rsid w:val="00CC3332"/>
    <w:rsid w:val="00CC338A"/>
    <w:rsid w:val="00CC3560"/>
    <w:rsid w:val="00CC3F22"/>
    <w:rsid w:val="00CC453E"/>
    <w:rsid w:val="00CC497D"/>
    <w:rsid w:val="00CC4FF2"/>
    <w:rsid w:val="00CC501D"/>
    <w:rsid w:val="00CC5164"/>
    <w:rsid w:val="00CC5170"/>
    <w:rsid w:val="00CC51DF"/>
    <w:rsid w:val="00CC569E"/>
    <w:rsid w:val="00CC6168"/>
    <w:rsid w:val="00CC6CAF"/>
    <w:rsid w:val="00CC784F"/>
    <w:rsid w:val="00CC78A3"/>
    <w:rsid w:val="00CC7AF4"/>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32AB"/>
    <w:rsid w:val="00CE48B9"/>
    <w:rsid w:val="00CE4E53"/>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B69"/>
    <w:rsid w:val="00D10DD0"/>
    <w:rsid w:val="00D11FFA"/>
    <w:rsid w:val="00D12A0D"/>
    <w:rsid w:val="00D12AA4"/>
    <w:rsid w:val="00D12C1D"/>
    <w:rsid w:val="00D13448"/>
    <w:rsid w:val="00D13E31"/>
    <w:rsid w:val="00D13F21"/>
    <w:rsid w:val="00D1404B"/>
    <w:rsid w:val="00D146D1"/>
    <w:rsid w:val="00D14719"/>
    <w:rsid w:val="00D149ED"/>
    <w:rsid w:val="00D14AA7"/>
    <w:rsid w:val="00D14E75"/>
    <w:rsid w:val="00D15037"/>
    <w:rsid w:val="00D151C7"/>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52FB"/>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4863"/>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4391"/>
    <w:rsid w:val="00D64455"/>
    <w:rsid w:val="00D65137"/>
    <w:rsid w:val="00D65927"/>
    <w:rsid w:val="00D6661F"/>
    <w:rsid w:val="00D66AE1"/>
    <w:rsid w:val="00D672A5"/>
    <w:rsid w:val="00D70FC9"/>
    <w:rsid w:val="00D71497"/>
    <w:rsid w:val="00D715CB"/>
    <w:rsid w:val="00D71A56"/>
    <w:rsid w:val="00D71F66"/>
    <w:rsid w:val="00D7261D"/>
    <w:rsid w:val="00D73430"/>
    <w:rsid w:val="00D739FC"/>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79"/>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56"/>
    <w:rsid w:val="00DA10BF"/>
    <w:rsid w:val="00DA1425"/>
    <w:rsid w:val="00DA2B55"/>
    <w:rsid w:val="00DA2C17"/>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58F"/>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D7"/>
    <w:rsid w:val="00DF51FA"/>
    <w:rsid w:val="00DF5272"/>
    <w:rsid w:val="00DF533B"/>
    <w:rsid w:val="00DF534D"/>
    <w:rsid w:val="00DF53D6"/>
    <w:rsid w:val="00DF5E31"/>
    <w:rsid w:val="00DF5EE1"/>
    <w:rsid w:val="00DF68B4"/>
    <w:rsid w:val="00DF76AA"/>
    <w:rsid w:val="00DF79EC"/>
    <w:rsid w:val="00E00A92"/>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59F"/>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6F"/>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3169"/>
    <w:rsid w:val="00EA3664"/>
    <w:rsid w:val="00EA3EF7"/>
    <w:rsid w:val="00EA4E2B"/>
    <w:rsid w:val="00EA62A9"/>
    <w:rsid w:val="00EA74C2"/>
    <w:rsid w:val="00EA78E0"/>
    <w:rsid w:val="00EA793A"/>
    <w:rsid w:val="00EA7A53"/>
    <w:rsid w:val="00EA7B65"/>
    <w:rsid w:val="00EA7E27"/>
    <w:rsid w:val="00EA7F69"/>
    <w:rsid w:val="00EB000A"/>
    <w:rsid w:val="00EB06E0"/>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5BDB"/>
    <w:rsid w:val="00EE6661"/>
    <w:rsid w:val="00EE66A8"/>
    <w:rsid w:val="00EE756F"/>
    <w:rsid w:val="00EE76B9"/>
    <w:rsid w:val="00EE77C4"/>
    <w:rsid w:val="00EE7E3F"/>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B34"/>
    <w:rsid w:val="00F367A0"/>
    <w:rsid w:val="00F3742C"/>
    <w:rsid w:val="00F37601"/>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8B8"/>
    <w:rsid w:val="00F70DC7"/>
    <w:rsid w:val="00F70F19"/>
    <w:rsid w:val="00F71096"/>
    <w:rsid w:val="00F71160"/>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767F5"/>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A8E"/>
    <w:rsid w:val="00FD452F"/>
    <w:rsid w:val="00FD4594"/>
    <w:rsid w:val="00FD4ABC"/>
    <w:rsid w:val="00FD5165"/>
    <w:rsid w:val="00FD5573"/>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7947DD"/>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o.gov/products/gao-24-10599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itehouse.gov/briefing-room/statements-releases/2024/05/15/fact-sheet-biden-harris-administration-announces-new-actions-and-resources-for-increasing-student-attendance-and-engagement-as-part-of-the-white-house-every-day-counts-summit/" TargetMode="External"/><Relationship Id="rId4" Type="http://schemas.openxmlformats.org/officeDocument/2006/relationships/settings" Target="settings.xml"/><Relationship Id="rId9" Type="http://schemas.openxmlformats.org/officeDocument/2006/relationships/hyperlink" Target="https://s3.amazonaws.com/PCRN/docs/OCTAE_Program_Memo_24-6_Correctional_Education_Investments+5-6-24.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Links>
    <vt:vector size="66" baseType="variant">
      <vt:variant>
        <vt:i4>5636184</vt:i4>
      </vt:variant>
      <vt:variant>
        <vt:i4>51</vt:i4>
      </vt:variant>
      <vt:variant>
        <vt:i4>0</vt:i4>
      </vt:variant>
      <vt:variant>
        <vt:i4>5</vt:i4>
      </vt:variant>
      <vt:variant>
        <vt:lpwstr>https://www.gao.gov/assets/d24106173.pdf</vt:lpwstr>
      </vt:variant>
      <vt:variant>
        <vt:lpwstr/>
      </vt:variant>
      <vt:variant>
        <vt:i4>6226021</vt:i4>
      </vt:variant>
      <vt:variant>
        <vt:i4>48</vt:i4>
      </vt:variant>
      <vt:variant>
        <vt:i4>0</vt:i4>
      </vt:variant>
      <vt:variant>
        <vt:i4>5</vt:i4>
      </vt:variant>
      <vt:variant>
        <vt:lpwstr>https://edworkforce.house.gov/uploadedfiles/oig_ltr_brfng_student_aid_fraud_to_vf.pdf</vt:lpwstr>
      </vt:variant>
      <vt:variant>
        <vt:lpwstr/>
      </vt:variant>
      <vt:variant>
        <vt:i4>5177437</vt:i4>
      </vt:variant>
      <vt:variant>
        <vt:i4>45</vt:i4>
      </vt:variant>
      <vt:variant>
        <vt:i4>0</vt:i4>
      </vt:variant>
      <vt:variant>
        <vt:i4>5</vt:i4>
      </vt:variant>
      <vt:variant>
        <vt:lpwstr>https://www.govinfo.gov/content/pkg/FR-2024-04-25/pdf/2024-08098.pdf</vt:lpwstr>
      </vt:variant>
      <vt:variant>
        <vt:lpwstr/>
      </vt:variant>
      <vt:variant>
        <vt:i4>1507383</vt:i4>
      </vt:variant>
      <vt:variant>
        <vt:i4>38</vt:i4>
      </vt:variant>
      <vt:variant>
        <vt:i4>0</vt:i4>
      </vt:variant>
      <vt:variant>
        <vt:i4>5</vt:i4>
      </vt:variant>
      <vt:variant>
        <vt:lpwstr/>
      </vt:variant>
      <vt:variant>
        <vt:lpwstr>_Toc165027117</vt:lpwstr>
      </vt:variant>
      <vt:variant>
        <vt:i4>1507383</vt:i4>
      </vt:variant>
      <vt:variant>
        <vt:i4>32</vt:i4>
      </vt:variant>
      <vt:variant>
        <vt:i4>0</vt:i4>
      </vt:variant>
      <vt:variant>
        <vt:i4>5</vt:i4>
      </vt:variant>
      <vt:variant>
        <vt:lpwstr/>
      </vt:variant>
      <vt:variant>
        <vt:lpwstr>_Toc165027116</vt:lpwstr>
      </vt:variant>
      <vt:variant>
        <vt:i4>1507383</vt:i4>
      </vt:variant>
      <vt:variant>
        <vt:i4>26</vt:i4>
      </vt:variant>
      <vt:variant>
        <vt:i4>0</vt:i4>
      </vt:variant>
      <vt:variant>
        <vt:i4>5</vt:i4>
      </vt:variant>
      <vt:variant>
        <vt:lpwstr/>
      </vt:variant>
      <vt:variant>
        <vt:lpwstr>_Toc165027115</vt:lpwstr>
      </vt:variant>
      <vt:variant>
        <vt:i4>1507383</vt:i4>
      </vt:variant>
      <vt:variant>
        <vt:i4>20</vt:i4>
      </vt:variant>
      <vt:variant>
        <vt:i4>0</vt:i4>
      </vt:variant>
      <vt:variant>
        <vt:i4>5</vt:i4>
      </vt:variant>
      <vt:variant>
        <vt:lpwstr/>
      </vt:variant>
      <vt:variant>
        <vt:lpwstr>_Toc165027114</vt:lpwstr>
      </vt:variant>
      <vt:variant>
        <vt:i4>1507383</vt:i4>
      </vt:variant>
      <vt:variant>
        <vt:i4>14</vt:i4>
      </vt:variant>
      <vt:variant>
        <vt:i4>0</vt:i4>
      </vt:variant>
      <vt:variant>
        <vt:i4>5</vt:i4>
      </vt:variant>
      <vt:variant>
        <vt:lpwstr/>
      </vt:variant>
      <vt:variant>
        <vt:lpwstr>_Toc165027113</vt:lpwstr>
      </vt:variant>
      <vt:variant>
        <vt:i4>1507383</vt:i4>
      </vt:variant>
      <vt:variant>
        <vt:i4>8</vt:i4>
      </vt:variant>
      <vt:variant>
        <vt:i4>0</vt:i4>
      </vt:variant>
      <vt:variant>
        <vt:i4>5</vt:i4>
      </vt:variant>
      <vt:variant>
        <vt:lpwstr/>
      </vt:variant>
      <vt:variant>
        <vt:lpwstr>_Toc165027112</vt:lpwstr>
      </vt:variant>
      <vt:variant>
        <vt:i4>1507383</vt:i4>
      </vt:variant>
      <vt:variant>
        <vt:i4>2</vt:i4>
      </vt:variant>
      <vt:variant>
        <vt:i4>0</vt:i4>
      </vt:variant>
      <vt:variant>
        <vt:i4>5</vt:i4>
      </vt:variant>
      <vt:variant>
        <vt:lpwstr/>
      </vt:variant>
      <vt:variant>
        <vt:lpwstr>_Toc165027111</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May 17, 2024 - Government Affairs (CA Dept of Education)</dc:title>
  <dc:subject>Federal Update Report for May 17, 2024.</dc:subject>
  <dc:creator/>
  <cp:keywords/>
  <dc:description/>
  <cp:lastModifiedBy/>
  <cp:revision>1</cp:revision>
  <dcterms:created xsi:type="dcterms:W3CDTF">2024-05-28T18:45:00Z</dcterms:created>
  <dcterms:modified xsi:type="dcterms:W3CDTF">2024-05-28T18:46:00Z</dcterms:modified>
</cp:coreProperties>
</file>