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7216"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0"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37B3B25A" w:rsidR="0042468E" w:rsidRPr="00FA059B" w:rsidRDefault="0042468E" w:rsidP="00FA059B">
      <w:pPr>
        <w:pStyle w:val="Heading1"/>
      </w:pPr>
      <w:bookmarkStart w:id="10" w:name="_Toc69999593"/>
      <w:bookmarkStart w:id="11" w:name="_Toc70604860"/>
      <w:bookmarkStart w:id="12" w:name="_Toc70615916"/>
      <w:bookmarkStart w:id="13" w:name="_Toc70673785"/>
      <w:bookmarkStart w:id="14" w:name="_Toc71878172"/>
      <w:bookmarkStart w:id="15" w:name="_Toc71879808"/>
      <w:r w:rsidRPr="00FA059B">
        <w:t xml:space="preserve">The Federal Update for </w:t>
      </w:r>
      <w:bookmarkEnd w:id="10"/>
      <w:bookmarkEnd w:id="11"/>
      <w:bookmarkEnd w:id="12"/>
      <w:bookmarkEnd w:id="13"/>
      <w:bookmarkEnd w:id="14"/>
      <w:bookmarkEnd w:id="15"/>
      <w:r w:rsidR="003E6C86" w:rsidRPr="00FA059B">
        <w:t xml:space="preserve">August </w:t>
      </w:r>
      <w:r w:rsidR="007464E9" w:rsidRPr="00FA059B">
        <w:t>1</w:t>
      </w:r>
      <w:r w:rsidR="005B33AE" w:rsidRPr="00FA059B">
        <w:t>8</w:t>
      </w:r>
      <w:r w:rsidR="005D3FF9" w:rsidRPr="00FA059B">
        <w:t>, 202</w:t>
      </w:r>
      <w:r w:rsidR="009471B1" w:rsidRPr="00FA059B">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0F98A939" w:rsidR="0063135C" w:rsidRDefault="00D0389C" w:rsidP="009B424F">
      <w:pPr>
        <w:pStyle w:val="MessageHeader"/>
        <w:spacing w:after="240"/>
      </w:pPr>
      <w:r>
        <w:t>Date:</w:t>
      </w:r>
      <w:r>
        <w:tab/>
      </w:r>
      <w:r w:rsidR="003E6C86">
        <w:t xml:space="preserve">August </w:t>
      </w:r>
      <w:r w:rsidR="007464E9">
        <w:t>1</w:t>
      </w:r>
      <w:r w:rsidR="005B33AE">
        <w:t>8</w:t>
      </w:r>
      <w:r w:rsidR="00537D4B">
        <w:t>, 202</w:t>
      </w:r>
      <w:r w:rsidR="009471B1">
        <w:t>3</w:t>
      </w:r>
    </w:p>
    <w:p w14:paraId="0937F072" w14:textId="59457CFF" w:rsidR="00272CD2"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3177431" w:history="1">
        <w:r w:rsidR="00272CD2" w:rsidRPr="0071731C">
          <w:rPr>
            <w:rStyle w:val="Hyperlink"/>
            <w:rFonts w:eastAsia="Calibri"/>
          </w:rPr>
          <w:t>Legislation and Guidance</w:t>
        </w:r>
        <w:r w:rsidR="00272CD2">
          <w:rPr>
            <w:webHidden/>
          </w:rPr>
          <w:tab/>
        </w:r>
        <w:r w:rsidR="00272CD2">
          <w:rPr>
            <w:webHidden/>
          </w:rPr>
          <w:fldChar w:fldCharType="begin"/>
        </w:r>
        <w:r w:rsidR="00272CD2">
          <w:rPr>
            <w:webHidden/>
          </w:rPr>
          <w:instrText xml:space="preserve"> PAGEREF _Toc143177431 \h </w:instrText>
        </w:r>
        <w:r w:rsidR="00272CD2">
          <w:rPr>
            <w:webHidden/>
          </w:rPr>
        </w:r>
        <w:r w:rsidR="00272CD2">
          <w:rPr>
            <w:webHidden/>
          </w:rPr>
          <w:fldChar w:fldCharType="separate"/>
        </w:r>
        <w:r w:rsidR="00272CD2">
          <w:rPr>
            <w:webHidden/>
          </w:rPr>
          <w:t>1</w:t>
        </w:r>
        <w:r w:rsidR="00272CD2">
          <w:rPr>
            <w:webHidden/>
          </w:rPr>
          <w:fldChar w:fldCharType="end"/>
        </w:r>
      </w:hyperlink>
    </w:p>
    <w:p w14:paraId="420FEA21" w14:textId="4FE78894" w:rsidR="00272CD2" w:rsidRDefault="00FA059B">
      <w:pPr>
        <w:pStyle w:val="TOC3"/>
        <w:rPr>
          <w:rFonts w:asciiTheme="minorHAnsi" w:eastAsiaTheme="minorEastAsia" w:hAnsiTheme="minorHAnsi" w:cstheme="minorBidi"/>
          <w:b w:val="0"/>
          <w:kern w:val="2"/>
          <w:sz w:val="22"/>
          <w:szCs w:val="22"/>
          <w14:ligatures w14:val="standardContextual"/>
        </w:rPr>
      </w:pPr>
      <w:hyperlink w:anchor="_Toc143177432" w:history="1">
        <w:r w:rsidR="00272CD2" w:rsidRPr="0071731C">
          <w:rPr>
            <w:rStyle w:val="Hyperlink"/>
          </w:rPr>
          <w:t>ED Issues Guidance on SCOTUS Affirmative Action Ruling</w:t>
        </w:r>
        <w:r w:rsidR="00272CD2">
          <w:rPr>
            <w:webHidden/>
          </w:rPr>
          <w:tab/>
        </w:r>
        <w:r w:rsidR="00272CD2">
          <w:rPr>
            <w:webHidden/>
          </w:rPr>
          <w:fldChar w:fldCharType="begin"/>
        </w:r>
        <w:r w:rsidR="00272CD2">
          <w:rPr>
            <w:webHidden/>
          </w:rPr>
          <w:instrText xml:space="preserve"> PAGEREF _Toc143177432 \h </w:instrText>
        </w:r>
        <w:r w:rsidR="00272CD2">
          <w:rPr>
            <w:webHidden/>
          </w:rPr>
        </w:r>
        <w:r w:rsidR="00272CD2">
          <w:rPr>
            <w:webHidden/>
          </w:rPr>
          <w:fldChar w:fldCharType="separate"/>
        </w:r>
        <w:r w:rsidR="00272CD2">
          <w:rPr>
            <w:webHidden/>
          </w:rPr>
          <w:t>1</w:t>
        </w:r>
        <w:r w:rsidR="00272CD2">
          <w:rPr>
            <w:webHidden/>
          </w:rPr>
          <w:fldChar w:fldCharType="end"/>
        </w:r>
      </w:hyperlink>
    </w:p>
    <w:p w14:paraId="7795CDF9" w14:textId="60281EF1" w:rsidR="00272CD2" w:rsidRDefault="00FA059B">
      <w:pPr>
        <w:pStyle w:val="TOC2"/>
        <w:rPr>
          <w:rFonts w:asciiTheme="minorHAnsi" w:eastAsiaTheme="minorEastAsia" w:hAnsiTheme="minorHAnsi" w:cstheme="minorBidi"/>
          <w:b w:val="0"/>
          <w:kern w:val="2"/>
          <w:sz w:val="22"/>
          <w:szCs w:val="22"/>
          <w14:ligatures w14:val="standardContextual"/>
        </w:rPr>
      </w:pPr>
      <w:hyperlink w:anchor="_Toc143177433" w:history="1">
        <w:r w:rsidR="00272CD2" w:rsidRPr="0071731C">
          <w:rPr>
            <w:rStyle w:val="Hyperlink"/>
          </w:rPr>
          <w:t>News</w:t>
        </w:r>
        <w:r w:rsidR="00272CD2">
          <w:rPr>
            <w:webHidden/>
          </w:rPr>
          <w:tab/>
        </w:r>
        <w:r w:rsidR="00272CD2">
          <w:rPr>
            <w:webHidden/>
          </w:rPr>
          <w:fldChar w:fldCharType="begin"/>
        </w:r>
        <w:r w:rsidR="00272CD2">
          <w:rPr>
            <w:webHidden/>
          </w:rPr>
          <w:instrText xml:space="preserve"> PAGEREF _Toc143177433 \h </w:instrText>
        </w:r>
        <w:r w:rsidR="00272CD2">
          <w:rPr>
            <w:webHidden/>
          </w:rPr>
        </w:r>
        <w:r w:rsidR="00272CD2">
          <w:rPr>
            <w:webHidden/>
          </w:rPr>
          <w:fldChar w:fldCharType="separate"/>
        </w:r>
        <w:r w:rsidR="00272CD2">
          <w:rPr>
            <w:webHidden/>
          </w:rPr>
          <w:t>2</w:t>
        </w:r>
        <w:r w:rsidR="00272CD2">
          <w:rPr>
            <w:webHidden/>
          </w:rPr>
          <w:fldChar w:fldCharType="end"/>
        </w:r>
      </w:hyperlink>
    </w:p>
    <w:p w14:paraId="490BCF6E" w14:textId="35CF7C7E" w:rsidR="00272CD2" w:rsidRDefault="00FA059B">
      <w:pPr>
        <w:pStyle w:val="TOC3"/>
        <w:rPr>
          <w:rFonts w:asciiTheme="minorHAnsi" w:eastAsiaTheme="minorEastAsia" w:hAnsiTheme="minorHAnsi" w:cstheme="minorBidi"/>
          <w:b w:val="0"/>
          <w:kern w:val="2"/>
          <w:sz w:val="22"/>
          <w:szCs w:val="22"/>
          <w14:ligatures w14:val="standardContextual"/>
        </w:rPr>
      </w:pPr>
      <w:hyperlink w:anchor="_Toc143177434" w:history="1">
        <w:r w:rsidR="00272CD2" w:rsidRPr="0071731C">
          <w:rPr>
            <w:rStyle w:val="Hyperlink"/>
            <w:bCs/>
          </w:rPr>
          <w:t>Suit Challenging Biden’s $39B Student Debt Relief Plan is Dismissed</w:t>
        </w:r>
        <w:r w:rsidR="00272CD2">
          <w:rPr>
            <w:webHidden/>
          </w:rPr>
          <w:tab/>
        </w:r>
        <w:r w:rsidR="00272CD2">
          <w:rPr>
            <w:webHidden/>
          </w:rPr>
          <w:fldChar w:fldCharType="begin"/>
        </w:r>
        <w:r w:rsidR="00272CD2">
          <w:rPr>
            <w:webHidden/>
          </w:rPr>
          <w:instrText xml:space="preserve"> PAGEREF _Toc143177434 \h </w:instrText>
        </w:r>
        <w:r w:rsidR="00272CD2">
          <w:rPr>
            <w:webHidden/>
          </w:rPr>
        </w:r>
        <w:r w:rsidR="00272CD2">
          <w:rPr>
            <w:webHidden/>
          </w:rPr>
          <w:fldChar w:fldCharType="separate"/>
        </w:r>
        <w:r w:rsidR="00272CD2">
          <w:rPr>
            <w:webHidden/>
          </w:rPr>
          <w:t>2</w:t>
        </w:r>
        <w:r w:rsidR="00272CD2">
          <w:rPr>
            <w:webHidden/>
          </w:rPr>
          <w:fldChar w:fldCharType="end"/>
        </w:r>
      </w:hyperlink>
    </w:p>
    <w:p w14:paraId="6521801B" w14:textId="1454EBA2" w:rsidR="00272CD2" w:rsidRDefault="00FA059B">
      <w:pPr>
        <w:pStyle w:val="TOC3"/>
        <w:rPr>
          <w:rFonts w:asciiTheme="minorHAnsi" w:eastAsiaTheme="minorEastAsia" w:hAnsiTheme="minorHAnsi" w:cstheme="minorBidi"/>
          <w:b w:val="0"/>
          <w:kern w:val="2"/>
          <w:sz w:val="22"/>
          <w:szCs w:val="22"/>
          <w14:ligatures w14:val="standardContextual"/>
        </w:rPr>
      </w:pPr>
      <w:hyperlink w:anchor="_Toc143177435" w:history="1">
        <w:r w:rsidR="00272CD2" w:rsidRPr="0071731C">
          <w:rPr>
            <w:rStyle w:val="Hyperlink"/>
            <w:bCs/>
          </w:rPr>
          <w:t>ED Launches Back-To-School Safety Campaign</w:t>
        </w:r>
        <w:r w:rsidR="00272CD2">
          <w:rPr>
            <w:webHidden/>
          </w:rPr>
          <w:tab/>
        </w:r>
        <w:r w:rsidR="00272CD2">
          <w:rPr>
            <w:webHidden/>
          </w:rPr>
          <w:fldChar w:fldCharType="begin"/>
        </w:r>
        <w:r w:rsidR="00272CD2">
          <w:rPr>
            <w:webHidden/>
          </w:rPr>
          <w:instrText xml:space="preserve"> PAGEREF _Toc143177435 \h </w:instrText>
        </w:r>
        <w:r w:rsidR="00272CD2">
          <w:rPr>
            <w:webHidden/>
          </w:rPr>
        </w:r>
        <w:r w:rsidR="00272CD2">
          <w:rPr>
            <w:webHidden/>
          </w:rPr>
          <w:fldChar w:fldCharType="separate"/>
        </w:r>
        <w:r w:rsidR="00272CD2">
          <w:rPr>
            <w:webHidden/>
          </w:rPr>
          <w:t>3</w:t>
        </w:r>
        <w:r w:rsidR="00272CD2">
          <w:rPr>
            <w:webHidden/>
          </w:rPr>
          <w:fldChar w:fldCharType="end"/>
        </w:r>
      </w:hyperlink>
    </w:p>
    <w:p w14:paraId="70E05877" w14:textId="77777777" w:rsidR="004C4952" w:rsidRDefault="00156AA4" w:rsidP="004C4952">
      <w:pPr>
        <w:spacing w:before="0" w:after="0"/>
      </w:pPr>
      <w:r w:rsidRPr="00CF79C8">
        <w:fldChar w:fldCharType="end"/>
      </w:r>
      <w:bookmarkStart w:id="16" w:name="_Toc504484598"/>
      <w:bookmarkEnd w:id="0"/>
      <w:bookmarkEnd w:id="1"/>
      <w:bookmarkEnd w:id="2"/>
      <w:bookmarkEnd w:id="3"/>
      <w:bookmarkEnd w:id="4"/>
      <w:bookmarkEnd w:id="5"/>
    </w:p>
    <w:p w14:paraId="69AEC4BD" w14:textId="77777777" w:rsidR="004C4952" w:rsidRDefault="004C4952" w:rsidP="004C4952">
      <w:pPr>
        <w:spacing w:before="0" w:after="0"/>
        <w:rPr>
          <w:i/>
          <w:iCs/>
        </w:rPr>
      </w:pPr>
      <w:r>
        <w:rPr>
          <w:i/>
          <w:iCs/>
        </w:rPr>
        <w:t>Congress is currently in recess and will return to session following the Labor Day holiday.</w:t>
      </w:r>
    </w:p>
    <w:p w14:paraId="101A2A8F" w14:textId="56AAB094" w:rsidR="00371EEC" w:rsidRPr="00371EEC" w:rsidRDefault="00371EEC" w:rsidP="004C4952">
      <w:pPr>
        <w:spacing w:before="0" w:after="0"/>
        <w:rPr>
          <w:i/>
          <w:iCs/>
        </w:rPr>
      </w:pPr>
    </w:p>
    <w:p w14:paraId="6D8A9151" w14:textId="7AB9CC8A" w:rsidR="00521447" w:rsidRDefault="005B33AE" w:rsidP="004C4952">
      <w:pPr>
        <w:pStyle w:val="Heading2"/>
        <w:spacing w:before="0"/>
        <w:rPr>
          <w:rFonts w:eastAsia="Calibri"/>
        </w:rPr>
      </w:pPr>
      <w:bookmarkStart w:id="17" w:name="_Toc143177431"/>
      <w:r>
        <w:rPr>
          <w:rFonts w:eastAsia="Calibri"/>
        </w:rPr>
        <w:t>Legislation and Guidance</w:t>
      </w:r>
      <w:bookmarkEnd w:id="17"/>
    </w:p>
    <w:p w14:paraId="77F5B6B3" w14:textId="24CBFDB3" w:rsidR="00521447" w:rsidRPr="007E2D46" w:rsidRDefault="00E75A6D" w:rsidP="00521447">
      <w:pPr>
        <w:pStyle w:val="Heading3"/>
      </w:pPr>
      <w:bookmarkStart w:id="18" w:name="_Toc143177432"/>
      <w:r>
        <w:t>ED Issues Guidance on SCOTUS Affirmative Action Ruling</w:t>
      </w:r>
      <w:bookmarkEnd w:id="18"/>
    </w:p>
    <w:p w14:paraId="28750FF0" w14:textId="2BD8A87E" w:rsidR="00D028E3" w:rsidRDefault="00D028E3" w:rsidP="00D028E3">
      <w:pPr>
        <w:rPr>
          <w:rFonts w:cs="Arial"/>
          <w:szCs w:val="24"/>
        </w:rPr>
      </w:pPr>
      <w:r>
        <w:rPr>
          <w:rFonts w:cs="Arial"/>
          <w:szCs w:val="24"/>
        </w:rPr>
        <w:t xml:space="preserve">Following the Supreme Court decision issued in June holding that consideration of race in admissions at </w:t>
      </w:r>
      <w:r w:rsidR="00561564">
        <w:rPr>
          <w:rFonts w:cs="Arial"/>
          <w:szCs w:val="24"/>
        </w:rPr>
        <w:t>institutions of higher education (IHEs)</w:t>
      </w:r>
      <w:r>
        <w:rPr>
          <w:rFonts w:cs="Arial"/>
          <w:szCs w:val="24"/>
        </w:rPr>
        <w:t xml:space="preserve"> is generally unconstitutional, the U.S. Departments of Justice (DOJ) and Education (ED) issued </w:t>
      </w:r>
      <w:r w:rsidR="00561564">
        <w:rPr>
          <w:rFonts w:cs="Arial"/>
          <w:szCs w:val="24"/>
        </w:rPr>
        <w:t xml:space="preserve">joint </w:t>
      </w:r>
      <w:r>
        <w:rPr>
          <w:rFonts w:cs="Arial"/>
          <w:szCs w:val="24"/>
        </w:rPr>
        <w:t xml:space="preserve">guidance this week for the higher education community on the Court’s decision and how </w:t>
      </w:r>
      <w:r w:rsidR="00561564">
        <w:rPr>
          <w:rFonts w:cs="Arial"/>
          <w:szCs w:val="24"/>
        </w:rPr>
        <w:t>IHEs</w:t>
      </w:r>
      <w:r>
        <w:rPr>
          <w:rFonts w:cs="Arial"/>
          <w:szCs w:val="24"/>
        </w:rPr>
        <w:t xml:space="preserve"> can work to establish and maintain diverse student bodies</w:t>
      </w:r>
      <w:r w:rsidR="00561564">
        <w:rPr>
          <w:rFonts w:cs="Arial"/>
          <w:szCs w:val="24"/>
        </w:rPr>
        <w:t xml:space="preserve"> moving forward</w:t>
      </w:r>
      <w:r>
        <w:rPr>
          <w:rFonts w:cs="Arial"/>
          <w:szCs w:val="24"/>
        </w:rPr>
        <w:t>.</w:t>
      </w:r>
    </w:p>
    <w:p w14:paraId="2DF13844" w14:textId="5FBA8A1A" w:rsidR="00D028E3" w:rsidRDefault="00D028E3" w:rsidP="00D028E3">
      <w:pPr>
        <w:rPr>
          <w:rFonts w:cs="Arial"/>
          <w:szCs w:val="24"/>
        </w:rPr>
      </w:pPr>
      <w:r>
        <w:rPr>
          <w:rFonts w:cs="Arial"/>
          <w:szCs w:val="24"/>
        </w:rPr>
        <w:t xml:space="preserve">While </w:t>
      </w:r>
      <w:r w:rsidR="00561564">
        <w:rPr>
          <w:rFonts w:cs="Arial"/>
          <w:szCs w:val="24"/>
        </w:rPr>
        <w:t>IHEs</w:t>
      </w:r>
      <w:r>
        <w:rPr>
          <w:rFonts w:cs="Arial"/>
          <w:szCs w:val="24"/>
        </w:rPr>
        <w:t xml:space="preserve"> may no longer consider race as its own factor in the admissions process, ED says there may still be circumstances where a student’s challenges or experiences related to their race or ethnicity can be reviewed as part of a holistic application process.  ED’s guidance says IHEs may provide opportunities for students to share how their experiences, including as a minority, would “</w:t>
      </w:r>
      <w:r w:rsidRPr="002C2ABF">
        <w:rPr>
          <w:rFonts w:cs="Arial"/>
          <w:szCs w:val="24"/>
        </w:rPr>
        <w:t>position them to contribute to campus in unique</w:t>
      </w:r>
      <w:r>
        <w:rPr>
          <w:rFonts w:cs="Arial"/>
          <w:szCs w:val="24"/>
        </w:rPr>
        <w:t xml:space="preserve"> </w:t>
      </w:r>
      <w:r w:rsidRPr="002C2ABF">
        <w:rPr>
          <w:rFonts w:cs="Arial"/>
          <w:szCs w:val="24"/>
        </w:rPr>
        <w:t>ways</w:t>
      </w:r>
      <w:r>
        <w:rPr>
          <w:rFonts w:cs="Arial"/>
          <w:szCs w:val="24"/>
        </w:rPr>
        <w:t>.”  However, IHEs must be sure to only consider race within the context of how it is tied to an applicant’s characteristic outside of race, such as courage or determination, and cannot consider race alone as a factor for admission.</w:t>
      </w:r>
    </w:p>
    <w:p w14:paraId="1A084686" w14:textId="31DF3A82" w:rsidR="00D028E3" w:rsidRDefault="00D028E3" w:rsidP="00D028E3">
      <w:pPr>
        <w:rPr>
          <w:rFonts w:cs="Arial"/>
          <w:szCs w:val="24"/>
        </w:rPr>
      </w:pPr>
      <w:r>
        <w:rPr>
          <w:rFonts w:cs="Arial"/>
          <w:szCs w:val="24"/>
        </w:rPr>
        <w:t xml:space="preserve">The guidance also tells </w:t>
      </w:r>
      <w:r w:rsidR="00561564">
        <w:rPr>
          <w:rFonts w:cs="Arial"/>
          <w:szCs w:val="24"/>
        </w:rPr>
        <w:t>IHEs</w:t>
      </w:r>
      <w:r>
        <w:rPr>
          <w:rFonts w:cs="Arial"/>
          <w:szCs w:val="24"/>
        </w:rPr>
        <w:t xml:space="preserve"> that they may still establish and maintain goals to develop a </w:t>
      </w:r>
      <w:r>
        <w:rPr>
          <w:rFonts w:cs="Arial"/>
          <w:szCs w:val="24"/>
        </w:rPr>
        <w:lastRenderedPageBreak/>
        <w:t>diverse student body, which may include strategies to reduce barriers for prospective students.  Examples of allowable strategies in the ED guidance include targeted outreach, recruitment, and pathway programs to expand opportunit</w:t>
      </w:r>
      <w:r w:rsidR="00F308A5">
        <w:rPr>
          <w:rFonts w:cs="Arial"/>
          <w:szCs w:val="24"/>
        </w:rPr>
        <w:t>ies</w:t>
      </w:r>
      <w:r>
        <w:rPr>
          <w:rFonts w:cs="Arial"/>
          <w:szCs w:val="24"/>
        </w:rPr>
        <w:t xml:space="preserve"> for disadvantaged students; collection of demographic information about a school’s applicant pool to inform current and future strategies and programs; evaluating admissions policies to determine how well they reflect the institution’s goals, including considering whether to halt legacy admissions practices or to focus more on increasing access to underserved populations; and strengthening retention strategies and programs to ensure that students from all backgrounds feel supported and have a sense of belonging on campus. </w:t>
      </w:r>
    </w:p>
    <w:p w14:paraId="4A863089" w14:textId="7976B4E6" w:rsidR="00D028E3" w:rsidRDefault="00D028E3" w:rsidP="00D028E3">
      <w:pPr>
        <w:rPr>
          <w:rFonts w:cs="Arial"/>
          <w:szCs w:val="24"/>
        </w:rPr>
      </w:pPr>
      <w:r>
        <w:rPr>
          <w:rFonts w:cs="Arial"/>
          <w:szCs w:val="24"/>
        </w:rPr>
        <w:t>In the “Dear Colleague” letter that accompanies the frequently asked questions</w:t>
      </w:r>
      <w:r w:rsidR="00F308A5">
        <w:rPr>
          <w:rFonts w:cs="Arial"/>
          <w:szCs w:val="24"/>
        </w:rPr>
        <w:t xml:space="preserve"> (FAQs)</w:t>
      </w:r>
      <w:r>
        <w:rPr>
          <w:rFonts w:cs="Arial"/>
          <w:szCs w:val="24"/>
        </w:rPr>
        <w:t>, ED’s Office for Civil Rights says that it will “</w:t>
      </w:r>
      <w:r w:rsidRPr="00136757">
        <w:rPr>
          <w:rFonts w:cs="Arial"/>
          <w:szCs w:val="24"/>
        </w:rPr>
        <w:t xml:space="preserve">continue to use all enforcement tools at </w:t>
      </w:r>
      <w:r>
        <w:rPr>
          <w:rFonts w:cs="Arial"/>
          <w:szCs w:val="24"/>
        </w:rPr>
        <w:t>[</w:t>
      </w:r>
      <w:r w:rsidR="00F308A5">
        <w:rPr>
          <w:rFonts w:cs="Arial"/>
          <w:szCs w:val="24"/>
        </w:rPr>
        <w:t>its</w:t>
      </w:r>
      <w:r>
        <w:rPr>
          <w:rFonts w:cs="Arial"/>
          <w:szCs w:val="24"/>
        </w:rPr>
        <w:t>]</w:t>
      </w:r>
      <w:r w:rsidRPr="00136757">
        <w:rPr>
          <w:rFonts w:cs="Arial"/>
          <w:szCs w:val="24"/>
        </w:rPr>
        <w:t xml:space="preserve"> disposal to protect students’ right to equal access to</w:t>
      </w:r>
      <w:r>
        <w:rPr>
          <w:rFonts w:cs="Arial"/>
          <w:szCs w:val="24"/>
        </w:rPr>
        <w:t xml:space="preserve"> </w:t>
      </w:r>
      <w:r w:rsidRPr="00136757">
        <w:rPr>
          <w:rFonts w:cs="Arial"/>
          <w:szCs w:val="24"/>
        </w:rPr>
        <w:t>the opportunities that create pathways to higher education, and those afforded by higher education</w:t>
      </w:r>
      <w:r>
        <w:rPr>
          <w:rFonts w:cs="Arial"/>
          <w:szCs w:val="24"/>
        </w:rPr>
        <w:t xml:space="preserve"> </w:t>
      </w:r>
      <w:r w:rsidRPr="00136757">
        <w:rPr>
          <w:rFonts w:cs="Arial"/>
          <w:szCs w:val="24"/>
        </w:rPr>
        <w:t>itself</w:t>
      </w:r>
      <w:r>
        <w:rPr>
          <w:rFonts w:cs="Arial"/>
          <w:szCs w:val="24"/>
        </w:rPr>
        <w:t xml:space="preserve">.” </w:t>
      </w:r>
    </w:p>
    <w:p w14:paraId="1900D7E8" w14:textId="77777777" w:rsidR="00D028E3" w:rsidRDefault="00FA059B" w:rsidP="00D028E3">
      <w:pPr>
        <w:rPr>
          <w:rFonts w:cs="Arial"/>
          <w:szCs w:val="24"/>
        </w:rPr>
      </w:pPr>
      <w:hyperlink r:id="rId11" w:history="1">
        <w:r w:rsidR="00D028E3" w:rsidRPr="008321F6">
          <w:rPr>
            <w:rStyle w:val="Hyperlink"/>
            <w:rFonts w:cs="Arial"/>
            <w:szCs w:val="24"/>
          </w:rPr>
          <w:t>The “Dear Colleague” letter is available here</w:t>
        </w:r>
      </w:hyperlink>
      <w:r w:rsidR="00D028E3">
        <w:rPr>
          <w:rFonts w:cs="Arial"/>
          <w:szCs w:val="24"/>
        </w:rPr>
        <w:t xml:space="preserve"> and </w:t>
      </w:r>
      <w:hyperlink r:id="rId12" w:history="1">
        <w:r w:rsidR="00D028E3" w:rsidRPr="008321F6">
          <w:rPr>
            <w:rStyle w:val="Hyperlink"/>
            <w:rFonts w:cs="Arial"/>
            <w:szCs w:val="24"/>
          </w:rPr>
          <w:t>the FAQs are available here</w:t>
        </w:r>
      </w:hyperlink>
      <w:r w:rsidR="00D028E3">
        <w:rPr>
          <w:rFonts w:cs="Arial"/>
          <w:szCs w:val="24"/>
        </w:rPr>
        <w:t>.</w:t>
      </w:r>
    </w:p>
    <w:p w14:paraId="5067947B" w14:textId="77777777" w:rsidR="00D028E3" w:rsidRDefault="00D028E3" w:rsidP="00D028E3">
      <w:pPr>
        <w:rPr>
          <w:rFonts w:cs="Arial"/>
          <w:szCs w:val="24"/>
        </w:rPr>
      </w:pPr>
      <w:r>
        <w:rPr>
          <w:rFonts w:cs="Arial"/>
          <w:szCs w:val="24"/>
        </w:rPr>
        <w:t>Author: KSC</w:t>
      </w:r>
    </w:p>
    <w:p w14:paraId="5B898499" w14:textId="0ADE4C42" w:rsidR="00A14B70" w:rsidRDefault="003E6C86" w:rsidP="00A14B70">
      <w:pPr>
        <w:pStyle w:val="Heading2"/>
      </w:pPr>
      <w:bookmarkStart w:id="19" w:name="_Toc143177433"/>
      <w:r>
        <w:t>News</w:t>
      </w:r>
      <w:bookmarkEnd w:id="19"/>
    </w:p>
    <w:p w14:paraId="79EC4589" w14:textId="27E5051E" w:rsidR="00A14B70" w:rsidRPr="00863EAA" w:rsidRDefault="00863EAA" w:rsidP="00863EAA">
      <w:pPr>
        <w:pStyle w:val="Heading3"/>
        <w:rPr>
          <w:bCs/>
        </w:rPr>
      </w:pPr>
      <w:bookmarkStart w:id="20" w:name="_Toc143177434"/>
      <w:r w:rsidRPr="00863EAA">
        <w:rPr>
          <w:bCs/>
        </w:rPr>
        <w:t>Suit Challenging Biden’s $39B Student Debt Relief Plan is Dismissed</w:t>
      </w:r>
      <w:bookmarkEnd w:id="20"/>
    </w:p>
    <w:bookmarkEnd w:id="6"/>
    <w:bookmarkEnd w:id="7"/>
    <w:bookmarkEnd w:id="8"/>
    <w:bookmarkEnd w:id="9"/>
    <w:bookmarkEnd w:id="16"/>
    <w:p w14:paraId="7899673E" w14:textId="1E12EB1A" w:rsidR="00C9028F" w:rsidRPr="00C9028F" w:rsidRDefault="00C9028F" w:rsidP="00C9028F">
      <w:pPr>
        <w:widowControl/>
        <w:suppressAutoHyphens w:val="0"/>
        <w:spacing w:before="0" w:after="160" w:line="259" w:lineRule="auto"/>
        <w:rPr>
          <w:rFonts w:eastAsia="Calibri" w:cs="Arial"/>
          <w:kern w:val="2"/>
          <w:szCs w:val="24"/>
          <w14:ligatures w14:val="standardContextual"/>
        </w:rPr>
      </w:pPr>
      <w:r w:rsidRPr="00C9028F">
        <w:rPr>
          <w:rFonts w:eastAsia="Calibri" w:cs="Arial"/>
          <w:kern w:val="2"/>
          <w:szCs w:val="24"/>
          <w14:ligatures w14:val="standardContextual"/>
        </w:rPr>
        <w:t xml:space="preserve">On Monday, U.S. District Court Judge Thomas Ludington dismissed a lawsuit challenging the Biden administration’s recent student loan cancellation plan.  The plan will cancel student loan debt for borrowers </w:t>
      </w:r>
      <w:r w:rsidR="00FD4ABC">
        <w:rPr>
          <w:rFonts w:eastAsia="Calibri" w:cs="Arial"/>
          <w:kern w:val="2"/>
          <w:szCs w:val="24"/>
          <w14:ligatures w14:val="standardContextual"/>
        </w:rPr>
        <w:t xml:space="preserve">in income-driven repayment plans </w:t>
      </w:r>
      <w:r w:rsidRPr="00C9028F">
        <w:rPr>
          <w:rFonts w:eastAsia="Calibri" w:cs="Arial"/>
          <w:kern w:val="2"/>
          <w:szCs w:val="24"/>
          <w14:ligatures w14:val="standardContextual"/>
        </w:rPr>
        <w:t xml:space="preserve">with debts older than 20 years, which includes over 800,000 borrowers. </w:t>
      </w:r>
    </w:p>
    <w:p w14:paraId="301AAE3C" w14:textId="559DCA04" w:rsidR="00C9028F" w:rsidRPr="00C9028F" w:rsidRDefault="00C9028F" w:rsidP="00C9028F">
      <w:pPr>
        <w:widowControl/>
        <w:suppressAutoHyphens w:val="0"/>
        <w:spacing w:before="0" w:after="160" w:line="259" w:lineRule="auto"/>
        <w:rPr>
          <w:rFonts w:eastAsia="Calibri" w:cs="Arial"/>
          <w:kern w:val="2"/>
          <w:szCs w:val="24"/>
          <w14:ligatures w14:val="standardContextual"/>
        </w:rPr>
      </w:pPr>
      <w:r w:rsidRPr="00C9028F">
        <w:rPr>
          <w:rFonts w:eastAsia="Calibri" w:cs="Arial"/>
          <w:kern w:val="2"/>
          <w:szCs w:val="24"/>
          <w14:ligatures w14:val="standardContextual"/>
        </w:rPr>
        <w:t xml:space="preserve">The lawsuit was filed last month by two conservative groups, the Cato </w:t>
      </w:r>
      <w:proofErr w:type="gramStart"/>
      <w:r w:rsidRPr="00C9028F">
        <w:rPr>
          <w:rFonts w:eastAsia="Calibri" w:cs="Arial"/>
          <w:kern w:val="2"/>
          <w:szCs w:val="24"/>
          <w14:ligatures w14:val="standardContextual"/>
        </w:rPr>
        <w:t>Institute</w:t>
      </w:r>
      <w:proofErr w:type="gramEnd"/>
      <w:r w:rsidRPr="00C9028F">
        <w:rPr>
          <w:rFonts w:eastAsia="Calibri" w:cs="Arial"/>
          <w:kern w:val="2"/>
          <w:szCs w:val="24"/>
          <w14:ligatures w14:val="standardContextual"/>
        </w:rPr>
        <w:t xml:space="preserve"> and the Mackinac Center for Public Policy, who are represented by The New Civil Liberties Alliance.  The groups argued that the administration’s plan violated federal law, since </w:t>
      </w:r>
      <w:r w:rsidR="00F308A5">
        <w:rPr>
          <w:rFonts w:eastAsia="Calibri" w:cs="Arial"/>
          <w:kern w:val="2"/>
          <w:szCs w:val="24"/>
          <w14:ligatures w14:val="standardContextual"/>
        </w:rPr>
        <w:t>the U.S. Department of Education (ED)</w:t>
      </w:r>
      <w:r w:rsidR="00561564">
        <w:rPr>
          <w:rFonts w:eastAsia="Calibri" w:cs="Arial"/>
          <w:kern w:val="2"/>
          <w:szCs w:val="24"/>
          <w14:ligatures w14:val="standardContextual"/>
        </w:rPr>
        <w:t xml:space="preserve"> did not subject it to a formal rulemaking process. </w:t>
      </w:r>
    </w:p>
    <w:p w14:paraId="0A9AFF41" w14:textId="5CFDF9CD" w:rsidR="00C9028F" w:rsidRPr="00C9028F" w:rsidRDefault="00C9028F" w:rsidP="00C9028F">
      <w:pPr>
        <w:widowControl/>
        <w:suppressAutoHyphens w:val="0"/>
        <w:spacing w:before="0" w:after="160" w:line="259" w:lineRule="auto"/>
        <w:rPr>
          <w:rFonts w:eastAsia="Calibri" w:cs="Arial"/>
          <w:kern w:val="2"/>
          <w:szCs w:val="24"/>
          <w14:ligatures w14:val="standardContextual"/>
        </w:rPr>
      </w:pPr>
      <w:r w:rsidRPr="00C9028F">
        <w:rPr>
          <w:rFonts w:eastAsia="Calibri" w:cs="Arial"/>
          <w:kern w:val="2"/>
          <w:szCs w:val="24"/>
          <w14:ligatures w14:val="standardContextual"/>
        </w:rPr>
        <w:t xml:space="preserve">They also asserted that the plan </w:t>
      </w:r>
      <w:r w:rsidR="00F308A5" w:rsidRPr="00C9028F">
        <w:rPr>
          <w:rFonts w:eastAsia="Calibri" w:cs="Arial"/>
          <w:kern w:val="2"/>
          <w:szCs w:val="24"/>
          <w14:ligatures w14:val="standardContextual"/>
        </w:rPr>
        <w:t>directly harm</w:t>
      </w:r>
      <w:r w:rsidR="00F308A5">
        <w:rPr>
          <w:rFonts w:eastAsia="Calibri" w:cs="Arial"/>
          <w:kern w:val="2"/>
          <w:szCs w:val="24"/>
          <w14:ligatures w14:val="standardContextual"/>
        </w:rPr>
        <w:t>s</w:t>
      </w:r>
      <w:r w:rsidR="00F308A5" w:rsidRPr="00C9028F">
        <w:rPr>
          <w:rFonts w:eastAsia="Calibri" w:cs="Arial"/>
          <w:kern w:val="2"/>
          <w:szCs w:val="24"/>
          <w14:ligatures w14:val="standardContextual"/>
        </w:rPr>
        <w:t xml:space="preserve"> the efforts of nonprofit employers, like them, to recruit employees</w:t>
      </w:r>
      <w:r w:rsidR="00F308A5">
        <w:rPr>
          <w:rFonts w:eastAsia="Calibri" w:cs="Arial"/>
          <w:kern w:val="2"/>
          <w:szCs w:val="24"/>
          <w14:ligatures w14:val="standardContextual"/>
        </w:rPr>
        <w:t>, due to a provision that</w:t>
      </w:r>
      <w:r w:rsidRPr="00C9028F">
        <w:rPr>
          <w:rFonts w:eastAsia="Calibri" w:cs="Arial"/>
          <w:kern w:val="2"/>
          <w:szCs w:val="24"/>
          <w14:ligatures w14:val="standardContextual"/>
        </w:rPr>
        <w:t xml:space="preserve"> </w:t>
      </w:r>
      <w:r w:rsidR="00F308A5">
        <w:rPr>
          <w:rFonts w:eastAsia="Calibri" w:cs="Arial"/>
          <w:kern w:val="2"/>
          <w:szCs w:val="24"/>
          <w14:ligatures w14:val="standardContextual"/>
        </w:rPr>
        <w:t>provides forgiveness to</w:t>
      </w:r>
      <w:r w:rsidR="000E2886" w:rsidRPr="00C9028F">
        <w:rPr>
          <w:rFonts w:eastAsia="Calibri" w:cs="Arial"/>
          <w:kern w:val="2"/>
          <w:szCs w:val="24"/>
          <w14:ligatures w14:val="standardContextual"/>
        </w:rPr>
        <w:t xml:space="preserve"> </w:t>
      </w:r>
      <w:r w:rsidRPr="00C9028F">
        <w:rPr>
          <w:rFonts w:eastAsia="Calibri" w:cs="Arial"/>
          <w:kern w:val="2"/>
          <w:szCs w:val="24"/>
          <w14:ligatures w14:val="standardContextual"/>
        </w:rPr>
        <w:t>borrowers in long-term forbearance seeking the cancellation of loans under the Public Service Loan Forgiveness (PSLF) program</w:t>
      </w:r>
      <w:r w:rsidR="00F308A5">
        <w:rPr>
          <w:rFonts w:eastAsia="Calibri" w:cs="Arial"/>
          <w:kern w:val="2"/>
          <w:szCs w:val="24"/>
          <w14:ligatures w14:val="standardContextual"/>
        </w:rPr>
        <w:t xml:space="preserve">.  </w:t>
      </w:r>
      <w:r w:rsidRPr="00C9028F">
        <w:rPr>
          <w:rFonts w:eastAsia="Calibri" w:cs="Arial"/>
          <w:kern w:val="2"/>
          <w:szCs w:val="24"/>
          <w14:ligatures w14:val="standardContextual"/>
        </w:rPr>
        <w:t>The groups suggested that the administration’s new plan</w:t>
      </w:r>
      <w:r w:rsidR="00F308A5">
        <w:rPr>
          <w:rFonts w:eastAsia="Calibri" w:cs="Arial"/>
          <w:kern w:val="2"/>
          <w:szCs w:val="24"/>
          <w14:ligatures w14:val="standardContextual"/>
        </w:rPr>
        <w:t xml:space="preserve"> </w:t>
      </w:r>
      <w:r w:rsidRPr="00C9028F">
        <w:rPr>
          <w:rFonts w:eastAsia="Calibri" w:cs="Arial"/>
          <w:kern w:val="2"/>
          <w:szCs w:val="24"/>
          <w14:ligatures w14:val="standardContextual"/>
        </w:rPr>
        <w:t>reduce</w:t>
      </w:r>
      <w:r w:rsidR="00F308A5">
        <w:rPr>
          <w:rFonts w:eastAsia="Calibri" w:cs="Arial"/>
          <w:kern w:val="2"/>
          <w:szCs w:val="24"/>
          <w14:ligatures w14:val="standardContextual"/>
        </w:rPr>
        <w:t>s</w:t>
      </w:r>
      <w:r w:rsidR="00FD27B2">
        <w:rPr>
          <w:rFonts w:eastAsia="Calibri" w:cs="Arial"/>
          <w:kern w:val="2"/>
          <w:szCs w:val="24"/>
          <w14:ligatures w14:val="standardContextual"/>
        </w:rPr>
        <w:t xml:space="preserve"> </w:t>
      </w:r>
      <w:r w:rsidRPr="00C9028F">
        <w:rPr>
          <w:rFonts w:eastAsia="Calibri" w:cs="Arial"/>
          <w:kern w:val="2"/>
          <w:szCs w:val="24"/>
          <w14:ligatures w14:val="standardContextual"/>
        </w:rPr>
        <w:t xml:space="preserve">the value of the PSLF program as a recruitment tool, as some borrowers </w:t>
      </w:r>
      <w:r w:rsidR="00025608">
        <w:rPr>
          <w:rFonts w:eastAsia="Calibri" w:cs="Arial"/>
          <w:kern w:val="2"/>
          <w:szCs w:val="24"/>
          <w14:ligatures w14:val="standardContextual"/>
        </w:rPr>
        <w:t>w</w:t>
      </w:r>
      <w:r w:rsidR="00F308A5">
        <w:rPr>
          <w:rFonts w:eastAsia="Calibri" w:cs="Arial"/>
          <w:kern w:val="2"/>
          <w:szCs w:val="24"/>
          <w14:ligatures w14:val="standardContextual"/>
        </w:rPr>
        <w:t>ill</w:t>
      </w:r>
      <w:r w:rsidR="00FD27B2" w:rsidRPr="00C9028F">
        <w:rPr>
          <w:rFonts w:eastAsia="Calibri" w:cs="Arial"/>
          <w:kern w:val="2"/>
          <w:szCs w:val="24"/>
          <w14:ligatures w14:val="standardContextual"/>
        </w:rPr>
        <w:t xml:space="preserve"> </w:t>
      </w:r>
      <w:r w:rsidR="00F308A5">
        <w:rPr>
          <w:rFonts w:eastAsia="Calibri" w:cs="Arial"/>
          <w:kern w:val="2"/>
          <w:szCs w:val="24"/>
          <w14:ligatures w14:val="standardContextual"/>
        </w:rPr>
        <w:t>receive</w:t>
      </w:r>
      <w:r w:rsidRPr="00C9028F">
        <w:rPr>
          <w:rFonts w:eastAsia="Calibri" w:cs="Arial"/>
          <w:kern w:val="2"/>
          <w:szCs w:val="24"/>
          <w14:ligatures w14:val="standardContextual"/>
        </w:rPr>
        <w:t xml:space="preserve"> forgiveness in less time under </w:t>
      </w:r>
      <w:r w:rsidR="00BD74BD">
        <w:rPr>
          <w:rFonts w:eastAsia="Calibri" w:cs="Arial"/>
          <w:kern w:val="2"/>
          <w:szCs w:val="24"/>
          <w14:ligatures w14:val="standardContextual"/>
        </w:rPr>
        <w:t>Biden’s</w:t>
      </w:r>
      <w:r w:rsidR="00BD74BD" w:rsidRPr="00C9028F">
        <w:rPr>
          <w:rFonts w:eastAsia="Calibri" w:cs="Arial"/>
          <w:kern w:val="2"/>
          <w:szCs w:val="24"/>
          <w14:ligatures w14:val="standardContextual"/>
        </w:rPr>
        <w:t xml:space="preserve"> </w:t>
      </w:r>
      <w:r w:rsidRPr="00C9028F">
        <w:rPr>
          <w:rFonts w:eastAsia="Calibri" w:cs="Arial"/>
          <w:kern w:val="2"/>
          <w:szCs w:val="24"/>
          <w14:ligatures w14:val="standardContextual"/>
        </w:rPr>
        <w:t xml:space="preserve">plan than under PSLF.  They also requested that the loan discharges be halted while the case was considered. </w:t>
      </w:r>
    </w:p>
    <w:p w14:paraId="680F87F3" w14:textId="0451F64B" w:rsidR="005C3EC0" w:rsidRDefault="00C9028F" w:rsidP="00C9028F">
      <w:pPr>
        <w:widowControl/>
        <w:suppressAutoHyphens w:val="0"/>
        <w:spacing w:before="0" w:after="160" w:line="259" w:lineRule="auto"/>
        <w:rPr>
          <w:rFonts w:eastAsia="Calibri" w:cs="Arial"/>
          <w:kern w:val="2"/>
          <w:szCs w:val="24"/>
          <w14:ligatures w14:val="standardContextual"/>
        </w:rPr>
      </w:pPr>
      <w:r w:rsidRPr="00C9028F">
        <w:rPr>
          <w:rFonts w:eastAsia="Calibri" w:cs="Arial"/>
          <w:kern w:val="2"/>
          <w:szCs w:val="24"/>
          <w14:ligatures w14:val="standardContextual"/>
        </w:rPr>
        <w:t xml:space="preserve">Judge Ludington denied the groups’ request and dismissed the suit, finding that the groups lacked standing to challenge the administration’s plan.  In the 18-page decision, Judge Ludington ruled that the two groups did not show that they would be directly harmed by the plan and that their injury assertions were unclear and too hypothetical.  Specifically, he noted that the groups did not show that the plan would impact any current </w:t>
      </w:r>
      <w:r w:rsidRPr="00C9028F">
        <w:rPr>
          <w:rFonts w:eastAsia="Calibri" w:cs="Arial"/>
          <w:kern w:val="2"/>
          <w:szCs w:val="24"/>
          <w14:ligatures w14:val="standardContextual"/>
        </w:rPr>
        <w:lastRenderedPageBreak/>
        <w:t>employees or that they w</w:t>
      </w:r>
      <w:r w:rsidR="00102003">
        <w:rPr>
          <w:rFonts w:eastAsia="Calibri" w:cs="Arial"/>
          <w:kern w:val="2"/>
          <w:szCs w:val="24"/>
          <w14:ligatures w14:val="standardContextual"/>
        </w:rPr>
        <w:t>ould</w:t>
      </w:r>
      <w:r w:rsidRPr="00C9028F">
        <w:rPr>
          <w:rFonts w:eastAsia="Calibri" w:cs="Arial"/>
          <w:kern w:val="2"/>
          <w:szCs w:val="24"/>
          <w14:ligatures w14:val="standardContextual"/>
        </w:rPr>
        <w:t xml:space="preserve"> “imminently hire any employee who will have received such credit.”</w:t>
      </w:r>
    </w:p>
    <w:p w14:paraId="49712DD9" w14:textId="7DDD5853" w:rsidR="00C9028F" w:rsidRPr="00C9028F" w:rsidRDefault="00C9028F">
      <w:pPr>
        <w:widowControl/>
        <w:suppressAutoHyphens w:val="0"/>
        <w:spacing w:before="0" w:after="160" w:line="259" w:lineRule="auto"/>
        <w:rPr>
          <w:rFonts w:eastAsia="Calibri" w:cs="Arial"/>
          <w:kern w:val="2"/>
          <w:szCs w:val="24"/>
          <w14:ligatures w14:val="standardContextual"/>
        </w:rPr>
      </w:pPr>
      <w:r w:rsidRPr="00C9028F">
        <w:rPr>
          <w:rFonts w:eastAsia="Calibri" w:cs="Arial"/>
          <w:kern w:val="2"/>
          <w:szCs w:val="24"/>
          <w14:ligatures w14:val="standardContextual"/>
        </w:rPr>
        <w:t xml:space="preserve">The decision was handed down </w:t>
      </w:r>
      <w:r w:rsidR="00561564">
        <w:rPr>
          <w:rFonts w:eastAsia="Calibri" w:cs="Arial"/>
          <w:kern w:val="2"/>
          <w:szCs w:val="24"/>
          <w14:ligatures w14:val="standardContextual"/>
        </w:rPr>
        <w:t xml:space="preserve">the same day </w:t>
      </w:r>
      <w:r w:rsidR="00F308A5">
        <w:rPr>
          <w:rFonts w:eastAsia="Calibri" w:cs="Arial"/>
          <w:kern w:val="2"/>
          <w:szCs w:val="24"/>
          <w14:ligatures w14:val="standardContextual"/>
        </w:rPr>
        <w:t>ED</w:t>
      </w:r>
      <w:r w:rsidR="00561564">
        <w:rPr>
          <w:rFonts w:eastAsia="Calibri" w:cs="Arial"/>
          <w:kern w:val="2"/>
          <w:szCs w:val="24"/>
          <w14:ligatures w14:val="standardContextual"/>
        </w:rPr>
        <w:t xml:space="preserve"> began discharging the debts of eligible borrowers</w:t>
      </w:r>
      <w:r w:rsidR="00F308A5">
        <w:rPr>
          <w:rFonts w:eastAsia="Calibri" w:cs="Arial"/>
          <w:kern w:val="2"/>
          <w:szCs w:val="24"/>
          <w14:ligatures w14:val="standardContextual"/>
        </w:rPr>
        <w:t xml:space="preserve"> under the plan</w:t>
      </w:r>
      <w:r w:rsidR="00561564">
        <w:rPr>
          <w:rFonts w:eastAsia="Calibri" w:cs="Arial"/>
          <w:kern w:val="2"/>
          <w:szCs w:val="24"/>
          <w14:ligatures w14:val="standardContextual"/>
        </w:rPr>
        <w:t xml:space="preserve">.  </w:t>
      </w:r>
      <w:r w:rsidRPr="00C9028F">
        <w:rPr>
          <w:rFonts w:eastAsia="Calibri" w:cs="Arial"/>
          <w:kern w:val="2"/>
          <w:szCs w:val="24"/>
          <w14:ligatures w14:val="standardContextual"/>
        </w:rPr>
        <w:t xml:space="preserve">The debt relief plan was </w:t>
      </w:r>
      <w:r w:rsidR="00FD4ABC">
        <w:rPr>
          <w:rFonts w:eastAsia="Calibri" w:cs="Arial"/>
          <w:kern w:val="2"/>
          <w:szCs w:val="24"/>
          <w14:ligatures w14:val="standardContextual"/>
        </w:rPr>
        <w:t xml:space="preserve">initially </w:t>
      </w:r>
      <w:r w:rsidRPr="00C9028F">
        <w:rPr>
          <w:rFonts w:eastAsia="Calibri" w:cs="Arial"/>
          <w:kern w:val="2"/>
          <w:szCs w:val="24"/>
          <w14:ligatures w14:val="standardContextual"/>
        </w:rPr>
        <w:t>announced in April of 2022</w:t>
      </w:r>
      <w:r w:rsidR="00FD4ABC">
        <w:rPr>
          <w:rFonts w:eastAsia="Calibri" w:cs="Arial"/>
          <w:kern w:val="2"/>
          <w:szCs w:val="24"/>
          <w14:ligatures w14:val="standardContextual"/>
        </w:rPr>
        <w:t xml:space="preserve"> </w:t>
      </w:r>
      <w:r w:rsidRPr="00C9028F">
        <w:rPr>
          <w:rFonts w:eastAsia="Calibri" w:cs="Arial"/>
          <w:kern w:val="2"/>
          <w:szCs w:val="24"/>
          <w14:ligatures w14:val="standardContextual"/>
        </w:rPr>
        <w:t xml:space="preserve">and is part of the administration’s attempt to fix mismanagement of income-driven repayment plans.  The mismanagement included </w:t>
      </w:r>
      <w:r w:rsidR="00F308A5">
        <w:rPr>
          <w:rFonts w:eastAsia="Calibri" w:cs="Arial"/>
          <w:kern w:val="2"/>
          <w:szCs w:val="24"/>
          <w14:ligatures w14:val="standardContextual"/>
        </w:rPr>
        <w:t xml:space="preserve">ED and </w:t>
      </w:r>
      <w:r w:rsidR="00561564">
        <w:rPr>
          <w:rFonts w:eastAsia="Calibri" w:cs="Arial"/>
          <w:kern w:val="2"/>
          <w:szCs w:val="24"/>
          <w14:ligatures w14:val="standardContextual"/>
        </w:rPr>
        <w:t xml:space="preserve">loan servicers </w:t>
      </w:r>
      <w:r w:rsidRPr="00C9028F">
        <w:rPr>
          <w:rFonts w:eastAsia="Calibri" w:cs="Arial"/>
          <w:kern w:val="2"/>
          <w:szCs w:val="24"/>
          <w14:ligatures w14:val="standardContextual"/>
        </w:rPr>
        <w:t xml:space="preserve">inaccurately tracking payments and encouraging borrowers to pursue long-term forbearances, which do not count toward loan forgiveness, instead of income-based programs, which do.  </w:t>
      </w:r>
      <w:r w:rsidR="00FD4ABC">
        <w:rPr>
          <w:rFonts w:eastAsia="Calibri" w:cs="Arial"/>
          <w:kern w:val="2"/>
          <w:szCs w:val="24"/>
          <w14:ligatures w14:val="standardContextual"/>
        </w:rPr>
        <w:t xml:space="preserve">Under the plan, ED made one-time adjustments to credit borrowers for payments made under income-driven repayment plans and the </w:t>
      </w:r>
      <w:r w:rsidR="007C1B84">
        <w:rPr>
          <w:rFonts w:eastAsia="Calibri" w:cs="Arial"/>
          <w:kern w:val="2"/>
          <w:szCs w:val="24"/>
          <w14:ligatures w14:val="standardContextual"/>
        </w:rPr>
        <w:t>PSLF</w:t>
      </w:r>
      <w:r w:rsidR="00FD4ABC">
        <w:rPr>
          <w:rFonts w:eastAsia="Calibri" w:cs="Arial"/>
          <w:kern w:val="2"/>
          <w:szCs w:val="24"/>
          <w14:ligatures w14:val="standardContextual"/>
        </w:rPr>
        <w:t xml:space="preserve"> program which were not previously tracked correctly, leading to thousands of borrowers becoming eligible for forgiveness under those plans.</w:t>
      </w:r>
    </w:p>
    <w:p w14:paraId="15F8B0EE" w14:textId="086EF270" w:rsidR="00C9028F" w:rsidRPr="00C9028F" w:rsidRDefault="00C9028F" w:rsidP="00C9028F">
      <w:pPr>
        <w:widowControl/>
        <w:suppressAutoHyphens w:val="0"/>
        <w:spacing w:before="0" w:after="160" w:line="259" w:lineRule="auto"/>
        <w:rPr>
          <w:rFonts w:eastAsia="Calibri" w:cs="Arial"/>
          <w:kern w:val="2"/>
          <w:szCs w:val="24"/>
          <w14:ligatures w14:val="standardContextual"/>
        </w:rPr>
      </w:pPr>
      <w:r w:rsidRPr="00C9028F">
        <w:rPr>
          <w:rFonts w:eastAsia="Calibri" w:cs="Arial"/>
          <w:kern w:val="2"/>
          <w:szCs w:val="24"/>
          <w14:ligatures w14:val="standardContextual"/>
        </w:rPr>
        <w:t>Neither the groups nor the New Civil Liberties Alliance have stated whether they will appeal the decision</w:t>
      </w:r>
      <w:r w:rsidR="0033423C">
        <w:rPr>
          <w:rFonts w:eastAsia="Calibri" w:cs="Arial"/>
          <w:kern w:val="2"/>
          <w:szCs w:val="24"/>
          <w14:ligatures w14:val="standardContextual"/>
        </w:rPr>
        <w:t>.</w:t>
      </w:r>
    </w:p>
    <w:p w14:paraId="00A85ECD" w14:textId="77777777" w:rsidR="00C9028F" w:rsidRPr="00C9028F" w:rsidRDefault="00C9028F" w:rsidP="00C9028F">
      <w:pPr>
        <w:widowControl/>
        <w:suppressAutoHyphens w:val="0"/>
        <w:spacing w:before="0" w:after="0" w:line="259" w:lineRule="auto"/>
        <w:rPr>
          <w:rFonts w:eastAsia="Calibri" w:cs="Arial"/>
          <w:kern w:val="2"/>
          <w:szCs w:val="24"/>
          <w14:ligatures w14:val="standardContextual"/>
        </w:rPr>
      </w:pPr>
      <w:r w:rsidRPr="00C9028F">
        <w:rPr>
          <w:rFonts w:eastAsia="Calibri" w:cs="Arial"/>
          <w:kern w:val="2"/>
          <w:szCs w:val="24"/>
          <w14:ligatures w14:val="standardContextual"/>
        </w:rPr>
        <w:t xml:space="preserve">Resources: </w:t>
      </w:r>
    </w:p>
    <w:p w14:paraId="564984C3" w14:textId="77777777" w:rsidR="00C9028F" w:rsidRPr="00C9028F" w:rsidRDefault="00C9028F" w:rsidP="00C9028F">
      <w:pPr>
        <w:widowControl/>
        <w:suppressAutoHyphens w:val="0"/>
        <w:spacing w:before="0" w:after="0" w:line="259" w:lineRule="auto"/>
        <w:rPr>
          <w:rFonts w:eastAsia="Calibri" w:cs="Arial"/>
          <w:kern w:val="2"/>
          <w:szCs w:val="24"/>
          <w14:ligatures w14:val="standardContextual"/>
        </w:rPr>
      </w:pPr>
      <w:r w:rsidRPr="00C9028F">
        <w:rPr>
          <w:rFonts w:eastAsia="Calibri" w:cs="Arial"/>
          <w:kern w:val="2"/>
          <w:szCs w:val="24"/>
          <w14:ligatures w14:val="standardContextual"/>
        </w:rPr>
        <w:t xml:space="preserve">Michael Stratford, “Judge tosses challenge to Biden’s $39B of student debt relief for longstanding borrowers,” </w:t>
      </w:r>
      <w:r w:rsidRPr="00C9028F">
        <w:rPr>
          <w:rFonts w:eastAsia="Calibri" w:cs="Arial"/>
          <w:i/>
          <w:iCs/>
          <w:kern w:val="2"/>
          <w:szCs w:val="24"/>
          <w14:ligatures w14:val="standardContextual"/>
        </w:rPr>
        <w:t>Politico</w:t>
      </w:r>
      <w:r w:rsidRPr="00C9028F">
        <w:rPr>
          <w:rFonts w:eastAsia="Calibri" w:cs="Arial"/>
          <w:kern w:val="2"/>
          <w:szCs w:val="24"/>
          <w14:ligatures w14:val="standardContextual"/>
        </w:rPr>
        <w:t xml:space="preserve">, August 14, 2023. </w:t>
      </w:r>
    </w:p>
    <w:p w14:paraId="5D76FFB6" w14:textId="50FBA0C2" w:rsidR="00C9028F" w:rsidRPr="00C9028F" w:rsidRDefault="00C9028F" w:rsidP="00C9028F">
      <w:pPr>
        <w:widowControl/>
        <w:suppressAutoHyphens w:val="0"/>
        <w:spacing w:before="0" w:after="0" w:line="259" w:lineRule="auto"/>
        <w:rPr>
          <w:rFonts w:eastAsia="Calibri" w:cs="Arial"/>
          <w:kern w:val="2"/>
          <w:szCs w:val="24"/>
          <w14:ligatures w14:val="standardContextual"/>
        </w:rPr>
      </w:pPr>
      <w:r w:rsidRPr="00C9028F">
        <w:rPr>
          <w:rFonts w:eastAsia="Calibri" w:cs="Arial"/>
          <w:kern w:val="2"/>
          <w:szCs w:val="24"/>
          <w14:ligatures w14:val="standardContextual"/>
        </w:rPr>
        <w:t xml:space="preserve">Author: BNT </w:t>
      </w:r>
    </w:p>
    <w:p w14:paraId="133A5411" w14:textId="62662361" w:rsidR="00442A05" w:rsidRPr="00A34E14" w:rsidRDefault="00735796" w:rsidP="00A34E14">
      <w:pPr>
        <w:pStyle w:val="Heading3"/>
        <w:rPr>
          <w:bCs/>
        </w:rPr>
      </w:pPr>
      <w:bookmarkStart w:id="21" w:name="_Toc143177435"/>
      <w:r>
        <w:rPr>
          <w:bCs/>
        </w:rPr>
        <w:t>ED Launches Back-To-School Safety Campaign</w:t>
      </w:r>
      <w:bookmarkEnd w:id="21"/>
    </w:p>
    <w:p w14:paraId="28875114" w14:textId="7D984E8D" w:rsidR="00272CD2" w:rsidRDefault="00272CD2" w:rsidP="00272CD2">
      <w:pPr>
        <w:rPr>
          <w:rFonts w:cs="Arial"/>
          <w:szCs w:val="24"/>
        </w:rPr>
      </w:pPr>
      <w:r>
        <w:rPr>
          <w:rFonts w:cs="Arial"/>
          <w:szCs w:val="24"/>
        </w:rPr>
        <w:t xml:space="preserve">The U.S. Department of Education (ED) announced a back-to-school safety campaign on Thursday in partnership with the </w:t>
      </w:r>
      <w:r w:rsidR="00F308A5">
        <w:rPr>
          <w:rFonts w:cs="Arial"/>
          <w:szCs w:val="24"/>
        </w:rPr>
        <w:t xml:space="preserve">U.S. </w:t>
      </w:r>
      <w:r>
        <w:rPr>
          <w:rFonts w:cs="Arial"/>
          <w:szCs w:val="24"/>
        </w:rPr>
        <w:t xml:space="preserve">Departments of Homeland Security, Health and Human Services, and Justice.  The awareness campaign is aimed at bringing attention to the federal resources </w:t>
      </w:r>
      <w:r w:rsidR="00FD452F">
        <w:rPr>
          <w:rFonts w:cs="Arial"/>
          <w:szCs w:val="24"/>
        </w:rPr>
        <w:t xml:space="preserve">on school safety </w:t>
      </w:r>
      <w:r>
        <w:rPr>
          <w:rFonts w:cs="Arial"/>
          <w:szCs w:val="24"/>
        </w:rPr>
        <w:t>currently available to schools, State and local officials, and parents and guardians.</w:t>
      </w:r>
    </w:p>
    <w:p w14:paraId="6A3E3984" w14:textId="44D28E4B" w:rsidR="00272CD2" w:rsidRDefault="00272CD2" w:rsidP="00272CD2">
      <w:pPr>
        <w:rPr>
          <w:rFonts w:cs="Arial"/>
          <w:szCs w:val="24"/>
        </w:rPr>
      </w:pPr>
      <w:r>
        <w:rPr>
          <w:rFonts w:cs="Arial"/>
          <w:szCs w:val="24"/>
        </w:rPr>
        <w:t xml:space="preserve">The agencies will be launching resources, including webinars, infographics, toolkits, and other materials, throughout August and September.  All current resources are available on </w:t>
      </w:r>
      <w:hyperlink r:id="rId13" w:history="1">
        <w:r w:rsidR="00561564">
          <w:rPr>
            <w:rStyle w:val="Hyperlink"/>
            <w:rFonts w:cs="Arial"/>
            <w:szCs w:val="24"/>
          </w:rPr>
          <w:t>www.schoolsafety.gov</w:t>
        </w:r>
      </w:hyperlink>
      <w:r w:rsidR="00F308A5">
        <w:rPr>
          <w:rFonts w:cs="Arial"/>
          <w:szCs w:val="24"/>
        </w:rPr>
        <w:t>, with n</w:t>
      </w:r>
      <w:r>
        <w:rPr>
          <w:rFonts w:cs="Arial"/>
          <w:szCs w:val="24"/>
        </w:rPr>
        <w:t xml:space="preserve">ew materials to be released over the next two months on a dedicated “hub” on the school safety website: </w:t>
      </w:r>
      <w:hyperlink r:id="rId14" w:history="1">
        <w:r w:rsidRPr="0082231B">
          <w:rPr>
            <w:rStyle w:val="Hyperlink"/>
            <w:rFonts w:cs="Arial"/>
            <w:szCs w:val="24"/>
          </w:rPr>
          <w:t>www.schoolsafety.gov/back-to-school-campaign</w:t>
        </w:r>
      </w:hyperlink>
      <w:r>
        <w:rPr>
          <w:rFonts w:cs="Arial"/>
          <w:szCs w:val="24"/>
        </w:rPr>
        <w:t xml:space="preserve">.  </w:t>
      </w:r>
    </w:p>
    <w:p w14:paraId="70316134" w14:textId="260CC2AB" w:rsidR="00272CD2" w:rsidRDefault="00C7613D" w:rsidP="00272CD2">
      <w:pPr>
        <w:rPr>
          <w:rFonts w:cs="Arial"/>
          <w:szCs w:val="24"/>
        </w:rPr>
      </w:pPr>
      <w:r>
        <w:rPr>
          <w:rFonts w:cs="Arial"/>
          <w:szCs w:val="24"/>
        </w:rPr>
        <w:t>T</w:t>
      </w:r>
      <w:r w:rsidRPr="00C7613D">
        <w:rPr>
          <w:rFonts w:cs="Arial"/>
          <w:szCs w:val="24"/>
        </w:rPr>
        <w:t>he Federal School Safety Clearinghouse</w:t>
      </w:r>
      <w:r>
        <w:rPr>
          <w:rFonts w:cs="Arial"/>
          <w:szCs w:val="24"/>
        </w:rPr>
        <w:t>,</w:t>
      </w:r>
      <w:r w:rsidRPr="00C7613D">
        <w:rPr>
          <w:rFonts w:cs="Arial"/>
          <w:szCs w:val="24"/>
        </w:rPr>
        <w:t xml:space="preserve"> a collaborative initiative between </w:t>
      </w:r>
      <w:proofErr w:type="gramStart"/>
      <w:r w:rsidRPr="00C7613D">
        <w:rPr>
          <w:rFonts w:cs="Arial"/>
          <w:szCs w:val="24"/>
        </w:rPr>
        <w:t>all of</w:t>
      </w:r>
      <w:proofErr w:type="gramEnd"/>
      <w:r w:rsidRPr="00C7613D">
        <w:rPr>
          <w:rFonts w:cs="Arial"/>
          <w:szCs w:val="24"/>
        </w:rPr>
        <w:t xml:space="preserve"> the federal agencies involved in the back-to-school awareness campaign</w:t>
      </w:r>
      <w:r>
        <w:rPr>
          <w:rFonts w:cs="Arial"/>
          <w:szCs w:val="24"/>
        </w:rPr>
        <w:t>,</w:t>
      </w:r>
      <w:r w:rsidR="004F512C">
        <w:rPr>
          <w:rFonts w:cs="Arial"/>
          <w:szCs w:val="24"/>
        </w:rPr>
        <w:t xml:space="preserve"> maintains t</w:t>
      </w:r>
      <w:r w:rsidR="00272CD2">
        <w:rPr>
          <w:rFonts w:cs="Arial"/>
          <w:szCs w:val="24"/>
        </w:rPr>
        <w:t>he school safety website.  The website includes information on a range of topics, including mental health, school climate, and bullying prevention, among others.  The</w:t>
      </w:r>
      <w:r>
        <w:rPr>
          <w:rFonts w:cs="Arial"/>
          <w:szCs w:val="24"/>
        </w:rPr>
        <w:t xml:space="preserve"> </w:t>
      </w:r>
      <w:r w:rsidRPr="00C7613D">
        <w:rPr>
          <w:rFonts w:cs="Arial"/>
          <w:szCs w:val="24"/>
        </w:rPr>
        <w:t>Bipartisan Safer Communities Act</w:t>
      </w:r>
      <w:r>
        <w:rPr>
          <w:rFonts w:cs="Arial"/>
          <w:szCs w:val="24"/>
        </w:rPr>
        <w:t xml:space="preserve">, </w:t>
      </w:r>
      <w:r w:rsidRPr="00C7613D">
        <w:rPr>
          <w:rFonts w:cs="Arial"/>
          <w:szCs w:val="24"/>
        </w:rPr>
        <w:t>signed into law last year</w:t>
      </w:r>
      <w:r>
        <w:rPr>
          <w:rFonts w:cs="Arial"/>
          <w:szCs w:val="24"/>
        </w:rPr>
        <w:t>, formally established the</w:t>
      </w:r>
      <w:r w:rsidR="00272CD2">
        <w:rPr>
          <w:rFonts w:cs="Arial"/>
          <w:szCs w:val="24"/>
        </w:rPr>
        <w:t xml:space="preserve"> clearinghouse</w:t>
      </w:r>
      <w:r>
        <w:rPr>
          <w:rFonts w:cs="Arial"/>
          <w:szCs w:val="24"/>
        </w:rPr>
        <w:t>.</w:t>
      </w:r>
    </w:p>
    <w:p w14:paraId="72561023" w14:textId="3A0C8327" w:rsidR="00272CD2" w:rsidRDefault="00272CD2" w:rsidP="00272CD2">
      <w:pPr>
        <w:rPr>
          <w:rFonts w:cs="Arial"/>
          <w:szCs w:val="24"/>
        </w:rPr>
      </w:pPr>
      <w:r>
        <w:rPr>
          <w:rFonts w:cs="Arial"/>
          <w:szCs w:val="24"/>
        </w:rPr>
        <w:t>Author: KSC</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w:t>
      </w:r>
      <w:r w:rsidRPr="0063135C">
        <w:rPr>
          <w:b/>
          <w:i/>
        </w:rPr>
        <w:lastRenderedPageBreak/>
        <w:t xml:space="preserve">relationship between </w:t>
      </w:r>
      <w:r w:rsidR="00C138EF">
        <w:rPr>
          <w:b/>
          <w:i/>
        </w:rPr>
        <w:t xml:space="preserve">The Bruman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05F12CC8"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E87AA8">
        <w:rPr>
          <w:rFonts w:eastAsia="Times New Roman" w:cs="Arial"/>
          <w:szCs w:val="24"/>
        </w:rPr>
        <w:t>Kelly Christiansen</w:t>
      </w:r>
      <w:r w:rsidR="00F2107A">
        <w:rPr>
          <w:rFonts w:eastAsia="Times New Roman" w:cs="Arial"/>
          <w:szCs w:val="24"/>
        </w:rPr>
        <w:t>, Brandi Tennant</w:t>
      </w:r>
    </w:p>
    <w:p w14:paraId="598491DD" w14:textId="72290A2E" w:rsidR="00FA059B" w:rsidRPr="003D7BE9" w:rsidRDefault="00FA059B" w:rsidP="003D7BE9">
      <w:pPr>
        <w:spacing w:before="240" w:after="240"/>
        <w:rPr>
          <w:rFonts w:eastAsia="Times New Roman" w:cs="Arial"/>
          <w:szCs w:val="24"/>
        </w:rPr>
      </w:pPr>
      <w:r>
        <w:t>Posted by the California Department of Education, August 2023</w:t>
      </w:r>
      <w:r>
        <w:br/>
      </w:r>
      <w:hyperlink r:id="rId15" w:history="1">
        <w:r w:rsidRPr="00770128">
          <w:rPr>
            <w:rStyle w:val="Hyperlink"/>
            <w:szCs w:val="24"/>
          </w:rPr>
          <w:t>www.bruman.com</w:t>
        </w:r>
      </w:hyperlink>
    </w:p>
    <w:sectPr w:rsidR="00FA059B" w:rsidRPr="003D7BE9" w:rsidSect="00BA5BFE">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95BB" w14:textId="77777777" w:rsidR="00723214" w:rsidRDefault="00723214">
      <w:pPr>
        <w:spacing w:before="0" w:after="0"/>
      </w:pPr>
      <w:r>
        <w:separator/>
      </w:r>
    </w:p>
  </w:endnote>
  <w:endnote w:type="continuationSeparator" w:id="0">
    <w:p w14:paraId="64D94DF4" w14:textId="77777777" w:rsidR="00723214" w:rsidRDefault="00723214">
      <w:pPr>
        <w:spacing w:before="0" w:after="0"/>
      </w:pPr>
      <w:r>
        <w:continuationSeparator/>
      </w:r>
    </w:p>
  </w:endnote>
  <w:endnote w:type="continuationNotice" w:id="1">
    <w:p w14:paraId="6136D800" w14:textId="77777777" w:rsidR="00723214" w:rsidRDefault="007232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FA059B">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0C88" w14:textId="77777777" w:rsidR="00723214" w:rsidRDefault="00723214">
      <w:pPr>
        <w:spacing w:before="0" w:after="0"/>
      </w:pPr>
      <w:r>
        <w:separator/>
      </w:r>
    </w:p>
  </w:footnote>
  <w:footnote w:type="continuationSeparator" w:id="0">
    <w:p w14:paraId="72762B1E" w14:textId="77777777" w:rsidR="00723214" w:rsidRDefault="00723214">
      <w:pPr>
        <w:spacing w:before="0" w:after="0"/>
      </w:pPr>
      <w:r>
        <w:continuationSeparator/>
      </w:r>
    </w:p>
  </w:footnote>
  <w:footnote w:type="continuationNotice" w:id="1">
    <w:p w14:paraId="3B5696FC" w14:textId="77777777" w:rsidR="00723214" w:rsidRDefault="0072321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1B60362" w:rsidR="003C7552" w:rsidRPr="00662BDC" w:rsidRDefault="003E6C86" w:rsidP="000A590A">
    <w:pPr>
      <w:pStyle w:val="NoSpacing"/>
      <w:tabs>
        <w:tab w:val="left" w:pos="7920"/>
      </w:tabs>
    </w:pPr>
    <w:r>
      <w:t xml:space="preserve">August </w:t>
    </w:r>
    <w:r w:rsidR="007464E9">
      <w:t>1</w:t>
    </w:r>
    <w:r w:rsidR="005B33AE">
      <w:t>8</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28442">
    <w:abstractNumId w:val="1"/>
  </w:num>
  <w:num w:numId="2" w16cid:durableId="180096158">
    <w:abstractNumId w:val="10"/>
  </w:num>
  <w:num w:numId="3" w16cid:durableId="1030569627">
    <w:abstractNumId w:val="11"/>
  </w:num>
  <w:num w:numId="4" w16cid:durableId="2067683256">
    <w:abstractNumId w:val="12"/>
  </w:num>
  <w:num w:numId="5" w16cid:durableId="1477916743">
    <w:abstractNumId w:val="13"/>
  </w:num>
  <w:num w:numId="6" w16cid:durableId="1559508391">
    <w:abstractNumId w:val="2"/>
  </w:num>
  <w:num w:numId="7" w16cid:durableId="2143766895">
    <w:abstractNumId w:val="8"/>
  </w:num>
  <w:num w:numId="8" w16cid:durableId="1216818563">
    <w:abstractNumId w:val="7"/>
  </w:num>
  <w:num w:numId="9" w16cid:durableId="1648121096">
    <w:abstractNumId w:val="5"/>
  </w:num>
  <w:num w:numId="10" w16cid:durableId="2049523708">
    <w:abstractNumId w:val="4"/>
  </w:num>
  <w:num w:numId="11" w16cid:durableId="1639071266">
    <w:abstractNumId w:val="0"/>
  </w:num>
  <w:num w:numId="12" w16cid:durableId="619073324">
    <w:abstractNumId w:val="9"/>
  </w:num>
  <w:num w:numId="13" w16cid:durableId="1740444617">
    <w:abstractNumId w:val="6"/>
  </w:num>
  <w:num w:numId="14" w16cid:durableId="1303076126">
    <w:abstractNumId w:val="3"/>
  </w:num>
  <w:num w:numId="15" w16cid:durableId="16411114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0F05"/>
    <w:rsid w:val="000D1533"/>
    <w:rsid w:val="000D1FAA"/>
    <w:rsid w:val="000D314D"/>
    <w:rsid w:val="000D3870"/>
    <w:rsid w:val="000D39B8"/>
    <w:rsid w:val="000D3BDA"/>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0A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6C2"/>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423C"/>
    <w:rsid w:val="00336532"/>
    <w:rsid w:val="003365D6"/>
    <w:rsid w:val="00336976"/>
    <w:rsid w:val="0033719E"/>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2C2E"/>
    <w:rsid w:val="004E3A51"/>
    <w:rsid w:val="004E3CCF"/>
    <w:rsid w:val="004E3ECB"/>
    <w:rsid w:val="004E3F70"/>
    <w:rsid w:val="004E5B63"/>
    <w:rsid w:val="004E6085"/>
    <w:rsid w:val="004E69A4"/>
    <w:rsid w:val="004E760D"/>
    <w:rsid w:val="004E78E8"/>
    <w:rsid w:val="004F1022"/>
    <w:rsid w:val="004F1212"/>
    <w:rsid w:val="004F134A"/>
    <w:rsid w:val="004F4312"/>
    <w:rsid w:val="004F46A6"/>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A7B"/>
    <w:rsid w:val="006C4DE1"/>
    <w:rsid w:val="006C4E5B"/>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2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375AB"/>
    <w:rsid w:val="00840235"/>
    <w:rsid w:val="008407D7"/>
    <w:rsid w:val="008413D3"/>
    <w:rsid w:val="00841A39"/>
    <w:rsid w:val="00841E4E"/>
    <w:rsid w:val="00842DC4"/>
    <w:rsid w:val="00843DED"/>
    <w:rsid w:val="008446A7"/>
    <w:rsid w:val="0084494E"/>
    <w:rsid w:val="00844B07"/>
    <w:rsid w:val="00844E5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B8A"/>
    <w:rsid w:val="00856221"/>
    <w:rsid w:val="00860959"/>
    <w:rsid w:val="0086111F"/>
    <w:rsid w:val="00861585"/>
    <w:rsid w:val="008617C4"/>
    <w:rsid w:val="00861909"/>
    <w:rsid w:val="00861B8D"/>
    <w:rsid w:val="00862321"/>
    <w:rsid w:val="00862402"/>
    <w:rsid w:val="00863E7F"/>
    <w:rsid w:val="00863EAA"/>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2474"/>
    <w:rsid w:val="00BB28ED"/>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059B"/>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FA059B"/>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FA059B"/>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schoolsafety.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gov/about/offices/list/ocr/docs/ocr-questionsandanswers-tvi-2023081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about/offices/list/ocr/letters/colleague-20230814.pdf" TargetMode="External"/><Relationship Id="rId5" Type="http://schemas.openxmlformats.org/officeDocument/2006/relationships/webSettings" Target="webSettings.xml"/><Relationship Id="rId15" Type="http://schemas.openxmlformats.org/officeDocument/2006/relationships/hyperlink" Target="http://www.bruman.com" TargetMode="External"/><Relationship Id="rId10" Type="http://schemas.openxmlformats.org/officeDocument/2006/relationships/hyperlink" Target="http://www.bruma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www.schoolsafety.gov/back-to-school-campaig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18, 2023 - Government Affairs (CA Dept of Education)</dc:title>
  <dc:subject>The BruMan Group weekly Federal Update Report for August 18, 2023.</dc:subject>
  <dc:creator/>
  <cp:lastModifiedBy/>
  <cp:revision>1</cp:revision>
  <dcterms:created xsi:type="dcterms:W3CDTF">2023-08-21T23:06:00Z</dcterms:created>
  <dcterms:modified xsi:type="dcterms:W3CDTF">2023-08-21T23:31:00Z</dcterms:modified>
</cp:coreProperties>
</file>