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55B9C0A8" w:rsidR="0042468E" w:rsidRPr="00420F9B" w:rsidRDefault="0042468E" w:rsidP="00420F9B">
      <w:pPr>
        <w:pStyle w:val="Heading1"/>
        <w:keepNext w:val="0"/>
        <w:keepLines w:val="0"/>
        <w:pBdr>
          <w:bottom w:val="none" w:sz="0" w:space="0" w:color="auto"/>
        </w:pBdr>
        <w:spacing w:before="90"/>
        <w:jc w:val="center"/>
        <w:rPr>
          <w:rFonts w:eastAsia="Verdana" w:cs="Times New Roman"/>
          <w:bCs/>
          <w:smallCaps w:val="0"/>
        </w:rPr>
      </w:pPr>
      <w:bookmarkStart w:id="0" w:name="_Toc69999593"/>
      <w:bookmarkStart w:id="1" w:name="_Toc70604860"/>
      <w:bookmarkStart w:id="2" w:name="_Toc70615916"/>
      <w:bookmarkStart w:id="3" w:name="_Toc70673785"/>
      <w:bookmarkStart w:id="4" w:name="_Toc71878172"/>
      <w:bookmarkStart w:id="5" w:name="_Toc71879808"/>
      <w:r w:rsidRPr="00420F9B">
        <w:rPr>
          <w:rFonts w:eastAsia="Verdana" w:cs="Times New Roman"/>
          <w:bCs/>
          <w:smallCaps w:val="0"/>
        </w:rPr>
        <w:t xml:space="preserve">The Federal Update for </w:t>
      </w:r>
      <w:bookmarkEnd w:id="0"/>
      <w:bookmarkEnd w:id="1"/>
      <w:bookmarkEnd w:id="2"/>
      <w:bookmarkEnd w:id="3"/>
      <w:bookmarkEnd w:id="4"/>
      <w:bookmarkEnd w:id="5"/>
      <w:r w:rsidR="00D51DFA" w:rsidRPr="00420F9B">
        <w:rPr>
          <w:rFonts w:eastAsia="Verdana" w:cs="Times New Roman"/>
          <w:bCs/>
          <w:smallCaps w:val="0"/>
        </w:rPr>
        <w:t>February 6</w:t>
      </w:r>
      <w:r w:rsidR="007C6E27" w:rsidRPr="00420F9B">
        <w:rPr>
          <w:rFonts w:eastAsia="Verdana" w:cs="Times New Roman"/>
          <w:bCs/>
          <w:smallCaps w:val="0"/>
        </w:rPr>
        <w:t>, 202</w:t>
      </w:r>
      <w:r w:rsidR="00675BD9" w:rsidRPr="00420F9B">
        <w:rPr>
          <w:rFonts w:eastAsia="Verdana" w:cs="Times New Roman"/>
          <w:bCs/>
          <w:smallCaps w:val="0"/>
        </w:rPr>
        <w:t>6</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2D3058A1" w:rsidR="0063135C" w:rsidRDefault="00D0389C" w:rsidP="009B424F">
      <w:pPr>
        <w:pStyle w:val="MessageHeader"/>
        <w:spacing w:after="240"/>
      </w:pPr>
      <w:r>
        <w:t>Date:</w:t>
      </w:r>
      <w:r>
        <w:tab/>
      </w:r>
      <w:r w:rsidR="00D51DFA">
        <w:t>February 6</w:t>
      </w:r>
      <w:r w:rsidR="559A70F6">
        <w:t>,</w:t>
      </w:r>
      <w:r w:rsidR="007C6E27">
        <w:t xml:space="preserve"> 202</w:t>
      </w:r>
      <w:r w:rsidR="00675BD9">
        <w:t>6</w:t>
      </w:r>
    </w:p>
    <w:p w14:paraId="03F12A28" w14:textId="04A89355" w:rsidR="003B4CC9" w:rsidRDefault="00D478B6">
      <w:pPr>
        <w:pStyle w:val="TOC1"/>
        <w:rPr>
          <w:rFonts w:asciiTheme="minorHAnsi" w:eastAsiaTheme="minorEastAsia" w:hAnsiTheme="minorHAnsi" w:cstheme="minorBidi"/>
          <w:b w:val="0"/>
          <w:noProof/>
          <w:kern w:val="2"/>
          <w:sz w:val="24"/>
          <w:szCs w:val="24"/>
          <w14:ligatures w14:val="standardContextual"/>
        </w:rPr>
      </w:pPr>
      <w:r>
        <w:rPr>
          <w:smallCaps/>
        </w:rPr>
        <w:fldChar w:fldCharType="begin"/>
      </w:r>
      <w:r>
        <w:rPr>
          <w:smallCaps/>
        </w:rPr>
        <w:instrText xml:space="preserve"> TOC \o "1-2" \h \z \u </w:instrText>
      </w:r>
      <w:r>
        <w:rPr>
          <w:smallCaps/>
        </w:rPr>
        <w:fldChar w:fldCharType="separate"/>
      </w:r>
      <w:hyperlink w:anchor="_Toc221270995" w:history="1">
        <w:r w:rsidR="003B4CC9" w:rsidRPr="00A937FD">
          <w:rPr>
            <w:rStyle w:val="Hyperlink"/>
            <w:noProof/>
          </w:rPr>
          <w:t>Legislation and Guidance</w:t>
        </w:r>
        <w:r w:rsidR="003B4CC9">
          <w:rPr>
            <w:noProof/>
            <w:webHidden/>
          </w:rPr>
          <w:tab/>
        </w:r>
        <w:r w:rsidR="003B4CC9">
          <w:rPr>
            <w:noProof/>
            <w:webHidden/>
          </w:rPr>
          <w:fldChar w:fldCharType="begin"/>
        </w:r>
        <w:r w:rsidR="003B4CC9">
          <w:rPr>
            <w:noProof/>
            <w:webHidden/>
          </w:rPr>
          <w:instrText xml:space="preserve"> PAGEREF _Toc221270995 \h </w:instrText>
        </w:r>
        <w:r w:rsidR="003B4CC9">
          <w:rPr>
            <w:noProof/>
            <w:webHidden/>
          </w:rPr>
        </w:r>
        <w:r w:rsidR="003B4CC9">
          <w:rPr>
            <w:noProof/>
            <w:webHidden/>
          </w:rPr>
          <w:fldChar w:fldCharType="separate"/>
        </w:r>
        <w:r w:rsidR="003B4CC9">
          <w:rPr>
            <w:noProof/>
            <w:webHidden/>
          </w:rPr>
          <w:t>1</w:t>
        </w:r>
        <w:r w:rsidR="003B4CC9">
          <w:rPr>
            <w:noProof/>
            <w:webHidden/>
          </w:rPr>
          <w:fldChar w:fldCharType="end"/>
        </w:r>
      </w:hyperlink>
    </w:p>
    <w:p w14:paraId="55EB0610" w14:textId="04CC04DF" w:rsidR="003B4CC9" w:rsidRDefault="003B4CC9">
      <w:pPr>
        <w:pStyle w:val="TOC2"/>
        <w:rPr>
          <w:rFonts w:asciiTheme="minorHAnsi" w:eastAsiaTheme="minorEastAsia" w:hAnsiTheme="minorHAnsi" w:cstheme="minorBidi"/>
          <w:b w:val="0"/>
          <w:kern w:val="2"/>
          <w:sz w:val="24"/>
          <w:szCs w:val="24"/>
          <w14:ligatures w14:val="standardContextual"/>
        </w:rPr>
      </w:pPr>
      <w:hyperlink w:anchor="_Toc221270996" w:history="1">
        <w:r w:rsidRPr="00A937FD">
          <w:rPr>
            <w:rStyle w:val="Hyperlink"/>
          </w:rPr>
          <w:t>Congress Passes Full-Year Funding for ED, other Agencies</w:t>
        </w:r>
        <w:r>
          <w:rPr>
            <w:webHidden/>
          </w:rPr>
          <w:tab/>
        </w:r>
        <w:r>
          <w:rPr>
            <w:webHidden/>
          </w:rPr>
          <w:fldChar w:fldCharType="begin"/>
        </w:r>
        <w:r>
          <w:rPr>
            <w:webHidden/>
          </w:rPr>
          <w:instrText xml:space="preserve"> PAGEREF _Toc221270996 \h </w:instrText>
        </w:r>
        <w:r>
          <w:rPr>
            <w:webHidden/>
          </w:rPr>
        </w:r>
        <w:r>
          <w:rPr>
            <w:webHidden/>
          </w:rPr>
          <w:fldChar w:fldCharType="separate"/>
        </w:r>
        <w:r>
          <w:rPr>
            <w:webHidden/>
          </w:rPr>
          <w:t>1</w:t>
        </w:r>
        <w:r>
          <w:rPr>
            <w:webHidden/>
          </w:rPr>
          <w:fldChar w:fldCharType="end"/>
        </w:r>
      </w:hyperlink>
    </w:p>
    <w:p w14:paraId="3454833B" w14:textId="3243D969" w:rsidR="003B4CC9" w:rsidRDefault="003B4CC9">
      <w:pPr>
        <w:pStyle w:val="TOC2"/>
        <w:rPr>
          <w:rFonts w:asciiTheme="minorHAnsi" w:eastAsiaTheme="minorEastAsia" w:hAnsiTheme="minorHAnsi" w:cstheme="minorBidi"/>
          <w:b w:val="0"/>
          <w:kern w:val="2"/>
          <w:sz w:val="24"/>
          <w:szCs w:val="24"/>
          <w14:ligatures w14:val="standardContextual"/>
        </w:rPr>
      </w:pPr>
      <w:hyperlink w:anchor="_Toc221270997" w:history="1">
        <w:r w:rsidRPr="00A937FD">
          <w:rPr>
            <w:rStyle w:val="Hyperlink"/>
          </w:rPr>
          <w:t>ED Updates Prayer Guidance</w:t>
        </w:r>
        <w:r>
          <w:rPr>
            <w:webHidden/>
          </w:rPr>
          <w:tab/>
        </w:r>
        <w:r>
          <w:rPr>
            <w:webHidden/>
          </w:rPr>
          <w:fldChar w:fldCharType="begin"/>
        </w:r>
        <w:r>
          <w:rPr>
            <w:webHidden/>
          </w:rPr>
          <w:instrText xml:space="preserve"> PAGEREF _Toc221270997 \h </w:instrText>
        </w:r>
        <w:r>
          <w:rPr>
            <w:webHidden/>
          </w:rPr>
        </w:r>
        <w:r>
          <w:rPr>
            <w:webHidden/>
          </w:rPr>
          <w:fldChar w:fldCharType="separate"/>
        </w:r>
        <w:r>
          <w:rPr>
            <w:webHidden/>
          </w:rPr>
          <w:t>3</w:t>
        </w:r>
        <w:r>
          <w:rPr>
            <w:webHidden/>
          </w:rPr>
          <w:fldChar w:fldCharType="end"/>
        </w:r>
      </w:hyperlink>
    </w:p>
    <w:p w14:paraId="293B4C18" w14:textId="27BA1C65" w:rsidR="003B4CC9" w:rsidRDefault="003B4CC9">
      <w:pPr>
        <w:pStyle w:val="TOC1"/>
        <w:rPr>
          <w:rFonts w:asciiTheme="minorHAnsi" w:eastAsiaTheme="minorEastAsia" w:hAnsiTheme="minorHAnsi" w:cstheme="minorBidi"/>
          <w:b w:val="0"/>
          <w:noProof/>
          <w:kern w:val="2"/>
          <w:sz w:val="24"/>
          <w:szCs w:val="24"/>
          <w14:ligatures w14:val="standardContextual"/>
        </w:rPr>
      </w:pPr>
      <w:hyperlink w:anchor="_Toc221270998" w:history="1">
        <w:r w:rsidRPr="00A937FD">
          <w:rPr>
            <w:rStyle w:val="Hyperlink"/>
            <w:noProof/>
          </w:rPr>
          <w:t>Reports</w:t>
        </w:r>
        <w:r>
          <w:rPr>
            <w:noProof/>
            <w:webHidden/>
          </w:rPr>
          <w:tab/>
        </w:r>
        <w:r>
          <w:rPr>
            <w:noProof/>
            <w:webHidden/>
          </w:rPr>
          <w:fldChar w:fldCharType="begin"/>
        </w:r>
        <w:r>
          <w:rPr>
            <w:noProof/>
            <w:webHidden/>
          </w:rPr>
          <w:instrText xml:space="preserve"> PAGEREF _Toc221270998 \h </w:instrText>
        </w:r>
        <w:r>
          <w:rPr>
            <w:noProof/>
            <w:webHidden/>
          </w:rPr>
        </w:r>
        <w:r>
          <w:rPr>
            <w:noProof/>
            <w:webHidden/>
          </w:rPr>
          <w:fldChar w:fldCharType="separate"/>
        </w:r>
        <w:r>
          <w:rPr>
            <w:noProof/>
            <w:webHidden/>
          </w:rPr>
          <w:t>3</w:t>
        </w:r>
        <w:r>
          <w:rPr>
            <w:noProof/>
            <w:webHidden/>
          </w:rPr>
          <w:fldChar w:fldCharType="end"/>
        </w:r>
      </w:hyperlink>
    </w:p>
    <w:p w14:paraId="62E31081" w14:textId="13696A28" w:rsidR="003B4CC9" w:rsidRDefault="003B4CC9">
      <w:pPr>
        <w:pStyle w:val="TOC2"/>
        <w:rPr>
          <w:rFonts w:asciiTheme="minorHAnsi" w:eastAsiaTheme="minorEastAsia" w:hAnsiTheme="minorHAnsi" w:cstheme="minorBidi"/>
          <w:b w:val="0"/>
          <w:kern w:val="2"/>
          <w:sz w:val="24"/>
          <w:szCs w:val="24"/>
          <w14:ligatures w14:val="standardContextual"/>
        </w:rPr>
      </w:pPr>
      <w:hyperlink w:anchor="_Toc221270999" w:history="1">
        <w:r w:rsidRPr="00A937FD">
          <w:rPr>
            <w:rStyle w:val="Hyperlink"/>
          </w:rPr>
          <w:t>ED Layoffs Cost Millions, GAO Says</w:t>
        </w:r>
        <w:r>
          <w:rPr>
            <w:webHidden/>
          </w:rPr>
          <w:tab/>
        </w:r>
        <w:r>
          <w:rPr>
            <w:webHidden/>
          </w:rPr>
          <w:fldChar w:fldCharType="begin"/>
        </w:r>
        <w:r>
          <w:rPr>
            <w:webHidden/>
          </w:rPr>
          <w:instrText xml:space="preserve"> PAGEREF _Toc221270999 \h </w:instrText>
        </w:r>
        <w:r>
          <w:rPr>
            <w:webHidden/>
          </w:rPr>
        </w:r>
        <w:r>
          <w:rPr>
            <w:webHidden/>
          </w:rPr>
          <w:fldChar w:fldCharType="separate"/>
        </w:r>
        <w:r>
          <w:rPr>
            <w:webHidden/>
          </w:rPr>
          <w:t>3</w:t>
        </w:r>
        <w:r>
          <w:rPr>
            <w:webHidden/>
          </w:rPr>
          <w:fldChar w:fldCharType="end"/>
        </w:r>
      </w:hyperlink>
    </w:p>
    <w:p w14:paraId="15AE0E14" w14:textId="3BFD1242" w:rsidR="00037AFA" w:rsidRPr="00037AFA" w:rsidRDefault="00D478B6" w:rsidP="00DA6625">
      <w:pPr>
        <w:pStyle w:val="Heading1"/>
      </w:pPr>
      <w:r>
        <w:rPr>
          <w:rFonts w:eastAsia="Verdana" w:cs="Times New Roman"/>
          <w:smallCaps w:val="0"/>
          <w:szCs w:val="20"/>
        </w:rPr>
        <w:fldChar w:fldCharType="end"/>
      </w:r>
      <w:bookmarkStart w:id="6" w:name="_Toc221270995"/>
      <w:r w:rsidR="00834042">
        <w:t>Legislation and Guidance</w:t>
      </w:r>
      <w:bookmarkEnd w:id="6"/>
    </w:p>
    <w:p w14:paraId="20A0FA05" w14:textId="3D5D1452" w:rsidR="005D1689" w:rsidRDefault="00D51DFA" w:rsidP="00037AFA">
      <w:pPr>
        <w:pStyle w:val="Heading2"/>
      </w:pPr>
      <w:bookmarkStart w:id="7" w:name="_Toc221270996"/>
      <w:r>
        <w:t>Congress Passes Full-Year Funding for ED, other Agencies</w:t>
      </w:r>
      <w:bookmarkEnd w:id="7"/>
    </w:p>
    <w:p w14:paraId="2C3B2256" w14:textId="499BF078" w:rsidR="000E0586" w:rsidRDefault="00D51DFA" w:rsidP="000E0586">
      <w:pPr>
        <w:rPr>
          <w:rFonts w:cs="Arial"/>
        </w:rPr>
      </w:pPr>
      <w:r>
        <w:rPr>
          <w:rFonts w:cs="Arial"/>
        </w:rPr>
        <w:t xml:space="preserve">After a brief shutdown Monday and Tuesday, Congress passed legislation Tuesday afternoon that will fund the U.S. Department of Education (ED) for the remainder of the fiscal year, through September 30. </w:t>
      </w:r>
    </w:p>
    <w:p w14:paraId="02EA97E2" w14:textId="1AC3286A" w:rsidR="00D51DFA" w:rsidRDefault="00D51DFA" w:rsidP="000E0586">
      <w:pPr>
        <w:rPr>
          <w:rFonts w:cs="Arial"/>
        </w:rPr>
      </w:pPr>
      <w:r>
        <w:rPr>
          <w:rFonts w:cs="Arial"/>
        </w:rPr>
        <w:t xml:space="preserve">The bill that passed Tuesday </w:t>
      </w:r>
      <w:r w:rsidR="004D7407">
        <w:rPr>
          <w:rFonts w:cs="Arial"/>
        </w:rPr>
        <w:t xml:space="preserve">in the House of Representatives affirmed changes made late last week by the Senate.  Following </w:t>
      </w:r>
      <w:r w:rsidR="007E3380">
        <w:rPr>
          <w:rFonts w:cs="Arial"/>
        </w:rPr>
        <w:t>controversy over</w:t>
      </w:r>
      <w:r w:rsidR="004D7407">
        <w:rPr>
          <w:rFonts w:cs="Arial"/>
        </w:rPr>
        <w:t xml:space="preserve"> immigration enforcement </w:t>
      </w:r>
      <w:r w:rsidR="007E3380">
        <w:rPr>
          <w:rFonts w:cs="Arial"/>
        </w:rPr>
        <w:t>activity i</w:t>
      </w:r>
      <w:r w:rsidR="00815146">
        <w:rPr>
          <w:rFonts w:cs="Arial"/>
        </w:rPr>
        <w:t>n Minnesota, lawmakers insisted on adding new restrictions on</w:t>
      </w:r>
      <w:r w:rsidR="007E3380">
        <w:rPr>
          <w:rFonts w:cs="Arial"/>
        </w:rPr>
        <w:t xml:space="preserve"> tactics and training </w:t>
      </w:r>
      <w:r w:rsidR="00AC3245">
        <w:rPr>
          <w:rFonts w:cs="Arial"/>
        </w:rPr>
        <w:t>at the Department of Homeland Security (DHS).  Rather than fund DHS for the full year as originally planned, the Senate amendment only funds the agency for 10 days, though February 13.  All other agencies funded under the bill – including the Departments of Education, Labor, and Health and Human Services – are funded for the full fiscal year.</w:t>
      </w:r>
    </w:p>
    <w:p w14:paraId="26ED2AC0" w14:textId="5A4AFEC4" w:rsidR="00AC3245" w:rsidRDefault="00A90A78" w:rsidP="653B06D5">
      <w:pPr>
        <w:rPr>
          <w:rFonts w:cs="Arial"/>
        </w:rPr>
      </w:pPr>
      <w:r w:rsidRPr="653B06D5">
        <w:rPr>
          <w:rFonts w:cs="Arial"/>
        </w:rPr>
        <w:t>Under the bill, most education programs will be level-funded, with a small number receiving a small boost.  Congress offered more specificity on the amount of funding each program should receive</w:t>
      </w:r>
      <w:r w:rsidR="000E5949" w:rsidRPr="653B06D5">
        <w:rPr>
          <w:rFonts w:cs="Arial"/>
        </w:rPr>
        <w:t xml:space="preserve">, preventing the administration from moving funds as they did this year into </w:t>
      </w:r>
      <w:r w:rsidR="5D77A294" w:rsidRPr="653B06D5">
        <w:rPr>
          <w:rFonts w:cs="Arial"/>
        </w:rPr>
        <w:t xml:space="preserve">the </w:t>
      </w:r>
      <w:r w:rsidR="28280125" w:rsidRPr="653B06D5">
        <w:rPr>
          <w:rFonts w:cs="Arial"/>
        </w:rPr>
        <w:t>C</w:t>
      </w:r>
      <w:r w:rsidR="000E5949" w:rsidRPr="653B06D5">
        <w:rPr>
          <w:rFonts w:cs="Arial"/>
        </w:rPr>
        <w:t>har</w:t>
      </w:r>
      <w:r w:rsidR="55792346" w:rsidRPr="653B06D5">
        <w:rPr>
          <w:rFonts w:cs="Arial"/>
        </w:rPr>
        <w:t>ter</w:t>
      </w:r>
      <w:r w:rsidR="000E5949" w:rsidRPr="653B06D5">
        <w:rPr>
          <w:rFonts w:cs="Arial"/>
        </w:rPr>
        <w:t xml:space="preserve"> </w:t>
      </w:r>
      <w:r w:rsidR="6895B2A4" w:rsidRPr="653B06D5">
        <w:rPr>
          <w:rFonts w:cs="Arial"/>
        </w:rPr>
        <w:t>S</w:t>
      </w:r>
      <w:r w:rsidR="000E5949" w:rsidRPr="653B06D5">
        <w:rPr>
          <w:rFonts w:cs="Arial"/>
        </w:rPr>
        <w:t xml:space="preserve">chool </w:t>
      </w:r>
      <w:r w:rsidR="003B4CC9">
        <w:rPr>
          <w:rFonts w:cs="Arial"/>
        </w:rPr>
        <w:t xml:space="preserve">Grant </w:t>
      </w:r>
      <w:r w:rsidR="5BEBB7EB" w:rsidRPr="653B06D5">
        <w:rPr>
          <w:rFonts w:cs="Arial"/>
        </w:rPr>
        <w:t>P</w:t>
      </w:r>
      <w:r w:rsidR="000E5949" w:rsidRPr="653B06D5">
        <w:rPr>
          <w:rFonts w:cs="Arial"/>
        </w:rPr>
        <w:t>rogram</w:t>
      </w:r>
      <w:r w:rsidR="003B4CC9">
        <w:rPr>
          <w:rFonts w:cs="Arial"/>
        </w:rPr>
        <w:t xml:space="preserve"> (CSGP)</w:t>
      </w:r>
      <w:r w:rsidR="000E5949" w:rsidRPr="653B06D5">
        <w:rPr>
          <w:rFonts w:cs="Arial"/>
        </w:rPr>
        <w:t xml:space="preserve">.  However, lawmakers did not ultimately include any restrictions on </w:t>
      </w:r>
      <w:r w:rsidR="00451A81" w:rsidRPr="653B06D5">
        <w:rPr>
          <w:rFonts w:cs="Arial"/>
        </w:rPr>
        <w:t>ED signing inter-agency agreements to offload program administration to other federal agencies.</w:t>
      </w:r>
      <w:r w:rsidR="001E4835" w:rsidRPr="653B06D5">
        <w:rPr>
          <w:rFonts w:cs="Arial"/>
        </w:rPr>
        <w:t xml:space="preserve">  </w:t>
      </w:r>
    </w:p>
    <w:p w14:paraId="633CF58E" w14:textId="5A4A8642" w:rsidR="001E4835" w:rsidRDefault="001E4835" w:rsidP="000E0586">
      <w:pPr>
        <w:rPr>
          <w:rFonts w:cs="Arial"/>
        </w:rPr>
      </w:pPr>
      <w:r>
        <w:rPr>
          <w:rFonts w:cs="Arial"/>
        </w:rPr>
        <w:t xml:space="preserve">Lawmakers will soon turn to discussion of fiscal year (FY) 2027 funding, as that </w:t>
      </w:r>
      <w:r>
        <w:rPr>
          <w:rFonts w:cs="Arial"/>
        </w:rPr>
        <w:lastRenderedPageBreak/>
        <w:t>discussion traditionally starts with the President sending a spending proposal to Congress at the beginning of February each year.</w:t>
      </w:r>
    </w:p>
    <w:p w14:paraId="45714E35" w14:textId="413283CC" w:rsidR="001E4835" w:rsidRDefault="001E4835" w:rsidP="000E0586">
      <w:pPr>
        <w:rPr>
          <w:rFonts w:cs="Arial"/>
        </w:rPr>
      </w:pPr>
      <w:r w:rsidRPr="653B06D5">
        <w:rPr>
          <w:rFonts w:cs="Arial"/>
        </w:rPr>
        <w:t>A table of funding levels is below.</w:t>
      </w:r>
    </w:p>
    <w:tbl>
      <w:tblPr>
        <w:tblStyle w:val="TableGrid"/>
        <w:tblpPr w:leftFromText="180" w:rightFromText="180" w:vertAnchor="text" w:horzAnchor="margin" w:tblpY="277"/>
        <w:tblW w:w="9805" w:type="dxa"/>
        <w:tblLook w:val="04A0" w:firstRow="1" w:lastRow="0" w:firstColumn="1" w:lastColumn="0" w:noHBand="0" w:noVBand="1"/>
      </w:tblPr>
      <w:tblGrid>
        <w:gridCol w:w="4225"/>
        <w:gridCol w:w="1706"/>
        <w:gridCol w:w="1954"/>
        <w:gridCol w:w="1920"/>
      </w:tblGrid>
      <w:tr w:rsidR="001E4835" w:rsidRPr="00026421" w14:paraId="6B60F146" w14:textId="77777777" w:rsidTr="001E4835">
        <w:tc>
          <w:tcPr>
            <w:tcW w:w="9805" w:type="dxa"/>
            <w:gridSpan w:val="4"/>
          </w:tcPr>
          <w:p w14:paraId="1ECE4CB1" w14:textId="36595AD4" w:rsidR="001E4835" w:rsidRPr="00026421" w:rsidRDefault="001E4835" w:rsidP="001E4835">
            <w:pPr>
              <w:jc w:val="center"/>
              <w:rPr>
                <w:b/>
                <w:bCs/>
              </w:rPr>
            </w:pPr>
            <w:r>
              <w:rPr>
                <w:b/>
                <w:bCs/>
              </w:rPr>
              <w:t>FY 2026 Education Program Funding</w:t>
            </w:r>
            <w:r w:rsidRPr="00026421">
              <w:rPr>
                <w:b/>
                <w:bCs/>
              </w:rPr>
              <w:t xml:space="preserve"> (in thousands of dollars)</w:t>
            </w:r>
          </w:p>
        </w:tc>
      </w:tr>
      <w:tr w:rsidR="001E4835" w:rsidRPr="00026421" w14:paraId="12F6D70A" w14:textId="77777777" w:rsidTr="001E4835">
        <w:tc>
          <w:tcPr>
            <w:tcW w:w="4225" w:type="dxa"/>
          </w:tcPr>
          <w:p w14:paraId="0114F582" w14:textId="77777777" w:rsidR="001E4835" w:rsidRPr="00026421" w:rsidRDefault="001E4835" w:rsidP="001E4835">
            <w:pPr>
              <w:rPr>
                <w:b/>
                <w:bCs/>
              </w:rPr>
            </w:pPr>
            <w:r w:rsidRPr="00026421">
              <w:rPr>
                <w:b/>
                <w:bCs/>
              </w:rPr>
              <w:t>Program</w:t>
            </w:r>
          </w:p>
        </w:tc>
        <w:tc>
          <w:tcPr>
            <w:tcW w:w="1706" w:type="dxa"/>
          </w:tcPr>
          <w:p w14:paraId="1C1B1F12" w14:textId="77777777" w:rsidR="001E4835" w:rsidRPr="00026421" w:rsidRDefault="001E4835" w:rsidP="001E4835">
            <w:pPr>
              <w:jc w:val="right"/>
              <w:rPr>
                <w:b/>
                <w:bCs/>
              </w:rPr>
            </w:pPr>
            <w:r w:rsidRPr="00026421">
              <w:rPr>
                <w:b/>
                <w:bCs/>
              </w:rPr>
              <w:t>FY 2025 Final</w:t>
            </w:r>
          </w:p>
        </w:tc>
        <w:tc>
          <w:tcPr>
            <w:tcW w:w="1954" w:type="dxa"/>
          </w:tcPr>
          <w:p w14:paraId="5783BAC6" w14:textId="77777777" w:rsidR="001E4835" w:rsidRPr="00026421" w:rsidRDefault="001E4835" w:rsidP="001E4835">
            <w:pPr>
              <w:jc w:val="right"/>
              <w:rPr>
                <w:b/>
                <w:bCs/>
              </w:rPr>
            </w:pPr>
            <w:r w:rsidRPr="00026421">
              <w:rPr>
                <w:b/>
                <w:bCs/>
              </w:rPr>
              <w:t>FY 2026 Proposed</w:t>
            </w:r>
          </w:p>
        </w:tc>
        <w:tc>
          <w:tcPr>
            <w:tcW w:w="1920" w:type="dxa"/>
          </w:tcPr>
          <w:p w14:paraId="73A11CF9" w14:textId="55567FC9" w:rsidR="001E4835" w:rsidRDefault="001E4835" w:rsidP="001E4835">
            <w:pPr>
              <w:jc w:val="right"/>
              <w:rPr>
                <w:b/>
                <w:bCs/>
              </w:rPr>
            </w:pPr>
            <w:r>
              <w:rPr>
                <w:b/>
                <w:bCs/>
              </w:rPr>
              <w:t xml:space="preserve">Change in FY 2026 vs </w:t>
            </w:r>
          </w:p>
          <w:p w14:paraId="06E1794B" w14:textId="77777777" w:rsidR="001E4835" w:rsidRPr="00026421" w:rsidRDefault="001E4835" w:rsidP="001E4835">
            <w:pPr>
              <w:jc w:val="right"/>
              <w:rPr>
                <w:b/>
                <w:bCs/>
              </w:rPr>
            </w:pPr>
            <w:r>
              <w:rPr>
                <w:b/>
                <w:bCs/>
              </w:rPr>
              <w:t>FY 2025</w:t>
            </w:r>
          </w:p>
        </w:tc>
      </w:tr>
      <w:tr w:rsidR="001E4835" w:rsidRPr="00026421" w14:paraId="6B15439C" w14:textId="77777777" w:rsidTr="001E4835">
        <w:tc>
          <w:tcPr>
            <w:tcW w:w="4225" w:type="dxa"/>
          </w:tcPr>
          <w:p w14:paraId="22A4553B" w14:textId="77777777" w:rsidR="001E4835" w:rsidRPr="00026421" w:rsidRDefault="001E4835" w:rsidP="001E4835">
            <w:r w:rsidRPr="00026421">
              <w:t>ESEA Title I-A</w:t>
            </w:r>
          </w:p>
        </w:tc>
        <w:tc>
          <w:tcPr>
            <w:tcW w:w="1706" w:type="dxa"/>
          </w:tcPr>
          <w:p w14:paraId="15666D90" w14:textId="77777777" w:rsidR="001E4835" w:rsidRPr="00026421" w:rsidRDefault="001E4835" w:rsidP="001E4835">
            <w:pPr>
              <w:jc w:val="right"/>
            </w:pPr>
            <w:r w:rsidRPr="00026421">
              <w:t>$18,406,802</w:t>
            </w:r>
          </w:p>
        </w:tc>
        <w:tc>
          <w:tcPr>
            <w:tcW w:w="1954" w:type="dxa"/>
          </w:tcPr>
          <w:p w14:paraId="1585D879" w14:textId="77777777" w:rsidR="001E4835" w:rsidRPr="00026421" w:rsidRDefault="001E4835" w:rsidP="001E4835">
            <w:pPr>
              <w:jc w:val="right"/>
            </w:pPr>
            <w:r w:rsidRPr="00026421">
              <w:t>$18,426,802</w:t>
            </w:r>
          </w:p>
        </w:tc>
        <w:tc>
          <w:tcPr>
            <w:tcW w:w="1920" w:type="dxa"/>
          </w:tcPr>
          <w:p w14:paraId="4ACE6569" w14:textId="77777777" w:rsidR="001E4835" w:rsidRPr="00026421" w:rsidRDefault="001E4835" w:rsidP="001E4835">
            <w:pPr>
              <w:jc w:val="right"/>
            </w:pPr>
            <w:r w:rsidRPr="00026421">
              <w:rPr>
                <w:color w:val="70AD47" w:themeColor="accent6"/>
              </w:rPr>
              <w:t>+$20,000</w:t>
            </w:r>
          </w:p>
        </w:tc>
      </w:tr>
      <w:tr w:rsidR="001E4835" w:rsidRPr="00026421" w14:paraId="24CA49B7" w14:textId="77777777" w:rsidTr="001E4835">
        <w:tc>
          <w:tcPr>
            <w:tcW w:w="4225" w:type="dxa"/>
          </w:tcPr>
          <w:p w14:paraId="29CFA90A" w14:textId="77777777" w:rsidR="001E4835" w:rsidRPr="00026421" w:rsidRDefault="001E4835" w:rsidP="001E4835">
            <w:r w:rsidRPr="00026421">
              <w:t>ESEA Title I-C</w:t>
            </w:r>
          </w:p>
        </w:tc>
        <w:tc>
          <w:tcPr>
            <w:tcW w:w="1706" w:type="dxa"/>
          </w:tcPr>
          <w:p w14:paraId="1E94B7BB" w14:textId="77777777" w:rsidR="001E4835" w:rsidRPr="00026421" w:rsidRDefault="001E4835" w:rsidP="001E4835">
            <w:pPr>
              <w:jc w:val="right"/>
            </w:pPr>
            <w:r w:rsidRPr="00026421">
              <w:t>$375,626</w:t>
            </w:r>
          </w:p>
        </w:tc>
        <w:tc>
          <w:tcPr>
            <w:tcW w:w="1954" w:type="dxa"/>
          </w:tcPr>
          <w:p w14:paraId="4A594545" w14:textId="77777777" w:rsidR="001E4835" w:rsidRPr="00026421" w:rsidRDefault="001E4835" w:rsidP="001E4835">
            <w:pPr>
              <w:jc w:val="right"/>
            </w:pPr>
            <w:r w:rsidRPr="00026421">
              <w:t>$375,626</w:t>
            </w:r>
          </w:p>
        </w:tc>
        <w:tc>
          <w:tcPr>
            <w:tcW w:w="1920" w:type="dxa"/>
          </w:tcPr>
          <w:p w14:paraId="5DC334B7" w14:textId="77777777" w:rsidR="001E4835" w:rsidRPr="00026421" w:rsidRDefault="001E4835" w:rsidP="001E4835">
            <w:pPr>
              <w:jc w:val="right"/>
            </w:pPr>
            <w:r w:rsidRPr="00026421">
              <w:t>--</w:t>
            </w:r>
          </w:p>
        </w:tc>
      </w:tr>
      <w:tr w:rsidR="001E4835" w:rsidRPr="00026421" w14:paraId="78B4DCB7" w14:textId="77777777" w:rsidTr="001E4835">
        <w:tc>
          <w:tcPr>
            <w:tcW w:w="4225" w:type="dxa"/>
          </w:tcPr>
          <w:p w14:paraId="7F7AC745" w14:textId="77777777" w:rsidR="001E4835" w:rsidRPr="00026421" w:rsidRDefault="001E4835" w:rsidP="001E4835">
            <w:r w:rsidRPr="00026421">
              <w:t>ESEA Title I-D</w:t>
            </w:r>
          </w:p>
        </w:tc>
        <w:tc>
          <w:tcPr>
            <w:tcW w:w="1706" w:type="dxa"/>
          </w:tcPr>
          <w:p w14:paraId="243BA172" w14:textId="77777777" w:rsidR="001E4835" w:rsidRPr="00026421" w:rsidRDefault="001E4835" w:rsidP="001E4835">
            <w:pPr>
              <w:jc w:val="right"/>
            </w:pPr>
            <w:r w:rsidRPr="00026421">
              <w:t>$49,239</w:t>
            </w:r>
          </w:p>
        </w:tc>
        <w:tc>
          <w:tcPr>
            <w:tcW w:w="1954" w:type="dxa"/>
          </w:tcPr>
          <w:p w14:paraId="1EAD642A" w14:textId="77777777" w:rsidR="001E4835" w:rsidRPr="00026421" w:rsidRDefault="001E4835" w:rsidP="001E4835">
            <w:pPr>
              <w:jc w:val="right"/>
            </w:pPr>
            <w:r w:rsidRPr="00026421">
              <w:t>$49,239</w:t>
            </w:r>
          </w:p>
        </w:tc>
        <w:tc>
          <w:tcPr>
            <w:tcW w:w="1920" w:type="dxa"/>
          </w:tcPr>
          <w:p w14:paraId="7CE85940" w14:textId="77777777" w:rsidR="001E4835" w:rsidRPr="00026421" w:rsidRDefault="001E4835" w:rsidP="001E4835">
            <w:pPr>
              <w:jc w:val="right"/>
            </w:pPr>
            <w:r w:rsidRPr="00026421">
              <w:t>--</w:t>
            </w:r>
          </w:p>
        </w:tc>
      </w:tr>
      <w:tr w:rsidR="001E4835" w:rsidRPr="00026421" w14:paraId="4B62519D" w14:textId="77777777" w:rsidTr="001E4835">
        <w:tc>
          <w:tcPr>
            <w:tcW w:w="4225" w:type="dxa"/>
          </w:tcPr>
          <w:p w14:paraId="4D844B0C" w14:textId="77777777" w:rsidR="001E4835" w:rsidRPr="00026421" w:rsidRDefault="001E4835" w:rsidP="001E4835">
            <w:r w:rsidRPr="00026421">
              <w:t>ESEA Title II-A</w:t>
            </w:r>
          </w:p>
        </w:tc>
        <w:tc>
          <w:tcPr>
            <w:tcW w:w="1706" w:type="dxa"/>
          </w:tcPr>
          <w:p w14:paraId="673FDADB" w14:textId="77777777" w:rsidR="001E4835" w:rsidRPr="00026421" w:rsidRDefault="001E4835" w:rsidP="001E4835">
            <w:pPr>
              <w:jc w:val="right"/>
            </w:pPr>
            <w:r w:rsidRPr="00026421">
              <w:t>$2,190,000</w:t>
            </w:r>
          </w:p>
        </w:tc>
        <w:tc>
          <w:tcPr>
            <w:tcW w:w="1954" w:type="dxa"/>
          </w:tcPr>
          <w:p w14:paraId="17BBF90D" w14:textId="77777777" w:rsidR="001E4835" w:rsidRPr="00026421" w:rsidRDefault="001E4835" w:rsidP="001E4835">
            <w:pPr>
              <w:jc w:val="right"/>
            </w:pPr>
            <w:r w:rsidRPr="00026421">
              <w:t>$2,190,000</w:t>
            </w:r>
          </w:p>
        </w:tc>
        <w:tc>
          <w:tcPr>
            <w:tcW w:w="1920" w:type="dxa"/>
          </w:tcPr>
          <w:p w14:paraId="214E1402" w14:textId="77777777" w:rsidR="001E4835" w:rsidRPr="00026421" w:rsidRDefault="001E4835" w:rsidP="001E4835">
            <w:pPr>
              <w:jc w:val="right"/>
            </w:pPr>
            <w:r w:rsidRPr="00026421">
              <w:t>--</w:t>
            </w:r>
          </w:p>
        </w:tc>
      </w:tr>
      <w:tr w:rsidR="001E4835" w:rsidRPr="00026421" w14:paraId="00441167" w14:textId="77777777" w:rsidTr="001E4835">
        <w:tc>
          <w:tcPr>
            <w:tcW w:w="4225" w:type="dxa"/>
          </w:tcPr>
          <w:p w14:paraId="15E1D96B" w14:textId="77777777" w:rsidR="001E4835" w:rsidRPr="00026421" w:rsidRDefault="001E4835" w:rsidP="001E4835">
            <w:r w:rsidRPr="00026421">
              <w:t>ESEA Title III-A</w:t>
            </w:r>
          </w:p>
        </w:tc>
        <w:tc>
          <w:tcPr>
            <w:tcW w:w="1706" w:type="dxa"/>
          </w:tcPr>
          <w:p w14:paraId="145E8822" w14:textId="77777777" w:rsidR="001E4835" w:rsidRPr="00026421" w:rsidRDefault="001E4835" w:rsidP="001E4835">
            <w:pPr>
              <w:jc w:val="right"/>
            </w:pPr>
            <w:r w:rsidRPr="00026421">
              <w:t>$890,000</w:t>
            </w:r>
          </w:p>
        </w:tc>
        <w:tc>
          <w:tcPr>
            <w:tcW w:w="1954" w:type="dxa"/>
          </w:tcPr>
          <w:p w14:paraId="099944EA" w14:textId="77777777" w:rsidR="001E4835" w:rsidRPr="00026421" w:rsidRDefault="001E4835" w:rsidP="001E4835">
            <w:pPr>
              <w:jc w:val="right"/>
            </w:pPr>
            <w:r w:rsidRPr="00026421">
              <w:t>$890,000</w:t>
            </w:r>
          </w:p>
        </w:tc>
        <w:tc>
          <w:tcPr>
            <w:tcW w:w="1920" w:type="dxa"/>
          </w:tcPr>
          <w:p w14:paraId="57F58033" w14:textId="77777777" w:rsidR="001E4835" w:rsidRPr="00026421" w:rsidRDefault="001E4835" w:rsidP="001E4835">
            <w:pPr>
              <w:jc w:val="right"/>
            </w:pPr>
            <w:r w:rsidRPr="00026421">
              <w:t>--</w:t>
            </w:r>
          </w:p>
        </w:tc>
      </w:tr>
      <w:tr w:rsidR="001E4835" w:rsidRPr="00026421" w14:paraId="57454745" w14:textId="77777777" w:rsidTr="001E4835">
        <w:tc>
          <w:tcPr>
            <w:tcW w:w="4225" w:type="dxa"/>
          </w:tcPr>
          <w:p w14:paraId="4E5C4CF9" w14:textId="77777777" w:rsidR="001E4835" w:rsidRPr="00026421" w:rsidRDefault="001E4835" w:rsidP="001E4835">
            <w:r w:rsidRPr="00026421">
              <w:t>ESEA Title IV-A</w:t>
            </w:r>
          </w:p>
        </w:tc>
        <w:tc>
          <w:tcPr>
            <w:tcW w:w="1706" w:type="dxa"/>
          </w:tcPr>
          <w:p w14:paraId="4601BAE9" w14:textId="77777777" w:rsidR="001E4835" w:rsidRPr="00026421" w:rsidRDefault="001E4835" w:rsidP="001E4835">
            <w:pPr>
              <w:jc w:val="right"/>
            </w:pPr>
            <w:r w:rsidRPr="00026421">
              <w:t>$1,380,000</w:t>
            </w:r>
          </w:p>
        </w:tc>
        <w:tc>
          <w:tcPr>
            <w:tcW w:w="1954" w:type="dxa"/>
          </w:tcPr>
          <w:p w14:paraId="4B6C4553" w14:textId="77777777" w:rsidR="001E4835" w:rsidRPr="00026421" w:rsidRDefault="001E4835" w:rsidP="001E4835">
            <w:pPr>
              <w:jc w:val="right"/>
            </w:pPr>
            <w:r w:rsidRPr="00026421">
              <w:t>$1,380,000</w:t>
            </w:r>
          </w:p>
        </w:tc>
        <w:tc>
          <w:tcPr>
            <w:tcW w:w="1920" w:type="dxa"/>
          </w:tcPr>
          <w:p w14:paraId="13AC6256" w14:textId="77777777" w:rsidR="001E4835" w:rsidRPr="00026421" w:rsidRDefault="001E4835" w:rsidP="001E4835">
            <w:pPr>
              <w:jc w:val="right"/>
            </w:pPr>
            <w:r w:rsidRPr="00026421">
              <w:t>--</w:t>
            </w:r>
          </w:p>
        </w:tc>
      </w:tr>
      <w:tr w:rsidR="001E4835" w:rsidRPr="00026421" w14:paraId="6D7DDA2F" w14:textId="77777777" w:rsidTr="001E4835">
        <w:tc>
          <w:tcPr>
            <w:tcW w:w="4225" w:type="dxa"/>
          </w:tcPr>
          <w:p w14:paraId="17CC0D97" w14:textId="77777777" w:rsidR="001E4835" w:rsidRPr="00026421" w:rsidRDefault="001E4835" w:rsidP="001E4835">
            <w:r w:rsidRPr="00026421">
              <w:t>ESEA Title IV-B</w:t>
            </w:r>
          </w:p>
        </w:tc>
        <w:tc>
          <w:tcPr>
            <w:tcW w:w="1706" w:type="dxa"/>
          </w:tcPr>
          <w:p w14:paraId="0A322670" w14:textId="77777777" w:rsidR="001E4835" w:rsidRPr="00026421" w:rsidRDefault="001E4835" w:rsidP="001E4835">
            <w:pPr>
              <w:jc w:val="right"/>
            </w:pPr>
            <w:r w:rsidRPr="00026421">
              <w:t>$1,329,673</w:t>
            </w:r>
          </w:p>
        </w:tc>
        <w:tc>
          <w:tcPr>
            <w:tcW w:w="1954" w:type="dxa"/>
          </w:tcPr>
          <w:p w14:paraId="40F93C3A" w14:textId="77777777" w:rsidR="001E4835" w:rsidRPr="00026421" w:rsidRDefault="001E4835" w:rsidP="001E4835">
            <w:pPr>
              <w:jc w:val="right"/>
            </w:pPr>
            <w:r w:rsidRPr="00026421">
              <w:t>$1,329,673</w:t>
            </w:r>
          </w:p>
        </w:tc>
        <w:tc>
          <w:tcPr>
            <w:tcW w:w="1920" w:type="dxa"/>
          </w:tcPr>
          <w:p w14:paraId="348856FC" w14:textId="77777777" w:rsidR="001E4835" w:rsidRPr="00026421" w:rsidRDefault="001E4835" w:rsidP="001E4835">
            <w:pPr>
              <w:jc w:val="right"/>
            </w:pPr>
            <w:r w:rsidRPr="00026421">
              <w:t>--</w:t>
            </w:r>
          </w:p>
        </w:tc>
      </w:tr>
      <w:tr w:rsidR="001E4835" w:rsidRPr="00026421" w14:paraId="2634F2B6" w14:textId="77777777" w:rsidTr="001E4835">
        <w:tc>
          <w:tcPr>
            <w:tcW w:w="4225" w:type="dxa"/>
          </w:tcPr>
          <w:p w14:paraId="241682FC" w14:textId="77777777" w:rsidR="001E4835" w:rsidRPr="00026421" w:rsidRDefault="001E4835" w:rsidP="001E4835">
            <w:r w:rsidRPr="00026421">
              <w:t>IDEA Part B State grants (Sec. 611)</w:t>
            </w:r>
          </w:p>
        </w:tc>
        <w:tc>
          <w:tcPr>
            <w:tcW w:w="1706" w:type="dxa"/>
          </w:tcPr>
          <w:p w14:paraId="0EABCF4C" w14:textId="77777777" w:rsidR="001E4835" w:rsidRPr="00026421" w:rsidRDefault="001E4835" w:rsidP="001E4835">
            <w:pPr>
              <w:jc w:val="right"/>
            </w:pPr>
            <w:r w:rsidRPr="00026421">
              <w:t>$14,213,704</w:t>
            </w:r>
          </w:p>
        </w:tc>
        <w:tc>
          <w:tcPr>
            <w:tcW w:w="1954" w:type="dxa"/>
          </w:tcPr>
          <w:p w14:paraId="703C509A" w14:textId="77777777" w:rsidR="001E4835" w:rsidRPr="00026421" w:rsidRDefault="001E4835" w:rsidP="001E4835">
            <w:pPr>
              <w:jc w:val="right"/>
            </w:pPr>
            <w:r w:rsidRPr="00026421">
              <w:t>$14,233,704</w:t>
            </w:r>
          </w:p>
        </w:tc>
        <w:tc>
          <w:tcPr>
            <w:tcW w:w="1920" w:type="dxa"/>
          </w:tcPr>
          <w:p w14:paraId="54ED1469" w14:textId="77777777" w:rsidR="001E4835" w:rsidRPr="00026421" w:rsidRDefault="001E4835" w:rsidP="001E4835">
            <w:pPr>
              <w:jc w:val="right"/>
            </w:pPr>
            <w:r w:rsidRPr="00026421">
              <w:rPr>
                <w:color w:val="70AD47" w:themeColor="accent6"/>
              </w:rPr>
              <w:t>+$20,000</w:t>
            </w:r>
          </w:p>
        </w:tc>
      </w:tr>
      <w:tr w:rsidR="001E4835" w:rsidRPr="00026421" w14:paraId="7298C89F" w14:textId="77777777" w:rsidTr="001E4835">
        <w:tc>
          <w:tcPr>
            <w:tcW w:w="4225" w:type="dxa"/>
          </w:tcPr>
          <w:p w14:paraId="52819B78" w14:textId="77777777" w:rsidR="001E4835" w:rsidRPr="00026421" w:rsidRDefault="001E4835" w:rsidP="001E4835">
            <w:r w:rsidRPr="00026421">
              <w:t>Perkins CTE (State and National Activities)</w:t>
            </w:r>
          </w:p>
        </w:tc>
        <w:tc>
          <w:tcPr>
            <w:tcW w:w="1706" w:type="dxa"/>
          </w:tcPr>
          <w:p w14:paraId="51363BA9" w14:textId="77777777" w:rsidR="001E4835" w:rsidRPr="00026421" w:rsidRDefault="001E4835" w:rsidP="001E4835">
            <w:pPr>
              <w:jc w:val="right"/>
            </w:pPr>
            <w:r w:rsidRPr="00026421">
              <w:t>$1,452,269</w:t>
            </w:r>
          </w:p>
        </w:tc>
        <w:tc>
          <w:tcPr>
            <w:tcW w:w="1954" w:type="dxa"/>
          </w:tcPr>
          <w:p w14:paraId="289B9FE8" w14:textId="77777777" w:rsidR="001E4835" w:rsidRPr="00026421" w:rsidRDefault="001E4835" w:rsidP="001E4835">
            <w:pPr>
              <w:jc w:val="right"/>
            </w:pPr>
            <w:r w:rsidRPr="00026421">
              <w:t>$1,452,269</w:t>
            </w:r>
          </w:p>
        </w:tc>
        <w:tc>
          <w:tcPr>
            <w:tcW w:w="1920" w:type="dxa"/>
          </w:tcPr>
          <w:p w14:paraId="75525521" w14:textId="77777777" w:rsidR="001E4835" w:rsidRPr="00026421" w:rsidRDefault="001E4835" w:rsidP="001E4835">
            <w:pPr>
              <w:jc w:val="right"/>
            </w:pPr>
            <w:r w:rsidRPr="00026421">
              <w:t>--</w:t>
            </w:r>
          </w:p>
        </w:tc>
      </w:tr>
      <w:tr w:rsidR="001E4835" w:rsidRPr="00026421" w14:paraId="5C7E5A3E" w14:textId="77777777" w:rsidTr="001E4835">
        <w:tc>
          <w:tcPr>
            <w:tcW w:w="4225" w:type="dxa"/>
          </w:tcPr>
          <w:p w14:paraId="6A5582DB" w14:textId="77777777" w:rsidR="001E4835" w:rsidRPr="00026421" w:rsidRDefault="001E4835" w:rsidP="001E4835">
            <w:r w:rsidRPr="00026421">
              <w:t>Adult Education (State and National Leadership)</w:t>
            </w:r>
          </w:p>
        </w:tc>
        <w:tc>
          <w:tcPr>
            <w:tcW w:w="1706" w:type="dxa"/>
          </w:tcPr>
          <w:p w14:paraId="6D89F894" w14:textId="77777777" w:rsidR="001E4835" w:rsidRPr="00026421" w:rsidRDefault="001E4835" w:rsidP="001E4835">
            <w:pPr>
              <w:jc w:val="right"/>
            </w:pPr>
            <w:r w:rsidRPr="00026421">
              <w:t>$729,167</w:t>
            </w:r>
          </w:p>
        </w:tc>
        <w:tc>
          <w:tcPr>
            <w:tcW w:w="1954" w:type="dxa"/>
          </w:tcPr>
          <w:p w14:paraId="61122A9E" w14:textId="77777777" w:rsidR="001E4835" w:rsidRPr="00026421" w:rsidRDefault="001E4835" w:rsidP="001E4835">
            <w:pPr>
              <w:jc w:val="right"/>
            </w:pPr>
            <w:r w:rsidRPr="00026421">
              <w:t>$729,167</w:t>
            </w:r>
          </w:p>
        </w:tc>
        <w:tc>
          <w:tcPr>
            <w:tcW w:w="1920" w:type="dxa"/>
          </w:tcPr>
          <w:p w14:paraId="10F9DC1F" w14:textId="77777777" w:rsidR="001E4835" w:rsidRPr="00026421" w:rsidRDefault="001E4835" w:rsidP="001E4835">
            <w:pPr>
              <w:jc w:val="right"/>
            </w:pPr>
            <w:r w:rsidRPr="00026421">
              <w:t>--</w:t>
            </w:r>
          </w:p>
        </w:tc>
      </w:tr>
      <w:tr w:rsidR="008C48BC" w:rsidRPr="00026421" w14:paraId="71CEE032" w14:textId="77777777" w:rsidTr="001E4835">
        <w:tc>
          <w:tcPr>
            <w:tcW w:w="4225" w:type="dxa"/>
          </w:tcPr>
          <w:p w14:paraId="30C7C6AD" w14:textId="0E5024D6" w:rsidR="008C48BC" w:rsidRPr="00026421" w:rsidRDefault="008C48BC" w:rsidP="008C48BC">
            <w:r>
              <w:t xml:space="preserve">HEA </w:t>
            </w:r>
            <w:r w:rsidRPr="00026421">
              <w:t xml:space="preserve">Strengthening Institutions </w:t>
            </w:r>
          </w:p>
        </w:tc>
        <w:tc>
          <w:tcPr>
            <w:tcW w:w="1706" w:type="dxa"/>
          </w:tcPr>
          <w:p w14:paraId="7B1DB3A2" w14:textId="4322E5BF" w:rsidR="008C48BC" w:rsidRPr="00026421" w:rsidRDefault="008C48BC" w:rsidP="008C48BC">
            <w:pPr>
              <w:jc w:val="right"/>
            </w:pPr>
            <w:r w:rsidRPr="00026421">
              <w:t>$112,070</w:t>
            </w:r>
          </w:p>
        </w:tc>
        <w:tc>
          <w:tcPr>
            <w:tcW w:w="1954" w:type="dxa"/>
          </w:tcPr>
          <w:p w14:paraId="3D81576C" w14:textId="2CD4983F" w:rsidR="008C48BC" w:rsidRPr="00026421" w:rsidRDefault="008C48BC" w:rsidP="008C48BC">
            <w:pPr>
              <w:jc w:val="right"/>
            </w:pPr>
            <w:r w:rsidRPr="00026421">
              <w:t>$102,070</w:t>
            </w:r>
          </w:p>
        </w:tc>
        <w:tc>
          <w:tcPr>
            <w:tcW w:w="1920" w:type="dxa"/>
          </w:tcPr>
          <w:p w14:paraId="26039098" w14:textId="72E163C7" w:rsidR="008C48BC" w:rsidRPr="00026421" w:rsidRDefault="008C48BC" w:rsidP="008C48BC">
            <w:pPr>
              <w:jc w:val="right"/>
            </w:pPr>
            <w:r w:rsidRPr="00026421">
              <w:rPr>
                <w:color w:val="EE0000"/>
              </w:rPr>
              <w:t>-$10,000</w:t>
            </w:r>
          </w:p>
        </w:tc>
      </w:tr>
      <w:tr w:rsidR="008C48BC" w:rsidRPr="00026421" w14:paraId="30CE6613" w14:textId="77777777" w:rsidTr="001E4835">
        <w:tc>
          <w:tcPr>
            <w:tcW w:w="4225" w:type="dxa"/>
          </w:tcPr>
          <w:p w14:paraId="1EE0F30C" w14:textId="792EC562" w:rsidR="008C48BC" w:rsidRPr="00026421" w:rsidRDefault="008C48BC" w:rsidP="008C48BC">
            <w:r w:rsidRPr="00026421">
              <w:t>Developing HSIs</w:t>
            </w:r>
            <w:r>
              <w:t>*</w:t>
            </w:r>
          </w:p>
        </w:tc>
        <w:tc>
          <w:tcPr>
            <w:tcW w:w="1706" w:type="dxa"/>
          </w:tcPr>
          <w:p w14:paraId="36D8C3FD" w14:textId="125742AE" w:rsidR="008C48BC" w:rsidRPr="00026421" w:rsidRDefault="008C48BC" w:rsidP="008C48BC">
            <w:pPr>
              <w:jc w:val="right"/>
            </w:pPr>
            <w:r w:rsidRPr="00026421">
              <w:t>$228,890</w:t>
            </w:r>
          </w:p>
        </w:tc>
        <w:tc>
          <w:tcPr>
            <w:tcW w:w="1954" w:type="dxa"/>
          </w:tcPr>
          <w:p w14:paraId="34E39654" w14:textId="38A5CD47" w:rsidR="008C48BC" w:rsidRPr="00026421" w:rsidRDefault="008C48BC" w:rsidP="008C48BC">
            <w:pPr>
              <w:jc w:val="right"/>
            </w:pPr>
            <w:r w:rsidRPr="00026421">
              <w:t>$231,637</w:t>
            </w:r>
          </w:p>
        </w:tc>
        <w:tc>
          <w:tcPr>
            <w:tcW w:w="1920" w:type="dxa"/>
          </w:tcPr>
          <w:p w14:paraId="1A0AF10E" w14:textId="68B9151F" w:rsidR="008C48BC" w:rsidRPr="00026421" w:rsidRDefault="008C48BC" w:rsidP="008C48BC">
            <w:pPr>
              <w:jc w:val="right"/>
              <w:rPr>
                <w:color w:val="EE0000"/>
              </w:rPr>
            </w:pPr>
            <w:r w:rsidRPr="00026421">
              <w:rPr>
                <w:color w:val="70AD47" w:themeColor="accent6"/>
              </w:rPr>
              <w:t>+</w:t>
            </w:r>
            <w:r w:rsidR="007349C1">
              <w:rPr>
                <w:color w:val="70AD47" w:themeColor="accent6"/>
              </w:rPr>
              <w:t>$</w:t>
            </w:r>
            <w:r w:rsidRPr="00026421">
              <w:rPr>
                <w:color w:val="70AD47" w:themeColor="accent6"/>
              </w:rPr>
              <w:t>2,474</w:t>
            </w:r>
          </w:p>
        </w:tc>
      </w:tr>
      <w:tr w:rsidR="008C48BC" w:rsidRPr="00026421" w14:paraId="62765802" w14:textId="77777777" w:rsidTr="001E4835">
        <w:tc>
          <w:tcPr>
            <w:tcW w:w="4225" w:type="dxa"/>
          </w:tcPr>
          <w:p w14:paraId="019FF363" w14:textId="711B3724" w:rsidR="008C48BC" w:rsidRPr="00026421" w:rsidRDefault="008C48BC" w:rsidP="008C48BC">
            <w:r w:rsidRPr="00026421">
              <w:t>Strengthening HBCUs</w:t>
            </w:r>
          </w:p>
        </w:tc>
        <w:tc>
          <w:tcPr>
            <w:tcW w:w="1706" w:type="dxa"/>
          </w:tcPr>
          <w:p w14:paraId="7048C6EC" w14:textId="3C1F47EE" w:rsidR="008C48BC" w:rsidRPr="00026421" w:rsidRDefault="008C48BC" w:rsidP="008C48BC">
            <w:pPr>
              <w:jc w:val="right"/>
            </w:pPr>
            <w:r w:rsidRPr="00026421">
              <w:t>$400,996</w:t>
            </w:r>
          </w:p>
        </w:tc>
        <w:tc>
          <w:tcPr>
            <w:tcW w:w="1954" w:type="dxa"/>
          </w:tcPr>
          <w:p w14:paraId="33044126" w14:textId="17174603" w:rsidR="008C48BC" w:rsidRPr="00026421" w:rsidRDefault="008C48BC" w:rsidP="008C48BC">
            <w:pPr>
              <w:jc w:val="right"/>
            </w:pPr>
            <w:r w:rsidRPr="00026421">
              <w:t>$405,778</w:t>
            </w:r>
          </w:p>
        </w:tc>
        <w:tc>
          <w:tcPr>
            <w:tcW w:w="1920" w:type="dxa"/>
          </w:tcPr>
          <w:p w14:paraId="45442619" w14:textId="1F6C37C8" w:rsidR="008C48BC" w:rsidRPr="00026421" w:rsidRDefault="008C48BC" w:rsidP="008C48BC">
            <w:pPr>
              <w:jc w:val="right"/>
              <w:rPr>
                <w:color w:val="70AD47" w:themeColor="accent6"/>
              </w:rPr>
            </w:pPr>
            <w:r w:rsidRPr="00026421">
              <w:rPr>
                <w:color w:val="70AD47" w:themeColor="accent6"/>
              </w:rPr>
              <w:t>+</w:t>
            </w:r>
            <w:r w:rsidR="007349C1">
              <w:rPr>
                <w:color w:val="70AD47" w:themeColor="accent6"/>
              </w:rPr>
              <w:t>$</w:t>
            </w:r>
            <w:r w:rsidRPr="00026421">
              <w:rPr>
                <w:color w:val="70AD47" w:themeColor="accent6"/>
              </w:rPr>
              <w:t>4,782</w:t>
            </w:r>
          </w:p>
        </w:tc>
      </w:tr>
      <w:tr w:rsidR="008C48BC" w:rsidRPr="00026421" w14:paraId="5F7638BC" w14:textId="77777777" w:rsidTr="001E4835">
        <w:tc>
          <w:tcPr>
            <w:tcW w:w="4225" w:type="dxa"/>
          </w:tcPr>
          <w:p w14:paraId="400EFDB5" w14:textId="556B5FDC" w:rsidR="008C48BC" w:rsidRPr="00026421" w:rsidRDefault="008C48BC" w:rsidP="008C48BC">
            <w:r w:rsidRPr="00026421">
              <w:t>Strengthening PBIs</w:t>
            </w:r>
            <w:r>
              <w:t>*</w:t>
            </w:r>
          </w:p>
        </w:tc>
        <w:tc>
          <w:tcPr>
            <w:tcW w:w="1706" w:type="dxa"/>
          </w:tcPr>
          <w:p w14:paraId="1A27D6D5" w14:textId="1349536A" w:rsidR="008C48BC" w:rsidRPr="00026421" w:rsidRDefault="008C48BC" w:rsidP="008C48BC">
            <w:pPr>
              <w:jc w:val="right"/>
            </w:pPr>
            <w:r w:rsidRPr="00026421">
              <w:t>$22,412</w:t>
            </w:r>
          </w:p>
        </w:tc>
        <w:tc>
          <w:tcPr>
            <w:tcW w:w="1954" w:type="dxa"/>
          </w:tcPr>
          <w:p w14:paraId="05696733" w14:textId="7F11D0D6" w:rsidR="008C48BC" w:rsidRPr="00026421" w:rsidRDefault="008C48BC" w:rsidP="008C48BC">
            <w:pPr>
              <w:jc w:val="right"/>
            </w:pPr>
            <w:r w:rsidRPr="00026421">
              <w:t>$22,681</w:t>
            </w:r>
          </w:p>
        </w:tc>
        <w:tc>
          <w:tcPr>
            <w:tcW w:w="1920" w:type="dxa"/>
          </w:tcPr>
          <w:p w14:paraId="37A8BD62" w14:textId="69859EF2" w:rsidR="008C48BC" w:rsidRPr="00026421" w:rsidRDefault="008C48BC" w:rsidP="008C48BC">
            <w:pPr>
              <w:jc w:val="right"/>
              <w:rPr>
                <w:color w:val="70AD47" w:themeColor="accent6"/>
              </w:rPr>
            </w:pPr>
            <w:r w:rsidRPr="00026421">
              <w:rPr>
                <w:color w:val="70AD47" w:themeColor="accent6"/>
              </w:rPr>
              <w:t>+$269</w:t>
            </w:r>
          </w:p>
        </w:tc>
      </w:tr>
      <w:tr w:rsidR="008C48BC" w:rsidRPr="00026421" w14:paraId="386DD646" w14:textId="77777777" w:rsidTr="001E4835">
        <w:tc>
          <w:tcPr>
            <w:tcW w:w="4225" w:type="dxa"/>
          </w:tcPr>
          <w:p w14:paraId="53D66928" w14:textId="68C20109" w:rsidR="008C48BC" w:rsidRPr="00026421" w:rsidRDefault="008C48BC" w:rsidP="008C48BC">
            <w:r w:rsidRPr="00026421">
              <w:t>TRIO programs</w:t>
            </w:r>
          </w:p>
        </w:tc>
        <w:tc>
          <w:tcPr>
            <w:tcW w:w="1706" w:type="dxa"/>
          </w:tcPr>
          <w:p w14:paraId="638D0336" w14:textId="75AEACA7" w:rsidR="008C48BC" w:rsidRPr="00026421" w:rsidRDefault="008C48BC" w:rsidP="008C48BC">
            <w:pPr>
              <w:jc w:val="right"/>
            </w:pPr>
            <w:r w:rsidRPr="00026421">
              <w:t>$1,191,000</w:t>
            </w:r>
          </w:p>
        </w:tc>
        <w:tc>
          <w:tcPr>
            <w:tcW w:w="1954" w:type="dxa"/>
          </w:tcPr>
          <w:p w14:paraId="33C12D19" w14:textId="49228292" w:rsidR="008C48BC" w:rsidRPr="00026421" w:rsidRDefault="008C48BC" w:rsidP="008C48BC">
            <w:pPr>
              <w:jc w:val="right"/>
            </w:pPr>
            <w:r w:rsidRPr="00026421">
              <w:t>$1,191,000</w:t>
            </w:r>
          </w:p>
        </w:tc>
        <w:tc>
          <w:tcPr>
            <w:tcW w:w="1920" w:type="dxa"/>
          </w:tcPr>
          <w:p w14:paraId="14EBE2F0" w14:textId="4BF7F746" w:rsidR="008C48BC" w:rsidRPr="00026421" w:rsidRDefault="008C48BC" w:rsidP="008C48BC">
            <w:pPr>
              <w:jc w:val="right"/>
              <w:rPr>
                <w:color w:val="70AD47" w:themeColor="accent6"/>
              </w:rPr>
            </w:pPr>
            <w:r w:rsidRPr="00026421">
              <w:t>--</w:t>
            </w:r>
          </w:p>
        </w:tc>
      </w:tr>
      <w:tr w:rsidR="008C48BC" w:rsidRPr="00026421" w14:paraId="4BC9F6D4" w14:textId="77777777" w:rsidTr="001E4835">
        <w:tc>
          <w:tcPr>
            <w:tcW w:w="4225" w:type="dxa"/>
          </w:tcPr>
          <w:p w14:paraId="6BEA9A7A" w14:textId="1E0EEE19" w:rsidR="008C48BC" w:rsidRPr="00026421" w:rsidRDefault="008C48BC" w:rsidP="008C48BC">
            <w:r w:rsidRPr="00026421">
              <w:t>GEAR UP</w:t>
            </w:r>
          </w:p>
        </w:tc>
        <w:tc>
          <w:tcPr>
            <w:tcW w:w="1706" w:type="dxa"/>
          </w:tcPr>
          <w:p w14:paraId="22352D7D" w14:textId="3DD0E8B5" w:rsidR="008C48BC" w:rsidRPr="00026421" w:rsidRDefault="008C48BC" w:rsidP="008C48BC">
            <w:pPr>
              <w:jc w:val="right"/>
            </w:pPr>
            <w:r w:rsidRPr="00026421">
              <w:t>$388,000</w:t>
            </w:r>
          </w:p>
        </w:tc>
        <w:tc>
          <w:tcPr>
            <w:tcW w:w="1954" w:type="dxa"/>
          </w:tcPr>
          <w:p w14:paraId="6D1ECEED" w14:textId="127C475E" w:rsidR="008C48BC" w:rsidRPr="00026421" w:rsidRDefault="008C48BC" w:rsidP="008C48BC">
            <w:pPr>
              <w:jc w:val="right"/>
            </w:pPr>
            <w:r w:rsidRPr="00026421">
              <w:t>$388,000</w:t>
            </w:r>
          </w:p>
        </w:tc>
        <w:tc>
          <w:tcPr>
            <w:tcW w:w="1920" w:type="dxa"/>
          </w:tcPr>
          <w:p w14:paraId="51F554FB" w14:textId="44CA8BEF" w:rsidR="008C48BC" w:rsidRPr="00026421" w:rsidRDefault="008C48BC" w:rsidP="008C48BC">
            <w:pPr>
              <w:jc w:val="right"/>
            </w:pPr>
            <w:r w:rsidRPr="00026421">
              <w:t>--</w:t>
            </w:r>
          </w:p>
        </w:tc>
      </w:tr>
      <w:tr w:rsidR="00132766" w:rsidRPr="00026421" w14:paraId="4D93FB85" w14:textId="77777777" w:rsidTr="001E4835">
        <w:tc>
          <w:tcPr>
            <w:tcW w:w="4225" w:type="dxa"/>
          </w:tcPr>
          <w:p w14:paraId="0DDF2907" w14:textId="5548A447" w:rsidR="00132766" w:rsidRPr="00026421" w:rsidRDefault="00132766" w:rsidP="00132766">
            <w:r w:rsidRPr="00026421">
              <w:t xml:space="preserve">WIOA Adult </w:t>
            </w:r>
          </w:p>
        </w:tc>
        <w:tc>
          <w:tcPr>
            <w:tcW w:w="1706" w:type="dxa"/>
          </w:tcPr>
          <w:p w14:paraId="4535B068" w14:textId="5ED31574" w:rsidR="00132766" w:rsidRPr="00026421" w:rsidRDefault="00132766" w:rsidP="00132766">
            <w:pPr>
              <w:jc w:val="right"/>
            </w:pPr>
            <w:r w:rsidRPr="00026421">
              <w:t>$875,649</w:t>
            </w:r>
          </w:p>
        </w:tc>
        <w:tc>
          <w:tcPr>
            <w:tcW w:w="1954" w:type="dxa"/>
          </w:tcPr>
          <w:p w14:paraId="37BD6ED5" w14:textId="62EADEED" w:rsidR="00132766" w:rsidRPr="00026421" w:rsidRDefault="00132766" w:rsidP="00132766">
            <w:pPr>
              <w:jc w:val="right"/>
            </w:pPr>
            <w:r w:rsidRPr="00026421">
              <w:t>$875,649,000</w:t>
            </w:r>
          </w:p>
        </w:tc>
        <w:tc>
          <w:tcPr>
            <w:tcW w:w="1920" w:type="dxa"/>
          </w:tcPr>
          <w:p w14:paraId="7951AE2D" w14:textId="6777177E" w:rsidR="00132766" w:rsidRPr="00026421" w:rsidRDefault="00132766" w:rsidP="00132766">
            <w:pPr>
              <w:jc w:val="right"/>
            </w:pPr>
            <w:r w:rsidRPr="00026421">
              <w:rPr>
                <w:color w:val="EE0000"/>
              </w:rPr>
              <w:t>-$10,000</w:t>
            </w:r>
          </w:p>
        </w:tc>
      </w:tr>
      <w:tr w:rsidR="00132766" w:rsidRPr="00026421" w14:paraId="32A5E5BF" w14:textId="77777777" w:rsidTr="001E4835">
        <w:tc>
          <w:tcPr>
            <w:tcW w:w="4225" w:type="dxa"/>
          </w:tcPr>
          <w:p w14:paraId="7AD3F0A4" w14:textId="216B9E3D" w:rsidR="00132766" w:rsidRPr="00026421" w:rsidRDefault="00132766" w:rsidP="00132766">
            <w:r w:rsidRPr="00026421">
              <w:t>WIOA Youth</w:t>
            </w:r>
          </w:p>
        </w:tc>
        <w:tc>
          <w:tcPr>
            <w:tcW w:w="1706" w:type="dxa"/>
          </w:tcPr>
          <w:p w14:paraId="2FC3BCE3" w14:textId="38A2596F" w:rsidR="00132766" w:rsidRPr="00026421" w:rsidRDefault="00132766" w:rsidP="00132766">
            <w:pPr>
              <w:jc w:val="right"/>
            </w:pPr>
            <w:r w:rsidRPr="00026421">
              <w:t>$948,130</w:t>
            </w:r>
          </w:p>
        </w:tc>
        <w:tc>
          <w:tcPr>
            <w:tcW w:w="1954" w:type="dxa"/>
          </w:tcPr>
          <w:p w14:paraId="03322D4E" w14:textId="474DD7E8" w:rsidR="00132766" w:rsidRPr="00026421" w:rsidRDefault="00132766" w:rsidP="00132766">
            <w:pPr>
              <w:jc w:val="right"/>
            </w:pPr>
            <w:r w:rsidRPr="00026421">
              <w:t>$231,637</w:t>
            </w:r>
          </w:p>
        </w:tc>
        <w:tc>
          <w:tcPr>
            <w:tcW w:w="1920" w:type="dxa"/>
          </w:tcPr>
          <w:p w14:paraId="3700BED6" w14:textId="15A4AE41" w:rsidR="00132766" w:rsidRPr="00026421" w:rsidRDefault="00132766" w:rsidP="00132766">
            <w:pPr>
              <w:jc w:val="right"/>
              <w:rPr>
                <w:color w:val="EE0000"/>
              </w:rPr>
            </w:pPr>
            <w:r w:rsidRPr="00026421">
              <w:rPr>
                <w:color w:val="70AD47" w:themeColor="accent6"/>
              </w:rPr>
              <w:t>+</w:t>
            </w:r>
            <w:r w:rsidR="007349C1">
              <w:rPr>
                <w:color w:val="70AD47" w:themeColor="accent6"/>
              </w:rPr>
              <w:t>$</w:t>
            </w:r>
            <w:r w:rsidRPr="00026421">
              <w:rPr>
                <w:color w:val="70AD47" w:themeColor="accent6"/>
              </w:rPr>
              <w:t>2,474</w:t>
            </w:r>
          </w:p>
        </w:tc>
      </w:tr>
    </w:tbl>
    <w:p w14:paraId="6D6C3066" w14:textId="77777777" w:rsidR="001E4835" w:rsidRDefault="001E4835" w:rsidP="000E0586">
      <w:pPr>
        <w:rPr>
          <w:rFonts w:cs="Arial"/>
        </w:rPr>
      </w:pPr>
    </w:p>
    <w:p w14:paraId="01F1176D" w14:textId="7559560A" w:rsidR="000E0586" w:rsidRDefault="000E0586" w:rsidP="000E0586">
      <w:pPr>
        <w:rPr>
          <w:rFonts w:cs="Arial"/>
        </w:rPr>
      </w:pPr>
      <w:r>
        <w:rPr>
          <w:rFonts w:cs="Arial"/>
        </w:rPr>
        <w:t>Author: JCM</w:t>
      </w:r>
    </w:p>
    <w:p w14:paraId="1AFF87FF" w14:textId="37D2099A" w:rsidR="00773E91" w:rsidRDefault="00773E91" w:rsidP="00410C6B">
      <w:pPr>
        <w:pStyle w:val="Heading2"/>
      </w:pPr>
      <w:bookmarkStart w:id="8" w:name="_Toc221270997"/>
      <w:r>
        <w:t>ED Updates Prayer Guidance</w:t>
      </w:r>
      <w:bookmarkEnd w:id="8"/>
    </w:p>
    <w:p w14:paraId="64ACC074" w14:textId="1EA35F70" w:rsidR="00773E91" w:rsidRDefault="00773E91" w:rsidP="000E0586">
      <w:pPr>
        <w:rPr>
          <w:rFonts w:cs="Arial"/>
        </w:rPr>
      </w:pPr>
      <w:r>
        <w:rPr>
          <w:rFonts w:cs="Arial"/>
        </w:rPr>
        <w:t xml:space="preserve">Yesterday the U.S. </w:t>
      </w:r>
      <w:r w:rsidR="00603F07">
        <w:rPr>
          <w:rFonts w:cs="Arial"/>
        </w:rPr>
        <w:t>Department</w:t>
      </w:r>
      <w:r>
        <w:rPr>
          <w:rFonts w:cs="Arial"/>
        </w:rPr>
        <w:t xml:space="preserve"> of Education </w:t>
      </w:r>
      <w:r w:rsidR="00603F07">
        <w:rPr>
          <w:rFonts w:cs="Arial"/>
        </w:rPr>
        <w:t xml:space="preserve">(ED) issued </w:t>
      </w:r>
      <w:r w:rsidR="0081586D">
        <w:rPr>
          <w:rFonts w:cs="Arial"/>
        </w:rPr>
        <w:t xml:space="preserve">updated </w:t>
      </w:r>
      <w:r w:rsidR="00603F07">
        <w:rPr>
          <w:rFonts w:cs="Arial"/>
        </w:rPr>
        <w:t xml:space="preserve">guidance </w:t>
      </w:r>
      <w:r w:rsidR="0081586D">
        <w:rPr>
          <w:rFonts w:cs="Arial"/>
        </w:rPr>
        <w:t xml:space="preserve">on constitutionally protected prayer under the Elementary and Secondary Education Act (ESEA).  The guidance reminds States that under </w:t>
      </w:r>
      <w:r w:rsidR="005F0DC2">
        <w:rPr>
          <w:rFonts w:cs="Arial"/>
        </w:rPr>
        <w:t xml:space="preserve">Section 8524(a) of ESEA, each school district must certify in writing to the State that it has no policy that prevents, or otherwise denies, the right to </w:t>
      </w:r>
      <w:proofErr w:type="gramStart"/>
      <w:r w:rsidR="005F0DC2">
        <w:rPr>
          <w:rFonts w:cs="Arial"/>
        </w:rPr>
        <w:t>constitutionally</w:t>
      </w:r>
      <w:proofErr w:type="gramEnd"/>
      <w:r w:rsidR="005F0DC2">
        <w:rPr>
          <w:rFonts w:cs="Arial"/>
        </w:rPr>
        <w:t xml:space="preserve"> </w:t>
      </w:r>
      <w:proofErr w:type="gramStart"/>
      <w:r w:rsidR="005F0DC2">
        <w:rPr>
          <w:rFonts w:cs="Arial"/>
        </w:rPr>
        <w:t>protected prayed</w:t>
      </w:r>
      <w:proofErr w:type="gramEnd"/>
      <w:r w:rsidR="005F0DC2">
        <w:rPr>
          <w:rFonts w:cs="Arial"/>
        </w:rPr>
        <w:t xml:space="preserve"> in school.</w:t>
      </w:r>
    </w:p>
    <w:p w14:paraId="7C82C37C" w14:textId="1B2A92BB" w:rsidR="001C0CCC" w:rsidRDefault="001C0CCC" w:rsidP="000E0586">
      <w:pPr>
        <w:rPr>
          <w:rFonts w:cs="Arial"/>
        </w:rPr>
      </w:pPr>
      <w:r>
        <w:rPr>
          <w:rFonts w:cs="Arial"/>
        </w:rPr>
        <w:t>The updated guidance reviewed the certification process and outlines what information each local educational agency (LEA) must provide</w:t>
      </w:r>
      <w:r w:rsidR="00971CC9">
        <w:rPr>
          <w:rFonts w:cs="Arial"/>
        </w:rPr>
        <w:t xml:space="preserve"> to their State by October 1 of each year.  There is also a procedure listed through which the State must forward to ED by November 1 a list of all LEAs that have not provided the certification.  In addition, each State must have a complaint process and all complaints with respect to this requirement must be reported to ED.</w:t>
      </w:r>
    </w:p>
    <w:p w14:paraId="34D961B7" w14:textId="04B88760" w:rsidR="00971CC9" w:rsidRDefault="00971CC9" w:rsidP="000E0586">
      <w:pPr>
        <w:rPr>
          <w:rFonts w:cs="Arial"/>
        </w:rPr>
      </w:pPr>
      <w:r>
        <w:rPr>
          <w:rFonts w:cs="Arial"/>
        </w:rPr>
        <w:t xml:space="preserve">The guidance has been updated to include references to a 2025 Supreme Court decision in </w:t>
      </w:r>
      <w:r>
        <w:rPr>
          <w:rFonts w:cs="Arial"/>
          <w:i/>
          <w:iCs/>
        </w:rPr>
        <w:t>Mahmoud v. Taylor</w:t>
      </w:r>
      <w:r>
        <w:rPr>
          <w:rFonts w:cs="Arial"/>
        </w:rPr>
        <w:t xml:space="preserve">, </w:t>
      </w:r>
      <w:r w:rsidR="00F85DFF">
        <w:rPr>
          <w:rFonts w:cs="Arial"/>
        </w:rPr>
        <w:t xml:space="preserve">which permitted parents to opt their children out of specific material and topics.  It also references the 2022 case in </w:t>
      </w:r>
      <w:r w:rsidR="00F85DFF">
        <w:rPr>
          <w:rFonts w:cs="Arial"/>
          <w:i/>
          <w:iCs/>
        </w:rPr>
        <w:t>Kennedy v. Bremerton School District</w:t>
      </w:r>
      <w:r w:rsidR="00F85DFF">
        <w:rPr>
          <w:rFonts w:cs="Arial"/>
        </w:rPr>
        <w:t xml:space="preserve">, </w:t>
      </w:r>
      <w:r w:rsidR="00DF3175">
        <w:rPr>
          <w:rFonts w:cs="Arial"/>
        </w:rPr>
        <w:t xml:space="preserve">in which the high court supported a coach’s decision to pray publicly before a football game.  </w:t>
      </w:r>
      <w:r w:rsidR="006D0A38">
        <w:rPr>
          <w:rFonts w:cs="Arial"/>
        </w:rPr>
        <w:t xml:space="preserve">The guidance </w:t>
      </w:r>
      <w:r w:rsidR="00DF3175">
        <w:rPr>
          <w:rFonts w:cs="Arial"/>
        </w:rPr>
        <w:t>includes some specific examples in a new section which reflect these recent cases and other principles of religious expression at schools.</w:t>
      </w:r>
    </w:p>
    <w:p w14:paraId="7DF29FDB" w14:textId="0E4AEF98" w:rsidR="008970CE" w:rsidRDefault="008970CE" w:rsidP="000E0586">
      <w:pPr>
        <w:rPr>
          <w:rFonts w:cs="Arial"/>
        </w:rPr>
      </w:pPr>
      <w:r>
        <w:rPr>
          <w:rFonts w:cs="Arial"/>
        </w:rPr>
        <w:t>ED argues that the metaphor of “</w:t>
      </w:r>
      <w:r w:rsidRPr="008970CE">
        <w:rPr>
          <w:rFonts w:cs="Arial"/>
        </w:rPr>
        <w:t xml:space="preserve">a </w:t>
      </w:r>
      <w:r>
        <w:rPr>
          <w:rFonts w:cs="Arial"/>
        </w:rPr>
        <w:t>‘</w:t>
      </w:r>
      <w:r w:rsidRPr="008970CE">
        <w:rPr>
          <w:rFonts w:cs="Arial"/>
        </w:rPr>
        <w:t>wall of separation</w:t>
      </w:r>
      <w:r>
        <w:rPr>
          <w:rFonts w:cs="Arial"/>
        </w:rPr>
        <w:t>’</w:t>
      </w:r>
      <w:r w:rsidRPr="008970CE">
        <w:rPr>
          <w:rFonts w:cs="Arial"/>
        </w:rPr>
        <w:t xml:space="preserve"> between religious faith and public schools</w:t>
      </w:r>
      <w:r>
        <w:rPr>
          <w:rFonts w:cs="Arial"/>
        </w:rPr>
        <w:t xml:space="preserve">” is “familiar but legally unsound,” </w:t>
      </w:r>
      <w:r w:rsidR="00142952">
        <w:rPr>
          <w:rFonts w:cs="Arial"/>
        </w:rPr>
        <w:t xml:space="preserve">and notes its </w:t>
      </w:r>
      <w:r w:rsidR="007D2C56">
        <w:rPr>
          <w:rFonts w:cs="Arial"/>
        </w:rPr>
        <w:t>stance that</w:t>
      </w:r>
      <w:r w:rsidR="00142952">
        <w:rPr>
          <w:rFonts w:cs="Arial"/>
        </w:rPr>
        <w:t>:</w:t>
      </w:r>
    </w:p>
    <w:p w14:paraId="4BC14C44" w14:textId="2385869B" w:rsidR="00142952" w:rsidRDefault="00142952" w:rsidP="00142952">
      <w:pPr>
        <w:ind w:left="720"/>
        <w:rPr>
          <w:rFonts w:cs="Arial"/>
        </w:rPr>
      </w:pPr>
      <w:r>
        <w:rPr>
          <w:rFonts w:cs="Arial"/>
        </w:rPr>
        <w:t>“</w:t>
      </w:r>
      <w:r w:rsidRPr="00142952">
        <w:rPr>
          <w:rFonts w:cs="Arial"/>
        </w:rPr>
        <w:t>the prudent course of action for school officials is to allow the individuals who make up a public school community to act and speak in accordance with their faith, provided they do not invade the rights of others, the school does not itself participate in religious action or speech as an institution, and the school does not favor secular over religious views or one religious view over another</w:t>
      </w:r>
      <w:r w:rsidR="007D2C56">
        <w:rPr>
          <w:rFonts w:cs="Arial"/>
        </w:rPr>
        <w:t>.”</w:t>
      </w:r>
    </w:p>
    <w:p w14:paraId="3E2A3FB1" w14:textId="29741780" w:rsidR="007D2C56" w:rsidRDefault="007D2C56" w:rsidP="007D2C56">
      <w:pPr>
        <w:rPr>
          <w:rFonts w:cs="Arial"/>
        </w:rPr>
      </w:pPr>
      <w:r>
        <w:rPr>
          <w:rFonts w:cs="Arial"/>
        </w:rPr>
        <w:t xml:space="preserve">The </w:t>
      </w:r>
      <w:hyperlink r:id="rId9" w:tooltip="Link to Prayer Guidance." w:history="1">
        <w:r w:rsidRPr="00410C6B">
          <w:rPr>
            <w:rStyle w:val="Hyperlink"/>
            <w:rFonts w:cs="Arial"/>
          </w:rPr>
          <w:t>prayer guidance is available here</w:t>
        </w:r>
      </w:hyperlink>
      <w:r>
        <w:rPr>
          <w:rFonts w:cs="Arial"/>
        </w:rPr>
        <w:t>.</w:t>
      </w:r>
    </w:p>
    <w:p w14:paraId="135EDAB1" w14:textId="5254CA0E" w:rsidR="00410C6B" w:rsidRPr="00F85DFF" w:rsidRDefault="00410C6B" w:rsidP="007D2C56">
      <w:pPr>
        <w:rPr>
          <w:rFonts w:cs="Arial"/>
        </w:rPr>
      </w:pPr>
      <w:r>
        <w:rPr>
          <w:rFonts w:cs="Arial"/>
        </w:rPr>
        <w:t>Author: JCM</w:t>
      </w:r>
    </w:p>
    <w:p w14:paraId="665C8918" w14:textId="77777777" w:rsidR="005F0DC2" w:rsidRDefault="005F0DC2" w:rsidP="000E0586">
      <w:pPr>
        <w:rPr>
          <w:rFonts w:cs="Arial"/>
        </w:rPr>
      </w:pPr>
    </w:p>
    <w:p w14:paraId="40CA5AC3" w14:textId="72DC708E" w:rsidR="00037AFA" w:rsidRDefault="006856D4" w:rsidP="00D44D4C">
      <w:pPr>
        <w:pStyle w:val="Heading1"/>
        <w:spacing w:after="0"/>
      </w:pPr>
      <w:bookmarkStart w:id="9" w:name="_ggr13ial007m" w:colFirst="0" w:colLast="0"/>
      <w:bookmarkStart w:id="10" w:name="_Toc221270998"/>
      <w:bookmarkEnd w:id="9"/>
      <w:r>
        <w:t>Reports</w:t>
      </w:r>
      <w:bookmarkEnd w:id="10"/>
    </w:p>
    <w:p w14:paraId="0EE64E9D" w14:textId="64E6B80B" w:rsidR="003A5442" w:rsidRDefault="003A5442" w:rsidP="004A338B">
      <w:pPr>
        <w:pStyle w:val="Heading2"/>
      </w:pPr>
      <w:bookmarkStart w:id="11" w:name="_Toc221270999"/>
      <w:r>
        <w:t>ED Layoffs Cost Millions, GAO Says</w:t>
      </w:r>
      <w:bookmarkEnd w:id="11"/>
    </w:p>
    <w:p w14:paraId="65F8FCBA" w14:textId="6345FC20" w:rsidR="006856D4" w:rsidRPr="006856D4" w:rsidRDefault="006856D4" w:rsidP="006856D4">
      <w:pPr>
        <w:rPr>
          <w:rFonts w:eastAsia="Arial" w:cs="Arial"/>
        </w:rPr>
      </w:pPr>
      <w:r w:rsidRPr="006856D4">
        <w:rPr>
          <w:rFonts w:eastAsia="Arial" w:cs="Arial"/>
        </w:rPr>
        <w:t>Earlier this week the Government Accountability Office (GAO) issued a report finding that the Department of Education (ED) spent between $28.5 million and $38 million in salaries and benefits for staff from its Office of Civil Rights (OCR) which had been subject to a reduction in force (RIF) effort last March while they were on administrative leave before ultimately reinstating them to their positions.</w:t>
      </w:r>
    </w:p>
    <w:p w14:paraId="1C04645B" w14:textId="37C440FB" w:rsidR="006856D4" w:rsidRPr="006856D4" w:rsidRDefault="006856D4" w:rsidP="006856D4">
      <w:pPr>
        <w:rPr>
          <w:rFonts w:eastAsia="Arial" w:cs="Arial"/>
        </w:rPr>
      </w:pPr>
      <w:r w:rsidRPr="006856D4">
        <w:rPr>
          <w:rFonts w:eastAsia="Arial" w:cs="Arial"/>
        </w:rPr>
        <w:t>The RIF that took place last March</w:t>
      </w:r>
      <w:r w:rsidR="004617C2">
        <w:rPr>
          <w:rFonts w:eastAsia="Arial" w:cs="Arial"/>
        </w:rPr>
        <w:t>,</w:t>
      </w:r>
      <w:r w:rsidRPr="006856D4">
        <w:rPr>
          <w:rFonts w:eastAsia="Arial" w:cs="Arial"/>
        </w:rPr>
        <w:t xml:space="preserve"> combined with buyouts and retirement incentives</w:t>
      </w:r>
      <w:r w:rsidR="003B4CC9">
        <w:rPr>
          <w:rFonts w:eastAsia="Arial" w:cs="Arial"/>
        </w:rPr>
        <w:t>,</w:t>
      </w:r>
      <w:r w:rsidRPr="006856D4">
        <w:rPr>
          <w:rFonts w:eastAsia="Arial" w:cs="Arial"/>
        </w:rPr>
        <w:t xml:space="preserve"> cut the Department’s workforce </w:t>
      </w:r>
      <w:r w:rsidR="003B4CC9">
        <w:rPr>
          <w:rFonts w:eastAsia="Arial" w:cs="Arial"/>
        </w:rPr>
        <w:t xml:space="preserve">nearly </w:t>
      </w:r>
      <w:r w:rsidRPr="006856D4">
        <w:rPr>
          <w:rFonts w:eastAsia="Arial" w:cs="Arial"/>
        </w:rPr>
        <w:t xml:space="preserve">in half.  OCR, which enforces federal civil rights laws </w:t>
      </w:r>
      <w:r w:rsidRPr="006856D4">
        <w:rPr>
          <w:rFonts w:eastAsia="Arial" w:cs="Arial"/>
        </w:rPr>
        <w:lastRenderedPageBreak/>
        <w:t xml:space="preserve">at educational institutions, lost 299 of its 575 staffers and closed 7 of 12 of its regional offices.  The termination of OCR employees subject to the RIF was delayed by multiple lawsuits.  In December, ED brought back 85 of those staffers </w:t>
      </w:r>
      <w:r w:rsidR="00A02FA7">
        <w:rPr>
          <w:rFonts w:eastAsia="Arial" w:cs="Arial"/>
        </w:rPr>
        <w:t>before</w:t>
      </w:r>
      <w:r w:rsidRPr="006856D4">
        <w:rPr>
          <w:rFonts w:eastAsia="Arial" w:cs="Arial"/>
        </w:rPr>
        <w:t xml:space="preserve"> rescind</w:t>
      </w:r>
      <w:r w:rsidR="00A02FA7">
        <w:rPr>
          <w:rFonts w:eastAsia="Arial" w:cs="Arial"/>
        </w:rPr>
        <w:t>ing</w:t>
      </w:r>
      <w:r w:rsidRPr="006856D4">
        <w:rPr>
          <w:rFonts w:eastAsia="Arial" w:cs="Arial"/>
        </w:rPr>
        <w:t xml:space="preserve"> the OCR RIF last month.</w:t>
      </w:r>
    </w:p>
    <w:p w14:paraId="6F8AC967" w14:textId="77777777" w:rsidR="006856D4" w:rsidRPr="006856D4" w:rsidRDefault="006856D4" w:rsidP="006856D4">
      <w:pPr>
        <w:rPr>
          <w:rFonts w:eastAsia="Arial" w:cs="Arial"/>
        </w:rPr>
      </w:pPr>
      <w:r w:rsidRPr="006856D4">
        <w:rPr>
          <w:rFonts w:eastAsia="Arial" w:cs="Arial"/>
        </w:rPr>
        <w:t>GAO’s report found that ED was not in compliance with guidance issued by the Office of Management and Budget (OMB) and Office of Personnel Management (OPM) to document or account for any potential costs and savings from the RIF.  By neglecting to document or account for costs and savings, GAO found that ED lacks the evidence that its actions increased efficiency or productivity, or saved taxpayer dollars.</w:t>
      </w:r>
    </w:p>
    <w:p w14:paraId="3A5D6629" w14:textId="62CA423A" w:rsidR="006856D4" w:rsidRPr="006856D4" w:rsidRDefault="006856D4" w:rsidP="006856D4">
      <w:pPr>
        <w:rPr>
          <w:rFonts w:eastAsia="Arial" w:cs="Arial"/>
        </w:rPr>
      </w:pPr>
      <w:r w:rsidRPr="006856D4">
        <w:rPr>
          <w:rFonts w:eastAsia="Arial" w:cs="Arial"/>
        </w:rPr>
        <w:t xml:space="preserve">Between March and September, while </w:t>
      </w:r>
      <w:proofErr w:type="gramStart"/>
      <w:r w:rsidRPr="006856D4">
        <w:rPr>
          <w:rFonts w:eastAsia="Arial" w:cs="Arial"/>
        </w:rPr>
        <w:t>the majority of</w:t>
      </w:r>
      <w:proofErr w:type="gramEnd"/>
      <w:r w:rsidRPr="006856D4">
        <w:rPr>
          <w:rFonts w:eastAsia="Arial" w:cs="Arial"/>
        </w:rPr>
        <w:t xml:space="preserve"> its staff was on leave, OCR received more than 9,000 complaints and resolved a total of 7,072 complaints.</w:t>
      </w:r>
      <w:r w:rsidR="006D0A38">
        <w:rPr>
          <w:rFonts w:eastAsia="Arial" w:cs="Arial"/>
        </w:rPr>
        <w:t xml:space="preserve"> </w:t>
      </w:r>
      <w:r w:rsidR="0069387D">
        <w:rPr>
          <w:rFonts w:eastAsia="Arial" w:cs="Arial"/>
        </w:rPr>
        <w:t xml:space="preserve"> According to the GAO report,</w:t>
      </w:r>
      <w:r w:rsidRPr="006856D4">
        <w:rPr>
          <w:rFonts w:eastAsia="Arial" w:cs="Arial"/>
        </w:rPr>
        <w:t xml:space="preserve"> </w:t>
      </w:r>
      <w:r w:rsidR="0069387D">
        <w:rPr>
          <w:rFonts w:eastAsia="Arial" w:cs="Arial"/>
        </w:rPr>
        <w:t>i</w:t>
      </w:r>
      <w:r w:rsidRPr="006856D4">
        <w:rPr>
          <w:rFonts w:eastAsia="Arial" w:cs="Arial"/>
        </w:rPr>
        <w:t xml:space="preserve">t did so by dismissing 90% of them, </w:t>
      </w:r>
      <w:r w:rsidR="0069387D">
        <w:rPr>
          <w:rFonts w:eastAsia="Arial" w:cs="Arial"/>
        </w:rPr>
        <w:t>up from 8</w:t>
      </w:r>
      <w:r w:rsidR="003427A5">
        <w:rPr>
          <w:rFonts w:eastAsia="Arial" w:cs="Arial"/>
        </w:rPr>
        <w:t>1</w:t>
      </w:r>
      <w:r w:rsidR="0069387D">
        <w:rPr>
          <w:rFonts w:eastAsia="Arial" w:cs="Arial"/>
        </w:rPr>
        <w:t xml:space="preserve">% </w:t>
      </w:r>
      <w:r w:rsidR="003427A5">
        <w:rPr>
          <w:rFonts w:eastAsia="Arial" w:cs="Arial"/>
        </w:rPr>
        <w:t>in 2020</w:t>
      </w:r>
      <w:r w:rsidR="0069387D">
        <w:rPr>
          <w:rFonts w:eastAsia="Arial" w:cs="Arial"/>
        </w:rPr>
        <w:t>.</w:t>
      </w:r>
    </w:p>
    <w:p w14:paraId="755D7EA9" w14:textId="38A1D903" w:rsidR="00374141" w:rsidRDefault="00374141" w:rsidP="006856D4">
      <w:pPr>
        <w:rPr>
          <w:rFonts w:eastAsia="Arial" w:cs="Arial"/>
        </w:rPr>
      </w:pPr>
      <w:r>
        <w:rPr>
          <w:rFonts w:eastAsia="Arial" w:cs="Arial"/>
        </w:rPr>
        <w:t xml:space="preserve">The </w:t>
      </w:r>
      <w:hyperlink r:id="rId10" w:tooltip="Link to GAO Report." w:history="1">
        <w:r w:rsidR="003B4CC9" w:rsidRPr="003B4CC9">
          <w:rPr>
            <w:rStyle w:val="Hyperlink"/>
            <w:rFonts w:eastAsia="Arial" w:cs="Arial"/>
          </w:rPr>
          <w:t>GAO report on the ED RIF is</w:t>
        </w:r>
        <w:r w:rsidRPr="003B4CC9">
          <w:rPr>
            <w:rStyle w:val="Hyperlink"/>
            <w:rFonts w:eastAsia="Arial" w:cs="Arial"/>
          </w:rPr>
          <w:t xml:space="preserve"> here</w:t>
        </w:r>
      </w:hyperlink>
      <w:r>
        <w:rPr>
          <w:rFonts w:eastAsia="Arial" w:cs="Arial"/>
        </w:rPr>
        <w:t>.</w:t>
      </w:r>
    </w:p>
    <w:p w14:paraId="2C25028B" w14:textId="47146B19" w:rsidR="006856D4" w:rsidRPr="006856D4" w:rsidRDefault="003A5442" w:rsidP="006856D4">
      <w:pPr>
        <w:rPr>
          <w:rFonts w:eastAsia="Arial" w:cs="Arial"/>
        </w:rPr>
      </w:pPr>
      <w:r>
        <w:rPr>
          <w:rFonts w:eastAsia="Arial" w:cs="Arial"/>
        </w:rPr>
        <w:t>Author: SMM</w:t>
      </w:r>
    </w:p>
    <w:p w14:paraId="22DF6B8F" w14:textId="77777777" w:rsidR="006856D4" w:rsidRPr="006856D4" w:rsidRDefault="006856D4" w:rsidP="006856D4">
      <w:pPr>
        <w:rPr>
          <w:rFonts w:eastAsia="Arial" w:cs="Arial"/>
        </w:rPr>
      </w:pP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70FC7991"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Julia Martin</w:t>
      </w:r>
      <w:r w:rsidR="006856D4">
        <w:rPr>
          <w:rFonts w:eastAsia="Times New Roman" w:cs="Arial"/>
        </w:rPr>
        <w:t>, Shane Morrisey</w:t>
      </w:r>
    </w:p>
    <w:p w14:paraId="42C9C22A" w14:textId="60AB3863" w:rsidR="00B1604D" w:rsidRDefault="00B1604D" w:rsidP="2193F663">
      <w:pPr>
        <w:spacing w:before="240" w:after="240"/>
        <w:rPr>
          <w:rFonts w:eastAsia="Times New Roman" w:cs="Arial"/>
        </w:rPr>
      </w:pPr>
      <w:r w:rsidRPr="00B1604D">
        <w:rPr>
          <w:rFonts w:eastAsia="Times New Roman" w:cs="Arial"/>
        </w:rPr>
        <w:t xml:space="preserve">Posted by the California Department of Education, </w:t>
      </w:r>
      <w:r>
        <w:rPr>
          <w:rFonts w:eastAsia="Times New Roman" w:cs="Arial"/>
        </w:rPr>
        <w:t>February 2026</w:t>
      </w:r>
    </w:p>
    <w:sectPr w:rsidR="00B1604D"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D251" w14:textId="77777777" w:rsidR="009108A2" w:rsidRDefault="009108A2">
      <w:pPr>
        <w:spacing w:before="0" w:after="0"/>
      </w:pPr>
      <w:r>
        <w:separator/>
      </w:r>
    </w:p>
  </w:endnote>
  <w:endnote w:type="continuationSeparator" w:id="0">
    <w:p w14:paraId="2A5CC760" w14:textId="77777777" w:rsidR="009108A2" w:rsidRDefault="009108A2">
      <w:pPr>
        <w:spacing w:before="0" w:after="0"/>
      </w:pPr>
      <w:r>
        <w:continuationSeparator/>
      </w:r>
    </w:p>
  </w:endnote>
  <w:endnote w:type="continuationNotice" w:id="1">
    <w:p w14:paraId="37C6FF87" w14:textId="77777777" w:rsidR="009108A2" w:rsidRDefault="009108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513" w14:textId="77777777" w:rsidR="009108A2" w:rsidRDefault="009108A2">
      <w:pPr>
        <w:spacing w:before="0" w:after="0"/>
      </w:pPr>
      <w:r>
        <w:separator/>
      </w:r>
    </w:p>
  </w:footnote>
  <w:footnote w:type="continuationSeparator" w:id="0">
    <w:p w14:paraId="29E44B5C" w14:textId="77777777" w:rsidR="009108A2" w:rsidRDefault="009108A2">
      <w:pPr>
        <w:spacing w:before="0" w:after="0"/>
      </w:pPr>
      <w:r>
        <w:continuationSeparator/>
      </w:r>
    </w:p>
  </w:footnote>
  <w:footnote w:type="continuationNotice" w:id="1">
    <w:p w14:paraId="4AFEA83F" w14:textId="77777777" w:rsidR="009108A2" w:rsidRDefault="009108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C01FA4B" w:rsidR="003C7552" w:rsidRPr="00662BDC" w:rsidRDefault="004D7407" w:rsidP="000A590A">
    <w:pPr>
      <w:pStyle w:val="NoSpacing"/>
      <w:tabs>
        <w:tab w:val="left" w:pos="7920"/>
      </w:tabs>
    </w:pPr>
    <w:r>
      <w:t>February 6</w:t>
    </w:r>
    <w:r w:rsidR="71338862">
      <w:t>, 202</w:t>
    </w:r>
    <w:r w:rsidR="00675BD9">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802"/>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49"/>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E6C"/>
    <w:rsid w:val="000F7026"/>
    <w:rsid w:val="000F7104"/>
    <w:rsid w:val="000F75A3"/>
    <w:rsid w:val="00100411"/>
    <w:rsid w:val="001010CB"/>
    <w:rsid w:val="001014CA"/>
    <w:rsid w:val="00101888"/>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3AC9"/>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4835"/>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3AE"/>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2250"/>
    <w:rsid w:val="002A2263"/>
    <w:rsid w:val="002A249C"/>
    <w:rsid w:val="002A3273"/>
    <w:rsid w:val="002A36A4"/>
    <w:rsid w:val="002A3EEC"/>
    <w:rsid w:val="002A42CD"/>
    <w:rsid w:val="002A4867"/>
    <w:rsid w:val="002A52C6"/>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E5"/>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B6"/>
    <w:rsid w:val="003669D8"/>
    <w:rsid w:val="00366DCE"/>
    <w:rsid w:val="00367550"/>
    <w:rsid w:val="00367B13"/>
    <w:rsid w:val="00367B27"/>
    <w:rsid w:val="0037017A"/>
    <w:rsid w:val="00370B65"/>
    <w:rsid w:val="0037122F"/>
    <w:rsid w:val="0037186A"/>
    <w:rsid w:val="00371EBC"/>
    <w:rsid w:val="00371EEC"/>
    <w:rsid w:val="003727CB"/>
    <w:rsid w:val="00372B9D"/>
    <w:rsid w:val="00373C8D"/>
    <w:rsid w:val="00373F3D"/>
    <w:rsid w:val="00374141"/>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F9B"/>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615"/>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6D"/>
    <w:rsid w:val="004818D2"/>
    <w:rsid w:val="00481A07"/>
    <w:rsid w:val="00481BEB"/>
    <w:rsid w:val="00481F5C"/>
    <w:rsid w:val="00482544"/>
    <w:rsid w:val="004825D3"/>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186"/>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49A"/>
    <w:rsid w:val="005B161F"/>
    <w:rsid w:val="005B1F70"/>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3F3"/>
    <w:rsid w:val="005E741D"/>
    <w:rsid w:val="005E7692"/>
    <w:rsid w:val="005E7813"/>
    <w:rsid w:val="005E7EFB"/>
    <w:rsid w:val="005F001C"/>
    <w:rsid w:val="005F089C"/>
    <w:rsid w:val="005F0DC2"/>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471"/>
    <w:rsid w:val="006076AA"/>
    <w:rsid w:val="006076FA"/>
    <w:rsid w:val="00607CC9"/>
    <w:rsid w:val="00607D91"/>
    <w:rsid w:val="0061165B"/>
    <w:rsid w:val="00611998"/>
    <w:rsid w:val="00611D37"/>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BF8"/>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7A7"/>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36C"/>
    <w:rsid w:val="006D2442"/>
    <w:rsid w:val="006D2635"/>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1D1"/>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6CB"/>
    <w:rsid w:val="00747827"/>
    <w:rsid w:val="00747B92"/>
    <w:rsid w:val="00747C1F"/>
    <w:rsid w:val="00747FE7"/>
    <w:rsid w:val="0075062D"/>
    <w:rsid w:val="00750DC4"/>
    <w:rsid w:val="00750F8C"/>
    <w:rsid w:val="007513BB"/>
    <w:rsid w:val="007513DE"/>
    <w:rsid w:val="00751429"/>
    <w:rsid w:val="0075184E"/>
    <w:rsid w:val="00751C4F"/>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E91"/>
    <w:rsid w:val="00773FC1"/>
    <w:rsid w:val="0077401F"/>
    <w:rsid w:val="00774023"/>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DDF"/>
    <w:rsid w:val="007F1F8A"/>
    <w:rsid w:val="007F1F8D"/>
    <w:rsid w:val="007F24F6"/>
    <w:rsid w:val="007F2B24"/>
    <w:rsid w:val="007F2DD7"/>
    <w:rsid w:val="007F30FE"/>
    <w:rsid w:val="007F3516"/>
    <w:rsid w:val="007F3636"/>
    <w:rsid w:val="007F3A6E"/>
    <w:rsid w:val="007F3BAE"/>
    <w:rsid w:val="007F3CC9"/>
    <w:rsid w:val="007F3DB9"/>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0F9E"/>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CC"/>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C18"/>
    <w:rsid w:val="00815C9D"/>
    <w:rsid w:val="00816A90"/>
    <w:rsid w:val="008170EB"/>
    <w:rsid w:val="008171D2"/>
    <w:rsid w:val="0081741E"/>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2B7"/>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35E"/>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F3"/>
    <w:rsid w:val="008E20F2"/>
    <w:rsid w:val="008E21F2"/>
    <w:rsid w:val="008E2507"/>
    <w:rsid w:val="008E2CE2"/>
    <w:rsid w:val="008E31DD"/>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8A2"/>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D58"/>
    <w:rsid w:val="009D2E35"/>
    <w:rsid w:val="009D2F35"/>
    <w:rsid w:val="009D31F8"/>
    <w:rsid w:val="009D35BC"/>
    <w:rsid w:val="009D3739"/>
    <w:rsid w:val="009D3834"/>
    <w:rsid w:val="009D3856"/>
    <w:rsid w:val="009D3D22"/>
    <w:rsid w:val="009D47EE"/>
    <w:rsid w:val="009D47F6"/>
    <w:rsid w:val="009D4F80"/>
    <w:rsid w:val="009D50AC"/>
    <w:rsid w:val="009D542C"/>
    <w:rsid w:val="009D55B0"/>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1DC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71C1"/>
    <w:rsid w:val="00A47754"/>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7B9"/>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210"/>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B39"/>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19"/>
    <w:rsid w:val="00B14243"/>
    <w:rsid w:val="00B14771"/>
    <w:rsid w:val="00B14AB7"/>
    <w:rsid w:val="00B14C13"/>
    <w:rsid w:val="00B14CB3"/>
    <w:rsid w:val="00B15498"/>
    <w:rsid w:val="00B156F9"/>
    <w:rsid w:val="00B15A12"/>
    <w:rsid w:val="00B15A6B"/>
    <w:rsid w:val="00B15B2B"/>
    <w:rsid w:val="00B15B78"/>
    <w:rsid w:val="00B15D8C"/>
    <w:rsid w:val="00B15F0D"/>
    <w:rsid w:val="00B1604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0A0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8FF"/>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7B1"/>
    <w:rsid w:val="00C21FC4"/>
    <w:rsid w:val="00C224C5"/>
    <w:rsid w:val="00C227B7"/>
    <w:rsid w:val="00C23341"/>
    <w:rsid w:val="00C23DD2"/>
    <w:rsid w:val="00C24231"/>
    <w:rsid w:val="00C2427A"/>
    <w:rsid w:val="00C244B0"/>
    <w:rsid w:val="00C2464E"/>
    <w:rsid w:val="00C24AF8"/>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0C8"/>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D2F"/>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4C"/>
    <w:rsid w:val="00D44D9F"/>
    <w:rsid w:val="00D456E2"/>
    <w:rsid w:val="00D45D02"/>
    <w:rsid w:val="00D45D47"/>
    <w:rsid w:val="00D46289"/>
    <w:rsid w:val="00D462B4"/>
    <w:rsid w:val="00D46778"/>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2DD6"/>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C44"/>
    <w:rsid w:val="00E70E6B"/>
    <w:rsid w:val="00E70F0E"/>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B88"/>
    <w:rsid w:val="00EB4CA2"/>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137"/>
    <w:rsid w:val="00F9568D"/>
    <w:rsid w:val="00F95742"/>
    <w:rsid w:val="00F95A06"/>
    <w:rsid w:val="00F95E91"/>
    <w:rsid w:val="00F964E5"/>
    <w:rsid w:val="00F964F3"/>
    <w:rsid w:val="00F966C0"/>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DA6625"/>
    <w:pPr>
      <w:keepNext/>
      <w:keepLines/>
      <w:pBdr>
        <w:bottom w:val="single" w:sz="6" w:space="1" w:color="auto"/>
      </w:pBdr>
      <w:spacing w:before="240"/>
      <w:outlineLvl w:val="0"/>
    </w:pPr>
    <w:rPr>
      <w:rFonts w:eastAsiaTheme="majorEastAsia" w:cstheme="majorBidi"/>
      <w:b/>
      <w:smallCaps/>
      <w:sz w:val="32"/>
      <w:szCs w:val="32"/>
    </w:rPr>
  </w:style>
  <w:style w:type="paragraph" w:styleId="Heading2">
    <w:name w:val="heading 2"/>
    <w:basedOn w:val="Normal"/>
    <w:next w:val="Normal"/>
    <w:link w:val="Heading2Char"/>
    <w:uiPriority w:val="9"/>
    <w:unhideWhenUsed/>
    <w:qFormat/>
    <w:rsid w:val="00037AFA"/>
    <w:pPr>
      <w:keepNext/>
      <w:keepLines/>
      <w:spacing w:before="12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spacing w:before="0" w:after="0"/>
      <w:ind w:right="86"/>
    </w:pPr>
    <w:rPr>
      <w:b/>
      <w:sz w:val="32"/>
    </w:rPr>
  </w:style>
  <w:style w:type="paragraph" w:styleId="TOC2">
    <w:name w:val="toc 2"/>
    <w:aliases w:val="Federal Update TOC 2"/>
    <w:basedOn w:val="Normal"/>
    <w:next w:val="Normal"/>
    <w:autoRedefine/>
    <w:uiPriority w:val="39"/>
    <w:rsid w:val="00D478B6"/>
    <w:pPr>
      <w:tabs>
        <w:tab w:val="right" w:leader="dot" w:pos="9472"/>
      </w:tabs>
      <w:spacing w:before="0" w:after="0"/>
      <w:ind w:left="720"/>
    </w:pPr>
    <w:rPr>
      <w:b/>
      <w:noProof/>
      <w:sz w:val="28"/>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037AFA"/>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A6625"/>
    <w:rPr>
      <w:rFonts w:ascii="Arial" w:eastAsiaTheme="majorEastAsia" w:hAnsi="Arial" w:cstheme="majorBidi"/>
      <w:b/>
      <w:smallCaps/>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after="0"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ao.gov/assets/gao-26-108320.pdf" TargetMode="External"/><Relationship Id="rId4" Type="http://schemas.openxmlformats.org/officeDocument/2006/relationships/settings" Target="settings.xml"/><Relationship Id="rId9" Type="http://schemas.openxmlformats.org/officeDocument/2006/relationships/hyperlink" Target="https://www.ed.gov/media/document/2026-guidance-constitutionally-protected-prayer-and-religious-expression-public-elementary-and-secondary-schools-113182.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5917</Characters>
  <Application>Microsoft Office Word</Application>
  <DocSecurity>0</DocSecurity>
  <Lines>181</Lines>
  <Paragraphs>115</Paragraphs>
  <ScaleCrop>false</ScaleCrop>
  <HeadingPairs>
    <vt:vector size="2" baseType="variant">
      <vt:variant>
        <vt:lpstr>Title</vt:lpstr>
      </vt:variant>
      <vt:variant>
        <vt:i4>1</vt:i4>
      </vt:variant>
    </vt:vector>
  </HeadingPairs>
  <TitlesOfParts>
    <vt:vector size="1" baseType="lpstr">
      <vt:lpstr>Federal Update: February 6 - Government Affairs (CA Dept of Education)</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6 - Government Affairs (CA Dept of Education)</dc:title>
  <dc:subject>Federal Updates for February 6, 2026.</dc:subject>
  <dc:creator/>
  <cp:keywords/>
  <dc:description/>
  <cp:lastModifiedBy/>
  <cp:revision>1</cp:revision>
  <dcterms:created xsi:type="dcterms:W3CDTF">2026-04-15T16:09:00Z</dcterms:created>
  <dcterms:modified xsi:type="dcterms:W3CDTF">2026-04-15T22:15:00Z</dcterms:modified>
</cp:coreProperties>
</file>