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2A08FF40"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663486F3">
        <w:rPr>
          <w:b/>
          <w:bCs/>
          <w:sz w:val="32"/>
          <w:szCs w:val="32"/>
        </w:rPr>
        <w:t xml:space="preserve">The Federal Update for </w:t>
      </w:r>
      <w:bookmarkEnd w:id="10"/>
      <w:bookmarkEnd w:id="11"/>
      <w:bookmarkEnd w:id="12"/>
      <w:bookmarkEnd w:id="13"/>
      <w:bookmarkEnd w:id="14"/>
      <w:bookmarkEnd w:id="15"/>
      <w:r w:rsidR="00D24D8E">
        <w:rPr>
          <w:b/>
          <w:bCs/>
          <w:sz w:val="32"/>
          <w:szCs w:val="32"/>
        </w:rPr>
        <w:t>August</w:t>
      </w:r>
      <w:r w:rsidR="00580871">
        <w:rPr>
          <w:b/>
          <w:bCs/>
          <w:sz w:val="32"/>
          <w:szCs w:val="32"/>
        </w:rPr>
        <w:t xml:space="preserve"> </w:t>
      </w:r>
      <w:r w:rsidR="00146131">
        <w:rPr>
          <w:b/>
          <w:bCs/>
          <w:sz w:val="32"/>
          <w:szCs w:val="32"/>
        </w:rPr>
        <w:t>16</w:t>
      </w:r>
      <w:r w:rsidR="005D3FF9" w:rsidRPr="663486F3">
        <w:rPr>
          <w:b/>
          <w:bCs/>
          <w:sz w:val="32"/>
          <w:szCs w:val="32"/>
        </w:rPr>
        <w:t>, 202</w:t>
      </w:r>
      <w:r w:rsidR="00BB6286">
        <w:rPr>
          <w:b/>
          <w:bCs/>
          <w:sz w:val="32"/>
          <w:szCs w:val="32"/>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371C8259" w:rsidR="0063135C" w:rsidRDefault="00D0389C" w:rsidP="009B424F">
      <w:pPr>
        <w:pStyle w:val="MessageHeader"/>
        <w:spacing w:after="240"/>
      </w:pPr>
      <w:r>
        <w:t>Date:</w:t>
      </w:r>
      <w:r>
        <w:tab/>
      </w:r>
      <w:r w:rsidR="00D24D8E">
        <w:t>August</w:t>
      </w:r>
      <w:r w:rsidR="00580871">
        <w:t xml:space="preserve"> </w:t>
      </w:r>
      <w:r w:rsidR="00146131">
        <w:t>16</w:t>
      </w:r>
      <w:r w:rsidR="00537D4B">
        <w:t>, 202</w:t>
      </w:r>
      <w:r w:rsidR="00BB6286">
        <w:t>4</w:t>
      </w:r>
    </w:p>
    <w:p w14:paraId="2AD7C7FB" w14:textId="0B504363" w:rsidR="00581B24"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4623031" w:history="1">
        <w:r w:rsidR="00581B24" w:rsidRPr="001E492F">
          <w:rPr>
            <w:rStyle w:val="Hyperlink"/>
          </w:rPr>
          <w:t>Legislation and Guidance</w:t>
        </w:r>
        <w:r w:rsidR="00581B24">
          <w:rPr>
            <w:webHidden/>
          </w:rPr>
          <w:tab/>
        </w:r>
        <w:r w:rsidR="00581B24">
          <w:rPr>
            <w:webHidden/>
          </w:rPr>
          <w:fldChar w:fldCharType="begin"/>
        </w:r>
        <w:r w:rsidR="00581B24">
          <w:rPr>
            <w:webHidden/>
          </w:rPr>
          <w:instrText xml:space="preserve"> PAGEREF _Toc174623031 \h </w:instrText>
        </w:r>
        <w:r w:rsidR="00581B24">
          <w:rPr>
            <w:webHidden/>
          </w:rPr>
        </w:r>
        <w:r w:rsidR="00581B24">
          <w:rPr>
            <w:webHidden/>
          </w:rPr>
          <w:fldChar w:fldCharType="separate"/>
        </w:r>
        <w:r w:rsidR="004F426F">
          <w:rPr>
            <w:webHidden/>
          </w:rPr>
          <w:t>1</w:t>
        </w:r>
        <w:r w:rsidR="00581B24">
          <w:rPr>
            <w:webHidden/>
          </w:rPr>
          <w:fldChar w:fldCharType="end"/>
        </w:r>
      </w:hyperlink>
    </w:p>
    <w:p w14:paraId="331FB74F" w14:textId="6A6236CC" w:rsidR="00581B24" w:rsidRDefault="00581B24">
      <w:pPr>
        <w:pStyle w:val="TOC3"/>
        <w:rPr>
          <w:rFonts w:asciiTheme="minorHAnsi" w:eastAsiaTheme="minorEastAsia" w:hAnsiTheme="minorHAnsi" w:cstheme="minorBidi"/>
          <w:b w:val="0"/>
          <w:kern w:val="2"/>
          <w:sz w:val="24"/>
          <w:szCs w:val="24"/>
          <w14:ligatures w14:val="standardContextual"/>
        </w:rPr>
      </w:pPr>
      <w:hyperlink w:anchor="_Toc174623032" w:history="1">
        <w:r w:rsidRPr="001E492F">
          <w:rPr>
            <w:rStyle w:val="Hyperlink"/>
          </w:rPr>
          <w:t>House Conservatives Push for Full Appropriations Bills in September</w:t>
        </w:r>
        <w:r>
          <w:rPr>
            <w:webHidden/>
          </w:rPr>
          <w:tab/>
        </w:r>
        <w:r>
          <w:rPr>
            <w:webHidden/>
          </w:rPr>
          <w:fldChar w:fldCharType="begin"/>
        </w:r>
        <w:r>
          <w:rPr>
            <w:webHidden/>
          </w:rPr>
          <w:instrText xml:space="preserve"> PAGEREF _Toc174623032 \h </w:instrText>
        </w:r>
        <w:r>
          <w:rPr>
            <w:webHidden/>
          </w:rPr>
        </w:r>
        <w:r>
          <w:rPr>
            <w:webHidden/>
          </w:rPr>
          <w:fldChar w:fldCharType="separate"/>
        </w:r>
        <w:r w:rsidR="004F426F">
          <w:rPr>
            <w:webHidden/>
          </w:rPr>
          <w:t>1</w:t>
        </w:r>
        <w:r>
          <w:rPr>
            <w:webHidden/>
          </w:rPr>
          <w:fldChar w:fldCharType="end"/>
        </w:r>
      </w:hyperlink>
    </w:p>
    <w:p w14:paraId="62C82458" w14:textId="40493023" w:rsidR="00581B24" w:rsidRDefault="00581B24">
      <w:pPr>
        <w:pStyle w:val="TOC2"/>
        <w:rPr>
          <w:rFonts w:asciiTheme="minorHAnsi" w:eastAsiaTheme="minorEastAsia" w:hAnsiTheme="minorHAnsi" w:cstheme="minorBidi"/>
          <w:b w:val="0"/>
          <w:kern w:val="2"/>
          <w:sz w:val="24"/>
          <w:szCs w:val="24"/>
          <w14:ligatures w14:val="standardContextual"/>
        </w:rPr>
      </w:pPr>
      <w:hyperlink w:anchor="_Toc174623033" w:history="1">
        <w:r w:rsidRPr="001E492F">
          <w:rPr>
            <w:rStyle w:val="Hyperlink"/>
          </w:rPr>
          <w:t>Reports</w:t>
        </w:r>
        <w:r>
          <w:rPr>
            <w:webHidden/>
          </w:rPr>
          <w:tab/>
        </w:r>
        <w:r>
          <w:rPr>
            <w:webHidden/>
          </w:rPr>
          <w:fldChar w:fldCharType="begin"/>
        </w:r>
        <w:r>
          <w:rPr>
            <w:webHidden/>
          </w:rPr>
          <w:instrText xml:space="preserve"> PAGEREF _Toc174623033 \h </w:instrText>
        </w:r>
        <w:r>
          <w:rPr>
            <w:webHidden/>
          </w:rPr>
        </w:r>
        <w:r>
          <w:rPr>
            <w:webHidden/>
          </w:rPr>
          <w:fldChar w:fldCharType="separate"/>
        </w:r>
        <w:r w:rsidR="004F426F">
          <w:rPr>
            <w:webHidden/>
          </w:rPr>
          <w:t>2</w:t>
        </w:r>
        <w:r>
          <w:rPr>
            <w:webHidden/>
          </w:rPr>
          <w:fldChar w:fldCharType="end"/>
        </w:r>
      </w:hyperlink>
    </w:p>
    <w:p w14:paraId="33272B39" w14:textId="724DFFB4" w:rsidR="00581B24" w:rsidRDefault="00581B24">
      <w:pPr>
        <w:pStyle w:val="TOC3"/>
        <w:rPr>
          <w:rFonts w:asciiTheme="minorHAnsi" w:eastAsiaTheme="minorEastAsia" w:hAnsiTheme="minorHAnsi" w:cstheme="minorBidi"/>
          <w:b w:val="0"/>
          <w:kern w:val="2"/>
          <w:sz w:val="24"/>
          <w:szCs w:val="24"/>
          <w14:ligatures w14:val="standardContextual"/>
        </w:rPr>
      </w:pPr>
      <w:hyperlink w:anchor="_Toc174623034" w:history="1">
        <w:r w:rsidRPr="001E492F">
          <w:rPr>
            <w:rStyle w:val="Hyperlink"/>
          </w:rPr>
          <w:t>GAO Issues Report on Resumption of Student Loan Payments</w:t>
        </w:r>
        <w:r>
          <w:rPr>
            <w:webHidden/>
          </w:rPr>
          <w:tab/>
        </w:r>
        <w:r>
          <w:rPr>
            <w:webHidden/>
          </w:rPr>
          <w:fldChar w:fldCharType="begin"/>
        </w:r>
        <w:r>
          <w:rPr>
            <w:webHidden/>
          </w:rPr>
          <w:instrText xml:space="preserve"> PAGEREF _Toc174623034 \h </w:instrText>
        </w:r>
        <w:r>
          <w:rPr>
            <w:webHidden/>
          </w:rPr>
        </w:r>
        <w:r>
          <w:rPr>
            <w:webHidden/>
          </w:rPr>
          <w:fldChar w:fldCharType="separate"/>
        </w:r>
        <w:r w:rsidR="004F426F">
          <w:rPr>
            <w:webHidden/>
          </w:rPr>
          <w:t>2</w:t>
        </w:r>
        <w:r>
          <w:rPr>
            <w:webHidden/>
          </w:rPr>
          <w:fldChar w:fldCharType="end"/>
        </w:r>
      </w:hyperlink>
    </w:p>
    <w:p w14:paraId="651E9C56" w14:textId="00B1E8BA" w:rsidR="00AF1820" w:rsidRDefault="663486F3" w:rsidP="007B6362">
      <w:pPr>
        <w:pStyle w:val="TOC3"/>
      </w:pPr>
      <w:r>
        <w:fldChar w:fldCharType="end"/>
      </w:r>
      <w:bookmarkStart w:id="16" w:name="_Toc504484598"/>
      <w:bookmarkEnd w:id="0"/>
      <w:bookmarkEnd w:id="1"/>
      <w:bookmarkEnd w:id="2"/>
      <w:bookmarkEnd w:id="3"/>
      <w:bookmarkEnd w:id="4"/>
      <w:bookmarkEnd w:id="5"/>
    </w:p>
    <w:p w14:paraId="63323F1A" w14:textId="520262E3" w:rsidR="00541323" w:rsidRDefault="00541323" w:rsidP="00541323">
      <w:pPr>
        <w:pStyle w:val="Heading2"/>
      </w:pPr>
      <w:bookmarkStart w:id="17" w:name="_Toc174623031"/>
      <w:r>
        <w:t>Legislation and Guidance</w:t>
      </w:r>
      <w:bookmarkEnd w:id="17"/>
    </w:p>
    <w:p w14:paraId="32D66AD2" w14:textId="2A1639A3" w:rsidR="00541323" w:rsidRDefault="00C6680C" w:rsidP="00541323">
      <w:pPr>
        <w:pStyle w:val="Heading3"/>
      </w:pPr>
      <w:bookmarkStart w:id="18" w:name="_Toc174623032"/>
      <w:r>
        <w:t>House Conservatives Push for Full Appropriations Bills in September</w:t>
      </w:r>
      <w:bookmarkEnd w:id="18"/>
    </w:p>
    <w:p w14:paraId="12C2BAC3" w14:textId="35062253" w:rsidR="00EA7FDF" w:rsidRPr="00741A02" w:rsidRDefault="00EA7FDF" w:rsidP="00EA7FDF">
      <w:pPr>
        <w:rPr>
          <w:rFonts w:cs="Arial"/>
          <w:szCs w:val="24"/>
        </w:rPr>
      </w:pPr>
      <w:r w:rsidRPr="00741A02">
        <w:rPr>
          <w:rFonts w:cs="Arial"/>
          <w:szCs w:val="24"/>
        </w:rPr>
        <w:t>In a statement released this week, the House Freedom Caucus urged the House of Representatives and Republican leadership to pass all 12</w:t>
      </w:r>
      <w:r w:rsidR="00CE77B6">
        <w:rPr>
          <w:rFonts w:cs="Arial"/>
          <w:szCs w:val="24"/>
        </w:rPr>
        <w:t xml:space="preserve"> fiscal year 2025</w:t>
      </w:r>
      <w:r w:rsidRPr="00741A02">
        <w:rPr>
          <w:rFonts w:cs="Arial"/>
          <w:szCs w:val="24"/>
        </w:rPr>
        <w:t xml:space="preserve"> appropriations bills, including proposed spending cuts, when Congress returns from recess on September 9</w:t>
      </w:r>
      <w:r w:rsidRPr="00741A02">
        <w:rPr>
          <w:rFonts w:cs="Arial"/>
          <w:szCs w:val="24"/>
          <w:vertAlign w:val="superscript"/>
        </w:rPr>
        <w:t>th</w:t>
      </w:r>
      <w:r w:rsidRPr="00741A02">
        <w:rPr>
          <w:rFonts w:cs="Arial"/>
          <w:szCs w:val="24"/>
        </w:rPr>
        <w:t xml:space="preserve">.  Expressing concern about the contents of an omnibus appropriations bill that might be passed </w:t>
      </w:r>
      <w:r w:rsidR="0068252F">
        <w:rPr>
          <w:rFonts w:cs="Arial"/>
          <w:szCs w:val="24"/>
        </w:rPr>
        <w:t>i</w:t>
      </w:r>
      <w:r w:rsidRPr="00741A02">
        <w:rPr>
          <w:rFonts w:cs="Arial"/>
          <w:szCs w:val="24"/>
        </w:rPr>
        <w:t xml:space="preserve">n December, the group said that </w:t>
      </w:r>
      <w:r w:rsidR="0068252F">
        <w:rPr>
          <w:rFonts w:cs="Arial"/>
          <w:szCs w:val="24"/>
        </w:rPr>
        <w:t>if the</w:t>
      </w:r>
      <w:r w:rsidR="0068252F" w:rsidRPr="00741A02">
        <w:rPr>
          <w:rFonts w:cs="Arial"/>
          <w:szCs w:val="24"/>
        </w:rPr>
        <w:t xml:space="preserve"> </w:t>
      </w:r>
      <w:r w:rsidRPr="00741A02">
        <w:rPr>
          <w:rFonts w:cs="Arial"/>
          <w:szCs w:val="24"/>
        </w:rPr>
        <w:t>passage of individual appropriations bills</w:t>
      </w:r>
      <w:r w:rsidR="0068252F">
        <w:rPr>
          <w:rFonts w:cs="Arial"/>
          <w:szCs w:val="24"/>
        </w:rPr>
        <w:t xml:space="preserve"> fails</w:t>
      </w:r>
      <w:r w:rsidRPr="00741A02">
        <w:rPr>
          <w:rFonts w:cs="Arial"/>
          <w:szCs w:val="24"/>
        </w:rPr>
        <w:t xml:space="preserve">, Congress should pass a short-term continuing resolution (CR) that extends into early 2025.  </w:t>
      </w:r>
    </w:p>
    <w:p w14:paraId="53838848" w14:textId="5E35D250" w:rsidR="00EA7FDF" w:rsidRPr="00741A02" w:rsidRDefault="00EA7FDF" w:rsidP="00EA7FDF">
      <w:pPr>
        <w:rPr>
          <w:rFonts w:cs="Arial"/>
          <w:szCs w:val="24"/>
        </w:rPr>
      </w:pPr>
      <w:r w:rsidRPr="00741A02">
        <w:rPr>
          <w:rFonts w:cs="Arial"/>
          <w:szCs w:val="24"/>
        </w:rPr>
        <w:t>The letter also urges Congress to append legislation known as the SAVE Act to a CR.  The SAVE Act would establish both a private right of action and criminal penalties for officials or other individuals who register voters without “documentary proof” of U.S. citizenship.  Given the internal divisions in the House over passing even simple spending bills without these kinds of policy riders, adding this condition would make it even more difficult to get a short-term spending bill in place.</w:t>
      </w:r>
    </w:p>
    <w:p w14:paraId="781009E5" w14:textId="02E67E54" w:rsidR="00EA7FDF" w:rsidRPr="00741A02" w:rsidRDefault="00EA7FDF" w:rsidP="00EA7FDF">
      <w:pPr>
        <w:rPr>
          <w:rFonts w:cs="Arial"/>
          <w:szCs w:val="24"/>
        </w:rPr>
      </w:pPr>
      <w:r w:rsidRPr="00741A02">
        <w:rPr>
          <w:rFonts w:cs="Arial"/>
          <w:szCs w:val="24"/>
        </w:rPr>
        <w:t xml:space="preserve">Congress is widely expected to pass a CR when lawmakers return from the August recess, but there is not yet agreement about how long it will extend or </w:t>
      </w:r>
      <w:r w:rsidR="0068252F">
        <w:rPr>
          <w:rFonts w:cs="Arial"/>
          <w:szCs w:val="24"/>
        </w:rPr>
        <w:t>whether it will include</w:t>
      </w:r>
      <w:r w:rsidR="0068252F" w:rsidRPr="00741A02">
        <w:rPr>
          <w:rFonts w:cs="Arial"/>
          <w:szCs w:val="24"/>
        </w:rPr>
        <w:t xml:space="preserve"> </w:t>
      </w:r>
      <w:r w:rsidRPr="00741A02">
        <w:rPr>
          <w:rFonts w:cs="Arial"/>
          <w:szCs w:val="24"/>
        </w:rPr>
        <w:t>additional policy changes.</w:t>
      </w:r>
    </w:p>
    <w:p w14:paraId="7AECDD54" w14:textId="33290D0B" w:rsidR="00FD550B" w:rsidRPr="00EA7FDF" w:rsidRDefault="00EA7FDF" w:rsidP="00541323">
      <w:pPr>
        <w:rPr>
          <w:rFonts w:cs="Arial"/>
          <w:szCs w:val="24"/>
        </w:rPr>
      </w:pPr>
      <w:r w:rsidRPr="00741A02">
        <w:rPr>
          <w:rFonts w:cs="Arial"/>
          <w:szCs w:val="24"/>
        </w:rPr>
        <w:lastRenderedPageBreak/>
        <w:t>Author: JCM</w:t>
      </w:r>
    </w:p>
    <w:p w14:paraId="380FECF6" w14:textId="3E2DC6A4" w:rsidR="00E74EFB" w:rsidRDefault="00991F3E" w:rsidP="00991F3E">
      <w:pPr>
        <w:pStyle w:val="Heading2"/>
      </w:pPr>
      <w:bookmarkStart w:id="19" w:name="_Toc174623033"/>
      <w:bookmarkEnd w:id="6"/>
      <w:bookmarkEnd w:id="7"/>
      <w:bookmarkEnd w:id="8"/>
      <w:bookmarkEnd w:id="9"/>
      <w:bookmarkEnd w:id="16"/>
      <w:r>
        <w:t>Reports</w:t>
      </w:r>
      <w:bookmarkEnd w:id="19"/>
    </w:p>
    <w:p w14:paraId="5CD10BBD" w14:textId="40ECFEFF" w:rsidR="00991F3E" w:rsidRDefault="00EA7FDF" w:rsidP="00991F3E">
      <w:pPr>
        <w:pStyle w:val="Heading3"/>
      </w:pPr>
      <w:bookmarkStart w:id="20" w:name="_Toc174623034"/>
      <w:r>
        <w:t>GAO Issues Report on Resumption of Student Loan Payments</w:t>
      </w:r>
      <w:bookmarkEnd w:id="20"/>
    </w:p>
    <w:p w14:paraId="68FE66D1" w14:textId="78460538" w:rsidR="00581B24" w:rsidRDefault="00581B24" w:rsidP="00581B24">
      <w:r>
        <w:t xml:space="preserve">The Government Accountability Office (GAO) recently released a report examining the number of borrowers who were </w:t>
      </w:r>
      <w:proofErr w:type="gramStart"/>
      <w:r>
        <w:t>current</w:t>
      </w:r>
      <w:proofErr w:type="gramEnd"/>
      <w:r>
        <w:t xml:space="preserve"> on student loan payments and the number of borrowers enrolled in the SAVE plan after student loan payments resumed last year.  The report was requested by Chair of the House Committee on Education and the Workforce, Virginia Foxx (R-NC), and Ranking Member of the Senate Committee on Health, Education, Labor, and Pensi</w:t>
      </w:r>
      <w:r w:rsidR="0068252F">
        <w:t>o</w:t>
      </w:r>
      <w:r>
        <w:t xml:space="preserve">ns, Bill Cassidy (R-LA). </w:t>
      </w:r>
    </w:p>
    <w:p w14:paraId="02BB495B" w14:textId="1299ADBF" w:rsidR="00581B24" w:rsidRDefault="00581B24" w:rsidP="00581B24">
      <w:r>
        <w:t>According to the report, as of January 2024, 53 percent of borrowers were current on their payments</w:t>
      </w:r>
      <w:r w:rsidR="0068252F">
        <w:t xml:space="preserve">. </w:t>
      </w:r>
      <w:r>
        <w:t xml:space="preserve"> </w:t>
      </w:r>
      <w:r w:rsidR="0068252F">
        <w:t xml:space="preserve">This percentage </w:t>
      </w:r>
      <w:r>
        <w:t xml:space="preserve">includes borrowers whose monthly payments </w:t>
      </w:r>
      <w:proofErr w:type="gramStart"/>
      <w:r>
        <w:t>are at</w:t>
      </w:r>
      <w:proofErr w:type="gramEnd"/>
      <w:r>
        <w:t xml:space="preserve"> $0 due to income-driven repayment plans.  In addition, 29 percent of borrowers were late on their payments, while a total of 17 percent were </w:t>
      </w:r>
      <w:r w:rsidR="0068252F">
        <w:t xml:space="preserve">in </w:t>
      </w:r>
      <w:r>
        <w:t>forbearance of deferment status.</w:t>
      </w:r>
      <w:r w:rsidR="00CE77B6">
        <w:t xml:space="preserve">  </w:t>
      </w:r>
      <w:r>
        <w:t>Further, as of the end of January, 22 percent of borrowers were enrolled in the administration’s S</w:t>
      </w:r>
      <w:r w:rsidR="00CE77B6">
        <w:t xml:space="preserve">aving on a </w:t>
      </w:r>
      <w:r>
        <w:t>V</w:t>
      </w:r>
      <w:r w:rsidR="00CE77B6">
        <w:t xml:space="preserve">aluable </w:t>
      </w:r>
      <w:r>
        <w:t>E</w:t>
      </w:r>
      <w:r w:rsidR="00CE77B6">
        <w:t>ducation, or SAVE,</w:t>
      </w:r>
      <w:r>
        <w:t xml:space="preserve"> program, </w:t>
      </w:r>
      <w:r w:rsidR="00CE77B6">
        <w:t xml:space="preserve">which is </w:t>
      </w:r>
      <w:r w:rsidR="00CE77B6" w:rsidRPr="00CE77B6">
        <w:t xml:space="preserve">a new </w:t>
      </w:r>
      <w:r w:rsidR="00CE77B6">
        <w:t xml:space="preserve">income-driven repayment program for borrowers.  In addition, </w:t>
      </w:r>
      <w:r>
        <w:t xml:space="preserve">17 percent </w:t>
      </w:r>
      <w:r w:rsidR="00CE77B6">
        <w:t xml:space="preserve">were enrolled </w:t>
      </w:r>
      <w:r>
        <w:t xml:space="preserve">in other income-drive repayment programs and 61 percent were not enrolled in any income-driven repayment programs.  In total, the U.S. Department of Education has $1.5 trillion in student loan debt spread over 43 million borrowers. </w:t>
      </w:r>
    </w:p>
    <w:p w14:paraId="65F9CAF9" w14:textId="06AADF5A" w:rsidR="00581B24" w:rsidRDefault="00581B24" w:rsidP="00581B24">
      <w:hyperlink r:id="rId9" w:history="1">
        <w:r w:rsidRPr="00390C69">
          <w:rPr>
            <w:rStyle w:val="Hyperlink"/>
          </w:rPr>
          <w:t>The full GAO report is available here</w:t>
        </w:r>
      </w:hyperlink>
      <w:r>
        <w:t>.</w:t>
      </w:r>
    </w:p>
    <w:p w14:paraId="3AECA506" w14:textId="77777777" w:rsidR="00581B24" w:rsidRDefault="00581B24" w:rsidP="00581B24">
      <w:r>
        <w:t>Author: KSC</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w:t>
      </w:r>
      <w:proofErr w:type="gramStart"/>
      <w:r w:rsidRPr="663486F3">
        <w:rPr>
          <w:b/>
          <w:bCs/>
          <w:i/>
          <w:iCs/>
        </w:rPr>
        <w:t>clients</w:t>
      </w:r>
      <w:proofErr w:type="gramEnd"/>
      <w:r w:rsidRPr="663486F3">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5CA9C93C" w:rsidR="00201433" w:rsidRPr="003D7BE9"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581B24">
        <w:rPr>
          <w:rFonts w:eastAsia="Times New Roman" w:cs="Arial"/>
          <w:szCs w:val="24"/>
        </w:rPr>
        <w:t xml:space="preserve">Julia Martin, </w:t>
      </w:r>
      <w:r w:rsidR="009F5BEC">
        <w:rPr>
          <w:rFonts w:eastAsia="Times New Roman" w:cs="Arial"/>
          <w:szCs w:val="24"/>
        </w:rPr>
        <w:t>Kelly Christiansen</w:t>
      </w:r>
    </w:p>
    <w:sectPr w:rsidR="00201433" w:rsidRPr="003D7BE9" w:rsidSect="008C514B">
      <w:headerReference w:type="default" r:id="rId10"/>
      <w:footerReference w:type="default" r:id="rId11"/>
      <w:footerReference w:type="first" r:id="rId12"/>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F5788" w14:textId="77777777" w:rsidR="009B0CC6" w:rsidRDefault="009B0CC6">
      <w:pPr>
        <w:spacing w:before="0" w:after="0"/>
      </w:pPr>
      <w:r>
        <w:separator/>
      </w:r>
    </w:p>
  </w:endnote>
  <w:endnote w:type="continuationSeparator" w:id="0">
    <w:p w14:paraId="6B8C07E9" w14:textId="77777777" w:rsidR="009B0CC6" w:rsidRDefault="009B0CC6">
      <w:pPr>
        <w:spacing w:before="0" w:after="0"/>
      </w:pPr>
      <w:r>
        <w:continuationSeparator/>
      </w:r>
    </w:p>
  </w:endnote>
  <w:endnote w:type="continuationNotice" w:id="1">
    <w:p w14:paraId="2311DBB8" w14:textId="77777777" w:rsidR="009B0CC6" w:rsidRDefault="009B0C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B49FD" w14:textId="77777777" w:rsidR="009B0CC6" w:rsidRDefault="009B0CC6">
      <w:pPr>
        <w:spacing w:before="0" w:after="0"/>
      </w:pPr>
      <w:r>
        <w:separator/>
      </w:r>
    </w:p>
  </w:footnote>
  <w:footnote w:type="continuationSeparator" w:id="0">
    <w:p w14:paraId="51A721E1" w14:textId="77777777" w:rsidR="009B0CC6" w:rsidRDefault="009B0CC6">
      <w:pPr>
        <w:spacing w:before="0" w:after="0"/>
      </w:pPr>
      <w:r>
        <w:continuationSeparator/>
      </w:r>
    </w:p>
  </w:footnote>
  <w:footnote w:type="continuationNotice" w:id="1">
    <w:p w14:paraId="0354B380" w14:textId="77777777" w:rsidR="009B0CC6" w:rsidRDefault="009B0C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8F3A1A3" w:rsidR="003C7552" w:rsidRPr="00662BDC" w:rsidRDefault="00D24D8E" w:rsidP="000A590A">
    <w:pPr>
      <w:pStyle w:val="NoSpacing"/>
      <w:tabs>
        <w:tab w:val="left" w:pos="7920"/>
      </w:tabs>
    </w:pPr>
    <w:r>
      <w:t>August</w:t>
    </w:r>
    <w:r w:rsidR="003B4C3D">
      <w:t xml:space="preserve"> </w:t>
    </w:r>
    <w:r w:rsidR="00146131">
      <w:t>16</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4485">
    <w:abstractNumId w:val="1"/>
  </w:num>
  <w:num w:numId="2" w16cid:durableId="875847744">
    <w:abstractNumId w:val="11"/>
  </w:num>
  <w:num w:numId="3" w16cid:durableId="533156793">
    <w:abstractNumId w:val="12"/>
  </w:num>
  <w:num w:numId="4" w16cid:durableId="191307700">
    <w:abstractNumId w:val="13"/>
  </w:num>
  <w:num w:numId="5" w16cid:durableId="1361710829">
    <w:abstractNumId w:val="14"/>
  </w:num>
  <w:num w:numId="6" w16cid:durableId="293365869">
    <w:abstractNumId w:val="2"/>
  </w:num>
  <w:num w:numId="7" w16cid:durableId="1629125956">
    <w:abstractNumId w:val="8"/>
  </w:num>
  <w:num w:numId="8" w16cid:durableId="316231980">
    <w:abstractNumId w:val="7"/>
  </w:num>
  <w:num w:numId="9" w16cid:durableId="824200300">
    <w:abstractNumId w:val="5"/>
  </w:num>
  <w:num w:numId="10" w16cid:durableId="936448497">
    <w:abstractNumId w:val="4"/>
  </w:num>
  <w:num w:numId="11" w16cid:durableId="654605788">
    <w:abstractNumId w:val="0"/>
  </w:num>
  <w:num w:numId="12" w16cid:durableId="362831247">
    <w:abstractNumId w:val="10"/>
  </w:num>
  <w:num w:numId="13" w16cid:durableId="205223066">
    <w:abstractNumId w:val="6"/>
  </w:num>
  <w:num w:numId="14" w16cid:durableId="881597177">
    <w:abstractNumId w:val="3"/>
  </w:num>
  <w:num w:numId="15" w16cid:durableId="2006325488">
    <w:abstractNumId w:val="15"/>
  </w:num>
  <w:num w:numId="16" w16cid:durableId="12871990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D9E"/>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F6C"/>
    <w:rsid w:val="000832BB"/>
    <w:rsid w:val="000832C9"/>
    <w:rsid w:val="0008338B"/>
    <w:rsid w:val="00083916"/>
    <w:rsid w:val="0008416E"/>
    <w:rsid w:val="00084A5E"/>
    <w:rsid w:val="00085092"/>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5B4B"/>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C8A"/>
    <w:rsid w:val="00202E33"/>
    <w:rsid w:val="00203B27"/>
    <w:rsid w:val="00203B6B"/>
    <w:rsid w:val="00203E1B"/>
    <w:rsid w:val="00204402"/>
    <w:rsid w:val="00204EE8"/>
    <w:rsid w:val="0020535F"/>
    <w:rsid w:val="0020586B"/>
    <w:rsid w:val="00205B6B"/>
    <w:rsid w:val="00205EEF"/>
    <w:rsid w:val="00205FE0"/>
    <w:rsid w:val="00206000"/>
    <w:rsid w:val="00206BCB"/>
    <w:rsid w:val="002077EC"/>
    <w:rsid w:val="00211CBE"/>
    <w:rsid w:val="00212192"/>
    <w:rsid w:val="0021231A"/>
    <w:rsid w:val="00212327"/>
    <w:rsid w:val="00212AD2"/>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D6C"/>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FD5"/>
    <w:rsid w:val="003051A4"/>
    <w:rsid w:val="0030534A"/>
    <w:rsid w:val="00305399"/>
    <w:rsid w:val="0030549E"/>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148"/>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2236"/>
    <w:rsid w:val="0038286F"/>
    <w:rsid w:val="003844B3"/>
    <w:rsid w:val="00384A39"/>
    <w:rsid w:val="00384A8A"/>
    <w:rsid w:val="00384B3B"/>
    <w:rsid w:val="003858C3"/>
    <w:rsid w:val="003859D6"/>
    <w:rsid w:val="00385DC2"/>
    <w:rsid w:val="0038606C"/>
    <w:rsid w:val="0038607C"/>
    <w:rsid w:val="00386112"/>
    <w:rsid w:val="0038643F"/>
    <w:rsid w:val="00386A86"/>
    <w:rsid w:val="00386B98"/>
    <w:rsid w:val="00386C3C"/>
    <w:rsid w:val="00386DDB"/>
    <w:rsid w:val="00387788"/>
    <w:rsid w:val="00387B49"/>
    <w:rsid w:val="00391030"/>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7552"/>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E7EA0"/>
    <w:rsid w:val="004F0665"/>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CD8"/>
    <w:rsid w:val="0068222C"/>
    <w:rsid w:val="006824EF"/>
    <w:rsid w:val="0068252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93A"/>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0D4B"/>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62C"/>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86E"/>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2772"/>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CDA"/>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5810"/>
    <w:rsid w:val="00A55DE9"/>
    <w:rsid w:val="00A55F05"/>
    <w:rsid w:val="00A563BD"/>
    <w:rsid w:val="00A5721B"/>
    <w:rsid w:val="00A574FE"/>
    <w:rsid w:val="00A57CFB"/>
    <w:rsid w:val="00A57D9F"/>
    <w:rsid w:val="00A603D1"/>
    <w:rsid w:val="00A606B0"/>
    <w:rsid w:val="00A60ABD"/>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CBA"/>
    <w:rsid w:val="00AA4D7F"/>
    <w:rsid w:val="00AA529B"/>
    <w:rsid w:val="00AA5A70"/>
    <w:rsid w:val="00AA5FDD"/>
    <w:rsid w:val="00AA630A"/>
    <w:rsid w:val="00AA6A7A"/>
    <w:rsid w:val="00AA6D15"/>
    <w:rsid w:val="00AA72AD"/>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6D23"/>
    <w:rsid w:val="00AD7A67"/>
    <w:rsid w:val="00AD7B54"/>
    <w:rsid w:val="00AE00C7"/>
    <w:rsid w:val="00AE066A"/>
    <w:rsid w:val="00AE06B6"/>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E25"/>
    <w:rsid w:val="00B30550"/>
    <w:rsid w:val="00B30BC1"/>
    <w:rsid w:val="00B32C2D"/>
    <w:rsid w:val="00B32CCC"/>
    <w:rsid w:val="00B32DAE"/>
    <w:rsid w:val="00B337CB"/>
    <w:rsid w:val="00B34681"/>
    <w:rsid w:val="00B3515C"/>
    <w:rsid w:val="00B35410"/>
    <w:rsid w:val="00B354B5"/>
    <w:rsid w:val="00B35C96"/>
    <w:rsid w:val="00B37117"/>
    <w:rsid w:val="00B372E2"/>
    <w:rsid w:val="00B37BD1"/>
    <w:rsid w:val="00B37EC8"/>
    <w:rsid w:val="00B4017B"/>
    <w:rsid w:val="00B40C4A"/>
    <w:rsid w:val="00B410CB"/>
    <w:rsid w:val="00B411CF"/>
    <w:rsid w:val="00B41B25"/>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265"/>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5778"/>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5BE"/>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13B"/>
    <w:rsid w:val="00D703CF"/>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E36"/>
    <w:rsid w:val="00E11418"/>
    <w:rsid w:val="00E11AE0"/>
    <w:rsid w:val="00E11B6E"/>
    <w:rsid w:val="00E12561"/>
    <w:rsid w:val="00E127E6"/>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2C"/>
    <w:rsid w:val="00FD3A8E"/>
    <w:rsid w:val="00FD452F"/>
    <w:rsid w:val="00FD4594"/>
    <w:rsid w:val="00FD4ABC"/>
    <w:rsid w:val="00FD5165"/>
    <w:rsid w:val="00FD550B"/>
    <w:rsid w:val="00FD5573"/>
    <w:rsid w:val="00FD57EC"/>
    <w:rsid w:val="00FD5ED6"/>
    <w:rsid w:val="00FD6531"/>
    <w:rsid w:val="00FD6C03"/>
    <w:rsid w:val="00FD6EC2"/>
    <w:rsid w:val="00FD71C5"/>
    <w:rsid w:val="00FD7900"/>
    <w:rsid w:val="00FD7E46"/>
    <w:rsid w:val="00FD7F45"/>
    <w:rsid w:val="00FE0343"/>
    <w:rsid w:val="00FE09BB"/>
    <w:rsid w:val="00FE1665"/>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o.gov/assets/gao-24-107150.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Federal Update: August 16, 2024 - Government Affairs (CA Dept of Education)</vt:lpstr>
    </vt:vector>
  </TitlesOfParts>
  <Company/>
  <LinksUpToDate>false</LinksUpToDate>
  <CharactersWithSpaces>3901</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16, 2024 - Government Affairs (CA Dept of Education)</dc:title>
  <dc:subject>Federal Update Report for August the 16, 2024.</dc:subject>
  <dc:creator/>
  <cp:keywords/>
  <dc:description/>
  <cp:lastModifiedBy/>
  <cp:revision>1</cp:revision>
  <dcterms:created xsi:type="dcterms:W3CDTF">2024-10-30T15:43:00Z</dcterms:created>
  <dcterms:modified xsi:type="dcterms:W3CDTF">2024-10-30T15:46:00Z</dcterms:modified>
</cp:coreProperties>
</file>