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29B9F" w14:textId="0AC7F52E" w:rsidR="00103735" w:rsidRPr="00103735" w:rsidRDefault="085207F8" w:rsidP="169AFD29">
      <w:pPr>
        <w:pStyle w:val="Heading1"/>
        <w:spacing w:after="240"/>
        <w:rPr>
          <w:sz w:val="28"/>
          <w:szCs w:val="28"/>
        </w:rPr>
      </w:pPr>
      <w:r w:rsidRPr="169AFD29">
        <w:rPr>
          <w:sz w:val="28"/>
          <w:szCs w:val="28"/>
        </w:rPr>
        <w:t>California State Preschool Program Eligibility and Priority R</w:t>
      </w:r>
      <w:r w:rsidR="08AEC200" w:rsidRPr="169AFD29">
        <w:rPr>
          <w:sz w:val="28"/>
          <w:szCs w:val="28"/>
        </w:rPr>
        <w:t>ulemaking</w:t>
      </w:r>
      <w:r w:rsidR="0055469C">
        <w:br/>
      </w:r>
      <w:r w:rsidR="0F3919C5" w:rsidRPr="169AFD29">
        <w:rPr>
          <w:sz w:val="28"/>
          <w:szCs w:val="28"/>
        </w:rPr>
        <w:t>45</w:t>
      </w:r>
      <w:r w:rsidR="3C306F0B" w:rsidRPr="169AFD29">
        <w:rPr>
          <w:sz w:val="28"/>
          <w:szCs w:val="28"/>
        </w:rPr>
        <w:t>-Day Public Comment</w:t>
      </w:r>
      <w:r w:rsidR="15555919" w:rsidRPr="169AFD29">
        <w:rPr>
          <w:sz w:val="28"/>
          <w:szCs w:val="28"/>
        </w:rPr>
        <w:t xml:space="preserve"> and Response</w:t>
      </w:r>
      <w:r w:rsidR="3C306F0B" w:rsidRPr="169AFD29">
        <w:rPr>
          <w:sz w:val="28"/>
          <w:szCs w:val="28"/>
        </w:rPr>
        <w:t xml:space="preserve"> Summary Chart</w:t>
      </w:r>
      <w:r w:rsidR="0055469C">
        <w:br/>
      </w:r>
      <w:r w:rsidR="3C306F0B" w:rsidRPr="169AFD29">
        <w:rPr>
          <w:sz w:val="28"/>
          <w:szCs w:val="28"/>
        </w:rPr>
        <w:t xml:space="preserve">Public Comment Period </w:t>
      </w:r>
      <w:r w:rsidR="7753FEA8" w:rsidRPr="169AFD29">
        <w:rPr>
          <w:sz w:val="28"/>
          <w:szCs w:val="28"/>
        </w:rPr>
        <w:t>12.15.2023</w:t>
      </w:r>
      <w:r w:rsidR="3C306F0B" w:rsidRPr="169AFD29">
        <w:rPr>
          <w:sz w:val="28"/>
          <w:szCs w:val="28"/>
        </w:rPr>
        <w:t xml:space="preserve"> through </w:t>
      </w:r>
      <w:r w:rsidR="769E40A9" w:rsidRPr="169AFD29">
        <w:rPr>
          <w:sz w:val="28"/>
          <w:szCs w:val="28"/>
        </w:rPr>
        <w:t>1.30.2024</w:t>
      </w:r>
    </w:p>
    <w:tbl>
      <w:tblPr>
        <w:tblStyle w:val="TableGrid"/>
        <w:tblW w:w="5000" w:type="pct"/>
        <w:tblLook w:val="04A0" w:firstRow="1" w:lastRow="0" w:firstColumn="1" w:lastColumn="0" w:noHBand="0" w:noVBand="1"/>
        <w:tblCaption w:val="Eligibility and Priority in CSPP 45-Day Public Comment and Response Chart"/>
        <w:tblDescription w:val="The Eligibility and Priority 45-Day Public Comment and Response Chart. "/>
      </w:tblPr>
      <w:tblGrid>
        <w:gridCol w:w="1471"/>
        <w:gridCol w:w="2004"/>
        <w:gridCol w:w="5962"/>
        <w:gridCol w:w="4953"/>
      </w:tblGrid>
      <w:tr w:rsidR="006C555C" w:rsidRPr="005807B5" w14:paraId="6E70730F" w14:textId="77777777" w:rsidTr="00375204">
        <w:trPr>
          <w:cantSplit/>
          <w:trHeight w:val="665"/>
          <w:tblHeader/>
        </w:trPr>
        <w:tc>
          <w:tcPr>
            <w:tcW w:w="511" w:type="pct"/>
            <w:vAlign w:val="center"/>
          </w:tcPr>
          <w:p w14:paraId="7D5D8EC7" w14:textId="77777777" w:rsidR="006C555C" w:rsidRPr="005807B5" w:rsidRDefault="006C555C" w:rsidP="00680852">
            <w:pPr>
              <w:jc w:val="center"/>
              <w:rPr>
                <w:rFonts w:eastAsia="Calibri" w:cs="Arial"/>
                <w:b/>
              </w:rPr>
            </w:pPr>
            <w:r w:rsidRPr="005807B5">
              <w:rPr>
                <w:rFonts w:eastAsia="Calibri" w:cs="Arial"/>
                <w:b/>
              </w:rPr>
              <w:t>Proposed Section</w:t>
            </w:r>
          </w:p>
        </w:tc>
        <w:tc>
          <w:tcPr>
            <w:tcW w:w="675" w:type="pct"/>
            <w:vAlign w:val="center"/>
          </w:tcPr>
          <w:p w14:paraId="093B6307" w14:textId="77777777" w:rsidR="006C555C" w:rsidRPr="005807B5" w:rsidRDefault="006C555C" w:rsidP="00680852">
            <w:pPr>
              <w:jc w:val="center"/>
              <w:rPr>
                <w:rFonts w:eastAsia="Calibri" w:cs="Arial"/>
                <w:b/>
              </w:rPr>
            </w:pPr>
            <w:r w:rsidRPr="005807B5">
              <w:rPr>
                <w:rFonts w:eastAsia="Calibri" w:cs="Arial"/>
                <w:b/>
              </w:rPr>
              <w:t>Commenter</w:t>
            </w:r>
          </w:p>
        </w:tc>
        <w:tc>
          <w:tcPr>
            <w:tcW w:w="2082" w:type="pct"/>
            <w:vAlign w:val="center"/>
          </w:tcPr>
          <w:p w14:paraId="4652CB66" w14:textId="77777777" w:rsidR="006C555C" w:rsidRPr="005807B5" w:rsidRDefault="006C555C" w:rsidP="00680852">
            <w:pPr>
              <w:jc w:val="center"/>
              <w:rPr>
                <w:rFonts w:eastAsia="Calibri" w:cs="Arial"/>
                <w:b/>
              </w:rPr>
            </w:pPr>
            <w:r w:rsidRPr="005807B5">
              <w:rPr>
                <w:rFonts w:eastAsia="Calibri" w:cs="Arial"/>
                <w:b/>
              </w:rPr>
              <w:t>Comment/Recommendation</w:t>
            </w:r>
          </w:p>
        </w:tc>
        <w:tc>
          <w:tcPr>
            <w:tcW w:w="1731" w:type="pct"/>
            <w:vAlign w:val="center"/>
          </w:tcPr>
          <w:p w14:paraId="7151E94F" w14:textId="77777777" w:rsidR="006C555C" w:rsidRPr="005807B5" w:rsidRDefault="006C555C" w:rsidP="00680852">
            <w:pPr>
              <w:jc w:val="center"/>
              <w:rPr>
                <w:rFonts w:eastAsia="Calibri" w:cs="Arial"/>
                <w:b/>
              </w:rPr>
            </w:pPr>
            <w:r w:rsidRPr="005807B5">
              <w:rPr>
                <w:rFonts w:eastAsia="Calibri" w:cs="Arial"/>
                <w:b/>
              </w:rPr>
              <w:t>Agency Response</w:t>
            </w:r>
          </w:p>
        </w:tc>
      </w:tr>
      <w:tr w:rsidR="169AFD29" w14:paraId="363EB40F" w14:textId="77777777" w:rsidTr="00375204">
        <w:trPr>
          <w:cantSplit/>
          <w:trHeight w:val="300"/>
        </w:trPr>
        <w:tc>
          <w:tcPr>
            <w:tcW w:w="511" w:type="pct"/>
          </w:tcPr>
          <w:p w14:paraId="134CE24E" w14:textId="17B7B7E7" w:rsidR="546B7585" w:rsidRDefault="546B7585" w:rsidP="169AFD29">
            <w:pPr>
              <w:rPr>
                <w:rFonts w:cs="Arial"/>
                <w:color w:val="000000" w:themeColor="text1"/>
              </w:rPr>
            </w:pPr>
            <w:r w:rsidRPr="169AFD29">
              <w:rPr>
                <w:rFonts w:cs="Arial"/>
                <w:color w:val="000000" w:themeColor="text1"/>
              </w:rPr>
              <w:t>N/A</w:t>
            </w:r>
          </w:p>
        </w:tc>
        <w:tc>
          <w:tcPr>
            <w:tcW w:w="675" w:type="pct"/>
          </w:tcPr>
          <w:p w14:paraId="0BE2B924" w14:textId="4471079A" w:rsidR="4A4667DD" w:rsidRDefault="4A4667DD" w:rsidP="169AFD29">
            <w:pPr>
              <w:rPr>
                <w:rFonts w:eastAsia="Calibri" w:cs="Arial"/>
              </w:rPr>
            </w:pPr>
            <w:r w:rsidRPr="169AFD29">
              <w:rPr>
                <w:rFonts w:eastAsia="Calibri" w:cs="Arial"/>
              </w:rPr>
              <w:t>John Sweeney</w:t>
            </w:r>
            <w:r w:rsidR="0E82ED28" w:rsidRPr="169AFD29">
              <w:rPr>
                <w:rFonts w:eastAsia="Calibri" w:cs="Arial"/>
              </w:rPr>
              <w:t xml:space="preserve"> on behalf of Mary Ann </w:t>
            </w:r>
            <w:r w:rsidR="6DD55FC0" w:rsidRPr="169AFD29">
              <w:rPr>
                <w:rFonts w:eastAsia="Calibri" w:cs="Arial"/>
              </w:rPr>
              <w:t>Dewan,</w:t>
            </w:r>
            <w:r w:rsidRPr="169AFD29">
              <w:rPr>
                <w:rFonts w:eastAsia="Calibri" w:cs="Arial"/>
              </w:rPr>
              <w:t xml:space="preserve"> Santa Clara County </w:t>
            </w:r>
            <w:r w:rsidR="69EDBCA0" w:rsidRPr="169AFD29">
              <w:rPr>
                <w:rFonts w:eastAsia="Calibri" w:cs="Arial"/>
              </w:rPr>
              <w:t>Superintendent of Schools</w:t>
            </w:r>
            <w:r w:rsidR="05E322EB" w:rsidRPr="169AFD29">
              <w:rPr>
                <w:rFonts w:eastAsia="Calibri" w:cs="Arial"/>
              </w:rPr>
              <w:t xml:space="preserve"> – Oral Public Comment #1</w:t>
            </w:r>
          </w:p>
        </w:tc>
        <w:tc>
          <w:tcPr>
            <w:tcW w:w="2082" w:type="pct"/>
          </w:tcPr>
          <w:p w14:paraId="4118BFC3" w14:textId="5A92D598" w:rsidR="169AFD29" w:rsidRDefault="4A4667DD" w:rsidP="00746AEB">
            <w:pPr>
              <w:rPr>
                <w:rFonts w:eastAsia="Calibri" w:cs="Arial"/>
              </w:rPr>
            </w:pPr>
            <w:r w:rsidRPr="169AFD29">
              <w:rPr>
                <w:rFonts w:eastAsia="Calibri" w:cs="Arial"/>
                <w:b/>
                <w:bCs/>
              </w:rPr>
              <w:t>Comment:</w:t>
            </w:r>
            <w:r w:rsidRPr="169AFD29">
              <w:rPr>
                <w:rFonts w:eastAsia="Calibri" w:cs="Arial"/>
              </w:rPr>
              <w:t xml:space="preserve"> I would like to express gratitude for the unwavering commitment of the California Department of Education to the shared vision of Universal </w:t>
            </w:r>
            <w:proofErr w:type="spellStart"/>
            <w:r w:rsidRPr="169AFD29">
              <w:rPr>
                <w:rFonts w:eastAsia="Calibri" w:cs="Arial"/>
              </w:rPr>
              <w:t>PreKindergarten</w:t>
            </w:r>
            <w:proofErr w:type="spellEnd"/>
            <w:r w:rsidRPr="169AFD29">
              <w:rPr>
                <w:rFonts w:eastAsia="Calibri" w:cs="Arial"/>
              </w:rPr>
              <w:t xml:space="preserve"> for California youth that proposed regulatory changes to eligibility and priority in the California State Preschool Program, succinctly align with recent statutory changes and clarify the regulatory process for providers.</w:t>
            </w:r>
            <w:r w:rsidR="0F84210E" w:rsidRPr="169AFD29">
              <w:rPr>
                <w:rFonts w:eastAsia="Calibri" w:cs="Arial"/>
              </w:rPr>
              <w:t xml:space="preserve"> It is particularly noteworthy to see many of the important legislative changes, such as </w:t>
            </w:r>
            <w:proofErr w:type="gramStart"/>
            <w:r w:rsidR="0F84210E" w:rsidRPr="169AFD29">
              <w:rPr>
                <w:rFonts w:eastAsia="Calibri" w:cs="Arial"/>
              </w:rPr>
              <w:t>24 month</w:t>
            </w:r>
            <w:proofErr w:type="gramEnd"/>
            <w:r w:rsidR="0F84210E" w:rsidRPr="169AFD29">
              <w:rPr>
                <w:rFonts w:eastAsia="Calibri" w:cs="Arial"/>
              </w:rPr>
              <w:t xml:space="preserve"> eligibility, increase in prioritization for youth with disabilities and set aside percentages for those youth and more reflected here. This proposed regulation will help effectively implement the legislation enacted to move us on the path toward pre-kindergarten for all </w:t>
            </w:r>
            <w:proofErr w:type="gramStart"/>
            <w:r w:rsidR="0F84210E" w:rsidRPr="169AFD29">
              <w:rPr>
                <w:rFonts w:eastAsia="Calibri" w:cs="Arial"/>
              </w:rPr>
              <w:t>3 and 4 year olds</w:t>
            </w:r>
            <w:proofErr w:type="gramEnd"/>
            <w:r w:rsidR="0F84210E" w:rsidRPr="169AFD29">
              <w:rPr>
                <w:rFonts w:eastAsia="Calibri" w:cs="Arial"/>
              </w:rPr>
              <w:t xml:space="preserve"> in California.</w:t>
            </w:r>
            <w:r w:rsidR="3FCA62F4" w:rsidRPr="169AFD29">
              <w:rPr>
                <w:rFonts w:eastAsia="Calibri" w:cs="Arial"/>
              </w:rPr>
              <w:t xml:space="preserve"> Thank you.</w:t>
            </w:r>
          </w:p>
        </w:tc>
        <w:tc>
          <w:tcPr>
            <w:tcW w:w="1731" w:type="pct"/>
          </w:tcPr>
          <w:p w14:paraId="5723F379" w14:textId="29CCE4C6" w:rsidR="71F5DA94" w:rsidRDefault="71F5DA94" w:rsidP="169AFD29">
            <w:pPr>
              <w:rPr>
                <w:rFonts w:eastAsia="Arial" w:cs="Arial"/>
                <w:b/>
                <w:bCs/>
              </w:rPr>
            </w:pPr>
            <w:r w:rsidRPr="169AFD29">
              <w:rPr>
                <w:rFonts w:eastAsia="Arial" w:cs="Arial"/>
                <w:b/>
                <w:bCs/>
              </w:rPr>
              <w:t xml:space="preserve">No Action Required </w:t>
            </w:r>
          </w:p>
          <w:p w14:paraId="60BE65DA" w14:textId="1DFAB6AC" w:rsidR="71F5DA94" w:rsidRDefault="71F5DA94" w:rsidP="169AFD29">
            <w:r w:rsidRPr="169AFD29">
              <w:rPr>
                <w:rFonts w:eastAsia="Arial" w:cs="Arial"/>
              </w:rPr>
              <w:t>This comment does not suggest a change to the regulations.</w:t>
            </w:r>
          </w:p>
        </w:tc>
      </w:tr>
      <w:tr w:rsidR="007625BF" w:rsidRPr="005807B5" w14:paraId="266C5103" w14:textId="77777777" w:rsidTr="00375204">
        <w:trPr>
          <w:cantSplit/>
        </w:trPr>
        <w:tc>
          <w:tcPr>
            <w:tcW w:w="511" w:type="pct"/>
          </w:tcPr>
          <w:p w14:paraId="42C8C5DC" w14:textId="14D2F7FF" w:rsidR="00812A62" w:rsidRPr="005807B5" w:rsidRDefault="59F73013" w:rsidP="003846B0">
            <w:pPr>
              <w:rPr>
                <w:rFonts w:cs="Arial"/>
                <w:color w:val="000000"/>
              </w:rPr>
            </w:pPr>
            <w:r w:rsidRPr="6500553C">
              <w:rPr>
                <w:rFonts w:cs="Arial"/>
                <w:color w:val="000000" w:themeColor="text1"/>
              </w:rPr>
              <w:t>17734</w:t>
            </w:r>
          </w:p>
        </w:tc>
        <w:tc>
          <w:tcPr>
            <w:tcW w:w="675" w:type="pct"/>
          </w:tcPr>
          <w:p w14:paraId="2B5B5C8B" w14:textId="3E8959E3" w:rsidR="007625BF" w:rsidRPr="005807B5" w:rsidRDefault="59F73013" w:rsidP="005B5CBF">
            <w:pPr>
              <w:rPr>
                <w:rFonts w:eastAsia="Calibri" w:cs="Arial"/>
              </w:rPr>
            </w:pPr>
            <w:r w:rsidRPr="169AFD29">
              <w:rPr>
                <w:rFonts w:eastAsia="Calibri" w:cs="Arial"/>
              </w:rPr>
              <w:t>Leah Welch-Jackson, Stanislaus County Office of Education</w:t>
            </w:r>
            <w:r w:rsidR="492005F8" w:rsidRPr="169AFD29">
              <w:rPr>
                <w:rFonts w:eastAsia="Calibri" w:cs="Arial"/>
              </w:rPr>
              <w:t xml:space="preserve"> (SCOE)</w:t>
            </w:r>
            <w:r w:rsidR="2C8700C0" w:rsidRPr="169AFD29">
              <w:rPr>
                <w:rFonts w:eastAsia="Calibri" w:cs="Arial"/>
              </w:rPr>
              <w:t xml:space="preserve"> – Letter #1</w:t>
            </w:r>
          </w:p>
        </w:tc>
        <w:tc>
          <w:tcPr>
            <w:tcW w:w="2082" w:type="pct"/>
          </w:tcPr>
          <w:p w14:paraId="6AD513C8" w14:textId="619345F3" w:rsidR="007625BF" w:rsidRPr="005807B5" w:rsidRDefault="2C8700C0" w:rsidP="00746AEB">
            <w:pPr>
              <w:spacing w:after="240"/>
              <w:rPr>
                <w:rFonts w:eastAsia="Calibri" w:cs="Arial"/>
              </w:rPr>
            </w:pPr>
            <w:r w:rsidRPr="2605B80A">
              <w:rPr>
                <w:rFonts w:eastAsia="Calibri" w:cs="Arial"/>
                <w:b/>
                <w:bCs/>
              </w:rPr>
              <w:t xml:space="preserve">Recommendation: </w:t>
            </w:r>
            <w:r w:rsidRPr="2605B80A">
              <w:rPr>
                <w:rFonts w:eastAsia="Calibri" w:cs="Arial"/>
              </w:rPr>
              <w:t>Local Educational Agency (LEA) in the district connected to the child’s residence and issuer of the IEP be responsible for family fees</w:t>
            </w:r>
            <w:r w:rsidR="549F3401" w:rsidRPr="2605B80A">
              <w:rPr>
                <w:rFonts w:eastAsia="Calibri" w:cs="Arial"/>
              </w:rPr>
              <w:t>.</w:t>
            </w:r>
          </w:p>
          <w:p w14:paraId="6AFA0F3E" w14:textId="6481BE1F" w:rsidR="007625BF" w:rsidRPr="005807B5" w:rsidRDefault="2A8F81B9" w:rsidP="00746AEB">
            <w:pPr>
              <w:rPr>
                <w:rFonts w:eastAsia="Calibri" w:cs="Arial"/>
              </w:rPr>
            </w:pPr>
            <w:r w:rsidRPr="169AFD29">
              <w:rPr>
                <w:rFonts w:eastAsia="Calibri" w:cs="Arial"/>
                <w:b/>
                <w:bCs/>
              </w:rPr>
              <w:t>Comment:</w:t>
            </w:r>
            <w:r w:rsidRPr="169AFD29">
              <w:rPr>
                <w:rFonts w:eastAsia="Calibri" w:cs="Arial"/>
              </w:rPr>
              <w:t xml:space="preserve"> SCOE supports the offer of a FAPE for special education services in the CSPP for children with IEP with the LEA being responsible for payin</w:t>
            </w:r>
            <w:r w:rsidR="7923AEB0" w:rsidRPr="169AFD29">
              <w:rPr>
                <w:rFonts w:eastAsia="Calibri" w:cs="Arial"/>
              </w:rPr>
              <w:t>g the family fee and the fees not to be collected from the family. Would SCOE as an LEA be responsible for fees assessed to families enrolled with our subcontracting agencies and our contractor operated programs, or would these fees be absorbed by t</w:t>
            </w:r>
            <w:r w:rsidR="2583DA80" w:rsidRPr="169AFD29">
              <w:rPr>
                <w:rFonts w:eastAsia="Calibri" w:cs="Arial"/>
              </w:rPr>
              <w:t>he child’s school district (i.e. LEA) or SELPA?</w:t>
            </w:r>
          </w:p>
        </w:tc>
        <w:tc>
          <w:tcPr>
            <w:tcW w:w="1731" w:type="pct"/>
          </w:tcPr>
          <w:p w14:paraId="19B37A31" w14:textId="7203D3E0" w:rsidR="007625BF" w:rsidRPr="005807B5" w:rsidRDefault="5CC33A67" w:rsidP="4D22884C">
            <w:pPr>
              <w:rPr>
                <w:rFonts w:eastAsia="Calibri" w:cs="Arial"/>
                <w:b/>
                <w:bCs/>
              </w:rPr>
            </w:pPr>
            <w:r w:rsidRPr="4D22884C">
              <w:rPr>
                <w:rFonts w:eastAsia="Calibri" w:cs="Arial"/>
                <w:b/>
                <w:bCs/>
              </w:rPr>
              <w:t>Accept</w:t>
            </w:r>
            <w:r w:rsidR="333C36D0" w:rsidRPr="4D22884C">
              <w:rPr>
                <w:rFonts w:eastAsia="Calibri" w:cs="Arial"/>
                <w:b/>
                <w:bCs/>
              </w:rPr>
              <w:t xml:space="preserve"> </w:t>
            </w:r>
          </w:p>
          <w:p w14:paraId="0D1980BB" w14:textId="5C85676A" w:rsidR="00A462B6" w:rsidRPr="005807B5" w:rsidRDefault="5CC33A67" w:rsidP="005B5CBF">
            <w:pPr>
              <w:rPr>
                <w:rFonts w:eastAsia="Calibri" w:cs="Arial"/>
              </w:rPr>
            </w:pPr>
            <w:r w:rsidRPr="2605B80A">
              <w:rPr>
                <w:rFonts w:eastAsia="Calibri" w:cs="Arial"/>
              </w:rPr>
              <w:t>The CDE amended the language to</w:t>
            </w:r>
            <w:r w:rsidR="7FE58828" w:rsidRPr="2605B80A">
              <w:rPr>
                <w:rFonts w:eastAsia="Calibri" w:cs="Arial"/>
              </w:rPr>
              <w:t xml:space="preserve"> include “...responsible for </w:t>
            </w:r>
            <w:r w:rsidR="4BC4CA25" w:rsidRPr="2605B80A">
              <w:rPr>
                <w:rFonts w:eastAsia="Calibri" w:cs="Arial"/>
              </w:rPr>
              <w:t>providing FAPE to the child with the IEP</w:t>
            </w:r>
            <w:r w:rsidR="7FE58828" w:rsidRPr="2605B80A">
              <w:rPr>
                <w:rFonts w:eastAsia="Calibri" w:cs="Arial"/>
              </w:rPr>
              <w:t>...” to</w:t>
            </w:r>
            <w:r w:rsidRPr="2605B80A">
              <w:rPr>
                <w:rFonts w:eastAsia="Calibri" w:cs="Arial"/>
              </w:rPr>
              <w:t xml:space="preserve"> clarify that the LEA </w:t>
            </w:r>
            <w:r w:rsidR="758A4C6A" w:rsidRPr="2605B80A">
              <w:rPr>
                <w:rFonts w:eastAsia="Calibri" w:cs="Arial"/>
              </w:rPr>
              <w:t>that is responsible to implement</w:t>
            </w:r>
            <w:r w:rsidRPr="2605B80A">
              <w:rPr>
                <w:rFonts w:eastAsia="Calibri" w:cs="Arial"/>
              </w:rPr>
              <w:t xml:space="preserve"> the IEP is </w:t>
            </w:r>
            <w:r w:rsidR="47CCCFF1" w:rsidRPr="2605B80A">
              <w:rPr>
                <w:rFonts w:eastAsia="Calibri" w:cs="Arial"/>
              </w:rPr>
              <w:t xml:space="preserve">the LEA that is </w:t>
            </w:r>
            <w:r w:rsidRPr="2605B80A">
              <w:rPr>
                <w:rFonts w:eastAsia="Calibri" w:cs="Arial"/>
              </w:rPr>
              <w:t>responsible for paying the family fee</w:t>
            </w:r>
            <w:r w:rsidR="005B5CBF">
              <w:rPr>
                <w:rFonts w:eastAsia="Calibri" w:cs="Arial"/>
              </w:rPr>
              <w:t>.</w:t>
            </w:r>
          </w:p>
        </w:tc>
      </w:tr>
      <w:tr w:rsidR="007625BF" w:rsidRPr="005807B5" w14:paraId="3B68ADFE" w14:textId="77777777" w:rsidTr="00375204">
        <w:trPr>
          <w:cantSplit/>
        </w:trPr>
        <w:tc>
          <w:tcPr>
            <w:tcW w:w="511" w:type="pct"/>
          </w:tcPr>
          <w:p w14:paraId="246CBA15" w14:textId="7E0BD882" w:rsidR="007625BF" w:rsidRPr="005807B5" w:rsidRDefault="551A255E" w:rsidP="003846B0">
            <w:pPr>
              <w:rPr>
                <w:rFonts w:cs="Arial"/>
                <w:color w:val="000000"/>
              </w:rPr>
            </w:pPr>
            <w:r w:rsidRPr="6500553C">
              <w:rPr>
                <w:rFonts w:cs="Arial"/>
                <w:color w:val="000000" w:themeColor="text1"/>
              </w:rPr>
              <w:lastRenderedPageBreak/>
              <w:t>1775</w:t>
            </w:r>
            <w:r w:rsidR="1AA69160" w:rsidRPr="6500553C">
              <w:rPr>
                <w:rFonts w:cs="Arial"/>
                <w:color w:val="000000" w:themeColor="text1"/>
              </w:rPr>
              <w:t>3</w:t>
            </w:r>
            <w:r w:rsidRPr="6500553C">
              <w:rPr>
                <w:rFonts w:cs="Arial"/>
                <w:color w:val="000000" w:themeColor="text1"/>
              </w:rPr>
              <w:t xml:space="preserve"> </w:t>
            </w:r>
          </w:p>
        </w:tc>
        <w:tc>
          <w:tcPr>
            <w:tcW w:w="675" w:type="pct"/>
          </w:tcPr>
          <w:p w14:paraId="7A2B70DF" w14:textId="364A3DDF" w:rsidR="007625BF" w:rsidRPr="005807B5" w:rsidRDefault="551A255E" w:rsidP="005B5CBF">
            <w:pPr>
              <w:rPr>
                <w:rFonts w:cs="Arial"/>
                <w:color w:val="000000"/>
              </w:rPr>
            </w:pPr>
            <w:r w:rsidRPr="169AFD29">
              <w:rPr>
                <w:rFonts w:eastAsia="Calibri" w:cs="Arial"/>
              </w:rPr>
              <w:t>Leah Welch-Jackson, Stanislaus County Office of Education (SCOE) – Letter #1</w:t>
            </w:r>
          </w:p>
        </w:tc>
        <w:tc>
          <w:tcPr>
            <w:tcW w:w="2082" w:type="pct"/>
          </w:tcPr>
          <w:p w14:paraId="31320346" w14:textId="777D6382" w:rsidR="007625BF" w:rsidRPr="005807B5" w:rsidRDefault="551A255E" w:rsidP="00746AEB">
            <w:pPr>
              <w:tabs>
                <w:tab w:val="left" w:pos="984"/>
              </w:tabs>
              <w:spacing w:after="240"/>
              <w:rPr>
                <w:rFonts w:eastAsia="Calibri" w:cs="Arial"/>
              </w:rPr>
            </w:pPr>
            <w:r w:rsidRPr="169AFD29">
              <w:rPr>
                <w:rFonts w:eastAsia="Calibri" w:cs="Arial"/>
                <w:b/>
                <w:bCs/>
              </w:rPr>
              <w:t>Recommendation:</w:t>
            </w:r>
            <w:r w:rsidRPr="169AFD29">
              <w:rPr>
                <w:rFonts w:eastAsia="Calibri" w:cs="Arial"/>
              </w:rPr>
              <w:t xml:space="preserve"> Include </w:t>
            </w:r>
            <w:r w:rsidR="22E2F4DE" w:rsidRPr="169AFD29">
              <w:rPr>
                <w:rFonts w:eastAsia="Calibri" w:cs="Arial"/>
              </w:rPr>
              <w:t xml:space="preserve">that </w:t>
            </w:r>
            <w:r w:rsidRPr="169AFD29">
              <w:rPr>
                <w:rFonts w:eastAsia="Calibri" w:cs="Arial"/>
              </w:rPr>
              <w:t>all other recertifications under any month after August be eligible to recertify no later than August 15.</w:t>
            </w:r>
          </w:p>
          <w:p w14:paraId="29102A54" w14:textId="5BC8753F" w:rsidR="007625BF" w:rsidRPr="005807B5" w:rsidRDefault="551A255E" w:rsidP="00746AEB">
            <w:pPr>
              <w:tabs>
                <w:tab w:val="left" w:pos="984"/>
              </w:tabs>
              <w:spacing w:after="240"/>
              <w:rPr>
                <w:rFonts w:eastAsia="Calibri" w:cs="Arial"/>
              </w:rPr>
            </w:pPr>
            <w:r w:rsidRPr="169AFD29">
              <w:rPr>
                <w:rFonts w:eastAsia="Calibri" w:cs="Arial"/>
                <w:b/>
                <w:bCs/>
              </w:rPr>
              <w:t>Comment:</w:t>
            </w:r>
            <w:r w:rsidRPr="169AFD29">
              <w:rPr>
                <w:rFonts w:eastAsia="Calibri" w:cs="Arial"/>
              </w:rPr>
              <w:t xml:space="preserve"> SCOE understands and implements the timely and appropriate recertifications for all families who participate in CSPP. However, the updated regulation states Families shall be recertified for services by the contractor no later than August 15. Would this apply to recertifications falling</w:t>
            </w:r>
            <w:r w:rsidR="383EAA06" w:rsidRPr="169AFD29">
              <w:rPr>
                <w:rFonts w:eastAsia="Calibri" w:cs="Arial"/>
              </w:rPr>
              <w:t xml:space="preserve"> under any month after August?</w:t>
            </w:r>
          </w:p>
          <w:p w14:paraId="6F961285" w14:textId="40E50E2F" w:rsidR="007625BF" w:rsidRPr="005807B5" w:rsidRDefault="383EAA06" w:rsidP="00746AEB">
            <w:pPr>
              <w:tabs>
                <w:tab w:val="left" w:pos="984"/>
              </w:tabs>
              <w:rPr>
                <w:rFonts w:eastAsia="Calibri" w:cs="Arial"/>
              </w:rPr>
            </w:pPr>
            <w:r w:rsidRPr="169AFD29">
              <w:rPr>
                <w:rFonts w:eastAsia="Calibri" w:cs="Arial"/>
              </w:rPr>
              <w:t xml:space="preserve">Aligning family recertifications around the same time will allow program eligibility and enrollment staff to provide comprehensive services in determining individualized family needs, referrals, and provide attentive follow ups with resources at a local level while ensuring the Health and Social Service component of the program requirements is met. </w:t>
            </w:r>
          </w:p>
        </w:tc>
        <w:tc>
          <w:tcPr>
            <w:tcW w:w="1731" w:type="pct"/>
          </w:tcPr>
          <w:p w14:paraId="0D9D4D13" w14:textId="630BDD5D" w:rsidR="007625BF" w:rsidRPr="005807B5" w:rsidRDefault="4DDD8781" w:rsidP="52510BFF">
            <w:pPr>
              <w:rPr>
                <w:rFonts w:eastAsia="Calibri" w:cs="Arial"/>
                <w:b/>
                <w:bCs/>
              </w:rPr>
            </w:pPr>
            <w:r w:rsidRPr="4D22884C">
              <w:rPr>
                <w:rFonts w:eastAsia="Calibri" w:cs="Arial"/>
                <w:b/>
                <w:bCs/>
              </w:rPr>
              <w:t>Reject</w:t>
            </w:r>
          </w:p>
          <w:p w14:paraId="2DEB6AB0" w14:textId="2F81D785" w:rsidR="007625BF" w:rsidRPr="005807B5" w:rsidRDefault="1D46B157" w:rsidP="52510BFF">
            <w:pPr>
              <w:rPr>
                <w:rFonts w:eastAsia="Calibri" w:cs="Arial"/>
              </w:rPr>
            </w:pPr>
            <w:r w:rsidRPr="4D22884C">
              <w:rPr>
                <w:rFonts w:eastAsia="Calibri" w:cs="Arial"/>
              </w:rPr>
              <w:t>Any recertifications required after July 1 must be done at the end of the following program year.</w:t>
            </w:r>
            <w:r w:rsidR="501D7ECC" w:rsidRPr="4D22884C">
              <w:rPr>
                <w:rFonts w:eastAsia="Calibri" w:cs="Arial"/>
              </w:rPr>
              <w:t xml:space="preserve"> </w:t>
            </w:r>
            <w:r w:rsidR="2C5122C4" w:rsidRPr="4D22884C">
              <w:rPr>
                <w:rFonts w:eastAsia="Calibri" w:cs="Arial"/>
              </w:rPr>
              <w:t>Statute states that if the eligibility period ends before the end of a program year, eligibility shall be extended until the end of the program year.</w:t>
            </w:r>
            <w:r w:rsidR="1166B988" w:rsidRPr="4D22884C">
              <w:rPr>
                <w:rFonts w:eastAsia="Calibri" w:cs="Arial"/>
              </w:rPr>
              <w:t xml:space="preserve"> This regulation already does align all family recertifications to the same time.</w:t>
            </w:r>
          </w:p>
        </w:tc>
      </w:tr>
      <w:tr w:rsidR="0055469C" w:rsidRPr="005807B5" w14:paraId="5880887A" w14:textId="77777777" w:rsidTr="00375204">
        <w:trPr>
          <w:cantSplit/>
        </w:trPr>
        <w:tc>
          <w:tcPr>
            <w:tcW w:w="511" w:type="pct"/>
          </w:tcPr>
          <w:p w14:paraId="513C756C" w14:textId="12D8716A" w:rsidR="0055469C" w:rsidRPr="005807B5" w:rsidRDefault="6DF41221" w:rsidP="003846B0">
            <w:pPr>
              <w:rPr>
                <w:rFonts w:cs="Arial"/>
                <w:color w:val="000000"/>
              </w:rPr>
            </w:pPr>
            <w:r w:rsidRPr="6500553C">
              <w:rPr>
                <w:rFonts w:cs="Arial"/>
                <w:color w:val="000000" w:themeColor="text1"/>
              </w:rPr>
              <w:t xml:space="preserve">17763 </w:t>
            </w:r>
          </w:p>
        </w:tc>
        <w:tc>
          <w:tcPr>
            <w:tcW w:w="675" w:type="pct"/>
          </w:tcPr>
          <w:p w14:paraId="17718AFA" w14:textId="363230DD" w:rsidR="0055469C" w:rsidRPr="005B5CBF" w:rsidRDefault="6DF41221" w:rsidP="005B5CBF">
            <w:pPr>
              <w:rPr>
                <w:rFonts w:eastAsia="Calibri" w:cs="Arial"/>
              </w:rPr>
            </w:pPr>
            <w:r w:rsidRPr="169AFD29">
              <w:rPr>
                <w:rFonts w:eastAsia="Calibri" w:cs="Arial"/>
              </w:rPr>
              <w:t>Leah Welch-Jackson, Stanislaus County Office of Education (SCOE) – Letter #1</w:t>
            </w:r>
          </w:p>
        </w:tc>
        <w:tc>
          <w:tcPr>
            <w:tcW w:w="2082" w:type="pct"/>
          </w:tcPr>
          <w:p w14:paraId="7467FECC" w14:textId="207E1B4C" w:rsidR="0055469C" w:rsidRPr="005807B5" w:rsidRDefault="6DF41221" w:rsidP="008E150D">
            <w:pPr>
              <w:tabs>
                <w:tab w:val="left" w:pos="984"/>
              </w:tabs>
              <w:spacing w:after="240"/>
              <w:rPr>
                <w:rFonts w:eastAsia="Calibri" w:cs="Arial"/>
              </w:rPr>
            </w:pPr>
            <w:r w:rsidRPr="169AFD29">
              <w:rPr>
                <w:rFonts w:eastAsia="Calibri" w:cs="Arial"/>
                <w:b/>
                <w:bCs/>
              </w:rPr>
              <w:t>Recommendation:</w:t>
            </w:r>
            <w:r w:rsidRPr="169AFD29">
              <w:rPr>
                <w:rFonts w:eastAsia="Calibri" w:cs="Arial"/>
              </w:rPr>
              <w:t xml:space="preserve"> Keep this regulation due to the vast number of families who are in vocational training, education programs throughout certain parts of the week and working the other parts. This will allow programs to be fully utilized and give families the support they need to compete in today’s economy. </w:t>
            </w:r>
          </w:p>
          <w:p w14:paraId="79ED4B05" w14:textId="656CEB01" w:rsidR="0055469C" w:rsidRPr="005807B5" w:rsidRDefault="2F84472E" w:rsidP="008E150D">
            <w:pPr>
              <w:tabs>
                <w:tab w:val="left" w:pos="984"/>
              </w:tabs>
              <w:rPr>
                <w:rFonts w:eastAsia="Calibri" w:cs="Arial"/>
              </w:rPr>
            </w:pPr>
            <w:r w:rsidRPr="169AFD29">
              <w:rPr>
                <w:rFonts w:eastAsia="Calibri" w:cs="Arial"/>
                <w:b/>
                <w:bCs/>
              </w:rPr>
              <w:t xml:space="preserve">Comment: </w:t>
            </w:r>
            <w:r w:rsidRPr="169AFD29">
              <w:rPr>
                <w:rFonts w:eastAsia="Calibri" w:cs="Arial"/>
              </w:rPr>
              <w:t xml:space="preserve">SCOE programs enrolled numerous families who met more than one need criterion. Line (e) </w:t>
            </w:r>
            <w:r w:rsidRPr="169AFD29">
              <w:rPr>
                <w:rFonts w:eastAsia="Calibri" w:cs="Arial"/>
                <w:i/>
                <w:iCs/>
              </w:rPr>
              <w:t>A family may receive services based on more than one need criterion at any one time, provided that applicable documentation has been collected.</w:t>
            </w:r>
            <w:r w:rsidRPr="169AFD29">
              <w:rPr>
                <w:rFonts w:eastAsia="Calibri" w:cs="Arial"/>
              </w:rPr>
              <w:t xml:space="preserve"> </w:t>
            </w:r>
            <w:r w:rsidR="52CF045E" w:rsidRPr="169AFD29">
              <w:rPr>
                <w:rFonts w:eastAsia="Calibri" w:cs="Arial"/>
              </w:rPr>
              <w:t>h</w:t>
            </w:r>
            <w:r w:rsidRPr="169AFD29">
              <w:rPr>
                <w:rFonts w:eastAsia="Calibri" w:cs="Arial"/>
              </w:rPr>
              <w:t>as a strik</w:t>
            </w:r>
            <w:r w:rsidR="069027A6" w:rsidRPr="169AFD29">
              <w:rPr>
                <w:rFonts w:eastAsia="Calibri" w:cs="Arial"/>
              </w:rPr>
              <w:t>ethrough. Does this mean, families may no longer receive services based on more than one need criterion?</w:t>
            </w:r>
          </w:p>
        </w:tc>
        <w:tc>
          <w:tcPr>
            <w:tcW w:w="1731" w:type="pct"/>
          </w:tcPr>
          <w:p w14:paraId="2B9C0304" w14:textId="63CDF41C" w:rsidR="0055469C" w:rsidRPr="005807B5" w:rsidRDefault="7CAF3995" w:rsidP="52510BFF">
            <w:pPr>
              <w:rPr>
                <w:rFonts w:eastAsia="Calibri" w:cs="Arial"/>
                <w:b/>
                <w:bCs/>
              </w:rPr>
            </w:pPr>
            <w:r w:rsidRPr="52510BFF">
              <w:rPr>
                <w:rFonts w:eastAsia="Calibri" w:cs="Arial"/>
                <w:b/>
                <w:bCs/>
              </w:rPr>
              <w:t>Reject</w:t>
            </w:r>
          </w:p>
          <w:p w14:paraId="1F63F37B" w14:textId="2D1C23DB" w:rsidR="0055469C" w:rsidRPr="005807B5" w:rsidRDefault="7CAF3995" w:rsidP="52510BFF">
            <w:pPr>
              <w:rPr>
                <w:rFonts w:eastAsia="Calibri" w:cs="Arial"/>
              </w:rPr>
            </w:pPr>
            <w:r w:rsidRPr="52510BFF">
              <w:rPr>
                <w:rFonts w:eastAsia="Calibri" w:cs="Arial"/>
              </w:rPr>
              <w:t>This regulation was</w:t>
            </w:r>
            <w:r w:rsidR="0017290B">
              <w:rPr>
                <w:rFonts w:eastAsia="Calibri" w:cs="Arial"/>
              </w:rPr>
              <w:t xml:space="preserve"> not eliminated but simply</w:t>
            </w:r>
            <w:r w:rsidRPr="52510BFF">
              <w:rPr>
                <w:rFonts w:eastAsia="Calibri" w:cs="Arial"/>
              </w:rPr>
              <w:t xml:space="preserve"> moved to Section 17751(e) because </w:t>
            </w:r>
            <w:r w:rsidR="6EB13D38" w:rsidRPr="52510BFF">
              <w:rPr>
                <w:rFonts w:eastAsia="Calibri" w:cs="Arial"/>
              </w:rPr>
              <w:t>it is not a documentation requirement</w:t>
            </w:r>
            <w:r w:rsidRPr="52510BFF">
              <w:rPr>
                <w:rFonts w:eastAsia="Calibri" w:cs="Arial"/>
              </w:rPr>
              <w:t>.</w:t>
            </w:r>
          </w:p>
        </w:tc>
      </w:tr>
      <w:tr w:rsidR="0055469C" w:rsidRPr="005807B5" w14:paraId="6A93B644" w14:textId="77777777" w:rsidTr="00375204">
        <w:trPr>
          <w:cantSplit/>
        </w:trPr>
        <w:tc>
          <w:tcPr>
            <w:tcW w:w="511" w:type="pct"/>
          </w:tcPr>
          <w:p w14:paraId="49500586" w14:textId="719343B7" w:rsidR="0055469C" w:rsidRPr="005807B5" w:rsidRDefault="3885EE6D" w:rsidP="169AFD29">
            <w:r w:rsidRPr="169AFD29">
              <w:rPr>
                <w:rFonts w:eastAsia="Arial" w:cs="Arial"/>
              </w:rPr>
              <w:lastRenderedPageBreak/>
              <w:t>17729(a)(1)</w:t>
            </w:r>
          </w:p>
        </w:tc>
        <w:tc>
          <w:tcPr>
            <w:tcW w:w="675" w:type="pct"/>
          </w:tcPr>
          <w:p w14:paraId="1DF0C165" w14:textId="156F4112" w:rsidR="0055469C" w:rsidRPr="005807B5" w:rsidRDefault="4646AEEB" w:rsidP="00A07999">
            <w:pPr>
              <w:rPr>
                <w:rFonts w:cs="Arial"/>
                <w:color w:val="000000"/>
              </w:rPr>
            </w:pPr>
            <w:r w:rsidRPr="169AFD29">
              <w:rPr>
                <w:rFonts w:cs="Arial"/>
                <w:color w:val="000000" w:themeColor="text1"/>
              </w:rPr>
              <w:t>Colin Legerton, Head Start Communications Consultant, Los Angeles County Office of Education (LACOE) - Letter #2</w:t>
            </w:r>
          </w:p>
        </w:tc>
        <w:tc>
          <w:tcPr>
            <w:tcW w:w="2082" w:type="pct"/>
          </w:tcPr>
          <w:p w14:paraId="3837FFC2" w14:textId="2954B78A" w:rsidR="0055469C" w:rsidRPr="005807B5" w:rsidRDefault="500476C0" w:rsidP="169AFD29">
            <w:pPr>
              <w:tabs>
                <w:tab w:val="left" w:pos="984"/>
              </w:tabs>
            </w:pPr>
            <w:r w:rsidRPr="169AFD29">
              <w:rPr>
                <w:rFonts w:eastAsia="Arial" w:cs="Arial"/>
                <w:b/>
                <w:bCs/>
              </w:rPr>
              <w:t xml:space="preserve">Recommendation: </w:t>
            </w:r>
            <w:r w:rsidR="2832F9B0" w:rsidRPr="169AFD29">
              <w:rPr>
                <w:rFonts w:eastAsia="Arial" w:cs="Arial"/>
              </w:rPr>
              <w:t>We request that the California Department of Education (CDE) consider including the local educational agency’s nutrition services department as an authorized representative to verify boundaries. In our experience, staff at local elementary schools are often unclear about the Free or Reduced-Price Meal (FRPM) program.</w:t>
            </w:r>
          </w:p>
        </w:tc>
        <w:tc>
          <w:tcPr>
            <w:tcW w:w="1731" w:type="pct"/>
          </w:tcPr>
          <w:p w14:paraId="0A0D1297" w14:textId="4ACD95EC" w:rsidR="0055469C" w:rsidRPr="005807B5" w:rsidRDefault="49ACC560" w:rsidP="52510BFF">
            <w:pPr>
              <w:rPr>
                <w:rFonts w:eastAsia="Calibri" w:cs="Arial"/>
                <w:b/>
                <w:bCs/>
              </w:rPr>
            </w:pPr>
            <w:r w:rsidRPr="52510BFF">
              <w:rPr>
                <w:rFonts w:eastAsia="Calibri" w:cs="Arial"/>
                <w:b/>
                <w:bCs/>
              </w:rPr>
              <w:t>Reject</w:t>
            </w:r>
          </w:p>
          <w:p w14:paraId="575B7491" w14:textId="17DD7A84" w:rsidR="0055469C" w:rsidRPr="005807B5" w:rsidRDefault="49ACC560" w:rsidP="52510BFF">
            <w:pPr>
              <w:rPr>
                <w:rFonts w:eastAsia="Calibri" w:cs="Arial"/>
              </w:rPr>
            </w:pPr>
            <w:r w:rsidRPr="52510BFF">
              <w:rPr>
                <w:rFonts w:eastAsia="Calibri" w:cs="Arial"/>
              </w:rPr>
              <w:t xml:space="preserve">The school attendance boundaries used to determine Neighborhood School Eligibility are not related to the </w:t>
            </w:r>
            <w:r w:rsidR="0017290B">
              <w:rPr>
                <w:rFonts w:eastAsia="Calibri" w:cs="Arial"/>
              </w:rPr>
              <w:t xml:space="preserve">administration of the </w:t>
            </w:r>
            <w:r w:rsidRPr="52510BFF">
              <w:rPr>
                <w:rFonts w:eastAsia="Calibri" w:cs="Arial"/>
              </w:rPr>
              <w:t>Free or Reduced-Price Meal Program; therefore, including the nut</w:t>
            </w:r>
            <w:r w:rsidR="6D86816C" w:rsidRPr="52510BFF">
              <w:rPr>
                <w:rFonts w:eastAsia="Calibri" w:cs="Arial"/>
              </w:rPr>
              <w:t>rition services department would create more confusion. The CDE will provide technical assistance for contractors when these new regulations are promulgated.</w:t>
            </w:r>
          </w:p>
        </w:tc>
      </w:tr>
      <w:tr w:rsidR="0055469C" w:rsidRPr="005807B5" w14:paraId="33546A99" w14:textId="77777777" w:rsidTr="00375204">
        <w:trPr>
          <w:cantSplit/>
        </w:trPr>
        <w:tc>
          <w:tcPr>
            <w:tcW w:w="511" w:type="pct"/>
          </w:tcPr>
          <w:p w14:paraId="5600A582" w14:textId="6E859B44" w:rsidR="0055469C" w:rsidRPr="005807B5" w:rsidRDefault="78AF498F" w:rsidP="169AFD29">
            <w:pPr>
              <w:rPr>
                <w:rFonts w:eastAsia="Arial" w:cs="Arial"/>
              </w:rPr>
            </w:pPr>
            <w:r w:rsidRPr="169AFD29">
              <w:rPr>
                <w:rFonts w:eastAsia="Arial" w:cs="Arial"/>
              </w:rPr>
              <w:t>17729(b)</w:t>
            </w:r>
          </w:p>
        </w:tc>
        <w:tc>
          <w:tcPr>
            <w:tcW w:w="675" w:type="pct"/>
          </w:tcPr>
          <w:p w14:paraId="71DA495C" w14:textId="045E90FC" w:rsidR="0055469C" w:rsidRPr="005807B5" w:rsidRDefault="6BBD0675" w:rsidP="00A07999">
            <w:pPr>
              <w:rPr>
                <w:rFonts w:cs="Arial"/>
                <w:color w:val="000000"/>
              </w:rPr>
            </w:pPr>
            <w:r w:rsidRPr="169AFD29">
              <w:rPr>
                <w:rFonts w:cs="Arial"/>
                <w:color w:val="000000" w:themeColor="text1"/>
              </w:rPr>
              <w:t>Luis Bautista,</w:t>
            </w:r>
            <w:r w:rsidR="464CCF13" w:rsidRPr="169AFD29">
              <w:rPr>
                <w:rFonts w:cs="Arial"/>
                <w:color w:val="000000" w:themeColor="text1"/>
              </w:rPr>
              <w:t xml:space="preserve"> Los Angeles County Office of Education (LACOE) - Letter #2</w:t>
            </w:r>
          </w:p>
        </w:tc>
        <w:tc>
          <w:tcPr>
            <w:tcW w:w="2082" w:type="pct"/>
          </w:tcPr>
          <w:p w14:paraId="5E3D4628" w14:textId="7BD65CC9" w:rsidR="0055469C" w:rsidRPr="005807B5" w:rsidRDefault="464CCF13" w:rsidP="169AFD29">
            <w:pPr>
              <w:tabs>
                <w:tab w:val="left" w:pos="984"/>
              </w:tabs>
            </w:pPr>
            <w:r w:rsidRPr="169AFD29">
              <w:rPr>
                <w:rFonts w:eastAsia="Arial" w:cs="Arial"/>
                <w:b/>
                <w:bCs/>
              </w:rPr>
              <w:t>Comment</w:t>
            </w:r>
            <w:r w:rsidR="78AF498F" w:rsidRPr="169AFD29">
              <w:rPr>
                <w:rFonts w:eastAsia="Arial" w:cs="Arial"/>
                <w:b/>
                <w:bCs/>
              </w:rPr>
              <w:t xml:space="preserve">: </w:t>
            </w:r>
            <w:r w:rsidR="78AF498F" w:rsidRPr="169AFD29">
              <w:rPr>
                <w:rFonts w:eastAsia="Arial" w:cs="Arial"/>
              </w:rPr>
              <w:t>We would like to request clarification on the eligibility of children under this stipulation. If children were previously enrolled under Neighborhood School Sites for their first year, but the circumstances of the school then change in the following year, do these children remain eligible in the second year?</w:t>
            </w:r>
          </w:p>
        </w:tc>
        <w:tc>
          <w:tcPr>
            <w:tcW w:w="1731" w:type="pct"/>
          </w:tcPr>
          <w:p w14:paraId="37C98B0C" w14:textId="01632F05" w:rsidR="0055469C" w:rsidRPr="005807B5" w:rsidRDefault="321C03FA" w:rsidP="52510BFF">
            <w:pPr>
              <w:rPr>
                <w:rFonts w:eastAsia="Calibri" w:cs="Arial"/>
                <w:b/>
                <w:bCs/>
              </w:rPr>
            </w:pPr>
            <w:r w:rsidRPr="52510BFF">
              <w:rPr>
                <w:rFonts w:eastAsia="Calibri" w:cs="Arial"/>
                <w:b/>
                <w:bCs/>
              </w:rPr>
              <w:t>Reject</w:t>
            </w:r>
          </w:p>
          <w:p w14:paraId="6FB9508F" w14:textId="2815D061" w:rsidR="0055469C" w:rsidRPr="005807B5" w:rsidRDefault="321C03FA" w:rsidP="52510BFF">
            <w:pPr>
              <w:rPr>
                <w:rFonts w:eastAsia="Calibri" w:cs="Arial"/>
              </w:rPr>
            </w:pPr>
            <w:r w:rsidRPr="4D22884C">
              <w:rPr>
                <w:rFonts w:eastAsia="Calibri" w:cs="Arial"/>
              </w:rPr>
              <w:t xml:space="preserve">Section 17752(a)(4) states that once the contractor certifies the family as eligible for CSPP, they shall consider the family eligible for the </w:t>
            </w:r>
            <w:r w:rsidR="43462EFC" w:rsidRPr="4D22884C">
              <w:rPr>
                <w:rFonts w:eastAsia="Calibri" w:cs="Arial"/>
              </w:rPr>
              <w:t xml:space="preserve">certification period. </w:t>
            </w:r>
            <w:r w:rsidR="54E6422A" w:rsidRPr="4D22884C">
              <w:rPr>
                <w:rFonts w:eastAsia="Calibri" w:cs="Arial"/>
              </w:rPr>
              <w:t xml:space="preserve">For example, if the child is enrolled in CSPP under this eligibility category, even if the school circumstances change, the child is still enrolled for the duration of their </w:t>
            </w:r>
            <w:r w:rsidR="6CF40554" w:rsidRPr="4D22884C">
              <w:rPr>
                <w:rFonts w:eastAsia="Calibri" w:cs="Arial"/>
              </w:rPr>
              <w:t>certification period</w:t>
            </w:r>
            <w:r w:rsidR="54E6422A" w:rsidRPr="4D22884C">
              <w:rPr>
                <w:rFonts w:eastAsia="Calibri" w:cs="Arial"/>
              </w:rPr>
              <w:t>.</w:t>
            </w:r>
            <w:r w:rsidR="6711A112" w:rsidRPr="4D22884C">
              <w:rPr>
                <w:rFonts w:eastAsia="Calibri" w:cs="Arial"/>
              </w:rPr>
              <w:t xml:space="preserve"> </w:t>
            </w:r>
            <w:r w:rsidR="43462EFC" w:rsidRPr="4D22884C">
              <w:rPr>
                <w:rFonts w:eastAsia="Calibri" w:cs="Arial"/>
              </w:rPr>
              <w:t>The CDE will provide technical assistance for contractors when these new regulations are promulgated.</w:t>
            </w:r>
          </w:p>
        </w:tc>
      </w:tr>
      <w:tr w:rsidR="0055469C" w:rsidRPr="005807B5" w14:paraId="0B426BE2" w14:textId="77777777" w:rsidTr="00375204">
        <w:trPr>
          <w:cantSplit/>
        </w:trPr>
        <w:tc>
          <w:tcPr>
            <w:tcW w:w="511" w:type="pct"/>
          </w:tcPr>
          <w:p w14:paraId="51BDBB23" w14:textId="55A6AD57" w:rsidR="0055469C" w:rsidRPr="005807B5" w:rsidRDefault="6988C27A" w:rsidP="169AFD29">
            <w:pPr>
              <w:rPr>
                <w:rFonts w:eastAsia="Arial" w:cs="Arial"/>
              </w:rPr>
            </w:pPr>
            <w:r w:rsidRPr="169AFD29">
              <w:rPr>
                <w:rFonts w:eastAsia="Arial" w:cs="Arial"/>
              </w:rPr>
              <w:t>17732.1(a)</w:t>
            </w:r>
          </w:p>
        </w:tc>
        <w:tc>
          <w:tcPr>
            <w:tcW w:w="675" w:type="pct"/>
          </w:tcPr>
          <w:p w14:paraId="76C11171" w14:textId="2CC2103E" w:rsidR="0055469C" w:rsidRPr="005807B5" w:rsidRDefault="0DDC8E7A" w:rsidP="169AFD29">
            <w:pPr>
              <w:rPr>
                <w:rFonts w:cs="Arial"/>
                <w:color w:val="000000"/>
              </w:rPr>
            </w:pPr>
            <w:r w:rsidRPr="169AFD29">
              <w:rPr>
                <w:rFonts w:cs="Arial"/>
                <w:color w:val="000000" w:themeColor="text1"/>
              </w:rPr>
              <w:t>Luis Bautista,</w:t>
            </w:r>
            <w:r w:rsidR="6988C27A" w:rsidRPr="169AFD29">
              <w:rPr>
                <w:rFonts w:cs="Arial"/>
                <w:color w:val="000000" w:themeColor="text1"/>
              </w:rPr>
              <w:t xml:space="preserve"> Los Angeles County Office of Education (LACOE) - Letter #2</w:t>
            </w:r>
          </w:p>
        </w:tc>
        <w:tc>
          <w:tcPr>
            <w:tcW w:w="2082" w:type="pct"/>
          </w:tcPr>
          <w:p w14:paraId="67C7132F" w14:textId="5555E594" w:rsidR="0055469C" w:rsidRPr="005807B5" w:rsidRDefault="6988C27A" w:rsidP="169AFD29">
            <w:pPr>
              <w:tabs>
                <w:tab w:val="left" w:pos="984"/>
              </w:tabs>
            </w:pPr>
            <w:r w:rsidRPr="169AFD29">
              <w:rPr>
                <w:rFonts w:eastAsia="Arial" w:cs="Arial"/>
                <w:b/>
                <w:bCs/>
              </w:rPr>
              <w:t xml:space="preserve">Comment: </w:t>
            </w:r>
            <w:r w:rsidRPr="169AFD29">
              <w:rPr>
                <w:rFonts w:eastAsia="Arial" w:cs="Arial"/>
              </w:rPr>
              <w:t>We would like to request additional clarity on the term “set aside,” which seems to suggest that these slots cannot be used by children without a disability. Is this an accurate reading? The wording “set aside” may lead programs to believe that these slots cannot be used if children with disabilities are not found for this program option.</w:t>
            </w:r>
          </w:p>
        </w:tc>
        <w:tc>
          <w:tcPr>
            <w:tcW w:w="1731" w:type="pct"/>
          </w:tcPr>
          <w:p w14:paraId="4DDC5177" w14:textId="17359CF7" w:rsidR="0055469C" w:rsidRPr="005807B5" w:rsidRDefault="70A04D3E" w:rsidP="52510BFF">
            <w:pPr>
              <w:rPr>
                <w:rFonts w:eastAsia="Calibri" w:cs="Arial"/>
                <w:b/>
                <w:bCs/>
              </w:rPr>
            </w:pPr>
            <w:r w:rsidRPr="52510BFF">
              <w:rPr>
                <w:rFonts w:eastAsia="Calibri" w:cs="Arial"/>
                <w:b/>
                <w:bCs/>
              </w:rPr>
              <w:t>Reject</w:t>
            </w:r>
          </w:p>
          <w:p w14:paraId="5B37EB15" w14:textId="2C1AEF33" w:rsidR="0055469C" w:rsidRPr="005807B5" w:rsidRDefault="0017290B" w:rsidP="52510BFF">
            <w:pPr>
              <w:rPr>
                <w:rFonts w:eastAsia="Calibri" w:cs="Arial"/>
              </w:rPr>
            </w:pPr>
            <w:r>
              <w:rPr>
                <w:rFonts w:eastAsia="Calibri" w:cs="Arial"/>
              </w:rPr>
              <w:t>Your interpretation</w:t>
            </w:r>
            <w:r w:rsidR="70A04D3E" w:rsidRPr="52510BFF">
              <w:rPr>
                <w:rFonts w:eastAsia="Calibri" w:cs="Arial"/>
              </w:rPr>
              <w:t xml:space="preserve"> is correct. The set aside cannot be filled by children without a disability per the statutory requirements in EC 8208(c)(2)(B) and 8208</w:t>
            </w:r>
            <w:r w:rsidR="79AEE025" w:rsidRPr="52510BFF">
              <w:rPr>
                <w:rFonts w:eastAsia="Calibri" w:cs="Arial"/>
              </w:rPr>
              <w:t>(</w:t>
            </w:r>
            <w:r w:rsidR="70A04D3E" w:rsidRPr="52510BFF">
              <w:rPr>
                <w:rFonts w:eastAsia="Calibri" w:cs="Arial"/>
              </w:rPr>
              <w:t>d</w:t>
            </w:r>
            <w:r w:rsidR="4EDC94BD" w:rsidRPr="52510BFF">
              <w:rPr>
                <w:rFonts w:eastAsia="Calibri" w:cs="Arial"/>
              </w:rPr>
              <w:t>)(</w:t>
            </w:r>
            <w:r w:rsidR="70A04D3E" w:rsidRPr="52510BFF">
              <w:rPr>
                <w:rFonts w:eastAsia="Calibri" w:cs="Arial"/>
              </w:rPr>
              <w:t>2</w:t>
            </w:r>
            <w:r w:rsidR="504F5B68" w:rsidRPr="52510BFF">
              <w:rPr>
                <w:rFonts w:eastAsia="Calibri" w:cs="Arial"/>
              </w:rPr>
              <w:t>)(</w:t>
            </w:r>
            <w:r w:rsidR="70A04D3E" w:rsidRPr="52510BFF">
              <w:rPr>
                <w:rFonts w:eastAsia="Calibri" w:cs="Arial"/>
              </w:rPr>
              <w:t>B</w:t>
            </w:r>
            <w:r w:rsidR="3098A4BC" w:rsidRPr="52510BFF">
              <w:rPr>
                <w:rFonts w:eastAsia="Calibri" w:cs="Arial"/>
              </w:rPr>
              <w:t>)(</w:t>
            </w:r>
            <w:r w:rsidR="70A04D3E" w:rsidRPr="52510BFF">
              <w:rPr>
                <w:rFonts w:eastAsia="Calibri" w:cs="Arial"/>
              </w:rPr>
              <w:t>ii)</w:t>
            </w:r>
            <w:r>
              <w:rPr>
                <w:rFonts w:eastAsia="Calibri" w:cs="Arial"/>
              </w:rPr>
              <w:t>.</w:t>
            </w:r>
            <w:r w:rsidR="76721D29" w:rsidRPr="52510BFF">
              <w:rPr>
                <w:rFonts w:eastAsia="Calibri" w:cs="Arial"/>
              </w:rPr>
              <w:t xml:space="preserve"> </w:t>
            </w:r>
            <w:r>
              <w:rPr>
                <w:rFonts w:eastAsia="Calibri" w:cs="Arial"/>
              </w:rPr>
              <w:t xml:space="preserve">We do not believe </w:t>
            </w:r>
            <w:r w:rsidR="76721D29" w:rsidRPr="52510BFF">
              <w:rPr>
                <w:rFonts w:eastAsia="Calibri" w:cs="Arial"/>
              </w:rPr>
              <w:t>additional clarification is necessary</w:t>
            </w:r>
            <w:r w:rsidR="70A04D3E" w:rsidRPr="52510BFF">
              <w:rPr>
                <w:rFonts w:eastAsia="Calibri" w:cs="Arial"/>
              </w:rPr>
              <w:t>.</w:t>
            </w:r>
          </w:p>
        </w:tc>
      </w:tr>
      <w:tr w:rsidR="0055469C" w:rsidRPr="005807B5" w14:paraId="543E525A" w14:textId="77777777" w:rsidTr="00375204">
        <w:trPr>
          <w:cantSplit/>
        </w:trPr>
        <w:tc>
          <w:tcPr>
            <w:tcW w:w="511" w:type="pct"/>
          </w:tcPr>
          <w:p w14:paraId="0E317C1F" w14:textId="3DB7B495" w:rsidR="0055469C" w:rsidRPr="005807B5" w:rsidRDefault="6988C27A" w:rsidP="169AFD29">
            <w:r w:rsidRPr="169AFD29">
              <w:rPr>
                <w:rFonts w:eastAsia="Arial" w:cs="Arial"/>
              </w:rPr>
              <w:lastRenderedPageBreak/>
              <w:t>17732.1(c)</w:t>
            </w:r>
          </w:p>
        </w:tc>
        <w:tc>
          <w:tcPr>
            <w:tcW w:w="675" w:type="pct"/>
          </w:tcPr>
          <w:p w14:paraId="1B735B86" w14:textId="200758B7" w:rsidR="0055469C" w:rsidRPr="005B5CBF" w:rsidRDefault="6A70E87B" w:rsidP="169AFD29">
            <w:pPr>
              <w:rPr>
                <w:rFonts w:cs="Arial"/>
                <w:color w:val="000000" w:themeColor="text1"/>
              </w:rPr>
            </w:pPr>
            <w:r w:rsidRPr="169AFD29">
              <w:rPr>
                <w:rFonts w:cs="Arial"/>
                <w:color w:val="000000" w:themeColor="text1"/>
              </w:rPr>
              <w:t>Luis Bautista,</w:t>
            </w:r>
            <w:r w:rsidR="6988C27A" w:rsidRPr="169AFD29">
              <w:rPr>
                <w:rFonts w:cs="Arial"/>
                <w:color w:val="000000" w:themeColor="text1"/>
              </w:rPr>
              <w:t xml:space="preserve"> Los Angeles County Office of Education (LACOE) - Letter #</w:t>
            </w:r>
            <w:r w:rsidR="005B5CBF">
              <w:rPr>
                <w:rFonts w:cs="Arial"/>
                <w:color w:val="000000" w:themeColor="text1"/>
              </w:rPr>
              <w:t>2</w:t>
            </w:r>
          </w:p>
        </w:tc>
        <w:tc>
          <w:tcPr>
            <w:tcW w:w="2082" w:type="pct"/>
          </w:tcPr>
          <w:p w14:paraId="338AE83D" w14:textId="16146D7C" w:rsidR="0055469C" w:rsidRPr="005807B5" w:rsidRDefault="6988C27A" w:rsidP="169AFD29">
            <w:pPr>
              <w:tabs>
                <w:tab w:val="left" w:pos="984"/>
              </w:tabs>
            </w:pPr>
            <w:r w:rsidRPr="169AFD29">
              <w:rPr>
                <w:rFonts w:eastAsia="Arial" w:cs="Arial"/>
                <w:b/>
                <w:bCs/>
              </w:rPr>
              <w:t>Comment:</w:t>
            </w:r>
            <w:r w:rsidRPr="169AFD29">
              <w:rPr>
                <w:rFonts w:eastAsia="Arial" w:cs="Arial"/>
              </w:rPr>
              <w:t xml:space="preserve"> While families providing up-to-date copies of the Individualized Education Program (IEP)/Individualized Family Service Plan (IFSP) is recognized as a best practice, CDE should note that the family will need to sign a release of information and grant permission for the program to access the IEP or IFSP. CDE should review whether it in fact has the authority to require families to provide the IEP/IFSP (“the family’s obligation to provide up-to-date copies of the IFSP or the IEP”). In addition, as currently worded, should families choose not to provide a copy, this may pose a challenge in meeting the set aside requirement and/or receiving the adjustment factor, as the regulation notes, “If a current IFSP or IEP is not on file, the child does not count toward meeting the set aside requirement and the contractor will not receive the adjustment factor.”</w:t>
            </w:r>
          </w:p>
        </w:tc>
        <w:tc>
          <w:tcPr>
            <w:tcW w:w="1731" w:type="pct"/>
          </w:tcPr>
          <w:p w14:paraId="1457E2F6" w14:textId="29CCE4C6" w:rsidR="0055469C" w:rsidRPr="005807B5" w:rsidRDefault="735682DB" w:rsidP="52510BFF">
            <w:pPr>
              <w:rPr>
                <w:rFonts w:eastAsia="Arial" w:cs="Arial"/>
                <w:b/>
                <w:bCs/>
              </w:rPr>
            </w:pPr>
            <w:r w:rsidRPr="52510BFF">
              <w:rPr>
                <w:rFonts w:eastAsia="Arial" w:cs="Arial"/>
                <w:b/>
                <w:bCs/>
              </w:rPr>
              <w:t xml:space="preserve">No Action Required </w:t>
            </w:r>
          </w:p>
          <w:p w14:paraId="450A5DDF" w14:textId="1DFAB6AC" w:rsidR="0055469C" w:rsidRPr="005807B5" w:rsidRDefault="735682DB" w:rsidP="008E150D">
            <w:pPr>
              <w:spacing w:after="240"/>
            </w:pPr>
            <w:r w:rsidRPr="52510BFF">
              <w:rPr>
                <w:rFonts w:eastAsia="Arial" w:cs="Arial"/>
              </w:rPr>
              <w:t>This comment does not suggest a change to the regulations.</w:t>
            </w:r>
          </w:p>
          <w:p w14:paraId="25E8EA3E" w14:textId="4A239006" w:rsidR="0055469C" w:rsidRPr="005807B5" w:rsidRDefault="735682DB" w:rsidP="52510BFF">
            <w:pPr>
              <w:rPr>
                <w:rFonts w:eastAsia="Calibri" w:cs="Arial"/>
                <w:b/>
                <w:bCs/>
              </w:rPr>
            </w:pPr>
            <w:r w:rsidRPr="52510BFF">
              <w:rPr>
                <w:rFonts w:eastAsia="Calibri" w:cs="Arial"/>
                <w:b/>
                <w:bCs/>
              </w:rPr>
              <w:t>Response</w:t>
            </w:r>
          </w:p>
          <w:p w14:paraId="72FC4DB7" w14:textId="06CEA580" w:rsidR="0055469C" w:rsidRPr="005807B5" w:rsidRDefault="735682DB" w:rsidP="52510BFF">
            <w:pPr>
              <w:rPr>
                <w:rFonts w:eastAsia="Calibri" w:cs="Arial"/>
              </w:rPr>
            </w:pPr>
            <w:r w:rsidRPr="52510BFF">
              <w:rPr>
                <w:rFonts w:eastAsia="Calibri" w:cs="Arial"/>
              </w:rPr>
              <w:t>Parents are responsible to provide a copy of the necessary portions of the IEP or IFSP to the contractor, the contractor is not accessing the IEP or IFSP on their own; therefore, a release is not necessary as they are giving i</w:t>
            </w:r>
            <w:r w:rsidR="7C6515C2" w:rsidRPr="52510BFF">
              <w:rPr>
                <w:rFonts w:eastAsia="Calibri" w:cs="Arial"/>
              </w:rPr>
              <w:t xml:space="preserve">t to the contractor themselves. A parent can choose not to provide the IEP or IFSP to the CSPP contractor; however, in that instance the child cannot be enrolled with the eligibility of a child with disabilities or be enrolled under the </w:t>
            </w:r>
            <w:r w:rsidR="6A39B6DA" w:rsidRPr="52510BFF">
              <w:rPr>
                <w:rFonts w:eastAsia="Calibri" w:cs="Arial"/>
              </w:rPr>
              <w:t>priority order set aside for children with disabilities.</w:t>
            </w:r>
          </w:p>
        </w:tc>
      </w:tr>
      <w:tr w:rsidR="0055469C" w:rsidRPr="005807B5" w14:paraId="5CFE40C1" w14:textId="77777777" w:rsidTr="00375204">
        <w:trPr>
          <w:cantSplit/>
        </w:trPr>
        <w:tc>
          <w:tcPr>
            <w:tcW w:w="511" w:type="pct"/>
          </w:tcPr>
          <w:p w14:paraId="755AE003" w14:textId="3C54CFFD" w:rsidR="0055469C" w:rsidRPr="005807B5" w:rsidRDefault="4E185E7D" w:rsidP="169AFD29">
            <w:r w:rsidRPr="169AFD29">
              <w:rPr>
                <w:rFonts w:eastAsia="Arial" w:cs="Arial"/>
              </w:rPr>
              <w:t>17748(a)(2)</w:t>
            </w:r>
          </w:p>
        </w:tc>
        <w:tc>
          <w:tcPr>
            <w:tcW w:w="675" w:type="pct"/>
          </w:tcPr>
          <w:p w14:paraId="3A50C881" w14:textId="218553E7" w:rsidR="0055469C" w:rsidRPr="005807B5" w:rsidRDefault="0E951CA3" w:rsidP="169AFD29">
            <w:pPr>
              <w:rPr>
                <w:rFonts w:cs="Arial"/>
                <w:color w:val="000000"/>
              </w:rPr>
            </w:pPr>
            <w:r w:rsidRPr="169AFD29">
              <w:rPr>
                <w:rFonts w:cs="Arial"/>
                <w:color w:val="000000" w:themeColor="text1"/>
              </w:rPr>
              <w:t>Luis Bautista,</w:t>
            </w:r>
            <w:r w:rsidR="6988C27A" w:rsidRPr="169AFD29">
              <w:rPr>
                <w:rFonts w:cs="Arial"/>
                <w:color w:val="000000" w:themeColor="text1"/>
              </w:rPr>
              <w:t xml:space="preserve"> Los Angeles County Office of Education (LACOE) - Letter #2</w:t>
            </w:r>
          </w:p>
        </w:tc>
        <w:tc>
          <w:tcPr>
            <w:tcW w:w="2082" w:type="pct"/>
          </w:tcPr>
          <w:p w14:paraId="49385BF2" w14:textId="42BFA8FA" w:rsidR="0055469C" w:rsidRPr="005807B5" w:rsidRDefault="1F6EB181" w:rsidP="008E150D">
            <w:pPr>
              <w:tabs>
                <w:tab w:val="left" w:pos="984"/>
              </w:tabs>
              <w:spacing w:after="240"/>
              <w:rPr>
                <w:rFonts w:eastAsia="Arial" w:cs="Arial"/>
              </w:rPr>
            </w:pPr>
            <w:r w:rsidRPr="169AFD29">
              <w:rPr>
                <w:rFonts w:eastAsia="Arial" w:cs="Arial"/>
                <w:b/>
                <w:bCs/>
              </w:rPr>
              <w:t xml:space="preserve">Recommendation: </w:t>
            </w:r>
            <w:r w:rsidR="1619DF04" w:rsidRPr="169AFD29">
              <w:rPr>
                <w:rFonts w:eastAsia="Arial" w:cs="Arial"/>
              </w:rPr>
              <w:t xml:space="preserve">We encourage CDE to consider aligning this requirement with the Head Start Act and Performance Standards. </w:t>
            </w:r>
          </w:p>
          <w:p w14:paraId="4828C89E" w14:textId="6B9FF3F9" w:rsidR="0055469C" w:rsidRPr="005807B5" w:rsidRDefault="408FF8EE" w:rsidP="169AFD29">
            <w:pPr>
              <w:tabs>
                <w:tab w:val="left" w:pos="984"/>
              </w:tabs>
              <w:rPr>
                <w:rFonts w:eastAsia="Arial" w:cs="Arial"/>
              </w:rPr>
            </w:pPr>
            <w:r w:rsidRPr="169AFD29">
              <w:rPr>
                <w:rFonts w:eastAsia="Arial" w:cs="Arial"/>
                <w:b/>
                <w:bCs/>
              </w:rPr>
              <w:t>Comment:</w:t>
            </w:r>
            <w:r w:rsidRPr="169AFD29">
              <w:rPr>
                <w:rFonts w:eastAsia="Arial" w:cs="Arial"/>
              </w:rPr>
              <w:t xml:space="preserve"> </w:t>
            </w:r>
            <w:r w:rsidR="1619DF04" w:rsidRPr="169AFD29">
              <w:rPr>
                <w:rFonts w:eastAsia="Arial" w:cs="Arial"/>
              </w:rPr>
              <w:t>While CDE is moving in a positive direction toward aligning with federal regulations, the language still differs greatly. This will complicate efforts to enroll children in collaborative programs, as providers will be forced to follow two separate ranking processes.</w:t>
            </w:r>
          </w:p>
        </w:tc>
        <w:tc>
          <w:tcPr>
            <w:tcW w:w="1731" w:type="pct"/>
          </w:tcPr>
          <w:p w14:paraId="3A05595E" w14:textId="21EE2C96" w:rsidR="0055469C" w:rsidRPr="005807B5" w:rsidRDefault="2C11D36D" w:rsidP="52510BFF">
            <w:pPr>
              <w:rPr>
                <w:rFonts w:eastAsia="Calibri" w:cs="Arial"/>
                <w:b/>
                <w:bCs/>
              </w:rPr>
            </w:pPr>
            <w:r w:rsidRPr="52510BFF">
              <w:rPr>
                <w:rFonts w:eastAsia="Calibri" w:cs="Arial"/>
                <w:b/>
                <w:bCs/>
              </w:rPr>
              <w:t>Reject</w:t>
            </w:r>
          </w:p>
          <w:p w14:paraId="5FA52160" w14:textId="101B9712" w:rsidR="0055469C" w:rsidRPr="005807B5" w:rsidRDefault="5F774A57" w:rsidP="4D22884C">
            <w:pPr>
              <w:rPr>
                <w:rFonts w:eastAsia="Calibri" w:cs="Arial"/>
              </w:rPr>
            </w:pPr>
            <w:bookmarkStart w:id="0" w:name="_Int_ticFrx5w"/>
            <w:r w:rsidRPr="4D22884C">
              <w:rPr>
                <w:rFonts w:eastAsia="Calibri" w:cs="Arial"/>
              </w:rPr>
              <w:t xml:space="preserve">The proposed regulations </w:t>
            </w:r>
            <w:r w:rsidR="1E1C2F89" w:rsidRPr="4D22884C">
              <w:rPr>
                <w:rFonts w:eastAsia="Calibri" w:cs="Arial"/>
              </w:rPr>
              <w:t>align</w:t>
            </w:r>
            <w:r w:rsidRPr="4D22884C">
              <w:rPr>
                <w:rFonts w:eastAsia="Calibri" w:cs="Arial"/>
              </w:rPr>
              <w:t xml:space="preserve"> priority for the children identified by </w:t>
            </w:r>
            <w:r w:rsidR="282A45B7" w:rsidRPr="4D22884C">
              <w:rPr>
                <w:rFonts w:eastAsia="Calibri" w:cs="Arial"/>
              </w:rPr>
              <w:t xml:space="preserve">both </w:t>
            </w:r>
            <w:r w:rsidRPr="4D22884C">
              <w:rPr>
                <w:rFonts w:eastAsia="Calibri" w:cs="Arial"/>
              </w:rPr>
              <w:t xml:space="preserve">the state and Head Start as a high </w:t>
            </w:r>
            <w:r w:rsidR="17DF0D46" w:rsidRPr="4D22884C">
              <w:rPr>
                <w:rFonts w:eastAsia="Calibri" w:cs="Arial"/>
              </w:rPr>
              <w:t>priority for enrollment</w:t>
            </w:r>
            <w:r w:rsidRPr="4D22884C">
              <w:rPr>
                <w:rFonts w:eastAsia="Calibri" w:cs="Arial"/>
              </w:rPr>
              <w:t>.</w:t>
            </w:r>
            <w:bookmarkEnd w:id="0"/>
            <w:r w:rsidRPr="4D22884C">
              <w:rPr>
                <w:rFonts w:eastAsia="Calibri" w:cs="Arial"/>
              </w:rPr>
              <w:t xml:space="preserve"> </w:t>
            </w:r>
            <w:r w:rsidR="4B96E9B8" w:rsidRPr="4D22884C">
              <w:rPr>
                <w:rFonts w:eastAsia="Calibri" w:cs="Arial"/>
              </w:rPr>
              <w:t>Head Start requirements are more flexible and allow grantees to set their enrollment priorities based on the needs of the community while the state does not</w:t>
            </w:r>
            <w:r w:rsidR="0017290B">
              <w:rPr>
                <w:rFonts w:eastAsia="Calibri" w:cs="Arial"/>
              </w:rPr>
              <w:t>, absent obtaining a waiver.</w:t>
            </w:r>
            <w:r w:rsidR="4B96E9B8" w:rsidRPr="4D22884C">
              <w:rPr>
                <w:rFonts w:eastAsia="Calibri" w:cs="Arial"/>
              </w:rPr>
              <w:t xml:space="preserve"> Therefore, </w:t>
            </w:r>
            <w:r w:rsidR="101E332C" w:rsidRPr="4D22884C">
              <w:rPr>
                <w:rFonts w:eastAsia="Calibri" w:cs="Arial"/>
              </w:rPr>
              <w:t>these regulations align the state and Head Start’s priorities in the m</w:t>
            </w:r>
            <w:r w:rsidR="27AEF492" w:rsidRPr="4D22884C">
              <w:rPr>
                <w:rFonts w:eastAsia="Calibri" w:cs="Arial"/>
              </w:rPr>
              <w:t>ost effective way to meet the goals of both programs.</w:t>
            </w:r>
          </w:p>
        </w:tc>
      </w:tr>
      <w:tr w:rsidR="0055469C" w:rsidRPr="005807B5" w14:paraId="6E0858A0" w14:textId="77777777" w:rsidTr="00375204">
        <w:trPr>
          <w:cantSplit/>
        </w:trPr>
        <w:tc>
          <w:tcPr>
            <w:tcW w:w="511" w:type="pct"/>
          </w:tcPr>
          <w:p w14:paraId="210726FF" w14:textId="579E98D8" w:rsidR="0055469C" w:rsidRPr="005807B5" w:rsidRDefault="7CEB6A1A" w:rsidP="169AFD29">
            <w:pPr>
              <w:rPr>
                <w:rFonts w:eastAsia="Arial" w:cs="Arial"/>
              </w:rPr>
            </w:pPr>
            <w:r w:rsidRPr="169AFD29">
              <w:rPr>
                <w:rFonts w:eastAsia="Arial" w:cs="Arial"/>
              </w:rPr>
              <w:t>17752.5(a)</w:t>
            </w:r>
          </w:p>
        </w:tc>
        <w:tc>
          <w:tcPr>
            <w:tcW w:w="675" w:type="pct"/>
          </w:tcPr>
          <w:p w14:paraId="2A6FDA48" w14:textId="05EEE684" w:rsidR="0055469C" w:rsidRPr="005807B5" w:rsidRDefault="4C4C93A6" w:rsidP="169AFD29">
            <w:pPr>
              <w:rPr>
                <w:rFonts w:cs="Arial"/>
                <w:color w:val="000000"/>
              </w:rPr>
            </w:pPr>
            <w:r w:rsidRPr="169AFD29">
              <w:rPr>
                <w:rFonts w:cs="Arial"/>
                <w:color w:val="000000" w:themeColor="text1"/>
              </w:rPr>
              <w:t>Luis Bautista, Los Angeles County Office of Education (LACOE) - Letter #2</w:t>
            </w:r>
          </w:p>
        </w:tc>
        <w:tc>
          <w:tcPr>
            <w:tcW w:w="2082" w:type="pct"/>
          </w:tcPr>
          <w:p w14:paraId="2015C73D" w14:textId="5608CAA2" w:rsidR="0055469C" w:rsidRPr="005807B5" w:rsidRDefault="5F10A4C3" w:rsidP="169AFD29">
            <w:pPr>
              <w:tabs>
                <w:tab w:val="left" w:pos="984"/>
              </w:tabs>
            </w:pPr>
            <w:r w:rsidRPr="169AFD29">
              <w:rPr>
                <w:rFonts w:eastAsia="Arial" w:cs="Arial"/>
                <w:b/>
                <w:bCs/>
              </w:rPr>
              <w:t>Recommendation:</w:t>
            </w:r>
            <w:r w:rsidRPr="169AFD29">
              <w:rPr>
                <w:rFonts w:eastAsia="Arial" w:cs="Arial"/>
              </w:rPr>
              <w:t xml:space="preserve"> </w:t>
            </w:r>
            <w:r w:rsidR="1619DF04" w:rsidRPr="169AFD29">
              <w:rPr>
                <w:rFonts w:eastAsia="Arial" w:cs="Arial"/>
              </w:rPr>
              <w:t>We request that CDE rewrite this section for additional clarity: “Contractors have an additional 30 days past the date families signed the initial application for services.”</w:t>
            </w:r>
          </w:p>
        </w:tc>
        <w:tc>
          <w:tcPr>
            <w:tcW w:w="1731" w:type="pct"/>
          </w:tcPr>
          <w:p w14:paraId="74EB79A7" w14:textId="1CD16E76" w:rsidR="0055469C" w:rsidRPr="005807B5" w:rsidRDefault="1B03DF02" w:rsidP="52510BFF">
            <w:pPr>
              <w:rPr>
                <w:rFonts w:eastAsia="Calibri" w:cs="Arial"/>
                <w:b/>
                <w:bCs/>
              </w:rPr>
            </w:pPr>
            <w:r w:rsidRPr="52510BFF">
              <w:rPr>
                <w:rFonts w:eastAsia="Calibri" w:cs="Arial"/>
                <w:b/>
                <w:bCs/>
              </w:rPr>
              <w:t>Reject</w:t>
            </w:r>
          </w:p>
          <w:p w14:paraId="7E8922C8" w14:textId="0F596B0C" w:rsidR="0055469C" w:rsidRPr="005807B5" w:rsidRDefault="1B03DF02" w:rsidP="52510BFF">
            <w:pPr>
              <w:rPr>
                <w:rFonts w:eastAsia="Calibri" w:cs="Arial"/>
              </w:rPr>
            </w:pPr>
            <w:r w:rsidRPr="52510BFF">
              <w:rPr>
                <w:rFonts w:eastAsia="Calibri" w:cs="Arial"/>
              </w:rPr>
              <w:t xml:space="preserve">The word "addition" would add more confusion to the current process. Contractors have 30 days from when the parent signs the application for services to determine eligibility and issue the notice of action. </w:t>
            </w:r>
          </w:p>
        </w:tc>
      </w:tr>
      <w:tr w:rsidR="0055469C" w:rsidRPr="005807B5" w14:paraId="4F80AAAD" w14:textId="77777777" w:rsidTr="00375204">
        <w:trPr>
          <w:cantSplit/>
        </w:trPr>
        <w:tc>
          <w:tcPr>
            <w:tcW w:w="511" w:type="pct"/>
          </w:tcPr>
          <w:p w14:paraId="513CE9A3" w14:textId="709E9F9D" w:rsidR="0055469C" w:rsidRPr="005807B5" w:rsidRDefault="717BC26F" w:rsidP="169AFD29">
            <w:pPr>
              <w:rPr>
                <w:rFonts w:eastAsia="Arial" w:cs="Arial"/>
              </w:rPr>
            </w:pPr>
            <w:r w:rsidRPr="169AFD29">
              <w:rPr>
                <w:rFonts w:eastAsia="Arial" w:cs="Arial"/>
              </w:rPr>
              <w:lastRenderedPageBreak/>
              <w:t>17753.1</w:t>
            </w:r>
          </w:p>
        </w:tc>
        <w:tc>
          <w:tcPr>
            <w:tcW w:w="675" w:type="pct"/>
          </w:tcPr>
          <w:p w14:paraId="28DBE144" w14:textId="4C1A68AD" w:rsidR="0055469C" w:rsidRPr="005807B5" w:rsidRDefault="58D1B6C2" w:rsidP="169AFD29">
            <w:pPr>
              <w:rPr>
                <w:rFonts w:cs="Arial"/>
                <w:color w:val="000000"/>
              </w:rPr>
            </w:pPr>
            <w:r w:rsidRPr="169AFD29">
              <w:rPr>
                <w:rFonts w:cs="Arial"/>
                <w:color w:val="000000" w:themeColor="text1"/>
              </w:rPr>
              <w:t>Luis Bautista, Los Angeles County Office of Education (LACOE) - Letter #2</w:t>
            </w:r>
          </w:p>
        </w:tc>
        <w:tc>
          <w:tcPr>
            <w:tcW w:w="2082" w:type="pct"/>
          </w:tcPr>
          <w:p w14:paraId="165DB962" w14:textId="0F314AD6" w:rsidR="0055469C" w:rsidRPr="005807B5" w:rsidRDefault="5CA13196" w:rsidP="169AFD29">
            <w:pPr>
              <w:tabs>
                <w:tab w:val="left" w:pos="984"/>
              </w:tabs>
            </w:pPr>
            <w:r w:rsidRPr="169AFD29">
              <w:rPr>
                <w:rFonts w:eastAsia="Arial" w:cs="Arial"/>
                <w:b/>
                <w:bCs/>
              </w:rPr>
              <w:t>Comment:</w:t>
            </w:r>
            <w:r w:rsidRPr="169AFD29">
              <w:rPr>
                <w:rFonts w:eastAsia="Arial" w:cs="Arial"/>
              </w:rPr>
              <w:t xml:space="preserve"> </w:t>
            </w:r>
            <w:r w:rsidR="1619DF04" w:rsidRPr="169AFD29">
              <w:rPr>
                <w:rFonts w:eastAsia="Arial" w:cs="Arial"/>
              </w:rPr>
              <w:t>We appreciate the clarity around handling transfers from programs like General Child Care and Development (CCTR) into CSPP.</w:t>
            </w:r>
          </w:p>
        </w:tc>
        <w:tc>
          <w:tcPr>
            <w:tcW w:w="1731" w:type="pct"/>
          </w:tcPr>
          <w:p w14:paraId="35B73E6B" w14:textId="29CCE4C6" w:rsidR="0055469C" w:rsidRPr="005807B5" w:rsidRDefault="149D489E" w:rsidP="52510BFF">
            <w:pPr>
              <w:rPr>
                <w:rFonts w:eastAsia="Arial" w:cs="Arial"/>
                <w:b/>
                <w:bCs/>
              </w:rPr>
            </w:pPr>
            <w:r w:rsidRPr="52510BFF">
              <w:rPr>
                <w:rFonts w:eastAsia="Arial" w:cs="Arial"/>
                <w:b/>
                <w:bCs/>
              </w:rPr>
              <w:t xml:space="preserve">No Action Required </w:t>
            </w:r>
          </w:p>
          <w:p w14:paraId="249DA99D" w14:textId="0FD2F502" w:rsidR="0055469C" w:rsidRPr="005807B5" w:rsidRDefault="149D489E" w:rsidP="008E150D">
            <w:pPr>
              <w:rPr>
                <w:rFonts w:eastAsia="Calibri" w:cs="Arial"/>
                <w:b/>
                <w:bCs/>
              </w:rPr>
            </w:pPr>
            <w:r w:rsidRPr="52510BFF">
              <w:rPr>
                <w:rFonts w:eastAsia="Arial" w:cs="Arial"/>
              </w:rPr>
              <w:t>This comment does not suggest a change to the regulations.</w:t>
            </w:r>
          </w:p>
        </w:tc>
      </w:tr>
      <w:tr w:rsidR="0055469C" w:rsidRPr="005807B5" w14:paraId="3E25A636" w14:textId="77777777" w:rsidTr="00375204">
        <w:trPr>
          <w:cantSplit/>
        </w:trPr>
        <w:tc>
          <w:tcPr>
            <w:tcW w:w="511" w:type="pct"/>
          </w:tcPr>
          <w:p w14:paraId="162082FF" w14:textId="7EDB2F1F" w:rsidR="0055469C" w:rsidRPr="005807B5" w:rsidRDefault="5F724AF0" w:rsidP="169AFD29">
            <w:pPr>
              <w:rPr>
                <w:rFonts w:eastAsia="Arial" w:cs="Arial"/>
              </w:rPr>
            </w:pPr>
            <w:r w:rsidRPr="169AFD29">
              <w:rPr>
                <w:rFonts w:eastAsia="Arial" w:cs="Arial"/>
              </w:rPr>
              <w:t>17782(h)</w:t>
            </w:r>
          </w:p>
        </w:tc>
        <w:tc>
          <w:tcPr>
            <w:tcW w:w="675" w:type="pct"/>
          </w:tcPr>
          <w:p w14:paraId="784E236F" w14:textId="7AD137DD" w:rsidR="0055469C" w:rsidRPr="005807B5" w:rsidRDefault="5109B249" w:rsidP="169AFD29">
            <w:pPr>
              <w:rPr>
                <w:rFonts w:cs="Arial"/>
                <w:color w:val="000000"/>
              </w:rPr>
            </w:pPr>
            <w:r w:rsidRPr="169AFD29">
              <w:rPr>
                <w:rFonts w:cs="Arial"/>
                <w:color w:val="000000" w:themeColor="text1"/>
              </w:rPr>
              <w:t>Luis Bautista, Los Angeles County Office of Education (LACOE) - Letter #2</w:t>
            </w:r>
          </w:p>
        </w:tc>
        <w:tc>
          <w:tcPr>
            <w:tcW w:w="2082" w:type="pct"/>
          </w:tcPr>
          <w:p w14:paraId="31F906B2" w14:textId="2F6A2834" w:rsidR="0055469C" w:rsidRPr="005807B5" w:rsidRDefault="367DC0C6" w:rsidP="008E150D">
            <w:pPr>
              <w:tabs>
                <w:tab w:val="left" w:pos="984"/>
              </w:tabs>
              <w:spacing w:after="240"/>
            </w:pPr>
            <w:r w:rsidRPr="169AFD29">
              <w:rPr>
                <w:rFonts w:eastAsia="Arial" w:cs="Arial"/>
                <w:b/>
                <w:bCs/>
              </w:rPr>
              <w:t>Recommendation:</w:t>
            </w:r>
            <w:r w:rsidRPr="169AFD29">
              <w:rPr>
                <w:rFonts w:eastAsia="Arial" w:cs="Arial"/>
              </w:rPr>
              <w:t xml:space="preserve"> </w:t>
            </w:r>
            <w:r w:rsidR="1619DF04" w:rsidRPr="169AFD29">
              <w:rPr>
                <w:rFonts w:eastAsia="Arial" w:cs="Arial"/>
              </w:rPr>
              <w:t xml:space="preserve">We request that CDE refine the language on providing the Notice of Action (NOA) to the family from “send” to “provide or send.” </w:t>
            </w:r>
          </w:p>
          <w:p w14:paraId="68B25F5E" w14:textId="40379846" w:rsidR="0055469C" w:rsidRPr="005807B5" w:rsidRDefault="6ECC38F5" w:rsidP="169AFD29">
            <w:pPr>
              <w:tabs>
                <w:tab w:val="left" w:pos="984"/>
              </w:tabs>
            </w:pPr>
            <w:r w:rsidRPr="169AFD29">
              <w:rPr>
                <w:rFonts w:eastAsia="Arial" w:cs="Arial"/>
                <w:b/>
                <w:bCs/>
              </w:rPr>
              <w:t>Comment:</w:t>
            </w:r>
            <w:r w:rsidRPr="169AFD29">
              <w:rPr>
                <w:rFonts w:eastAsia="Arial" w:cs="Arial"/>
              </w:rPr>
              <w:t xml:space="preserve"> </w:t>
            </w:r>
            <w:r w:rsidR="1619DF04" w:rsidRPr="169AFD29">
              <w:rPr>
                <w:rFonts w:eastAsia="Arial" w:cs="Arial"/>
              </w:rPr>
              <w:t>Families who sign the application for services are most likely signing in person; programs could “provide” the NOA to the parent by handing it to them after signature, rather than needing to “send” via postal service.</w:t>
            </w:r>
          </w:p>
        </w:tc>
        <w:tc>
          <w:tcPr>
            <w:tcW w:w="1731" w:type="pct"/>
          </w:tcPr>
          <w:p w14:paraId="5BB33797" w14:textId="3F0D09F6" w:rsidR="0055469C" w:rsidRPr="005807B5" w:rsidRDefault="26C8A786" w:rsidP="52510BFF">
            <w:pPr>
              <w:rPr>
                <w:rFonts w:eastAsia="Calibri" w:cs="Arial"/>
                <w:b/>
                <w:bCs/>
              </w:rPr>
            </w:pPr>
            <w:r w:rsidRPr="52510BFF">
              <w:rPr>
                <w:rFonts w:eastAsia="Calibri" w:cs="Arial"/>
                <w:b/>
                <w:bCs/>
              </w:rPr>
              <w:t>Accept</w:t>
            </w:r>
          </w:p>
          <w:p w14:paraId="1E0197B4" w14:textId="73378BB5" w:rsidR="0055469C" w:rsidRPr="005807B5" w:rsidRDefault="26C8A786" w:rsidP="52510BFF">
            <w:pPr>
              <w:rPr>
                <w:rFonts w:eastAsia="Calibri" w:cs="Arial"/>
                <w:b/>
                <w:bCs/>
              </w:rPr>
            </w:pPr>
            <w:r w:rsidRPr="52510BFF">
              <w:rPr>
                <w:rFonts w:eastAsia="Calibri" w:cs="Arial"/>
              </w:rPr>
              <w:t xml:space="preserve">The CDE has included “provide or” to account for the instances when a family is handed </w:t>
            </w:r>
            <w:proofErr w:type="gramStart"/>
            <w:r w:rsidRPr="52510BFF">
              <w:rPr>
                <w:rFonts w:eastAsia="Calibri" w:cs="Arial"/>
              </w:rPr>
              <w:t>a</w:t>
            </w:r>
            <w:proofErr w:type="gramEnd"/>
            <w:r w:rsidRPr="52510BFF">
              <w:rPr>
                <w:rFonts w:eastAsia="Calibri" w:cs="Arial"/>
              </w:rPr>
              <w:t xml:space="preserve"> NOA.</w:t>
            </w:r>
          </w:p>
        </w:tc>
      </w:tr>
      <w:tr w:rsidR="0055469C" w:rsidRPr="005807B5" w14:paraId="368DAA2D" w14:textId="77777777" w:rsidTr="00375204">
        <w:trPr>
          <w:cantSplit/>
        </w:trPr>
        <w:tc>
          <w:tcPr>
            <w:tcW w:w="511" w:type="pct"/>
          </w:tcPr>
          <w:p w14:paraId="45664CF1" w14:textId="6CF996E5" w:rsidR="0055469C" w:rsidRPr="005807B5" w:rsidRDefault="2556D711" w:rsidP="169AFD29">
            <w:pPr>
              <w:rPr>
                <w:rFonts w:eastAsia="Arial" w:cs="Arial"/>
              </w:rPr>
            </w:pPr>
            <w:r w:rsidRPr="169AFD29">
              <w:rPr>
                <w:rFonts w:eastAsia="Arial" w:cs="Arial"/>
              </w:rPr>
              <w:t>17812(b)</w:t>
            </w:r>
          </w:p>
        </w:tc>
        <w:tc>
          <w:tcPr>
            <w:tcW w:w="675" w:type="pct"/>
          </w:tcPr>
          <w:p w14:paraId="00A2A5E7" w14:textId="3AE66FD3" w:rsidR="0055469C" w:rsidRPr="005807B5" w:rsidRDefault="6E4ECF11" w:rsidP="169AFD29">
            <w:pPr>
              <w:rPr>
                <w:rFonts w:cs="Arial"/>
                <w:color w:val="000000"/>
              </w:rPr>
            </w:pPr>
            <w:r w:rsidRPr="169AFD29">
              <w:rPr>
                <w:rFonts w:cs="Arial"/>
                <w:color w:val="000000" w:themeColor="text1"/>
              </w:rPr>
              <w:t>Luis Bautista, Los Angeles County Office of Education (LACOE) - Letter #2</w:t>
            </w:r>
          </w:p>
        </w:tc>
        <w:tc>
          <w:tcPr>
            <w:tcW w:w="2082" w:type="pct"/>
          </w:tcPr>
          <w:p w14:paraId="7391AAC3" w14:textId="245014DC" w:rsidR="0055469C" w:rsidRPr="005807B5" w:rsidRDefault="419FC41A" w:rsidP="008E150D">
            <w:pPr>
              <w:tabs>
                <w:tab w:val="left" w:pos="984"/>
              </w:tabs>
              <w:spacing w:after="240"/>
            </w:pPr>
            <w:r w:rsidRPr="169AFD29">
              <w:rPr>
                <w:rFonts w:eastAsia="Arial" w:cs="Arial"/>
                <w:b/>
                <w:bCs/>
              </w:rPr>
              <w:t>Recommendation:</w:t>
            </w:r>
            <w:r w:rsidRPr="169AFD29">
              <w:rPr>
                <w:rFonts w:eastAsia="Arial" w:cs="Arial"/>
              </w:rPr>
              <w:t xml:space="preserve"> </w:t>
            </w:r>
            <w:r w:rsidR="1619DF04" w:rsidRPr="169AFD29">
              <w:rPr>
                <w:rFonts w:eastAsia="Arial" w:cs="Arial"/>
              </w:rPr>
              <w:t xml:space="preserve">More clarification is needed around the “service level exemption credit.” </w:t>
            </w:r>
          </w:p>
          <w:p w14:paraId="7AC3350E" w14:textId="124A4D16" w:rsidR="0055469C" w:rsidRPr="005807B5" w:rsidRDefault="5ED235AD" w:rsidP="169AFD29">
            <w:pPr>
              <w:tabs>
                <w:tab w:val="left" w:pos="984"/>
              </w:tabs>
            </w:pPr>
            <w:r w:rsidRPr="169AFD29">
              <w:rPr>
                <w:rFonts w:eastAsia="Arial" w:cs="Arial"/>
                <w:b/>
                <w:bCs/>
              </w:rPr>
              <w:t>Comment:</w:t>
            </w:r>
            <w:r w:rsidRPr="169AFD29">
              <w:rPr>
                <w:rFonts w:eastAsia="Arial" w:cs="Arial"/>
              </w:rPr>
              <w:t xml:space="preserve"> </w:t>
            </w:r>
            <w:r w:rsidR="1619DF04" w:rsidRPr="169AFD29">
              <w:rPr>
                <w:rFonts w:eastAsia="Arial" w:cs="Arial"/>
              </w:rPr>
              <w:t>If a contractor does not meet the set aside requirement or meets it late in the year, will it lose the ability to earn its full contract?</w:t>
            </w:r>
          </w:p>
        </w:tc>
        <w:tc>
          <w:tcPr>
            <w:tcW w:w="1731" w:type="pct"/>
          </w:tcPr>
          <w:p w14:paraId="3ACE0CBF" w14:textId="44B49464" w:rsidR="0055469C" w:rsidRPr="005807B5" w:rsidRDefault="57116893" w:rsidP="52510BFF">
            <w:pPr>
              <w:rPr>
                <w:rFonts w:eastAsia="Calibri" w:cs="Arial"/>
                <w:b/>
                <w:bCs/>
              </w:rPr>
            </w:pPr>
            <w:r w:rsidRPr="52510BFF">
              <w:rPr>
                <w:rFonts w:eastAsia="Calibri" w:cs="Arial"/>
                <w:b/>
                <w:bCs/>
              </w:rPr>
              <w:t>Reject</w:t>
            </w:r>
          </w:p>
          <w:p w14:paraId="2DD74563" w14:textId="73EDBD74" w:rsidR="0055469C" w:rsidRPr="005807B5" w:rsidRDefault="57116893" w:rsidP="52510BFF">
            <w:pPr>
              <w:rPr>
                <w:rFonts w:eastAsia="Calibri" w:cs="Arial"/>
              </w:rPr>
            </w:pPr>
            <w:r w:rsidRPr="52510BFF">
              <w:rPr>
                <w:rFonts w:eastAsia="Calibri" w:cs="Arial"/>
              </w:rPr>
              <w:t xml:space="preserve">As stated in the regulation, this service level exemption credit is only applied to the contract when the contractor is not meeting the set aside requirement. Because </w:t>
            </w:r>
            <w:r w:rsidR="24387C44" w:rsidRPr="52510BFF">
              <w:rPr>
                <w:rFonts w:eastAsia="Calibri" w:cs="Arial"/>
              </w:rPr>
              <w:t xml:space="preserve">contractors can only enroll children with disabilities in the set aside, the service level exemption credit is used to replace the amount of the contract that the contractor is not able to earn if the set aside is not fully earned through enrolling </w:t>
            </w:r>
            <w:r w:rsidR="7508C05D" w:rsidRPr="52510BFF">
              <w:rPr>
                <w:rFonts w:eastAsia="Calibri" w:cs="Arial"/>
              </w:rPr>
              <w:t>children with disabilities. This is in alignment with the statute</w:t>
            </w:r>
            <w:r w:rsidR="3C4D6FCC" w:rsidRPr="52510BFF">
              <w:rPr>
                <w:rFonts w:eastAsia="Calibri" w:cs="Arial"/>
              </w:rPr>
              <w:t>s (EC 8208[c][2][B] and 8208[d][2][B][ii]),</w:t>
            </w:r>
            <w:r w:rsidR="7508C05D" w:rsidRPr="52510BFF">
              <w:rPr>
                <w:rFonts w:eastAsia="Calibri" w:cs="Arial"/>
              </w:rPr>
              <w:t xml:space="preserve"> </w:t>
            </w:r>
            <w:r w:rsidR="422FD40E" w:rsidRPr="52510BFF">
              <w:rPr>
                <w:rFonts w:eastAsia="Calibri" w:cs="Arial"/>
              </w:rPr>
              <w:t xml:space="preserve">as it requires contractors to be funded for this set aside so they </w:t>
            </w:r>
            <w:r w:rsidR="72D6BCE2" w:rsidRPr="52510BFF">
              <w:rPr>
                <w:rFonts w:eastAsia="Calibri" w:cs="Arial"/>
              </w:rPr>
              <w:t>can</w:t>
            </w:r>
            <w:r w:rsidR="422FD40E" w:rsidRPr="52510BFF">
              <w:rPr>
                <w:rFonts w:eastAsia="Calibri" w:cs="Arial"/>
              </w:rPr>
              <w:t xml:space="preserve"> serve children with disabilities at any point in the program year.</w:t>
            </w:r>
          </w:p>
        </w:tc>
      </w:tr>
      <w:tr w:rsidR="0055469C" w:rsidRPr="005807B5" w14:paraId="57D637DC" w14:textId="77777777" w:rsidTr="00375204">
        <w:trPr>
          <w:cantSplit/>
        </w:trPr>
        <w:tc>
          <w:tcPr>
            <w:tcW w:w="511" w:type="pct"/>
          </w:tcPr>
          <w:p w14:paraId="73C65790" w14:textId="0E2B4BEC" w:rsidR="0055469C" w:rsidRPr="005807B5" w:rsidRDefault="7FDDC258" w:rsidP="003846B0">
            <w:pPr>
              <w:rPr>
                <w:rFonts w:cs="Arial"/>
                <w:color w:val="000000"/>
              </w:rPr>
            </w:pPr>
            <w:r w:rsidRPr="169AFD29">
              <w:rPr>
                <w:rFonts w:cs="Arial"/>
                <w:color w:val="000000" w:themeColor="text1"/>
              </w:rPr>
              <w:lastRenderedPageBreak/>
              <w:t xml:space="preserve">17752.5; 17753 </w:t>
            </w:r>
          </w:p>
        </w:tc>
        <w:tc>
          <w:tcPr>
            <w:tcW w:w="675" w:type="pct"/>
          </w:tcPr>
          <w:p w14:paraId="1B1A19A3" w14:textId="3D08F56E" w:rsidR="0055469C" w:rsidRPr="005807B5" w:rsidRDefault="7FDDC258" w:rsidP="00A07999">
            <w:pPr>
              <w:rPr>
                <w:rFonts w:cs="Arial"/>
                <w:color w:val="000000"/>
              </w:rPr>
            </w:pPr>
            <w:r w:rsidRPr="169AFD29">
              <w:rPr>
                <w:rFonts w:cs="Arial"/>
                <w:color w:val="000000" w:themeColor="text1"/>
              </w:rPr>
              <w:t xml:space="preserve">Celine </w:t>
            </w:r>
            <w:proofErr w:type="spellStart"/>
            <w:r w:rsidRPr="169AFD29">
              <w:rPr>
                <w:rFonts w:cs="Arial"/>
                <w:color w:val="000000" w:themeColor="text1"/>
              </w:rPr>
              <w:t>Krimston</w:t>
            </w:r>
            <w:proofErr w:type="spellEnd"/>
            <w:r w:rsidRPr="169AFD29">
              <w:rPr>
                <w:rFonts w:cs="Arial"/>
                <w:color w:val="000000" w:themeColor="text1"/>
              </w:rPr>
              <w:t>, Educational Enrichment Systems, Inc. - Letter #3</w:t>
            </w:r>
          </w:p>
        </w:tc>
        <w:tc>
          <w:tcPr>
            <w:tcW w:w="2082" w:type="pct"/>
          </w:tcPr>
          <w:p w14:paraId="53565276" w14:textId="64077999" w:rsidR="0055469C" w:rsidRPr="005807B5" w:rsidRDefault="7FDDC258" w:rsidP="007625BF">
            <w:pPr>
              <w:tabs>
                <w:tab w:val="left" w:pos="984"/>
              </w:tabs>
              <w:rPr>
                <w:rFonts w:eastAsia="Calibri" w:cs="Arial"/>
              </w:rPr>
            </w:pPr>
            <w:r w:rsidRPr="169AFD29">
              <w:rPr>
                <w:rFonts w:eastAsia="Calibri" w:cs="Arial"/>
                <w:b/>
                <w:bCs/>
              </w:rPr>
              <w:t xml:space="preserve">Comment: </w:t>
            </w:r>
            <w:r w:rsidRPr="169AFD29">
              <w:rPr>
                <w:rFonts w:eastAsia="Calibri" w:cs="Arial"/>
              </w:rPr>
              <w:t xml:space="preserve">It is apparent that the new timelines have been purposely aligned with transitional kindergarten registration and that the proposed new language encourages parents to enroll in transitional kindergarten over remaining in CSPP due to the inequities CDE has established in enrollment/recertification requirements for </w:t>
            </w:r>
            <w:proofErr w:type="gramStart"/>
            <w:r w:rsidRPr="169AFD29">
              <w:rPr>
                <w:rFonts w:eastAsia="Calibri" w:cs="Arial"/>
              </w:rPr>
              <w:t>4 year old</w:t>
            </w:r>
            <w:proofErr w:type="gramEnd"/>
            <w:r w:rsidRPr="169AFD29">
              <w:rPr>
                <w:rFonts w:eastAsia="Calibri" w:cs="Arial"/>
              </w:rPr>
              <w:t xml:space="preserve"> children. The paperwork to recertify in CSPP is far more grueling and demanding than enrolling into transitional kindergarten and this unfair, inequitable process is maddening and disrespectful.</w:t>
            </w:r>
          </w:p>
        </w:tc>
        <w:tc>
          <w:tcPr>
            <w:tcW w:w="1731" w:type="pct"/>
          </w:tcPr>
          <w:p w14:paraId="5772EB5F" w14:textId="29CCE4C6" w:rsidR="0055469C" w:rsidRPr="005807B5" w:rsidRDefault="01AA74DB" w:rsidP="52510BFF">
            <w:pPr>
              <w:rPr>
                <w:rFonts w:eastAsia="Arial" w:cs="Arial"/>
                <w:b/>
                <w:bCs/>
              </w:rPr>
            </w:pPr>
            <w:r w:rsidRPr="52510BFF">
              <w:rPr>
                <w:rFonts w:eastAsia="Arial" w:cs="Arial"/>
                <w:b/>
                <w:bCs/>
              </w:rPr>
              <w:t xml:space="preserve">No Action Required </w:t>
            </w:r>
          </w:p>
          <w:p w14:paraId="632AAEF8" w14:textId="77777777" w:rsidR="008E150D" w:rsidRDefault="01AA74DB" w:rsidP="008E150D">
            <w:pPr>
              <w:spacing w:after="240"/>
              <w:rPr>
                <w:rFonts w:eastAsia="Arial" w:cs="Arial"/>
              </w:rPr>
            </w:pPr>
            <w:r w:rsidRPr="52510BFF">
              <w:rPr>
                <w:rFonts w:eastAsia="Arial" w:cs="Arial"/>
              </w:rPr>
              <w:t>This comment does not suggest a change to the regulations.</w:t>
            </w:r>
          </w:p>
          <w:p w14:paraId="07E955F8" w14:textId="77777777" w:rsidR="008E150D" w:rsidRDefault="5D7AC9FF" w:rsidP="008E150D">
            <w:pPr>
              <w:rPr>
                <w:rFonts w:eastAsia="Calibri" w:cs="Arial"/>
                <w:b/>
                <w:bCs/>
              </w:rPr>
            </w:pPr>
            <w:r w:rsidRPr="52510BFF">
              <w:rPr>
                <w:rFonts w:eastAsia="Calibri" w:cs="Arial"/>
                <w:b/>
                <w:bCs/>
              </w:rPr>
              <w:t xml:space="preserve">Response: </w:t>
            </w:r>
          </w:p>
          <w:p w14:paraId="31A66750" w14:textId="4F8DA46A" w:rsidR="0055469C" w:rsidRPr="005807B5" w:rsidRDefault="5D7AC9FF" w:rsidP="008E150D">
            <w:pPr>
              <w:rPr>
                <w:rFonts w:eastAsia="Calibri" w:cs="Arial"/>
              </w:rPr>
            </w:pPr>
            <w:r w:rsidRPr="4D22884C">
              <w:rPr>
                <w:rFonts w:eastAsia="Calibri" w:cs="Arial"/>
              </w:rPr>
              <w:t xml:space="preserve">The proposed timeline for recertification is in alignment with the statutory changes to increase eligibility for CSPP to no less than </w:t>
            </w:r>
            <w:bookmarkStart w:id="1" w:name="_Int_1Y4XFVLS"/>
            <w:r w:rsidRPr="4D22884C">
              <w:rPr>
                <w:rFonts w:eastAsia="Calibri" w:cs="Arial"/>
              </w:rPr>
              <w:t xml:space="preserve">24 </w:t>
            </w:r>
            <w:r w:rsidR="4916373E" w:rsidRPr="4D22884C">
              <w:rPr>
                <w:rFonts w:eastAsia="Calibri" w:cs="Arial"/>
              </w:rPr>
              <w:t>months</w:t>
            </w:r>
            <w:bookmarkEnd w:id="1"/>
            <w:r w:rsidR="4916373E" w:rsidRPr="4D22884C">
              <w:rPr>
                <w:rFonts w:eastAsia="Calibri" w:cs="Arial"/>
              </w:rPr>
              <w:t xml:space="preserve"> for full-day and 2 program years for part-day. </w:t>
            </w:r>
            <w:r w:rsidR="31FB6EE0" w:rsidRPr="4D22884C">
              <w:rPr>
                <w:rFonts w:eastAsia="Calibri" w:cs="Arial"/>
              </w:rPr>
              <w:t>It ensures that children enrolled in CSPP will be enrolled for all program years they are enrolled for and removes the possibility of a child being deemed ineligible in the middle of a program year.</w:t>
            </w:r>
            <w:r w:rsidR="031BAB45" w:rsidRPr="4D22884C">
              <w:rPr>
                <w:rFonts w:eastAsia="Calibri" w:cs="Arial"/>
              </w:rPr>
              <w:t xml:space="preserve"> </w:t>
            </w:r>
          </w:p>
        </w:tc>
      </w:tr>
      <w:tr w:rsidR="0055469C" w:rsidRPr="005807B5" w14:paraId="139D5624" w14:textId="77777777" w:rsidTr="00375204">
        <w:trPr>
          <w:cantSplit/>
        </w:trPr>
        <w:tc>
          <w:tcPr>
            <w:tcW w:w="511" w:type="pct"/>
          </w:tcPr>
          <w:p w14:paraId="5029DDEB" w14:textId="7EF1B521" w:rsidR="0055469C" w:rsidRPr="005807B5" w:rsidRDefault="7FDDC258" w:rsidP="169AFD29">
            <w:pPr>
              <w:rPr>
                <w:rFonts w:eastAsia="Calibri" w:cs="Arial"/>
              </w:rPr>
            </w:pPr>
            <w:r w:rsidRPr="169AFD29">
              <w:rPr>
                <w:rFonts w:eastAsia="Calibri" w:cs="Arial"/>
              </w:rPr>
              <w:t>17734(c)</w:t>
            </w:r>
          </w:p>
        </w:tc>
        <w:tc>
          <w:tcPr>
            <w:tcW w:w="675" w:type="pct"/>
          </w:tcPr>
          <w:p w14:paraId="713368E5" w14:textId="5DC5656E" w:rsidR="0055469C" w:rsidRPr="005807B5" w:rsidRDefault="7FDDC258" w:rsidP="00A07999">
            <w:pPr>
              <w:rPr>
                <w:rFonts w:cs="Arial"/>
                <w:color w:val="000000"/>
              </w:rPr>
            </w:pPr>
            <w:r w:rsidRPr="169AFD29">
              <w:rPr>
                <w:rFonts w:cs="Arial"/>
                <w:color w:val="000000" w:themeColor="text1"/>
              </w:rPr>
              <w:t xml:space="preserve">Celine </w:t>
            </w:r>
            <w:proofErr w:type="spellStart"/>
            <w:r w:rsidRPr="169AFD29">
              <w:rPr>
                <w:rFonts w:cs="Arial"/>
                <w:color w:val="000000" w:themeColor="text1"/>
              </w:rPr>
              <w:t>Krimston</w:t>
            </w:r>
            <w:proofErr w:type="spellEnd"/>
            <w:r w:rsidRPr="169AFD29">
              <w:rPr>
                <w:rFonts w:cs="Arial"/>
                <w:color w:val="000000" w:themeColor="text1"/>
              </w:rPr>
              <w:t>, Educational Enrichment Systems, Inc. - Letter #3</w:t>
            </w:r>
          </w:p>
        </w:tc>
        <w:tc>
          <w:tcPr>
            <w:tcW w:w="2082" w:type="pct"/>
          </w:tcPr>
          <w:p w14:paraId="5C4C01F1" w14:textId="2137D48C" w:rsidR="0055469C" w:rsidRPr="005807B5" w:rsidRDefault="7FDDC258" w:rsidP="008E150D">
            <w:pPr>
              <w:tabs>
                <w:tab w:val="left" w:pos="984"/>
              </w:tabs>
              <w:rPr>
                <w:rFonts w:eastAsia="Calibri" w:cs="Arial"/>
              </w:rPr>
            </w:pPr>
            <w:r w:rsidRPr="169AFD29">
              <w:rPr>
                <w:rFonts w:eastAsia="Calibri" w:cs="Arial"/>
                <w:b/>
                <w:bCs/>
              </w:rPr>
              <w:t>Recommendation:</w:t>
            </w:r>
            <w:r w:rsidRPr="169AFD29">
              <w:rPr>
                <w:rFonts w:eastAsia="Calibri" w:cs="Arial"/>
              </w:rPr>
              <w:t xml:space="preserve"> [This section] must clarify the process for a CBO to collect the family fees from an LEA.</w:t>
            </w:r>
          </w:p>
        </w:tc>
        <w:tc>
          <w:tcPr>
            <w:tcW w:w="1731" w:type="pct"/>
          </w:tcPr>
          <w:p w14:paraId="04D834AA" w14:textId="26E9EEED" w:rsidR="0055469C" w:rsidRPr="005807B5" w:rsidRDefault="0D6F3D5F" w:rsidP="52510BFF">
            <w:pPr>
              <w:rPr>
                <w:rFonts w:eastAsia="Calibri" w:cs="Arial"/>
                <w:b/>
                <w:bCs/>
              </w:rPr>
            </w:pPr>
            <w:r w:rsidRPr="52510BFF">
              <w:rPr>
                <w:rFonts w:eastAsia="Calibri" w:cs="Arial"/>
                <w:b/>
                <w:bCs/>
              </w:rPr>
              <w:t>Reject</w:t>
            </w:r>
          </w:p>
          <w:p w14:paraId="6AF351FD" w14:textId="7D42152C" w:rsidR="0055469C" w:rsidRPr="005807B5" w:rsidRDefault="0D6F3D5F" w:rsidP="52510BFF">
            <w:pPr>
              <w:rPr>
                <w:rFonts w:eastAsia="Calibri" w:cs="Arial"/>
              </w:rPr>
            </w:pPr>
            <w:r w:rsidRPr="52510BFF">
              <w:rPr>
                <w:rFonts w:eastAsia="Calibri" w:cs="Arial"/>
              </w:rPr>
              <w:t xml:space="preserve">This process is locally determined as each LEA has a different </w:t>
            </w:r>
            <w:r w:rsidR="7B43DE76" w:rsidRPr="52510BFF">
              <w:rPr>
                <w:rFonts w:eastAsia="Calibri" w:cs="Arial"/>
              </w:rPr>
              <w:t>process for making payments for children with disabilities.</w:t>
            </w:r>
          </w:p>
        </w:tc>
      </w:tr>
      <w:tr w:rsidR="0055469C" w:rsidRPr="005807B5" w14:paraId="153A7F41" w14:textId="77777777" w:rsidTr="00375204">
        <w:trPr>
          <w:cantSplit/>
        </w:trPr>
        <w:tc>
          <w:tcPr>
            <w:tcW w:w="511" w:type="pct"/>
          </w:tcPr>
          <w:p w14:paraId="04C52FCF" w14:textId="17998BA3" w:rsidR="0055469C" w:rsidRPr="005807B5" w:rsidRDefault="7FDDC258" w:rsidP="169AFD29">
            <w:pPr>
              <w:rPr>
                <w:rFonts w:eastAsia="Calibri" w:cs="Arial"/>
              </w:rPr>
            </w:pPr>
            <w:r w:rsidRPr="169AFD29">
              <w:rPr>
                <w:rFonts w:eastAsia="Calibri" w:cs="Arial"/>
              </w:rPr>
              <w:t>17753.1</w:t>
            </w:r>
          </w:p>
        </w:tc>
        <w:tc>
          <w:tcPr>
            <w:tcW w:w="675" w:type="pct"/>
          </w:tcPr>
          <w:p w14:paraId="1BC7DDE3" w14:textId="355D98D7" w:rsidR="0055469C" w:rsidRPr="005807B5" w:rsidRDefault="7FDDC258" w:rsidP="00A07999">
            <w:pPr>
              <w:rPr>
                <w:rFonts w:cs="Arial"/>
                <w:color w:val="000000"/>
              </w:rPr>
            </w:pPr>
            <w:r w:rsidRPr="169AFD29">
              <w:rPr>
                <w:rFonts w:cs="Arial"/>
                <w:color w:val="000000" w:themeColor="text1"/>
              </w:rPr>
              <w:t xml:space="preserve">Celine </w:t>
            </w:r>
            <w:proofErr w:type="spellStart"/>
            <w:r w:rsidRPr="169AFD29">
              <w:rPr>
                <w:rFonts w:cs="Arial"/>
                <w:color w:val="000000" w:themeColor="text1"/>
              </w:rPr>
              <w:t>Krimston</w:t>
            </w:r>
            <w:proofErr w:type="spellEnd"/>
            <w:r w:rsidRPr="169AFD29">
              <w:rPr>
                <w:rFonts w:cs="Arial"/>
                <w:color w:val="000000" w:themeColor="text1"/>
              </w:rPr>
              <w:t>, Educational Enrichment Systems, Inc. - Letter #3</w:t>
            </w:r>
          </w:p>
        </w:tc>
        <w:tc>
          <w:tcPr>
            <w:tcW w:w="2082" w:type="pct"/>
          </w:tcPr>
          <w:p w14:paraId="5D97FE18" w14:textId="5F5DD6D1" w:rsidR="0055469C" w:rsidRPr="005807B5" w:rsidRDefault="7FDDC258" w:rsidP="007625BF">
            <w:pPr>
              <w:tabs>
                <w:tab w:val="left" w:pos="984"/>
              </w:tabs>
              <w:rPr>
                <w:rFonts w:eastAsia="Calibri" w:cs="Arial"/>
              </w:rPr>
            </w:pPr>
            <w:r w:rsidRPr="169AFD29">
              <w:rPr>
                <w:rFonts w:eastAsia="Calibri" w:cs="Arial"/>
                <w:b/>
                <w:bCs/>
              </w:rPr>
              <w:t>Recommendation:</w:t>
            </w:r>
            <w:r w:rsidRPr="169AFD29">
              <w:rPr>
                <w:rFonts w:eastAsia="Calibri" w:cs="Arial"/>
              </w:rPr>
              <w:t xml:space="preserve"> [This section] must clarify which contractor is to issue the NOA.</w:t>
            </w:r>
          </w:p>
        </w:tc>
        <w:tc>
          <w:tcPr>
            <w:tcW w:w="1731" w:type="pct"/>
          </w:tcPr>
          <w:p w14:paraId="48E07706" w14:textId="6F799684" w:rsidR="0055469C" w:rsidRPr="005807B5" w:rsidRDefault="5CDDBE02" w:rsidP="52510BFF">
            <w:pPr>
              <w:rPr>
                <w:rFonts w:eastAsia="Calibri" w:cs="Arial"/>
                <w:b/>
                <w:bCs/>
              </w:rPr>
            </w:pPr>
            <w:r w:rsidRPr="52510BFF">
              <w:rPr>
                <w:rFonts w:eastAsia="Calibri" w:cs="Arial"/>
                <w:b/>
                <w:bCs/>
              </w:rPr>
              <w:t>Reject</w:t>
            </w:r>
          </w:p>
          <w:p w14:paraId="2AFBB423" w14:textId="1245C621" w:rsidR="0055469C" w:rsidRPr="005807B5" w:rsidRDefault="5CDDBE02" w:rsidP="52510BFF">
            <w:pPr>
              <w:rPr>
                <w:rFonts w:eastAsia="Calibri" w:cs="Arial"/>
              </w:rPr>
            </w:pPr>
            <w:r w:rsidRPr="52510BFF">
              <w:rPr>
                <w:rFonts w:eastAsia="Calibri" w:cs="Arial"/>
              </w:rPr>
              <w:t xml:space="preserve">This section </w:t>
            </w:r>
            <w:r w:rsidR="51038C06" w:rsidRPr="52510BFF">
              <w:rPr>
                <w:rFonts w:eastAsia="Calibri" w:cs="Arial"/>
              </w:rPr>
              <w:t xml:space="preserve">already clarifies </w:t>
            </w:r>
            <w:r w:rsidRPr="52510BFF">
              <w:rPr>
                <w:rFonts w:eastAsia="Calibri" w:cs="Arial"/>
              </w:rPr>
              <w:t>that</w:t>
            </w:r>
            <w:r w:rsidR="3663B86D" w:rsidRPr="52510BFF">
              <w:rPr>
                <w:rFonts w:eastAsia="Calibri" w:cs="Arial"/>
              </w:rPr>
              <w:t xml:space="preserve"> it is</w:t>
            </w:r>
            <w:r w:rsidRPr="52510BFF">
              <w:rPr>
                <w:rFonts w:eastAsia="Calibri" w:cs="Arial"/>
              </w:rPr>
              <w:t xml:space="preserve"> the CSPP contractor </w:t>
            </w:r>
            <w:r w:rsidR="576A226A" w:rsidRPr="52510BFF">
              <w:rPr>
                <w:rFonts w:eastAsia="Calibri" w:cs="Arial"/>
              </w:rPr>
              <w:t xml:space="preserve">who </w:t>
            </w:r>
            <w:r w:rsidRPr="52510BFF">
              <w:rPr>
                <w:rFonts w:eastAsia="Calibri" w:cs="Arial"/>
              </w:rPr>
              <w:t xml:space="preserve">must issue the NOA. </w:t>
            </w:r>
            <w:r w:rsidR="615F9569" w:rsidRPr="52510BFF">
              <w:rPr>
                <w:rFonts w:eastAsia="Calibri" w:cs="Arial"/>
              </w:rPr>
              <w:t xml:space="preserve">When </w:t>
            </w:r>
            <w:r w:rsidRPr="52510BFF">
              <w:rPr>
                <w:rFonts w:eastAsia="Calibri" w:cs="Arial"/>
              </w:rPr>
              <w:t>a child transfer</w:t>
            </w:r>
            <w:r w:rsidR="374B43D6" w:rsidRPr="52510BFF">
              <w:rPr>
                <w:rFonts w:eastAsia="Calibri" w:cs="Arial"/>
              </w:rPr>
              <w:t>s into CSPP</w:t>
            </w:r>
            <w:r w:rsidRPr="52510BFF">
              <w:rPr>
                <w:rFonts w:eastAsia="Calibri" w:cs="Arial"/>
              </w:rPr>
              <w:t xml:space="preserve"> from another state-funded early childhood program there is only one CSPP contractor.</w:t>
            </w:r>
          </w:p>
        </w:tc>
      </w:tr>
    </w:tbl>
    <w:p w14:paraId="0C453B29" w14:textId="77777777" w:rsidR="00670626" w:rsidRPr="00487516" w:rsidRDefault="00670626" w:rsidP="00A7284D">
      <w:pPr>
        <w:rPr>
          <w:rFonts w:cs="Arial"/>
          <w:sz w:val="20"/>
          <w:szCs w:val="20"/>
          <w:lang w:val="en"/>
        </w:rPr>
      </w:pPr>
    </w:p>
    <w:p w14:paraId="040FD51B" w14:textId="5EC0F8EA" w:rsidR="00487516" w:rsidRPr="0011000C" w:rsidRDefault="0017290B" w:rsidP="169AFD29">
      <w:pPr>
        <w:rPr>
          <w:rFonts w:cs="Arial"/>
        </w:rPr>
      </w:pPr>
      <w:r>
        <w:rPr>
          <w:rFonts w:cs="Arial"/>
          <w:lang w:val="en"/>
        </w:rPr>
        <w:t>September</w:t>
      </w:r>
      <w:r w:rsidR="7FDDC258" w:rsidRPr="169AFD29">
        <w:rPr>
          <w:rFonts w:cs="Arial"/>
          <w:lang w:val="en"/>
        </w:rPr>
        <w:t xml:space="preserve"> 2024</w:t>
      </w:r>
      <w:r w:rsidR="010561B2" w:rsidRPr="169AFD29">
        <w:rPr>
          <w:rFonts w:cs="Arial"/>
          <w:lang w:val="en"/>
        </w:rPr>
        <w:t xml:space="preserve"> [</w:t>
      </w:r>
      <w:r w:rsidR="03FAC19B" w:rsidRPr="169AFD29">
        <w:rPr>
          <w:rFonts w:cs="Arial"/>
          <w:lang w:val="en"/>
        </w:rPr>
        <w:t>California Department of Education</w:t>
      </w:r>
      <w:r w:rsidR="010561B2" w:rsidRPr="169AFD29">
        <w:rPr>
          <w:rFonts w:cs="Arial"/>
          <w:lang w:val="en"/>
        </w:rPr>
        <w:t>]</w:t>
      </w:r>
    </w:p>
    <w:sectPr w:rsidR="00487516" w:rsidRPr="0011000C" w:rsidSect="0037520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8C5B2" w14:textId="77777777" w:rsidR="007E093E" w:rsidRDefault="007E093E" w:rsidP="00670626">
      <w:r>
        <w:separator/>
      </w:r>
    </w:p>
  </w:endnote>
  <w:endnote w:type="continuationSeparator" w:id="0">
    <w:p w14:paraId="2C6C9320" w14:textId="77777777" w:rsidR="007E093E" w:rsidRDefault="007E093E" w:rsidP="0067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74714" w14:textId="77777777" w:rsidR="007E093E" w:rsidRDefault="007E093E" w:rsidP="00670626">
      <w:r>
        <w:separator/>
      </w:r>
    </w:p>
  </w:footnote>
  <w:footnote w:type="continuationSeparator" w:id="0">
    <w:p w14:paraId="5207F308" w14:textId="77777777" w:rsidR="007E093E" w:rsidRDefault="007E093E" w:rsidP="0067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45052"/>
    <w:multiLevelType w:val="multilevel"/>
    <w:tmpl w:val="1B2EF6C2"/>
    <w:lvl w:ilvl="0">
      <w:start w:val="1"/>
      <w:numFmt w:val="lowerLetter"/>
      <w:lvlText w:val="(%1)"/>
      <w:lvlJc w:val="left"/>
      <w:pPr>
        <w:ind w:left="81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8D97099"/>
    <w:multiLevelType w:val="hybridMultilevel"/>
    <w:tmpl w:val="E670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177C4"/>
    <w:multiLevelType w:val="multilevel"/>
    <w:tmpl w:val="4DF05EA4"/>
    <w:lvl w:ilvl="0">
      <w:start w:val="12"/>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3" w15:restartNumberingAfterBreak="0">
    <w:nsid w:val="283D6812"/>
    <w:multiLevelType w:val="hybridMultilevel"/>
    <w:tmpl w:val="A02A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60397"/>
    <w:multiLevelType w:val="multilevel"/>
    <w:tmpl w:val="C7D606A8"/>
    <w:lvl w:ilvl="0">
      <w:start w:val="8"/>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5" w15:restartNumberingAfterBreak="0">
    <w:nsid w:val="5BB33BC4"/>
    <w:multiLevelType w:val="hybridMultilevel"/>
    <w:tmpl w:val="00C6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753040">
    <w:abstractNumId w:val="9"/>
  </w:num>
  <w:num w:numId="2" w16cid:durableId="1314455945">
    <w:abstractNumId w:val="7"/>
  </w:num>
  <w:num w:numId="3" w16cid:durableId="725299910">
    <w:abstractNumId w:val="6"/>
  </w:num>
  <w:num w:numId="4" w16cid:durableId="736591472">
    <w:abstractNumId w:val="5"/>
  </w:num>
  <w:num w:numId="5" w16cid:durableId="254560897">
    <w:abstractNumId w:val="4"/>
  </w:num>
  <w:num w:numId="6" w16cid:durableId="1595237131">
    <w:abstractNumId w:val="8"/>
  </w:num>
  <w:num w:numId="7" w16cid:durableId="1015419174">
    <w:abstractNumId w:val="3"/>
  </w:num>
  <w:num w:numId="8" w16cid:durableId="1498885751">
    <w:abstractNumId w:val="2"/>
  </w:num>
  <w:num w:numId="9" w16cid:durableId="1444610543">
    <w:abstractNumId w:val="1"/>
  </w:num>
  <w:num w:numId="10" w16cid:durableId="206838517">
    <w:abstractNumId w:val="0"/>
  </w:num>
  <w:num w:numId="11" w16cid:durableId="1065647958">
    <w:abstractNumId w:val="10"/>
  </w:num>
  <w:num w:numId="12" w16cid:durableId="843520339">
    <w:abstractNumId w:val="14"/>
  </w:num>
  <w:num w:numId="13" w16cid:durableId="726995046">
    <w:abstractNumId w:val="12"/>
  </w:num>
  <w:num w:numId="14" w16cid:durableId="1732265254">
    <w:abstractNumId w:val="13"/>
  </w:num>
  <w:num w:numId="15" w16cid:durableId="1993216469">
    <w:abstractNumId w:val="15"/>
  </w:num>
  <w:num w:numId="16" w16cid:durableId="274558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MzNbY0NjAysDBW0lEKTi0uzszPAykwrAUAGoV6cywAAAA="/>
  </w:docVars>
  <w:rsids>
    <w:rsidRoot w:val="00670626"/>
    <w:rsid w:val="0000158F"/>
    <w:rsid w:val="00007D54"/>
    <w:rsid w:val="000560EB"/>
    <w:rsid w:val="000614EC"/>
    <w:rsid w:val="0008379F"/>
    <w:rsid w:val="000A51F0"/>
    <w:rsid w:val="000D1209"/>
    <w:rsid w:val="000E63D4"/>
    <w:rsid w:val="000F5BA3"/>
    <w:rsid w:val="000F7AF5"/>
    <w:rsid w:val="00103735"/>
    <w:rsid w:val="0011000C"/>
    <w:rsid w:val="001279CB"/>
    <w:rsid w:val="00147602"/>
    <w:rsid w:val="00161238"/>
    <w:rsid w:val="0017290B"/>
    <w:rsid w:val="00173D2D"/>
    <w:rsid w:val="0018084E"/>
    <w:rsid w:val="001875AA"/>
    <w:rsid w:val="00196E36"/>
    <w:rsid w:val="001979C7"/>
    <w:rsid w:val="001A0CA5"/>
    <w:rsid w:val="001A2430"/>
    <w:rsid w:val="001B593B"/>
    <w:rsid w:val="001C0BEC"/>
    <w:rsid w:val="001C2D98"/>
    <w:rsid w:val="001D5BC9"/>
    <w:rsid w:val="001D78FD"/>
    <w:rsid w:val="001E0EE7"/>
    <w:rsid w:val="001E16D3"/>
    <w:rsid w:val="001F3497"/>
    <w:rsid w:val="001F5980"/>
    <w:rsid w:val="001F6C90"/>
    <w:rsid w:val="00203276"/>
    <w:rsid w:val="00204444"/>
    <w:rsid w:val="002046C8"/>
    <w:rsid w:val="00213A1C"/>
    <w:rsid w:val="0022351D"/>
    <w:rsid w:val="00223F78"/>
    <w:rsid w:val="002276EE"/>
    <w:rsid w:val="002304B7"/>
    <w:rsid w:val="00237755"/>
    <w:rsid w:val="002534B6"/>
    <w:rsid w:val="00253A1F"/>
    <w:rsid w:val="00254AD1"/>
    <w:rsid w:val="0028551D"/>
    <w:rsid w:val="002A4645"/>
    <w:rsid w:val="002C3002"/>
    <w:rsid w:val="002E4CB5"/>
    <w:rsid w:val="002F2C92"/>
    <w:rsid w:val="003237D5"/>
    <w:rsid w:val="00324B97"/>
    <w:rsid w:val="003308DE"/>
    <w:rsid w:val="00336FCA"/>
    <w:rsid w:val="00351BA0"/>
    <w:rsid w:val="00362AE1"/>
    <w:rsid w:val="00375204"/>
    <w:rsid w:val="003846B0"/>
    <w:rsid w:val="003A74C7"/>
    <w:rsid w:val="003B2BF0"/>
    <w:rsid w:val="003B4B69"/>
    <w:rsid w:val="003C3A5F"/>
    <w:rsid w:val="003D430B"/>
    <w:rsid w:val="003E3C58"/>
    <w:rsid w:val="003F2044"/>
    <w:rsid w:val="003F31AC"/>
    <w:rsid w:val="0041097C"/>
    <w:rsid w:val="00412CA7"/>
    <w:rsid w:val="00417FA6"/>
    <w:rsid w:val="004301AE"/>
    <w:rsid w:val="00430734"/>
    <w:rsid w:val="00440FDC"/>
    <w:rsid w:val="004413B2"/>
    <w:rsid w:val="00461C05"/>
    <w:rsid w:val="00462A22"/>
    <w:rsid w:val="00464140"/>
    <w:rsid w:val="00464AE3"/>
    <w:rsid w:val="004843EC"/>
    <w:rsid w:val="00484B28"/>
    <w:rsid w:val="00484DBE"/>
    <w:rsid w:val="00487516"/>
    <w:rsid w:val="00487ED5"/>
    <w:rsid w:val="004B0084"/>
    <w:rsid w:val="004C66E2"/>
    <w:rsid w:val="004D58E8"/>
    <w:rsid w:val="004D6ADB"/>
    <w:rsid w:val="004E3748"/>
    <w:rsid w:val="004E5F0B"/>
    <w:rsid w:val="004E719D"/>
    <w:rsid w:val="004E7AC1"/>
    <w:rsid w:val="004F0CA2"/>
    <w:rsid w:val="004F343F"/>
    <w:rsid w:val="004F7555"/>
    <w:rsid w:val="00503BA0"/>
    <w:rsid w:val="00515AD8"/>
    <w:rsid w:val="005272C3"/>
    <w:rsid w:val="00534E0D"/>
    <w:rsid w:val="00534F20"/>
    <w:rsid w:val="0054497D"/>
    <w:rsid w:val="0055469C"/>
    <w:rsid w:val="00556941"/>
    <w:rsid w:val="005627E8"/>
    <w:rsid w:val="005807B5"/>
    <w:rsid w:val="005827CA"/>
    <w:rsid w:val="005A0FFC"/>
    <w:rsid w:val="005A766F"/>
    <w:rsid w:val="005B25E8"/>
    <w:rsid w:val="005B4665"/>
    <w:rsid w:val="005B5CBF"/>
    <w:rsid w:val="005C5B70"/>
    <w:rsid w:val="005E3D43"/>
    <w:rsid w:val="006201AA"/>
    <w:rsid w:val="00643344"/>
    <w:rsid w:val="00670626"/>
    <w:rsid w:val="00674ED0"/>
    <w:rsid w:val="00680852"/>
    <w:rsid w:val="00691D60"/>
    <w:rsid w:val="006A7696"/>
    <w:rsid w:val="006B65A7"/>
    <w:rsid w:val="006C555C"/>
    <w:rsid w:val="006D2601"/>
    <w:rsid w:val="006D662D"/>
    <w:rsid w:val="006F0909"/>
    <w:rsid w:val="007000DA"/>
    <w:rsid w:val="00711BCB"/>
    <w:rsid w:val="007302D3"/>
    <w:rsid w:val="007428B8"/>
    <w:rsid w:val="00743D27"/>
    <w:rsid w:val="00746AEB"/>
    <w:rsid w:val="00762201"/>
    <w:rsid w:val="007625BF"/>
    <w:rsid w:val="007C171D"/>
    <w:rsid w:val="007C2A68"/>
    <w:rsid w:val="007D206E"/>
    <w:rsid w:val="007E06D7"/>
    <w:rsid w:val="007E093E"/>
    <w:rsid w:val="007E5BF1"/>
    <w:rsid w:val="007E64ED"/>
    <w:rsid w:val="007E6F7D"/>
    <w:rsid w:val="007F5F3F"/>
    <w:rsid w:val="007F74D1"/>
    <w:rsid w:val="0081256C"/>
    <w:rsid w:val="00812A62"/>
    <w:rsid w:val="008340FD"/>
    <w:rsid w:val="00837BFB"/>
    <w:rsid w:val="00866820"/>
    <w:rsid w:val="00872F82"/>
    <w:rsid w:val="00874987"/>
    <w:rsid w:val="00875572"/>
    <w:rsid w:val="00877351"/>
    <w:rsid w:val="008810ED"/>
    <w:rsid w:val="00882CA0"/>
    <w:rsid w:val="0088721A"/>
    <w:rsid w:val="0089094C"/>
    <w:rsid w:val="008A596B"/>
    <w:rsid w:val="008B04F5"/>
    <w:rsid w:val="008C1178"/>
    <w:rsid w:val="008C5852"/>
    <w:rsid w:val="008E150D"/>
    <w:rsid w:val="008E4D20"/>
    <w:rsid w:val="00904E53"/>
    <w:rsid w:val="00905F82"/>
    <w:rsid w:val="0092216E"/>
    <w:rsid w:val="009304C2"/>
    <w:rsid w:val="009407BA"/>
    <w:rsid w:val="009552E8"/>
    <w:rsid w:val="0097152B"/>
    <w:rsid w:val="00982991"/>
    <w:rsid w:val="00985C28"/>
    <w:rsid w:val="009968C1"/>
    <w:rsid w:val="009A306C"/>
    <w:rsid w:val="009A36AC"/>
    <w:rsid w:val="009A3A18"/>
    <w:rsid w:val="009A68E5"/>
    <w:rsid w:val="009B3A5E"/>
    <w:rsid w:val="009B3E8C"/>
    <w:rsid w:val="009C568D"/>
    <w:rsid w:val="009C5888"/>
    <w:rsid w:val="009C70F5"/>
    <w:rsid w:val="009E26EA"/>
    <w:rsid w:val="009E55C0"/>
    <w:rsid w:val="009F12D7"/>
    <w:rsid w:val="00A00E1B"/>
    <w:rsid w:val="00A01431"/>
    <w:rsid w:val="00A070FD"/>
    <w:rsid w:val="00A07999"/>
    <w:rsid w:val="00A236B2"/>
    <w:rsid w:val="00A40BF5"/>
    <w:rsid w:val="00A422AC"/>
    <w:rsid w:val="00A462B6"/>
    <w:rsid w:val="00A47FA4"/>
    <w:rsid w:val="00A50426"/>
    <w:rsid w:val="00A522B2"/>
    <w:rsid w:val="00A52BBA"/>
    <w:rsid w:val="00A6295C"/>
    <w:rsid w:val="00A64CAC"/>
    <w:rsid w:val="00A7284D"/>
    <w:rsid w:val="00A83235"/>
    <w:rsid w:val="00A96179"/>
    <w:rsid w:val="00AB7A61"/>
    <w:rsid w:val="00AC4F43"/>
    <w:rsid w:val="00AC56C7"/>
    <w:rsid w:val="00AD4AC6"/>
    <w:rsid w:val="00AE0C8E"/>
    <w:rsid w:val="00AE2964"/>
    <w:rsid w:val="00AE3E23"/>
    <w:rsid w:val="00AF0211"/>
    <w:rsid w:val="00AF5771"/>
    <w:rsid w:val="00B25D9A"/>
    <w:rsid w:val="00B26230"/>
    <w:rsid w:val="00B26BDB"/>
    <w:rsid w:val="00B30B8A"/>
    <w:rsid w:val="00B36B26"/>
    <w:rsid w:val="00B41C1E"/>
    <w:rsid w:val="00B65F42"/>
    <w:rsid w:val="00B734D0"/>
    <w:rsid w:val="00B92AFC"/>
    <w:rsid w:val="00BA598B"/>
    <w:rsid w:val="00BB062A"/>
    <w:rsid w:val="00BB1847"/>
    <w:rsid w:val="00BC58D4"/>
    <w:rsid w:val="00BC76C9"/>
    <w:rsid w:val="00BD29FE"/>
    <w:rsid w:val="00BD3D13"/>
    <w:rsid w:val="00BD6A6D"/>
    <w:rsid w:val="00BE1AE5"/>
    <w:rsid w:val="00BE41D9"/>
    <w:rsid w:val="00BF453A"/>
    <w:rsid w:val="00C030BD"/>
    <w:rsid w:val="00C13F10"/>
    <w:rsid w:val="00C15069"/>
    <w:rsid w:val="00C210B1"/>
    <w:rsid w:val="00C21731"/>
    <w:rsid w:val="00C2278B"/>
    <w:rsid w:val="00C3779F"/>
    <w:rsid w:val="00C42F16"/>
    <w:rsid w:val="00C43319"/>
    <w:rsid w:val="00C64C72"/>
    <w:rsid w:val="00C71BB3"/>
    <w:rsid w:val="00C82975"/>
    <w:rsid w:val="00C921B0"/>
    <w:rsid w:val="00C97696"/>
    <w:rsid w:val="00CA0187"/>
    <w:rsid w:val="00CA6E47"/>
    <w:rsid w:val="00CB6664"/>
    <w:rsid w:val="00CC12D4"/>
    <w:rsid w:val="00CC5F83"/>
    <w:rsid w:val="00CC6D3F"/>
    <w:rsid w:val="00CC7C61"/>
    <w:rsid w:val="00CE20F9"/>
    <w:rsid w:val="00CE7493"/>
    <w:rsid w:val="00CF40B4"/>
    <w:rsid w:val="00D0080B"/>
    <w:rsid w:val="00D064CC"/>
    <w:rsid w:val="00D1050B"/>
    <w:rsid w:val="00D15074"/>
    <w:rsid w:val="00D415E0"/>
    <w:rsid w:val="00D41632"/>
    <w:rsid w:val="00D47DAB"/>
    <w:rsid w:val="00D564B2"/>
    <w:rsid w:val="00D73318"/>
    <w:rsid w:val="00DA52B3"/>
    <w:rsid w:val="00DC000E"/>
    <w:rsid w:val="00DC52B0"/>
    <w:rsid w:val="00DC6AE6"/>
    <w:rsid w:val="00DC774C"/>
    <w:rsid w:val="00DD4CE0"/>
    <w:rsid w:val="00DE4F3C"/>
    <w:rsid w:val="00E12BAB"/>
    <w:rsid w:val="00E253DA"/>
    <w:rsid w:val="00E26548"/>
    <w:rsid w:val="00E41C07"/>
    <w:rsid w:val="00E46237"/>
    <w:rsid w:val="00E634EC"/>
    <w:rsid w:val="00E70249"/>
    <w:rsid w:val="00E713DB"/>
    <w:rsid w:val="00E90B6F"/>
    <w:rsid w:val="00E92D56"/>
    <w:rsid w:val="00EA58D4"/>
    <w:rsid w:val="00ED03B8"/>
    <w:rsid w:val="00EE6A27"/>
    <w:rsid w:val="00EF735D"/>
    <w:rsid w:val="00F03978"/>
    <w:rsid w:val="00F20879"/>
    <w:rsid w:val="00F46741"/>
    <w:rsid w:val="00F53B7B"/>
    <w:rsid w:val="00F54C1D"/>
    <w:rsid w:val="00F623E1"/>
    <w:rsid w:val="00F66027"/>
    <w:rsid w:val="00F76F4E"/>
    <w:rsid w:val="00F86B9E"/>
    <w:rsid w:val="00FC7DC9"/>
    <w:rsid w:val="00FD707B"/>
    <w:rsid w:val="00FD7347"/>
    <w:rsid w:val="00FE3007"/>
    <w:rsid w:val="00FE4CAB"/>
    <w:rsid w:val="010561B2"/>
    <w:rsid w:val="016324D9"/>
    <w:rsid w:val="01AA74DB"/>
    <w:rsid w:val="031BAB45"/>
    <w:rsid w:val="03FAC19B"/>
    <w:rsid w:val="04AC522E"/>
    <w:rsid w:val="052F6DDA"/>
    <w:rsid w:val="05E322EB"/>
    <w:rsid w:val="061EF69E"/>
    <w:rsid w:val="063695FC"/>
    <w:rsid w:val="069027A6"/>
    <w:rsid w:val="080A6A35"/>
    <w:rsid w:val="081CE25A"/>
    <w:rsid w:val="085207F8"/>
    <w:rsid w:val="08AEC200"/>
    <w:rsid w:val="0B2AACC8"/>
    <w:rsid w:val="0BBE1275"/>
    <w:rsid w:val="0C2891ED"/>
    <w:rsid w:val="0C603E81"/>
    <w:rsid w:val="0D6F3D5F"/>
    <w:rsid w:val="0DDC8E7A"/>
    <w:rsid w:val="0DE0F802"/>
    <w:rsid w:val="0E82ED28"/>
    <w:rsid w:val="0E951CA3"/>
    <w:rsid w:val="0F33A6A0"/>
    <w:rsid w:val="0F3919C5"/>
    <w:rsid w:val="0F6F7FE0"/>
    <w:rsid w:val="0F7CC863"/>
    <w:rsid w:val="0F84210E"/>
    <w:rsid w:val="0FE4982B"/>
    <w:rsid w:val="101E332C"/>
    <w:rsid w:val="1027F43F"/>
    <w:rsid w:val="10785B3B"/>
    <w:rsid w:val="113FE9FA"/>
    <w:rsid w:val="1166B988"/>
    <w:rsid w:val="116A052D"/>
    <w:rsid w:val="1192C2BC"/>
    <w:rsid w:val="123CB23D"/>
    <w:rsid w:val="1305D58E"/>
    <w:rsid w:val="1316E82C"/>
    <w:rsid w:val="13F12E97"/>
    <w:rsid w:val="14041716"/>
    <w:rsid w:val="141A7B75"/>
    <w:rsid w:val="149D489E"/>
    <w:rsid w:val="15555919"/>
    <w:rsid w:val="158CFEF8"/>
    <w:rsid w:val="1619DF04"/>
    <w:rsid w:val="169AFD29"/>
    <w:rsid w:val="17DF0D46"/>
    <w:rsid w:val="18B37CA0"/>
    <w:rsid w:val="1AA69160"/>
    <w:rsid w:val="1ABF7B0A"/>
    <w:rsid w:val="1AE27F70"/>
    <w:rsid w:val="1B03DF02"/>
    <w:rsid w:val="1D020E3E"/>
    <w:rsid w:val="1D46B157"/>
    <w:rsid w:val="1DDDF36F"/>
    <w:rsid w:val="1E1C2F89"/>
    <w:rsid w:val="1E581D67"/>
    <w:rsid w:val="1E80A5E0"/>
    <w:rsid w:val="1EB520AE"/>
    <w:rsid w:val="1F6208C7"/>
    <w:rsid w:val="1F6EB181"/>
    <w:rsid w:val="20863260"/>
    <w:rsid w:val="208E7F05"/>
    <w:rsid w:val="2299A989"/>
    <w:rsid w:val="22E2F4DE"/>
    <w:rsid w:val="23CE0D4D"/>
    <w:rsid w:val="24387C44"/>
    <w:rsid w:val="2556D711"/>
    <w:rsid w:val="25817179"/>
    <w:rsid w:val="2583DA80"/>
    <w:rsid w:val="25F76A4C"/>
    <w:rsid w:val="2605B80A"/>
    <w:rsid w:val="26C8A786"/>
    <w:rsid w:val="2705AE0F"/>
    <w:rsid w:val="27AEF492"/>
    <w:rsid w:val="27D5D3BC"/>
    <w:rsid w:val="27F1837C"/>
    <w:rsid w:val="282A45B7"/>
    <w:rsid w:val="2832F9B0"/>
    <w:rsid w:val="2870D533"/>
    <w:rsid w:val="29A43B00"/>
    <w:rsid w:val="2A3D4ED1"/>
    <w:rsid w:val="2A8F81B9"/>
    <w:rsid w:val="2B0D747E"/>
    <w:rsid w:val="2B400B61"/>
    <w:rsid w:val="2C11D36D"/>
    <w:rsid w:val="2C5122C4"/>
    <w:rsid w:val="2C8700C0"/>
    <w:rsid w:val="2CDBDBC2"/>
    <w:rsid w:val="2D3EC148"/>
    <w:rsid w:val="2DDE0D4A"/>
    <w:rsid w:val="2F84472E"/>
    <w:rsid w:val="30137C84"/>
    <w:rsid w:val="3098A4BC"/>
    <w:rsid w:val="30AC9055"/>
    <w:rsid w:val="31FB6EE0"/>
    <w:rsid w:val="321C03FA"/>
    <w:rsid w:val="32CA1C1E"/>
    <w:rsid w:val="32F302C3"/>
    <w:rsid w:val="33133DE1"/>
    <w:rsid w:val="333C36D0"/>
    <w:rsid w:val="33E43117"/>
    <w:rsid w:val="3663B86D"/>
    <w:rsid w:val="367DC0C6"/>
    <w:rsid w:val="369C4B0C"/>
    <w:rsid w:val="374B43D6"/>
    <w:rsid w:val="37D96681"/>
    <w:rsid w:val="383EAA06"/>
    <w:rsid w:val="38766EDA"/>
    <w:rsid w:val="3885EE6D"/>
    <w:rsid w:val="38B1C0D8"/>
    <w:rsid w:val="38B37843"/>
    <w:rsid w:val="395891A6"/>
    <w:rsid w:val="398FB56D"/>
    <w:rsid w:val="3B827EF9"/>
    <w:rsid w:val="3BC10237"/>
    <w:rsid w:val="3C275ECF"/>
    <w:rsid w:val="3C306F0B"/>
    <w:rsid w:val="3C4D6FCC"/>
    <w:rsid w:val="3D576A30"/>
    <w:rsid w:val="3D6C099E"/>
    <w:rsid w:val="3D916C51"/>
    <w:rsid w:val="3E632690"/>
    <w:rsid w:val="3E8E3494"/>
    <w:rsid w:val="3F5EFF91"/>
    <w:rsid w:val="3F63D983"/>
    <w:rsid w:val="3FCA62F4"/>
    <w:rsid w:val="405A5E4E"/>
    <w:rsid w:val="406BFDCC"/>
    <w:rsid w:val="408FF8EE"/>
    <w:rsid w:val="419FC41A"/>
    <w:rsid w:val="422FD40E"/>
    <w:rsid w:val="423F7AC1"/>
    <w:rsid w:val="42C3392E"/>
    <w:rsid w:val="43462EFC"/>
    <w:rsid w:val="44E609AB"/>
    <w:rsid w:val="4598092D"/>
    <w:rsid w:val="4646AEEB"/>
    <w:rsid w:val="464CCF13"/>
    <w:rsid w:val="4710FD61"/>
    <w:rsid w:val="4735B932"/>
    <w:rsid w:val="47CCCFF1"/>
    <w:rsid w:val="48D18993"/>
    <w:rsid w:val="4916373E"/>
    <w:rsid w:val="492005F8"/>
    <w:rsid w:val="49ACC560"/>
    <w:rsid w:val="4A3D3964"/>
    <w:rsid w:val="4A4667DD"/>
    <w:rsid w:val="4A6B7A50"/>
    <w:rsid w:val="4A6D59F4"/>
    <w:rsid w:val="4A98132B"/>
    <w:rsid w:val="4B96E9B8"/>
    <w:rsid w:val="4BC4CA25"/>
    <w:rsid w:val="4C4C93A6"/>
    <w:rsid w:val="4C767203"/>
    <w:rsid w:val="4D22884C"/>
    <w:rsid w:val="4DDD8781"/>
    <w:rsid w:val="4E185E7D"/>
    <w:rsid w:val="4EDC94BD"/>
    <w:rsid w:val="4FAE12C5"/>
    <w:rsid w:val="500476C0"/>
    <w:rsid w:val="501D7ECC"/>
    <w:rsid w:val="504F5B68"/>
    <w:rsid w:val="509EB74A"/>
    <w:rsid w:val="50B53B9E"/>
    <w:rsid w:val="51038C06"/>
    <w:rsid w:val="5109B249"/>
    <w:rsid w:val="517BE5A2"/>
    <w:rsid w:val="52510BFF"/>
    <w:rsid w:val="52786BD9"/>
    <w:rsid w:val="52CF045E"/>
    <w:rsid w:val="546B7585"/>
    <w:rsid w:val="549F3401"/>
    <w:rsid w:val="54E6422A"/>
    <w:rsid w:val="551A255E"/>
    <w:rsid w:val="562D1A74"/>
    <w:rsid w:val="57116893"/>
    <w:rsid w:val="576A226A"/>
    <w:rsid w:val="57C8EAD5"/>
    <w:rsid w:val="57F9F84C"/>
    <w:rsid w:val="58D1B6C2"/>
    <w:rsid w:val="5990439F"/>
    <w:rsid w:val="59F73013"/>
    <w:rsid w:val="5A14B62A"/>
    <w:rsid w:val="5A991EFA"/>
    <w:rsid w:val="5C9F6ED3"/>
    <w:rsid w:val="5CA13196"/>
    <w:rsid w:val="5CC33A67"/>
    <w:rsid w:val="5CDDBE02"/>
    <w:rsid w:val="5CFC7E1A"/>
    <w:rsid w:val="5D673063"/>
    <w:rsid w:val="5D7AC9FF"/>
    <w:rsid w:val="5DA0167F"/>
    <w:rsid w:val="5ED235AD"/>
    <w:rsid w:val="5ED99AAA"/>
    <w:rsid w:val="5F0300C4"/>
    <w:rsid w:val="5F10A4C3"/>
    <w:rsid w:val="5F207B79"/>
    <w:rsid w:val="5F3BE6E0"/>
    <w:rsid w:val="5F724AF0"/>
    <w:rsid w:val="5F774A57"/>
    <w:rsid w:val="615F9569"/>
    <w:rsid w:val="61DBFD4E"/>
    <w:rsid w:val="632B460B"/>
    <w:rsid w:val="638BF051"/>
    <w:rsid w:val="63D671E7"/>
    <w:rsid w:val="6500553C"/>
    <w:rsid w:val="652FB3D1"/>
    <w:rsid w:val="66CB8432"/>
    <w:rsid w:val="66DD10C5"/>
    <w:rsid w:val="6711A112"/>
    <w:rsid w:val="674EE64B"/>
    <w:rsid w:val="683C9B5C"/>
    <w:rsid w:val="68EAB6AC"/>
    <w:rsid w:val="6988C27A"/>
    <w:rsid w:val="69D86BBD"/>
    <w:rsid w:val="69EDBCA0"/>
    <w:rsid w:val="6A310610"/>
    <w:rsid w:val="6A39B6DA"/>
    <w:rsid w:val="6A4528BF"/>
    <w:rsid w:val="6A70E87B"/>
    <w:rsid w:val="6AB6CF91"/>
    <w:rsid w:val="6BBD0675"/>
    <w:rsid w:val="6C22576E"/>
    <w:rsid w:val="6CF40554"/>
    <w:rsid w:val="6D7CC981"/>
    <w:rsid w:val="6D86816C"/>
    <w:rsid w:val="6DBE27CF"/>
    <w:rsid w:val="6DD55FC0"/>
    <w:rsid w:val="6DF41221"/>
    <w:rsid w:val="6E4ECF11"/>
    <w:rsid w:val="6E563DA9"/>
    <w:rsid w:val="6E711720"/>
    <w:rsid w:val="6E90FD18"/>
    <w:rsid w:val="6EB13D38"/>
    <w:rsid w:val="6ECC38F5"/>
    <w:rsid w:val="702E84E4"/>
    <w:rsid w:val="7052302C"/>
    <w:rsid w:val="70A04D3E"/>
    <w:rsid w:val="717BC26F"/>
    <w:rsid w:val="71F5DA94"/>
    <w:rsid w:val="72D6BCE2"/>
    <w:rsid w:val="735682DB"/>
    <w:rsid w:val="74E058A4"/>
    <w:rsid w:val="7508C05D"/>
    <w:rsid w:val="758A4C6A"/>
    <w:rsid w:val="764B2721"/>
    <w:rsid w:val="76721D29"/>
    <w:rsid w:val="769E40A9"/>
    <w:rsid w:val="7753FEA8"/>
    <w:rsid w:val="779A64CD"/>
    <w:rsid w:val="78686062"/>
    <w:rsid w:val="78AF498F"/>
    <w:rsid w:val="7923AEB0"/>
    <w:rsid w:val="79AEE025"/>
    <w:rsid w:val="7B43DE76"/>
    <w:rsid w:val="7B546940"/>
    <w:rsid w:val="7BA6A740"/>
    <w:rsid w:val="7C6515C2"/>
    <w:rsid w:val="7CAF3995"/>
    <w:rsid w:val="7CEB6A1A"/>
    <w:rsid w:val="7CF039A1"/>
    <w:rsid w:val="7D3BD185"/>
    <w:rsid w:val="7F61D580"/>
    <w:rsid w:val="7FDDC258"/>
    <w:rsid w:val="7FE58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CEA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E41C07"/>
    <w:pPr>
      <w:keepNext/>
      <w:keepLines/>
      <w:jc w:val="center"/>
      <w:outlineLvl w:val="0"/>
    </w:pPr>
    <w:rPr>
      <w:rFonts w:eastAsia="Calibri" w:cstheme="majorBidi"/>
      <w:b/>
      <w:szCs w:val="32"/>
    </w:rPr>
  </w:style>
  <w:style w:type="paragraph" w:styleId="Heading2">
    <w:name w:val="heading 2"/>
    <w:basedOn w:val="Normal"/>
    <w:next w:val="Normal"/>
    <w:link w:val="Heading2Char"/>
    <w:autoRedefine/>
    <w:uiPriority w:val="9"/>
    <w:unhideWhenUsed/>
    <w:qFormat/>
    <w:rsid w:val="00007D5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E4CAB"/>
    <w:pPr>
      <w:keepNext/>
      <w:keepLines/>
      <w:spacing w:before="240"/>
      <w:outlineLvl w:val="2"/>
    </w:pPr>
    <w:rPr>
      <w:rFonts w:eastAsiaTheme="majorEastAsia" w:cstheme="majorBidi"/>
      <w:i/>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07"/>
    <w:rPr>
      <w:rFonts w:ascii="Arial" w:eastAsia="Calibri" w:hAnsi="Arial" w:cstheme="majorBidi"/>
      <w:b/>
      <w:sz w:val="24"/>
      <w:szCs w:val="32"/>
    </w:rPr>
  </w:style>
  <w:style w:type="character" w:customStyle="1" w:styleId="Heading2Char">
    <w:name w:val="Heading 2 Char"/>
    <w:basedOn w:val="DefaultParagraphFont"/>
    <w:link w:val="Heading2"/>
    <w:uiPriority w:val="9"/>
    <w:rsid w:val="00007D5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E4CAB"/>
    <w:rPr>
      <w:rFonts w:ascii="Arial" w:eastAsiaTheme="majorEastAsia" w:hAnsi="Arial" w:cstheme="majorBidi"/>
      <w:i/>
      <w:sz w:val="24"/>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rsid w:val="00670626"/>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670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0626"/>
    <w:pPr>
      <w:tabs>
        <w:tab w:val="center" w:pos="4680"/>
        <w:tab w:val="right" w:pos="9360"/>
      </w:tabs>
    </w:pPr>
  </w:style>
  <w:style w:type="character" w:customStyle="1" w:styleId="FooterChar">
    <w:name w:val="Footer Char"/>
    <w:basedOn w:val="DefaultParagraphFont"/>
    <w:link w:val="Footer"/>
    <w:uiPriority w:val="99"/>
    <w:rsid w:val="00670626"/>
    <w:rPr>
      <w:rFonts w:ascii="Arial" w:eastAsia="Times New Roman" w:hAnsi="Arial" w:cs="Times New Roman"/>
      <w:sz w:val="24"/>
      <w:szCs w:val="24"/>
    </w:rPr>
  </w:style>
  <w:style w:type="character" w:customStyle="1" w:styleId="normaltextrun">
    <w:name w:val="normaltextrun"/>
    <w:basedOn w:val="DefaultParagraphFont"/>
    <w:rsid w:val="0008379F"/>
  </w:style>
  <w:style w:type="character" w:customStyle="1" w:styleId="eop">
    <w:name w:val="eop"/>
    <w:basedOn w:val="DefaultParagraphFont"/>
    <w:rsid w:val="0008379F"/>
  </w:style>
  <w:style w:type="paragraph" w:styleId="ListParagraph">
    <w:name w:val="List Paragraph"/>
    <w:basedOn w:val="Normal"/>
    <w:uiPriority w:val="34"/>
    <w:qFormat/>
    <w:rsid w:val="006201AA"/>
    <w:pPr>
      <w:ind w:left="720"/>
      <w:contextualSpacing/>
    </w:pPr>
  </w:style>
  <w:style w:type="character" w:styleId="CommentReference">
    <w:name w:val="annotation reference"/>
    <w:basedOn w:val="DefaultParagraphFont"/>
    <w:uiPriority w:val="99"/>
    <w:semiHidden/>
    <w:unhideWhenUsed/>
    <w:rsid w:val="00F86B9E"/>
    <w:rPr>
      <w:sz w:val="16"/>
      <w:szCs w:val="16"/>
    </w:rPr>
  </w:style>
  <w:style w:type="paragraph" w:styleId="CommentText">
    <w:name w:val="annotation text"/>
    <w:basedOn w:val="Normal"/>
    <w:link w:val="CommentTextChar"/>
    <w:uiPriority w:val="99"/>
    <w:unhideWhenUsed/>
    <w:rsid w:val="00F86B9E"/>
    <w:rPr>
      <w:sz w:val="20"/>
      <w:szCs w:val="20"/>
    </w:rPr>
  </w:style>
  <w:style w:type="character" w:customStyle="1" w:styleId="CommentTextChar">
    <w:name w:val="Comment Text Char"/>
    <w:basedOn w:val="DefaultParagraphFont"/>
    <w:link w:val="CommentText"/>
    <w:uiPriority w:val="99"/>
    <w:rsid w:val="00F86B9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B9E"/>
    <w:rPr>
      <w:b/>
      <w:bCs/>
    </w:rPr>
  </w:style>
  <w:style w:type="character" w:customStyle="1" w:styleId="CommentSubjectChar">
    <w:name w:val="Comment Subject Char"/>
    <w:basedOn w:val="CommentTextChar"/>
    <w:link w:val="CommentSubject"/>
    <w:uiPriority w:val="99"/>
    <w:semiHidden/>
    <w:rsid w:val="00F86B9E"/>
    <w:rPr>
      <w:rFonts w:ascii="Arial" w:eastAsia="Times New Roman" w:hAnsi="Arial" w:cs="Times New Roman"/>
      <w:b/>
      <w:bCs/>
      <w:sz w:val="20"/>
      <w:szCs w:val="20"/>
    </w:rPr>
  </w:style>
  <w:style w:type="table" w:styleId="TableGrid">
    <w:name w:val="Table Grid"/>
    <w:basedOn w:val="TableNormal"/>
    <w:uiPriority w:val="39"/>
    <w:rsid w:val="008C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2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45 Day Comment and Response Chart for CSPP - Proposed Rulemaking and Regulations (CA Dept of Education)</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Day Comment and Response Chart for CSPP - Proposed Rulemaking and Regulations (CA Dept of Education)</dc:title>
  <dc:subject>Chart of 45 Day Public Comments and Responses from the California Department of Education in Regards to the Amendments to the California Code of Regulations, Title 5, Regarding the California State Preschool Program.</dc:subject>
  <dc:creator/>
  <cp:keywords/>
  <dc:description/>
  <cp:lastModifiedBy/>
  <cp:revision>1</cp:revision>
  <dcterms:created xsi:type="dcterms:W3CDTF">2024-10-03T18:41:00Z</dcterms:created>
  <dcterms:modified xsi:type="dcterms:W3CDTF">2024-10-03T18:49:00Z</dcterms:modified>
</cp:coreProperties>
</file>