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A4" w:rsidRPr="00D364D7" w:rsidRDefault="009222A4" w:rsidP="009222A4">
      <w:pPr>
        <w:rPr>
          <w:rFonts w:cs="Arial"/>
        </w:rPr>
      </w:pPr>
      <w:r w:rsidRPr="00D364D7">
        <w:rPr>
          <w:rFonts w:cs="Arial"/>
        </w:rPr>
        <w:t>California Department of Education</w:t>
      </w:r>
    </w:p>
    <w:p w:rsidR="009222A4" w:rsidRPr="00D364D7" w:rsidRDefault="009222A4" w:rsidP="009222A4">
      <w:pPr>
        <w:rPr>
          <w:rFonts w:cs="Arial"/>
        </w:rPr>
      </w:pPr>
      <w:r>
        <w:rPr>
          <w:rFonts w:cs="Arial"/>
        </w:rPr>
        <w:t xml:space="preserve">School </w:t>
      </w:r>
      <w:r w:rsidRPr="00D364D7">
        <w:rPr>
          <w:rFonts w:cs="Arial"/>
        </w:rPr>
        <w:t>District Organization Handbook</w:t>
      </w:r>
    </w:p>
    <w:p w:rsidR="009222A4" w:rsidRPr="00D364D7" w:rsidRDefault="00F8143E" w:rsidP="009222A4">
      <w:pPr>
        <w:spacing w:after="480"/>
        <w:rPr>
          <w:rFonts w:cs="Arial"/>
        </w:rPr>
      </w:pPr>
      <w:r>
        <w:rPr>
          <w:rFonts w:cs="Arial"/>
        </w:rPr>
        <w:t>July 2021</w:t>
      </w:r>
    </w:p>
    <w:p w:rsidR="009222A4" w:rsidRPr="009222A4" w:rsidRDefault="009222A4" w:rsidP="009222A4">
      <w:pPr>
        <w:pStyle w:val="Heading1"/>
        <w:rPr>
          <w:sz w:val="40"/>
          <w:szCs w:val="40"/>
        </w:rPr>
      </w:pPr>
      <w:r w:rsidRPr="009222A4">
        <w:rPr>
          <w:sz w:val="40"/>
          <w:szCs w:val="40"/>
        </w:rPr>
        <w:t>APPENDIX G</w:t>
      </w:r>
      <w:r w:rsidRPr="009222A4">
        <w:rPr>
          <w:sz w:val="40"/>
          <w:szCs w:val="40"/>
        </w:rPr>
        <w:br/>
        <w:t>ENVIRONMENTAL INITIAL STUDY</w:t>
      </w:r>
      <w:r w:rsidRPr="009222A4">
        <w:rPr>
          <w:sz w:val="40"/>
          <w:szCs w:val="40"/>
        </w:rPr>
        <w:br/>
        <w:t>CHECKLIST FORM</w:t>
      </w:r>
    </w:p>
    <w:p w:rsidR="009222A4" w:rsidRDefault="009222A4" w:rsidP="009222A4">
      <w:pPr>
        <w:spacing w:after="120"/>
        <w:ind w:right="720"/>
        <w:rPr>
          <w:rFonts w:cs="Arial"/>
          <w:sz w:val="25"/>
          <w:szCs w:val="25"/>
        </w:rPr>
      </w:pPr>
      <w:r>
        <w:rPr>
          <w:rFonts w:cs="Arial"/>
          <w:sz w:val="25"/>
          <w:szCs w:val="25"/>
        </w:rPr>
        <w:t>Environmental</w:t>
      </w:r>
      <w:r w:rsidRPr="00A97D46">
        <w:rPr>
          <w:rFonts w:cs="Arial"/>
          <w:sz w:val="25"/>
          <w:szCs w:val="25"/>
        </w:rPr>
        <w:t xml:space="preserve"> </w:t>
      </w:r>
      <w:r>
        <w:rPr>
          <w:rFonts w:cs="Arial"/>
          <w:sz w:val="25"/>
          <w:szCs w:val="25"/>
        </w:rPr>
        <w:t xml:space="preserve">initial study checklist </w:t>
      </w:r>
      <w:r w:rsidRPr="00A97D46">
        <w:rPr>
          <w:rFonts w:cs="Arial"/>
          <w:sz w:val="25"/>
          <w:szCs w:val="25"/>
        </w:rPr>
        <w:t>forms are made available</w:t>
      </w:r>
      <w:r w:rsidRPr="00093DB5">
        <w:rPr>
          <w:rFonts w:cs="Arial"/>
          <w:sz w:val="25"/>
          <w:szCs w:val="25"/>
        </w:rPr>
        <w:t xml:space="preserve"> </w:t>
      </w:r>
      <w:r w:rsidR="00F8143E">
        <w:rPr>
          <w:sz w:val="25"/>
          <w:szCs w:val="25"/>
        </w:rPr>
        <w:t>in Appendix G of</w:t>
      </w:r>
      <w:r w:rsidRPr="00093DB5">
        <w:rPr>
          <w:sz w:val="25"/>
          <w:szCs w:val="25"/>
        </w:rPr>
        <w:t xml:space="preserve"> the </w:t>
      </w:r>
      <w:r w:rsidR="00F8143E">
        <w:rPr>
          <w:sz w:val="25"/>
          <w:szCs w:val="25"/>
        </w:rPr>
        <w:t>CEQA Statutes and Guidelines document at the California Natural Resources Agency</w:t>
      </w:r>
      <w:r w:rsidRPr="00A97D46">
        <w:rPr>
          <w:rFonts w:cs="Arial"/>
          <w:sz w:val="25"/>
          <w:szCs w:val="25"/>
        </w:rPr>
        <w:t xml:space="preserve"> </w:t>
      </w:r>
      <w:r>
        <w:rPr>
          <w:rFonts w:cs="Arial"/>
          <w:sz w:val="25"/>
          <w:szCs w:val="25"/>
        </w:rPr>
        <w:t>website:</w:t>
      </w:r>
    </w:p>
    <w:p w:rsidR="00F8143E" w:rsidRDefault="002005C5" w:rsidP="00F8143E">
      <w:pPr>
        <w:pStyle w:val="ChBdy"/>
        <w:spacing w:after="480" w:line="240" w:lineRule="auto"/>
        <w:ind w:left="0"/>
      </w:pPr>
      <w:hyperlink r:id="rId7" w:tooltip="CEQA Statutes and Guidelines document " w:history="1">
        <w:r w:rsidR="00F8143E" w:rsidRPr="008B4ACF">
          <w:rPr>
            <w:rStyle w:val="Hyperlink"/>
            <w:rFonts w:eastAsiaTheme="majorEastAsia"/>
          </w:rPr>
          <w:t>https://resources.ca.gov/-/media/CNRA-Website/Files/Programs-and-Projects/CEQA/CEQA-Homepage/2019_CEQA_Statutes_and_Guidelines.pdf</w:t>
        </w:r>
      </w:hyperlink>
    </w:p>
    <w:p w:rsidR="009222A4" w:rsidRDefault="009222A4" w:rsidP="009222A4">
      <w:pPr>
        <w:pStyle w:val="ChBdy"/>
        <w:spacing w:after="120" w:line="240" w:lineRule="auto"/>
        <w:ind w:left="0"/>
        <w:rPr>
          <w:rFonts w:cs="Arial"/>
          <w:sz w:val="25"/>
          <w:szCs w:val="25"/>
        </w:rPr>
      </w:pPr>
      <w:r>
        <w:rPr>
          <w:rFonts w:cs="Arial"/>
          <w:sz w:val="24"/>
          <w:szCs w:val="24"/>
        </w:rPr>
        <w:t xml:space="preserve">Information regarding CEQA documents and document submission may be found on the </w:t>
      </w:r>
      <w:r w:rsidRPr="00093DB5">
        <w:rPr>
          <w:sz w:val="25"/>
          <w:szCs w:val="25"/>
        </w:rPr>
        <w:t>Governor’s Office of Planning and Research</w:t>
      </w:r>
      <w:r w:rsidRPr="00A97D46">
        <w:rPr>
          <w:rFonts w:cs="Arial"/>
          <w:sz w:val="25"/>
          <w:szCs w:val="25"/>
        </w:rPr>
        <w:t xml:space="preserve"> </w:t>
      </w:r>
      <w:r>
        <w:rPr>
          <w:rFonts w:cs="Arial"/>
          <w:sz w:val="25"/>
          <w:szCs w:val="25"/>
        </w:rPr>
        <w:t xml:space="preserve">Web page </w:t>
      </w:r>
      <w:r w:rsidRPr="00A97D46">
        <w:rPr>
          <w:rFonts w:cs="Arial"/>
          <w:sz w:val="25"/>
          <w:szCs w:val="25"/>
        </w:rPr>
        <w:t>at</w:t>
      </w:r>
      <w:r>
        <w:rPr>
          <w:rFonts w:cs="Arial"/>
          <w:sz w:val="25"/>
          <w:szCs w:val="25"/>
        </w:rPr>
        <w:t>:</w:t>
      </w:r>
    </w:p>
    <w:p w:rsidR="009222A4" w:rsidRDefault="002005C5" w:rsidP="009222A4">
      <w:pPr>
        <w:spacing w:after="480"/>
        <w:rPr>
          <w:rFonts w:cs="Arial"/>
          <w:color w:val="1F497D"/>
        </w:rPr>
      </w:pPr>
      <w:hyperlink r:id="rId8" w:tooltip="Link to technical advisories on the Governor’s Office of Planning and Research website" w:history="1">
        <w:r w:rsidR="009222A4">
          <w:rPr>
            <w:rStyle w:val="Hyperlink"/>
            <w:rFonts w:cs="Arial"/>
          </w:rPr>
          <w:t>http://www.opr.ca.gov/ceqa/technical-advisories.html</w:t>
        </w:r>
      </w:hyperlink>
      <w:bookmarkStart w:id="0" w:name="_GoBack"/>
      <w:bookmarkEnd w:id="0"/>
    </w:p>
    <w:p w:rsidR="009222A4" w:rsidRPr="008F3F91" w:rsidRDefault="009222A4" w:rsidP="009222A4">
      <w:pPr>
        <w:spacing w:after="120"/>
        <w:rPr>
          <w:rFonts w:cs="Arial"/>
        </w:rPr>
      </w:pPr>
      <w:r w:rsidRPr="008F3F91">
        <w:rPr>
          <w:rFonts w:cs="Arial"/>
        </w:rPr>
        <w:t>NOTES:</w:t>
      </w:r>
    </w:p>
    <w:p w:rsidR="009222A4" w:rsidRPr="008F3F91" w:rsidRDefault="009222A4" w:rsidP="009222A4">
      <w:pPr>
        <w:spacing w:after="240"/>
        <w:rPr>
          <w:rFonts w:cs="Arial"/>
        </w:rPr>
      </w:pPr>
      <w:r w:rsidRPr="008F3F91">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cs="Arial"/>
          <w:i/>
        </w:rPr>
        <w:t>Education Code</w:t>
      </w:r>
      <w:r w:rsidRPr="008F3F91">
        <w:rPr>
          <w:rFonts w:cs="Arial"/>
        </w:rPr>
        <w:t xml:space="preserve"> Section 33308.5).</w:t>
      </w:r>
    </w:p>
    <w:p w:rsidR="009222A4" w:rsidRDefault="009222A4" w:rsidP="009222A4">
      <w:pPr>
        <w:spacing w:after="240"/>
        <w:rPr>
          <w:rFonts w:cs="Arial"/>
        </w:rPr>
      </w:pPr>
      <w:r w:rsidRPr="008F3F91">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9" w:tooltip="link to CDE copyright information" w:history="1">
        <w:r w:rsidRPr="008F3F91">
          <w:rPr>
            <w:rStyle w:val="Hyperlink"/>
            <w:rFonts w:cs="Arial"/>
          </w:rPr>
          <w:t>http://www.cde.ca.gov/re/di/cr/</w:t>
        </w:r>
      </w:hyperlink>
      <w:r w:rsidRPr="008F3F91">
        <w:rPr>
          <w:rFonts w:cs="Arial"/>
        </w:rPr>
        <w:t>.</w:t>
      </w:r>
    </w:p>
    <w:sectPr w:rsidR="009222A4" w:rsidSect="00F12E57">
      <w:footerReference w:type="default" r:id="rId10"/>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2A4" w:rsidRDefault="009222A4" w:rsidP="009222A4">
      <w:r>
        <w:separator/>
      </w:r>
    </w:p>
  </w:endnote>
  <w:endnote w:type="continuationSeparator" w:id="0">
    <w:p w:rsidR="009222A4" w:rsidRDefault="009222A4" w:rsidP="0092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0F" w:rsidRPr="002726A4" w:rsidRDefault="009222A4">
    <w:pPr>
      <w:pStyle w:val="Footer"/>
      <w:jc w:val="center"/>
      <w:rPr>
        <w:rFonts w:ascii="Arial" w:hAnsi="Arial" w:cs="Arial"/>
      </w:rPr>
    </w:pPr>
    <w:r>
      <w:rPr>
        <w:rFonts w:ascii="Arial" w:hAnsi="Arial" w:cs="Arial"/>
      </w:rPr>
      <w:t xml:space="preserve">Appendix </w:t>
    </w:r>
    <w:r w:rsidR="00FA2487" w:rsidRPr="002726A4">
      <w:rPr>
        <w:rFonts w:ascii="Arial" w:hAnsi="Arial" w:cs="Arial"/>
      </w:rPr>
      <w:t>G</w:t>
    </w:r>
    <w:r>
      <w:rPr>
        <w:rFonts w:ascii="Arial" w:hAnsi="Arial" w:cs="Arial"/>
      </w:rPr>
      <w:t xml:space="preserve">: Page </w:t>
    </w:r>
    <w:r>
      <w:rPr>
        <w:rStyle w:val="PageNumber"/>
        <w:rFonts w:ascii="Arial" w:eastAsiaTheme="majorEastAsia"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2A4" w:rsidRDefault="009222A4" w:rsidP="009222A4">
      <w:r>
        <w:separator/>
      </w:r>
    </w:p>
  </w:footnote>
  <w:footnote w:type="continuationSeparator" w:id="0">
    <w:p w:rsidR="009222A4" w:rsidRDefault="009222A4" w:rsidP="0092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A4"/>
    <w:rsid w:val="000F7AF5"/>
    <w:rsid w:val="00161238"/>
    <w:rsid w:val="001A0CA5"/>
    <w:rsid w:val="002005C5"/>
    <w:rsid w:val="00223F78"/>
    <w:rsid w:val="00254AD1"/>
    <w:rsid w:val="002677C2"/>
    <w:rsid w:val="002E4CB5"/>
    <w:rsid w:val="003F42F9"/>
    <w:rsid w:val="00422B9A"/>
    <w:rsid w:val="00430734"/>
    <w:rsid w:val="00484981"/>
    <w:rsid w:val="004D58E8"/>
    <w:rsid w:val="004E7AC1"/>
    <w:rsid w:val="005C5B70"/>
    <w:rsid w:val="007428B8"/>
    <w:rsid w:val="00750FA7"/>
    <w:rsid w:val="007E5BF1"/>
    <w:rsid w:val="007E64ED"/>
    <w:rsid w:val="007F5F3F"/>
    <w:rsid w:val="0081256C"/>
    <w:rsid w:val="008E4D20"/>
    <w:rsid w:val="009222A4"/>
    <w:rsid w:val="00985C28"/>
    <w:rsid w:val="009B3E8C"/>
    <w:rsid w:val="009C70F5"/>
    <w:rsid w:val="00AE0C8E"/>
    <w:rsid w:val="00AF0211"/>
    <w:rsid w:val="00B52072"/>
    <w:rsid w:val="00BB1847"/>
    <w:rsid w:val="00BC76C9"/>
    <w:rsid w:val="00C21731"/>
    <w:rsid w:val="00C82975"/>
    <w:rsid w:val="00CA6E47"/>
    <w:rsid w:val="00CB6664"/>
    <w:rsid w:val="00D15074"/>
    <w:rsid w:val="00D41632"/>
    <w:rsid w:val="00D47DAB"/>
    <w:rsid w:val="00DA52B3"/>
    <w:rsid w:val="00DC52B0"/>
    <w:rsid w:val="00DC6AE6"/>
    <w:rsid w:val="00DC774C"/>
    <w:rsid w:val="00E634EC"/>
    <w:rsid w:val="00E90B6F"/>
    <w:rsid w:val="00EA58D4"/>
    <w:rsid w:val="00F27083"/>
    <w:rsid w:val="00F8143E"/>
    <w:rsid w:val="00FA2487"/>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03D5-594F-475A-A4E3-910E0163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2A4"/>
    <w:pPr>
      <w:tabs>
        <w:tab w:val="left" w:pos="720"/>
      </w:tabs>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tabs>
        <w:tab w:val="clear" w:pos="720"/>
      </w:tabs>
      <w:autoSpaceDE/>
      <w:autoSpaceDN/>
      <w:adjustRightInd/>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C82975"/>
    <w:pPr>
      <w:keepNext/>
      <w:keepLines/>
      <w:tabs>
        <w:tab w:val="clear" w:pos="720"/>
      </w:tabs>
      <w:autoSpaceDE/>
      <w:autoSpaceDN/>
      <w:adjustRightInd/>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tabs>
        <w:tab w:val="clear" w:pos="720"/>
      </w:tabs>
      <w:autoSpaceDE/>
      <w:autoSpaceDN/>
      <w:adjustRightInd/>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tabs>
        <w:tab w:val="clear" w:pos="720"/>
      </w:tabs>
      <w:autoSpaceDE/>
      <w:autoSpaceDN/>
      <w:adjustRightInd/>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tabs>
        <w:tab w:val="clear" w:pos="720"/>
      </w:tabs>
      <w:autoSpaceDE/>
      <w:autoSpaceDN/>
      <w:adjustRightInd/>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tabs>
        <w:tab w:val="clear" w:pos="720"/>
      </w:tabs>
      <w:autoSpaceDE/>
      <w:autoSpaceDN/>
      <w:adjustRightInd/>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tabs>
        <w:tab w:val="clear" w:pos="720"/>
      </w:tabs>
      <w:autoSpaceDE/>
      <w:autoSpaceDN/>
      <w:adjustRightInd/>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tabs>
        <w:tab w:val="clear" w:pos="720"/>
      </w:tabs>
      <w:autoSpaceDE/>
      <w:autoSpaceDN/>
      <w:adjustRightInd/>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tabs>
        <w:tab w:val="clear" w:pos="720"/>
      </w:tabs>
      <w:autoSpaceDE/>
      <w:autoSpaceDN/>
      <w:adjustRightInd/>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tabs>
        <w:tab w:val="clear" w:pos="720"/>
      </w:tabs>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9222A4"/>
    <w:pPr>
      <w:tabs>
        <w:tab w:val="center" w:pos="4320"/>
        <w:tab w:val="right" w:pos="8640"/>
      </w:tabs>
    </w:pPr>
    <w:rPr>
      <w:rFonts w:ascii="Courier New" w:hAnsi="Courier New" w:cs="Courier New"/>
    </w:rPr>
  </w:style>
  <w:style w:type="character" w:customStyle="1" w:styleId="FooterChar">
    <w:name w:val="Footer Char"/>
    <w:basedOn w:val="DefaultParagraphFont"/>
    <w:link w:val="Footer"/>
    <w:rsid w:val="009222A4"/>
    <w:rPr>
      <w:rFonts w:ascii="Courier New" w:eastAsia="Times New Roman" w:hAnsi="Courier New" w:cs="Courier New"/>
      <w:sz w:val="24"/>
      <w:szCs w:val="24"/>
    </w:rPr>
  </w:style>
  <w:style w:type="character" w:styleId="PageNumber">
    <w:name w:val="page number"/>
    <w:basedOn w:val="DefaultParagraphFont"/>
    <w:rsid w:val="009222A4"/>
  </w:style>
  <w:style w:type="paragraph" w:customStyle="1" w:styleId="ChBdy">
    <w:name w:val="Ch Bdy"/>
    <w:basedOn w:val="Normal"/>
    <w:rsid w:val="009222A4"/>
    <w:pPr>
      <w:tabs>
        <w:tab w:val="clear" w:pos="720"/>
      </w:tabs>
      <w:spacing w:line="360" w:lineRule="exact"/>
      <w:ind w:left="480"/>
    </w:pPr>
    <w:rPr>
      <w:sz w:val="26"/>
      <w:szCs w:val="26"/>
    </w:rPr>
  </w:style>
  <w:style w:type="character" w:styleId="FollowedHyperlink">
    <w:name w:val="FollowedHyperlink"/>
    <w:basedOn w:val="DefaultParagraphFont"/>
    <w:uiPriority w:val="99"/>
    <w:semiHidden/>
    <w:unhideWhenUsed/>
    <w:rsid w:val="009222A4"/>
    <w:rPr>
      <w:color w:val="954F72" w:themeColor="followedHyperlink"/>
      <w:u w:val="single"/>
    </w:rPr>
  </w:style>
  <w:style w:type="paragraph" w:styleId="Header">
    <w:name w:val="header"/>
    <w:basedOn w:val="Normal"/>
    <w:link w:val="HeaderChar"/>
    <w:uiPriority w:val="99"/>
    <w:unhideWhenUsed/>
    <w:rsid w:val="009222A4"/>
    <w:pPr>
      <w:tabs>
        <w:tab w:val="clear" w:pos="720"/>
        <w:tab w:val="center" w:pos="4680"/>
        <w:tab w:val="right" w:pos="9360"/>
      </w:tabs>
    </w:pPr>
  </w:style>
  <w:style w:type="character" w:customStyle="1" w:styleId="HeaderChar">
    <w:name w:val="Header Char"/>
    <w:basedOn w:val="DefaultParagraphFont"/>
    <w:link w:val="Header"/>
    <w:uiPriority w:val="99"/>
    <w:rsid w:val="009222A4"/>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r.ca.gov/ceqa/technical-advisories.html" TargetMode="External"/><Relationship Id="rId3" Type="http://schemas.openxmlformats.org/officeDocument/2006/relationships/settings" Target="settings.xml"/><Relationship Id="rId7" Type="http://schemas.openxmlformats.org/officeDocument/2006/relationships/hyperlink" Target="https://resources.ca.gov/-/media/CNRA-Website/Files/Programs-and-Projects/CEQA/CEQA-Homepage/2019_CEQA_Statutes_and_Guidelin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de.ca.gov/re/d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District Organization Manual--Appendix G - District Organization (CA Dept of Education)</vt:lpstr>
    </vt:vector>
  </TitlesOfParts>
  <Company>CA Department of Education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G - District Organization (CA Dept of Education)</dc:title>
  <dc:subject>Environmental Initial Study checklist form.</dc:subject>
  <dc:creator>Larry Shirey</dc:creator>
  <cp:keywords>appendix g, organization, handbook, legal, procedures, district, reorg, reorganization, environmental study</cp:keywords>
  <dc:description/>
  <cp:lastModifiedBy>Larry Shirey</cp:lastModifiedBy>
  <cp:revision>10</cp:revision>
  <cp:lastPrinted>2017-12-08T22:18:00Z</cp:lastPrinted>
  <dcterms:created xsi:type="dcterms:W3CDTF">2019-02-13T21:43:00Z</dcterms:created>
  <dcterms:modified xsi:type="dcterms:W3CDTF">2021-07-26T18:05:00Z</dcterms:modified>
</cp:coreProperties>
</file>