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40B" w:rsidRPr="00FF1EFA" w:rsidRDefault="00FC240B" w:rsidP="00FC240B">
      <w:pPr>
        <w:rPr>
          <w:rFonts w:ascii="Arial" w:hAnsi="Arial" w:cs="Arial"/>
          <w:sz w:val="24"/>
          <w:szCs w:val="24"/>
        </w:rPr>
      </w:pPr>
      <w:r w:rsidRPr="00FF1EFA">
        <w:rPr>
          <w:rFonts w:ascii="Arial" w:hAnsi="Arial" w:cs="Arial"/>
          <w:sz w:val="24"/>
          <w:szCs w:val="24"/>
        </w:rPr>
        <w:t>California Department of Education</w:t>
      </w:r>
    </w:p>
    <w:p w:rsidR="00FC240B" w:rsidRPr="00FF1EFA" w:rsidRDefault="00FC240B" w:rsidP="00FC240B">
      <w:pPr>
        <w:rPr>
          <w:rFonts w:ascii="Arial" w:hAnsi="Arial" w:cs="Arial"/>
          <w:sz w:val="24"/>
          <w:szCs w:val="24"/>
        </w:rPr>
      </w:pPr>
      <w:r>
        <w:rPr>
          <w:rFonts w:ascii="Arial" w:hAnsi="Arial" w:cs="Arial"/>
          <w:sz w:val="24"/>
          <w:szCs w:val="24"/>
        </w:rPr>
        <w:t xml:space="preserve">School </w:t>
      </w:r>
      <w:r w:rsidRPr="00FF1EFA">
        <w:rPr>
          <w:rFonts w:ascii="Arial" w:hAnsi="Arial" w:cs="Arial"/>
          <w:sz w:val="24"/>
          <w:szCs w:val="24"/>
        </w:rPr>
        <w:t>District Organization Handbook</w:t>
      </w:r>
    </w:p>
    <w:p w:rsidR="00FC240B" w:rsidRPr="00FF1EFA" w:rsidRDefault="00746B7E" w:rsidP="00FC240B">
      <w:pPr>
        <w:spacing w:after="480" w:line="240" w:lineRule="auto"/>
        <w:rPr>
          <w:rFonts w:ascii="Arial" w:hAnsi="Arial" w:cs="Arial"/>
          <w:sz w:val="24"/>
          <w:szCs w:val="24"/>
        </w:rPr>
      </w:pPr>
      <w:r>
        <w:rPr>
          <w:rFonts w:ascii="Arial" w:hAnsi="Arial" w:cs="Arial"/>
          <w:sz w:val="24"/>
          <w:szCs w:val="24"/>
        </w:rPr>
        <w:t>July</w:t>
      </w:r>
      <w:r w:rsidR="00B64940">
        <w:rPr>
          <w:rFonts w:ascii="Arial" w:hAnsi="Arial" w:cs="Arial"/>
          <w:sz w:val="24"/>
          <w:szCs w:val="24"/>
        </w:rPr>
        <w:t xml:space="preserve"> 20</w:t>
      </w:r>
      <w:r>
        <w:rPr>
          <w:rFonts w:ascii="Arial" w:hAnsi="Arial" w:cs="Arial"/>
          <w:sz w:val="24"/>
          <w:szCs w:val="24"/>
        </w:rPr>
        <w:t>21</w:t>
      </w:r>
    </w:p>
    <w:p w:rsidR="00FC240B" w:rsidRPr="00FC240B" w:rsidRDefault="00FC240B" w:rsidP="00FC240B">
      <w:pPr>
        <w:pStyle w:val="Heading1"/>
        <w:rPr>
          <w:sz w:val="40"/>
          <w:szCs w:val="40"/>
        </w:rPr>
      </w:pPr>
      <w:r w:rsidRPr="00FC240B">
        <w:rPr>
          <w:sz w:val="40"/>
          <w:szCs w:val="40"/>
        </w:rPr>
        <w:t>APPENDIX H</w:t>
      </w:r>
      <w:r w:rsidRPr="00FC240B">
        <w:rPr>
          <w:sz w:val="40"/>
          <w:szCs w:val="40"/>
        </w:rPr>
        <w:br/>
        <w:t>CALIFORNIA ENVIRONMENTAL QUALITY ACT PROCESS</w:t>
      </w:r>
    </w:p>
    <w:p w:rsidR="00FC240B" w:rsidRDefault="00FC240B" w:rsidP="00FC240B">
      <w:pPr>
        <w:spacing w:after="120" w:line="240" w:lineRule="auto"/>
        <w:ind w:right="720"/>
        <w:rPr>
          <w:rFonts w:ascii="Arial" w:hAnsi="Arial" w:cs="Arial"/>
          <w:sz w:val="25"/>
          <w:szCs w:val="25"/>
        </w:rPr>
      </w:pPr>
      <w:r w:rsidRPr="00A97D46">
        <w:rPr>
          <w:rFonts w:ascii="Arial" w:hAnsi="Arial" w:cs="Arial"/>
          <w:sz w:val="25"/>
          <w:szCs w:val="25"/>
        </w:rPr>
        <w:t xml:space="preserve">Information about </w:t>
      </w:r>
      <w:r>
        <w:rPr>
          <w:rFonts w:ascii="Arial" w:hAnsi="Arial" w:cs="Arial"/>
          <w:sz w:val="25"/>
          <w:szCs w:val="25"/>
        </w:rPr>
        <w:t>the California Environmental Quality Act (</w:t>
      </w:r>
      <w:r w:rsidRPr="00A97D46">
        <w:rPr>
          <w:rFonts w:ascii="Arial" w:hAnsi="Arial" w:cs="Arial"/>
          <w:sz w:val="25"/>
          <w:szCs w:val="25"/>
        </w:rPr>
        <w:t>CEQA</w:t>
      </w:r>
      <w:r>
        <w:rPr>
          <w:rFonts w:ascii="Arial" w:hAnsi="Arial" w:cs="Arial"/>
          <w:sz w:val="25"/>
          <w:szCs w:val="25"/>
        </w:rPr>
        <w:t xml:space="preserve">), including statute and guidelines </w:t>
      </w:r>
      <w:r w:rsidRPr="00A97D46">
        <w:rPr>
          <w:rFonts w:ascii="Arial" w:hAnsi="Arial" w:cs="Arial"/>
          <w:sz w:val="25"/>
          <w:szCs w:val="25"/>
        </w:rPr>
        <w:t>can be found on the Internet</w:t>
      </w:r>
      <w:r>
        <w:rPr>
          <w:rFonts w:ascii="Arial" w:hAnsi="Arial" w:cs="Arial"/>
          <w:sz w:val="25"/>
          <w:szCs w:val="25"/>
        </w:rPr>
        <w:t xml:space="preserve">, courtesy </w:t>
      </w:r>
      <w:r w:rsidRPr="005A1209">
        <w:rPr>
          <w:rFonts w:ascii="Arial" w:hAnsi="Arial" w:cs="Arial"/>
          <w:sz w:val="24"/>
          <w:szCs w:val="24"/>
          <w:lang w:val="en"/>
        </w:rPr>
        <w:t>of the</w:t>
      </w:r>
      <w:r w:rsidRPr="005A1209">
        <w:rPr>
          <w:rFonts w:ascii="Arial" w:hAnsi="Arial" w:cs="Arial"/>
          <w:sz w:val="19"/>
          <w:szCs w:val="19"/>
          <w:lang w:val="en"/>
        </w:rPr>
        <w:t xml:space="preserve"> </w:t>
      </w:r>
      <w:r w:rsidRPr="005A1209">
        <w:rPr>
          <w:rFonts w:ascii="Arial" w:hAnsi="Arial" w:cs="Arial"/>
          <w:sz w:val="24"/>
          <w:szCs w:val="24"/>
          <w:lang w:val="en"/>
        </w:rPr>
        <w:t>California Natural Resources Agency</w:t>
      </w:r>
      <w:r>
        <w:rPr>
          <w:rFonts w:ascii="Arial" w:hAnsi="Arial" w:cs="Arial"/>
          <w:sz w:val="24"/>
          <w:szCs w:val="24"/>
          <w:lang w:val="en"/>
        </w:rPr>
        <w:t xml:space="preserve"> </w:t>
      </w:r>
      <w:r>
        <w:rPr>
          <w:rFonts w:ascii="Arial" w:hAnsi="Arial" w:cs="Arial"/>
          <w:sz w:val="25"/>
          <w:szCs w:val="25"/>
        </w:rPr>
        <w:t>at:</w:t>
      </w:r>
    </w:p>
    <w:p w:rsidR="00FC240B" w:rsidRPr="00746B7E" w:rsidRDefault="00746B7E" w:rsidP="00FC240B">
      <w:pPr>
        <w:spacing w:after="480" w:line="240" w:lineRule="auto"/>
        <w:rPr>
          <w:rFonts w:ascii="Arial" w:hAnsi="Arial" w:cs="Arial"/>
          <w:sz w:val="24"/>
          <w:szCs w:val="24"/>
        </w:rPr>
      </w:pPr>
      <w:hyperlink r:id="rId7" w:tooltip="Supplemental CEQA information from the California Natural Resources Agency" w:history="1">
        <w:r w:rsidRPr="00746B7E">
          <w:rPr>
            <w:rStyle w:val="Hyperlink"/>
            <w:rFonts w:ascii="Arial" w:eastAsiaTheme="majorEastAsia" w:hAnsi="Arial" w:cs="Arial"/>
            <w:sz w:val="24"/>
            <w:szCs w:val="24"/>
          </w:rPr>
          <w:t>https://resources.ca.gov/admin/Legal/CEQA-Supplemental-Documents</w:t>
        </w:r>
      </w:hyperlink>
      <w:r w:rsidRPr="00746B7E">
        <w:rPr>
          <w:rStyle w:val="Hyperlink"/>
          <w:rFonts w:ascii="Arial" w:hAnsi="Arial" w:cs="Arial"/>
          <w:sz w:val="24"/>
          <w:szCs w:val="24"/>
        </w:rPr>
        <w:t xml:space="preserve"> </w:t>
      </w:r>
    </w:p>
    <w:p w:rsidR="00746B7E" w:rsidRDefault="00FC240B" w:rsidP="00FC240B">
      <w:pPr>
        <w:pStyle w:val="ChBdy"/>
        <w:spacing w:after="120" w:line="240" w:lineRule="auto"/>
        <w:ind w:left="0" w:right="720"/>
        <w:rPr>
          <w:rFonts w:cs="Arial"/>
          <w:sz w:val="24"/>
          <w:szCs w:val="24"/>
        </w:rPr>
      </w:pPr>
      <w:r>
        <w:rPr>
          <w:rFonts w:cs="Arial"/>
          <w:sz w:val="24"/>
          <w:szCs w:val="24"/>
        </w:rPr>
        <w:t>A helpful flowchart for the CEQA process</w:t>
      </w:r>
      <w:r w:rsidR="00746B7E">
        <w:rPr>
          <w:rFonts w:cs="Arial"/>
          <w:sz w:val="24"/>
          <w:szCs w:val="24"/>
        </w:rPr>
        <w:t xml:space="preserve"> is available at:</w:t>
      </w:r>
      <w:bookmarkStart w:id="0" w:name="_GoBack"/>
      <w:bookmarkEnd w:id="0"/>
    </w:p>
    <w:p w:rsidR="00746B7E" w:rsidRPr="00746B7E" w:rsidRDefault="00746B7E" w:rsidP="00C75FB9">
      <w:pPr>
        <w:spacing w:after="240"/>
        <w:rPr>
          <w:rFonts w:ascii="Arial" w:hAnsi="Arial" w:cs="Arial"/>
          <w:sz w:val="24"/>
          <w:szCs w:val="24"/>
        </w:rPr>
      </w:pPr>
      <w:hyperlink r:id="rId8" w:tooltip="Flowchart of CEQA process" w:history="1">
        <w:r w:rsidRPr="00746B7E">
          <w:rPr>
            <w:rStyle w:val="Hyperlink"/>
            <w:rFonts w:ascii="Arial" w:eastAsiaTheme="majorEastAsia" w:hAnsi="Arial" w:cs="Arial"/>
            <w:sz w:val="24"/>
            <w:szCs w:val="24"/>
          </w:rPr>
          <w:t>https://www.califaep.o</w:t>
        </w:r>
        <w:r w:rsidRPr="00746B7E">
          <w:rPr>
            <w:rStyle w:val="Hyperlink"/>
            <w:rFonts w:ascii="Arial" w:eastAsiaTheme="majorEastAsia" w:hAnsi="Arial" w:cs="Arial"/>
            <w:sz w:val="24"/>
            <w:szCs w:val="24"/>
          </w:rPr>
          <w:t>rg/ceqa_flowchart.php</w:t>
        </w:r>
      </w:hyperlink>
      <w:r>
        <w:rPr>
          <w:rFonts w:ascii="Arial" w:hAnsi="Arial" w:cs="Arial"/>
          <w:sz w:val="24"/>
          <w:szCs w:val="24"/>
        </w:rPr>
        <w:t>;</w:t>
      </w:r>
    </w:p>
    <w:p w:rsidR="00FC240B" w:rsidRDefault="00746B7E" w:rsidP="00FC240B">
      <w:pPr>
        <w:pStyle w:val="ChBdy"/>
        <w:spacing w:after="120" w:line="240" w:lineRule="auto"/>
        <w:ind w:left="0" w:right="720"/>
        <w:rPr>
          <w:rFonts w:cs="Arial"/>
          <w:sz w:val="24"/>
          <w:szCs w:val="24"/>
        </w:rPr>
      </w:pPr>
      <w:r>
        <w:rPr>
          <w:rFonts w:cs="Arial"/>
          <w:sz w:val="24"/>
          <w:szCs w:val="24"/>
        </w:rPr>
        <w:t xml:space="preserve">or, in </w:t>
      </w:r>
      <w:r>
        <w:rPr>
          <w:sz w:val="25"/>
          <w:szCs w:val="25"/>
        </w:rPr>
        <w:t xml:space="preserve">Appendix </w:t>
      </w:r>
      <w:r>
        <w:rPr>
          <w:sz w:val="25"/>
          <w:szCs w:val="25"/>
        </w:rPr>
        <w:t>A</w:t>
      </w:r>
      <w:r>
        <w:rPr>
          <w:sz w:val="25"/>
          <w:szCs w:val="25"/>
        </w:rPr>
        <w:t xml:space="preserve"> of</w:t>
      </w:r>
      <w:r w:rsidRPr="00093DB5">
        <w:rPr>
          <w:sz w:val="25"/>
          <w:szCs w:val="25"/>
        </w:rPr>
        <w:t xml:space="preserve"> the </w:t>
      </w:r>
      <w:r>
        <w:rPr>
          <w:sz w:val="25"/>
          <w:szCs w:val="25"/>
        </w:rPr>
        <w:t>CEQA Statutes and Guidelines document at the California Natural Resources Agency</w:t>
      </w:r>
      <w:r w:rsidRPr="00A97D46">
        <w:rPr>
          <w:rFonts w:cs="Arial"/>
          <w:sz w:val="25"/>
          <w:szCs w:val="25"/>
        </w:rPr>
        <w:t xml:space="preserve"> </w:t>
      </w:r>
      <w:r>
        <w:rPr>
          <w:rFonts w:cs="Arial"/>
          <w:sz w:val="25"/>
          <w:szCs w:val="25"/>
        </w:rPr>
        <w:t>website:</w:t>
      </w:r>
    </w:p>
    <w:p w:rsidR="00746B7E" w:rsidRDefault="00746B7E" w:rsidP="00746B7E">
      <w:pPr>
        <w:pStyle w:val="ChBdy"/>
        <w:spacing w:after="480" w:line="240" w:lineRule="auto"/>
        <w:ind w:left="0"/>
      </w:pPr>
      <w:hyperlink r:id="rId9" w:tooltip="CEQA Statutes and Guidelines document " w:history="1">
        <w:r w:rsidRPr="008B4ACF">
          <w:rPr>
            <w:rStyle w:val="Hyperlink"/>
            <w:rFonts w:eastAsiaTheme="majorEastAsia"/>
          </w:rPr>
          <w:t>https://resources.ca.gov/-/media/CNRA-Website/Files/Programs-and-Projects/CEQA/CEQA-H</w:t>
        </w:r>
        <w:r w:rsidRPr="008B4ACF">
          <w:rPr>
            <w:rStyle w:val="Hyperlink"/>
            <w:rFonts w:eastAsiaTheme="majorEastAsia"/>
          </w:rPr>
          <w:t>omepage/2019_CEQA_Statutes_and_Guidelines.pdf</w:t>
        </w:r>
      </w:hyperlink>
    </w:p>
    <w:p w:rsidR="00FC240B" w:rsidRDefault="00FC240B" w:rsidP="00FC240B">
      <w:pPr>
        <w:pStyle w:val="ChBdy"/>
        <w:spacing w:after="120" w:line="240" w:lineRule="auto"/>
        <w:ind w:left="0"/>
        <w:rPr>
          <w:rFonts w:cs="Arial"/>
          <w:sz w:val="24"/>
          <w:szCs w:val="24"/>
        </w:rPr>
      </w:pPr>
      <w:r>
        <w:rPr>
          <w:rFonts w:cs="Arial"/>
          <w:sz w:val="24"/>
          <w:szCs w:val="24"/>
        </w:rPr>
        <w:t xml:space="preserve">The California </w:t>
      </w:r>
      <w:r w:rsidRPr="005E128B">
        <w:rPr>
          <w:rFonts w:cs="Arial"/>
          <w:i/>
          <w:sz w:val="24"/>
          <w:szCs w:val="24"/>
        </w:rPr>
        <w:t>Public Resources Code</w:t>
      </w:r>
      <w:r>
        <w:rPr>
          <w:rFonts w:cs="Arial"/>
          <w:sz w:val="24"/>
          <w:szCs w:val="24"/>
        </w:rPr>
        <w:t xml:space="preserve"> and the </w:t>
      </w:r>
      <w:r w:rsidRPr="005E128B">
        <w:rPr>
          <w:rFonts w:cs="Arial"/>
          <w:i/>
          <w:sz w:val="24"/>
          <w:szCs w:val="24"/>
        </w:rPr>
        <w:t>California Code of Regulations</w:t>
      </w:r>
      <w:r>
        <w:rPr>
          <w:rFonts w:cs="Arial"/>
          <w:sz w:val="24"/>
          <w:szCs w:val="24"/>
        </w:rPr>
        <w:t xml:space="preserve"> (Title 14, Division 6, Chapter 3) provide the statute and regulations that govern the CEQA process. These resources can be accessed through the California Laws &amp; Codes Web site maintained by the California Department of Education at:</w:t>
      </w:r>
    </w:p>
    <w:p w:rsidR="00FC240B" w:rsidRDefault="00C75FB9" w:rsidP="00FC240B">
      <w:pPr>
        <w:pStyle w:val="ChBdy"/>
        <w:spacing w:after="480" w:line="240" w:lineRule="auto"/>
        <w:ind w:left="0"/>
        <w:rPr>
          <w:rFonts w:cs="Arial"/>
          <w:sz w:val="24"/>
          <w:szCs w:val="24"/>
        </w:rPr>
      </w:pPr>
      <w:hyperlink r:id="rId10" w:tooltip="Link to California Laws &amp; Codes webpage on the California Department of Education website" w:history="1">
        <w:r w:rsidR="00FC240B" w:rsidRPr="00295298">
          <w:rPr>
            <w:rStyle w:val="Hyperlink"/>
            <w:rFonts w:cs="Arial"/>
            <w:sz w:val="24"/>
            <w:szCs w:val="24"/>
          </w:rPr>
          <w:t>http://w</w:t>
        </w:r>
        <w:r w:rsidR="00FC240B" w:rsidRPr="00295298">
          <w:rPr>
            <w:rStyle w:val="Hyperlink"/>
            <w:rFonts w:cs="Arial"/>
            <w:sz w:val="24"/>
            <w:szCs w:val="24"/>
          </w:rPr>
          <w:t>ww.cde.ca.gov/re/lr/cl/</w:t>
        </w:r>
      </w:hyperlink>
    </w:p>
    <w:p w:rsidR="00FC240B" w:rsidRPr="008F3F91" w:rsidRDefault="00FC240B" w:rsidP="00FC240B">
      <w:pPr>
        <w:spacing w:after="120" w:line="240" w:lineRule="auto"/>
        <w:rPr>
          <w:rFonts w:ascii="Arial" w:hAnsi="Arial" w:cs="Arial"/>
          <w:sz w:val="24"/>
          <w:szCs w:val="24"/>
        </w:rPr>
      </w:pPr>
      <w:r w:rsidRPr="008F3F91">
        <w:rPr>
          <w:rFonts w:ascii="Arial" w:hAnsi="Arial" w:cs="Arial"/>
          <w:sz w:val="24"/>
          <w:szCs w:val="24"/>
        </w:rPr>
        <w:t>NOTES:</w:t>
      </w:r>
    </w:p>
    <w:p w:rsidR="00FC240B" w:rsidRPr="008F3F91" w:rsidRDefault="00FC240B" w:rsidP="00FC240B">
      <w:pPr>
        <w:spacing w:after="240" w:line="240" w:lineRule="auto"/>
        <w:rPr>
          <w:rFonts w:ascii="Arial" w:hAnsi="Arial" w:cs="Arial"/>
          <w:sz w:val="24"/>
          <w:szCs w:val="24"/>
        </w:rPr>
      </w:pPr>
      <w:r w:rsidRPr="008F3F91">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ascii="Arial" w:hAnsi="Arial" w:cs="Arial"/>
          <w:i/>
          <w:sz w:val="24"/>
          <w:szCs w:val="24"/>
        </w:rPr>
        <w:t>Education Code</w:t>
      </w:r>
      <w:r w:rsidRPr="008F3F91">
        <w:rPr>
          <w:rFonts w:ascii="Arial" w:hAnsi="Arial" w:cs="Arial"/>
          <w:sz w:val="24"/>
          <w:szCs w:val="24"/>
        </w:rPr>
        <w:t xml:space="preserve"> Section 33308.5).</w:t>
      </w:r>
    </w:p>
    <w:p w:rsidR="00FC240B" w:rsidRDefault="00FC240B" w:rsidP="00FC240B">
      <w:pPr>
        <w:spacing w:after="240" w:line="240" w:lineRule="auto"/>
        <w:rPr>
          <w:rFonts w:ascii="Arial" w:hAnsi="Arial" w:cs="Arial"/>
          <w:sz w:val="24"/>
          <w:szCs w:val="24"/>
        </w:rPr>
      </w:pPr>
      <w:r w:rsidRPr="008F3F91">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11" w:tooltip="link to CDE copyright information" w:history="1">
        <w:r w:rsidRPr="008F3F91">
          <w:rPr>
            <w:rStyle w:val="Hyperlink"/>
            <w:rFonts w:ascii="Arial" w:hAnsi="Arial" w:cs="Arial"/>
            <w:sz w:val="24"/>
            <w:szCs w:val="24"/>
          </w:rPr>
          <w:t>http://www.cde.ca.gov/re/di/cr/</w:t>
        </w:r>
      </w:hyperlink>
      <w:r w:rsidRPr="008F3F91">
        <w:rPr>
          <w:rFonts w:ascii="Arial" w:hAnsi="Arial" w:cs="Arial"/>
          <w:sz w:val="24"/>
          <w:szCs w:val="24"/>
        </w:rPr>
        <w:t>.</w:t>
      </w:r>
    </w:p>
    <w:sectPr w:rsidR="00FC240B" w:rsidSect="00A97D46">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40B" w:rsidRDefault="00FC240B" w:rsidP="00FC240B">
      <w:pPr>
        <w:spacing w:line="240" w:lineRule="auto"/>
      </w:pPr>
      <w:r>
        <w:separator/>
      </w:r>
    </w:p>
  </w:endnote>
  <w:endnote w:type="continuationSeparator" w:id="0">
    <w:p w:rsidR="00FC240B" w:rsidRDefault="00FC240B" w:rsidP="00FC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429" w:rsidRPr="00E1776C" w:rsidRDefault="00FC240B">
    <w:pPr>
      <w:pStyle w:val="Footer"/>
      <w:jc w:val="center"/>
      <w:rPr>
        <w:rFonts w:ascii="Arial" w:hAnsi="Arial" w:cs="Arial"/>
        <w:sz w:val="24"/>
        <w:szCs w:val="24"/>
      </w:rPr>
    </w:pPr>
    <w:r>
      <w:rPr>
        <w:rFonts w:ascii="Arial" w:hAnsi="Arial" w:cs="Arial"/>
        <w:sz w:val="24"/>
        <w:szCs w:val="24"/>
      </w:rPr>
      <w:t xml:space="preserve">Appendix </w:t>
    </w:r>
    <w:r w:rsidRPr="00E1776C">
      <w:rPr>
        <w:rFonts w:ascii="Arial" w:hAnsi="Arial" w:cs="Arial"/>
        <w:sz w:val="24"/>
        <w:szCs w:val="24"/>
      </w:rPr>
      <w:t>H</w:t>
    </w:r>
    <w:r>
      <w:rPr>
        <w:rFonts w:ascii="Arial" w:hAnsi="Arial" w:cs="Arial"/>
        <w:sz w:val="24"/>
        <w:szCs w:val="24"/>
      </w:rPr>
      <w:t>: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40B" w:rsidRDefault="00FC240B" w:rsidP="00FC240B">
      <w:pPr>
        <w:spacing w:line="240" w:lineRule="auto"/>
      </w:pPr>
      <w:r>
        <w:separator/>
      </w:r>
    </w:p>
  </w:footnote>
  <w:footnote w:type="continuationSeparator" w:id="0">
    <w:p w:rsidR="00FC240B" w:rsidRDefault="00FC240B" w:rsidP="00FC2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0B"/>
    <w:rsid w:val="000F7AF5"/>
    <w:rsid w:val="00161238"/>
    <w:rsid w:val="001A0CA5"/>
    <w:rsid w:val="00223F78"/>
    <w:rsid w:val="00254AD1"/>
    <w:rsid w:val="002E4CB5"/>
    <w:rsid w:val="00430734"/>
    <w:rsid w:val="004C6E0F"/>
    <w:rsid w:val="004D58E8"/>
    <w:rsid w:val="004E7AC1"/>
    <w:rsid w:val="005C5B70"/>
    <w:rsid w:val="007428B8"/>
    <w:rsid w:val="00746B7E"/>
    <w:rsid w:val="007E5BF1"/>
    <w:rsid w:val="007E64ED"/>
    <w:rsid w:val="007F5F3F"/>
    <w:rsid w:val="0081256C"/>
    <w:rsid w:val="008E4D20"/>
    <w:rsid w:val="00985C28"/>
    <w:rsid w:val="009B3E8C"/>
    <w:rsid w:val="009C70F5"/>
    <w:rsid w:val="00A61C3E"/>
    <w:rsid w:val="00AE0C8E"/>
    <w:rsid w:val="00AF0211"/>
    <w:rsid w:val="00B64940"/>
    <w:rsid w:val="00BB1847"/>
    <w:rsid w:val="00BC76C9"/>
    <w:rsid w:val="00C21731"/>
    <w:rsid w:val="00C75FB9"/>
    <w:rsid w:val="00C82975"/>
    <w:rsid w:val="00CA6E47"/>
    <w:rsid w:val="00CB6664"/>
    <w:rsid w:val="00D15074"/>
    <w:rsid w:val="00D4115B"/>
    <w:rsid w:val="00D41632"/>
    <w:rsid w:val="00D47DAB"/>
    <w:rsid w:val="00DA52B3"/>
    <w:rsid w:val="00DC52B0"/>
    <w:rsid w:val="00DC6AE6"/>
    <w:rsid w:val="00DC774C"/>
    <w:rsid w:val="00DE6070"/>
    <w:rsid w:val="00E634EC"/>
    <w:rsid w:val="00E739C7"/>
    <w:rsid w:val="00E90B6F"/>
    <w:rsid w:val="00EA58D4"/>
    <w:rsid w:val="00FC240B"/>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9F34"/>
  <w15:chartTrackingRefBased/>
  <w15:docId w15:val="{8B60E4B4-5717-4CD2-8691-DE0A2B7D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40B"/>
    <w:pPr>
      <w:autoSpaceDE w:val="0"/>
      <w:autoSpaceDN w:val="0"/>
      <w:adjustRightInd w:val="0"/>
      <w:spacing w:after="0" w:line="300" w:lineRule="exact"/>
    </w:pPr>
    <w:rPr>
      <w:rFonts w:ascii="Times" w:eastAsia="Times New Roman" w:hAnsi="Times" w:cs="Times"/>
    </w:rPr>
  </w:style>
  <w:style w:type="paragraph" w:styleId="Heading1">
    <w:name w:val="heading 1"/>
    <w:basedOn w:val="Normal"/>
    <w:next w:val="Normal"/>
    <w:link w:val="Heading1Char"/>
    <w:qFormat/>
    <w:rsid w:val="00C82975"/>
    <w:pPr>
      <w:keepNext/>
      <w:keepLines/>
      <w:autoSpaceDE/>
      <w:autoSpaceDN/>
      <w:adjustRightInd/>
      <w:spacing w:before="240" w:after="240" w:line="24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C82975"/>
    <w:pPr>
      <w:keepNext/>
      <w:keepLines/>
      <w:autoSpaceDE/>
      <w:autoSpaceDN/>
      <w:adjustRightInd/>
      <w:spacing w:before="240" w:after="24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line="240" w:lineRule="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line="240" w:lineRule="auto"/>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line="240" w:lineRule="auto"/>
      <w:outlineLvl w:val="4"/>
    </w:pPr>
    <w:rPr>
      <w:rFonts w:ascii="Arial" w:eastAsiaTheme="majorEastAsia" w:hAnsi="Arial" w:cstheme="majorBidi"/>
      <w:i/>
      <w:sz w:val="28"/>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line="240" w:lineRule="auto"/>
      <w:outlineLvl w:val="5"/>
    </w:pPr>
    <w:rPr>
      <w:rFonts w:ascii="Arial" w:eastAsiaTheme="majorEastAsia" w:hAnsi="Arial" w:cstheme="majorBidi"/>
      <w:b/>
      <w:sz w:val="24"/>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line="240" w:lineRule="auto"/>
      <w:outlineLvl w:val="6"/>
    </w:pPr>
    <w:rPr>
      <w:rFonts w:ascii="Arial" w:eastAsiaTheme="majorEastAsia" w:hAnsi="Arial" w:cstheme="majorBidi"/>
      <w:i/>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line="240" w:lineRule="auto"/>
    </w:pPr>
    <w:rPr>
      <w:rFonts w:ascii="Arial" w:eastAsiaTheme="minorEastAsia" w:hAnsi="Arial" w:cstheme="minorBidi"/>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FC240B"/>
    <w:pPr>
      <w:tabs>
        <w:tab w:val="center" w:pos="4320"/>
        <w:tab w:val="right" w:pos="8640"/>
      </w:tabs>
    </w:pPr>
    <w:rPr>
      <w:rFonts w:ascii="Courier New" w:hAnsi="Courier New" w:cs="Courier New"/>
    </w:rPr>
  </w:style>
  <w:style w:type="character" w:customStyle="1" w:styleId="FooterChar">
    <w:name w:val="Footer Char"/>
    <w:basedOn w:val="DefaultParagraphFont"/>
    <w:link w:val="Footer"/>
    <w:rsid w:val="00FC240B"/>
    <w:rPr>
      <w:rFonts w:ascii="Courier New" w:eastAsia="Times New Roman" w:hAnsi="Courier New" w:cs="Courier New"/>
    </w:rPr>
  </w:style>
  <w:style w:type="character" w:styleId="PageNumber">
    <w:name w:val="page number"/>
    <w:basedOn w:val="DefaultParagraphFont"/>
    <w:rsid w:val="00FC240B"/>
  </w:style>
  <w:style w:type="paragraph" w:customStyle="1" w:styleId="ChBdy">
    <w:name w:val="Ch Bdy"/>
    <w:basedOn w:val="Normal"/>
    <w:rsid w:val="00FC240B"/>
    <w:pPr>
      <w:spacing w:line="360" w:lineRule="exact"/>
      <w:ind w:left="480"/>
    </w:pPr>
    <w:rPr>
      <w:rFonts w:ascii="Arial" w:hAnsi="Arial"/>
      <w:sz w:val="26"/>
      <w:szCs w:val="26"/>
    </w:rPr>
  </w:style>
  <w:style w:type="character" w:styleId="FollowedHyperlink">
    <w:name w:val="FollowedHyperlink"/>
    <w:basedOn w:val="DefaultParagraphFont"/>
    <w:uiPriority w:val="99"/>
    <w:semiHidden/>
    <w:unhideWhenUsed/>
    <w:rsid w:val="00FC240B"/>
    <w:rPr>
      <w:color w:val="954F72" w:themeColor="followedHyperlink"/>
      <w:u w:val="single"/>
    </w:rPr>
  </w:style>
  <w:style w:type="paragraph" w:styleId="Header">
    <w:name w:val="header"/>
    <w:basedOn w:val="Normal"/>
    <w:link w:val="HeaderChar"/>
    <w:uiPriority w:val="99"/>
    <w:unhideWhenUsed/>
    <w:rsid w:val="00FC240B"/>
    <w:pPr>
      <w:tabs>
        <w:tab w:val="center" w:pos="4680"/>
        <w:tab w:val="right" w:pos="9360"/>
      </w:tabs>
      <w:spacing w:line="240" w:lineRule="auto"/>
    </w:pPr>
  </w:style>
  <w:style w:type="character" w:customStyle="1" w:styleId="HeaderChar">
    <w:name w:val="Header Char"/>
    <w:basedOn w:val="DefaultParagraphFont"/>
    <w:link w:val="Header"/>
    <w:uiPriority w:val="99"/>
    <w:rsid w:val="00FC240B"/>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ifaep.org/ceqa_flowchar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ca.gov/admin/Legal/CEQA-Supplemental-Docu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ca.gov/re/di/cr/" TargetMode="External"/><Relationship Id="rId5" Type="http://schemas.openxmlformats.org/officeDocument/2006/relationships/footnotes" Target="footnotes.xml"/><Relationship Id="rId10" Type="http://schemas.openxmlformats.org/officeDocument/2006/relationships/hyperlink" Target="http://www.cde.ca.gov/re/lr/cl/" TargetMode="External"/><Relationship Id="rId4" Type="http://schemas.openxmlformats.org/officeDocument/2006/relationships/webSettings" Target="webSettings.xml"/><Relationship Id="rId9" Type="http://schemas.openxmlformats.org/officeDocument/2006/relationships/hyperlink" Target="https://resources.ca.gov/-/media/CNRA-Website/Files/Programs-and-Projects/CEQA/CEQA-Homepage/2019_CEQA_Statutes_and_Guide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District Organization Manual--Appendix H - District Organization (CA Dept of Education)</vt:lpstr>
    </vt:vector>
  </TitlesOfParts>
  <Company>CA Department of Education</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H - District Organization (CA Dept of Education)</dc:title>
  <dc:subject>California Environmental Quality Act process.</dc:subject>
  <dc:creator>Larry Shirey</dc:creator>
  <cp:keywords>appendix h, organization, handbook, legal, procedures, district, reorg, reorganization, CEQA process</cp:keywords>
  <dc:description/>
  <cp:lastModifiedBy>Larry Shirey</cp:lastModifiedBy>
  <cp:revision>9</cp:revision>
  <cp:lastPrinted>2017-12-08T22:18:00Z</cp:lastPrinted>
  <dcterms:created xsi:type="dcterms:W3CDTF">2019-02-13T21:52:00Z</dcterms:created>
  <dcterms:modified xsi:type="dcterms:W3CDTF">2021-07-26T18:05:00Z</dcterms:modified>
</cp:coreProperties>
</file>