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734D52A5" w:rsidR="0042468E" w:rsidRPr="00E45539" w:rsidRDefault="0042468E" w:rsidP="00E45539">
      <w:pPr>
        <w:pStyle w:val="Heading1"/>
      </w:pPr>
      <w:bookmarkStart w:id="10" w:name="_Toc69999593"/>
      <w:bookmarkStart w:id="11" w:name="_Toc70604860"/>
      <w:bookmarkStart w:id="12" w:name="_Toc70615916"/>
      <w:bookmarkStart w:id="13" w:name="_Toc70673785"/>
      <w:bookmarkStart w:id="14" w:name="_Toc71878172"/>
      <w:bookmarkStart w:id="15" w:name="_Toc71879808"/>
      <w:r w:rsidRPr="00E45539">
        <w:t xml:space="preserve">The Federal Update for </w:t>
      </w:r>
      <w:bookmarkEnd w:id="10"/>
      <w:bookmarkEnd w:id="11"/>
      <w:bookmarkEnd w:id="12"/>
      <w:bookmarkEnd w:id="13"/>
      <w:bookmarkEnd w:id="14"/>
      <w:bookmarkEnd w:id="15"/>
      <w:r w:rsidR="009471B1" w:rsidRPr="00E45539">
        <w:t xml:space="preserve">January </w:t>
      </w:r>
      <w:r w:rsidR="00BE29DF" w:rsidRPr="00E45539">
        <w:t>6</w:t>
      </w:r>
      <w:r w:rsidR="005D3FF9" w:rsidRPr="00E45539">
        <w:t>, 202</w:t>
      </w:r>
      <w:r w:rsidR="009471B1" w:rsidRPr="00E45539">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9D3B185" w:rsidR="0063135C" w:rsidRDefault="00D0389C" w:rsidP="009B424F">
      <w:pPr>
        <w:pStyle w:val="MessageHeader"/>
        <w:spacing w:after="240"/>
      </w:pPr>
      <w:r>
        <w:t>Date:</w:t>
      </w:r>
      <w:r>
        <w:tab/>
      </w:r>
      <w:r w:rsidR="009471B1">
        <w:t xml:space="preserve">January </w:t>
      </w:r>
      <w:r w:rsidR="00BE29DF">
        <w:t>6</w:t>
      </w:r>
      <w:r w:rsidR="009471B1">
        <w:t>, 2023</w:t>
      </w:r>
    </w:p>
    <w:p w14:paraId="0C8C1785" w14:textId="2A3CBA0F" w:rsidR="00212192"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3823153" w:history="1">
        <w:r w:rsidR="00212192" w:rsidRPr="00992686">
          <w:rPr>
            <w:rStyle w:val="Hyperlink"/>
          </w:rPr>
          <w:t>Legislation and Guidance</w:t>
        </w:r>
        <w:r w:rsidR="00212192">
          <w:rPr>
            <w:webHidden/>
          </w:rPr>
          <w:tab/>
        </w:r>
        <w:r w:rsidR="00212192">
          <w:rPr>
            <w:webHidden/>
          </w:rPr>
          <w:fldChar w:fldCharType="begin"/>
        </w:r>
        <w:r w:rsidR="00212192">
          <w:rPr>
            <w:webHidden/>
          </w:rPr>
          <w:instrText xml:space="preserve"> PAGEREF _Toc123823153 \h </w:instrText>
        </w:r>
        <w:r w:rsidR="00212192">
          <w:rPr>
            <w:webHidden/>
          </w:rPr>
        </w:r>
        <w:r w:rsidR="00212192">
          <w:rPr>
            <w:webHidden/>
          </w:rPr>
          <w:fldChar w:fldCharType="separate"/>
        </w:r>
        <w:r w:rsidR="00212192">
          <w:rPr>
            <w:webHidden/>
          </w:rPr>
          <w:t>1</w:t>
        </w:r>
        <w:r w:rsidR="00212192">
          <w:rPr>
            <w:webHidden/>
          </w:rPr>
          <w:fldChar w:fldCharType="end"/>
        </w:r>
      </w:hyperlink>
    </w:p>
    <w:p w14:paraId="756F0435" w14:textId="0FFEA9BF" w:rsidR="00212192" w:rsidRDefault="00000000">
      <w:pPr>
        <w:pStyle w:val="TOC3"/>
        <w:rPr>
          <w:rFonts w:asciiTheme="minorHAnsi" w:eastAsiaTheme="minorEastAsia" w:hAnsiTheme="minorHAnsi" w:cstheme="minorBidi"/>
          <w:b w:val="0"/>
          <w:sz w:val="22"/>
          <w:szCs w:val="22"/>
        </w:rPr>
      </w:pPr>
      <w:hyperlink w:anchor="_Toc123823154" w:history="1">
        <w:r w:rsidR="00212192" w:rsidRPr="00992686">
          <w:rPr>
            <w:rStyle w:val="Hyperlink"/>
          </w:rPr>
          <w:t>Congress Passes $1.7 Trillion Spending Bill</w:t>
        </w:r>
        <w:r w:rsidR="00212192">
          <w:rPr>
            <w:webHidden/>
          </w:rPr>
          <w:tab/>
        </w:r>
        <w:r w:rsidR="00212192">
          <w:rPr>
            <w:webHidden/>
          </w:rPr>
          <w:fldChar w:fldCharType="begin"/>
        </w:r>
        <w:r w:rsidR="00212192">
          <w:rPr>
            <w:webHidden/>
          </w:rPr>
          <w:instrText xml:space="preserve"> PAGEREF _Toc123823154 \h </w:instrText>
        </w:r>
        <w:r w:rsidR="00212192">
          <w:rPr>
            <w:webHidden/>
          </w:rPr>
        </w:r>
        <w:r w:rsidR="00212192">
          <w:rPr>
            <w:webHidden/>
          </w:rPr>
          <w:fldChar w:fldCharType="separate"/>
        </w:r>
        <w:r w:rsidR="00212192">
          <w:rPr>
            <w:webHidden/>
          </w:rPr>
          <w:t>1</w:t>
        </w:r>
        <w:r w:rsidR="00212192">
          <w:rPr>
            <w:webHidden/>
          </w:rPr>
          <w:fldChar w:fldCharType="end"/>
        </w:r>
      </w:hyperlink>
    </w:p>
    <w:p w14:paraId="3F015C9D" w14:textId="79F17424" w:rsidR="00212192" w:rsidRDefault="00000000">
      <w:pPr>
        <w:pStyle w:val="TOC3"/>
        <w:rPr>
          <w:rFonts w:asciiTheme="minorHAnsi" w:eastAsiaTheme="minorEastAsia" w:hAnsiTheme="minorHAnsi" w:cstheme="minorBidi"/>
          <w:b w:val="0"/>
          <w:sz w:val="22"/>
          <w:szCs w:val="22"/>
        </w:rPr>
      </w:pPr>
      <w:hyperlink w:anchor="_Toc123823155" w:history="1">
        <w:r w:rsidR="00212192" w:rsidRPr="00992686">
          <w:rPr>
            <w:rStyle w:val="Hyperlink"/>
          </w:rPr>
          <w:t>New Congress Off to a Rocky Start</w:t>
        </w:r>
        <w:r w:rsidR="00212192">
          <w:rPr>
            <w:webHidden/>
          </w:rPr>
          <w:tab/>
        </w:r>
        <w:r w:rsidR="00212192">
          <w:rPr>
            <w:webHidden/>
          </w:rPr>
          <w:fldChar w:fldCharType="begin"/>
        </w:r>
        <w:r w:rsidR="00212192">
          <w:rPr>
            <w:webHidden/>
          </w:rPr>
          <w:instrText xml:space="preserve"> PAGEREF _Toc123823155 \h </w:instrText>
        </w:r>
        <w:r w:rsidR="00212192">
          <w:rPr>
            <w:webHidden/>
          </w:rPr>
        </w:r>
        <w:r w:rsidR="00212192">
          <w:rPr>
            <w:webHidden/>
          </w:rPr>
          <w:fldChar w:fldCharType="separate"/>
        </w:r>
        <w:r w:rsidR="00212192">
          <w:rPr>
            <w:webHidden/>
          </w:rPr>
          <w:t>2</w:t>
        </w:r>
        <w:r w:rsidR="00212192">
          <w:rPr>
            <w:webHidden/>
          </w:rPr>
          <w:fldChar w:fldCharType="end"/>
        </w:r>
      </w:hyperlink>
    </w:p>
    <w:p w14:paraId="324ADA83" w14:textId="0A784A1A" w:rsidR="00212192" w:rsidRDefault="00000000">
      <w:pPr>
        <w:pStyle w:val="TOC3"/>
        <w:rPr>
          <w:rFonts w:asciiTheme="minorHAnsi" w:eastAsiaTheme="minorEastAsia" w:hAnsiTheme="minorHAnsi" w:cstheme="minorBidi"/>
          <w:b w:val="0"/>
          <w:sz w:val="22"/>
          <w:szCs w:val="22"/>
        </w:rPr>
      </w:pPr>
      <w:hyperlink w:anchor="_Toc123823156" w:history="1">
        <w:r w:rsidR="00212192" w:rsidRPr="00992686">
          <w:rPr>
            <w:rStyle w:val="Hyperlink"/>
          </w:rPr>
          <w:t>OCR Issues Guidance on Protecting Students Based on Ethnicity and Ancestry</w:t>
        </w:r>
        <w:r w:rsidR="00212192">
          <w:rPr>
            <w:webHidden/>
          </w:rPr>
          <w:tab/>
        </w:r>
        <w:r w:rsidR="00212192">
          <w:rPr>
            <w:webHidden/>
          </w:rPr>
          <w:fldChar w:fldCharType="begin"/>
        </w:r>
        <w:r w:rsidR="00212192">
          <w:rPr>
            <w:webHidden/>
          </w:rPr>
          <w:instrText xml:space="preserve"> PAGEREF _Toc123823156 \h </w:instrText>
        </w:r>
        <w:r w:rsidR="00212192">
          <w:rPr>
            <w:webHidden/>
          </w:rPr>
        </w:r>
        <w:r w:rsidR="00212192">
          <w:rPr>
            <w:webHidden/>
          </w:rPr>
          <w:fldChar w:fldCharType="separate"/>
        </w:r>
        <w:r w:rsidR="00212192">
          <w:rPr>
            <w:webHidden/>
          </w:rPr>
          <w:t>3</w:t>
        </w:r>
        <w:r w:rsidR="00212192">
          <w:rPr>
            <w:webHidden/>
          </w:rPr>
          <w:fldChar w:fldCharType="end"/>
        </w:r>
      </w:hyperlink>
    </w:p>
    <w:p w14:paraId="7CADA782" w14:textId="73A981A5" w:rsidR="00212192" w:rsidRDefault="00000000">
      <w:pPr>
        <w:pStyle w:val="TOC2"/>
        <w:rPr>
          <w:rFonts w:asciiTheme="minorHAnsi" w:eastAsiaTheme="minorEastAsia" w:hAnsiTheme="minorHAnsi" w:cstheme="minorBidi"/>
          <w:b w:val="0"/>
          <w:sz w:val="22"/>
          <w:szCs w:val="22"/>
        </w:rPr>
      </w:pPr>
      <w:hyperlink w:anchor="_Toc123823157" w:history="1">
        <w:r w:rsidR="00212192" w:rsidRPr="00992686">
          <w:rPr>
            <w:rStyle w:val="Hyperlink"/>
          </w:rPr>
          <w:t>News</w:t>
        </w:r>
        <w:r w:rsidR="00212192">
          <w:rPr>
            <w:webHidden/>
          </w:rPr>
          <w:tab/>
        </w:r>
        <w:r w:rsidR="00212192">
          <w:rPr>
            <w:webHidden/>
          </w:rPr>
          <w:fldChar w:fldCharType="begin"/>
        </w:r>
        <w:r w:rsidR="00212192">
          <w:rPr>
            <w:webHidden/>
          </w:rPr>
          <w:instrText xml:space="preserve"> PAGEREF _Toc123823157 \h </w:instrText>
        </w:r>
        <w:r w:rsidR="00212192">
          <w:rPr>
            <w:webHidden/>
          </w:rPr>
        </w:r>
        <w:r w:rsidR="00212192">
          <w:rPr>
            <w:webHidden/>
          </w:rPr>
          <w:fldChar w:fldCharType="separate"/>
        </w:r>
        <w:r w:rsidR="00212192">
          <w:rPr>
            <w:webHidden/>
          </w:rPr>
          <w:t>4</w:t>
        </w:r>
        <w:r w:rsidR="00212192">
          <w:rPr>
            <w:webHidden/>
          </w:rPr>
          <w:fldChar w:fldCharType="end"/>
        </w:r>
      </w:hyperlink>
    </w:p>
    <w:p w14:paraId="2D0010DA" w14:textId="6E9DA7F4" w:rsidR="00212192" w:rsidRDefault="00000000">
      <w:pPr>
        <w:pStyle w:val="TOC3"/>
        <w:rPr>
          <w:rFonts w:asciiTheme="minorHAnsi" w:eastAsiaTheme="minorEastAsia" w:hAnsiTheme="minorHAnsi" w:cstheme="minorBidi"/>
          <w:b w:val="0"/>
          <w:sz w:val="22"/>
          <w:szCs w:val="22"/>
        </w:rPr>
      </w:pPr>
      <w:hyperlink w:anchor="_Toc123823158" w:history="1">
        <w:r w:rsidR="00212192" w:rsidRPr="00992686">
          <w:rPr>
            <w:rStyle w:val="Hyperlink"/>
            <w:rFonts w:eastAsia="Times New Roman"/>
          </w:rPr>
          <w:t>ED Releases Semi-Annual Regulatory Agenda with Focus on Higher Ed</w:t>
        </w:r>
        <w:r w:rsidR="00212192">
          <w:rPr>
            <w:webHidden/>
          </w:rPr>
          <w:tab/>
        </w:r>
        <w:r w:rsidR="00212192">
          <w:rPr>
            <w:webHidden/>
          </w:rPr>
          <w:fldChar w:fldCharType="begin"/>
        </w:r>
        <w:r w:rsidR="00212192">
          <w:rPr>
            <w:webHidden/>
          </w:rPr>
          <w:instrText xml:space="preserve"> PAGEREF _Toc123823158 \h </w:instrText>
        </w:r>
        <w:r w:rsidR="00212192">
          <w:rPr>
            <w:webHidden/>
          </w:rPr>
        </w:r>
        <w:r w:rsidR="00212192">
          <w:rPr>
            <w:webHidden/>
          </w:rPr>
          <w:fldChar w:fldCharType="separate"/>
        </w:r>
        <w:r w:rsidR="00212192">
          <w:rPr>
            <w:webHidden/>
          </w:rPr>
          <w:t>4</w:t>
        </w:r>
        <w:r w:rsidR="00212192">
          <w:rPr>
            <w:webHidden/>
          </w:rPr>
          <w:fldChar w:fldCharType="end"/>
        </w:r>
      </w:hyperlink>
    </w:p>
    <w:p w14:paraId="5D0D7DE7" w14:textId="769340F3" w:rsidR="00BA3D90" w:rsidRPr="009471B1" w:rsidRDefault="00156AA4" w:rsidP="00764A1D">
      <w:pPr>
        <w:rPr>
          <w:i/>
          <w:iCs/>
        </w:rPr>
      </w:pPr>
      <w:r w:rsidRPr="00CF79C8">
        <w:fldChar w:fldCharType="end"/>
      </w:r>
      <w:bookmarkStart w:id="16" w:name="_Toc504484598"/>
      <w:bookmarkEnd w:id="0"/>
      <w:bookmarkEnd w:id="1"/>
      <w:bookmarkEnd w:id="2"/>
      <w:bookmarkEnd w:id="3"/>
      <w:bookmarkEnd w:id="4"/>
      <w:bookmarkEnd w:id="5"/>
    </w:p>
    <w:p w14:paraId="32D9C4F7" w14:textId="70FDC6AF" w:rsidR="005B3F59" w:rsidRDefault="00A8447B" w:rsidP="005B3F59">
      <w:pPr>
        <w:pStyle w:val="Heading2"/>
      </w:pPr>
      <w:bookmarkStart w:id="17" w:name="_Toc123823153"/>
      <w:r>
        <w:t>Legislation and Guidance</w:t>
      </w:r>
      <w:bookmarkEnd w:id="17"/>
    </w:p>
    <w:p w14:paraId="6765FD56" w14:textId="1E148EB7" w:rsidR="005B3F59" w:rsidRDefault="00737653" w:rsidP="005B3F59">
      <w:pPr>
        <w:pStyle w:val="Heading3"/>
      </w:pPr>
      <w:bookmarkStart w:id="18" w:name="_Toc123823154"/>
      <w:r>
        <w:t>Congress Passes $1.7 Trillion Spending Bill</w:t>
      </w:r>
      <w:bookmarkEnd w:id="18"/>
    </w:p>
    <w:p w14:paraId="7B09F96E" w14:textId="27AC5D34" w:rsidR="00737653" w:rsidRDefault="00737653" w:rsidP="00737653">
      <w:pPr>
        <w:rPr>
          <w:rFonts w:cs="Arial"/>
          <w:szCs w:val="24"/>
        </w:rPr>
      </w:pPr>
      <w:r>
        <w:rPr>
          <w:rFonts w:cs="Arial"/>
          <w:szCs w:val="24"/>
        </w:rPr>
        <w:t xml:space="preserve">Following weeks of challenging negotiations at the end of 2022, Congress passed a final spending bill late last month that provides funding for fiscal year </w:t>
      </w:r>
      <w:r w:rsidR="00BE29DF">
        <w:rPr>
          <w:rFonts w:cs="Arial"/>
          <w:szCs w:val="24"/>
        </w:rPr>
        <w:t xml:space="preserve">(FY) </w:t>
      </w:r>
      <w:r>
        <w:rPr>
          <w:rFonts w:cs="Arial"/>
          <w:szCs w:val="24"/>
        </w:rPr>
        <w:t xml:space="preserve">2023.  After extending the short-term continuing resolution the federal government had been operating under since September by one week, until December 23, due to slow negotiations, lawmakers were able to reach an agreement on an omnibus bill that includes funding for all federal agencies before adjourning for the remainder of 2022. </w:t>
      </w:r>
    </w:p>
    <w:p w14:paraId="48B2F3C9" w14:textId="78949016" w:rsidR="00737653" w:rsidRDefault="00737653" w:rsidP="00737653">
      <w:pPr>
        <w:rPr>
          <w:rFonts w:cs="Arial"/>
          <w:szCs w:val="24"/>
        </w:rPr>
      </w:pPr>
      <w:r>
        <w:rPr>
          <w:rFonts w:cs="Arial"/>
          <w:szCs w:val="24"/>
        </w:rPr>
        <w:t xml:space="preserve">The </w:t>
      </w:r>
      <w:r w:rsidR="00BE29DF">
        <w:rPr>
          <w:rFonts w:cs="Arial"/>
          <w:szCs w:val="24"/>
        </w:rPr>
        <w:t>FY</w:t>
      </w:r>
      <w:r>
        <w:rPr>
          <w:rFonts w:cs="Arial"/>
          <w:szCs w:val="24"/>
        </w:rPr>
        <w:t xml:space="preserve"> 2023 spending bill provides $79.2 billion for the U.S. Department of Education</w:t>
      </w:r>
      <w:r w:rsidR="00FE77D0">
        <w:rPr>
          <w:rFonts w:cs="Arial"/>
          <w:szCs w:val="24"/>
        </w:rPr>
        <w:t>—</w:t>
      </w:r>
      <w:r>
        <w:rPr>
          <w:rFonts w:cs="Arial"/>
          <w:szCs w:val="24"/>
        </w:rPr>
        <w:t>an</w:t>
      </w:r>
      <w:r w:rsidR="00FE77D0">
        <w:rPr>
          <w:rFonts w:cs="Arial"/>
          <w:szCs w:val="24"/>
        </w:rPr>
        <w:t xml:space="preserve"> </w:t>
      </w:r>
      <w:r>
        <w:rPr>
          <w:rFonts w:cs="Arial"/>
          <w:szCs w:val="24"/>
        </w:rPr>
        <w:t xml:space="preserve">increase of approximately $4 billion from FY 2022.  Most education programs received </w:t>
      </w:r>
      <w:r w:rsidR="00BE29DF">
        <w:rPr>
          <w:rFonts w:cs="Arial"/>
          <w:szCs w:val="24"/>
        </w:rPr>
        <w:t>a five to ten percent</w:t>
      </w:r>
      <w:r>
        <w:rPr>
          <w:rFonts w:cs="Arial"/>
          <w:szCs w:val="24"/>
        </w:rPr>
        <w:t xml:space="preserve"> boost in funding compared to the prior year, with Title I grants under the Elementary and Secondary Education Act (ESEA), the minimum Pell Grant amount, and State grants under the Individuals with Disabilities Education Act</w:t>
      </w:r>
      <w:r w:rsidR="00347DE2">
        <w:rPr>
          <w:rFonts w:cs="Arial"/>
          <w:szCs w:val="24"/>
        </w:rPr>
        <w:t xml:space="preserve"> (IDEA)</w:t>
      </w:r>
      <w:r>
        <w:rPr>
          <w:rFonts w:cs="Arial"/>
          <w:szCs w:val="24"/>
        </w:rPr>
        <w:t xml:space="preserve"> seeing the largest increases.  In addition, the bill provides a range of “Community Project Spending” items for education-related initiatives, known colloquially as “earmarks.”  The FY 2023 omnibus marks the </w:t>
      </w:r>
      <w:proofErr w:type="gramStart"/>
      <w:r>
        <w:rPr>
          <w:rFonts w:cs="Arial"/>
          <w:szCs w:val="24"/>
        </w:rPr>
        <w:t>second year</w:t>
      </w:r>
      <w:proofErr w:type="gramEnd"/>
      <w:r>
        <w:rPr>
          <w:rFonts w:cs="Arial"/>
          <w:szCs w:val="24"/>
        </w:rPr>
        <w:t xml:space="preserve"> earmarks have returned to </w:t>
      </w:r>
      <w:r>
        <w:rPr>
          <w:rFonts w:cs="Arial"/>
          <w:szCs w:val="24"/>
        </w:rPr>
        <w:lastRenderedPageBreak/>
        <w:t xml:space="preserve">the appropriations process after a ban several years ago.  The funding provided in the FY 2023 omnibus is the funding that education grantees will begin receiving on July 1 of this year. </w:t>
      </w:r>
    </w:p>
    <w:p w14:paraId="143F458E" w14:textId="57D20219" w:rsidR="00737653" w:rsidRPr="00FE35A8" w:rsidRDefault="00737653" w:rsidP="00737653">
      <w:pPr>
        <w:spacing w:after="160" w:line="259" w:lineRule="auto"/>
        <w:rPr>
          <w:rFonts w:cs="Arial"/>
          <w:szCs w:val="24"/>
        </w:rPr>
      </w:pPr>
      <w:r>
        <w:rPr>
          <w:rFonts w:cs="Arial"/>
          <w:szCs w:val="24"/>
        </w:rPr>
        <w:t xml:space="preserve">The funding levels and increases under the FY 2023 appropriations legislation for major education programs </w:t>
      </w:r>
      <w:r w:rsidR="00BE29DF">
        <w:rPr>
          <w:rFonts w:cs="Arial"/>
          <w:szCs w:val="24"/>
        </w:rPr>
        <w:t>are</w:t>
      </w:r>
      <w:r>
        <w:rPr>
          <w:rFonts w:cs="Arial"/>
          <w:szCs w:val="24"/>
        </w:rPr>
        <w:t xml:space="preserve"> included below: </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8"/>
        <w:gridCol w:w="1718"/>
        <w:gridCol w:w="2185"/>
        <w:gridCol w:w="1718"/>
        <w:gridCol w:w="1768"/>
      </w:tblGrid>
      <w:tr w:rsidR="00737653" w:rsidRPr="00FE35A8" w14:paraId="11581079" w14:textId="77777777" w:rsidTr="00250131">
        <w:trPr>
          <w:cantSplit/>
          <w:trHeight w:val="83"/>
          <w:tblHeader/>
        </w:trPr>
        <w:tc>
          <w:tcPr>
            <w:tcW w:w="1778" w:type="dxa"/>
            <w:shd w:val="clear" w:color="auto" w:fill="BFBFBF" w:themeFill="background1" w:themeFillShade="BF"/>
            <w:tcMar>
              <w:top w:w="72" w:type="dxa"/>
              <w:left w:w="144" w:type="dxa"/>
              <w:bottom w:w="72" w:type="dxa"/>
              <w:right w:w="144" w:type="dxa"/>
            </w:tcMar>
            <w:vAlign w:val="center"/>
            <w:hideMark/>
          </w:tcPr>
          <w:p w14:paraId="5A5C22C3" w14:textId="77777777" w:rsidR="00737653" w:rsidRPr="00FE35A8" w:rsidRDefault="00737653" w:rsidP="00C745D3">
            <w:pPr>
              <w:spacing w:after="160" w:line="259" w:lineRule="auto"/>
              <w:rPr>
                <w:rFonts w:cs="Arial"/>
                <w:szCs w:val="24"/>
              </w:rPr>
            </w:pPr>
            <w:r>
              <w:rPr>
                <w:rFonts w:cs="Arial"/>
                <w:szCs w:val="24"/>
              </w:rPr>
              <w:t>Program</w:t>
            </w:r>
          </w:p>
        </w:tc>
        <w:tc>
          <w:tcPr>
            <w:tcW w:w="1718" w:type="dxa"/>
            <w:shd w:val="clear" w:color="auto" w:fill="BFBFBF" w:themeFill="background1" w:themeFillShade="BF"/>
            <w:tcMar>
              <w:top w:w="72" w:type="dxa"/>
              <w:left w:w="144" w:type="dxa"/>
              <w:bottom w:w="72" w:type="dxa"/>
              <w:right w:w="144" w:type="dxa"/>
            </w:tcMar>
            <w:vAlign w:val="center"/>
            <w:hideMark/>
          </w:tcPr>
          <w:p w14:paraId="1BAE8C4D" w14:textId="77777777" w:rsidR="00737653" w:rsidRPr="00FE35A8" w:rsidRDefault="00737653" w:rsidP="00C745D3">
            <w:pPr>
              <w:spacing w:after="160" w:line="259" w:lineRule="auto"/>
              <w:rPr>
                <w:rFonts w:cs="Arial"/>
                <w:szCs w:val="24"/>
              </w:rPr>
            </w:pPr>
            <w:r w:rsidRPr="00FE35A8">
              <w:rPr>
                <w:rFonts w:cs="Arial"/>
                <w:szCs w:val="24"/>
              </w:rPr>
              <w:t>2022</w:t>
            </w:r>
          </w:p>
        </w:tc>
        <w:tc>
          <w:tcPr>
            <w:tcW w:w="2185" w:type="dxa"/>
            <w:shd w:val="clear" w:color="auto" w:fill="BFBFBF" w:themeFill="background1" w:themeFillShade="BF"/>
            <w:tcMar>
              <w:top w:w="72" w:type="dxa"/>
              <w:left w:w="144" w:type="dxa"/>
              <w:bottom w:w="72" w:type="dxa"/>
              <w:right w:w="144" w:type="dxa"/>
            </w:tcMar>
            <w:vAlign w:val="center"/>
            <w:hideMark/>
          </w:tcPr>
          <w:p w14:paraId="12492A4F" w14:textId="77777777" w:rsidR="00737653" w:rsidRPr="00FE35A8" w:rsidRDefault="00737653" w:rsidP="00C745D3">
            <w:pPr>
              <w:spacing w:after="160" w:line="259" w:lineRule="auto"/>
              <w:rPr>
                <w:rFonts w:cs="Arial"/>
                <w:szCs w:val="24"/>
              </w:rPr>
            </w:pPr>
            <w:r w:rsidRPr="00FE35A8">
              <w:rPr>
                <w:rFonts w:cs="Arial"/>
                <w:szCs w:val="24"/>
              </w:rPr>
              <w:t>2023 President’s proposed</w:t>
            </w:r>
          </w:p>
        </w:tc>
        <w:tc>
          <w:tcPr>
            <w:tcW w:w="1718" w:type="dxa"/>
            <w:shd w:val="clear" w:color="auto" w:fill="BFBFBF" w:themeFill="background1" w:themeFillShade="BF"/>
            <w:tcMar>
              <w:top w:w="72" w:type="dxa"/>
              <w:left w:w="144" w:type="dxa"/>
              <w:bottom w:w="72" w:type="dxa"/>
              <w:right w:w="144" w:type="dxa"/>
            </w:tcMar>
            <w:vAlign w:val="center"/>
            <w:hideMark/>
          </w:tcPr>
          <w:p w14:paraId="1BE8E55A" w14:textId="77777777" w:rsidR="00737653" w:rsidRPr="00FE35A8" w:rsidRDefault="00737653" w:rsidP="00C745D3">
            <w:pPr>
              <w:spacing w:after="160" w:line="259" w:lineRule="auto"/>
              <w:rPr>
                <w:rFonts w:cs="Arial"/>
                <w:szCs w:val="24"/>
              </w:rPr>
            </w:pPr>
            <w:r w:rsidRPr="00FE35A8">
              <w:rPr>
                <w:rFonts w:cs="Arial"/>
                <w:szCs w:val="24"/>
              </w:rPr>
              <w:t>2023 Final</w:t>
            </w:r>
          </w:p>
        </w:tc>
        <w:tc>
          <w:tcPr>
            <w:tcW w:w="1768" w:type="dxa"/>
            <w:shd w:val="clear" w:color="auto" w:fill="BFBFBF" w:themeFill="background1" w:themeFillShade="BF"/>
            <w:tcMar>
              <w:top w:w="72" w:type="dxa"/>
              <w:left w:w="144" w:type="dxa"/>
              <w:bottom w:w="72" w:type="dxa"/>
              <w:right w:w="144" w:type="dxa"/>
            </w:tcMar>
            <w:vAlign w:val="center"/>
            <w:hideMark/>
          </w:tcPr>
          <w:p w14:paraId="50B38091" w14:textId="77777777" w:rsidR="00737653" w:rsidRPr="00FE35A8" w:rsidRDefault="00737653" w:rsidP="00C745D3">
            <w:pPr>
              <w:spacing w:after="160" w:line="259" w:lineRule="auto"/>
              <w:rPr>
                <w:rFonts w:cs="Arial"/>
                <w:szCs w:val="24"/>
              </w:rPr>
            </w:pPr>
            <w:r w:rsidRPr="00FE35A8">
              <w:rPr>
                <w:rFonts w:cs="Arial"/>
                <w:szCs w:val="24"/>
              </w:rPr>
              <w:t>Percent Change vs. 2022</w:t>
            </w:r>
          </w:p>
        </w:tc>
      </w:tr>
      <w:tr w:rsidR="00737653" w:rsidRPr="00FE35A8" w14:paraId="539810FF" w14:textId="77777777" w:rsidTr="00250131">
        <w:trPr>
          <w:cantSplit/>
          <w:trHeight w:val="69"/>
          <w:tblHeader/>
        </w:trPr>
        <w:tc>
          <w:tcPr>
            <w:tcW w:w="1778" w:type="dxa"/>
            <w:tcMar>
              <w:top w:w="72" w:type="dxa"/>
              <w:left w:w="144" w:type="dxa"/>
              <w:bottom w:w="72" w:type="dxa"/>
              <w:right w:w="144" w:type="dxa"/>
            </w:tcMar>
            <w:vAlign w:val="center"/>
            <w:hideMark/>
          </w:tcPr>
          <w:p w14:paraId="7A7CA49B" w14:textId="77777777" w:rsidR="00737653" w:rsidRPr="00FE35A8" w:rsidRDefault="00737653" w:rsidP="00C745D3">
            <w:pPr>
              <w:spacing w:after="160" w:line="259" w:lineRule="auto"/>
              <w:rPr>
                <w:rFonts w:cs="Arial"/>
                <w:szCs w:val="24"/>
              </w:rPr>
            </w:pPr>
            <w:r w:rsidRPr="00FE35A8">
              <w:rPr>
                <w:rFonts w:cs="Arial"/>
                <w:szCs w:val="24"/>
              </w:rPr>
              <w:t>Title I</w:t>
            </w:r>
          </w:p>
        </w:tc>
        <w:tc>
          <w:tcPr>
            <w:tcW w:w="1718" w:type="dxa"/>
            <w:tcMar>
              <w:top w:w="72" w:type="dxa"/>
              <w:left w:w="144" w:type="dxa"/>
              <w:bottom w:w="72" w:type="dxa"/>
              <w:right w:w="144" w:type="dxa"/>
            </w:tcMar>
            <w:vAlign w:val="center"/>
            <w:hideMark/>
          </w:tcPr>
          <w:p w14:paraId="1AC3C66C"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18,230</w:t>
            </w:r>
          </w:p>
        </w:tc>
        <w:tc>
          <w:tcPr>
            <w:tcW w:w="2185" w:type="dxa"/>
            <w:tcMar>
              <w:top w:w="72" w:type="dxa"/>
              <w:left w:w="144" w:type="dxa"/>
              <w:bottom w:w="72" w:type="dxa"/>
              <w:right w:w="144" w:type="dxa"/>
            </w:tcMar>
            <w:vAlign w:val="center"/>
            <w:hideMark/>
          </w:tcPr>
          <w:p w14:paraId="639FD74D"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37,281</w:t>
            </w:r>
          </w:p>
        </w:tc>
        <w:tc>
          <w:tcPr>
            <w:tcW w:w="1718" w:type="dxa"/>
            <w:tcMar>
              <w:top w:w="72" w:type="dxa"/>
              <w:left w:w="144" w:type="dxa"/>
              <w:bottom w:w="72" w:type="dxa"/>
              <w:right w:w="144" w:type="dxa"/>
            </w:tcMar>
            <w:vAlign w:val="center"/>
            <w:hideMark/>
          </w:tcPr>
          <w:p w14:paraId="06139C6A"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19,088</w:t>
            </w:r>
          </w:p>
        </w:tc>
        <w:tc>
          <w:tcPr>
            <w:tcW w:w="1768" w:type="dxa"/>
            <w:tcMar>
              <w:top w:w="72" w:type="dxa"/>
              <w:left w:w="144" w:type="dxa"/>
              <w:bottom w:w="72" w:type="dxa"/>
              <w:right w:w="144" w:type="dxa"/>
            </w:tcMar>
            <w:vAlign w:val="center"/>
            <w:hideMark/>
          </w:tcPr>
          <w:p w14:paraId="39643027" w14:textId="77777777" w:rsidR="00737653" w:rsidRPr="00FE35A8" w:rsidRDefault="00737653" w:rsidP="00C745D3">
            <w:pPr>
              <w:spacing w:after="160" w:line="259" w:lineRule="auto"/>
              <w:rPr>
                <w:rFonts w:cs="Arial"/>
                <w:szCs w:val="24"/>
              </w:rPr>
            </w:pPr>
            <w:r w:rsidRPr="00FE35A8">
              <w:rPr>
                <w:rFonts w:cs="Arial"/>
                <w:szCs w:val="24"/>
              </w:rPr>
              <w:t>4.7%</w:t>
            </w:r>
          </w:p>
        </w:tc>
      </w:tr>
      <w:tr w:rsidR="00737653" w:rsidRPr="00FE35A8" w14:paraId="10F39762" w14:textId="77777777" w:rsidTr="00250131">
        <w:trPr>
          <w:cantSplit/>
          <w:trHeight w:val="69"/>
          <w:tblHeader/>
        </w:trPr>
        <w:tc>
          <w:tcPr>
            <w:tcW w:w="1778" w:type="dxa"/>
            <w:tcMar>
              <w:top w:w="72" w:type="dxa"/>
              <w:left w:w="144" w:type="dxa"/>
              <w:bottom w:w="72" w:type="dxa"/>
              <w:right w:w="144" w:type="dxa"/>
            </w:tcMar>
            <w:vAlign w:val="center"/>
            <w:hideMark/>
          </w:tcPr>
          <w:p w14:paraId="0BD0F5C2" w14:textId="77777777" w:rsidR="00737653" w:rsidRPr="00FE35A8" w:rsidRDefault="00737653" w:rsidP="00C745D3">
            <w:pPr>
              <w:spacing w:after="160" w:line="259" w:lineRule="auto"/>
              <w:rPr>
                <w:rFonts w:cs="Arial"/>
                <w:szCs w:val="24"/>
              </w:rPr>
            </w:pPr>
            <w:r w:rsidRPr="00FE35A8">
              <w:rPr>
                <w:rFonts w:cs="Arial"/>
                <w:szCs w:val="24"/>
              </w:rPr>
              <w:t>Title II</w:t>
            </w:r>
          </w:p>
        </w:tc>
        <w:tc>
          <w:tcPr>
            <w:tcW w:w="1718" w:type="dxa"/>
            <w:tcMar>
              <w:top w:w="72" w:type="dxa"/>
              <w:left w:w="144" w:type="dxa"/>
              <w:bottom w:w="72" w:type="dxa"/>
              <w:right w:w="144" w:type="dxa"/>
            </w:tcMar>
            <w:vAlign w:val="center"/>
            <w:hideMark/>
          </w:tcPr>
          <w:p w14:paraId="6A70D543"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2,170</w:t>
            </w:r>
          </w:p>
        </w:tc>
        <w:tc>
          <w:tcPr>
            <w:tcW w:w="2185" w:type="dxa"/>
            <w:tcMar>
              <w:top w:w="72" w:type="dxa"/>
              <w:left w:w="144" w:type="dxa"/>
              <w:bottom w:w="72" w:type="dxa"/>
              <w:right w:w="144" w:type="dxa"/>
            </w:tcMar>
            <w:vAlign w:val="center"/>
            <w:hideMark/>
          </w:tcPr>
          <w:p w14:paraId="05B2579D"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2,149</w:t>
            </w:r>
          </w:p>
        </w:tc>
        <w:tc>
          <w:tcPr>
            <w:tcW w:w="1718" w:type="dxa"/>
            <w:tcMar>
              <w:top w:w="72" w:type="dxa"/>
              <w:left w:w="144" w:type="dxa"/>
              <w:bottom w:w="72" w:type="dxa"/>
              <w:right w:w="144" w:type="dxa"/>
            </w:tcMar>
            <w:vAlign w:val="center"/>
            <w:hideMark/>
          </w:tcPr>
          <w:p w14:paraId="25D7E792"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2,190</w:t>
            </w:r>
          </w:p>
        </w:tc>
        <w:tc>
          <w:tcPr>
            <w:tcW w:w="1768" w:type="dxa"/>
            <w:tcMar>
              <w:top w:w="72" w:type="dxa"/>
              <w:left w:w="144" w:type="dxa"/>
              <w:bottom w:w="72" w:type="dxa"/>
              <w:right w:w="144" w:type="dxa"/>
            </w:tcMar>
            <w:vAlign w:val="center"/>
            <w:hideMark/>
          </w:tcPr>
          <w:p w14:paraId="66DB9518" w14:textId="77777777" w:rsidR="00737653" w:rsidRPr="00FE35A8" w:rsidRDefault="00737653" w:rsidP="00C745D3">
            <w:pPr>
              <w:spacing w:after="160" w:line="259" w:lineRule="auto"/>
              <w:rPr>
                <w:rFonts w:cs="Arial"/>
                <w:szCs w:val="24"/>
              </w:rPr>
            </w:pPr>
            <w:r w:rsidRPr="00FE35A8">
              <w:rPr>
                <w:rFonts w:cs="Arial"/>
                <w:szCs w:val="24"/>
              </w:rPr>
              <w:t>0.9%</w:t>
            </w:r>
          </w:p>
        </w:tc>
      </w:tr>
      <w:tr w:rsidR="00737653" w:rsidRPr="00FE35A8" w14:paraId="5DF3A8E7" w14:textId="77777777" w:rsidTr="00250131">
        <w:trPr>
          <w:cantSplit/>
          <w:trHeight w:val="69"/>
          <w:tblHeader/>
        </w:trPr>
        <w:tc>
          <w:tcPr>
            <w:tcW w:w="1778" w:type="dxa"/>
            <w:tcMar>
              <w:top w:w="72" w:type="dxa"/>
              <w:left w:w="144" w:type="dxa"/>
              <w:bottom w:w="72" w:type="dxa"/>
              <w:right w:w="144" w:type="dxa"/>
            </w:tcMar>
            <w:vAlign w:val="center"/>
            <w:hideMark/>
          </w:tcPr>
          <w:p w14:paraId="6C034006" w14:textId="77777777" w:rsidR="00737653" w:rsidRPr="00FE35A8" w:rsidRDefault="00737653" w:rsidP="00C745D3">
            <w:pPr>
              <w:spacing w:after="160" w:line="259" w:lineRule="auto"/>
              <w:rPr>
                <w:rFonts w:cs="Arial"/>
                <w:szCs w:val="24"/>
              </w:rPr>
            </w:pPr>
            <w:r w:rsidRPr="00FE35A8">
              <w:rPr>
                <w:rFonts w:cs="Arial"/>
                <w:szCs w:val="24"/>
              </w:rPr>
              <w:t>21</w:t>
            </w:r>
            <w:r w:rsidRPr="00FE35A8">
              <w:rPr>
                <w:rFonts w:cs="Arial"/>
                <w:szCs w:val="24"/>
                <w:vertAlign w:val="superscript"/>
              </w:rPr>
              <w:t>st</w:t>
            </w:r>
            <w:r w:rsidRPr="00FE35A8">
              <w:rPr>
                <w:rFonts w:cs="Arial"/>
                <w:szCs w:val="24"/>
              </w:rPr>
              <w:t xml:space="preserve"> Century</w:t>
            </w:r>
          </w:p>
        </w:tc>
        <w:tc>
          <w:tcPr>
            <w:tcW w:w="1718" w:type="dxa"/>
            <w:tcMar>
              <w:top w:w="72" w:type="dxa"/>
              <w:left w:w="144" w:type="dxa"/>
              <w:bottom w:w="72" w:type="dxa"/>
              <w:right w:w="144" w:type="dxa"/>
            </w:tcMar>
            <w:vAlign w:val="center"/>
            <w:hideMark/>
          </w:tcPr>
          <w:p w14:paraId="53BC1393"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1,290</w:t>
            </w:r>
          </w:p>
        </w:tc>
        <w:tc>
          <w:tcPr>
            <w:tcW w:w="2185" w:type="dxa"/>
            <w:tcMar>
              <w:top w:w="72" w:type="dxa"/>
              <w:left w:w="144" w:type="dxa"/>
              <w:bottom w:w="72" w:type="dxa"/>
              <w:right w:w="144" w:type="dxa"/>
            </w:tcMar>
            <w:vAlign w:val="center"/>
            <w:hideMark/>
          </w:tcPr>
          <w:p w14:paraId="7147CFBB"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1,310</w:t>
            </w:r>
          </w:p>
        </w:tc>
        <w:tc>
          <w:tcPr>
            <w:tcW w:w="1718" w:type="dxa"/>
            <w:tcMar>
              <w:top w:w="72" w:type="dxa"/>
              <w:left w:w="144" w:type="dxa"/>
              <w:bottom w:w="72" w:type="dxa"/>
              <w:right w:w="144" w:type="dxa"/>
            </w:tcMar>
            <w:vAlign w:val="center"/>
            <w:hideMark/>
          </w:tcPr>
          <w:p w14:paraId="6AF93743"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1,330</w:t>
            </w:r>
          </w:p>
        </w:tc>
        <w:tc>
          <w:tcPr>
            <w:tcW w:w="1768" w:type="dxa"/>
            <w:tcMar>
              <w:top w:w="72" w:type="dxa"/>
              <w:left w:w="144" w:type="dxa"/>
              <w:bottom w:w="72" w:type="dxa"/>
              <w:right w:w="144" w:type="dxa"/>
            </w:tcMar>
            <w:vAlign w:val="center"/>
            <w:hideMark/>
          </w:tcPr>
          <w:p w14:paraId="75C9E8C4" w14:textId="77777777" w:rsidR="00737653" w:rsidRPr="00FE35A8" w:rsidRDefault="00737653" w:rsidP="00C745D3">
            <w:pPr>
              <w:spacing w:after="160" w:line="259" w:lineRule="auto"/>
              <w:rPr>
                <w:rFonts w:cs="Arial"/>
                <w:szCs w:val="24"/>
              </w:rPr>
            </w:pPr>
            <w:r w:rsidRPr="00FE35A8">
              <w:rPr>
                <w:rFonts w:cs="Arial"/>
                <w:szCs w:val="24"/>
              </w:rPr>
              <w:t>3.1%</w:t>
            </w:r>
          </w:p>
        </w:tc>
      </w:tr>
      <w:tr w:rsidR="00737653" w:rsidRPr="00FE35A8" w14:paraId="0FB02767" w14:textId="77777777" w:rsidTr="00250131">
        <w:trPr>
          <w:cantSplit/>
          <w:trHeight w:val="69"/>
          <w:tblHeader/>
        </w:trPr>
        <w:tc>
          <w:tcPr>
            <w:tcW w:w="1778" w:type="dxa"/>
            <w:tcMar>
              <w:top w:w="72" w:type="dxa"/>
              <w:left w:w="144" w:type="dxa"/>
              <w:bottom w:w="72" w:type="dxa"/>
              <w:right w:w="144" w:type="dxa"/>
            </w:tcMar>
            <w:vAlign w:val="center"/>
            <w:hideMark/>
          </w:tcPr>
          <w:p w14:paraId="67A38FF0" w14:textId="77777777" w:rsidR="00737653" w:rsidRPr="00FE35A8" w:rsidRDefault="00737653" w:rsidP="00C745D3">
            <w:pPr>
              <w:spacing w:after="160" w:line="259" w:lineRule="auto"/>
              <w:rPr>
                <w:rFonts w:cs="Arial"/>
                <w:szCs w:val="24"/>
              </w:rPr>
            </w:pPr>
            <w:r w:rsidRPr="00FE35A8">
              <w:rPr>
                <w:rFonts w:cs="Arial"/>
                <w:szCs w:val="24"/>
              </w:rPr>
              <w:t>Title IV-A/SSAE</w:t>
            </w:r>
          </w:p>
        </w:tc>
        <w:tc>
          <w:tcPr>
            <w:tcW w:w="1718" w:type="dxa"/>
            <w:tcMar>
              <w:top w:w="72" w:type="dxa"/>
              <w:left w:w="144" w:type="dxa"/>
              <w:bottom w:w="72" w:type="dxa"/>
              <w:right w:w="144" w:type="dxa"/>
            </w:tcMar>
            <w:vAlign w:val="center"/>
            <w:hideMark/>
          </w:tcPr>
          <w:p w14:paraId="08D5EB38"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1,280</w:t>
            </w:r>
          </w:p>
        </w:tc>
        <w:tc>
          <w:tcPr>
            <w:tcW w:w="2185" w:type="dxa"/>
            <w:tcMar>
              <w:top w:w="72" w:type="dxa"/>
              <w:left w:w="144" w:type="dxa"/>
              <w:bottom w:w="72" w:type="dxa"/>
              <w:right w:w="144" w:type="dxa"/>
            </w:tcMar>
            <w:vAlign w:val="center"/>
            <w:hideMark/>
          </w:tcPr>
          <w:p w14:paraId="11AD6E95"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1,220</w:t>
            </w:r>
          </w:p>
        </w:tc>
        <w:tc>
          <w:tcPr>
            <w:tcW w:w="1718" w:type="dxa"/>
            <w:tcMar>
              <w:top w:w="72" w:type="dxa"/>
              <w:left w:w="144" w:type="dxa"/>
              <w:bottom w:w="72" w:type="dxa"/>
              <w:right w:w="144" w:type="dxa"/>
            </w:tcMar>
            <w:vAlign w:val="center"/>
            <w:hideMark/>
          </w:tcPr>
          <w:p w14:paraId="4577F630"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1,380</w:t>
            </w:r>
          </w:p>
        </w:tc>
        <w:tc>
          <w:tcPr>
            <w:tcW w:w="1768" w:type="dxa"/>
            <w:tcMar>
              <w:top w:w="72" w:type="dxa"/>
              <w:left w:w="144" w:type="dxa"/>
              <w:bottom w:w="72" w:type="dxa"/>
              <w:right w:w="144" w:type="dxa"/>
            </w:tcMar>
            <w:vAlign w:val="center"/>
            <w:hideMark/>
          </w:tcPr>
          <w:p w14:paraId="262C61C9" w14:textId="77777777" w:rsidR="00737653" w:rsidRPr="00FE35A8" w:rsidRDefault="00737653" w:rsidP="00C745D3">
            <w:pPr>
              <w:spacing w:after="160" w:line="259" w:lineRule="auto"/>
              <w:rPr>
                <w:rFonts w:cs="Arial"/>
                <w:szCs w:val="24"/>
              </w:rPr>
            </w:pPr>
            <w:r w:rsidRPr="00FE35A8">
              <w:rPr>
                <w:rFonts w:cs="Arial"/>
                <w:szCs w:val="24"/>
              </w:rPr>
              <w:t>7.8%</w:t>
            </w:r>
          </w:p>
        </w:tc>
      </w:tr>
      <w:tr w:rsidR="00737653" w:rsidRPr="00FE35A8" w14:paraId="60722CEB" w14:textId="77777777" w:rsidTr="00250131">
        <w:trPr>
          <w:cantSplit/>
          <w:trHeight w:val="69"/>
          <w:tblHeader/>
        </w:trPr>
        <w:tc>
          <w:tcPr>
            <w:tcW w:w="1778" w:type="dxa"/>
            <w:tcMar>
              <w:top w:w="72" w:type="dxa"/>
              <w:left w:w="144" w:type="dxa"/>
              <w:bottom w:w="72" w:type="dxa"/>
              <w:right w:w="144" w:type="dxa"/>
            </w:tcMar>
            <w:vAlign w:val="center"/>
            <w:hideMark/>
          </w:tcPr>
          <w:p w14:paraId="73E4438D" w14:textId="77777777" w:rsidR="00737653" w:rsidRPr="00FE35A8" w:rsidRDefault="00737653" w:rsidP="00C745D3">
            <w:pPr>
              <w:spacing w:after="160" w:line="259" w:lineRule="auto"/>
              <w:rPr>
                <w:rFonts w:cs="Arial"/>
                <w:szCs w:val="24"/>
              </w:rPr>
            </w:pPr>
            <w:r w:rsidRPr="00FE35A8">
              <w:rPr>
                <w:rFonts w:cs="Arial"/>
                <w:szCs w:val="24"/>
              </w:rPr>
              <w:t>IDEA Part B</w:t>
            </w:r>
          </w:p>
        </w:tc>
        <w:tc>
          <w:tcPr>
            <w:tcW w:w="1718" w:type="dxa"/>
            <w:tcMar>
              <w:top w:w="72" w:type="dxa"/>
              <w:left w:w="144" w:type="dxa"/>
              <w:bottom w:w="72" w:type="dxa"/>
              <w:right w:w="144" w:type="dxa"/>
            </w:tcMar>
            <w:vAlign w:val="center"/>
            <w:hideMark/>
          </w:tcPr>
          <w:p w14:paraId="17006DB7"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13,344</w:t>
            </w:r>
          </w:p>
        </w:tc>
        <w:tc>
          <w:tcPr>
            <w:tcW w:w="2185" w:type="dxa"/>
            <w:tcMar>
              <w:top w:w="72" w:type="dxa"/>
              <w:left w:w="144" w:type="dxa"/>
              <w:bottom w:w="72" w:type="dxa"/>
              <w:right w:w="144" w:type="dxa"/>
            </w:tcMar>
            <w:vAlign w:val="center"/>
            <w:hideMark/>
          </w:tcPr>
          <w:p w14:paraId="067DB1C4"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16,259</w:t>
            </w:r>
          </w:p>
        </w:tc>
        <w:tc>
          <w:tcPr>
            <w:tcW w:w="1718" w:type="dxa"/>
            <w:tcMar>
              <w:top w:w="72" w:type="dxa"/>
              <w:left w:w="144" w:type="dxa"/>
              <w:bottom w:w="72" w:type="dxa"/>
              <w:right w:w="144" w:type="dxa"/>
            </w:tcMar>
            <w:vAlign w:val="center"/>
            <w:hideMark/>
          </w:tcPr>
          <w:p w14:paraId="1F196D18"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14,194</w:t>
            </w:r>
          </w:p>
        </w:tc>
        <w:tc>
          <w:tcPr>
            <w:tcW w:w="1768" w:type="dxa"/>
            <w:tcMar>
              <w:top w:w="72" w:type="dxa"/>
              <w:left w:w="144" w:type="dxa"/>
              <w:bottom w:w="72" w:type="dxa"/>
              <w:right w:w="144" w:type="dxa"/>
            </w:tcMar>
            <w:vAlign w:val="center"/>
            <w:hideMark/>
          </w:tcPr>
          <w:p w14:paraId="2D7AF0BC" w14:textId="77777777" w:rsidR="00737653" w:rsidRPr="00FE35A8" w:rsidRDefault="00737653" w:rsidP="00C745D3">
            <w:pPr>
              <w:spacing w:after="160" w:line="259" w:lineRule="auto"/>
              <w:rPr>
                <w:rFonts w:cs="Arial"/>
                <w:szCs w:val="24"/>
              </w:rPr>
            </w:pPr>
            <w:r w:rsidRPr="00FE35A8">
              <w:rPr>
                <w:rFonts w:cs="Arial"/>
                <w:szCs w:val="24"/>
              </w:rPr>
              <w:t>6.4%</w:t>
            </w:r>
          </w:p>
        </w:tc>
      </w:tr>
      <w:tr w:rsidR="00737653" w:rsidRPr="00FE35A8" w14:paraId="3273D88F" w14:textId="77777777" w:rsidTr="00250131">
        <w:trPr>
          <w:cantSplit/>
          <w:trHeight w:val="69"/>
          <w:tblHeader/>
        </w:trPr>
        <w:tc>
          <w:tcPr>
            <w:tcW w:w="1778" w:type="dxa"/>
            <w:tcMar>
              <w:top w:w="72" w:type="dxa"/>
              <w:left w:w="144" w:type="dxa"/>
              <w:bottom w:w="72" w:type="dxa"/>
              <w:right w:w="144" w:type="dxa"/>
            </w:tcMar>
            <w:vAlign w:val="center"/>
            <w:hideMark/>
          </w:tcPr>
          <w:p w14:paraId="17321E4C" w14:textId="77777777" w:rsidR="00737653" w:rsidRPr="00FE35A8" w:rsidRDefault="00737653" w:rsidP="00C745D3">
            <w:pPr>
              <w:spacing w:after="160" w:line="259" w:lineRule="auto"/>
              <w:rPr>
                <w:rFonts w:cs="Arial"/>
                <w:szCs w:val="24"/>
              </w:rPr>
            </w:pPr>
            <w:r w:rsidRPr="00FE35A8">
              <w:rPr>
                <w:rFonts w:cs="Arial"/>
                <w:szCs w:val="24"/>
              </w:rPr>
              <w:t>CTE State Grants</w:t>
            </w:r>
          </w:p>
        </w:tc>
        <w:tc>
          <w:tcPr>
            <w:tcW w:w="1718" w:type="dxa"/>
            <w:tcMar>
              <w:top w:w="72" w:type="dxa"/>
              <w:left w:w="144" w:type="dxa"/>
              <w:bottom w:w="72" w:type="dxa"/>
              <w:right w:w="144" w:type="dxa"/>
            </w:tcMar>
            <w:vAlign w:val="center"/>
            <w:hideMark/>
          </w:tcPr>
          <w:p w14:paraId="78C104CD"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1,380</w:t>
            </w:r>
          </w:p>
        </w:tc>
        <w:tc>
          <w:tcPr>
            <w:tcW w:w="2185" w:type="dxa"/>
            <w:tcMar>
              <w:top w:w="72" w:type="dxa"/>
              <w:left w:w="144" w:type="dxa"/>
              <w:bottom w:w="72" w:type="dxa"/>
              <w:right w:w="144" w:type="dxa"/>
            </w:tcMar>
            <w:vAlign w:val="center"/>
            <w:hideMark/>
          </w:tcPr>
          <w:p w14:paraId="1FE21959"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1,355</w:t>
            </w:r>
          </w:p>
        </w:tc>
        <w:tc>
          <w:tcPr>
            <w:tcW w:w="1718" w:type="dxa"/>
            <w:tcMar>
              <w:top w:w="72" w:type="dxa"/>
              <w:left w:w="144" w:type="dxa"/>
              <w:bottom w:w="72" w:type="dxa"/>
              <w:right w:w="144" w:type="dxa"/>
            </w:tcMar>
            <w:vAlign w:val="center"/>
            <w:hideMark/>
          </w:tcPr>
          <w:p w14:paraId="3FF31BF6"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1,430</w:t>
            </w:r>
          </w:p>
        </w:tc>
        <w:tc>
          <w:tcPr>
            <w:tcW w:w="1768" w:type="dxa"/>
            <w:tcMar>
              <w:top w:w="72" w:type="dxa"/>
              <w:left w:w="144" w:type="dxa"/>
              <w:bottom w:w="72" w:type="dxa"/>
              <w:right w:w="144" w:type="dxa"/>
            </w:tcMar>
            <w:vAlign w:val="center"/>
            <w:hideMark/>
          </w:tcPr>
          <w:p w14:paraId="6C8481C8" w14:textId="77777777" w:rsidR="00737653" w:rsidRPr="00FE35A8" w:rsidRDefault="00737653" w:rsidP="00C745D3">
            <w:pPr>
              <w:spacing w:after="160" w:line="259" w:lineRule="auto"/>
              <w:rPr>
                <w:rFonts w:cs="Arial"/>
                <w:szCs w:val="24"/>
              </w:rPr>
            </w:pPr>
            <w:r w:rsidRPr="00FE35A8">
              <w:rPr>
                <w:rFonts w:cs="Arial"/>
                <w:szCs w:val="24"/>
              </w:rPr>
              <w:t>3.6%</w:t>
            </w:r>
          </w:p>
        </w:tc>
      </w:tr>
      <w:tr w:rsidR="00737653" w:rsidRPr="00FE35A8" w14:paraId="3982F333" w14:textId="77777777" w:rsidTr="00250131">
        <w:trPr>
          <w:cantSplit/>
          <w:trHeight w:val="69"/>
          <w:tblHeader/>
        </w:trPr>
        <w:tc>
          <w:tcPr>
            <w:tcW w:w="1778" w:type="dxa"/>
            <w:tcMar>
              <w:top w:w="72" w:type="dxa"/>
              <w:left w:w="144" w:type="dxa"/>
              <w:bottom w:w="72" w:type="dxa"/>
              <w:right w:w="144" w:type="dxa"/>
            </w:tcMar>
            <w:vAlign w:val="center"/>
            <w:hideMark/>
          </w:tcPr>
          <w:p w14:paraId="2147A604" w14:textId="77777777" w:rsidR="00737653" w:rsidRPr="00FE35A8" w:rsidRDefault="00737653" w:rsidP="00C745D3">
            <w:pPr>
              <w:spacing w:after="160" w:line="259" w:lineRule="auto"/>
              <w:rPr>
                <w:rFonts w:cs="Arial"/>
                <w:szCs w:val="24"/>
              </w:rPr>
            </w:pPr>
            <w:r w:rsidRPr="00FE35A8">
              <w:rPr>
                <w:rFonts w:cs="Arial"/>
                <w:szCs w:val="24"/>
              </w:rPr>
              <w:t>AEFLA</w:t>
            </w:r>
          </w:p>
        </w:tc>
        <w:tc>
          <w:tcPr>
            <w:tcW w:w="1718" w:type="dxa"/>
            <w:tcMar>
              <w:top w:w="72" w:type="dxa"/>
              <w:left w:w="144" w:type="dxa"/>
              <w:bottom w:w="72" w:type="dxa"/>
              <w:right w:w="144" w:type="dxa"/>
            </w:tcMar>
            <w:vAlign w:val="center"/>
            <w:hideMark/>
          </w:tcPr>
          <w:p w14:paraId="54B8A68B"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704</w:t>
            </w:r>
          </w:p>
        </w:tc>
        <w:tc>
          <w:tcPr>
            <w:tcW w:w="2185" w:type="dxa"/>
            <w:tcMar>
              <w:top w:w="72" w:type="dxa"/>
              <w:left w:w="144" w:type="dxa"/>
              <w:bottom w:w="72" w:type="dxa"/>
              <w:right w:w="144" w:type="dxa"/>
            </w:tcMar>
            <w:vAlign w:val="center"/>
            <w:hideMark/>
          </w:tcPr>
          <w:p w14:paraId="4AD9FA16"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739</w:t>
            </w:r>
          </w:p>
        </w:tc>
        <w:tc>
          <w:tcPr>
            <w:tcW w:w="1718" w:type="dxa"/>
            <w:tcMar>
              <w:top w:w="72" w:type="dxa"/>
              <w:left w:w="144" w:type="dxa"/>
              <w:bottom w:w="72" w:type="dxa"/>
              <w:right w:w="144" w:type="dxa"/>
            </w:tcMar>
            <w:vAlign w:val="center"/>
            <w:hideMark/>
          </w:tcPr>
          <w:p w14:paraId="275C04CC"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729</w:t>
            </w:r>
          </w:p>
        </w:tc>
        <w:tc>
          <w:tcPr>
            <w:tcW w:w="1768" w:type="dxa"/>
            <w:tcMar>
              <w:top w:w="72" w:type="dxa"/>
              <w:left w:w="144" w:type="dxa"/>
              <w:bottom w:w="72" w:type="dxa"/>
              <w:right w:w="144" w:type="dxa"/>
            </w:tcMar>
            <w:vAlign w:val="center"/>
            <w:hideMark/>
          </w:tcPr>
          <w:p w14:paraId="1030C1AE" w14:textId="77777777" w:rsidR="00737653" w:rsidRPr="00FE35A8" w:rsidRDefault="00737653" w:rsidP="00C745D3">
            <w:pPr>
              <w:spacing w:after="160" w:line="259" w:lineRule="auto"/>
              <w:rPr>
                <w:rFonts w:cs="Arial"/>
                <w:szCs w:val="24"/>
              </w:rPr>
            </w:pPr>
            <w:r w:rsidRPr="00FE35A8">
              <w:rPr>
                <w:rFonts w:cs="Arial"/>
                <w:szCs w:val="24"/>
              </w:rPr>
              <w:t>3.6%</w:t>
            </w:r>
          </w:p>
        </w:tc>
      </w:tr>
      <w:tr w:rsidR="00737653" w:rsidRPr="00FE35A8" w14:paraId="32D1A468" w14:textId="77777777" w:rsidTr="00250131">
        <w:trPr>
          <w:cantSplit/>
          <w:trHeight w:val="69"/>
          <w:tblHeader/>
        </w:trPr>
        <w:tc>
          <w:tcPr>
            <w:tcW w:w="1778" w:type="dxa"/>
            <w:tcMar>
              <w:top w:w="72" w:type="dxa"/>
              <w:left w:w="144" w:type="dxa"/>
              <w:bottom w:w="72" w:type="dxa"/>
              <w:right w:w="144" w:type="dxa"/>
            </w:tcMar>
            <w:vAlign w:val="center"/>
            <w:hideMark/>
          </w:tcPr>
          <w:p w14:paraId="6FB8ADD6" w14:textId="77777777" w:rsidR="00737653" w:rsidRPr="00FE35A8" w:rsidRDefault="00737653" w:rsidP="00C745D3">
            <w:pPr>
              <w:spacing w:after="160" w:line="259" w:lineRule="auto"/>
              <w:rPr>
                <w:rFonts w:cs="Arial"/>
                <w:szCs w:val="24"/>
              </w:rPr>
            </w:pPr>
            <w:r w:rsidRPr="00FE35A8">
              <w:rPr>
                <w:rFonts w:cs="Arial"/>
                <w:szCs w:val="24"/>
              </w:rPr>
              <w:t>CCDBG</w:t>
            </w:r>
          </w:p>
        </w:tc>
        <w:tc>
          <w:tcPr>
            <w:tcW w:w="1718" w:type="dxa"/>
            <w:tcMar>
              <w:top w:w="72" w:type="dxa"/>
              <w:left w:w="144" w:type="dxa"/>
              <w:bottom w:w="72" w:type="dxa"/>
              <w:right w:w="144" w:type="dxa"/>
            </w:tcMar>
            <w:vAlign w:val="center"/>
            <w:hideMark/>
          </w:tcPr>
          <w:p w14:paraId="1AF1E16E"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6,165</w:t>
            </w:r>
          </w:p>
        </w:tc>
        <w:tc>
          <w:tcPr>
            <w:tcW w:w="2185" w:type="dxa"/>
            <w:tcMar>
              <w:top w:w="72" w:type="dxa"/>
              <w:left w:w="144" w:type="dxa"/>
              <w:bottom w:w="72" w:type="dxa"/>
              <w:right w:w="144" w:type="dxa"/>
            </w:tcMar>
            <w:vAlign w:val="center"/>
            <w:hideMark/>
          </w:tcPr>
          <w:p w14:paraId="4C620803"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7,562</w:t>
            </w:r>
          </w:p>
        </w:tc>
        <w:tc>
          <w:tcPr>
            <w:tcW w:w="1718" w:type="dxa"/>
            <w:tcMar>
              <w:top w:w="72" w:type="dxa"/>
              <w:left w:w="144" w:type="dxa"/>
              <w:bottom w:w="72" w:type="dxa"/>
              <w:right w:w="144" w:type="dxa"/>
            </w:tcMar>
            <w:vAlign w:val="center"/>
            <w:hideMark/>
          </w:tcPr>
          <w:p w14:paraId="67DA26C4" w14:textId="77777777" w:rsidR="00737653" w:rsidRPr="00FE35A8" w:rsidRDefault="00737653" w:rsidP="00C745D3">
            <w:pPr>
              <w:spacing w:after="160" w:line="259" w:lineRule="auto"/>
              <w:rPr>
                <w:rFonts w:cs="Arial"/>
                <w:szCs w:val="24"/>
              </w:rPr>
            </w:pPr>
            <w:r>
              <w:rPr>
                <w:rFonts w:cs="Arial"/>
                <w:szCs w:val="24"/>
              </w:rPr>
              <w:t>$</w:t>
            </w:r>
            <w:r w:rsidRPr="00FE35A8">
              <w:rPr>
                <w:rFonts w:cs="Arial"/>
                <w:szCs w:val="24"/>
              </w:rPr>
              <w:t>8,021</w:t>
            </w:r>
          </w:p>
        </w:tc>
        <w:tc>
          <w:tcPr>
            <w:tcW w:w="1768" w:type="dxa"/>
            <w:tcMar>
              <w:top w:w="72" w:type="dxa"/>
              <w:left w:w="144" w:type="dxa"/>
              <w:bottom w:w="72" w:type="dxa"/>
              <w:right w:w="144" w:type="dxa"/>
            </w:tcMar>
            <w:vAlign w:val="center"/>
            <w:hideMark/>
          </w:tcPr>
          <w:p w14:paraId="370E1894" w14:textId="77777777" w:rsidR="00737653" w:rsidRPr="00FE35A8" w:rsidRDefault="00737653" w:rsidP="00C745D3">
            <w:pPr>
              <w:spacing w:after="160" w:line="259" w:lineRule="auto"/>
              <w:rPr>
                <w:rFonts w:cs="Arial"/>
                <w:szCs w:val="24"/>
              </w:rPr>
            </w:pPr>
            <w:r w:rsidRPr="00FE35A8">
              <w:rPr>
                <w:rFonts w:cs="Arial"/>
                <w:szCs w:val="24"/>
              </w:rPr>
              <w:t>30.1%</w:t>
            </w:r>
          </w:p>
        </w:tc>
      </w:tr>
    </w:tbl>
    <w:p w14:paraId="30B8928E" w14:textId="77777777" w:rsidR="003D43C7" w:rsidRPr="00FE35A8" w:rsidRDefault="003D43C7" w:rsidP="003D43C7">
      <w:pPr>
        <w:spacing w:after="160" w:line="259" w:lineRule="auto"/>
        <w:rPr>
          <w:rFonts w:cs="Arial"/>
          <w:szCs w:val="24"/>
        </w:rPr>
      </w:pPr>
      <w:r>
        <w:rPr>
          <w:rFonts w:cs="Arial"/>
          <w:szCs w:val="24"/>
        </w:rPr>
        <w:t>Note: Funding amounts are provided in thousands of dollars</w:t>
      </w:r>
    </w:p>
    <w:p w14:paraId="2F9CFDED" w14:textId="77777777" w:rsidR="00737653" w:rsidRDefault="00737653" w:rsidP="00737653">
      <w:pPr>
        <w:rPr>
          <w:rFonts w:cs="Arial"/>
          <w:szCs w:val="24"/>
        </w:rPr>
      </w:pPr>
    </w:p>
    <w:p w14:paraId="34C64643" w14:textId="61414C90" w:rsidR="00737653" w:rsidRDefault="00737653" w:rsidP="00737653">
      <w:pPr>
        <w:rPr>
          <w:rFonts w:cs="Arial"/>
          <w:szCs w:val="24"/>
        </w:rPr>
      </w:pPr>
      <w:r>
        <w:rPr>
          <w:rFonts w:cs="Arial"/>
          <w:szCs w:val="24"/>
        </w:rPr>
        <w:t>As the 118</w:t>
      </w:r>
      <w:r w:rsidRPr="00261A92">
        <w:rPr>
          <w:rFonts w:cs="Arial"/>
          <w:szCs w:val="24"/>
          <w:vertAlign w:val="superscript"/>
        </w:rPr>
        <w:t>th</w:t>
      </w:r>
      <w:r>
        <w:rPr>
          <w:rFonts w:cs="Arial"/>
          <w:szCs w:val="24"/>
        </w:rPr>
        <w:t xml:space="preserve"> Congress convenes, lawmakers will be turning back to appropriations soon </w:t>
      </w:r>
      <w:r w:rsidR="00BE29DF">
        <w:rPr>
          <w:rFonts w:cs="Arial"/>
          <w:szCs w:val="24"/>
        </w:rPr>
        <w:t xml:space="preserve">after the President releases his FY 2024 budget request, which typically occurs in March. </w:t>
      </w:r>
      <w:r>
        <w:rPr>
          <w:rFonts w:cs="Arial"/>
          <w:szCs w:val="24"/>
        </w:rPr>
        <w:t xml:space="preserve"> </w:t>
      </w:r>
    </w:p>
    <w:p w14:paraId="35825806" w14:textId="77777777" w:rsidR="00737653" w:rsidRPr="006F076E" w:rsidRDefault="00737653" w:rsidP="00737653">
      <w:pPr>
        <w:rPr>
          <w:rFonts w:cs="Arial"/>
          <w:szCs w:val="24"/>
        </w:rPr>
      </w:pPr>
      <w:r>
        <w:rPr>
          <w:rFonts w:cs="Arial"/>
          <w:szCs w:val="24"/>
        </w:rPr>
        <w:t>Author: KSC</w:t>
      </w:r>
    </w:p>
    <w:p w14:paraId="6AA86CA7" w14:textId="5B13541E" w:rsidR="00AD0A7D" w:rsidRDefault="00737653" w:rsidP="00300DBC">
      <w:pPr>
        <w:pStyle w:val="Heading3"/>
      </w:pPr>
      <w:bookmarkStart w:id="19" w:name="_Toc123823155"/>
      <w:r>
        <w:t>New Congress Off to a Rocky Start</w:t>
      </w:r>
      <w:bookmarkEnd w:id="19"/>
    </w:p>
    <w:p w14:paraId="097EFB43" w14:textId="2CF40E53" w:rsidR="00737653" w:rsidRPr="00E521E6" w:rsidRDefault="00737653" w:rsidP="00737653">
      <w:pPr>
        <w:rPr>
          <w:rFonts w:cs="Arial"/>
          <w:szCs w:val="24"/>
        </w:rPr>
      </w:pPr>
      <w:r w:rsidRPr="00E521E6">
        <w:rPr>
          <w:rFonts w:cs="Arial"/>
          <w:szCs w:val="24"/>
        </w:rPr>
        <w:t>Lawmakers arrived in D</w:t>
      </w:r>
      <w:r w:rsidR="00BE29DF">
        <w:rPr>
          <w:rFonts w:cs="Arial"/>
          <w:szCs w:val="24"/>
        </w:rPr>
        <w:t>.</w:t>
      </w:r>
      <w:r w:rsidRPr="00E521E6">
        <w:rPr>
          <w:rFonts w:cs="Arial"/>
          <w:szCs w:val="24"/>
        </w:rPr>
        <w:t>C</w:t>
      </w:r>
      <w:r w:rsidR="00BE29DF">
        <w:rPr>
          <w:rFonts w:cs="Arial"/>
          <w:szCs w:val="24"/>
        </w:rPr>
        <w:t>.</w:t>
      </w:r>
      <w:r w:rsidRPr="00E521E6">
        <w:rPr>
          <w:rFonts w:cs="Arial"/>
          <w:szCs w:val="24"/>
        </w:rPr>
        <w:t xml:space="preserve"> this week for the beginning of the 118</w:t>
      </w:r>
      <w:r w:rsidRPr="00E521E6">
        <w:rPr>
          <w:rFonts w:cs="Arial"/>
          <w:szCs w:val="24"/>
          <w:vertAlign w:val="superscript"/>
        </w:rPr>
        <w:t>th</w:t>
      </w:r>
      <w:r w:rsidRPr="00E521E6">
        <w:rPr>
          <w:rFonts w:cs="Arial"/>
          <w:szCs w:val="24"/>
        </w:rPr>
        <w:t xml:space="preserve"> Congress.  While in the Senate the beginning of the new session went fairly smoothly</w:t>
      </w:r>
      <w:r w:rsidR="00DC1AD5">
        <w:rPr>
          <w:rFonts w:cs="Arial"/>
          <w:szCs w:val="24"/>
        </w:rPr>
        <w:t>—</w:t>
      </w:r>
      <w:r w:rsidRPr="00E521E6">
        <w:rPr>
          <w:rFonts w:cs="Arial"/>
          <w:szCs w:val="24"/>
        </w:rPr>
        <w:t>with</w:t>
      </w:r>
      <w:r w:rsidR="00DC1AD5">
        <w:rPr>
          <w:rFonts w:cs="Arial"/>
          <w:szCs w:val="24"/>
        </w:rPr>
        <w:t xml:space="preserve"> </w:t>
      </w:r>
      <w:r w:rsidRPr="00E521E6">
        <w:rPr>
          <w:rFonts w:cs="Arial"/>
          <w:szCs w:val="24"/>
        </w:rPr>
        <w:t xml:space="preserve">the swearing-in of new </w:t>
      </w:r>
      <w:r w:rsidR="00BE29DF">
        <w:rPr>
          <w:rFonts w:cs="Arial"/>
          <w:szCs w:val="24"/>
        </w:rPr>
        <w:t>s</w:t>
      </w:r>
      <w:r w:rsidRPr="00E521E6">
        <w:rPr>
          <w:rFonts w:cs="Arial"/>
          <w:szCs w:val="24"/>
        </w:rPr>
        <w:t xml:space="preserve">enators by the Vice President and some brief organizational work before the </w:t>
      </w:r>
      <w:r w:rsidRPr="00E521E6">
        <w:rPr>
          <w:rFonts w:cs="Arial"/>
          <w:szCs w:val="24"/>
        </w:rPr>
        <w:lastRenderedPageBreak/>
        <w:t>chamber left for a recess</w:t>
      </w:r>
      <w:r w:rsidR="00DC1AD5">
        <w:rPr>
          <w:rFonts w:cs="Arial"/>
          <w:szCs w:val="24"/>
        </w:rPr>
        <w:t>—</w:t>
      </w:r>
      <w:r w:rsidRPr="00E521E6">
        <w:rPr>
          <w:rFonts w:cs="Arial"/>
          <w:szCs w:val="24"/>
        </w:rPr>
        <w:t>the</w:t>
      </w:r>
      <w:r w:rsidR="00DC1AD5">
        <w:rPr>
          <w:rFonts w:cs="Arial"/>
          <w:szCs w:val="24"/>
        </w:rPr>
        <w:t xml:space="preserve"> </w:t>
      </w:r>
      <w:r w:rsidRPr="00E521E6">
        <w:rPr>
          <w:rFonts w:cs="Arial"/>
          <w:szCs w:val="24"/>
        </w:rPr>
        <w:t>beginning of the session for the House was plagued by division in the new governing party.</w:t>
      </w:r>
    </w:p>
    <w:p w14:paraId="6779DF1A" w14:textId="1683DA2C" w:rsidR="00737653" w:rsidRPr="00E521E6" w:rsidRDefault="00737653" w:rsidP="00737653">
      <w:pPr>
        <w:rPr>
          <w:rFonts w:cs="Arial"/>
          <w:szCs w:val="24"/>
        </w:rPr>
      </w:pPr>
      <w:r w:rsidRPr="00E521E6">
        <w:rPr>
          <w:rFonts w:cs="Arial"/>
          <w:szCs w:val="24"/>
        </w:rPr>
        <w:t>Though the Republican caucus chose Kevin McCarthy (R-CA) as their nominee for Speaker late last year, McCarthy failed to get a majority of those present</w:t>
      </w:r>
      <w:r w:rsidR="00DC1AD5">
        <w:rPr>
          <w:rFonts w:cs="Arial"/>
          <w:szCs w:val="24"/>
        </w:rPr>
        <w:t>—</w:t>
      </w:r>
      <w:r w:rsidRPr="00E521E6">
        <w:rPr>
          <w:rFonts w:cs="Arial"/>
          <w:szCs w:val="24"/>
        </w:rPr>
        <w:t>required</w:t>
      </w:r>
      <w:r w:rsidR="00DC1AD5">
        <w:rPr>
          <w:rFonts w:cs="Arial"/>
          <w:szCs w:val="24"/>
        </w:rPr>
        <w:t xml:space="preserve"> </w:t>
      </w:r>
      <w:r w:rsidRPr="00E521E6">
        <w:rPr>
          <w:rFonts w:cs="Arial"/>
          <w:szCs w:val="24"/>
        </w:rPr>
        <w:t>to take the position</w:t>
      </w:r>
      <w:r w:rsidR="00DC1AD5">
        <w:rPr>
          <w:rFonts w:cs="Arial"/>
          <w:szCs w:val="24"/>
        </w:rPr>
        <w:t>—</w:t>
      </w:r>
      <w:r w:rsidRPr="00E521E6">
        <w:rPr>
          <w:rFonts w:cs="Arial"/>
          <w:szCs w:val="24"/>
        </w:rPr>
        <w:t>in</w:t>
      </w:r>
      <w:r w:rsidR="00DC1AD5">
        <w:rPr>
          <w:rFonts w:cs="Arial"/>
          <w:szCs w:val="24"/>
        </w:rPr>
        <w:t xml:space="preserve"> </w:t>
      </w:r>
      <w:r w:rsidRPr="00E521E6">
        <w:rPr>
          <w:rFonts w:cs="Arial"/>
          <w:szCs w:val="24"/>
        </w:rPr>
        <w:t xml:space="preserve">multiple rounds of votes </w:t>
      </w:r>
      <w:r w:rsidR="00333BDA">
        <w:rPr>
          <w:rFonts w:cs="Arial"/>
          <w:szCs w:val="24"/>
        </w:rPr>
        <w:t>this week</w:t>
      </w:r>
      <w:r w:rsidRPr="00E521E6">
        <w:rPr>
          <w:rFonts w:cs="Arial"/>
          <w:szCs w:val="24"/>
        </w:rPr>
        <w:t>.  Attempts to compromise with the conservative House Freedom Caucus did not yield an increase in his margin, with Democrats holding strong to their nominee, Representative Hakeem Jeffries (D-NY), who will be the House Minority Leader.</w:t>
      </w:r>
    </w:p>
    <w:p w14:paraId="4970D744" w14:textId="7CF8E8A5" w:rsidR="00737653" w:rsidRPr="00E521E6" w:rsidRDefault="00737653" w:rsidP="00737653">
      <w:pPr>
        <w:rPr>
          <w:rFonts w:cs="Arial"/>
          <w:szCs w:val="24"/>
        </w:rPr>
      </w:pPr>
      <w:r w:rsidRPr="00E521E6">
        <w:rPr>
          <w:rFonts w:cs="Arial"/>
          <w:szCs w:val="24"/>
        </w:rPr>
        <w:t>In further negotiations, the holdouts told McCarthy that they wanted more concessions within the House rules for the 118</w:t>
      </w:r>
      <w:r w:rsidRPr="00E521E6">
        <w:rPr>
          <w:rFonts w:cs="Arial"/>
          <w:szCs w:val="24"/>
          <w:vertAlign w:val="superscript"/>
        </w:rPr>
        <w:t>th</w:t>
      </w:r>
      <w:r w:rsidRPr="00E521E6">
        <w:rPr>
          <w:rFonts w:cs="Arial"/>
          <w:szCs w:val="24"/>
        </w:rPr>
        <w:t xml:space="preserve"> Congress, including lowering the threshold for calling a vote of no confidence in the Speaker</w:t>
      </w:r>
      <w:r w:rsidR="00DC1AD5">
        <w:rPr>
          <w:rFonts w:cs="Arial"/>
          <w:szCs w:val="24"/>
        </w:rPr>
        <w:t>—</w:t>
      </w:r>
      <w:r w:rsidRPr="00E521E6">
        <w:rPr>
          <w:rFonts w:cs="Arial"/>
          <w:szCs w:val="24"/>
        </w:rPr>
        <w:t>the</w:t>
      </w:r>
      <w:r w:rsidR="00DC1AD5">
        <w:rPr>
          <w:rFonts w:cs="Arial"/>
          <w:szCs w:val="24"/>
        </w:rPr>
        <w:t xml:space="preserve"> </w:t>
      </w:r>
      <w:r w:rsidRPr="00E521E6">
        <w:rPr>
          <w:rFonts w:cs="Arial"/>
          <w:szCs w:val="24"/>
        </w:rPr>
        <w:t>procedural move that cost former Representatives John Boehner (R-OH) and Paul Ryan (R-OH) the job</w:t>
      </w:r>
      <w:r w:rsidR="00367550">
        <w:rPr>
          <w:rFonts w:cs="Arial"/>
          <w:szCs w:val="24"/>
        </w:rPr>
        <w:t>.</w:t>
      </w:r>
      <w:r w:rsidR="00E844B0">
        <w:rPr>
          <w:rFonts w:cs="Arial"/>
          <w:szCs w:val="24"/>
        </w:rPr>
        <w:t xml:space="preserve"> </w:t>
      </w:r>
      <w:r w:rsidRPr="00E521E6">
        <w:rPr>
          <w:rFonts w:cs="Arial"/>
          <w:szCs w:val="24"/>
        </w:rPr>
        <w:t xml:space="preserve"> </w:t>
      </w:r>
      <w:proofErr w:type="gramStart"/>
      <w:r w:rsidR="00BC6703">
        <w:rPr>
          <w:rFonts w:cs="Arial"/>
          <w:szCs w:val="24"/>
        </w:rPr>
        <w:t>Also</w:t>
      </w:r>
      <w:proofErr w:type="gramEnd"/>
      <w:r w:rsidR="00BC6703">
        <w:rPr>
          <w:rFonts w:cs="Arial"/>
          <w:szCs w:val="24"/>
        </w:rPr>
        <w:t xml:space="preserve"> on the table are</w:t>
      </w:r>
      <w:r w:rsidRPr="00E521E6">
        <w:rPr>
          <w:rFonts w:cs="Arial"/>
          <w:szCs w:val="24"/>
        </w:rPr>
        <w:t xml:space="preserve"> more power to subpoena or control the salaries of administration employees, a promise to oppose debt ceiling increases, and more Committee Chairmanships for themselves.  But it is not clear that will be enough to win McCarthy the position, and there is no other clear challenger on the Republican side.  </w:t>
      </w:r>
    </w:p>
    <w:p w14:paraId="08FF17FC" w14:textId="27DF1A93" w:rsidR="00737653" w:rsidRPr="00E521E6" w:rsidRDefault="00737653" w:rsidP="00737653">
      <w:pPr>
        <w:rPr>
          <w:rFonts w:cs="Arial"/>
          <w:szCs w:val="24"/>
        </w:rPr>
      </w:pPr>
      <w:r w:rsidRPr="00E521E6">
        <w:rPr>
          <w:rFonts w:cs="Arial"/>
          <w:szCs w:val="24"/>
        </w:rPr>
        <w:t xml:space="preserve">The Speaker must be elected before the members-elect are sworn in, and before rules are adopted, making this election a non-negotiable step.  Votes on rules for the House will also be difficult as members try to insert other new provisions like those proposed that would eliminate the Congressional staff union and </w:t>
      </w:r>
      <w:r w:rsidR="00333BDA">
        <w:rPr>
          <w:rFonts w:cs="Arial"/>
          <w:szCs w:val="24"/>
        </w:rPr>
        <w:t xml:space="preserve">to </w:t>
      </w:r>
      <w:r w:rsidRPr="00E521E6">
        <w:rPr>
          <w:rFonts w:cs="Arial"/>
          <w:szCs w:val="24"/>
        </w:rPr>
        <w:t>requir</w:t>
      </w:r>
      <w:r w:rsidR="00333BDA">
        <w:rPr>
          <w:rFonts w:cs="Arial"/>
          <w:szCs w:val="24"/>
        </w:rPr>
        <w:t>e</w:t>
      </w:r>
      <w:r w:rsidRPr="00E521E6">
        <w:rPr>
          <w:rFonts w:cs="Arial"/>
          <w:szCs w:val="24"/>
        </w:rPr>
        <w:t xml:space="preserve"> appropriations bills to be considered individually (not in omnibus form) and open to any and all amendments. With leadership positions still up in the air and with Committee Chairmanships being used as bargaining tools, the regular administrative and organizational work of the House will have to wait.  The division is also a bad sign for those lawmakers hoping to move legislation in the House this Congress, as it seems clear that the narrow margin will provide leverage to some holdouts to negotiate on any legislation</w:t>
      </w:r>
      <w:r w:rsidR="00DC1AD5">
        <w:rPr>
          <w:rFonts w:cs="Arial"/>
          <w:szCs w:val="24"/>
        </w:rPr>
        <w:t>—</w:t>
      </w:r>
      <w:r w:rsidRPr="00E521E6">
        <w:rPr>
          <w:rFonts w:cs="Arial"/>
          <w:szCs w:val="24"/>
        </w:rPr>
        <w:t>including</w:t>
      </w:r>
      <w:r w:rsidR="00DC1AD5">
        <w:rPr>
          <w:rFonts w:cs="Arial"/>
          <w:szCs w:val="24"/>
        </w:rPr>
        <w:t xml:space="preserve"> </w:t>
      </w:r>
      <w:r w:rsidRPr="00E521E6">
        <w:rPr>
          <w:rFonts w:cs="Arial"/>
          <w:szCs w:val="24"/>
        </w:rPr>
        <w:t>items like appropriations and the debt ceiling.</w:t>
      </w:r>
    </w:p>
    <w:p w14:paraId="3D47CE94" w14:textId="4C0528BE" w:rsidR="00737653" w:rsidRPr="00E521E6" w:rsidRDefault="00737653" w:rsidP="00737653">
      <w:pPr>
        <w:rPr>
          <w:rFonts w:cs="Arial"/>
          <w:szCs w:val="24"/>
        </w:rPr>
      </w:pPr>
      <w:r w:rsidRPr="00E521E6">
        <w:rPr>
          <w:rFonts w:cs="Arial"/>
          <w:szCs w:val="24"/>
        </w:rPr>
        <w:t>Lawmakers were advised to make themselves available in Washington through the weekend.  With the expiration of the rules from the 118</w:t>
      </w:r>
      <w:r w:rsidRPr="00E521E6">
        <w:rPr>
          <w:rFonts w:cs="Arial"/>
          <w:szCs w:val="24"/>
          <w:vertAlign w:val="superscript"/>
        </w:rPr>
        <w:t>th</w:t>
      </w:r>
      <w:r w:rsidRPr="00E521E6">
        <w:rPr>
          <w:rFonts w:cs="Arial"/>
          <w:szCs w:val="24"/>
        </w:rPr>
        <w:t xml:space="preserve"> Congress, proxy voting is no longer available to lawmakers in the House</w:t>
      </w:r>
      <w:r w:rsidR="008A0FF2">
        <w:rPr>
          <w:rFonts w:cs="Arial"/>
          <w:szCs w:val="24"/>
        </w:rPr>
        <w:t>, for which they</w:t>
      </w:r>
      <w:r w:rsidRPr="00E521E6">
        <w:rPr>
          <w:rFonts w:cs="Arial"/>
          <w:szCs w:val="24"/>
        </w:rPr>
        <w:t xml:space="preserve"> will have to be on the floor in</w:t>
      </w:r>
      <w:r w:rsidR="007A1138">
        <w:rPr>
          <w:rFonts w:cs="Arial"/>
          <w:szCs w:val="24"/>
        </w:rPr>
        <w:t>-</w:t>
      </w:r>
      <w:r w:rsidRPr="00E521E6">
        <w:rPr>
          <w:rFonts w:cs="Arial"/>
          <w:szCs w:val="24"/>
        </w:rPr>
        <w:t>person to be counted.</w:t>
      </w:r>
    </w:p>
    <w:p w14:paraId="06CCC7CE" w14:textId="21BE2B55" w:rsidR="00737653" w:rsidRDefault="00737653" w:rsidP="00737653">
      <w:pPr>
        <w:rPr>
          <w:rFonts w:cs="Arial"/>
          <w:szCs w:val="24"/>
        </w:rPr>
      </w:pPr>
      <w:r w:rsidRPr="00E521E6">
        <w:rPr>
          <w:rFonts w:cs="Arial"/>
          <w:szCs w:val="24"/>
        </w:rPr>
        <w:t>Author: JCM</w:t>
      </w:r>
    </w:p>
    <w:p w14:paraId="17912097" w14:textId="7920D798" w:rsidR="00737653" w:rsidRDefault="00737653" w:rsidP="00737653">
      <w:pPr>
        <w:pStyle w:val="Heading3"/>
      </w:pPr>
      <w:bookmarkStart w:id="20" w:name="_Toc123823156"/>
      <w:r>
        <w:t>OCR Issues Guidance on Protecting Students Based on Ethnicity and Ancestry</w:t>
      </w:r>
      <w:bookmarkEnd w:id="20"/>
      <w:r>
        <w:t xml:space="preserve"> </w:t>
      </w:r>
    </w:p>
    <w:p w14:paraId="7C213A6A" w14:textId="60BB9417" w:rsidR="00737653" w:rsidRPr="00E521E6" w:rsidRDefault="00737653" w:rsidP="00737653">
      <w:pPr>
        <w:rPr>
          <w:rFonts w:cs="Arial"/>
          <w:szCs w:val="24"/>
        </w:rPr>
      </w:pPr>
      <w:r w:rsidRPr="00E521E6">
        <w:rPr>
          <w:rFonts w:cs="Arial"/>
          <w:szCs w:val="24"/>
        </w:rPr>
        <w:t>The U.S. Department of Education’s Office for Civil Rights (OCR) issued a fact sheet</w:t>
      </w:r>
      <w:r w:rsidR="00E844B0">
        <w:rPr>
          <w:rFonts w:cs="Arial"/>
          <w:szCs w:val="24"/>
        </w:rPr>
        <w:t xml:space="preserve"> this week</w:t>
      </w:r>
      <w:r w:rsidRPr="00E521E6">
        <w:rPr>
          <w:rFonts w:cs="Arial"/>
          <w:szCs w:val="24"/>
        </w:rPr>
        <w:t xml:space="preserve"> on the prohibition on discrimination based on “shared ancestry or ethnic characteristics.”  The fact sheet is a response to increased antisemitic graffiti and threats against Jewish schools and places of worship</w:t>
      </w:r>
      <w:r w:rsidR="00333BDA">
        <w:rPr>
          <w:rFonts w:cs="Arial"/>
          <w:szCs w:val="24"/>
        </w:rPr>
        <w:t xml:space="preserve"> </w:t>
      </w:r>
      <w:r w:rsidRPr="00E521E6">
        <w:rPr>
          <w:rFonts w:cs="Arial"/>
          <w:szCs w:val="24"/>
        </w:rPr>
        <w:t>but broadly describes ways the protections extend to students who are</w:t>
      </w:r>
      <w:r w:rsidR="00085F42">
        <w:rPr>
          <w:rFonts w:cs="Arial"/>
          <w:szCs w:val="24"/>
        </w:rPr>
        <w:t>—</w:t>
      </w:r>
      <w:r w:rsidRPr="00E521E6">
        <w:rPr>
          <w:rFonts w:cs="Arial"/>
          <w:szCs w:val="24"/>
        </w:rPr>
        <w:t>or</w:t>
      </w:r>
      <w:r w:rsidR="00085F42">
        <w:rPr>
          <w:rFonts w:cs="Arial"/>
          <w:szCs w:val="24"/>
        </w:rPr>
        <w:t xml:space="preserve"> </w:t>
      </w:r>
      <w:r w:rsidRPr="00E521E6">
        <w:rPr>
          <w:rFonts w:cs="Arial"/>
          <w:szCs w:val="24"/>
        </w:rPr>
        <w:t>who are perceived as</w:t>
      </w:r>
      <w:r w:rsidR="00085F42">
        <w:rPr>
          <w:rFonts w:cs="Arial"/>
          <w:szCs w:val="24"/>
        </w:rPr>
        <w:t>—</w:t>
      </w:r>
      <w:r w:rsidRPr="00E521E6">
        <w:rPr>
          <w:rFonts w:cs="Arial"/>
          <w:szCs w:val="24"/>
        </w:rPr>
        <w:t>Jewish, Christian, Muslim, Sikh, Hindu, or Buddhist, among others.  An expected regulation on the same item has been delayed by more than a year.</w:t>
      </w:r>
    </w:p>
    <w:p w14:paraId="21CAE893" w14:textId="2EAAEF4C" w:rsidR="00737653" w:rsidRPr="00E521E6" w:rsidRDefault="00737653" w:rsidP="00737653">
      <w:pPr>
        <w:rPr>
          <w:rFonts w:cs="Arial"/>
          <w:szCs w:val="24"/>
        </w:rPr>
      </w:pPr>
      <w:r w:rsidRPr="00E521E6">
        <w:rPr>
          <w:rFonts w:cs="Arial"/>
          <w:szCs w:val="24"/>
        </w:rPr>
        <w:lastRenderedPageBreak/>
        <w:t>The fact sheet lists examples of circumstances which could raise concerns about discrimination under Title VI of the Civil Rights Act of 1964, including examples of specific scenarios that could be discriminatory.  It also notes that allegations of discrimination based solely on religion</w:t>
      </w:r>
      <w:r w:rsidR="00085F42">
        <w:rPr>
          <w:rFonts w:cs="Arial"/>
          <w:szCs w:val="24"/>
        </w:rPr>
        <w:t>—</w:t>
      </w:r>
      <w:r w:rsidRPr="00E521E6">
        <w:rPr>
          <w:rFonts w:cs="Arial"/>
          <w:szCs w:val="24"/>
        </w:rPr>
        <w:t>rather</w:t>
      </w:r>
      <w:r w:rsidR="00085F42">
        <w:rPr>
          <w:rFonts w:cs="Arial"/>
          <w:szCs w:val="24"/>
        </w:rPr>
        <w:t xml:space="preserve"> </w:t>
      </w:r>
      <w:r w:rsidRPr="00E521E6">
        <w:rPr>
          <w:rFonts w:cs="Arial"/>
          <w:szCs w:val="24"/>
        </w:rPr>
        <w:t>than stereotypes, appearance, or ethnic characteristics</w:t>
      </w:r>
      <w:r w:rsidR="00085F42">
        <w:rPr>
          <w:rFonts w:cs="Arial"/>
          <w:szCs w:val="24"/>
        </w:rPr>
        <w:t>—</w:t>
      </w:r>
      <w:r w:rsidRPr="00E521E6">
        <w:rPr>
          <w:rFonts w:cs="Arial"/>
          <w:szCs w:val="24"/>
        </w:rPr>
        <w:t>are</w:t>
      </w:r>
      <w:r w:rsidR="00085F42">
        <w:rPr>
          <w:rFonts w:cs="Arial"/>
          <w:szCs w:val="24"/>
        </w:rPr>
        <w:t xml:space="preserve"> </w:t>
      </w:r>
      <w:r w:rsidRPr="00E521E6">
        <w:rPr>
          <w:rFonts w:cs="Arial"/>
          <w:szCs w:val="24"/>
        </w:rPr>
        <w:t xml:space="preserve">handled by the </w:t>
      </w:r>
      <w:r w:rsidR="00E844B0">
        <w:rPr>
          <w:rFonts w:cs="Arial"/>
          <w:szCs w:val="24"/>
        </w:rPr>
        <w:t xml:space="preserve">U.S. </w:t>
      </w:r>
      <w:r w:rsidRPr="00E521E6">
        <w:rPr>
          <w:rFonts w:cs="Arial"/>
          <w:szCs w:val="24"/>
        </w:rPr>
        <w:t>Department of Justice.</w:t>
      </w:r>
    </w:p>
    <w:p w14:paraId="004910D2" w14:textId="77777777" w:rsidR="00737653" w:rsidRPr="00E521E6" w:rsidRDefault="00737653" w:rsidP="00737653">
      <w:pPr>
        <w:rPr>
          <w:rFonts w:cs="Arial"/>
          <w:szCs w:val="24"/>
        </w:rPr>
      </w:pPr>
      <w:r w:rsidRPr="00E521E6">
        <w:rPr>
          <w:rFonts w:cs="Arial"/>
          <w:szCs w:val="24"/>
        </w:rPr>
        <w:t>“The rise in reports of anti-Semitic incidents, including at schools, underscores the critical importance of addressing discrimination based on shared ancestry or ethnic characteristics,” Assistant Secretary for Civil Rights Catherine Lhamon said in a letter accompanying the release.  “Each of us has a role to play in protecting students from discrimination based on shared ancestry or ethnic characteristics.”</w:t>
      </w:r>
    </w:p>
    <w:p w14:paraId="0E16EB5C" w14:textId="77777777" w:rsidR="00737653" w:rsidRPr="00E521E6" w:rsidRDefault="00737653" w:rsidP="00737653">
      <w:pPr>
        <w:rPr>
          <w:rFonts w:cs="Arial"/>
          <w:szCs w:val="24"/>
        </w:rPr>
      </w:pPr>
      <w:r w:rsidRPr="00E521E6">
        <w:rPr>
          <w:rFonts w:cs="Arial"/>
          <w:szCs w:val="24"/>
        </w:rPr>
        <w:t xml:space="preserve">The </w:t>
      </w:r>
      <w:hyperlink r:id="rId12" w:history="1">
        <w:r w:rsidRPr="00E521E6">
          <w:rPr>
            <w:rStyle w:val="Hyperlink"/>
            <w:rFonts w:cs="Arial"/>
            <w:szCs w:val="24"/>
          </w:rPr>
          <w:t>fact sheet is available here</w:t>
        </w:r>
      </w:hyperlink>
      <w:r w:rsidRPr="00E521E6">
        <w:rPr>
          <w:rFonts w:cs="Arial"/>
          <w:szCs w:val="24"/>
        </w:rPr>
        <w:t>.</w:t>
      </w:r>
    </w:p>
    <w:p w14:paraId="7BFBD528" w14:textId="0742365B" w:rsidR="00737653" w:rsidRPr="00737653" w:rsidRDefault="00737653" w:rsidP="00737653">
      <w:pPr>
        <w:rPr>
          <w:rFonts w:cs="Arial"/>
          <w:szCs w:val="24"/>
        </w:rPr>
      </w:pPr>
      <w:r w:rsidRPr="00E521E6">
        <w:rPr>
          <w:rFonts w:cs="Arial"/>
          <w:szCs w:val="24"/>
        </w:rPr>
        <w:t>Author: JCM</w:t>
      </w:r>
    </w:p>
    <w:p w14:paraId="757D07B6" w14:textId="6400C02D" w:rsidR="00A152A5" w:rsidRDefault="00A8447B" w:rsidP="00B06F0A">
      <w:pPr>
        <w:pStyle w:val="Heading2"/>
      </w:pPr>
      <w:bookmarkStart w:id="21" w:name="_Toc123823157"/>
      <w:r>
        <w:t>News</w:t>
      </w:r>
      <w:bookmarkEnd w:id="21"/>
    </w:p>
    <w:p w14:paraId="270CB295" w14:textId="20359E43" w:rsidR="00D60E68" w:rsidRDefault="00D60E68" w:rsidP="00D60E68">
      <w:pPr>
        <w:pStyle w:val="Heading3"/>
        <w:rPr>
          <w:rFonts w:eastAsia="Times New Roman"/>
        </w:rPr>
      </w:pPr>
      <w:bookmarkStart w:id="22" w:name="_Toc123823158"/>
      <w:bookmarkEnd w:id="6"/>
      <w:bookmarkEnd w:id="7"/>
      <w:bookmarkEnd w:id="8"/>
      <w:bookmarkEnd w:id="9"/>
      <w:bookmarkEnd w:id="16"/>
      <w:r>
        <w:rPr>
          <w:rFonts w:eastAsia="Times New Roman"/>
        </w:rPr>
        <w:t xml:space="preserve">ED </w:t>
      </w:r>
      <w:r w:rsidR="00E82F10">
        <w:rPr>
          <w:rFonts w:eastAsia="Times New Roman"/>
        </w:rPr>
        <w:t>Releases Semi-Annual Regulatory Agenda with Focus on Higher Ed</w:t>
      </w:r>
      <w:bookmarkEnd w:id="22"/>
    </w:p>
    <w:p w14:paraId="3E24DEDD" w14:textId="174D5168" w:rsidR="00E82F10" w:rsidRDefault="00E82F10" w:rsidP="00E82F10">
      <w:pPr>
        <w:spacing w:after="0"/>
        <w:rPr>
          <w:rFonts w:cs="Arial"/>
        </w:rPr>
      </w:pPr>
      <w:r w:rsidRPr="004E5989">
        <w:rPr>
          <w:rFonts w:cs="Arial"/>
        </w:rPr>
        <w:t>This week</w:t>
      </w:r>
      <w:r>
        <w:rPr>
          <w:rFonts w:cs="Arial"/>
        </w:rPr>
        <w:t xml:space="preserve">, the U.S. Department of Education (ED) released </w:t>
      </w:r>
      <w:r w:rsidR="00574F26">
        <w:rPr>
          <w:rFonts w:cs="Arial"/>
        </w:rPr>
        <w:t>its</w:t>
      </w:r>
      <w:r>
        <w:rPr>
          <w:rFonts w:cs="Arial"/>
        </w:rPr>
        <w:t xml:space="preserve"> regulatory agenda</w:t>
      </w:r>
      <w:r w:rsidR="00333BDA">
        <w:rPr>
          <w:rFonts w:cs="Arial"/>
        </w:rPr>
        <w:t xml:space="preserve">, which is updated twice per year.  The agenda includes </w:t>
      </w:r>
      <w:r>
        <w:rPr>
          <w:rFonts w:cs="Arial"/>
        </w:rPr>
        <w:t>a list of proposed regulatory actions for agencies</w:t>
      </w:r>
      <w:r w:rsidR="00333BDA">
        <w:rPr>
          <w:rFonts w:cs="Arial"/>
        </w:rPr>
        <w:t xml:space="preserve"> for the coming months</w:t>
      </w:r>
      <w:r w:rsidR="00574F26">
        <w:rPr>
          <w:rFonts w:cs="Arial"/>
        </w:rPr>
        <w:t>, including for ED</w:t>
      </w:r>
      <w:r>
        <w:rPr>
          <w:rFonts w:cs="Arial"/>
        </w:rPr>
        <w:t xml:space="preserve">.  ED plans to hold a series negotiated-rulemaking sessions in April to consider new rules regarding a range of higher education and student loan topics.  The agenda represents the Biden administration’s continued focus on postsecondary education, especially for-profit colleges. </w:t>
      </w:r>
    </w:p>
    <w:p w14:paraId="6F39DF28" w14:textId="2A5D2DC8" w:rsidR="00E82F10" w:rsidRDefault="00E82F10" w:rsidP="00E82F10">
      <w:pPr>
        <w:spacing w:after="0"/>
        <w:rPr>
          <w:rFonts w:cs="Arial"/>
        </w:rPr>
      </w:pPr>
      <w:r>
        <w:rPr>
          <w:rFonts w:cs="Arial"/>
        </w:rPr>
        <w:t>ED</w:t>
      </w:r>
      <w:r w:rsidR="00BC6703">
        <w:rPr>
          <w:rFonts w:cs="Arial"/>
        </w:rPr>
        <w:t xml:space="preserve"> had</w:t>
      </w:r>
      <w:r>
        <w:rPr>
          <w:rFonts w:cs="Arial"/>
        </w:rPr>
        <w:t xml:space="preserve"> previously announced a plan to address Federal TRIO Programs, a set of eight programs designed to assist low-income and disadvantaged students in preparation for post-secondary education.  The </w:t>
      </w:r>
      <w:r w:rsidR="00333BDA">
        <w:rPr>
          <w:rFonts w:cs="Arial"/>
        </w:rPr>
        <w:t xml:space="preserve">updated </w:t>
      </w:r>
      <w:r>
        <w:rPr>
          <w:rFonts w:cs="Arial"/>
        </w:rPr>
        <w:t>agenda include</w:t>
      </w:r>
      <w:r w:rsidR="00333BDA">
        <w:rPr>
          <w:rFonts w:cs="Arial"/>
        </w:rPr>
        <w:t>s</w:t>
      </w:r>
      <w:r>
        <w:rPr>
          <w:rFonts w:cs="Arial"/>
        </w:rPr>
        <w:t xml:space="preserve"> additional </w:t>
      </w:r>
      <w:r w:rsidR="00333BDA">
        <w:rPr>
          <w:rFonts w:cs="Arial"/>
        </w:rPr>
        <w:t xml:space="preserve">higher education </w:t>
      </w:r>
      <w:r w:rsidR="00BC6703">
        <w:rPr>
          <w:rFonts w:cs="Arial"/>
        </w:rPr>
        <w:t>items</w:t>
      </w:r>
      <w:r>
        <w:rPr>
          <w:rFonts w:cs="Arial"/>
        </w:rPr>
        <w:t xml:space="preserve">. </w:t>
      </w:r>
    </w:p>
    <w:p w14:paraId="2E3304F2" w14:textId="48361404" w:rsidR="00E82F10" w:rsidRDefault="00333BDA" w:rsidP="00E82F10">
      <w:pPr>
        <w:spacing w:after="0"/>
        <w:rPr>
          <w:rFonts w:cs="Arial"/>
        </w:rPr>
      </w:pPr>
      <w:r>
        <w:rPr>
          <w:rFonts w:cs="Arial"/>
        </w:rPr>
        <w:t>ED</w:t>
      </w:r>
      <w:r w:rsidR="00E82F10">
        <w:rPr>
          <w:rFonts w:cs="Arial"/>
        </w:rPr>
        <w:t xml:space="preserve"> indicate</w:t>
      </w:r>
      <w:r>
        <w:rPr>
          <w:rFonts w:cs="Arial"/>
        </w:rPr>
        <w:t>s</w:t>
      </w:r>
      <w:r w:rsidR="00E82F10">
        <w:rPr>
          <w:rFonts w:cs="Arial"/>
        </w:rPr>
        <w:t xml:space="preserve"> that it would address the oversight of third-party servicers, including online program managers who are hired by colleges to manage online programs.  ED also plans to redefine what is considered “distance education.” </w:t>
      </w:r>
    </w:p>
    <w:p w14:paraId="322C0C78" w14:textId="2F983C1E" w:rsidR="00E82F10" w:rsidRDefault="00E82F10" w:rsidP="00E82F10">
      <w:pPr>
        <w:spacing w:after="0"/>
        <w:rPr>
          <w:rFonts w:cs="Arial"/>
        </w:rPr>
      </w:pPr>
      <w:r>
        <w:rPr>
          <w:rFonts w:cs="Arial"/>
        </w:rPr>
        <w:t xml:space="preserve">Further, ED will consider changes to accreditation and </w:t>
      </w:r>
      <w:r w:rsidR="00333BDA">
        <w:rPr>
          <w:rFonts w:cs="Arial"/>
        </w:rPr>
        <w:t>S</w:t>
      </w:r>
      <w:r>
        <w:rPr>
          <w:rFonts w:cs="Arial"/>
        </w:rPr>
        <w:t>tate authorization for federal student aid</w:t>
      </w:r>
      <w:r w:rsidR="00333BDA">
        <w:rPr>
          <w:rFonts w:cs="Arial"/>
        </w:rPr>
        <w:t xml:space="preserve"> and</w:t>
      </w:r>
      <w:r>
        <w:rPr>
          <w:rFonts w:cs="Arial"/>
        </w:rPr>
        <w:t xml:space="preserve"> plans to adjust the requirements that college accreditors must meet in order to be recognized by ED</w:t>
      </w:r>
      <w:r w:rsidR="00333BDA">
        <w:rPr>
          <w:rFonts w:cs="Arial"/>
        </w:rPr>
        <w:t xml:space="preserve">.  The administration also plans to issue regulations on </w:t>
      </w:r>
      <w:r>
        <w:rPr>
          <w:rFonts w:cs="Arial"/>
        </w:rPr>
        <w:t>the procedures</w:t>
      </w:r>
      <w:r w:rsidR="00277997">
        <w:rPr>
          <w:rFonts w:cs="Arial"/>
        </w:rPr>
        <w:t xml:space="preserve"> that</w:t>
      </w:r>
      <w:r>
        <w:rPr>
          <w:rFonts w:cs="Arial"/>
        </w:rPr>
        <w:t xml:space="preserve"> colleges must follow to receive federal student aid.  The administration would also like to change the process by which colleges are approved by </w:t>
      </w:r>
      <w:r w:rsidR="00333BDA">
        <w:rPr>
          <w:rFonts w:cs="Arial"/>
        </w:rPr>
        <w:t>S</w:t>
      </w:r>
      <w:r>
        <w:rPr>
          <w:rFonts w:cs="Arial"/>
        </w:rPr>
        <w:t xml:space="preserve">tate regulators to receive aid. </w:t>
      </w:r>
    </w:p>
    <w:p w14:paraId="62D9A99A" w14:textId="4F04815B" w:rsidR="00E82F10" w:rsidRDefault="00E82F10" w:rsidP="00E82F10">
      <w:pPr>
        <w:spacing w:after="0"/>
        <w:rPr>
          <w:rFonts w:cs="Arial"/>
        </w:rPr>
      </w:pPr>
      <w:r>
        <w:rPr>
          <w:rFonts w:cs="Arial"/>
        </w:rPr>
        <w:t xml:space="preserve">The </w:t>
      </w:r>
      <w:r w:rsidR="00333BDA">
        <w:rPr>
          <w:rFonts w:cs="Arial"/>
        </w:rPr>
        <w:t>administration will take action</w:t>
      </w:r>
      <w:r>
        <w:rPr>
          <w:rFonts w:cs="Arial"/>
        </w:rPr>
        <w:t xml:space="preserve"> related to student loans and cash management</w:t>
      </w:r>
      <w:r w:rsidR="00333BDA">
        <w:rPr>
          <w:rFonts w:cs="Arial"/>
        </w:rPr>
        <w:t xml:space="preserve"> as well</w:t>
      </w:r>
      <w:r>
        <w:rPr>
          <w:rFonts w:cs="Arial"/>
        </w:rPr>
        <w:t>.  ED wants to modify the forbearance standards for federal student loan borrowers and create new rules to ensure students receive timely disbursements from colleges.  Additionally, ED plans to review the “Return to Title IV</w:t>
      </w:r>
      <w:r w:rsidR="00333BDA">
        <w:rPr>
          <w:rFonts w:cs="Arial"/>
        </w:rPr>
        <w:t>”</w:t>
      </w:r>
      <w:r>
        <w:rPr>
          <w:rFonts w:cs="Arial"/>
        </w:rPr>
        <w:t xml:space="preserve"> process, which involves the return of federal funds when a student withdraws.  College administrators have argued that the process is complicated and burdensome. </w:t>
      </w:r>
    </w:p>
    <w:p w14:paraId="7AE37252" w14:textId="6EAB0222" w:rsidR="00333BDA" w:rsidRDefault="00333BDA" w:rsidP="00E82F10">
      <w:pPr>
        <w:spacing w:after="0"/>
        <w:rPr>
          <w:rFonts w:cs="Arial"/>
        </w:rPr>
      </w:pPr>
      <w:r>
        <w:rPr>
          <w:rFonts w:cs="Arial"/>
        </w:rPr>
        <w:t xml:space="preserve">In addition to the higher education-specific regulations that ED intends to </w:t>
      </w:r>
      <w:r w:rsidR="00574F26">
        <w:rPr>
          <w:rFonts w:cs="Arial"/>
        </w:rPr>
        <w:t>take action on</w:t>
      </w:r>
      <w:r>
        <w:rPr>
          <w:rFonts w:cs="Arial"/>
        </w:rPr>
        <w:t xml:space="preserve"> </w:t>
      </w:r>
      <w:r>
        <w:rPr>
          <w:rFonts w:cs="Arial"/>
        </w:rPr>
        <w:lastRenderedPageBreak/>
        <w:t xml:space="preserve">this year, ED plans to update the Education Department General Administrative Regulations (EDGAR) to reflect changes made to the Uniform Grant Guidance in recent years, as well as </w:t>
      </w:r>
      <w:r w:rsidR="00574F26">
        <w:rPr>
          <w:rFonts w:cs="Arial"/>
        </w:rPr>
        <w:t xml:space="preserve">to address </w:t>
      </w:r>
      <w:r>
        <w:rPr>
          <w:rFonts w:cs="Arial"/>
        </w:rPr>
        <w:t xml:space="preserve">other </w:t>
      </w:r>
      <w:r w:rsidR="00574F26">
        <w:rPr>
          <w:rFonts w:cs="Arial"/>
        </w:rPr>
        <w:t xml:space="preserve">grant </w:t>
      </w:r>
      <w:r>
        <w:rPr>
          <w:rFonts w:cs="Arial"/>
        </w:rPr>
        <w:t>issues</w:t>
      </w:r>
      <w:r w:rsidR="00574F26">
        <w:rPr>
          <w:rFonts w:cs="Arial"/>
        </w:rPr>
        <w:t xml:space="preserve">.  ED has also noted May of this year as the target date for final Title IX regulations to be issued, however, rules are often not issued by the proposed dates included in the semi-annual regulatory agenda. </w:t>
      </w:r>
    </w:p>
    <w:p w14:paraId="36328B1A" w14:textId="245AACDF" w:rsidR="00E82F10" w:rsidRDefault="00000000" w:rsidP="00E82F10">
      <w:pPr>
        <w:spacing w:after="0"/>
        <w:rPr>
          <w:rFonts w:cs="Arial"/>
        </w:rPr>
      </w:pPr>
      <w:hyperlink r:id="rId13" w:history="1">
        <w:r w:rsidR="00E82F10" w:rsidRPr="00574F26">
          <w:rPr>
            <w:rStyle w:val="Hyperlink"/>
            <w:rFonts w:cs="Arial"/>
          </w:rPr>
          <w:t xml:space="preserve">The </w:t>
        </w:r>
        <w:r w:rsidR="00574F26" w:rsidRPr="00574F26">
          <w:rPr>
            <w:rStyle w:val="Hyperlink"/>
            <w:rFonts w:cs="Arial"/>
          </w:rPr>
          <w:t>full semi-annual regulatory agenda can be viewed here</w:t>
        </w:r>
      </w:hyperlink>
      <w:r w:rsidR="00574F26">
        <w:rPr>
          <w:rFonts w:cs="Arial"/>
        </w:rPr>
        <w:t xml:space="preserve">. </w:t>
      </w:r>
      <w:r w:rsidR="00E82F10">
        <w:rPr>
          <w:rFonts w:cs="Arial"/>
        </w:rPr>
        <w:t xml:space="preserve"> </w:t>
      </w:r>
    </w:p>
    <w:p w14:paraId="3A74F321" w14:textId="33A01A2C" w:rsidR="00E82F10" w:rsidRDefault="00E82F10" w:rsidP="00E82F10">
      <w:pPr>
        <w:spacing w:after="0"/>
        <w:rPr>
          <w:rFonts w:cs="Arial"/>
        </w:rPr>
      </w:pPr>
      <w:r>
        <w:rPr>
          <w:rFonts w:cs="Arial"/>
        </w:rPr>
        <w:t>Res</w:t>
      </w:r>
      <w:r w:rsidRPr="004E5989">
        <w:rPr>
          <w:rFonts w:cs="Arial"/>
        </w:rPr>
        <w:t>ource</w:t>
      </w:r>
      <w:r>
        <w:rPr>
          <w:rFonts w:cs="Arial"/>
        </w:rPr>
        <w:t>s</w:t>
      </w:r>
      <w:r w:rsidRPr="004E5989">
        <w:rPr>
          <w:rFonts w:cs="Arial"/>
        </w:rPr>
        <w:t xml:space="preserve">: </w:t>
      </w:r>
    </w:p>
    <w:p w14:paraId="4C0F2974" w14:textId="703EF61F" w:rsidR="00E82F10" w:rsidRPr="004E5989" w:rsidRDefault="00E82F10" w:rsidP="00E82F10">
      <w:pPr>
        <w:spacing w:before="0" w:after="0"/>
        <w:rPr>
          <w:rFonts w:cs="Arial"/>
        </w:rPr>
      </w:pPr>
      <w:r w:rsidRPr="004E5989">
        <w:rPr>
          <w:rFonts w:cs="Arial"/>
        </w:rPr>
        <w:t xml:space="preserve">Michael Stratford, “Biden Admin Plans New Round of Rulemaking on Higher Ed, Student Loan Policies,” </w:t>
      </w:r>
      <w:r w:rsidRPr="004E5989">
        <w:rPr>
          <w:rFonts w:cs="Arial"/>
          <w:i/>
          <w:iCs/>
        </w:rPr>
        <w:t>Politico</w:t>
      </w:r>
      <w:r w:rsidRPr="004E5989">
        <w:rPr>
          <w:rFonts w:cs="Arial"/>
        </w:rPr>
        <w:t xml:space="preserve">, January 4, 2023. </w:t>
      </w:r>
    </w:p>
    <w:p w14:paraId="44052876" w14:textId="7CB62C24" w:rsidR="00E82F10" w:rsidRPr="00E82F10" w:rsidRDefault="00E82F10" w:rsidP="00E82F10">
      <w:pPr>
        <w:spacing w:before="0"/>
      </w:pPr>
      <w:r w:rsidRPr="004E5989">
        <w:rPr>
          <w:rFonts w:cs="Arial"/>
        </w:rPr>
        <w:t>Author: BNT</w:t>
      </w:r>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w:t>
      </w:r>
      <w:proofErr w:type="spellStart"/>
      <w:r w:rsidRPr="000D1533">
        <w:rPr>
          <w:rFonts w:eastAsia="Times New Roman" w:cs="Arial"/>
          <w:i/>
          <w:iCs/>
          <w:szCs w:val="24"/>
        </w:rPr>
        <w:t>Brustein</w:t>
      </w:r>
      <w:proofErr w:type="spellEnd"/>
      <w:r w:rsidRPr="000D1533">
        <w:rPr>
          <w:rFonts w:eastAsia="Times New Roman" w:cs="Arial"/>
          <w:i/>
          <w:iCs/>
          <w:szCs w:val="24"/>
        </w:rPr>
        <w:t xml:space="preserve"> &amp; </w:t>
      </w:r>
      <w:proofErr w:type="spellStart"/>
      <w:r w:rsidRPr="000D1533">
        <w:rPr>
          <w:rFonts w:eastAsia="Times New Roman" w:cs="Arial"/>
          <w:i/>
          <w:iCs/>
          <w:szCs w:val="24"/>
        </w:rPr>
        <w:t>Manasevit’s</w:t>
      </w:r>
      <w:proofErr w:type="spellEnd"/>
      <w:r w:rsidRPr="000D1533">
        <w:rPr>
          <w:rFonts w:eastAsia="Times New Roman" w:cs="Arial"/>
          <w:i/>
          <w:iCs/>
          <w:szCs w:val="24"/>
        </w:rPr>
        <w:t xml:space="preserve">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the Every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4"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3AF1D40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A8447B">
        <w:rPr>
          <w:rFonts w:eastAsia="Times New Roman" w:cs="Arial"/>
          <w:szCs w:val="24"/>
        </w:rPr>
        <w:t>, Brandi Tennant</w:t>
      </w:r>
    </w:p>
    <w:p w14:paraId="5B36A4CB" w14:textId="0EDDB172" w:rsidR="00E45539" w:rsidRDefault="00E45539" w:rsidP="00E45539">
      <w:pPr>
        <w:pStyle w:val="Footer"/>
        <w:spacing w:after="0"/>
      </w:pPr>
      <w:r>
        <w:t>Posted by the California Department of Education, April 2023</w:t>
      </w:r>
    </w:p>
    <w:p w14:paraId="6A5F0B05" w14:textId="7B2ACBBF" w:rsidR="00E45539" w:rsidRPr="00B4357B" w:rsidRDefault="00000000" w:rsidP="00B4357B">
      <w:pPr>
        <w:pStyle w:val="Footer"/>
      </w:pPr>
      <w:hyperlink r:id="rId15" w:tooltip="Brustein &amp; Manasevit's website link." w:history="1">
        <w:r w:rsidR="00E45539">
          <w:rPr>
            <w:rStyle w:val="Hyperlink"/>
            <w:szCs w:val="24"/>
          </w:rPr>
          <w:t>www.bruman.com</w:t>
        </w:r>
      </w:hyperlink>
    </w:p>
    <w:sectPr w:rsidR="00E45539" w:rsidRPr="00B4357B"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C714" w14:textId="77777777" w:rsidR="00D307E1" w:rsidRDefault="00D307E1">
      <w:pPr>
        <w:spacing w:before="0" w:after="0"/>
      </w:pPr>
      <w:r>
        <w:separator/>
      </w:r>
    </w:p>
  </w:endnote>
  <w:endnote w:type="continuationSeparator" w:id="0">
    <w:p w14:paraId="26BCF2B4" w14:textId="77777777" w:rsidR="00D307E1" w:rsidRDefault="00D307E1">
      <w:pPr>
        <w:spacing w:before="0" w:after="0"/>
      </w:pPr>
      <w:r>
        <w:continuationSeparator/>
      </w:r>
    </w:p>
  </w:endnote>
  <w:endnote w:type="continuationNotice" w:id="1">
    <w:p w14:paraId="58ACB490" w14:textId="77777777" w:rsidR="00D307E1" w:rsidRDefault="00D307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6CEE" w14:textId="77777777" w:rsidR="00D307E1" w:rsidRDefault="00D307E1">
      <w:pPr>
        <w:spacing w:before="0" w:after="0"/>
      </w:pPr>
      <w:r>
        <w:separator/>
      </w:r>
    </w:p>
  </w:footnote>
  <w:footnote w:type="continuationSeparator" w:id="0">
    <w:p w14:paraId="10250703" w14:textId="77777777" w:rsidR="00D307E1" w:rsidRDefault="00D307E1">
      <w:pPr>
        <w:spacing w:before="0" w:after="0"/>
      </w:pPr>
      <w:r>
        <w:continuationSeparator/>
      </w:r>
    </w:p>
  </w:footnote>
  <w:footnote w:type="continuationNotice" w:id="1">
    <w:p w14:paraId="2054A7A2" w14:textId="77777777" w:rsidR="00D307E1" w:rsidRDefault="00D307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B2BB332" w:rsidR="003C7552" w:rsidRPr="00662BDC" w:rsidRDefault="009471B1" w:rsidP="000A590A">
    <w:pPr>
      <w:pStyle w:val="NoSpacing"/>
      <w:tabs>
        <w:tab w:val="left" w:pos="7920"/>
      </w:tabs>
    </w:pPr>
    <w:r>
      <w:t xml:space="preserve">January </w:t>
    </w:r>
    <w:r w:rsidR="00BE29DF">
      <w:t>6</w:t>
    </w:r>
    <w:r w:rsidR="0007306F">
      <w:t>,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4104150">
    <w:abstractNumId w:val="1"/>
  </w:num>
  <w:num w:numId="2" w16cid:durableId="2069449372">
    <w:abstractNumId w:val="8"/>
  </w:num>
  <w:num w:numId="3" w16cid:durableId="1601252260">
    <w:abstractNumId w:val="9"/>
  </w:num>
  <w:num w:numId="4" w16cid:durableId="1883787891">
    <w:abstractNumId w:val="10"/>
  </w:num>
  <w:num w:numId="5" w16cid:durableId="647445075">
    <w:abstractNumId w:val="11"/>
  </w:num>
  <w:num w:numId="6" w16cid:durableId="1262762000">
    <w:abstractNumId w:val="2"/>
  </w:num>
  <w:num w:numId="7" w16cid:durableId="1668752398">
    <w:abstractNumId w:val="6"/>
  </w:num>
  <w:num w:numId="8" w16cid:durableId="220167564">
    <w:abstractNumId w:val="5"/>
  </w:num>
  <w:num w:numId="9" w16cid:durableId="1772890618">
    <w:abstractNumId w:val="4"/>
  </w:num>
  <w:num w:numId="10" w16cid:durableId="416102605">
    <w:abstractNumId w:val="3"/>
  </w:num>
  <w:num w:numId="11" w16cid:durableId="165824415">
    <w:abstractNumId w:val="0"/>
  </w:num>
  <w:num w:numId="12" w16cid:durableId="12970298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19A9"/>
    <w:rsid w:val="00052274"/>
    <w:rsid w:val="00052796"/>
    <w:rsid w:val="0005283F"/>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2D6"/>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2605"/>
    <w:rsid w:val="000F2F8F"/>
    <w:rsid w:val="000F34DF"/>
    <w:rsid w:val="000F3E0E"/>
    <w:rsid w:val="000F4531"/>
    <w:rsid w:val="000F4968"/>
    <w:rsid w:val="000F4DD2"/>
    <w:rsid w:val="000F5DEE"/>
    <w:rsid w:val="000F5F98"/>
    <w:rsid w:val="000F6869"/>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4EFD"/>
    <w:rsid w:val="0017612D"/>
    <w:rsid w:val="0017660C"/>
    <w:rsid w:val="0017750A"/>
    <w:rsid w:val="00180451"/>
    <w:rsid w:val="0018110F"/>
    <w:rsid w:val="00182BD3"/>
    <w:rsid w:val="00182F38"/>
    <w:rsid w:val="00183335"/>
    <w:rsid w:val="0018355C"/>
    <w:rsid w:val="001841D5"/>
    <w:rsid w:val="001861EE"/>
    <w:rsid w:val="00186433"/>
    <w:rsid w:val="00186D26"/>
    <w:rsid w:val="001874C4"/>
    <w:rsid w:val="001879EA"/>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42A6"/>
    <w:rsid w:val="001C4507"/>
    <w:rsid w:val="001C4A16"/>
    <w:rsid w:val="001C689A"/>
    <w:rsid w:val="001C6ED2"/>
    <w:rsid w:val="001C7120"/>
    <w:rsid w:val="001D0718"/>
    <w:rsid w:val="001D0AAC"/>
    <w:rsid w:val="001D0DBD"/>
    <w:rsid w:val="001D1D17"/>
    <w:rsid w:val="001D2ED3"/>
    <w:rsid w:val="001D2F7D"/>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746A"/>
    <w:rsid w:val="001F7778"/>
    <w:rsid w:val="001F7CE1"/>
    <w:rsid w:val="00200FD5"/>
    <w:rsid w:val="0020122F"/>
    <w:rsid w:val="00201433"/>
    <w:rsid w:val="002015E8"/>
    <w:rsid w:val="00202E33"/>
    <w:rsid w:val="00203B27"/>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94A"/>
    <w:rsid w:val="002209C8"/>
    <w:rsid w:val="002210B2"/>
    <w:rsid w:val="002213F5"/>
    <w:rsid w:val="002214A8"/>
    <w:rsid w:val="0022159E"/>
    <w:rsid w:val="00222EA0"/>
    <w:rsid w:val="00224161"/>
    <w:rsid w:val="00225A12"/>
    <w:rsid w:val="00227B62"/>
    <w:rsid w:val="00230E5E"/>
    <w:rsid w:val="00231DE5"/>
    <w:rsid w:val="00232375"/>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131"/>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B98"/>
    <w:rsid w:val="003916F7"/>
    <w:rsid w:val="003918BB"/>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3C7"/>
    <w:rsid w:val="003D47C8"/>
    <w:rsid w:val="003D4C95"/>
    <w:rsid w:val="003D642E"/>
    <w:rsid w:val="003D65C7"/>
    <w:rsid w:val="003D6E81"/>
    <w:rsid w:val="003D765A"/>
    <w:rsid w:val="003D7BBB"/>
    <w:rsid w:val="003D7BE9"/>
    <w:rsid w:val="003E1BCF"/>
    <w:rsid w:val="003E208A"/>
    <w:rsid w:val="003E23AE"/>
    <w:rsid w:val="003E2AF2"/>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4298"/>
    <w:rsid w:val="0046454D"/>
    <w:rsid w:val="00464C55"/>
    <w:rsid w:val="00465EB5"/>
    <w:rsid w:val="0046775C"/>
    <w:rsid w:val="00467A36"/>
    <w:rsid w:val="00467AE6"/>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1118"/>
    <w:rsid w:val="005B2A9A"/>
    <w:rsid w:val="005B3A7A"/>
    <w:rsid w:val="005B3DD2"/>
    <w:rsid w:val="005B3F59"/>
    <w:rsid w:val="005B47DF"/>
    <w:rsid w:val="005B47F4"/>
    <w:rsid w:val="005B4CE5"/>
    <w:rsid w:val="005B4EAD"/>
    <w:rsid w:val="005B51CA"/>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FDB"/>
    <w:rsid w:val="00606F22"/>
    <w:rsid w:val="00607255"/>
    <w:rsid w:val="00607D91"/>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5E20"/>
    <w:rsid w:val="0062632E"/>
    <w:rsid w:val="00626337"/>
    <w:rsid w:val="0062693D"/>
    <w:rsid w:val="00626E64"/>
    <w:rsid w:val="00630EC7"/>
    <w:rsid w:val="006310D6"/>
    <w:rsid w:val="0063110B"/>
    <w:rsid w:val="00631275"/>
    <w:rsid w:val="0063135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21AD"/>
    <w:rsid w:val="008236C2"/>
    <w:rsid w:val="00823B80"/>
    <w:rsid w:val="00823D49"/>
    <w:rsid w:val="008243C8"/>
    <w:rsid w:val="008250E1"/>
    <w:rsid w:val="008251E4"/>
    <w:rsid w:val="008269EA"/>
    <w:rsid w:val="00826C62"/>
    <w:rsid w:val="008273E0"/>
    <w:rsid w:val="00827435"/>
    <w:rsid w:val="00827F1F"/>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BA9"/>
    <w:rsid w:val="00987504"/>
    <w:rsid w:val="00987740"/>
    <w:rsid w:val="00987ECC"/>
    <w:rsid w:val="00990115"/>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A3B"/>
    <w:rsid w:val="00A33341"/>
    <w:rsid w:val="00A34354"/>
    <w:rsid w:val="00A34928"/>
    <w:rsid w:val="00A352A8"/>
    <w:rsid w:val="00A37428"/>
    <w:rsid w:val="00A4023F"/>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A07"/>
    <w:rsid w:val="00AF025B"/>
    <w:rsid w:val="00AF0E0E"/>
    <w:rsid w:val="00AF12FE"/>
    <w:rsid w:val="00AF1DB5"/>
    <w:rsid w:val="00AF1FE8"/>
    <w:rsid w:val="00AF2DDC"/>
    <w:rsid w:val="00AF312F"/>
    <w:rsid w:val="00AF34FB"/>
    <w:rsid w:val="00AF37FF"/>
    <w:rsid w:val="00AF3DFB"/>
    <w:rsid w:val="00AF4203"/>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357B"/>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1294"/>
    <w:rsid w:val="00B81D3C"/>
    <w:rsid w:val="00B81FF0"/>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315"/>
    <w:rsid w:val="00C00402"/>
    <w:rsid w:val="00C0047A"/>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2058F"/>
    <w:rsid w:val="00C208C9"/>
    <w:rsid w:val="00C217B1"/>
    <w:rsid w:val="00C224C5"/>
    <w:rsid w:val="00C23DD2"/>
    <w:rsid w:val="00C24E07"/>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6F0B"/>
    <w:rsid w:val="00C6771C"/>
    <w:rsid w:val="00C70BBB"/>
    <w:rsid w:val="00C714A4"/>
    <w:rsid w:val="00C71EAA"/>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BF6"/>
    <w:rsid w:val="00CA57EE"/>
    <w:rsid w:val="00CA6483"/>
    <w:rsid w:val="00CA6B85"/>
    <w:rsid w:val="00CA76EA"/>
    <w:rsid w:val="00CA799F"/>
    <w:rsid w:val="00CB02A1"/>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2004B"/>
    <w:rsid w:val="00D204FE"/>
    <w:rsid w:val="00D20995"/>
    <w:rsid w:val="00D21D80"/>
    <w:rsid w:val="00D228F6"/>
    <w:rsid w:val="00D238FA"/>
    <w:rsid w:val="00D23D84"/>
    <w:rsid w:val="00D25ABE"/>
    <w:rsid w:val="00D26733"/>
    <w:rsid w:val="00D26D22"/>
    <w:rsid w:val="00D2710E"/>
    <w:rsid w:val="00D2766D"/>
    <w:rsid w:val="00D27A90"/>
    <w:rsid w:val="00D307E1"/>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3C15"/>
    <w:rsid w:val="00E44F9E"/>
    <w:rsid w:val="00E45539"/>
    <w:rsid w:val="00E45C83"/>
    <w:rsid w:val="00E45DED"/>
    <w:rsid w:val="00E4639D"/>
    <w:rsid w:val="00E46E22"/>
    <w:rsid w:val="00E4759C"/>
    <w:rsid w:val="00E50A57"/>
    <w:rsid w:val="00E512BD"/>
    <w:rsid w:val="00E52632"/>
    <w:rsid w:val="00E530FE"/>
    <w:rsid w:val="00E53B74"/>
    <w:rsid w:val="00E541F9"/>
    <w:rsid w:val="00E569ED"/>
    <w:rsid w:val="00E56F5B"/>
    <w:rsid w:val="00E6052D"/>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5ABB"/>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F0137E"/>
    <w:rsid w:val="00F024C8"/>
    <w:rsid w:val="00F0424E"/>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6108"/>
    <w:rsid w:val="00FF748D"/>
    <w:rsid w:val="00FF7A48"/>
    <w:rsid w:val="00FF7B4C"/>
    <w:rsid w:val="00FF7BF1"/>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E45539"/>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E45539"/>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nfo.gov/public/do/eAgendaMain?operation=OPERATION_GET_AGENCY_RULE_LIST&amp;currentPub=true&amp;agencyCode=&amp;showStage=active&amp;agencyCd=1800&amp;csrf_token=737DA8331380086C1926655266E205B50F063058E5D68E39800A9A7BBCE2846B9B9E9A74BB1ACD83980497CC7807E3EA053B&amp;source=emai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about/offices/list/ocr/docs/ocr-factsheet-shared-ancestry-202301.pdf?source=ema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virtualtrain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58921294-7A17-4F5D-9948-9E8147FE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4.xml><?xml version="1.0" encoding="utf-8"?>
<ds:datastoreItem xmlns:ds="http://schemas.openxmlformats.org/officeDocument/2006/customXml" ds:itemID="{D5A8F5BC-3D3B-4C50-A934-DE54D6BFD139}">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Federal Update: January 6, 2023 - Government Affairs (CA Dept of Education)</vt:lpstr>
    </vt:vector>
  </TitlesOfParts>
  <Company>HP</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6, 2023 - Government Affairs (CA Dept of Education)</dc:title>
  <dc:subject>The Brustein &amp; Manasevit weekly Federal Update Report for January 6, 2023.</dc:subject>
  <dc:creator>Kelly Christiansen</dc:creator>
  <cp:lastModifiedBy>Janette Han</cp:lastModifiedBy>
  <cp:revision>6</cp:revision>
  <cp:lastPrinted>2022-12-16T18:49:00Z</cp:lastPrinted>
  <dcterms:created xsi:type="dcterms:W3CDTF">2023-01-06T17:33:00Z</dcterms:created>
  <dcterms:modified xsi:type="dcterms:W3CDTF">2023-04-18T23:25:00Z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