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52191B25" w:rsidR="0042468E" w:rsidRPr="007B1F30" w:rsidRDefault="0042468E" w:rsidP="007B1F30">
      <w:pPr>
        <w:pStyle w:val="Heading1"/>
        <w:keepNext w:val="0"/>
        <w:keepLines w:val="0"/>
        <w:pBdr>
          <w:bottom w:val="none" w:sz="0" w:space="0" w:color="auto"/>
        </w:pBdr>
        <w:spacing w:before="90"/>
        <w:jc w:val="center"/>
        <w:rPr>
          <w:rFonts w:eastAsia="Verdana" w:cs="Times New Roman"/>
          <w:bCs/>
          <w:smallCaps w:val="0"/>
        </w:rPr>
      </w:pPr>
      <w:bookmarkStart w:id="0" w:name="_Toc69999593"/>
      <w:bookmarkStart w:id="1" w:name="_Toc70604860"/>
      <w:bookmarkStart w:id="2" w:name="_Toc70615916"/>
      <w:bookmarkStart w:id="3" w:name="_Toc70673785"/>
      <w:bookmarkStart w:id="4" w:name="_Toc71878172"/>
      <w:bookmarkStart w:id="5" w:name="_Toc71879808"/>
      <w:r w:rsidRPr="007B1F30">
        <w:rPr>
          <w:rFonts w:eastAsia="Verdana" w:cs="Times New Roman"/>
          <w:bCs/>
          <w:smallCaps w:val="0"/>
        </w:rPr>
        <w:t xml:space="preserve">The Federal Update for </w:t>
      </w:r>
      <w:bookmarkEnd w:id="0"/>
      <w:bookmarkEnd w:id="1"/>
      <w:bookmarkEnd w:id="2"/>
      <w:bookmarkEnd w:id="3"/>
      <w:bookmarkEnd w:id="4"/>
      <w:bookmarkEnd w:id="5"/>
      <w:r w:rsidR="00675BD9" w:rsidRPr="007B1F30">
        <w:rPr>
          <w:rFonts w:eastAsia="Verdana" w:cs="Times New Roman"/>
          <w:bCs/>
          <w:smallCaps w:val="0"/>
        </w:rPr>
        <w:t xml:space="preserve">January </w:t>
      </w:r>
      <w:r w:rsidR="00844E55" w:rsidRPr="007B1F30">
        <w:rPr>
          <w:rFonts w:eastAsia="Verdana" w:cs="Times New Roman"/>
          <w:bCs/>
          <w:smallCaps w:val="0"/>
        </w:rPr>
        <w:t>23</w:t>
      </w:r>
      <w:r w:rsidR="007C6E27" w:rsidRPr="007B1F30">
        <w:rPr>
          <w:rFonts w:eastAsia="Verdana" w:cs="Times New Roman"/>
          <w:bCs/>
          <w:smallCaps w:val="0"/>
        </w:rPr>
        <w:t>, 202</w:t>
      </w:r>
      <w:r w:rsidR="00675BD9" w:rsidRPr="007B1F30">
        <w:rPr>
          <w:rFonts w:eastAsia="Verdana" w:cs="Times New Roman"/>
          <w:bCs/>
          <w:smallCaps w:val="0"/>
        </w:rPr>
        <w:t>6</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6865AD98" w:rsidR="0063135C" w:rsidRDefault="00D0389C" w:rsidP="009B424F">
      <w:pPr>
        <w:pStyle w:val="MessageHeader"/>
        <w:spacing w:after="240"/>
      </w:pPr>
      <w:r>
        <w:t>Date:</w:t>
      </w:r>
      <w:r>
        <w:tab/>
      </w:r>
      <w:r w:rsidR="00675BD9">
        <w:t xml:space="preserve">January </w:t>
      </w:r>
      <w:r w:rsidR="00844E55">
        <w:t>23</w:t>
      </w:r>
      <w:r w:rsidR="559A70F6">
        <w:t>,</w:t>
      </w:r>
      <w:r w:rsidR="007C6E27">
        <w:t xml:space="preserve"> 202</w:t>
      </w:r>
      <w:r w:rsidR="00675BD9">
        <w:t>6</w:t>
      </w:r>
    </w:p>
    <w:p w14:paraId="5FF244A2" w14:textId="3F74372F" w:rsidR="006B2697" w:rsidRDefault="00D478B6">
      <w:pPr>
        <w:pStyle w:val="TOC1"/>
        <w:rPr>
          <w:rFonts w:asciiTheme="minorHAnsi" w:eastAsiaTheme="minorEastAsia" w:hAnsiTheme="minorHAnsi" w:cstheme="minorBidi"/>
          <w:b w:val="0"/>
          <w:noProof/>
          <w:kern w:val="2"/>
          <w:sz w:val="24"/>
          <w:szCs w:val="24"/>
          <w14:ligatures w14:val="standardContextual"/>
        </w:rPr>
      </w:pPr>
      <w:r>
        <w:rPr>
          <w:smallCaps/>
        </w:rPr>
        <w:fldChar w:fldCharType="begin"/>
      </w:r>
      <w:r>
        <w:rPr>
          <w:smallCaps/>
        </w:rPr>
        <w:instrText xml:space="preserve"> TOC \o "1-2" \h \z \u </w:instrText>
      </w:r>
      <w:r>
        <w:rPr>
          <w:smallCaps/>
        </w:rPr>
        <w:fldChar w:fldCharType="separate"/>
      </w:r>
      <w:hyperlink w:anchor="_Toc220067551" w:history="1">
        <w:r w:rsidR="006B2697" w:rsidRPr="0091401E">
          <w:rPr>
            <w:rStyle w:val="Hyperlink"/>
            <w:noProof/>
          </w:rPr>
          <w:t>Legislation and Guidance</w:t>
        </w:r>
        <w:r w:rsidR="006B2697">
          <w:rPr>
            <w:noProof/>
            <w:webHidden/>
          </w:rPr>
          <w:tab/>
        </w:r>
        <w:r w:rsidR="006B2697">
          <w:rPr>
            <w:noProof/>
            <w:webHidden/>
          </w:rPr>
          <w:fldChar w:fldCharType="begin"/>
        </w:r>
        <w:r w:rsidR="006B2697">
          <w:rPr>
            <w:noProof/>
            <w:webHidden/>
          </w:rPr>
          <w:instrText xml:space="preserve"> PAGEREF _Toc220067551 \h </w:instrText>
        </w:r>
        <w:r w:rsidR="006B2697">
          <w:rPr>
            <w:noProof/>
            <w:webHidden/>
          </w:rPr>
        </w:r>
        <w:r w:rsidR="006B2697">
          <w:rPr>
            <w:noProof/>
            <w:webHidden/>
          </w:rPr>
          <w:fldChar w:fldCharType="separate"/>
        </w:r>
        <w:r w:rsidR="006B2697">
          <w:rPr>
            <w:noProof/>
            <w:webHidden/>
          </w:rPr>
          <w:t>1</w:t>
        </w:r>
        <w:r w:rsidR="006B2697">
          <w:rPr>
            <w:noProof/>
            <w:webHidden/>
          </w:rPr>
          <w:fldChar w:fldCharType="end"/>
        </w:r>
      </w:hyperlink>
    </w:p>
    <w:p w14:paraId="6C3FED90" w14:textId="0EE7D0FE" w:rsidR="006B2697" w:rsidRDefault="006B2697">
      <w:pPr>
        <w:pStyle w:val="TOC2"/>
        <w:rPr>
          <w:rFonts w:asciiTheme="minorHAnsi" w:eastAsiaTheme="minorEastAsia" w:hAnsiTheme="minorHAnsi" w:cstheme="minorBidi"/>
          <w:b w:val="0"/>
          <w:kern w:val="2"/>
          <w:sz w:val="24"/>
          <w:szCs w:val="24"/>
          <w14:ligatures w14:val="standardContextual"/>
        </w:rPr>
      </w:pPr>
      <w:hyperlink w:anchor="_Toc220067552" w:history="1">
        <w:r w:rsidRPr="0091401E">
          <w:rPr>
            <w:rStyle w:val="Hyperlink"/>
          </w:rPr>
          <w:t>Congress Reaches Bipartisan Agreement on ED, Labor Funding</w:t>
        </w:r>
        <w:r>
          <w:rPr>
            <w:webHidden/>
          </w:rPr>
          <w:tab/>
        </w:r>
        <w:r>
          <w:rPr>
            <w:webHidden/>
          </w:rPr>
          <w:fldChar w:fldCharType="begin"/>
        </w:r>
        <w:r>
          <w:rPr>
            <w:webHidden/>
          </w:rPr>
          <w:instrText xml:space="preserve"> PAGEREF _Toc220067552 \h </w:instrText>
        </w:r>
        <w:r>
          <w:rPr>
            <w:webHidden/>
          </w:rPr>
        </w:r>
        <w:r>
          <w:rPr>
            <w:webHidden/>
          </w:rPr>
          <w:fldChar w:fldCharType="separate"/>
        </w:r>
        <w:r>
          <w:rPr>
            <w:webHidden/>
          </w:rPr>
          <w:t>1</w:t>
        </w:r>
        <w:r>
          <w:rPr>
            <w:webHidden/>
          </w:rPr>
          <w:fldChar w:fldCharType="end"/>
        </w:r>
      </w:hyperlink>
    </w:p>
    <w:p w14:paraId="6B89B109" w14:textId="0CF98B9E" w:rsidR="006B2697" w:rsidRDefault="006B2697">
      <w:pPr>
        <w:pStyle w:val="TOC2"/>
        <w:rPr>
          <w:rFonts w:asciiTheme="minorHAnsi" w:eastAsiaTheme="minorEastAsia" w:hAnsiTheme="minorHAnsi" w:cstheme="minorBidi"/>
          <w:b w:val="0"/>
          <w:kern w:val="2"/>
          <w:sz w:val="24"/>
          <w:szCs w:val="24"/>
          <w14:ligatures w14:val="standardContextual"/>
        </w:rPr>
      </w:pPr>
      <w:hyperlink w:anchor="_Toc220067553" w:history="1">
        <w:r w:rsidRPr="0091401E">
          <w:rPr>
            <w:rStyle w:val="Hyperlink"/>
          </w:rPr>
          <w:t>House Committee Approves Two Charter School Bills</w:t>
        </w:r>
        <w:r>
          <w:rPr>
            <w:webHidden/>
          </w:rPr>
          <w:tab/>
        </w:r>
        <w:r>
          <w:rPr>
            <w:webHidden/>
          </w:rPr>
          <w:fldChar w:fldCharType="begin"/>
        </w:r>
        <w:r>
          <w:rPr>
            <w:webHidden/>
          </w:rPr>
          <w:instrText xml:space="preserve"> PAGEREF _Toc220067553 \h </w:instrText>
        </w:r>
        <w:r>
          <w:rPr>
            <w:webHidden/>
          </w:rPr>
        </w:r>
        <w:r>
          <w:rPr>
            <w:webHidden/>
          </w:rPr>
          <w:fldChar w:fldCharType="separate"/>
        </w:r>
        <w:r>
          <w:rPr>
            <w:webHidden/>
          </w:rPr>
          <w:t>2</w:t>
        </w:r>
        <w:r>
          <w:rPr>
            <w:webHidden/>
          </w:rPr>
          <w:fldChar w:fldCharType="end"/>
        </w:r>
      </w:hyperlink>
    </w:p>
    <w:p w14:paraId="1C598CB3" w14:textId="7DE1E9AA" w:rsidR="006B2697" w:rsidRDefault="006B2697">
      <w:pPr>
        <w:pStyle w:val="TOC2"/>
        <w:rPr>
          <w:rFonts w:asciiTheme="minorHAnsi" w:eastAsiaTheme="minorEastAsia" w:hAnsiTheme="minorHAnsi" w:cstheme="minorBidi"/>
          <w:b w:val="0"/>
          <w:kern w:val="2"/>
          <w:sz w:val="24"/>
          <w:szCs w:val="24"/>
          <w14:ligatures w14:val="standardContextual"/>
        </w:rPr>
      </w:pPr>
      <w:hyperlink w:anchor="_Toc220067554" w:history="1">
        <w:r w:rsidRPr="0091401E">
          <w:rPr>
            <w:rStyle w:val="Hyperlink"/>
          </w:rPr>
          <w:t>ED Releases Letter Encouraging Schoolwide Consolidation</w:t>
        </w:r>
        <w:r>
          <w:rPr>
            <w:webHidden/>
          </w:rPr>
          <w:tab/>
        </w:r>
        <w:r>
          <w:rPr>
            <w:webHidden/>
          </w:rPr>
          <w:fldChar w:fldCharType="begin"/>
        </w:r>
        <w:r>
          <w:rPr>
            <w:webHidden/>
          </w:rPr>
          <w:instrText xml:space="preserve"> PAGEREF _Toc220067554 \h </w:instrText>
        </w:r>
        <w:r>
          <w:rPr>
            <w:webHidden/>
          </w:rPr>
        </w:r>
        <w:r>
          <w:rPr>
            <w:webHidden/>
          </w:rPr>
          <w:fldChar w:fldCharType="separate"/>
        </w:r>
        <w:r>
          <w:rPr>
            <w:webHidden/>
          </w:rPr>
          <w:t>3</w:t>
        </w:r>
        <w:r>
          <w:rPr>
            <w:webHidden/>
          </w:rPr>
          <w:fldChar w:fldCharType="end"/>
        </w:r>
      </w:hyperlink>
    </w:p>
    <w:p w14:paraId="32776E31" w14:textId="2480D560" w:rsidR="006B2697" w:rsidRDefault="006B2697">
      <w:pPr>
        <w:pStyle w:val="TOC1"/>
        <w:rPr>
          <w:rFonts w:asciiTheme="minorHAnsi" w:eastAsiaTheme="minorEastAsia" w:hAnsiTheme="minorHAnsi" w:cstheme="minorBidi"/>
          <w:b w:val="0"/>
          <w:noProof/>
          <w:kern w:val="2"/>
          <w:sz w:val="24"/>
          <w:szCs w:val="24"/>
          <w14:ligatures w14:val="standardContextual"/>
        </w:rPr>
      </w:pPr>
      <w:hyperlink w:anchor="_Toc220067555" w:history="1">
        <w:r w:rsidRPr="0091401E">
          <w:rPr>
            <w:rStyle w:val="Hyperlink"/>
            <w:noProof/>
          </w:rPr>
          <w:t>News</w:t>
        </w:r>
        <w:r>
          <w:rPr>
            <w:noProof/>
            <w:webHidden/>
          </w:rPr>
          <w:tab/>
        </w:r>
        <w:r>
          <w:rPr>
            <w:noProof/>
            <w:webHidden/>
          </w:rPr>
          <w:fldChar w:fldCharType="begin"/>
        </w:r>
        <w:r>
          <w:rPr>
            <w:noProof/>
            <w:webHidden/>
          </w:rPr>
          <w:instrText xml:space="preserve"> PAGEREF _Toc220067555 \h </w:instrText>
        </w:r>
        <w:r>
          <w:rPr>
            <w:noProof/>
            <w:webHidden/>
          </w:rPr>
        </w:r>
        <w:r>
          <w:rPr>
            <w:noProof/>
            <w:webHidden/>
          </w:rPr>
          <w:fldChar w:fldCharType="separate"/>
        </w:r>
        <w:r>
          <w:rPr>
            <w:noProof/>
            <w:webHidden/>
          </w:rPr>
          <w:t>4</w:t>
        </w:r>
        <w:r>
          <w:rPr>
            <w:noProof/>
            <w:webHidden/>
          </w:rPr>
          <w:fldChar w:fldCharType="end"/>
        </w:r>
      </w:hyperlink>
    </w:p>
    <w:p w14:paraId="2ACB2C5D" w14:textId="2CD3CFE4" w:rsidR="006B2697" w:rsidRDefault="006B2697">
      <w:pPr>
        <w:pStyle w:val="TOC2"/>
        <w:rPr>
          <w:rFonts w:asciiTheme="minorHAnsi" w:eastAsiaTheme="minorEastAsia" w:hAnsiTheme="minorHAnsi" w:cstheme="minorBidi"/>
          <w:b w:val="0"/>
          <w:kern w:val="2"/>
          <w:sz w:val="24"/>
          <w:szCs w:val="24"/>
          <w14:ligatures w14:val="standardContextual"/>
        </w:rPr>
      </w:pPr>
      <w:hyperlink w:anchor="_Toc220067556" w:history="1">
        <w:r w:rsidRPr="0091401E">
          <w:rPr>
            <w:rStyle w:val="Hyperlink"/>
          </w:rPr>
          <w:t>ED Drops Appeal of DEI Guidance</w:t>
        </w:r>
        <w:r>
          <w:rPr>
            <w:webHidden/>
          </w:rPr>
          <w:tab/>
        </w:r>
        <w:r>
          <w:rPr>
            <w:webHidden/>
          </w:rPr>
          <w:fldChar w:fldCharType="begin"/>
        </w:r>
        <w:r>
          <w:rPr>
            <w:webHidden/>
          </w:rPr>
          <w:instrText xml:space="preserve"> PAGEREF _Toc220067556 \h </w:instrText>
        </w:r>
        <w:r>
          <w:rPr>
            <w:webHidden/>
          </w:rPr>
        </w:r>
        <w:r>
          <w:rPr>
            <w:webHidden/>
          </w:rPr>
          <w:fldChar w:fldCharType="separate"/>
        </w:r>
        <w:r>
          <w:rPr>
            <w:webHidden/>
          </w:rPr>
          <w:t>4</w:t>
        </w:r>
        <w:r>
          <w:rPr>
            <w:webHidden/>
          </w:rPr>
          <w:fldChar w:fldCharType="end"/>
        </w:r>
      </w:hyperlink>
    </w:p>
    <w:p w14:paraId="15AE0E14" w14:textId="4F71A81A" w:rsidR="00037AFA" w:rsidRPr="00037AFA" w:rsidRDefault="00D478B6" w:rsidP="00DA6625">
      <w:pPr>
        <w:pStyle w:val="Heading1"/>
      </w:pPr>
      <w:r>
        <w:rPr>
          <w:rFonts w:eastAsia="Verdana" w:cs="Times New Roman"/>
          <w:smallCaps w:val="0"/>
          <w:szCs w:val="20"/>
        </w:rPr>
        <w:fldChar w:fldCharType="end"/>
      </w:r>
      <w:bookmarkStart w:id="6" w:name="_Toc220067551"/>
      <w:r w:rsidR="00834042">
        <w:t>Legislation and Guidance</w:t>
      </w:r>
      <w:bookmarkEnd w:id="6"/>
    </w:p>
    <w:p w14:paraId="20A0FA05" w14:textId="44278BCA" w:rsidR="005D1689" w:rsidRDefault="00DC434C" w:rsidP="00037AFA">
      <w:pPr>
        <w:pStyle w:val="Heading2"/>
      </w:pPr>
      <w:bookmarkStart w:id="7" w:name="_Toc220067552"/>
      <w:r>
        <w:t>Congress Reache</w:t>
      </w:r>
      <w:r w:rsidR="006B2697">
        <w:t>s</w:t>
      </w:r>
      <w:r>
        <w:t xml:space="preserve"> Bipartisan Agreement on ED, Labor Funding</w:t>
      </w:r>
      <w:bookmarkEnd w:id="7"/>
    </w:p>
    <w:p w14:paraId="09BA9493" w14:textId="625DE9F1" w:rsidR="006436A5" w:rsidRDefault="006436A5" w:rsidP="006436A5">
      <w:pPr>
        <w:rPr>
          <w:rFonts w:cs="Arial"/>
        </w:rPr>
      </w:pPr>
      <w:r>
        <w:rPr>
          <w:rFonts w:cs="Arial"/>
        </w:rPr>
        <w:t xml:space="preserve">Congress released a bipartisan funding agreement for three fiscal year (FY) 2026 </w:t>
      </w:r>
      <w:r w:rsidR="004825D3">
        <w:rPr>
          <w:rFonts w:cs="Arial"/>
        </w:rPr>
        <w:t>appropriations accounts</w:t>
      </w:r>
      <w:r>
        <w:rPr>
          <w:rFonts w:cs="Arial"/>
        </w:rPr>
        <w:t xml:space="preserve"> on Tuesday.  The agreement includes funding for the Labor-Health and Human Services-Education (ED) appropriations account, along with Defense, and Transportation-Housing and Urban Development </w:t>
      </w:r>
      <w:r w:rsidR="004825D3">
        <w:rPr>
          <w:rFonts w:cs="Arial"/>
        </w:rPr>
        <w:t>spending</w:t>
      </w:r>
      <w:r>
        <w:rPr>
          <w:rFonts w:cs="Arial"/>
        </w:rPr>
        <w:t xml:space="preserve">.  The legislation, which the House </w:t>
      </w:r>
      <w:r w:rsidR="00B01178">
        <w:rPr>
          <w:rFonts w:cs="Arial"/>
        </w:rPr>
        <w:t xml:space="preserve">passed </w:t>
      </w:r>
      <w:r>
        <w:rPr>
          <w:rFonts w:cs="Arial"/>
        </w:rPr>
        <w:t xml:space="preserve">on Thursday, largely maintains funding for U.S. Department of Education programs.  </w:t>
      </w:r>
    </w:p>
    <w:p w14:paraId="0363ABE2" w14:textId="77777777" w:rsidR="00754D85" w:rsidRDefault="006436A5" w:rsidP="006436A5">
      <w:pPr>
        <w:rPr>
          <w:rFonts w:cs="Arial"/>
        </w:rPr>
      </w:pPr>
      <w:r>
        <w:rPr>
          <w:rFonts w:cs="Arial"/>
        </w:rPr>
        <w:t xml:space="preserve">Most major programs authorized under the Elementary and Secondary Education Act (ESEA), </w:t>
      </w:r>
      <w:r w:rsidR="00B01178">
        <w:rPr>
          <w:rFonts w:cs="Arial"/>
        </w:rPr>
        <w:t xml:space="preserve">the </w:t>
      </w:r>
      <w:r>
        <w:rPr>
          <w:rFonts w:cs="Arial"/>
        </w:rPr>
        <w:t xml:space="preserve">Individuals with Disabilities Education Act (IDEA), the McKinney-Vento Homeless Assistance Act, the Adult Education and Family Literacy Act (AEFLA), and the Perkins Career and Technical Education law receive the same level of funding as </w:t>
      </w:r>
      <w:r w:rsidR="00B01178">
        <w:rPr>
          <w:rFonts w:cs="Arial"/>
        </w:rPr>
        <w:t xml:space="preserve">FY </w:t>
      </w:r>
      <w:r>
        <w:rPr>
          <w:rFonts w:cs="Arial"/>
        </w:rPr>
        <w:t xml:space="preserve">2025 amounts, with the exception of a $20 million increase each for ESEA Title I-A and IDEA Part B State grants.  </w:t>
      </w:r>
      <w:r w:rsidR="00B01178">
        <w:rPr>
          <w:rFonts w:cs="Arial"/>
        </w:rPr>
        <w:t xml:space="preserve">In addition, the ESEA Charter Schools Program </w:t>
      </w:r>
      <w:r w:rsidR="00754D85">
        <w:rPr>
          <w:rFonts w:cs="Arial"/>
        </w:rPr>
        <w:t xml:space="preserve">(CSP) will </w:t>
      </w:r>
      <w:r w:rsidR="00B01178">
        <w:rPr>
          <w:rFonts w:cs="Arial"/>
        </w:rPr>
        <w:t xml:space="preserve">receive a boost of $60 million compared to the amount appropriated by Congress for FY 2025 due to </w:t>
      </w:r>
      <w:r w:rsidR="00754D85">
        <w:rPr>
          <w:rFonts w:cs="Arial"/>
        </w:rPr>
        <w:t xml:space="preserve">the shifting of some funds rescinded from other accounts.  However, the final total for CSP is equal to the amount ultimately provided to the program in FY 2025 after ED shifted $60 million in cancelled grant funds to the program last year.  </w:t>
      </w:r>
    </w:p>
    <w:p w14:paraId="55E271EA" w14:textId="4EE0B868" w:rsidR="006436A5" w:rsidRDefault="006436A5" w:rsidP="006436A5">
      <w:pPr>
        <w:rPr>
          <w:rFonts w:cs="Arial"/>
        </w:rPr>
      </w:pPr>
      <w:r>
        <w:rPr>
          <w:rFonts w:cs="Arial"/>
        </w:rPr>
        <w:t xml:space="preserve">On the higher ed side, the legislation maintains the current maximum Pell grant amount </w:t>
      </w:r>
      <w:r>
        <w:rPr>
          <w:rFonts w:cs="Arial"/>
        </w:rPr>
        <w:lastRenderedPageBreak/>
        <w:t xml:space="preserve">and provides small increases for many Higher Education Act programs that support minority-serving institutions.  In addition, the Strengthening Institutions program would see a $10 million cut, or nine percent, and the Fund for the Improvement of Postsecondary Education would be decreased by $35 million, or approximately two and a half percent.  Programs under Title I of the Workforce Innovation and Opportunity Act for the Adult </w:t>
      </w:r>
      <w:r w:rsidR="00754D85">
        <w:rPr>
          <w:rFonts w:cs="Arial"/>
        </w:rPr>
        <w:t>T</w:t>
      </w:r>
      <w:r>
        <w:rPr>
          <w:rFonts w:cs="Arial"/>
        </w:rPr>
        <w:t xml:space="preserve">raining program would be cut by $10 million, while funding for </w:t>
      </w:r>
      <w:r w:rsidR="00754D85">
        <w:rPr>
          <w:rFonts w:cs="Arial"/>
        </w:rPr>
        <w:t xml:space="preserve">the </w:t>
      </w:r>
      <w:r>
        <w:rPr>
          <w:rFonts w:cs="Arial"/>
        </w:rPr>
        <w:t xml:space="preserve">Dislocated Workers and Youth </w:t>
      </w:r>
      <w:r w:rsidR="00754D85">
        <w:rPr>
          <w:rFonts w:cs="Arial"/>
        </w:rPr>
        <w:t>T</w:t>
      </w:r>
      <w:r>
        <w:rPr>
          <w:rFonts w:cs="Arial"/>
        </w:rPr>
        <w:t>raining</w:t>
      </w:r>
      <w:r w:rsidR="00754D85">
        <w:rPr>
          <w:rFonts w:cs="Arial"/>
        </w:rPr>
        <w:t xml:space="preserve"> programs</w:t>
      </w:r>
      <w:r>
        <w:rPr>
          <w:rFonts w:cs="Arial"/>
        </w:rPr>
        <w:t xml:space="preserve"> remains level. </w:t>
      </w:r>
    </w:p>
    <w:p w14:paraId="6B3905C8" w14:textId="422EF13C" w:rsidR="006436A5" w:rsidRDefault="006436A5" w:rsidP="006436A5">
      <w:pPr>
        <w:rPr>
          <w:rFonts w:cs="Arial"/>
        </w:rPr>
      </w:pPr>
      <w:r w:rsidRPr="00890162">
        <w:rPr>
          <w:rFonts w:cs="Arial"/>
        </w:rPr>
        <w:t xml:space="preserve">The legislation also includes some of the “bill strengthening” measures that the Senate Appropriations Committee approved last year.  The legislation requires ED to maintain a staffing level that will allow the agency to “fulfill its statutory responsibilities including carrying out programs, projects, and activities funded” in the FY 2026 appropriations bill “in a timely manner.”  In addition, ED is required to </w:t>
      </w:r>
      <w:r w:rsidR="004825D3">
        <w:rPr>
          <w:rFonts w:cs="Arial"/>
        </w:rPr>
        <w:t>make</w:t>
      </w:r>
      <w:r w:rsidRPr="00890162">
        <w:rPr>
          <w:rFonts w:cs="Arial"/>
        </w:rPr>
        <w:t xml:space="preserve"> ESEA, IDEA, Perkins, AEFLA, and McKinney-Vento </w:t>
      </w:r>
      <w:r w:rsidR="00754D85">
        <w:rPr>
          <w:rFonts w:cs="Arial"/>
        </w:rPr>
        <w:t xml:space="preserve">formula </w:t>
      </w:r>
      <w:r w:rsidR="004825D3">
        <w:rPr>
          <w:rFonts w:cs="Arial"/>
        </w:rPr>
        <w:t>funds available</w:t>
      </w:r>
      <w:r w:rsidRPr="00890162">
        <w:rPr>
          <w:rFonts w:cs="Arial"/>
        </w:rPr>
        <w:t xml:space="preserve"> “on the date such funds become available for obligation,” which is July 1</w:t>
      </w:r>
      <w:r w:rsidRPr="00890162">
        <w:rPr>
          <w:rFonts w:cs="Arial"/>
          <w:vertAlign w:val="superscript"/>
        </w:rPr>
        <w:t>st</w:t>
      </w:r>
      <w:r w:rsidRPr="00890162">
        <w:rPr>
          <w:rFonts w:cs="Arial"/>
        </w:rPr>
        <w:t xml:space="preserve">.  This provision was added in response to ED’s withholding of some formula funds on July 1, 2025.  Lawmakers also incorporated by reference the funding tables in the bill’s attached joint explanatory statement where </w:t>
      </w:r>
      <w:r>
        <w:rPr>
          <w:rFonts w:cs="Arial"/>
        </w:rPr>
        <w:t xml:space="preserve">all </w:t>
      </w:r>
      <w:r w:rsidRPr="00890162">
        <w:rPr>
          <w:rFonts w:cs="Arial"/>
        </w:rPr>
        <w:t>program levels are specified, as not all individual program funding levels are included in the statutory language</w:t>
      </w:r>
      <w:r>
        <w:rPr>
          <w:rFonts w:cs="Arial"/>
        </w:rPr>
        <w:t xml:space="preserve"> itself.</w:t>
      </w:r>
      <w:r w:rsidRPr="00890162">
        <w:rPr>
          <w:rFonts w:cs="Arial"/>
        </w:rPr>
        <w:t xml:space="preserve">  This lack of specificity in the FY 2025 funding bill allowed ED to shift funds around within larger categories</w:t>
      </w:r>
      <w:r>
        <w:rPr>
          <w:rFonts w:cs="Arial"/>
        </w:rPr>
        <w:t>, but t</w:t>
      </w:r>
      <w:r w:rsidRPr="00890162">
        <w:rPr>
          <w:rFonts w:cs="Arial"/>
        </w:rPr>
        <w:t>he reference to the joint explanatory statement helps to ensure ED allocates funding in accordance with Congressional intent.</w:t>
      </w:r>
      <w:r>
        <w:rPr>
          <w:rFonts w:cs="Arial"/>
        </w:rPr>
        <w:t xml:space="preserve">  </w:t>
      </w:r>
    </w:p>
    <w:p w14:paraId="059FB974" w14:textId="37087B34" w:rsidR="006436A5" w:rsidRDefault="006436A5" w:rsidP="006436A5">
      <w:pPr>
        <w:rPr>
          <w:rFonts w:cs="Arial"/>
        </w:rPr>
      </w:pPr>
      <w:r w:rsidRPr="006C5F81">
        <w:rPr>
          <w:rFonts w:cs="Arial"/>
        </w:rPr>
        <w:t>Finally, language surrounding ED’s interagency agreements to shift program administration was included in the joint explanatory statement, but not the statutory text of the appropriations bill.  This was reportedly a compromise, as this language ha</w:t>
      </w:r>
      <w:r>
        <w:rPr>
          <w:rFonts w:cs="Arial"/>
        </w:rPr>
        <w:t>d</w:t>
      </w:r>
      <w:r w:rsidRPr="006C5F81">
        <w:rPr>
          <w:rFonts w:cs="Arial"/>
        </w:rPr>
        <w:t xml:space="preserve"> become a sticking point in negotiations last week.  The joint statement states that ED does not have authority to “transfer its fundamental responsibilities under numerous authorizing and appropriations laws, including through procuring services from other Federal agencies, of carrying out those programs, projects, and activities to other Federal agencies.”  It also expresses lawmakers’ “concern” over the recent IAAs and their impact on program administration and operations and directs ED to provide biweekly briefings to Congress on the implementation status of the IAAs.</w:t>
      </w:r>
      <w:r>
        <w:rPr>
          <w:rFonts w:cs="Arial"/>
        </w:rPr>
        <w:t xml:space="preserve">  Given that the language is included only in the joint explanatory statement, it is </w:t>
      </w:r>
      <w:r w:rsidR="005F7BDA">
        <w:rPr>
          <w:rFonts w:cs="Arial"/>
        </w:rPr>
        <w:t xml:space="preserve">not </w:t>
      </w:r>
      <w:r>
        <w:rPr>
          <w:rFonts w:cs="Arial"/>
        </w:rPr>
        <w:t>binding on ED</w:t>
      </w:r>
      <w:r w:rsidR="00754D85">
        <w:rPr>
          <w:rFonts w:cs="Arial"/>
        </w:rPr>
        <w:t xml:space="preserve"> in the same way </w:t>
      </w:r>
      <w:r>
        <w:rPr>
          <w:rFonts w:cs="Arial"/>
        </w:rPr>
        <w:t xml:space="preserve">provisions included in the </w:t>
      </w:r>
      <w:r w:rsidR="004825D3">
        <w:rPr>
          <w:rFonts w:cs="Arial"/>
        </w:rPr>
        <w:t>legislative text</w:t>
      </w:r>
      <w:r>
        <w:rPr>
          <w:rFonts w:cs="Arial"/>
        </w:rPr>
        <w:t xml:space="preserve"> itself</w:t>
      </w:r>
      <w:r w:rsidR="00754D85">
        <w:rPr>
          <w:rFonts w:cs="Arial"/>
        </w:rPr>
        <w:t xml:space="preserve"> are.</w:t>
      </w:r>
    </w:p>
    <w:p w14:paraId="5B9A4AEA" w14:textId="34FF6E54" w:rsidR="006436A5" w:rsidRDefault="00754D85" w:rsidP="006436A5">
      <w:pPr>
        <w:rPr>
          <w:rFonts w:cs="Arial"/>
        </w:rPr>
      </w:pPr>
      <w:r>
        <w:rPr>
          <w:rFonts w:cs="Arial"/>
        </w:rPr>
        <w:t>The</w:t>
      </w:r>
      <w:r w:rsidR="006436A5">
        <w:rPr>
          <w:rFonts w:cs="Arial"/>
        </w:rPr>
        <w:t xml:space="preserve"> Senate plans to begin consideration </w:t>
      </w:r>
      <w:r>
        <w:rPr>
          <w:rFonts w:cs="Arial"/>
        </w:rPr>
        <w:t xml:space="preserve">of </w:t>
      </w:r>
      <w:r w:rsidR="00C1759F">
        <w:rPr>
          <w:rFonts w:cs="Arial"/>
        </w:rPr>
        <w:t>these three bills</w:t>
      </w:r>
      <w:r>
        <w:rPr>
          <w:rFonts w:cs="Arial"/>
        </w:rPr>
        <w:t>, along with t</w:t>
      </w:r>
      <w:r w:rsidR="00C1759F">
        <w:rPr>
          <w:rFonts w:cs="Arial"/>
        </w:rPr>
        <w:t>hree other House-passed bills, combined into one package,</w:t>
      </w:r>
      <w:r w:rsidR="006436A5">
        <w:rPr>
          <w:rFonts w:cs="Arial"/>
        </w:rPr>
        <w:t xml:space="preserve"> after it returns from recess</w:t>
      </w:r>
      <w:r w:rsidR="00C1759F">
        <w:rPr>
          <w:rFonts w:cs="Arial"/>
        </w:rPr>
        <w:t xml:space="preserve"> next week</w:t>
      </w:r>
      <w:r w:rsidR="006436A5">
        <w:rPr>
          <w:rFonts w:cs="Arial"/>
        </w:rPr>
        <w:t>.</w:t>
      </w:r>
      <w:r w:rsidR="00C1759F">
        <w:rPr>
          <w:rFonts w:cs="Arial"/>
        </w:rPr>
        <w:t xml:space="preserve">  The Homeland Security funding that the Senate plans to combine in next week’s package may cause challenges, as Democrats push back against recent immigration enforcement action, and an impending snowstorm could cause delays in lawmakers’ return to Washington.  Current funding expires on January 30</w:t>
      </w:r>
      <w:r w:rsidR="00C1759F" w:rsidRPr="00C1759F">
        <w:rPr>
          <w:rFonts w:cs="Arial"/>
          <w:vertAlign w:val="superscript"/>
        </w:rPr>
        <w:t>th</w:t>
      </w:r>
      <w:r w:rsidR="00C1759F">
        <w:rPr>
          <w:rFonts w:cs="Arial"/>
        </w:rPr>
        <w:t xml:space="preserve">. </w:t>
      </w:r>
    </w:p>
    <w:p w14:paraId="5F4A4B20" w14:textId="054C7C41" w:rsidR="00081CCB" w:rsidRPr="00C96536" w:rsidRDefault="006436A5" w:rsidP="006436A5">
      <w:pPr>
        <w:rPr>
          <w:rFonts w:cs="Arial"/>
        </w:rPr>
      </w:pPr>
      <w:r>
        <w:rPr>
          <w:rFonts w:cs="Arial"/>
        </w:rPr>
        <w:t>Author: KSC</w:t>
      </w:r>
    </w:p>
    <w:p w14:paraId="365460CF" w14:textId="3C065179" w:rsidR="00715E80" w:rsidRPr="001C26A5" w:rsidRDefault="00006377" w:rsidP="00037AFA">
      <w:pPr>
        <w:pStyle w:val="Heading2"/>
      </w:pPr>
      <w:bookmarkStart w:id="8" w:name="_Toc220067553"/>
      <w:r>
        <w:t>House Committee Approves Two Charter School Bills</w:t>
      </w:r>
      <w:bookmarkEnd w:id="8"/>
    </w:p>
    <w:p w14:paraId="7F7258DC" w14:textId="765FD2BF" w:rsidR="00803CCC" w:rsidRPr="00F12FA8" w:rsidRDefault="00803CCC" w:rsidP="00803CCC">
      <w:pPr>
        <w:rPr>
          <w:rFonts w:cs="Arial"/>
        </w:rPr>
      </w:pPr>
      <w:r w:rsidRPr="00F12FA8">
        <w:rPr>
          <w:rFonts w:cs="Arial"/>
        </w:rPr>
        <w:t xml:space="preserve">The House Committee on Education and Workforce voted late Wednesday to advance two bills that would amend the federal Charter School Grant Program (CSGP) to provide </w:t>
      </w:r>
      <w:r w:rsidRPr="00F12FA8">
        <w:rPr>
          <w:rFonts w:cs="Arial"/>
        </w:rPr>
        <w:lastRenderedPageBreak/>
        <w:t xml:space="preserve">more flexibility to States and schools in </w:t>
      </w:r>
      <w:r w:rsidR="00435089">
        <w:rPr>
          <w:rFonts w:cs="Arial"/>
        </w:rPr>
        <w:t xml:space="preserve">determining </w:t>
      </w:r>
      <w:r w:rsidRPr="00F12FA8">
        <w:rPr>
          <w:rFonts w:cs="Arial"/>
        </w:rPr>
        <w:t>how the money is spent.</w:t>
      </w:r>
    </w:p>
    <w:p w14:paraId="60C7DC6B" w14:textId="01EB37AC" w:rsidR="00803CCC" w:rsidRPr="00F12FA8" w:rsidRDefault="00803CCC" w:rsidP="00803CCC">
      <w:pPr>
        <w:rPr>
          <w:rFonts w:cs="Arial"/>
        </w:rPr>
      </w:pPr>
      <w:r w:rsidRPr="00F12FA8">
        <w:rPr>
          <w:rFonts w:cs="Arial"/>
        </w:rPr>
        <w:t>The Fostering Learning and Excellence in Charter Schools (FLEX) Act, H.R. 7082, would allow the U.S. Department of Education to use up to 30</w:t>
      </w:r>
      <w:r w:rsidR="00C1759F">
        <w:rPr>
          <w:rFonts w:cs="Arial"/>
        </w:rPr>
        <w:t xml:space="preserve"> percent</w:t>
      </w:r>
      <w:r w:rsidRPr="00F12FA8">
        <w:rPr>
          <w:rFonts w:cs="Arial"/>
        </w:rPr>
        <w:t xml:space="preserve"> of the CSGP for facilities aid, increasing the amount that could go to school buildings and charter school national activities.  It would allow funds to be used for </w:t>
      </w:r>
      <w:r w:rsidR="00C1759F">
        <w:rPr>
          <w:rFonts w:cs="Arial"/>
        </w:rPr>
        <w:t xml:space="preserve">the </w:t>
      </w:r>
      <w:r w:rsidRPr="00F12FA8">
        <w:rPr>
          <w:rFonts w:cs="Arial"/>
        </w:rPr>
        <w:t>addition of programs at charter schools</w:t>
      </w:r>
      <w:r w:rsidR="00C1759F">
        <w:rPr>
          <w:rFonts w:cs="Arial"/>
        </w:rPr>
        <w:t xml:space="preserve">, as well as </w:t>
      </w:r>
      <w:r w:rsidRPr="00F12FA8">
        <w:rPr>
          <w:rFonts w:cs="Arial"/>
        </w:rPr>
        <w:t>t</w:t>
      </w:r>
      <w:r w:rsidR="00C1759F">
        <w:rPr>
          <w:rFonts w:cs="Arial"/>
        </w:rPr>
        <w:t>he</w:t>
      </w:r>
      <w:r w:rsidRPr="00F12FA8">
        <w:rPr>
          <w:rFonts w:cs="Arial"/>
        </w:rPr>
        <w:t xml:space="preserve"> expansion and replication of the schools themselves.  Under this proposal, State applications for grants would have to include estimates of the number of charter schools to be opened and expanded, and charters would be required to “address the transportation needs of their students.”  The use of funds would be expanded to allow for federal dollars to make necessary upgrades to facilities and acquiring portable classrooms as well as for digital and online learning subscription services.  Additionally, the bill would allow grants to </w:t>
      </w:r>
      <w:r w:rsidR="00C1759F">
        <w:rPr>
          <w:rFonts w:cs="Arial"/>
        </w:rPr>
        <w:t xml:space="preserve">be provided to </w:t>
      </w:r>
      <w:r w:rsidRPr="00F12FA8">
        <w:rPr>
          <w:rFonts w:cs="Arial"/>
        </w:rPr>
        <w:t>charter management organizations and other entities that provide support and technical assistance to State and subgrantees, disseminate best practices, increase access to facilities, and evaluate impact.</w:t>
      </w:r>
    </w:p>
    <w:p w14:paraId="6E5FCF4F" w14:textId="55EAE94B" w:rsidR="00803CCC" w:rsidRPr="00F12FA8" w:rsidRDefault="00803CCC" w:rsidP="00803CCC">
      <w:pPr>
        <w:rPr>
          <w:rFonts w:cs="Arial"/>
        </w:rPr>
      </w:pPr>
      <w:r w:rsidRPr="00F12FA8">
        <w:rPr>
          <w:rFonts w:cs="Arial"/>
        </w:rPr>
        <w:t>The Equitable Access to School Facilities Act</w:t>
      </w:r>
      <w:r w:rsidR="00C1759F">
        <w:rPr>
          <w:rFonts w:cs="Arial"/>
        </w:rPr>
        <w:t xml:space="preserve">, </w:t>
      </w:r>
      <w:r w:rsidRPr="00F12FA8">
        <w:rPr>
          <w:rFonts w:cs="Arial"/>
        </w:rPr>
        <w:t>H.R. 7086</w:t>
      </w:r>
      <w:r w:rsidR="00C1759F">
        <w:rPr>
          <w:rFonts w:cs="Arial"/>
        </w:rPr>
        <w:t xml:space="preserve">, </w:t>
      </w:r>
      <w:r w:rsidRPr="00F12FA8">
        <w:rPr>
          <w:rFonts w:cs="Arial"/>
        </w:rPr>
        <w:t xml:space="preserve">would eliminate the per-pupil facilities aid program in favor of a “State Facilities Aid” program.  This would be a five-year competitive grant designed to incentivize States that implement policies to make it easier for charter schools to obtain or expand facilities.  CSGP grants would prioritize States with land use and other policies that treat charter schools the same as or </w:t>
      </w:r>
      <w:proofErr w:type="gramStart"/>
      <w:r w:rsidRPr="00F12FA8">
        <w:rPr>
          <w:rFonts w:cs="Arial"/>
        </w:rPr>
        <w:t>similar to</w:t>
      </w:r>
      <w:proofErr w:type="gramEnd"/>
      <w:r w:rsidRPr="00F12FA8">
        <w:rPr>
          <w:rFonts w:cs="Arial"/>
        </w:rPr>
        <w:t xml:space="preserve"> traditional public schools.  Non-federal entities would have to provide at least 40</w:t>
      </w:r>
      <w:r w:rsidR="00C1759F">
        <w:rPr>
          <w:rFonts w:cs="Arial"/>
        </w:rPr>
        <w:t xml:space="preserve"> percent</w:t>
      </w:r>
      <w:r w:rsidRPr="00F12FA8">
        <w:rPr>
          <w:rFonts w:cs="Arial"/>
        </w:rPr>
        <w:t xml:space="preserve"> of costs for activities, but the funding would explicitly not create a federal interest in property </w:t>
      </w:r>
      <w:r w:rsidR="00C1759F">
        <w:rPr>
          <w:rFonts w:cs="Arial"/>
        </w:rPr>
        <w:t>that</w:t>
      </w:r>
      <w:r w:rsidRPr="00F12FA8">
        <w:rPr>
          <w:rFonts w:cs="Arial"/>
        </w:rPr>
        <w:t xml:space="preserve"> is used to acquire or improve, eliminating the need to report or record that interest.</w:t>
      </w:r>
    </w:p>
    <w:p w14:paraId="6CA0ECC1" w14:textId="77777777" w:rsidR="00803CCC" w:rsidRPr="00F12FA8" w:rsidRDefault="00803CCC" w:rsidP="00803CCC">
      <w:pPr>
        <w:rPr>
          <w:rFonts w:cs="Arial"/>
        </w:rPr>
      </w:pPr>
      <w:r w:rsidRPr="00F12FA8">
        <w:rPr>
          <w:rFonts w:cs="Arial"/>
        </w:rPr>
        <w:t>Lawmakers expressed concern over the lack of accountability measures for charter schools, especially around the potential for refusing students based on race or disability, and what they characterized as the increased potential for fraud, waste, and abuse.  Both bills advanced on a party-line vote and will now await action by the full House.</w:t>
      </w:r>
    </w:p>
    <w:p w14:paraId="265FF266" w14:textId="10B25965" w:rsidR="00037AFA" w:rsidRDefault="00803CCC" w:rsidP="00B14771">
      <w:pPr>
        <w:spacing w:after="0"/>
        <w:rPr>
          <w:rFonts w:cs="Arial"/>
        </w:rPr>
      </w:pPr>
      <w:r w:rsidRPr="00F12FA8">
        <w:rPr>
          <w:rFonts w:cs="Arial"/>
        </w:rPr>
        <w:t>Author: JCM</w:t>
      </w:r>
    </w:p>
    <w:p w14:paraId="1822224C" w14:textId="77777777" w:rsidR="00B14771" w:rsidRDefault="00B14771" w:rsidP="00B14771">
      <w:pPr>
        <w:spacing w:before="0" w:after="0"/>
        <w:rPr>
          <w:rFonts w:cs="Arial"/>
        </w:rPr>
      </w:pPr>
    </w:p>
    <w:p w14:paraId="67167B24" w14:textId="00C5C1DE" w:rsidR="007F0D44" w:rsidRPr="007F0D44" w:rsidRDefault="007F0D44" w:rsidP="00B14771">
      <w:pPr>
        <w:pStyle w:val="Heading2"/>
        <w:spacing w:before="0" w:after="0"/>
      </w:pPr>
      <w:bookmarkStart w:id="9" w:name="_Toc220067554"/>
      <w:r>
        <w:t>ED Releases Letter Encouraging Schoolwide Consolidation</w:t>
      </w:r>
      <w:bookmarkEnd w:id="9"/>
    </w:p>
    <w:p w14:paraId="5D220F3A" w14:textId="467743F0" w:rsidR="00B14771" w:rsidRPr="00E456D9" w:rsidRDefault="00B14771" w:rsidP="00B14771">
      <w:pPr>
        <w:spacing w:before="240"/>
        <w:rPr>
          <w:rFonts w:cs="Arial"/>
        </w:rPr>
      </w:pPr>
      <w:r w:rsidRPr="00E456D9">
        <w:rPr>
          <w:rFonts w:cs="Arial"/>
        </w:rPr>
        <w:t xml:space="preserve">This week, the U.S. Department of Education (ED) sent a Dear Colleague Letter to States encouraging the use of </w:t>
      </w:r>
      <w:r w:rsidR="00C1759F">
        <w:rPr>
          <w:rFonts w:cs="Arial"/>
        </w:rPr>
        <w:t xml:space="preserve">funding </w:t>
      </w:r>
      <w:r w:rsidRPr="00E456D9">
        <w:rPr>
          <w:rFonts w:cs="Arial"/>
        </w:rPr>
        <w:t xml:space="preserve">consolidation for schoolwide schools.  </w:t>
      </w:r>
    </w:p>
    <w:p w14:paraId="7EAEFA3C" w14:textId="6786D341" w:rsidR="00B14771" w:rsidRPr="00E456D9" w:rsidRDefault="00B14771" w:rsidP="00B14771">
      <w:pPr>
        <w:spacing w:before="240"/>
        <w:rPr>
          <w:rFonts w:cs="Arial"/>
        </w:rPr>
      </w:pPr>
      <w:r w:rsidRPr="00E456D9">
        <w:rPr>
          <w:rFonts w:cs="Arial"/>
        </w:rPr>
        <w:t>Under Title I</w:t>
      </w:r>
      <w:r w:rsidR="00C1759F">
        <w:rPr>
          <w:rFonts w:cs="Arial"/>
        </w:rPr>
        <w:t>-A</w:t>
      </w:r>
      <w:r w:rsidRPr="00E456D9">
        <w:rPr>
          <w:rFonts w:cs="Arial"/>
        </w:rPr>
        <w:t xml:space="preserve"> of the Elementary and Secondary Education Act (ESEA), schools operating schoolwide programs may combine funding from multiple federal, State, and local sources to upgrade the entire educational program of the school.</w:t>
      </w:r>
      <w:r>
        <w:rPr>
          <w:rFonts w:cs="Arial"/>
        </w:rPr>
        <w:t xml:space="preserve"> </w:t>
      </w:r>
      <w:r w:rsidRPr="00E456D9">
        <w:rPr>
          <w:rFonts w:cs="Arial"/>
        </w:rPr>
        <w:t xml:space="preserve"> A school is eligible to operate a schoolwide program if at least 40 percent of its students, or students in the school’s attendance area, come from low-income families.  However, a State may waive this threshold requirement if it finds that operating a schoolwide program would best meet the needs of students.  Once approved, the local education</w:t>
      </w:r>
      <w:r w:rsidR="00C1759F">
        <w:rPr>
          <w:rFonts w:cs="Arial"/>
        </w:rPr>
        <w:t>al</w:t>
      </w:r>
      <w:r w:rsidRPr="00E456D9">
        <w:rPr>
          <w:rFonts w:cs="Arial"/>
        </w:rPr>
        <w:t xml:space="preserve"> agency (LEA) may consolidate Title I and other federal education program funds with State and local funds to support strategies that improve academic achievement for all students, particularly the lowest-achieving students.  After the consolidation, the school no longer </w:t>
      </w:r>
      <w:r w:rsidRPr="00E456D9">
        <w:rPr>
          <w:rFonts w:cs="Arial"/>
        </w:rPr>
        <w:lastRenderedPageBreak/>
        <w:t xml:space="preserve">needs to manage separate accounting for each program.  It also does not need to comply with many program-specific statutory or regulatory requirements, </w:t>
      </w:r>
      <w:proofErr w:type="gramStart"/>
      <w:r w:rsidRPr="00E456D9">
        <w:rPr>
          <w:rFonts w:cs="Arial"/>
        </w:rPr>
        <w:t>as long as</w:t>
      </w:r>
      <w:proofErr w:type="gramEnd"/>
      <w:r w:rsidRPr="00E456D9">
        <w:rPr>
          <w:rFonts w:cs="Arial"/>
        </w:rPr>
        <w:t xml:space="preserve"> it maintains documentation that the program is addressing the intents and purposes of each of the consolidated programs. </w:t>
      </w:r>
    </w:p>
    <w:p w14:paraId="19C2CBA8" w14:textId="105C2BE8" w:rsidR="00B14771" w:rsidRPr="00E456D9" w:rsidRDefault="00B14771" w:rsidP="00B14771">
      <w:pPr>
        <w:spacing w:before="240"/>
        <w:rPr>
          <w:rFonts w:cs="Arial"/>
        </w:rPr>
      </w:pPr>
      <w:r w:rsidRPr="00E456D9">
        <w:rPr>
          <w:rFonts w:cs="Arial"/>
        </w:rPr>
        <w:t xml:space="preserve">In the </w:t>
      </w:r>
      <w:r w:rsidR="00C1759F">
        <w:rPr>
          <w:rFonts w:cs="Arial"/>
        </w:rPr>
        <w:t>l</w:t>
      </w:r>
      <w:r w:rsidRPr="00E456D9">
        <w:rPr>
          <w:rFonts w:cs="Arial"/>
        </w:rPr>
        <w:t xml:space="preserve">etter, ED explains that </w:t>
      </w:r>
      <w:proofErr w:type="gramStart"/>
      <w:r w:rsidRPr="00E456D9">
        <w:rPr>
          <w:rFonts w:cs="Arial"/>
        </w:rPr>
        <w:t>the majority of</w:t>
      </w:r>
      <w:proofErr w:type="gramEnd"/>
      <w:r w:rsidRPr="00E456D9">
        <w:rPr>
          <w:rFonts w:cs="Arial"/>
        </w:rPr>
        <w:t xml:space="preserve"> Title I schools do not take advantage of the consolidation flexibility, even though many Title I schools operate schoolwide programs.  ED cites a study from the 2015-2016 school year that showed only six percent of Title I schoolwide programs consolidated funds, while 77 percent of Title I schools operated a schoolwide program.  According to the study, the main challenges to the consolidation were State accounting rules that require separate accounting and a general lack of understanding around consolidation.  ED reiterates that </w:t>
      </w:r>
      <w:r w:rsidR="007476CB">
        <w:rPr>
          <w:rFonts w:cs="Arial"/>
        </w:rPr>
        <w:t xml:space="preserve">the </w:t>
      </w:r>
      <w:r w:rsidRPr="00E456D9">
        <w:rPr>
          <w:rFonts w:cs="Arial"/>
        </w:rPr>
        <w:t xml:space="preserve">ESEA requires States to modify or eliminate State fiscal and accounting barriers to consolidation.  </w:t>
      </w:r>
    </w:p>
    <w:p w14:paraId="610BA93F" w14:textId="77777777" w:rsidR="00B14771" w:rsidRPr="00E456D9" w:rsidRDefault="00B14771" w:rsidP="00B14771">
      <w:pPr>
        <w:spacing w:before="240"/>
        <w:rPr>
          <w:rFonts w:cs="Arial"/>
        </w:rPr>
      </w:pPr>
      <w:r w:rsidRPr="00E456D9">
        <w:rPr>
          <w:rFonts w:cs="Arial"/>
        </w:rPr>
        <w:t xml:space="preserve">ED encourages LEAs to utilize the schoolwide consolidation flexibility to “reduce red-tape and compliance costs” and “to better serve students and improve academic achievement.” </w:t>
      </w:r>
    </w:p>
    <w:p w14:paraId="1768BF17" w14:textId="77777777" w:rsidR="00B14771" w:rsidRPr="00E456D9" w:rsidRDefault="00B14771" w:rsidP="00B14771">
      <w:pPr>
        <w:spacing w:before="240"/>
        <w:rPr>
          <w:rFonts w:cs="Arial"/>
        </w:rPr>
      </w:pPr>
      <w:hyperlink r:id="rId9" w:tooltip="The Dear Colleague Letter can be viewed here. " w:history="1">
        <w:r w:rsidRPr="00E456D9">
          <w:rPr>
            <w:rStyle w:val="Hyperlink"/>
            <w:rFonts w:cs="Arial"/>
          </w:rPr>
          <w:t>The Dear Colleague Letter can be viewed here.</w:t>
        </w:r>
      </w:hyperlink>
      <w:r w:rsidRPr="00E456D9">
        <w:rPr>
          <w:rFonts w:cs="Arial"/>
        </w:rPr>
        <w:t xml:space="preserve"> </w:t>
      </w:r>
    </w:p>
    <w:p w14:paraId="287789BB" w14:textId="77777777" w:rsidR="00B14771" w:rsidRPr="00E456D9" w:rsidRDefault="00B14771" w:rsidP="00B14771">
      <w:pPr>
        <w:spacing w:before="240"/>
        <w:rPr>
          <w:rFonts w:cs="Arial"/>
        </w:rPr>
      </w:pPr>
      <w:r w:rsidRPr="00E456D9">
        <w:rPr>
          <w:rFonts w:cs="Arial"/>
        </w:rPr>
        <w:t xml:space="preserve">Author: BTW </w:t>
      </w:r>
    </w:p>
    <w:p w14:paraId="40CA5AC3" w14:textId="1F459EFF" w:rsidR="00037AFA" w:rsidRDefault="0057426E" w:rsidP="00C1759F">
      <w:pPr>
        <w:pStyle w:val="Heading1"/>
      </w:pPr>
      <w:bookmarkStart w:id="10" w:name="_Toc220067555"/>
      <w:r>
        <w:t>News</w:t>
      </w:r>
      <w:bookmarkStart w:id="11" w:name="_ggr13ial007m" w:colFirst="0" w:colLast="0"/>
      <w:bookmarkEnd w:id="10"/>
      <w:bookmarkEnd w:id="11"/>
    </w:p>
    <w:p w14:paraId="73FBD8BC" w14:textId="69F2727B" w:rsidR="006E35DA" w:rsidRDefault="004E2E29" w:rsidP="00037AFA">
      <w:pPr>
        <w:pStyle w:val="Heading2"/>
        <w:spacing w:before="0"/>
      </w:pPr>
      <w:bookmarkStart w:id="12" w:name="_Toc220067556"/>
      <w:r>
        <w:t>ED Drops Appeal of DEI Guidance</w:t>
      </w:r>
      <w:bookmarkEnd w:id="12"/>
    </w:p>
    <w:p w14:paraId="1B23EDFB" w14:textId="0F65EFF5" w:rsidR="000F26E3" w:rsidRDefault="000F26E3" w:rsidP="000F26E3">
      <w:pPr>
        <w:rPr>
          <w:rFonts w:cs="Arial"/>
        </w:rPr>
      </w:pPr>
      <w:r>
        <w:rPr>
          <w:rFonts w:cs="Arial"/>
        </w:rPr>
        <w:t xml:space="preserve">The U.S. Department of Education (ED) dropped its appeal in a case challenging a Dear Colleague letter issued in February </w:t>
      </w:r>
      <w:r w:rsidR="00F617E6">
        <w:rPr>
          <w:rFonts w:cs="Arial"/>
        </w:rPr>
        <w:t xml:space="preserve">of </w:t>
      </w:r>
      <w:r>
        <w:rPr>
          <w:rFonts w:cs="Arial"/>
        </w:rPr>
        <w:t xml:space="preserve">last year and a related certification regarding ED’s interpretation of Title VI of the Civil Rights Act and its application to diversity, equity, and inclusion (DEI) activities.  </w:t>
      </w:r>
    </w:p>
    <w:p w14:paraId="4C6D853C" w14:textId="609B3A35" w:rsidR="000F26E3" w:rsidRDefault="000F26E3" w:rsidP="000F26E3">
      <w:pPr>
        <w:rPr>
          <w:rFonts w:cs="Arial"/>
        </w:rPr>
      </w:pPr>
      <w:r>
        <w:rPr>
          <w:rFonts w:cs="Arial"/>
        </w:rPr>
        <w:t xml:space="preserve">The guidance issued last year applied the U.S. Supreme Court case </w:t>
      </w:r>
      <w:r>
        <w:rPr>
          <w:rFonts w:cs="Arial"/>
          <w:i/>
          <w:iCs/>
        </w:rPr>
        <w:t>Students for Fair Admissions v. Harvard</w:t>
      </w:r>
      <w:r>
        <w:rPr>
          <w:rFonts w:cs="Arial"/>
        </w:rPr>
        <w:t>, which was focused on the consideration of race in college admissions, to all educational programs.  In that guidance, ED provided grantees with 14 days to review all program activities, policies, and procedures to ensure alignment with the current administration’s Title VI interpretation.  In the letter, ED stated that if grantees implement</w:t>
      </w:r>
      <w:r w:rsidR="00C1759F">
        <w:rPr>
          <w:rFonts w:cs="Arial"/>
        </w:rPr>
        <w:t>ed</w:t>
      </w:r>
      <w:r>
        <w:rPr>
          <w:rFonts w:cs="Arial"/>
        </w:rPr>
        <w:t xml:space="preserve"> DEI programs, those actions would likely result in Title VI noncompliance.  </w:t>
      </w:r>
      <w:r w:rsidRPr="00C21844">
        <w:rPr>
          <w:rFonts w:cs="Arial"/>
        </w:rPr>
        <w:t>ED</w:t>
      </w:r>
      <w:r>
        <w:rPr>
          <w:rFonts w:cs="Arial"/>
        </w:rPr>
        <w:t xml:space="preserve"> later asked grantees to certify that they would comply with the administration’s Title VI interpretation, including that DEI programs amount to racial discrimination.  Last August, a judge struck down the guidance and certification, determining that it violated the First and Fifth Amendment, as well as the Administrative Procedure Act. </w:t>
      </w:r>
    </w:p>
    <w:p w14:paraId="209D1A7A" w14:textId="77777777" w:rsidR="000F26E3" w:rsidRDefault="000F26E3" w:rsidP="000F26E3">
      <w:pPr>
        <w:rPr>
          <w:rFonts w:cs="Arial"/>
        </w:rPr>
      </w:pPr>
      <w:r>
        <w:rPr>
          <w:rFonts w:cs="Arial"/>
        </w:rPr>
        <w:t xml:space="preserve">ED has not commented on its decision to withdraw its appeal of the August order. </w:t>
      </w:r>
    </w:p>
    <w:p w14:paraId="460D7F54" w14:textId="77777777" w:rsidR="000F26E3" w:rsidRDefault="000F26E3" w:rsidP="000F26E3">
      <w:pPr>
        <w:spacing w:after="0"/>
        <w:rPr>
          <w:rFonts w:cs="Arial"/>
        </w:rPr>
      </w:pPr>
      <w:r>
        <w:rPr>
          <w:rFonts w:cs="Arial"/>
        </w:rPr>
        <w:t>Resources:</w:t>
      </w:r>
    </w:p>
    <w:p w14:paraId="0EDA9E86" w14:textId="77777777" w:rsidR="000F26E3" w:rsidRDefault="000F26E3" w:rsidP="000F26E3">
      <w:pPr>
        <w:spacing w:before="0" w:after="0"/>
        <w:rPr>
          <w:rFonts w:cs="Arial"/>
        </w:rPr>
      </w:pPr>
      <w:r>
        <w:rPr>
          <w:rFonts w:cs="Arial"/>
        </w:rPr>
        <w:t>Bianca Quilantan, “</w:t>
      </w:r>
      <w:r w:rsidRPr="00C21844">
        <w:rPr>
          <w:rFonts w:eastAsiaTheme="minorHAnsi" w:cs="Arial"/>
          <w:szCs w:val="24"/>
        </w:rPr>
        <w:t>Trump administration drops appeal of school DEI guidance ruling</w:t>
      </w:r>
      <w:r>
        <w:rPr>
          <w:rFonts w:cs="Arial"/>
        </w:rPr>
        <w:t xml:space="preserve">,” </w:t>
      </w:r>
      <w:r>
        <w:rPr>
          <w:rFonts w:cs="Arial"/>
          <w:i/>
          <w:iCs/>
        </w:rPr>
        <w:t>Politico</w:t>
      </w:r>
      <w:r>
        <w:rPr>
          <w:rFonts w:cs="Arial"/>
        </w:rPr>
        <w:t>, January 21, 2026.</w:t>
      </w:r>
    </w:p>
    <w:p w14:paraId="74002875" w14:textId="77777777" w:rsidR="000F26E3" w:rsidRPr="00C21844" w:rsidRDefault="000F26E3" w:rsidP="000F26E3">
      <w:pPr>
        <w:spacing w:before="0" w:after="160"/>
        <w:rPr>
          <w:rFonts w:cs="Arial"/>
        </w:rPr>
      </w:pPr>
      <w:r>
        <w:rPr>
          <w:rFonts w:cs="Arial"/>
        </w:rPr>
        <w:t>Author: KSC</w:t>
      </w:r>
    </w:p>
    <w:p w14:paraId="5620654A" w14:textId="550F9DDD" w:rsidR="00201433" w:rsidRPr="00393E23" w:rsidRDefault="00201433" w:rsidP="008725FE">
      <w:pPr>
        <w:rPr>
          <w:rFonts w:cs="Arial"/>
        </w:rPr>
      </w:pPr>
      <w:r w:rsidRPr="008725FE">
        <w:rPr>
          <w:b/>
          <w:bCs/>
          <w:i/>
          <w:iCs/>
        </w:rPr>
        <w:lastRenderedPageBreak/>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10B9AF2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43EBFD9A" w14:textId="0CD4C06F" w:rsidR="005F1046" w:rsidRDefault="005F1046" w:rsidP="2193F663">
      <w:pPr>
        <w:spacing w:before="240" w:after="240"/>
        <w:rPr>
          <w:rFonts w:eastAsia="Times New Roman" w:cs="Arial"/>
        </w:rPr>
      </w:pPr>
      <w:r w:rsidRPr="005F1046">
        <w:rPr>
          <w:rFonts w:eastAsia="Times New Roman" w:cs="Arial"/>
        </w:rPr>
        <w:t>Posted by the California Department of Education, January 2026</w:t>
      </w:r>
    </w:p>
    <w:sectPr w:rsidR="005F1046"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7AF3" w14:textId="77777777" w:rsidR="00273943" w:rsidRDefault="00273943">
      <w:pPr>
        <w:spacing w:before="0" w:after="0"/>
      </w:pPr>
      <w:r>
        <w:separator/>
      </w:r>
    </w:p>
  </w:endnote>
  <w:endnote w:type="continuationSeparator" w:id="0">
    <w:p w14:paraId="72C4F9F7" w14:textId="77777777" w:rsidR="00273943" w:rsidRDefault="00273943">
      <w:pPr>
        <w:spacing w:before="0" w:after="0"/>
      </w:pPr>
      <w:r>
        <w:continuationSeparator/>
      </w:r>
    </w:p>
  </w:endnote>
  <w:endnote w:type="continuationNotice" w:id="1">
    <w:p w14:paraId="3613F420" w14:textId="77777777" w:rsidR="00273943" w:rsidRDefault="002739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51BB" w14:textId="77777777" w:rsidR="00273943" w:rsidRDefault="00273943">
      <w:pPr>
        <w:spacing w:before="0" w:after="0"/>
      </w:pPr>
      <w:r>
        <w:separator/>
      </w:r>
    </w:p>
  </w:footnote>
  <w:footnote w:type="continuationSeparator" w:id="0">
    <w:p w14:paraId="6C3B2422" w14:textId="77777777" w:rsidR="00273943" w:rsidRDefault="00273943">
      <w:pPr>
        <w:spacing w:before="0" w:after="0"/>
      </w:pPr>
      <w:r>
        <w:continuationSeparator/>
      </w:r>
    </w:p>
  </w:footnote>
  <w:footnote w:type="continuationNotice" w:id="1">
    <w:p w14:paraId="1E8A894E" w14:textId="77777777" w:rsidR="00273943" w:rsidRDefault="002739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89743A5" w:rsidR="003C7552" w:rsidRPr="00662BDC" w:rsidRDefault="00675BD9" w:rsidP="000A590A">
    <w:pPr>
      <w:pStyle w:val="NoSpacing"/>
      <w:tabs>
        <w:tab w:val="left" w:pos="7920"/>
      </w:tabs>
    </w:pPr>
    <w:r>
      <w:t xml:space="preserve">January </w:t>
    </w:r>
    <w:r w:rsidR="00844E55">
      <w:t>23</w:t>
    </w:r>
    <w:r w:rsidR="71338862">
      <w:t>, 202</w:t>
    </w:r>
    <w: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4E7D"/>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7CA"/>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CF1"/>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1051"/>
    <w:rsid w:val="001C1865"/>
    <w:rsid w:val="001C186B"/>
    <w:rsid w:val="001C1A63"/>
    <w:rsid w:val="001C22C6"/>
    <w:rsid w:val="001C2691"/>
    <w:rsid w:val="001C26A5"/>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943"/>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7CB"/>
    <w:rsid w:val="00372B9D"/>
    <w:rsid w:val="00373C8D"/>
    <w:rsid w:val="00373F3D"/>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3E0"/>
    <w:rsid w:val="0042187B"/>
    <w:rsid w:val="00421C83"/>
    <w:rsid w:val="00421EB9"/>
    <w:rsid w:val="00422577"/>
    <w:rsid w:val="00422A6E"/>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FC4"/>
    <w:rsid w:val="00435089"/>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186"/>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77"/>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101D"/>
    <w:rsid w:val="005F1046"/>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471"/>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D7"/>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5DA"/>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1F30"/>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CC"/>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1DD"/>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41C"/>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B2B"/>
    <w:rsid w:val="009E300C"/>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C96"/>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7B9"/>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B39"/>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23C1"/>
    <w:rsid w:val="00D52440"/>
    <w:rsid w:val="00D525C2"/>
    <w:rsid w:val="00D52658"/>
    <w:rsid w:val="00D527EB"/>
    <w:rsid w:val="00D528AB"/>
    <w:rsid w:val="00D52A1D"/>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54"/>
    <w:rsid w:val="00DA31A6"/>
    <w:rsid w:val="00DA395C"/>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4FC"/>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DA6625"/>
    <w:pPr>
      <w:keepNext/>
      <w:keepLines/>
      <w:pBdr>
        <w:bottom w:val="single" w:sz="6" w:space="1" w:color="auto"/>
      </w:pBdr>
      <w:spacing w:before="240"/>
      <w:outlineLvl w:val="0"/>
    </w:pPr>
    <w:rPr>
      <w:rFonts w:eastAsiaTheme="majorEastAsia" w:cstheme="majorBidi"/>
      <w:b/>
      <w:smallCaps/>
      <w:sz w:val="32"/>
      <w:szCs w:val="32"/>
    </w:rPr>
  </w:style>
  <w:style w:type="paragraph" w:styleId="Heading2">
    <w:name w:val="heading 2"/>
    <w:basedOn w:val="Normal"/>
    <w:next w:val="Normal"/>
    <w:link w:val="Heading2Char"/>
    <w:uiPriority w:val="9"/>
    <w:unhideWhenUsed/>
    <w:qFormat/>
    <w:rsid w:val="00037AFA"/>
    <w:pPr>
      <w:keepNext/>
      <w:keepLines/>
      <w:spacing w:before="12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spacing w:before="0" w:after="0"/>
      <w:ind w:right="86"/>
    </w:pPr>
    <w:rPr>
      <w:b/>
      <w:sz w:val="32"/>
    </w:rPr>
  </w:style>
  <w:style w:type="paragraph" w:styleId="TOC2">
    <w:name w:val="toc 2"/>
    <w:aliases w:val="Federal Update TOC 2"/>
    <w:basedOn w:val="Normal"/>
    <w:next w:val="Normal"/>
    <w:autoRedefine/>
    <w:uiPriority w:val="39"/>
    <w:rsid w:val="00D478B6"/>
    <w:pPr>
      <w:tabs>
        <w:tab w:val="right" w:leader="dot" w:pos="9472"/>
      </w:tabs>
      <w:spacing w:before="0" w:after="0"/>
      <w:ind w:left="720"/>
    </w:pPr>
    <w:rPr>
      <w:b/>
      <w:noProof/>
      <w:sz w:val="28"/>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037AF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A6625"/>
    <w:rPr>
      <w:rFonts w:ascii="Arial" w:eastAsiaTheme="majorEastAsia" w:hAnsi="Arial" w:cstheme="majorBidi"/>
      <w:b/>
      <w:smallCaps/>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after="0"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gov/media/document/dear-colleague-letter-guidance-states-schoolwide-program-flexibilities-improve-student-success-january-21-2026-113138.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Federal Update: January 23 - Government Affairs (CA Dept of Education)</vt:lpstr>
    </vt:vector>
  </TitlesOfParts>
  <Company/>
  <LinksUpToDate>false</LinksUpToDate>
  <CharactersWithSpaces>12454</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23 - Government Affairs (CA Dept of Education)</dc:title>
  <dc:subject>Federal Updates for January 23, 2026.</dc:subject>
  <dc:creator/>
  <cp:keywords/>
  <dc:description/>
  <cp:lastModifiedBy/>
  <cp:revision>1</cp:revision>
  <dcterms:created xsi:type="dcterms:W3CDTF">2026-02-11T16:54:00Z</dcterms:created>
  <dcterms:modified xsi:type="dcterms:W3CDTF">2026-02-11T23:31:00Z</dcterms:modified>
</cp:coreProperties>
</file>