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3C2E" w14:textId="150A6A58" w:rsidR="00C43C3E" w:rsidRDefault="00924046"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t xml:space="preserve"> </w:t>
      </w:r>
      <w:r w:rsidR="002F1CDF">
        <w:t xml:space="preserve"> </w:t>
      </w:r>
      <w:r w:rsidR="00B605A2"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3EC58CC2" w:rsidR="0042468E" w:rsidRPr="009A11E5" w:rsidRDefault="0042468E" w:rsidP="009A11E5">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9A11E5">
        <w:rPr>
          <w:rFonts w:ascii="Arial" w:eastAsia="Verdana" w:hAnsi="Arial" w:cs="Times New Roman"/>
          <w:b/>
          <w:bCs/>
          <w:color w:val="auto"/>
        </w:rPr>
        <w:t xml:space="preserve">The Federal Update for </w:t>
      </w:r>
      <w:bookmarkEnd w:id="10"/>
      <w:bookmarkEnd w:id="11"/>
      <w:bookmarkEnd w:id="12"/>
      <w:bookmarkEnd w:id="13"/>
      <w:bookmarkEnd w:id="14"/>
      <w:bookmarkEnd w:id="15"/>
      <w:r w:rsidR="001E47C4" w:rsidRPr="009A11E5">
        <w:rPr>
          <w:rFonts w:ascii="Arial" w:eastAsia="Verdana" w:hAnsi="Arial" w:cs="Times New Roman"/>
          <w:b/>
          <w:bCs/>
          <w:color w:val="auto"/>
        </w:rPr>
        <w:t xml:space="preserve">February </w:t>
      </w:r>
      <w:r w:rsidR="006C26D8" w:rsidRPr="009A11E5">
        <w:rPr>
          <w:rFonts w:ascii="Arial" w:eastAsia="Verdana" w:hAnsi="Arial" w:cs="Times New Roman"/>
          <w:b/>
          <w:bCs/>
          <w:color w:val="auto"/>
        </w:rPr>
        <w:t>21</w:t>
      </w:r>
      <w:r w:rsidR="007C6E27" w:rsidRPr="009A11E5">
        <w:rPr>
          <w:rFonts w:ascii="Arial" w:eastAsia="Verdana" w:hAnsi="Arial" w:cs="Times New Roman"/>
          <w:b/>
          <w:bCs/>
          <w:color w:val="auto"/>
        </w:rPr>
        <w:t>, 2025</w:t>
      </w:r>
    </w:p>
    <w:p w14:paraId="37A0DBF9" w14:textId="77777777" w:rsidR="0042468E" w:rsidRPr="0042468E" w:rsidRDefault="0042468E" w:rsidP="00D0389C">
      <w:pPr>
        <w:pStyle w:val="MessageHeader"/>
        <w:rPr>
          <w:sz w:val="22"/>
          <w:szCs w:val="20"/>
        </w:rPr>
      </w:pPr>
    </w:p>
    <w:p w14:paraId="2D9B32A0" w14:textId="13D7AD21" w:rsidR="00D0389C" w:rsidRDefault="53D235F9" w:rsidP="00D0389C">
      <w:pPr>
        <w:pStyle w:val="MessageHeader"/>
      </w:pPr>
      <w:r>
        <w:t>From</w:t>
      </w:r>
      <w:r w:rsidR="269949FD">
        <w:t>:</w:t>
      </w:r>
      <w:r w:rsidR="00156AA4">
        <w:tab/>
      </w:r>
      <w:r>
        <w:t>Michael Brustein, Julia Martin, Steven Spillan, Kelly</w:t>
      </w:r>
      <w:r w:rsidR="269949FD">
        <w:t xml:space="preserve"> Christiansen</w:t>
      </w:r>
    </w:p>
    <w:p w14:paraId="35F1F74C" w14:textId="77777777" w:rsidR="00D0389C" w:rsidRDefault="00D0389C" w:rsidP="00D0389C">
      <w:pPr>
        <w:pStyle w:val="MessageHeader"/>
      </w:pPr>
      <w:r>
        <w:t>Re:</w:t>
      </w:r>
      <w:r>
        <w:tab/>
        <w:t>Federal Update</w:t>
      </w:r>
    </w:p>
    <w:p w14:paraId="1EA8E9EA" w14:textId="1B34F270" w:rsidR="0063135C" w:rsidRDefault="00D0389C" w:rsidP="009B424F">
      <w:pPr>
        <w:pStyle w:val="MessageHeader"/>
        <w:spacing w:after="240"/>
      </w:pPr>
      <w:r>
        <w:t>Date:</w:t>
      </w:r>
      <w:r>
        <w:tab/>
      </w:r>
      <w:r w:rsidR="001E47C4">
        <w:t xml:space="preserve">February </w:t>
      </w:r>
      <w:r w:rsidR="006C26D8">
        <w:t>21</w:t>
      </w:r>
      <w:r w:rsidR="007C6E27">
        <w:t>, 2025</w:t>
      </w:r>
    </w:p>
    <w:p w14:paraId="7D828A7E" w14:textId="77057CDD" w:rsidR="002C7946" w:rsidRDefault="003047DD">
      <w:pPr>
        <w:pStyle w:val="TOC2"/>
        <w:rPr>
          <w:rFonts w:asciiTheme="minorHAnsi" w:eastAsiaTheme="minorEastAsia" w:hAnsiTheme="minorHAnsi" w:cstheme="minorBidi"/>
          <w:b w:val="0"/>
          <w:kern w:val="2"/>
          <w:sz w:val="24"/>
          <w:szCs w:val="24"/>
          <w14:ligatures w14:val="standardContextual"/>
        </w:rPr>
      </w:pPr>
      <w:r>
        <w:fldChar w:fldCharType="begin"/>
      </w:r>
      <w:r w:rsidR="2193F663">
        <w:instrText>TOC \o "1-3" \z \u \h</w:instrText>
      </w:r>
      <w:r>
        <w:fldChar w:fldCharType="separate"/>
      </w:r>
      <w:hyperlink w:anchor="_Toc191029172" w:history="1">
        <w:r w:rsidR="002C7946" w:rsidRPr="00975881">
          <w:rPr>
            <w:rStyle w:val="Hyperlink"/>
          </w:rPr>
          <w:t>Legislation and Guidance</w:t>
        </w:r>
        <w:r w:rsidR="002C7946">
          <w:rPr>
            <w:webHidden/>
          </w:rPr>
          <w:tab/>
        </w:r>
        <w:r w:rsidR="002C7946">
          <w:rPr>
            <w:webHidden/>
          </w:rPr>
          <w:fldChar w:fldCharType="begin"/>
        </w:r>
        <w:r w:rsidR="002C7946">
          <w:rPr>
            <w:webHidden/>
          </w:rPr>
          <w:instrText xml:space="preserve"> PAGEREF _Toc191029172 \h </w:instrText>
        </w:r>
        <w:r w:rsidR="002C7946">
          <w:rPr>
            <w:webHidden/>
          </w:rPr>
        </w:r>
        <w:r w:rsidR="002C7946">
          <w:rPr>
            <w:webHidden/>
          </w:rPr>
          <w:fldChar w:fldCharType="separate"/>
        </w:r>
        <w:r w:rsidR="002C7946">
          <w:rPr>
            <w:webHidden/>
          </w:rPr>
          <w:t>1</w:t>
        </w:r>
        <w:r w:rsidR="002C7946">
          <w:rPr>
            <w:webHidden/>
          </w:rPr>
          <w:fldChar w:fldCharType="end"/>
        </w:r>
      </w:hyperlink>
    </w:p>
    <w:p w14:paraId="1407F332" w14:textId="14D438CD" w:rsidR="002C7946" w:rsidRDefault="002C7946">
      <w:pPr>
        <w:pStyle w:val="TOC3"/>
        <w:rPr>
          <w:rFonts w:asciiTheme="minorHAnsi" w:eastAsiaTheme="minorEastAsia" w:hAnsiTheme="minorHAnsi" w:cstheme="minorBidi"/>
          <w:b w:val="0"/>
          <w:kern w:val="2"/>
          <w:sz w:val="24"/>
          <w:szCs w:val="24"/>
          <w14:ligatures w14:val="standardContextual"/>
        </w:rPr>
      </w:pPr>
      <w:hyperlink w:anchor="_Toc191029173" w:history="1">
        <w:r w:rsidRPr="00975881">
          <w:rPr>
            <w:rStyle w:val="Hyperlink"/>
          </w:rPr>
          <w:t>Dear Colleague Letter Threatens Funding Over Race-Based Programs</w:t>
        </w:r>
        <w:r>
          <w:rPr>
            <w:webHidden/>
          </w:rPr>
          <w:tab/>
        </w:r>
        <w:r>
          <w:rPr>
            <w:webHidden/>
          </w:rPr>
          <w:fldChar w:fldCharType="begin"/>
        </w:r>
        <w:r>
          <w:rPr>
            <w:webHidden/>
          </w:rPr>
          <w:instrText xml:space="preserve"> PAGEREF _Toc191029173 \h </w:instrText>
        </w:r>
        <w:r>
          <w:rPr>
            <w:webHidden/>
          </w:rPr>
        </w:r>
        <w:r>
          <w:rPr>
            <w:webHidden/>
          </w:rPr>
          <w:fldChar w:fldCharType="separate"/>
        </w:r>
        <w:r>
          <w:rPr>
            <w:webHidden/>
          </w:rPr>
          <w:t>1</w:t>
        </w:r>
        <w:r>
          <w:rPr>
            <w:webHidden/>
          </w:rPr>
          <w:fldChar w:fldCharType="end"/>
        </w:r>
      </w:hyperlink>
    </w:p>
    <w:p w14:paraId="10097C8A" w14:textId="2578EBE4" w:rsidR="002C7946" w:rsidRDefault="002C7946">
      <w:pPr>
        <w:pStyle w:val="TOC3"/>
        <w:rPr>
          <w:rFonts w:asciiTheme="minorHAnsi" w:eastAsiaTheme="minorEastAsia" w:hAnsiTheme="minorHAnsi" w:cstheme="minorBidi"/>
          <w:b w:val="0"/>
          <w:kern w:val="2"/>
          <w:sz w:val="24"/>
          <w:szCs w:val="24"/>
          <w14:ligatures w14:val="standardContextual"/>
        </w:rPr>
      </w:pPr>
      <w:hyperlink w:anchor="_Toc191029174" w:history="1">
        <w:r w:rsidRPr="00975881">
          <w:rPr>
            <w:rStyle w:val="Hyperlink"/>
          </w:rPr>
          <w:t>ED Says It Will Review Remaining Stimulus Expenditures Before Drawdown</w:t>
        </w:r>
        <w:r>
          <w:rPr>
            <w:webHidden/>
          </w:rPr>
          <w:tab/>
        </w:r>
        <w:r>
          <w:rPr>
            <w:webHidden/>
          </w:rPr>
          <w:fldChar w:fldCharType="begin"/>
        </w:r>
        <w:r>
          <w:rPr>
            <w:webHidden/>
          </w:rPr>
          <w:instrText xml:space="preserve"> PAGEREF _Toc191029174 \h </w:instrText>
        </w:r>
        <w:r>
          <w:rPr>
            <w:webHidden/>
          </w:rPr>
        </w:r>
        <w:r>
          <w:rPr>
            <w:webHidden/>
          </w:rPr>
          <w:fldChar w:fldCharType="separate"/>
        </w:r>
        <w:r>
          <w:rPr>
            <w:webHidden/>
          </w:rPr>
          <w:t>2</w:t>
        </w:r>
        <w:r>
          <w:rPr>
            <w:webHidden/>
          </w:rPr>
          <w:fldChar w:fldCharType="end"/>
        </w:r>
      </w:hyperlink>
    </w:p>
    <w:p w14:paraId="56FB7686" w14:textId="2A8DBF2F" w:rsidR="002C7946" w:rsidRDefault="002C7946">
      <w:pPr>
        <w:pStyle w:val="TOC3"/>
        <w:rPr>
          <w:rFonts w:asciiTheme="minorHAnsi" w:eastAsiaTheme="minorEastAsia" w:hAnsiTheme="minorHAnsi" w:cstheme="minorBidi"/>
          <w:b w:val="0"/>
          <w:kern w:val="2"/>
          <w:sz w:val="24"/>
          <w:szCs w:val="24"/>
          <w14:ligatures w14:val="standardContextual"/>
        </w:rPr>
      </w:pPr>
      <w:hyperlink w:anchor="_Toc191029175" w:history="1">
        <w:r w:rsidRPr="00975881">
          <w:rPr>
            <w:rStyle w:val="Hyperlink"/>
          </w:rPr>
          <w:t>New Grant Appeals Process Announced by ED</w:t>
        </w:r>
        <w:r>
          <w:rPr>
            <w:webHidden/>
          </w:rPr>
          <w:tab/>
        </w:r>
        <w:r>
          <w:rPr>
            <w:webHidden/>
          </w:rPr>
          <w:fldChar w:fldCharType="begin"/>
        </w:r>
        <w:r>
          <w:rPr>
            <w:webHidden/>
          </w:rPr>
          <w:instrText xml:space="preserve"> PAGEREF _Toc191029175 \h </w:instrText>
        </w:r>
        <w:r>
          <w:rPr>
            <w:webHidden/>
          </w:rPr>
        </w:r>
        <w:r>
          <w:rPr>
            <w:webHidden/>
          </w:rPr>
          <w:fldChar w:fldCharType="separate"/>
        </w:r>
        <w:r>
          <w:rPr>
            <w:webHidden/>
          </w:rPr>
          <w:t>3</w:t>
        </w:r>
        <w:r>
          <w:rPr>
            <w:webHidden/>
          </w:rPr>
          <w:fldChar w:fldCharType="end"/>
        </w:r>
      </w:hyperlink>
    </w:p>
    <w:p w14:paraId="07FEDBF5" w14:textId="2E8222C7" w:rsidR="002C7946" w:rsidRDefault="002C7946">
      <w:pPr>
        <w:pStyle w:val="TOC3"/>
        <w:rPr>
          <w:rFonts w:asciiTheme="minorHAnsi" w:eastAsiaTheme="minorEastAsia" w:hAnsiTheme="minorHAnsi" w:cstheme="minorBidi"/>
          <w:b w:val="0"/>
          <w:kern w:val="2"/>
          <w:sz w:val="24"/>
          <w:szCs w:val="24"/>
          <w14:ligatures w14:val="standardContextual"/>
        </w:rPr>
      </w:pPr>
      <w:hyperlink w:anchor="_Toc191029176" w:history="1">
        <w:r w:rsidRPr="00975881">
          <w:rPr>
            <w:rStyle w:val="Hyperlink"/>
          </w:rPr>
          <w:t>President Signs Executive Order on Deregulation</w:t>
        </w:r>
        <w:r>
          <w:rPr>
            <w:webHidden/>
          </w:rPr>
          <w:tab/>
        </w:r>
        <w:r>
          <w:rPr>
            <w:webHidden/>
          </w:rPr>
          <w:fldChar w:fldCharType="begin"/>
        </w:r>
        <w:r>
          <w:rPr>
            <w:webHidden/>
          </w:rPr>
          <w:instrText xml:space="preserve"> PAGEREF _Toc191029176 \h </w:instrText>
        </w:r>
        <w:r>
          <w:rPr>
            <w:webHidden/>
          </w:rPr>
        </w:r>
        <w:r>
          <w:rPr>
            <w:webHidden/>
          </w:rPr>
          <w:fldChar w:fldCharType="separate"/>
        </w:r>
        <w:r>
          <w:rPr>
            <w:webHidden/>
          </w:rPr>
          <w:t>3</w:t>
        </w:r>
        <w:r>
          <w:rPr>
            <w:webHidden/>
          </w:rPr>
          <w:fldChar w:fldCharType="end"/>
        </w:r>
      </w:hyperlink>
    </w:p>
    <w:p w14:paraId="57490159" w14:textId="606BEE56" w:rsidR="002C7946" w:rsidRDefault="002C7946">
      <w:pPr>
        <w:pStyle w:val="TOC3"/>
        <w:rPr>
          <w:rFonts w:asciiTheme="minorHAnsi" w:eastAsiaTheme="minorEastAsia" w:hAnsiTheme="minorHAnsi" w:cstheme="minorBidi"/>
          <w:b w:val="0"/>
          <w:kern w:val="2"/>
          <w:sz w:val="24"/>
          <w:szCs w:val="24"/>
          <w14:ligatures w14:val="standardContextual"/>
        </w:rPr>
      </w:pPr>
      <w:hyperlink w:anchor="_Toc191029177" w:history="1">
        <w:r w:rsidRPr="00975881">
          <w:rPr>
            <w:rStyle w:val="Hyperlink"/>
          </w:rPr>
          <w:t>OCTAE Issues Guidance on State Plan Policy Reversal</w:t>
        </w:r>
        <w:r>
          <w:rPr>
            <w:webHidden/>
          </w:rPr>
          <w:tab/>
        </w:r>
        <w:r>
          <w:rPr>
            <w:webHidden/>
          </w:rPr>
          <w:fldChar w:fldCharType="begin"/>
        </w:r>
        <w:r>
          <w:rPr>
            <w:webHidden/>
          </w:rPr>
          <w:instrText xml:space="preserve"> PAGEREF _Toc191029177 \h </w:instrText>
        </w:r>
        <w:r>
          <w:rPr>
            <w:webHidden/>
          </w:rPr>
        </w:r>
        <w:r>
          <w:rPr>
            <w:webHidden/>
          </w:rPr>
          <w:fldChar w:fldCharType="separate"/>
        </w:r>
        <w:r>
          <w:rPr>
            <w:webHidden/>
          </w:rPr>
          <w:t>4</w:t>
        </w:r>
        <w:r>
          <w:rPr>
            <w:webHidden/>
          </w:rPr>
          <w:fldChar w:fldCharType="end"/>
        </w:r>
      </w:hyperlink>
    </w:p>
    <w:p w14:paraId="26C587C7" w14:textId="7CB07E3B" w:rsidR="002C7946" w:rsidRDefault="002C7946">
      <w:pPr>
        <w:pStyle w:val="TOC2"/>
        <w:rPr>
          <w:rFonts w:asciiTheme="minorHAnsi" w:eastAsiaTheme="minorEastAsia" w:hAnsiTheme="minorHAnsi" w:cstheme="minorBidi"/>
          <w:b w:val="0"/>
          <w:kern w:val="2"/>
          <w:sz w:val="24"/>
          <w:szCs w:val="24"/>
          <w14:ligatures w14:val="standardContextual"/>
        </w:rPr>
      </w:pPr>
      <w:hyperlink w:anchor="_Toc191029178" w:history="1">
        <w:r w:rsidRPr="00975881">
          <w:rPr>
            <w:rStyle w:val="Hyperlink"/>
          </w:rPr>
          <w:t>News</w:t>
        </w:r>
        <w:r>
          <w:rPr>
            <w:webHidden/>
          </w:rPr>
          <w:tab/>
        </w:r>
        <w:r>
          <w:rPr>
            <w:webHidden/>
          </w:rPr>
          <w:fldChar w:fldCharType="begin"/>
        </w:r>
        <w:r>
          <w:rPr>
            <w:webHidden/>
          </w:rPr>
          <w:instrText xml:space="preserve"> PAGEREF _Toc191029178 \h </w:instrText>
        </w:r>
        <w:r>
          <w:rPr>
            <w:webHidden/>
          </w:rPr>
        </w:r>
        <w:r>
          <w:rPr>
            <w:webHidden/>
          </w:rPr>
          <w:fldChar w:fldCharType="separate"/>
        </w:r>
        <w:r>
          <w:rPr>
            <w:webHidden/>
          </w:rPr>
          <w:t>5</w:t>
        </w:r>
        <w:r>
          <w:rPr>
            <w:webHidden/>
          </w:rPr>
          <w:fldChar w:fldCharType="end"/>
        </w:r>
      </w:hyperlink>
    </w:p>
    <w:p w14:paraId="02F6ABF9" w14:textId="2747BBF8" w:rsidR="002C7946" w:rsidRDefault="002C7946">
      <w:pPr>
        <w:pStyle w:val="TOC3"/>
        <w:rPr>
          <w:rFonts w:asciiTheme="minorHAnsi" w:eastAsiaTheme="minorEastAsia" w:hAnsiTheme="minorHAnsi" w:cstheme="minorBidi"/>
          <w:b w:val="0"/>
          <w:kern w:val="2"/>
          <w:sz w:val="24"/>
          <w:szCs w:val="24"/>
          <w14:ligatures w14:val="standardContextual"/>
        </w:rPr>
      </w:pPr>
      <w:hyperlink w:anchor="_Toc191029179" w:history="1">
        <w:r w:rsidRPr="00975881">
          <w:rPr>
            <w:rStyle w:val="Hyperlink"/>
          </w:rPr>
          <w:t>Senate HELP Committee Advances Linda McMahon Nomination</w:t>
        </w:r>
        <w:r>
          <w:rPr>
            <w:webHidden/>
          </w:rPr>
          <w:tab/>
        </w:r>
        <w:r>
          <w:rPr>
            <w:webHidden/>
          </w:rPr>
          <w:fldChar w:fldCharType="begin"/>
        </w:r>
        <w:r>
          <w:rPr>
            <w:webHidden/>
          </w:rPr>
          <w:instrText xml:space="preserve"> PAGEREF _Toc191029179 \h </w:instrText>
        </w:r>
        <w:r>
          <w:rPr>
            <w:webHidden/>
          </w:rPr>
        </w:r>
        <w:r>
          <w:rPr>
            <w:webHidden/>
          </w:rPr>
          <w:fldChar w:fldCharType="separate"/>
        </w:r>
        <w:r>
          <w:rPr>
            <w:webHidden/>
          </w:rPr>
          <w:t>5</w:t>
        </w:r>
        <w:r>
          <w:rPr>
            <w:webHidden/>
          </w:rPr>
          <w:fldChar w:fldCharType="end"/>
        </w:r>
      </w:hyperlink>
    </w:p>
    <w:p w14:paraId="4C30184B" w14:textId="38A970BE" w:rsidR="002C7946" w:rsidRDefault="002C7946">
      <w:pPr>
        <w:pStyle w:val="TOC3"/>
        <w:rPr>
          <w:rFonts w:asciiTheme="minorHAnsi" w:eastAsiaTheme="minorEastAsia" w:hAnsiTheme="minorHAnsi" w:cstheme="minorBidi"/>
          <w:b w:val="0"/>
          <w:kern w:val="2"/>
          <w:sz w:val="24"/>
          <w:szCs w:val="24"/>
          <w14:ligatures w14:val="standardContextual"/>
        </w:rPr>
      </w:pPr>
      <w:hyperlink w:anchor="_Toc191029180" w:history="1">
        <w:r w:rsidRPr="00975881">
          <w:rPr>
            <w:rStyle w:val="Hyperlink"/>
          </w:rPr>
          <w:t>Subcommittee Members Announced for Senate HELP</w:t>
        </w:r>
        <w:r>
          <w:rPr>
            <w:webHidden/>
          </w:rPr>
          <w:tab/>
        </w:r>
        <w:r>
          <w:rPr>
            <w:webHidden/>
          </w:rPr>
          <w:fldChar w:fldCharType="begin"/>
        </w:r>
        <w:r>
          <w:rPr>
            <w:webHidden/>
          </w:rPr>
          <w:instrText xml:space="preserve"> PAGEREF _Toc191029180 \h </w:instrText>
        </w:r>
        <w:r>
          <w:rPr>
            <w:webHidden/>
          </w:rPr>
        </w:r>
        <w:r>
          <w:rPr>
            <w:webHidden/>
          </w:rPr>
          <w:fldChar w:fldCharType="separate"/>
        </w:r>
        <w:r>
          <w:rPr>
            <w:webHidden/>
          </w:rPr>
          <w:t>5</w:t>
        </w:r>
        <w:r>
          <w:rPr>
            <w:webHidden/>
          </w:rPr>
          <w:fldChar w:fldCharType="end"/>
        </w:r>
      </w:hyperlink>
    </w:p>
    <w:p w14:paraId="6C20CEDC" w14:textId="3B932071" w:rsidR="002C7946" w:rsidRDefault="002C7946">
      <w:pPr>
        <w:pStyle w:val="TOC3"/>
        <w:rPr>
          <w:rFonts w:asciiTheme="minorHAnsi" w:eastAsiaTheme="minorEastAsia" w:hAnsiTheme="minorHAnsi" w:cstheme="minorBidi"/>
          <w:b w:val="0"/>
          <w:kern w:val="2"/>
          <w:sz w:val="24"/>
          <w:szCs w:val="24"/>
          <w14:ligatures w14:val="standardContextual"/>
        </w:rPr>
      </w:pPr>
      <w:hyperlink w:anchor="_Toc191029181" w:history="1">
        <w:r w:rsidRPr="00975881">
          <w:rPr>
            <w:rStyle w:val="Hyperlink"/>
          </w:rPr>
          <w:t>DOGE Regains Access to ED Data Systems After Temporary Pause</w:t>
        </w:r>
        <w:r>
          <w:rPr>
            <w:webHidden/>
          </w:rPr>
          <w:tab/>
        </w:r>
        <w:r>
          <w:rPr>
            <w:webHidden/>
          </w:rPr>
          <w:fldChar w:fldCharType="begin"/>
        </w:r>
        <w:r>
          <w:rPr>
            <w:webHidden/>
          </w:rPr>
          <w:instrText xml:space="preserve"> PAGEREF _Toc191029181 \h </w:instrText>
        </w:r>
        <w:r>
          <w:rPr>
            <w:webHidden/>
          </w:rPr>
        </w:r>
        <w:r>
          <w:rPr>
            <w:webHidden/>
          </w:rPr>
          <w:fldChar w:fldCharType="separate"/>
        </w:r>
        <w:r>
          <w:rPr>
            <w:webHidden/>
          </w:rPr>
          <w:t>6</w:t>
        </w:r>
        <w:r>
          <w:rPr>
            <w:webHidden/>
          </w:rPr>
          <w:fldChar w:fldCharType="end"/>
        </w:r>
      </w:hyperlink>
    </w:p>
    <w:p w14:paraId="5CCD24FE" w14:textId="41ACC80E" w:rsidR="003047DD" w:rsidRDefault="003047DD" w:rsidP="00E97322">
      <w:pPr>
        <w:pStyle w:val="TOC3"/>
        <w:rPr>
          <w:rFonts w:asciiTheme="minorHAnsi" w:eastAsiaTheme="minorEastAsia" w:hAnsiTheme="minorHAnsi" w:cstheme="minorBidi"/>
          <w:kern w:val="2"/>
          <w:szCs w:val="24"/>
          <w14:ligatures w14:val="standardContextual"/>
        </w:rPr>
      </w:pPr>
      <w:r>
        <w:fldChar w:fldCharType="end"/>
      </w:r>
    </w:p>
    <w:p w14:paraId="141F937E" w14:textId="4B50F524" w:rsidR="00A458C5" w:rsidRDefault="0B9A8376" w:rsidP="00A458C5">
      <w:pPr>
        <w:pStyle w:val="Heading2"/>
      </w:pPr>
      <w:r>
        <w:t xml:space="preserve"> </w:t>
      </w:r>
      <w:bookmarkStart w:id="16" w:name="_Toc191029172"/>
      <w:r w:rsidR="006C26D8">
        <w:t>Legislation and Guidance</w:t>
      </w:r>
      <w:bookmarkEnd w:id="16"/>
    </w:p>
    <w:p w14:paraId="1A6A16C7" w14:textId="0A8D4EF3" w:rsidR="00A458C5" w:rsidRPr="00681FEF" w:rsidRDefault="00E545C7" w:rsidP="00A458C5">
      <w:pPr>
        <w:pStyle w:val="Heading3"/>
      </w:pPr>
      <w:bookmarkStart w:id="17" w:name="_Toc191029173"/>
      <w:r>
        <w:t xml:space="preserve">Dear Colleague Letter Threatens Funding Over </w:t>
      </w:r>
      <w:r w:rsidR="00C575D4">
        <w:t>Race-Based</w:t>
      </w:r>
      <w:r>
        <w:t xml:space="preserve"> Programs</w:t>
      </w:r>
      <w:bookmarkEnd w:id="17"/>
    </w:p>
    <w:p w14:paraId="1601AAAC" w14:textId="6FA0AC0C" w:rsidR="0016137E" w:rsidRDefault="0016137E" w:rsidP="0016137E">
      <w:pPr>
        <w:rPr>
          <w:rFonts w:cs="Arial"/>
          <w:szCs w:val="24"/>
        </w:rPr>
      </w:pPr>
      <w:r w:rsidRPr="00E5518C">
        <w:rPr>
          <w:rFonts w:cs="Arial"/>
          <w:szCs w:val="24"/>
        </w:rPr>
        <w:t xml:space="preserve">On </w:t>
      </w:r>
      <w:r w:rsidR="00042E7E">
        <w:rPr>
          <w:rFonts w:cs="Arial"/>
          <w:szCs w:val="24"/>
        </w:rPr>
        <w:t>Friday</w:t>
      </w:r>
      <w:r>
        <w:rPr>
          <w:rFonts w:cs="Arial"/>
          <w:szCs w:val="24"/>
        </w:rPr>
        <w:t>, February 14</w:t>
      </w:r>
      <w:r w:rsidRPr="0041202A">
        <w:rPr>
          <w:rFonts w:cs="Arial"/>
          <w:szCs w:val="24"/>
          <w:vertAlign w:val="superscript"/>
        </w:rPr>
        <w:t>th</w:t>
      </w:r>
      <w:r w:rsidRPr="00E5518C">
        <w:rPr>
          <w:rFonts w:cs="Arial"/>
          <w:szCs w:val="24"/>
        </w:rPr>
        <w:t>, the U.S. Department of Education</w:t>
      </w:r>
      <w:r>
        <w:rPr>
          <w:rFonts w:cs="Arial"/>
          <w:szCs w:val="24"/>
        </w:rPr>
        <w:t xml:space="preserve"> (ED)</w:t>
      </w:r>
      <w:r w:rsidRPr="00E5518C">
        <w:rPr>
          <w:rFonts w:cs="Arial"/>
          <w:szCs w:val="24"/>
        </w:rPr>
        <w:t xml:space="preserve"> sent a letter to recipients of federal funding notifying them that they will “no longer tolerate the overt and covert racial discrimination that has become widespread in this Nation’s educational institutions”</w:t>
      </w:r>
      <w:r>
        <w:rPr>
          <w:rFonts w:cs="Arial"/>
          <w:szCs w:val="24"/>
        </w:rPr>
        <w:t xml:space="preserve"> </w:t>
      </w:r>
      <w:r w:rsidR="00C575D4">
        <w:rPr>
          <w:rFonts w:cs="Arial"/>
          <w:szCs w:val="24"/>
        </w:rPr>
        <w:t xml:space="preserve">– </w:t>
      </w:r>
      <w:r>
        <w:rPr>
          <w:rFonts w:cs="Arial"/>
          <w:szCs w:val="24"/>
        </w:rPr>
        <w:t>specifically against white and Asian students</w:t>
      </w:r>
      <w:r w:rsidR="00C575D4">
        <w:rPr>
          <w:rFonts w:cs="Arial"/>
          <w:szCs w:val="24"/>
        </w:rPr>
        <w:t xml:space="preserve"> –</w:t>
      </w:r>
      <w:r w:rsidRPr="00E5518C">
        <w:rPr>
          <w:rFonts w:cs="Arial"/>
          <w:szCs w:val="24"/>
        </w:rPr>
        <w:t xml:space="preserve"> and will “vigorously enforce</w:t>
      </w:r>
      <w:r>
        <w:rPr>
          <w:rFonts w:cs="Arial"/>
          <w:szCs w:val="24"/>
        </w:rPr>
        <w:t xml:space="preserve">” discrimination laws, including termination of federal financial aid.  ED said </w:t>
      </w:r>
      <w:r w:rsidR="002C7946">
        <w:rPr>
          <w:rFonts w:cs="Arial"/>
          <w:szCs w:val="24"/>
        </w:rPr>
        <w:t>it</w:t>
      </w:r>
      <w:r>
        <w:rPr>
          <w:rFonts w:cs="Arial"/>
          <w:szCs w:val="24"/>
        </w:rPr>
        <w:t xml:space="preserve"> will begin to take </w:t>
      </w:r>
      <w:r w:rsidR="002C7946">
        <w:rPr>
          <w:rFonts w:cs="Arial"/>
          <w:szCs w:val="24"/>
        </w:rPr>
        <w:t xml:space="preserve">enforcement </w:t>
      </w:r>
      <w:r>
        <w:rPr>
          <w:rFonts w:cs="Arial"/>
          <w:szCs w:val="24"/>
        </w:rPr>
        <w:t xml:space="preserve">measures consistent with their interpretations </w:t>
      </w:r>
      <w:r w:rsidR="00C575D4">
        <w:rPr>
          <w:rFonts w:cs="Arial"/>
          <w:szCs w:val="24"/>
        </w:rPr>
        <w:t>after</w:t>
      </w:r>
      <w:r>
        <w:rPr>
          <w:rFonts w:cs="Arial"/>
          <w:szCs w:val="24"/>
        </w:rPr>
        <w:t xml:space="preserve"> February 28</w:t>
      </w:r>
      <w:r w:rsidRPr="00B6032A">
        <w:rPr>
          <w:rFonts w:cs="Arial"/>
          <w:szCs w:val="24"/>
          <w:vertAlign w:val="superscript"/>
        </w:rPr>
        <w:t>th</w:t>
      </w:r>
      <w:r>
        <w:rPr>
          <w:rFonts w:cs="Arial"/>
          <w:szCs w:val="24"/>
        </w:rPr>
        <w:t xml:space="preserve">. </w:t>
      </w:r>
    </w:p>
    <w:p w14:paraId="58FD44A7" w14:textId="53BF7976" w:rsidR="0016137E" w:rsidRDefault="0016137E" w:rsidP="0016137E">
      <w:pPr>
        <w:rPr>
          <w:rFonts w:cs="Arial"/>
          <w:szCs w:val="24"/>
        </w:rPr>
      </w:pPr>
      <w:r>
        <w:rPr>
          <w:rFonts w:cs="Arial"/>
          <w:szCs w:val="24"/>
        </w:rPr>
        <w:lastRenderedPageBreak/>
        <w:t xml:space="preserve">In the letter, ED </w:t>
      </w:r>
      <w:r w:rsidR="00C575D4">
        <w:rPr>
          <w:rFonts w:cs="Arial"/>
          <w:szCs w:val="24"/>
        </w:rPr>
        <w:t>cited</w:t>
      </w:r>
      <w:r>
        <w:rPr>
          <w:rFonts w:cs="Arial"/>
          <w:szCs w:val="24"/>
        </w:rPr>
        <w:t xml:space="preserve"> the Supreme Court’s 2023 decision in </w:t>
      </w:r>
      <w:r w:rsidRPr="00080B86">
        <w:rPr>
          <w:rFonts w:cs="Arial"/>
          <w:i/>
          <w:iCs/>
          <w:szCs w:val="24"/>
        </w:rPr>
        <w:t xml:space="preserve">Students for Fair Admissions v. Harvard </w:t>
      </w:r>
      <w:r>
        <w:rPr>
          <w:rFonts w:cs="Arial"/>
          <w:szCs w:val="24"/>
        </w:rPr>
        <w:t xml:space="preserve">as the basis for its determination that any treatment of a person of one race differently from </w:t>
      </w:r>
      <w:r w:rsidR="00C92BD7">
        <w:rPr>
          <w:rFonts w:cs="Arial"/>
          <w:szCs w:val="24"/>
        </w:rPr>
        <w:t>another</w:t>
      </w:r>
      <w:r>
        <w:rPr>
          <w:rFonts w:cs="Arial"/>
          <w:szCs w:val="24"/>
        </w:rPr>
        <w:t xml:space="preserve"> violates Title VI of the Civil Rights Act of 1964.  This includes, the letter says, programs that distribute benefits based on race and diversity, equity, and inclusion (DEI) programs.  In the </w:t>
      </w:r>
      <w:r w:rsidRPr="00D64604">
        <w:rPr>
          <w:rFonts w:cs="Arial"/>
          <w:i/>
          <w:iCs/>
          <w:szCs w:val="24"/>
        </w:rPr>
        <w:t>Students for Fair Admissions</w:t>
      </w:r>
      <w:r>
        <w:rPr>
          <w:rFonts w:cs="Arial"/>
          <w:szCs w:val="24"/>
        </w:rPr>
        <w:t xml:space="preserve"> case, the Supreme Court found that racial preference in college admissions violates the Equal Protection Clause.  Although the </w:t>
      </w:r>
      <w:r>
        <w:rPr>
          <w:rFonts w:cs="Arial"/>
          <w:i/>
          <w:iCs/>
          <w:szCs w:val="24"/>
        </w:rPr>
        <w:t xml:space="preserve">Students for Fair Admissions </w:t>
      </w:r>
      <w:r>
        <w:rPr>
          <w:rFonts w:cs="Arial"/>
          <w:szCs w:val="24"/>
        </w:rPr>
        <w:t xml:space="preserve">case only addresses college admissions, ED argues that it can broadly expand the reach of the decision to cover all aspects of student life. </w:t>
      </w:r>
    </w:p>
    <w:p w14:paraId="073F8F0B" w14:textId="67B63753" w:rsidR="0016137E" w:rsidRDefault="0016137E" w:rsidP="0016137E">
      <w:pPr>
        <w:rPr>
          <w:rFonts w:cs="Arial"/>
          <w:szCs w:val="24"/>
        </w:rPr>
      </w:pPr>
      <w:r>
        <w:rPr>
          <w:rFonts w:cs="Arial"/>
          <w:szCs w:val="24"/>
        </w:rPr>
        <w:t>The prevalence of “discriminatory policies</w:t>
      </w:r>
      <w:r w:rsidR="00974D45">
        <w:rPr>
          <w:rFonts w:cs="Arial"/>
          <w:szCs w:val="24"/>
        </w:rPr>
        <w:t xml:space="preserve"> and practices</w:t>
      </w:r>
      <w:r>
        <w:rPr>
          <w:rFonts w:cs="Arial"/>
          <w:szCs w:val="24"/>
        </w:rPr>
        <w:t>” is based on institutions’ reliance on a “</w:t>
      </w:r>
      <w:r w:rsidRPr="00601DDA">
        <w:rPr>
          <w:rFonts w:cs="Arial"/>
          <w:szCs w:val="24"/>
        </w:rPr>
        <w:t xml:space="preserve">false premise that the United States is built upon </w:t>
      </w:r>
      <w:r>
        <w:rPr>
          <w:rFonts w:cs="Arial"/>
          <w:szCs w:val="24"/>
        </w:rPr>
        <w:t>‘</w:t>
      </w:r>
      <w:r w:rsidRPr="00601DDA">
        <w:rPr>
          <w:rFonts w:cs="Arial"/>
          <w:szCs w:val="24"/>
        </w:rPr>
        <w:t>systemic and structural racism</w:t>
      </w:r>
      <w:r>
        <w:rPr>
          <w:rFonts w:cs="Arial"/>
          <w:szCs w:val="24"/>
        </w:rPr>
        <w:t>,’</w:t>
      </w:r>
      <w:r w:rsidRPr="00601DDA">
        <w:rPr>
          <w:rFonts w:cs="Arial"/>
          <w:szCs w:val="24"/>
        </w:rPr>
        <w:t>”</w:t>
      </w:r>
      <w:r>
        <w:rPr>
          <w:rFonts w:cs="Arial"/>
          <w:szCs w:val="24"/>
        </w:rPr>
        <w:t xml:space="preserve"> ED writes.  The letter states that some programs appear to not be discriminatory </w:t>
      </w:r>
      <w:r w:rsidR="00C575D4">
        <w:rPr>
          <w:rFonts w:cs="Arial"/>
          <w:szCs w:val="24"/>
        </w:rPr>
        <w:t xml:space="preserve">on their face </w:t>
      </w:r>
      <w:r>
        <w:rPr>
          <w:rFonts w:cs="Arial"/>
          <w:szCs w:val="24"/>
        </w:rPr>
        <w:t xml:space="preserve">but are </w:t>
      </w:r>
      <w:proofErr w:type="gramStart"/>
      <w:r>
        <w:rPr>
          <w:rFonts w:cs="Arial"/>
          <w:szCs w:val="24"/>
        </w:rPr>
        <w:t>actually motivated</w:t>
      </w:r>
      <w:proofErr w:type="gramEnd"/>
      <w:r>
        <w:rPr>
          <w:rFonts w:cs="Arial"/>
          <w:szCs w:val="24"/>
        </w:rPr>
        <w:t xml:space="preserve"> by considerations of race</w:t>
      </w:r>
      <w:r w:rsidR="00BD4F7A">
        <w:rPr>
          <w:rFonts w:cs="Arial"/>
          <w:szCs w:val="24"/>
        </w:rPr>
        <w:t>.</w:t>
      </w:r>
      <w:r w:rsidR="00C575D4">
        <w:rPr>
          <w:rFonts w:cs="Arial"/>
          <w:szCs w:val="24"/>
        </w:rPr>
        <w:t xml:space="preserve"> </w:t>
      </w:r>
      <w:r w:rsidR="002C7946">
        <w:rPr>
          <w:rFonts w:cs="Arial"/>
          <w:szCs w:val="24"/>
        </w:rPr>
        <w:t xml:space="preserve"> </w:t>
      </w:r>
      <w:r w:rsidR="00BD4F7A">
        <w:rPr>
          <w:rFonts w:cs="Arial"/>
          <w:szCs w:val="24"/>
        </w:rPr>
        <w:t>F</w:t>
      </w:r>
      <w:r w:rsidR="00C575D4">
        <w:rPr>
          <w:rFonts w:cs="Arial"/>
          <w:szCs w:val="24"/>
        </w:rPr>
        <w:t xml:space="preserve">or example, </w:t>
      </w:r>
      <w:r>
        <w:rPr>
          <w:rFonts w:cs="Arial"/>
          <w:szCs w:val="24"/>
        </w:rPr>
        <w:t xml:space="preserve">ED </w:t>
      </w:r>
      <w:r w:rsidR="00C575D4">
        <w:rPr>
          <w:rFonts w:cs="Arial"/>
          <w:szCs w:val="24"/>
        </w:rPr>
        <w:t xml:space="preserve">cites the practice of </w:t>
      </w:r>
      <w:r>
        <w:rPr>
          <w:rFonts w:cs="Arial"/>
          <w:szCs w:val="24"/>
        </w:rPr>
        <w:t xml:space="preserve">using student admissions essays to determine race and provide a benefit based on race.  Further, the letter says that it would be </w:t>
      </w:r>
      <w:r w:rsidR="002C7946">
        <w:rPr>
          <w:rFonts w:cs="Arial"/>
          <w:szCs w:val="24"/>
        </w:rPr>
        <w:t>un</w:t>
      </w:r>
      <w:r>
        <w:rPr>
          <w:rFonts w:cs="Arial"/>
          <w:szCs w:val="24"/>
        </w:rPr>
        <w:t xml:space="preserve">lawful for an institution to forgo standardized testing requirements to achieve increased racial diversity.   </w:t>
      </w:r>
    </w:p>
    <w:p w14:paraId="2C5F3A57" w14:textId="3763EB4A" w:rsidR="0016137E" w:rsidRDefault="0016137E" w:rsidP="0016137E">
      <w:pPr>
        <w:rPr>
          <w:rFonts w:cs="Arial"/>
          <w:szCs w:val="24"/>
        </w:rPr>
      </w:pPr>
      <w:r>
        <w:rPr>
          <w:rFonts w:cs="Arial"/>
          <w:szCs w:val="24"/>
        </w:rPr>
        <w:t>To comply with these new interpretations by February 28</w:t>
      </w:r>
      <w:r w:rsidRPr="0041202A">
        <w:rPr>
          <w:rFonts w:cs="Arial"/>
          <w:szCs w:val="24"/>
          <w:vertAlign w:val="superscript"/>
        </w:rPr>
        <w:t>th</w:t>
      </w:r>
      <w:r>
        <w:rPr>
          <w:rFonts w:cs="Arial"/>
          <w:szCs w:val="24"/>
        </w:rPr>
        <w:t xml:space="preserve">, ED </w:t>
      </w:r>
      <w:r w:rsidR="00C575D4">
        <w:rPr>
          <w:rFonts w:cs="Arial"/>
          <w:szCs w:val="24"/>
        </w:rPr>
        <w:t>states</w:t>
      </w:r>
      <w:r>
        <w:rPr>
          <w:rFonts w:cs="Arial"/>
          <w:szCs w:val="24"/>
        </w:rPr>
        <w:t xml:space="preserve"> that all educational institutions that receive federal funds should ensure their policies and actions comply with the law, end any efforts to avoid legal prohibitions on the use of race, and end relationships with third parties that are used to avoid the prohibition on the use of race.</w:t>
      </w:r>
      <w:r w:rsidR="00C575D4">
        <w:rPr>
          <w:rFonts w:cs="Arial"/>
          <w:szCs w:val="24"/>
        </w:rPr>
        <w:t xml:space="preserve">  This prohibition would apply to all programs operated by an institution, regardless of funding source.</w:t>
      </w:r>
    </w:p>
    <w:p w14:paraId="5C4DEEED" w14:textId="1FB89BC0" w:rsidR="0016137E" w:rsidRDefault="0016137E" w:rsidP="0016137E">
      <w:pPr>
        <w:rPr>
          <w:rFonts w:cs="Arial"/>
          <w:szCs w:val="24"/>
        </w:rPr>
      </w:pPr>
      <w:r>
        <w:rPr>
          <w:rFonts w:cs="Arial"/>
          <w:szCs w:val="24"/>
        </w:rPr>
        <w:t>In a follow-up notice</w:t>
      </w:r>
      <w:r w:rsidR="00C575D4">
        <w:rPr>
          <w:rFonts w:cs="Arial"/>
          <w:szCs w:val="24"/>
        </w:rPr>
        <w:t xml:space="preserve"> sent Sunday</w:t>
      </w:r>
      <w:r>
        <w:rPr>
          <w:rFonts w:cs="Arial"/>
          <w:szCs w:val="24"/>
        </w:rPr>
        <w:t>, ED says that the initial Dear Colleague letter requires educational agencies to halt the use of race in admissions decisions and in “</w:t>
      </w:r>
      <w:r w:rsidR="00C575D4">
        <w:rPr>
          <w:rFonts w:cs="Arial"/>
          <w:szCs w:val="24"/>
        </w:rPr>
        <w:t>h</w:t>
      </w:r>
      <w:r w:rsidRPr="005A27B7">
        <w:rPr>
          <w:rFonts w:cs="Arial"/>
          <w:szCs w:val="24"/>
        </w:rPr>
        <w:t xml:space="preserve">iring, </w:t>
      </w:r>
      <w:r w:rsidR="00C575D4">
        <w:rPr>
          <w:rFonts w:cs="Arial"/>
          <w:szCs w:val="24"/>
        </w:rPr>
        <w:t>c</w:t>
      </w:r>
      <w:r w:rsidRPr="005A27B7">
        <w:rPr>
          <w:rFonts w:cs="Arial"/>
          <w:szCs w:val="24"/>
        </w:rPr>
        <w:t xml:space="preserve">ompensation, </w:t>
      </w:r>
      <w:r w:rsidR="00C575D4">
        <w:rPr>
          <w:rFonts w:cs="Arial"/>
          <w:szCs w:val="24"/>
        </w:rPr>
        <w:t>p</w:t>
      </w:r>
      <w:r w:rsidRPr="005A27B7">
        <w:rPr>
          <w:rFonts w:cs="Arial"/>
          <w:szCs w:val="24"/>
        </w:rPr>
        <w:t xml:space="preserve">romotion, </w:t>
      </w:r>
      <w:r w:rsidR="00C575D4">
        <w:rPr>
          <w:rFonts w:cs="Arial"/>
          <w:szCs w:val="24"/>
        </w:rPr>
        <w:t>s</w:t>
      </w:r>
      <w:r w:rsidRPr="005A27B7">
        <w:rPr>
          <w:rFonts w:cs="Arial"/>
          <w:szCs w:val="24"/>
        </w:rPr>
        <w:t xml:space="preserve">cholarships, </w:t>
      </w:r>
      <w:r w:rsidR="00C575D4">
        <w:rPr>
          <w:rFonts w:cs="Arial"/>
          <w:szCs w:val="24"/>
        </w:rPr>
        <w:t>pr</w:t>
      </w:r>
      <w:r w:rsidRPr="005A27B7">
        <w:rPr>
          <w:rFonts w:cs="Arial"/>
          <w:szCs w:val="24"/>
        </w:rPr>
        <w:t xml:space="preserve">izes, </w:t>
      </w:r>
      <w:r w:rsidR="00C575D4">
        <w:rPr>
          <w:rFonts w:cs="Arial"/>
          <w:szCs w:val="24"/>
        </w:rPr>
        <w:t>s</w:t>
      </w:r>
      <w:r w:rsidRPr="005A27B7">
        <w:rPr>
          <w:rFonts w:cs="Arial"/>
          <w:szCs w:val="24"/>
        </w:rPr>
        <w:t xml:space="preserve">anctions, and </w:t>
      </w:r>
      <w:r w:rsidR="00C575D4">
        <w:rPr>
          <w:rFonts w:cs="Arial"/>
          <w:szCs w:val="24"/>
        </w:rPr>
        <w:t>d</w:t>
      </w:r>
      <w:r w:rsidRPr="005A27B7">
        <w:rPr>
          <w:rFonts w:cs="Arial"/>
          <w:szCs w:val="24"/>
        </w:rPr>
        <w:t>iscipline</w:t>
      </w:r>
      <w:r>
        <w:rPr>
          <w:rFonts w:cs="Arial"/>
          <w:szCs w:val="24"/>
        </w:rPr>
        <w:t xml:space="preserve">.”  </w:t>
      </w:r>
      <w:r w:rsidR="00C575D4">
        <w:rPr>
          <w:rFonts w:cs="Arial"/>
          <w:szCs w:val="24"/>
        </w:rPr>
        <w:t>It adds</w:t>
      </w:r>
      <w:r>
        <w:rPr>
          <w:rFonts w:cs="Arial"/>
          <w:szCs w:val="24"/>
        </w:rPr>
        <w:t xml:space="preserve"> that programs that are based on race must be </w:t>
      </w:r>
      <w:r w:rsidR="00C575D4">
        <w:rPr>
          <w:rFonts w:cs="Arial"/>
          <w:szCs w:val="24"/>
        </w:rPr>
        <w:t>terminated,</w:t>
      </w:r>
      <w:r>
        <w:rPr>
          <w:rFonts w:cs="Arial"/>
          <w:szCs w:val="24"/>
        </w:rPr>
        <w:t xml:space="preserve"> and educational institutions must cease making decisions, such as in scholarship determinations, based on race</w:t>
      </w:r>
      <w:r w:rsidR="00C575D4">
        <w:rPr>
          <w:rFonts w:cs="Arial"/>
          <w:szCs w:val="24"/>
        </w:rPr>
        <w:t xml:space="preserve"> or </w:t>
      </w:r>
      <w:r>
        <w:rPr>
          <w:rFonts w:cs="Arial"/>
          <w:szCs w:val="24"/>
        </w:rPr>
        <w:t xml:space="preserve">“proxies” for race. </w:t>
      </w:r>
    </w:p>
    <w:p w14:paraId="34D3D357" w14:textId="7B50B6D6" w:rsidR="0016137E" w:rsidRDefault="0016137E" w:rsidP="0016137E">
      <w:pPr>
        <w:rPr>
          <w:rFonts w:cs="Arial"/>
          <w:szCs w:val="24"/>
        </w:rPr>
      </w:pPr>
      <w:r>
        <w:rPr>
          <w:rFonts w:cs="Arial"/>
          <w:szCs w:val="24"/>
        </w:rPr>
        <w:t>The letter has already faced scrutiny from multiple groups, with some, including the</w:t>
      </w:r>
      <w:r w:rsidRPr="00D45E95">
        <w:rPr>
          <w:rFonts w:cs="Arial"/>
          <w:szCs w:val="24"/>
        </w:rPr>
        <w:t xml:space="preserve"> American Federation of Teachers</w:t>
      </w:r>
      <w:r>
        <w:rPr>
          <w:rFonts w:cs="Arial"/>
          <w:szCs w:val="24"/>
        </w:rPr>
        <w:t xml:space="preserve">, </w:t>
      </w:r>
      <w:r w:rsidR="00C575D4">
        <w:rPr>
          <w:rFonts w:cs="Arial"/>
          <w:szCs w:val="24"/>
        </w:rPr>
        <w:t>which called</w:t>
      </w:r>
      <w:r>
        <w:rPr>
          <w:rFonts w:cs="Arial"/>
          <w:szCs w:val="24"/>
        </w:rPr>
        <w:t xml:space="preserve"> the letter illegal and an overreach by ED.  </w:t>
      </w:r>
    </w:p>
    <w:p w14:paraId="3D5F70E5" w14:textId="77777777" w:rsidR="0016137E" w:rsidRDefault="0016137E" w:rsidP="0016137E">
      <w:pPr>
        <w:rPr>
          <w:rFonts w:cs="Arial"/>
          <w:szCs w:val="24"/>
        </w:rPr>
      </w:pPr>
      <w:hyperlink r:id="rId9" w:history="1">
        <w:r>
          <w:rPr>
            <w:rStyle w:val="Hyperlink"/>
            <w:rFonts w:cs="Arial"/>
            <w:szCs w:val="24"/>
          </w:rPr>
          <w:t>The Dear Colleague Letter is available here</w:t>
        </w:r>
      </w:hyperlink>
      <w:r>
        <w:rPr>
          <w:rFonts w:cs="Arial"/>
          <w:szCs w:val="24"/>
        </w:rPr>
        <w:t xml:space="preserve"> and </w:t>
      </w:r>
      <w:hyperlink r:id="rId10" w:history="1">
        <w:r w:rsidRPr="005A33E8">
          <w:rPr>
            <w:rStyle w:val="Hyperlink"/>
            <w:rFonts w:cs="Arial"/>
            <w:szCs w:val="24"/>
          </w:rPr>
          <w:t>the follow-up here</w:t>
        </w:r>
      </w:hyperlink>
      <w:r>
        <w:rPr>
          <w:rFonts w:cs="Arial"/>
          <w:szCs w:val="24"/>
        </w:rPr>
        <w:t xml:space="preserve">.  </w:t>
      </w:r>
    </w:p>
    <w:p w14:paraId="117AD530" w14:textId="77777777" w:rsidR="0016137E" w:rsidRDefault="0016137E" w:rsidP="0016137E">
      <w:pPr>
        <w:rPr>
          <w:rFonts w:cs="Arial"/>
          <w:szCs w:val="24"/>
        </w:rPr>
      </w:pPr>
      <w:r>
        <w:rPr>
          <w:rFonts w:cs="Arial"/>
          <w:szCs w:val="24"/>
        </w:rPr>
        <w:t xml:space="preserve">Author: BTW </w:t>
      </w:r>
    </w:p>
    <w:p w14:paraId="596A0086" w14:textId="5B5E8830" w:rsidR="00A458C5" w:rsidRDefault="00AF36AD" w:rsidP="00A458C5">
      <w:pPr>
        <w:pStyle w:val="Heading3"/>
      </w:pPr>
      <w:bookmarkStart w:id="18" w:name="_Toc191029174"/>
      <w:r>
        <w:t>ED Says It Will Review Remaining Stimulus Expenditures Before Drawdown</w:t>
      </w:r>
      <w:bookmarkEnd w:id="18"/>
    </w:p>
    <w:p w14:paraId="14A0C8DD" w14:textId="550F26FC" w:rsidR="003E7C1F" w:rsidRPr="00CB1055" w:rsidRDefault="003E7C1F" w:rsidP="003E7C1F">
      <w:pPr>
        <w:rPr>
          <w:rFonts w:cs="Arial"/>
          <w:szCs w:val="24"/>
        </w:rPr>
      </w:pPr>
      <w:r w:rsidRPr="00CB1055">
        <w:rPr>
          <w:rFonts w:cs="Arial"/>
          <w:szCs w:val="24"/>
        </w:rPr>
        <w:t>In a letter sent to States Wednesday, the U.S. Department of Education (ED) said that the agency would change its funding disbursement process for remaining COVID</w:t>
      </w:r>
      <w:r w:rsidR="002C7946">
        <w:rPr>
          <w:rFonts w:cs="Arial"/>
          <w:szCs w:val="24"/>
        </w:rPr>
        <w:t>-19</w:t>
      </w:r>
      <w:r w:rsidRPr="00CB1055">
        <w:rPr>
          <w:rFonts w:cs="Arial"/>
          <w:szCs w:val="24"/>
        </w:rPr>
        <w:t xml:space="preserve"> relief funds – those funds allocated under the Elementary and Secondary School E</w:t>
      </w:r>
      <w:r w:rsidR="002C7946">
        <w:rPr>
          <w:rFonts w:cs="Arial"/>
          <w:szCs w:val="24"/>
        </w:rPr>
        <w:t>mergency</w:t>
      </w:r>
      <w:r w:rsidRPr="00CB1055">
        <w:rPr>
          <w:rFonts w:cs="Arial"/>
          <w:szCs w:val="24"/>
        </w:rPr>
        <w:t xml:space="preserve"> Relief Fund (ESSER), the Governor’s Education Emergency Relief Fund (GEER), and the Higher Education Emergency Relief Fund (HEERF).</w:t>
      </w:r>
    </w:p>
    <w:p w14:paraId="774682F9" w14:textId="77777777" w:rsidR="003E7C1F" w:rsidRPr="00CB1055" w:rsidRDefault="003E7C1F" w:rsidP="003E7C1F">
      <w:pPr>
        <w:rPr>
          <w:rFonts w:cs="Arial"/>
          <w:szCs w:val="24"/>
        </w:rPr>
      </w:pPr>
      <w:r w:rsidRPr="00CB1055">
        <w:rPr>
          <w:rFonts w:cs="Arial"/>
          <w:szCs w:val="24"/>
        </w:rPr>
        <w:t>An email sent with the letter says that “[e]</w:t>
      </w:r>
      <w:proofErr w:type="spellStart"/>
      <w:r w:rsidRPr="00CB1055">
        <w:rPr>
          <w:rFonts w:cs="Arial"/>
          <w:szCs w:val="24"/>
        </w:rPr>
        <w:t>ffective</w:t>
      </w:r>
      <w:proofErr w:type="spellEnd"/>
      <w:r w:rsidRPr="00CB1055">
        <w:rPr>
          <w:rFonts w:cs="Arial"/>
          <w:szCs w:val="24"/>
        </w:rPr>
        <w:t xml:space="preserve"> immediately, all COVID-related funds disbursed from the U.S. Department of Education will require pre-expenditure on behalf </w:t>
      </w:r>
      <w:r w:rsidRPr="00CB1055">
        <w:rPr>
          <w:rFonts w:cs="Arial"/>
          <w:szCs w:val="24"/>
        </w:rPr>
        <w:lastRenderedPageBreak/>
        <w:t xml:space="preserve">of the recipient.”  After that point, “all receipts will be reviewed to ensure alignment with approved uses of funds prior to reimbursement.”  </w:t>
      </w:r>
    </w:p>
    <w:p w14:paraId="671B8F9A" w14:textId="0AB2AB80" w:rsidR="003E7C1F" w:rsidRPr="00CB1055" w:rsidRDefault="003E7C1F" w:rsidP="003E7C1F">
      <w:pPr>
        <w:rPr>
          <w:rFonts w:cs="Arial"/>
          <w:szCs w:val="24"/>
        </w:rPr>
      </w:pPr>
      <w:r w:rsidRPr="00CB1055">
        <w:rPr>
          <w:rFonts w:cs="Arial"/>
          <w:szCs w:val="24"/>
        </w:rPr>
        <w:t>It is not clear from the letter which office within ED will conduct the expenditure review, however</w:t>
      </w:r>
      <w:r w:rsidR="00C80EB3">
        <w:rPr>
          <w:rFonts w:cs="Arial"/>
          <w:szCs w:val="24"/>
        </w:rPr>
        <w:t>,</w:t>
      </w:r>
      <w:r w:rsidRPr="00CB1055">
        <w:rPr>
          <w:rFonts w:cs="Arial"/>
          <w:szCs w:val="24"/>
        </w:rPr>
        <w:t xml:space="preserve"> it cites a need for “oversight and efficiency” as the reason for the change.</w:t>
      </w:r>
    </w:p>
    <w:p w14:paraId="2760FE9C" w14:textId="77777777" w:rsidR="003E7C1F" w:rsidRPr="00CB1055" w:rsidRDefault="003E7C1F" w:rsidP="003E7C1F">
      <w:pPr>
        <w:rPr>
          <w:rFonts w:cs="Arial"/>
          <w:szCs w:val="24"/>
        </w:rPr>
      </w:pPr>
      <w:hyperlink r:id="rId11" w:history="1">
        <w:r w:rsidRPr="00CB1055">
          <w:rPr>
            <w:rStyle w:val="Hyperlink"/>
            <w:rFonts w:cs="Arial"/>
            <w:szCs w:val="24"/>
          </w:rPr>
          <w:t>The letter from ED is here</w:t>
        </w:r>
      </w:hyperlink>
      <w:r w:rsidRPr="00CB1055">
        <w:rPr>
          <w:rFonts w:cs="Arial"/>
          <w:szCs w:val="24"/>
        </w:rPr>
        <w:t>.</w:t>
      </w:r>
    </w:p>
    <w:p w14:paraId="4F145D38" w14:textId="77777777" w:rsidR="003E7C1F" w:rsidRPr="00CB1055" w:rsidRDefault="003E7C1F" w:rsidP="003E7C1F">
      <w:pPr>
        <w:rPr>
          <w:rFonts w:cs="Arial"/>
          <w:szCs w:val="24"/>
        </w:rPr>
      </w:pPr>
      <w:r w:rsidRPr="00CB1055">
        <w:rPr>
          <w:rFonts w:cs="Arial"/>
          <w:szCs w:val="24"/>
        </w:rPr>
        <w:t>Author: JCM</w:t>
      </w:r>
    </w:p>
    <w:p w14:paraId="4D22A2BF" w14:textId="434BAA43" w:rsidR="00A458C5" w:rsidRPr="00681FEF" w:rsidRDefault="00B31527" w:rsidP="00A458C5">
      <w:pPr>
        <w:pStyle w:val="Heading3"/>
      </w:pPr>
      <w:bookmarkStart w:id="19" w:name="_Toc191029175"/>
      <w:r>
        <w:t xml:space="preserve">New </w:t>
      </w:r>
      <w:r w:rsidR="00F3375D">
        <w:t xml:space="preserve">Grant </w:t>
      </w:r>
      <w:r>
        <w:t>Appeals Process</w:t>
      </w:r>
      <w:r w:rsidR="00F3375D">
        <w:t xml:space="preserve"> Announced by ED</w:t>
      </w:r>
      <w:bookmarkEnd w:id="19"/>
    </w:p>
    <w:p w14:paraId="77AA4931" w14:textId="30EDA33A" w:rsidR="00D62B82" w:rsidRPr="00CB1055" w:rsidRDefault="00D62B82" w:rsidP="00D62B82">
      <w:pPr>
        <w:rPr>
          <w:rFonts w:cs="Arial"/>
          <w:szCs w:val="24"/>
        </w:rPr>
      </w:pPr>
      <w:r w:rsidRPr="00CB1055">
        <w:rPr>
          <w:rFonts w:cs="Arial"/>
          <w:szCs w:val="24"/>
        </w:rPr>
        <w:t xml:space="preserve">In a document posted on the </w:t>
      </w:r>
      <w:r w:rsidR="002C7946">
        <w:rPr>
          <w:rFonts w:cs="Arial"/>
          <w:szCs w:val="24"/>
        </w:rPr>
        <w:t xml:space="preserve">U.S. </w:t>
      </w:r>
      <w:r w:rsidRPr="00CB1055">
        <w:rPr>
          <w:rFonts w:cs="Arial"/>
          <w:szCs w:val="24"/>
        </w:rPr>
        <w:t xml:space="preserve">Department of Education’s (ED’s) website this week, the agency said it was establishing new processes for appeals of grant terminations. </w:t>
      </w:r>
    </w:p>
    <w:p w14:paraId="5AC6C88C" w14:textId="279BA4C4" w:rsidR="00D62B82" w:rsidRPr="00CB1055" w:rsidRDefault="00D62B82" w:rsidP="00D62B82">
      <w:pPr>
        <w:rPr>
          <w:rFonts w:cs="Arial"/>
          <w:szCs w:val="24"/>
        </w:rPr>
      </w:pPr>
      <w:r w:rsidRPr="00CB1055">
        <w:rPr>
          <w:rFonts w:cs="Arial"/>
          <w:szCs w:val="24"/>
        </w:rPr>
        <w:t xml:space="preserve">Under the new procedures published this week, appeals of termination of a grant will be made to the Assistant Secretary of the unit which makes the grant. </w:t>
      </w:r>
      <w:r w:rsidR="008019C7">
        <w:rPr>
          <w:rFonts w:cs="Arial"/>
          <w:szCs w:val="24"/>
        </w:rPr>
        <w:t xml:space="preserve"> </w:t>
      </w:r>
      <w:r w:rsidRPr="00CB1055">
        <w:rPr>
          <w:rFonts w:cs="Arial"/>
          <w:szCs w:val="24"/>
        </w:rPr>
        <w:t>Recipients will submit their appeal by email and mail within 30 days of the notice of termination or other adverse action and must include a copy of the notice, the date the recipient received the notice, a statement of the argument and disputed issue, the amount of funds in dispute, and any other relevant documentation.</w:t>
      </w:r>
    </w:p>
    <w:p w14:paraId="1708847E" w14:textId="14452C31" w:rsidR="00D62B82" w:rsidRPr="00CB1055" w:rsidRDefault="00D62B82" w:rsidP="00D62B82">
      <w:pPr>
        <w:rPr>
          <w:rFonts w:cs="Arial"/>
          <w:szCs w:val="24"/>
        </w:rPr>
      </w:pPr>
      <w:r w:rsidRPr="00CB1055">
        <w:rPr>
          <w:rFonts w:cs="Arial"/>
          <w:szCs w:val="24"/>
        </w:rPr>
        <w:t>Previously, such appeals were heard by the Office of Administrative Law Judges</w:t>
      </w:r>
      <w:r w:rsidR="00025924">
        <w:rPr>
          <w:rFonts w:cs="Arial"/>
          <w:szCs w:val="24"/>
        </w:rPr>
        <w:t xml:space="preserve"> (OALJ)</w:t>
      </w:r>
      <w:r w:rsidRPr="00CB1055">
        <w:rPr>
          <w:rFonts w:cs="Arial"/>
          <w:szCs w:val="24"/>
        </w:rPr>
        <w:t>.  Under federal regulations, the Secretary may – but is not required to – use the OALJ as an independent arbiter for deciding appeals.  OALJ decisions are appealable to the Secretary, but the office generally operates as separate from the policy-based decision-making process.</w:t>
      </w:r>
    </w:p>
    <w:p w14:paraId="3CCFA340" w14:textId="3D426952" w:rsidR="00D62B82" w:rsidRPr="00CB1055" w:rsidRDefault="00F23E1B" w:rsidP="00D62B82">
      <w:pPr>
        <w:rPr>
          <w:rFonts w:cs="Arial"/>
          <w:szCs w:val="24"/>
        </w:rPr>
      </w:pPr>
      <w:hyperlink r:id="rId12" w:history="1">
        <w:r>
          <w:rPr>
            <w:rStyle w:val="Hyperlink"/>
            <w:rFonts w:cs="Arial"/>
            <w:szCs w:val="24"/>
          </w:rPr>
          <w:t>The new processes are available here</w:t>
        </w:r>
      </w:hyperlink>
      <w:r w:rsidR="00D62B82" w:rsidRPr="00CB1055">
        <w:rPr>
          <w:rFonts w:cs="Arial"/>
          <w:szCs w:val="24"/>
        </w:rPr>
        <w:t>.</w:t>
      </w:r>
    </w:p>
    <w:p w14:paraId="04B6A10D" w14:textId="77777777" w:rsidR="00D62B82" w:rsidRPr="00CB1055" w:rsidRDefault="00D62B82" w:rsidP="00D62B82">
      <w:pPr>
        <w:rPr>
          <w:rFonts w:cs="Arial"/>
          <w:szCs w:val="24"/>
        </w:rPr>
      </w:pPr>
      <w:r w:rsidRPr="00CB1055">
        <w:rPr>
          <w:rFonts w:cs="Arial"/>
          <w:szCs w:val="24"/>
        </w:rPr>
        <w:t>Author: JCM</w:t>
      </w:r>
    </w:p>
    <w:p w14:paraId="5A694718" w14:textId="3C7C59FC" w:rsidR="00A458C5" w:rsidRDefault="00D62B82" w:rsidP="00A458C5">
      <w:pPr>
        <w:pStyle w:val="Heading3"/>
      </w:pPr>
      <w:bookmarkStart w:id="20" w:name="_Toc191029176"/>
      <w:r>
        <w:t>President Signs Executive Order on Deregulation</w:t>
      </w:r>
      <w:bookmarkEnd w:id="20"/>
    </w:p>
    <w:p w14:paraId="3F541006" w14:textId="77777777" w:rsidR="002C41B0" w:rsidRDefault="002C41B0" w:rsidP="002C41B0">
      <w:r>
        <w:t>President Trump signed a new Executive Order on Wednesday, “</w:t>
      </w:r>
      <w:r w:rsidRPr="002E463D">
        <w:t>E</w:t>
      </w:r>
      <w:r>
        <w:t>nsuring</w:t>
      </w:r>
      <w:r w:rsidRPr="002E463D">
        <w:t xml:space="preserve"> L</w:t>
      </w:r>
      <w:r>
        <w:t>awful</w:t>
      </w:r>
      <w:r w:rsidRPr="002E463D">
        <w:t xml:space="preserve"> </w:t>
      </w:r>
      <w:r>
        <w:t>Governance</w:t>
      </w:r>
      <w:r w:rsidRPr="002E463D">
        <w:t xml:space="preserve"> </w:t>
      </w:r>
      <w:r>
        <w:t>and</w:t>
      </w:r>
      <w:r w:rsidRPr="002E463D">
        <w:t xml:space="preserve"> I</w:t>
      </w:r>
      <w:r>
        <w:t>mplementing</w:t>
      </w:r>
      <w:r w:rsidRPr="002E463D">
        <w:t xml:space="preserve"> </w:t>
      </w:r>
      <w:r>
        <w:t>the</w:t>
      </w:r>
      <w:r w:rsidRPr="002E463D">
        <w:t xml:space="preserve"> P</w:t>
      </w:r>
      <w:r>
        <w:t>resident’s</w:t>
      </w:r>
      <w:r w:rsidRPr="002E463D">
        <w:t xml:space="preserve"> </w:t>
      </w:r>
      <w:r>
        <w:t>‘</w:t>
      </w:r>
      <w:r w:rsidRPr="002E463D">
        <w:t>D</w:t>
      </w:r>
      <w:r>
        <w:t>epartment</w:t>
      </w:r>
      <w:r w:rsidRPr="002E463D">
        <w:t xml:space="preserve"> </w:t>
      </w:r>
      <w:r>
        <w:t>of</w:t>
      </w:r>
      <w:r w:rsidRPr="002E463D">
        <w:t xml:space="preserve"> G</w:t>
      </w:r>
      <w:r>
        <w:t xml:space="preserve">overnment </w:t>
      </w:r>
      <w:r w:rsidRPr="002E463D">
        <w:t>E</w:t>
      </w:r>
      <w:r>
        <w:t xml:space="preserve">fficiency’ </w:t>
      </w:r>
      <w:r w:rsidRPr="002E463D">
        <w:t>D</w:t>
      </w:r>
      <w:r>
        <w:t>eregulatory</w:t>
      </w:r>
      <w:r w:rsidRPr="002E463D">
        <w:t xml:space="preserve"> I</w:t>
      </w:r>
      <w:r>
        <w:t xml:space="preserve">nitiative,” which aims to identify “unlawful regulations and regulations that undermine the national interest.”  </w:t>
      </w:r>
    </w:p>
    <w:p w14:paraId="16F78F1F" w14:textId="45DEC3CC" w:rsidR="002C41B0" w:rsidRDefault="002C41B0" w:rsidP="002C41B0">
      <w:r>
        <w:t xml:space="preserve">The order directs the heads of federal agencies to work in coordination with the Department of Government Efficiency (DOGE) and the Office of Management and Budget </w:t>
      </w:r>
      <w:r w:rsidR="00B027B4">
        <w:t xml:space="preserve">(OMB) </w:t>
      </w:r>
      <w:r>
        <w:t>to identify certain categories of regulations within 60 days.  Categories of regulations that must be identified include:</w:t>
      </w:r>
    </w:p>
    <w:p w14:paraId="323A630B" w14:textId="65597D05" w:rsidR="002C41B0" w:rsidRDefault="002C41B0" w:rsidP="002C41B0">
      <w:pPr>
        <w:pStyle w:val="ListParagraph"/>
        <w:widowControl/>
        <w:numPr>
          <w:ilvl w:val="0"/>
          <w:numId w:val="17"/>
        </w:numPr>
        <w:suppressAutoHyphens w:val="0"/>
        <w:spacing w:before="0" w:after="160" w:line="259" w:lineRule="auto"/>
      </w:pPr>
      <w:r>
        <w:t>Unconstitutional regulations or those that “raise serious constitutional difficulties”</w:t>
      </w:r>
      <w:r w:rsidR="00B10451">
        <w:t>;</w:t>
      </w:r>
      <w:r>
        <w:t xml:space="preserve"> </w:t>
      </w:r>
    </w:p>
    <w:p w14:paraId="04F65B1E" w14:textId="3600D6EA" w:rsidR="002C41B0" w:rsidRDefault="002C41B0" w:rsidP="002C41B0">
      <w:pPr>
        <w:pStyle w:val="ListParagraph"/>
        <w:widowControl/>
        <w:numPr>
          <w:ilvl w:val="0"/>
          <w:numId w:val="17"/>
        </w:numPr>
        <w:suppressAutoHyphens w:val="0"/>
        <w:spacing w:before="0" w:after="160" w:line="259" w:lineRule="auto"/>
      </w:pPr>
      <w:r>
        <w:t>Regulations that do not align with the “best reading of the underlying statutory authority”</w:t>
      </w:r>
      <w:r w:rsidR="00B027B4">
        <w:t>;</w:t>
      </w:r>
      <w:r>
        <w:t xml:space="preserve"> </w:t>
      </w:r>
    </w:p>
    <w:p w14:paraId="7A123143" w14:textId="77777777" w:rsidR="002C41B0" w:rsidRDefault="002C41B0" w:rsidP="002C41B0">
      <w:pPr>
        <w:pStyle w:val="ListParagraph"/>
        <w:widowControl/>
        <w:numPr>
          <w:ilvl w:val="0"/>
          <w:numId w:val="17"/>
        </w:numPr>
        <w:suppressAutoHyphens w:val="0"/>
        <w:spacing w:before="0" w:after="160" w:line="259" w:lineRule="auto"/>
      </w:pPr>
      <w:r>
        <w:t xml:space="preserve">Regulations involving social or political issues or issues of economic significance; </w:t>
      </w:r>
    </w:p>
    <w:p w14:paraId="26F8CD5B" w14:textId="4FEBC168" w:rsidR="002C41B0" w:rsidRDefault="002C41B0" w:rsidP="002C41B0">
      <w:pPr>
        <w:pStyle w:val="ListParagraph"/>
        <w:widowControl/>
        <w:numPr>
          <w:ilvl w:val="0"/>
          <w:numId w:val="17"/>
        </w:numPr>
        <w:suppressAutoHyphens w:val="0"/>
        <w:spacing w:before="0" w:after="160" w:line="259" w:lineRule="auto"/>
      </w:pPr>
      <w:r>
        <w:t>R</w:t>
      </w:r>
      <w:r w:rsidR="002C7946">
        <w:t>egulations</w:t>
      </w:r>
      <w:r>
        <w:t xml:space="preserve"> based on “unlawful delegations of legislative power”</w:t>
      </w:r>
      <w:r w:rsidR="00B027B4">
        <w:t>;</w:t>
      </w:r>
    </w:p>
    <w:p w14:paraId="31EAD2D5" w14:textId="158A7184" w:rsidR="002C41B0" w:rsidRDefault="002C41B0" w:rsidP="002C41B0">
      <w:pPr>
        <w:pStyle w:val="ListParagraph"/>
        <w:widowControl/>
        <w:numPr>
          <w:ilvl w:val="0"/>
          <w:numId w:val="17"/>
        </w:numPr>
        <w:suppressAutoHyphens w:val="0"/>
        <w:spacing w:before="0" w:after="160" w:line="259" w:lineRule="auto"/>
      </w:pPr>
      <w:r>
        <w:t>Regulations for which the cost placed on “private parties” is not “outweighed by public benefits”</w:t>
      </w:r>
      <w:r w:rsidR="00B027B4">
        <w:t>;</w:t>
      </w:r>
    </w:p>
    <w:p w14:paraId="18A706C1" w14:textId="57D0AC97" w:rsidR="002C41B0" w:rsidRDefault="002C41B0" w:rsidP="002C41B0">
      <w:pPr>
        <w:pStyle w:val="ListParagraph"/>
        <w:widowControl/>
        <w:numPr>
          <w:ilvl w:val="0"/>
          <w:numId w:val="17"/>
        </w:numPr>
        <w:suppressAutoHyphens w:val="0"/>
        <w:spacing w:before="0" w:after="160" w:line="259" w:lineRule="auto"/>
      </w:pPr>
      <w:r>
        <w:lastRenderedPageBreak/>
        <w:t>“Reg</w:t>
      </w:r>
      <w:r w:rsidRPr="009D6AD7">
        <w:t>ulations that harm the national interest by significantly and unjustifiably impeding technological innovation, infrastructure development, disaster response, inflation reduction, research and development, economic development, energy production, land use, and foreign policy objectives</w:t>
      </w:r>
      <w:r>
        <w:t>”</w:t>
      </w:r>
      <w:r w:rsidR="00B027B4">
        <w:t>;</w:t>
      </w:r>
      <w:r>
        <w:t xml:space="preserve"> and</w:t>
      </w:r>
    </w:p>
    <w:p w14:paraId="5ABAD7A1" w14:textId="77777777" w:rsidR="002C41B0" w:rsidRDefault="002C41B0" w:rsidP="002C41B0">
      <w:pPr>
        <w:pStyle w:val="ListParagraph"/>
        <w:widowControl/>
        <w:numPr>
          <w:ilvl w:val="0"/>
          <w:numId w:val="17"/>
        </w:numPr>
        <w:suppressAutoHyphens w:val="0"/>
        <w:spacing w:before="0" w:after="160" w:line="259" w:lineRule="auto"/>
      </w:pPr>
      <w:r>
        <w:t xml:space="preserve">Regulations that encumber small businesses or pose barriers for entrepreneurship. </w:t>
      </w:r>
    </w:p>
    <w:p w14:paraId="4CEF1A32" w14:textId="77777777" w:rsidR="002C41B0" w:rsidRDefault="002C41B0" w:rsidP="002C41B0">
      <w:r>
        <w:t xml:space="preserve">After agencies submit the required report to the OMB’s Office of Information and Regulatory Affairs, the administration will incorporate any rescissions of identified regulations into its regulatory agenda.  The Order also directs agencies to work with OMB to determine on a “case-by-case basis” if any ongoing enforcement action related to the identified regulations should be halted.  In addition, agencies are instructed to consult with DOGE “team leads” and OMB on any future planned regulations to ensure compliance with this Executive Order. </w:t>
      </w:r>
    </w:p>
    <w:p w14:paraId="0BCCE0C9" w14:textId="2B18AE9E" w:rsidR="002C41B0" w:rsidRDefault="002C41B0" w:rsidP="002C41B0">
      <w:r>
        <w:t>This Order builds upon other deregulation action</w:t>
      </w:r>
      <w:r w:rsidR="0053295E">
        <w:t>s</w:t>
      </w:r>
      <w:r>
        <w:t xml:space="preserve"> taken by the President, including an Order for agencies to withdraw at least 10 regulations, rules, or guidance documents for every new one issued.  Under the prior Trump administration, similar deregulatory efforts led to the rescission of hundreds of regulations and guidance documents at the U.S. Department of Education. </w:t>
      </w:r>
    </w:p>
    <w:p w14:paraId="4DD832B8" w14:textId="77777777" w:rsidR="002C41B0" w:rsidRDefault="002C41B0" w:rsidP="002C41B0">
      <w:hyperlink r:id="rId13" w:history="1">
        <w:proofErr w:type="gramStart"/>
        <w:r w:rsidRPr="000D053E">
          <w:rPr>
            <w:rStyle w:val="Hyperlink"/>
          </w:rPr>
          <w:t>The</w:t>
        </w:r>
        <w:proofErr w:type="gramEnd"/>
        <w:r w:rsidRPr="000D053E">
          <w:rPr>
            <w:rStyle w:val="Hyperlink"/>
          </w:rPr>
          <w:t xml:space="preserve"> full Executive Order is available here</w:t>
        </w:r>
      </w:hyperlink>
      <w:r>
        <w:t xml:space="preserve">. </w:t>
      </w:r>
    </w:p>
    <w:p w14:paraId="7A1EA36B" w14:textId="77777777" w:rsidR="002C41B0" w:rsidRDefault="002C41B0" w:rsidP="002C41B0">
      <w:r>
        <w:t>Author: KSC</w:t>
      </w:r>
    </w:p>
    <w:p w14:paraId="35DDFCA8" w14:textId="1223CD04" w:rsidR="00E0346D" w:rsidRDefault="00E0346D" w:rsidP="00E0346D">
      <w:pPr>
        <w:pStyle w:val="Heading3"/>
      </w:pPr>
      <w:bookmarkStart w:id="21" w:name="_Toc191029177"/>
      <w:r>
        <w:t>OCTAE Issues Guidance on State Plan Policy Reversal</w:t>
      </w:r>
      <w:bookmarkEnd w:id="21"/>
    </w:p>
    <w:p w14:paraId="06F31673" w14:textId="267CC5D3" w:rsidR="00E0346D" w:rsidRDefault="00E0346D" w:rsidP="00E0346D">
      <w:r>
        <w:t>The U.S. Department of Education’s (ED’s) Office of Career, Technical, and Adult Education (OCTAE) sent a program memorandum to State directors on Thursday clarifying States’ responsibilities regarding their fiscal year</w:t>
      </w:r>
      <w:r w:rsidR="00572C26">
        <w:t xml:space="preserve"> (FY)</w:t>
      </w:r>
      <w:r>
        <w:t xml:space="preserve"> 2025 State plan</w:t>
      </w:r>
      <w:r w:rsidR="00572C26">
        <w:t xml:space="preserve"> </w:t>
      </w:r>
      <w:proofErr w:type="gramStart"/>
      <w:r w:rsidR="00572C26">
        <w:t>in light of</w:t>
      </w:r>
      <w:proofErr w:type="gramEnd"/>
      <w:r w:rsidR="00572C26">
        <w:t xml:space="preserve"> ED’s recent decision to reverse changes made to the Perkins V State plan template.  </w:t>
      </w:r>
    </w:p>
    <w:p w14:paraId="03DB1120" w14:textId="33E97244" w:rsidR="00F03259" w:rsidRDefault="00572C26" w:rsidP="00E0346D">
      <w:r>
        <w:t>Earlier this month, ED announced the rescission of the new requirement for States to use numerator and denominator specifications established by OCTAE when developing their State</w:t>
      </w:r>
      <w:r w:rsidR="002461B7">
        <w:t>-</w:t>
      </w:r>
      <w:r>
        <w:t>determined levels of performance for core indicators under the Perkins V program.  In the memo this week, OCTAE confirmed that the prior version of the State plan guide, before the requirements were changed, is the version that States must adhere to moving forward.  The memo also reiterates the State plan submission and update requirements outlined in the Perkins V statute, noting that States must submit</w:t>
      </w:r>
      <w:r w:rsidR="00A9090D">
        <w:t xml:space="preserve"> new</w:t>
      </w:r>
      <w:r>
        <w:t xml:space="preserve"> </w:t>
      </w:r>
      <w:r w:rsidR="00A9090D">
        <w:t>State plans every four years or provide annual revisions to their State</w:t>
      </w:r>
      <w:r w:rsidR="002461B7">
        <w:t>-</w:t>
      </w:r>
      <w:r w:rsidR="00A9090D">
        <w:t xml:space="preserve">determined levels of performance. </w:t>
      </w:r>
      <w:r w:rsidR="00F03259">
        <w:t>States submitted new or updated plans last year to cover fiscal year</w:t>
      </w:r>
      <w:r w:rsidR="002461B7">
        <w:t>s</w:t>
      </w:r>
      <w:r w:rsidR="00F03259">
        <w:t xml:space="preserve"> 2024-2028, as part of the second four-year cycle under Perkins V, and before the changes to the State plan guide were introduced.  The State plans submitted in FY 2024 should </w:t>
      </w:r>
      <w:proofErr w:type="gramStart"/>
      <w:r w:rsidR="00F03259">
        <w:t>be in compliance with</w:t>
      </w:r>
      <w:proofErr w:type="gramEnd"/>
      <w:r w:rsidR="00F03259">
        <w:t xml:space="preserve"> current policy and should not require significant changes that would trigger stakeholder engagement requirements. </w:t>
      </w:r>
    </w:p>
    <w:p w14:paraId="5A9ADDE3" w14:textId="0D450686" w:rsidR="00572C26" w:rsidRDefault="00F03259" w:rsidP="00E0346D">
      <w:r>
        <w:t>However</w:t>
      </w:r>
      <w:r w:rsidR="00572C26">
        <w:t xml:space="preserve">, the memo </w:t>
      </w:r>
      <w:r>
        <w:t>indicates additional guidance is forthcoming, stating that</w:t>
      </w:r>
      <w:r w:rsidR="00572C26">
        <w:t>: “T</w:t>
      </w:r>
      <w:r w:rsidR="00572C26" w:rsidRPr="00572C26">
        <w:t xml:space="preserve">he Department will soon issue a proposed reinstated version of the Guide that includes detailed instructions regarding the content and procedures an eligible agency must use </w:t>
      </w:r>
      <w:r w:rsidR="00572C26" w:rsidRPr="00572C26">
        <w:lastRenderedPageBreak/>
        <w:t>for the submission of FY 2025 and subsequent program years covered by the Guide</w:t>
      </w:r>
      <w:r w:rsidR="00572C26">
        <w:t xml:space="preserve">.”  </w:t>
      </w:r>
    </w:p>
    <w:p w14:paraId="300E79E6" w14:textId="02C08BFD" w:rsidR="00F03259" w:rsidRDefault="00F03259" w:rsidP="00E0346D">
      <w:r>
        <w:t xml:space="preserve">If States do plan to make any modifications to their current State plans for FY 2025, revisions must be submitted by May 9, </w:t>
      </w:r>
      <w:proofErr w:type="gramStart"/>
      <w:r>
        <w:t>2025</w:t>
      </w:r>
      <w:proofErr w:type="gramEnd"/>
      <w:r>
        <w:t xml:space="preserve"> in the Perkins V State plan portal, or the Workforce Innovation and Opportunity Act (WIOA) State plan portal if it is a combined plan with WIOA.  </w:t>
      </w:r>
      <w:r w:rsidR="002C7946">
        <w:t>States must ensure that they comply with public engagement requirements under Perkins V for annual State</w:t>
      </w:r>
      <w:r w:rsidR="002461B7">
        <w:t>-</w:t>
      </w:r>
      <w:r w:rsidR="002C7946">
        <w:t xml:space="preserve">determined levels of performance updates or other significant changes to their plans. </w:t>
      </w:r>
    </w:p>
    <w:p w14:paraId="2E9148C1" w14:textId="6B5AA38C" w:rsidR="002C7946" w:rsidRPr="00E0346D" w:rsidRDefault="002C7946" w:rsidP="00E0346D">
      <w:r>
        <w:t>Author: KSC</w:t>
      </w:r>
    </w:p>
    <w:p w14:paraId="39746B18" w14:textId="6A9D4724" w:rsidR="00DA790E" w:rsidRDefault="002C41B0" w:rsidP="00DA790E">
      <w:pPr>
        <w:pStyle w:val="Heading2"/>
      </w:pPr>
      <w:bookmarkStart w:id="22" w:name="_Toc191029178"/>
      <w:r>
        <w:t>News</w:t>
      </w:r>
      <w:bookmarkEnd w:id="22"/>
    </w:p>
    <w:p w14:paraId="59976440" w14:textId="642A74D6" w:rsidR="000E2F84" w:rsidRPr="00444716" w:rsidRDefault="00984B67" w:rsidP="00444716">
      <w:pPr>
        <w:pStyle w:val="Heading3"/>
      </w:pPr>
      <w:bookmarkStart w:id="23" w:name="_Toc191029179"/>
      <w:r>
        <w:t>Senate HELP Committee Advances Linda McMahon Nomination</w:t>
      </w:r>
      <w:bookmarkEnd w:id="23"/>
    </w:p>
    <w:bookmarkEnd w:id="0"/>
    <w:bookmarkEnd w:id="1"/>
    <w:bookmarkEnd w:id="2"/>
    <w:bookmarkEnd w:id="3"/>
    <w:bookmarkEnd w:id="4"/>
    <w:bookmarkEnd w:id="5"/>
    <w:bookmarkEnd w:id="6"/>
    <w:bookmarkEnd w:id="7"/>
    <w:bookmarkEnd w:id="8"/>
    <w:bookmarkEnd w:id="9"/>
    <w:p w14:paraId="15140645" w14:textId="13DBB0F6" w:rsidR="008D3E67" w:rsidRDefault="008D3E67" w:rsidP="008D3E67">
      <w:r>
        <w:t>The Senate Committee on Health, Education, Labor, and Pensions (HELP) voted along party lines Thursday to advance President Trump’s nomin</w:t>
      </w:r>
      <w:r w:rsidR="00E0346D">
        <w:t>ee</w:t>
      </w:r>
      <w:r>
        <w:t xml:space="preserve">, Linda McMahon, for Secretary of Education.  McMahon’s nomination now awaits approval by the full Senate in the coming weeks.  </w:t>
      </w:r>
    </w:p>
    <w:p w14:paraId="3C414BA6" w14:textId="58D5E61A" w:rsidR="008D3E67" w:rsidRDefault="00177B80" w:rsidP="008D3E67">
      <w:r>
        <w:t xml:space="preserve">As </w:t>
      </w:r>
      <w:r w:rsidR="008D3E67">
        <w:t>McMahon faced the Committee for questioning last week, Democrats on the Committee expressed concerns about the administration’s action</w:t>
      </w:r>
      <w:r w:rsidR="00E124CC">
        <w:t>s</w:t>
      </w:r>
      <w:r w:rsidR="008D3E67">
        <w:t xml:space="preserve"> to date impacting education, as well as future policy initiatives planned.  </w:t>
      </w:r>
      <w:r>
        <w:t>T</w:t>
      </w:r>
      <w:r w:rsidR="008D3E67">
        <w:t xml:space="preserve">he Committee’s vote comes after 86 civil rights and education groups submitted a letter to Congress earlier this week urging members to vote </w:t>
      </w:r>
      <w:r w:rsidR="00E124CC">
        <w:t>“</w:t>
      </w:r>
      <w:r w:rsidR="008D3E67">
        <w:t>no</w:t>
      </w:r>
      <w:r w:rsidR="00E124CC">
        <w:t>”</w:t>
      </w:r>
      <w:r w:rsidR="008D3E67">
        <w:t xml:space="preserve"> on McMahon’s nomination.  </w:t>
      </w:r>
      <w:r>
        <w:t>In their letter, t</w:t>
      </w:r>
      <w:r w:rsidR="008D3E67">
        <w:t>he organizations raise concerns about McMahon’s qualifications</w:t>
      </w:r>
      <w:r w:rsidR="00E3251F">
        <w:t>,</w:t>
      </w:r>
      <w:r w:rsidR="008D3E67">
        <w:t xml:space="preserve"> saying her “</w:t>
      </w:r>
      <w:r w:rsidR="008D3E67" w:rsidRPr="00DA662B">
        <w:t xml:space="preserve">defense that she hopes to learn on the job what is required of a Secretary of Education would be a disqualifying answer in any environment. </w:t>
      </w:r>
      <w:r w:rsidR="008D3E67">
        <w:t xml:space="preserve"> </w:t>
      </w:r>
      <w:r w:rsidR="008D3E67" w:rsidRPr="00DA662B">
        <w:t xml:space="preserve">In this moment where the threats to education are so overwhelming, and so much damage has already been done in the first few weeks of this new administration, McMahon’s response is even more alarming.”   </w:t>
      </w:r>
    </w:p>
    <w:p w14:paraId="2FFFFD31" w14:textId="77777777" w:rsidR="008D3E67" w:rsidRDefault="008D3E67" w:rsidP="008D3E67">
      <w:r>
        <w:t xml:space="preserve">McMahon has gained support among conservatives, however, and her nomination is expected to be approved by the full Senate. </w:t>
      </w:r>
    </w:p>
    <w:p w14:paraId="0AA10B22" w14:textId="77777777" w:rsidR="008D3E67" w:rsidRPr="00464F87" w:rsidRDefault="008D3E67" w:rsidP="008D3E67">
      <w:r>
        <w:t>Author: KSC</w:t>
      </w:r>
    </w:p>
    <w:p w14:paraId="58D29D80" w14:textId="7380AB54" w:rsidR="002A6BB4" w:rsidRDefault="00D955FF" w:rsidP="002A6BB4">
      <w:pPr>
        <w:pStyle w:val="Heading3"/>
      </w:pPr>
      <w:bookmarkStart w:id="24" w:name="_Toc191029180"/>
      <w:r>
        <w:t xml:space="preserve">Subcommittee </w:t>
      </w:r>
      <w:r w:rsidR="00F3375D">
        <w:t>Members Announced for Senate HELP</w:t>
      </w:r>
      <w:bookmarkEnd w:id="24"/>
      <w:r w:rsidR="00F3375D">
        <w:t xml:space="preserve"> </w:t>
      </w:r>
    </w:p>
    <w:p w14:paraId="0AEFC28A" w14:textId="77777777" w:rsidR="009F7C55" w:rsidRDefault="009F7C55" w:rsidP="009F7C55">
      <w:r>
        <w:t xml:space="preserve">The Senate Committee on Health, Education, Labor, and Pensions (HELP) announced its subcommittee members this week, with the subcommittee overseeing education issues renamed from the Subcommittee on Children and Families to the Subcommittee on Education and the American Family.  </w:t>
      </w:r>
    </w:p>
    <w:p w14:paraId="2B06D2EB" w14:textId="674CB091" w:rsidR="009F7C55" w:rsidRDefault="009F7C55" w:rsidP="009F7C55">
      <w:r>
        <w:t xml:space="preserve">Senator Tommy Tuberville (R-AL) is the subcommittee’s </w:t>
      </w:r>
      <w:r w:rsidR="00177B80">
        <w:t>C</w:t>
      </w:r>
      <w:r>
        <w:t xml:space="preserve">hair, with Senator Lisa Blunt Rochester (D-DE) serving as the ranking member.  Tuberville served as a member on the Subcommittee under the previous Congress, but Blunt Rochester, previously the House representative from Delaware, is new to the subcommittee as she is serving her first Senate term.  </w:t>
      </w:r>
    </w:p>
    <w:p w14:paraId="3FD65059" w14:textId="6A0B5D38" w:rsidR="009F7C55" w:rsidRDefault="009F7C55" w:rsidP="009F7C55">
      <w:r>
        <w:t xml:space="preserve">Other Republicans on the subcommittee include </w:t>
      </w:r>
      <w:r w:rsidRPr="002951E0">
        <w:t xml:space="preserve">Rand </w:t>
      </w:r>
      <w:r>
        <w:t xml:space="preserve">Paul </w:t>
      </w:r>
      <w:r w:rsidRPr="002951E0">
        <w:t>(KY)</w:t>
      </w:r>
      <w:r>
        <w:t xml:space="preserve">, Lisa </w:t>
      </w:r>
      <w:r w:rsidRPr="002951E0">
        <w:t>Murkowski (AK)</w:t>
      </w:r>
      <w:r>
        <w:t xml:space="preserve">, </w:t>
      </w:r>
      <w:r>
        <w:lastRenderedPageBreak/>
        <w:t xml:space="preserve">Tim </w:t>
      </w:r>
      <w:r w:rsidRPr="002951E0">
        <w:t>Scott</w:t>
      </w:r>
      <w:r>
        <w:t xml:space="preserve"> </w:t>
      </w:r>
      <w:r w:rsidRPr="002951E0">
        <w:t>(SC)</w:t>
      </w:r>
      <w:r>
        <w:t xml:space="preserve">, Jim </w:t>
      </w:r>
      <w:r w:rsidRPr="002951E0">
        <w:t>Banks</w:t>
      </w:r>
      <w:r>
        <w:t xml:space="preserve"> </w:t>
      </w:r>
      <w:r w:rsidRPr="002951E0">
        <w:t>(IN)</w:t>
      </w:r>
      <w:r>
        <w:t xml:space="preserve">, Jon </w:t>
      </w:r>
      <w:r w:rsidRPr="002951E0">
        <w:t>Husted</w:t>
      </w:r>
      <w:r>
        <w:t xml:space="preserve"> </w:t>
      </w:r>
      <w:r w:rsidRPr="002951E0">
        <w:t>(OH)</w:t>
      </w:r>
      <w:r>
        <w:t xml:space="preserve">, Ashley </w:t>
      </w:r>
      <w:r w:rsidRPr="002951E0">
        <w:t>Moody</w:t>
      </w:r>
      <w:r>
        <w:t xml:space="preserve"> </w:t>
      </w:r>
      <w:r w:rsidRPr="002951E0">
        <w:t>(FL)</w:t>
      </w:r>
      <w:r>
        <w:t xml:space="preserve">, and Bill Cassidy (LA).  And Democrats on the panel include Patty </w:t>
      </w:r>
      <w:r w:rsidRPr="00D6227F">
        <w:t>Murray</w:t>
      </w:r>
      <w:r>
        <w:t xml:space="preserve"> (WA), Tim Kaine (VA), Ed </w:t>
      </w:r>
      <w:r w:rsidRPr="00D6227F">
        <w:t>Markey</w:t>
      </w:r>
      <w:r>
        <w:t xml:space="preserve"> </w:t>
      </w:r>
      <w:r w:rsidRPr="00D6227F">
        <w:t>(MA)</w:t>
      </w:r>
      <w:r>
        <w:t xml:space="preserve">, Andy </w:t>
      </w:r>
      <w:r w:rsidRPr="00D6227F">
        <w:t>Kim</w:t>
      </w:r>
      <w:r>
        <w:t xml:space="preserve"> </w:t>
      </w:r>
      <w:r w:rsidRPr="00D6227F">
        <w:t>(NJ)</w:t>
      </w:r>
      <w:r>
        <w:t xml:space="preserve">, Angela </w:t>
      </w:r>
      <w:r w:rsidRPr="00D6227F">
        <w:t>Alsobrooks (MD)</w:t>
      </w:r>
      <w:r>
        <w:t xml:space="preserve">, and Bernie </w:t>
      </w:r>
      <w:r w:rsidRPr="00D6227F">
        <w:t>Sanders</w:t>
      </w:r>
      <w:r>
        <w:t xml:space="preserve"> (</w:t>
      </w:r>
      <w:r w:rsidR="00281097">
        <w:t>I-</w:t>
      </w:r>
      <w:r>
        <w:t xml:space="preserve">VT). </w:t>
      </w:r>
    </w:p>
    <w:p w14:paraId="1BD52B0B" w14:textId="77777777" w:rsidR="009F7C55" w:rsidRDefault="009F7C55" w:rsidP="009F7C55">
      <w:r>
        <w:t xml:space="preserve">The Subcommittee is responsible for considering any legislation impacting federal education prior to referring it to the full HELP Committee, as well as holding hearings on issues affecting federal education. </w:t>
      </w:r>
    </w:p>
    <w:p w14:paraId="5BE10E20" w14:textId="77777777" w:rsidR="009F7C55" w:rsidRDefault="009F7C55" w:rsidP="009F7C55">
      <w:r>
        <w:t>Author: KSC</w:t>
      </w:r>
    </w:p>
    <w:p w14:paraId="1F8B4595" w14:textId="77777777" w:rsidR="003A5279" w:rsidRDefault="003A5279" w:rsidP="003A5279">
      <w:pPr>
        <w:pStyle w:val="Heading3"/>
      </w:pPr>
      <w:bookmarkStart w:id="25" w:name="_Toc191029181"/>
      <w:r>
        <w:t>DOGE Regains Access to ED Data Systems After Temporary Pause</w:t>
      </w:r>
      <w:bookmarkEnd w:id="25"/>
    </w:p>
    <w:p w14:paraId="423E5E58" w14:textId="64EBCFD4" w:rsidR="003919A8" w:rsidRDefault="003919A8" w:rsidP="003919A8">
      <w:r>
        <w:t>Following a court hearing on Monday, a federal district judge decided to continue allowing Department of Government Efficiency (DOGE) staff to access U.S. Department of Education (ED) data systems.  A University of California student organization filed a lawsuit earlier this month arguing that DOGE was violating federal privacy laws by accessing student and famil</w:t>
      </w:r>
      <w:r w:rsidR="00F93B19">
        <w:t>y</w:t>
      </w:r>
      <w:r>
        <w:t xml:space="preserve"> data stored in</w:t>
      </w:r>
      <w:r w:rsidR="00F93B19">
        <w:t xml:space="preserve"> the</w:t>
      </w:r>
      <w:r>
        <w:t xml:space="preserve"> ED system, including financial aid systems.  An initial agreement reached between the plaintiffs and ED halted DOGE’s access to those systems until February 17</w:t>
      </w:r>
      <w:r w:rsidRPr="003B55CC">
        <w:rPr>
          <w:vertAlign w:val="superscript"/>
        </w:rPr>
        <w:t>th</w:t>
      </w:r>
      <w:r>
        <w:t xml:space="preserve">.  </w:t>
      </w:r>
    </w:p>
    <w:p w14:paraId="6DB63F2A" w14:textId="3630856C" w:rsidR="003919A8" w:rsidRDefault="003919A8" w:rsidP="003919A8">
      <w:r>
        <w:t>Although the student organization asked the judge to issue a temporary restraining order</w:t>
      </w:r>
      <w:r w:rsidR="002461B7">
        <w:t>,</w:t>
      </w:r>
      <w:r>
        <w:t xml:space="preserve"> which would limit DOGE access to the data in question while the case proceeds, the judge determined that the argument was based on potential harm in the future and that the organization failed to show how DOGE’s access would cause “irreparable harm” to the plaintiffs.  As a result, the judge declined to issue a temporary restraining order, allowing DOGE staff to regain access to the ED systems this week, in accordance with the original pause agreement.  The judge did leave open the possibility for future relief, however, depending on the </w:t>
      </w:r>
      <w:proofErr w:type="gramStart"/>
      <w:r>
        <w:t>final outcome</w:t>
      </w:r>
      <w:proofErr w:type="gramEnd"/>
      <w:r>
        <w:t xml:space="preserve"> of the lawsuit. </w:t>
      </w:r>
    </w:p>
    <w:p w14:paraId="03A22F5D" w14:textId="77777777" w:rsidR="003919A8" w:rsidRDefault="003919A8" w:rsidP="003919A8">
      <w:r>
        <w:t xml:space="preserve">A second lawsuit </w:t>
      </w:r>
      <w:proofErr w:type="gramStart"/>
      <w:r>
        <w:t>was also</w:t>
      </w:r>
      <w:proofErr w:type="gramEnd"/>
      <w:r>
        <w:t xml:space="preserve"> filed this month by several labor organizations against DOGE’s access to data at multiple federal agencies, including ED. </w:t>
      </w:r>
    </w:p>
    <w:p w14:paraId="7FFFB50F" w14:textId="77777777" w:rsidR="003919A8" w:rsidRDefault="003919A8" w:rsidP="003919A8">
      <w:pPr>
        <w:spacing w:after="0"/>
      </w:pPr>
      <w:r>
        <w:t>Resources:</w:t>
      </w:r>
    </w:p>
    <w:p w14:paraId="0FD1FC16" w14:textId="77777777" w:rsidR="003919A8" w:rsidRDefault="003919A8" w:rsidP="003919A8">
      <w:pPr>
        <w:spacing w:before="0" w:after="0"/>
      </w:pPr>
      <w:r>
        <w:t>Natalie Schwartz, “</w:t>
      </w:r>
      <w:r w:rsidRPr="00464F87">
        <w:t>Court declines to block DOGE from accessing Education Department data</w:t>
      </w:r>
      <w:r>
        <w:t xml:space="preserve">,” </w:t>
      </w:r>
      <w:r>
        <w:rPr>
          <w:i/>
          <w:iCs/>
        </w:rPr>
        <w:t xml:space="preserve">Higher Ed Dive, </w:t>
      </w:r>
      <w:r>
        <w:t>February 18, 2025.</w:t>
      </w:r>
    </w:p>
    <w:p w14:paraId="05C08062" w14:textId="77777777" w:rsidR="003919A8" w:rsidRDefault="003919A8" w:rsidP="003919A8">
      <w:pPr>
        <w:spacing w:before="0" w:after="0"/>
      </w:pPr>
      <w:r>
        <w:t>Author: KSC</w:t>
      </w:r>
    </w:p>
    <w:p w14:paraId="14CBE45B" w14:textId="71D43E74" w:rsidR="0008646F" w:rsidRPr="0008646F" w:rsidRDefault="0008646F" w:rsidP="00EF68A3">
      <w:pPr>
        <w:rPr>
          <w:i/>
          <w:iCs/>
        </w:rPr>
      </w:pPr>
      <w:r w:rsidRPr="0008646F">
        <w:rPr>
          <w:i/>
          <w:iCs/>
        </w:rPr>
        <w:t xml:space="preserve">To stay </w:t>
      </w:r>
      <w:proofErr w:type="gramStart"/>
      <w:r w:rsidRPr="0008646F">
        <w:rPr>
          <w:i/>
          <w:iCs/>
        </w:rPr>
        <w:t>up-to-date</w:t>
      </w:r>
      <w:proofErr w:type="gramEnd"/>
      <w:r w:rsidRPr="0008646F">
        <w:rPr>
          <w:i/>
          <w:iCs/>
        </w:rPr>
        <w:t xml:space="preserve"> on new regulations and guidance from the U.S. Department of Education, register for one of the Bruman Group’s upcoming virtual trainings.  Our winter webinar series will cover a range of grants management issues, including how </w:t>
      </w:r>
      <w:r>
        <w:rPr>
          <w:i/>
          <w:iCs/>
        </w:rPr>
        <w:t>ED’s</w:t>
      </w:r>
      <w:r w:rsidRPr="0008646F">
        <w:rPr>
          <w:i/>
          <w:iCs/>
        </w:rPr>
        <w:t xml:space="preserve"> mid-year UGG implementation impacts indirect costs, procurement, property management, and more.  To view all upcoming virtual training topics and to register, visit </w:t>
      </w:r>
      <w:hyperlink r:id="rId14" w:history="1">
        <w:r w:rsidRPr="0008646F">
          <w:rPr>
            <w:rStyle w:val="Hyperlink"/>
            <w:i/>
            <w:iCs/>
          </w:rPr>
          <w:t>www.bruman.com/training-and-recordings/</w:t>
        </w:r>
      </w:hyperlink>
      <w:r w:rsidRPr="0008646F">
        <w:rPr>
          <w:i/>
          <w:iCs/>
        </w:rPr>
        <w:t xml:space="preserve">. </w:t>
      </w:r>
    </w:p>
    <w:p w14:paraId="5620654A" w14:textId="008BB862" w:rsidR="00201433" w:rsidRPr="008725FE" w:rsidRDefault="00201433" w:rsidP="008725FE">
      <w:pPr>
        <w:rPr>
          <w:b/>
          <w:bCs/>
          <w:i/>
          <w:iCs/>
        </w:rPr>
      </w:pPr>
      <w:r w:rsidRPr="008725FE">
        <w:rPr>
          <w:b/>
          <w:bCs/>
          <w:i/>
          <w:iCs/>
        </w:rPr>
        <w:t xml:space="preserve">The Federal Update has been prepared to inform </w:t>
      </w:r>
      <w:r w:rsidR="00C138EF" w:rsidRPr="008725FE">
        <w:rPr>
          <w:b/>
          <w:bCs/>
          <w:i/>
          <w:iCs/>
        </w:rPr>
        <w:t>The Bruman Group</w:t>
      </w:r>
      <w:r w:rsidRPr="008725FE">
        <w:rPr>
          <w:b/>
          <w:bCs/>
          <w:i/>
          <w:iCs/>
        </w:rPr>
        <w:t xml:space="preserve">, PLLC’s legislative </w:t>
      </w:r>
      <w:proofErr w:type="gramStart"/>
      <w:r w:rsidRPr="008725FE">
        <w:rPr>
          <w:b/>
          <w:bCs/>
          <w:i/>
          <w:iCs/>
        </w:rPr>
        <w:t>clients</w:t>
      </w:r>
      <w:proofErr w:type="gramEnd"/>
      <w:r w:rsidRPr="008725FE">
        <w:rPr>
          <w:b/>
          <w:bCs/>
          <w:i/>
          <w:iCs/>
        </w:rPr>
        <w:t xml:space="preserve"> of recent events in federal education legislation and/or administrative law.  It is not intended as legal advice, should not serve as the basis for decision-making in specific situations, and does not create an attorney-client relationship between </w:t>
      </w:r>
      <w:r w:rsidR="00C138EF" w:rsidRPr="008725FE">
        <w:rPr>
          <w:b/>
          <w:bCs/>
          <w:i/>
          <w:iCs/>
        </w:rPr>
        <w:t>The Bruman Group,</w:t>
      </w:r>
      <w:r w:rsidRPr="008725FE">
        <w:rPr>
          <w:b/>
          <w:bCs/>
          <w:i/>
          <w:iCs/>
        </w:rPr>
        <w:t xml:space="preserve"> PLLC and the reader.</w:t>
      </w:r>
    </w:p>
    <w:p w14:paraId="33DAB355" w14:textId="40D9F911" w:rsidR="00201433" w:rsidRPr="0063135C" w:rsidRDefault="00201433" w:rsidP="00201433">
      <w:pPr>
        <w:spacing w:before="240" w:after="240"/>
        <w:jc w:val="center"/>
        <w:rPr>
          <w:rFonts w:eastAsia="Times New Roman" w:cs="Arial"/>
          <w:szCs w:val="24"/>
        </w:rPr>
      </w:pPr>
      <w:r w:rsidRPr="000D1533">
        <w:rPr>
          <w:rFonts w:eastAsia="Times New Roman"/>
          <w:szCs w:val="24"/>
        </w:rPr>
        <w:lastRenderedPageBreak/>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7C6E27">
        <w:rPr>
          <w:rFonts w:eastAsia="Times New Roman" w:cs="Arial"/>
          <w:szCs w:val="24"/>
        </w:rPr>
        <w:t>5</w:t>
      </w:r>
    </w:p>
    <w:p w14:paraId="6E61D1CD" w14:textId="45B05694" w:rsidR="00201433" w:rsidRDefault="00201433" w:rsidP="2193F663">
      <w:pPr>
        <w:spacing w:before="240" w:after="240"/>
        <w:rPr>
          <w:rFonts w:eastAsia="Times New Roman" w:cs="Arial"/>
        </w:rPr>
      </w:pPr>
      <w:r w:rsidRPr="2193F663">
        <w:rPr>
          <w:rFonts w:eastAsia="Times New Roman" w:cs="Arial"/>
        </w:rPr>
        <w:t>Contributors:</w:t>
      </w:r>
      <w:r w:rsidR="00122E05">
        <w:rPr>
          <w:rFonts w:eastAsia="Times New Roman" w:cs="Arial"/>
        </w:rPr>
        <w:t xml:space="preserve"> </w:t>
      </w:r>
      <w:r w:rsidR="007C4680">
        <w:rPr>
          <w:rFonts w:eastAsia="Times New Roman" w:cs="Arial"/>
        </w:rPr>
        <w:t xml:space="preserve">Julia Martin, </w:t>
      </w:r>
      <w:r w:rsidR="008D3341">
        <w:rPr>
          <w:rFonts w:eastAsia="Times New Roman" w:cs="Arial"/>
        </w:rPr>
        <w:t xml:space="preserve">Kelly Christiansen, </w:t>
      </w:r>
      <w:r w:rsidR="006C63AC">
        <w:rPr>
          <w:rFonts w:eastAsia="Times New Roman" w:cs="Arial"/>
        </w:rPr>
        <w:t>Brandi Tennant Wills</w:t>
      </w:r>
    </w:p>
    <w:p w14:paraId="49C64EC2" w14:textId="77777777" w:rsidR="009A11E5" w:rsidRDefault="009A11E5" w:rsidP="009A11E5">
      <w:pPr>
        <w:spacing w:before="240" w:after="240"/>
        <w:rPr>
          <w:rFonts w:eastAsia="Times New Roman" w:cs="Arial"/>
        </w:rPr>
      </w:pPr>
      <w:r w:rsidRPr="00BC2E6F">
        <w:rPr>
          <w:rFonts w:eastAsia="Times New Roman" w:cs="Arial"/>
        </w:rPr>
        <w:t xml:space="preserve">Posted by the California Department of Education, </w:t>
      </w:r>
      <w:r>
        <w:rPr>
          <w:rFonts w:eastAsia="Times New Roman" w:cs="Arial"/>
        </w:rPr>
        <w:t>February 2025</w:t>
      </w:r>
    </w:p>
    <w:p w14:paraId="6DBB695F" w14:textId="77777777" w:rsidR="009A11E5" w:rsidRDefault="009A11E5" w:rsidP="2193F663">
      <w:pPr>
        <w:spacing w:before="240" w:after="240"/>
        <w:rPr>
          <w:rFonts w:eastAsia="Times New Roman" w:cs="Arial"/>
        </w:rPr>
      </w:pPr>
    </w:p>
    <w:sectPr w:rsidR="009A11E5" w:rsidSect="008C514B">
      <w:headerReference w:type="default" r:id="rId15"/>
      <w:footerReference w:type="default" r:id="rId16"/>
      <w:headerReference w:type="first" r:id="rId17"/>
      <w:footerReference w:type="first" r:id="rId18"/>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7A50F" w14:textId="77777777" w:rsidR="000800DA" w:rsidRDefault="000800DA">
      <w:pPr>
        <w:spacing w:before="0" w:after="0"/>
      </w:pPr>
      <w:r>
        <w:separator/>
      </w:r>
    </w:p>
  </w:endnote>
  <w:endnote w:type="continuationSeparator" w:id="0">
    <w:p w14:paraId="32D7BE3B" w14:textId="77777777" w:rsidR="000800DA" w:rsidRDefault="000800DA">
      <w:pPr>
        <w:spacing w:before="0" w:after="0"/>
      </w:pPr>
      <w:r>
        <w:continuationSeparator/>
      </w:r>
    </w:p>
  </w:endnote>
  <w:endnote w:type="continuationNotice" w:id="1">
    <w:p w14:paraId="1BFA8BDC" w14:textId="77777777" w:rsidR="000800DA" w:rsidRDefault="000800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8F372" w14:textId="77777777" w:rsidR="000800DA" w:rsidRDefault="000800DA">
      <w:pPr>
        <w:spacing w:before="0" w:after="0"/>
      </w:pPr>
      <w:r>
        <w:separator/>
      </w:r>
    </w:p>
  </w:footnote>
  <w:footnote w:type="continuationSeparator" w:id="0">
    <w:p w14:paraId="2EEE0D3E" w14:textId="77777777" w:rsidR="000800DA" w:rsidRDefault="000800DA">
      <w:pPr>
        <w:spacing w:before="0" w:after="0"/>
      </w:pPr>
      <w:r>
        <w:continuationSeparator/>
      </w:r>
    </w:p>
  </w:footnote>
  <w:footnote w:type="continuationNotice" w:id="1">
    <w:p w14:paraId="02813E31" w14:textId="77777777" w:rsidR="000800DA" w:rsidRDefault="000800D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30D53D47" w:rsidR="003C7552" w:rsidRPr="00662BDC" w:rsidRDefault="001E47C4" w:rsidP="000A590A">
    <w:pPr>
      <w:pStyle w:val="NoSpacing"/>
      <w:tabs>
        <w:tab w:val="left" w:pos="7920"/>
      </w:tabs>
    </w:pPr>
    <w:r>
      <w:t xml:space="preserve">February </w:t>
    </w:r>
    <w:r w:rsidR="006C26D8">
      <w:t>21</w:t>
    </w:r>
    <w:r w:rsidR="007C6E27">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744C96"/>
    <w:multiLevelType w:val="hybridMultilevel"/>
    <w:tmpl w:val="ADC2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3"/>
  </w:num>
  <w:num w:numId="4" w16cid:durableId="251090247">
    <w:abstractNumId w:val="14"/>
  </w:num>
  <w:num w:numId="5" w16cid:durableId="1731339148">
    <w:abstractNumId w:val="15"/>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6"/>
  </w:num>
  <w:num w:numId="16" w16cid:durableId="1016081850">
    <w:abstractNumId w:val="9"/>
  </w:num>
  <w:num w:numId="17" w16cid:durableId="11212703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87"/>
    <w:rsid w:val="000008AF"/>
    <w:rsid w:val="000014FF"/>
    <w:rsid w:val="000016BC"/>
    <w:rsid w:val="00002459"/>
    <w:rsid w:val="00002535"/>
    <w:rsid w:val="00002827"/>
    <w:rsid w:val="000028E9"/>
    <w:rsid w:val="0000298A"/>
    <w:rsid w:val="00002B31"/>
    <w:rsid w:val="00002E24"/>
    <w:rsid w:val="0000309F"/>
    <w:rsid w:val="000031F4"/>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3BB"/>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359"/>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2DAC"/>
    <w:rsid w:val="00023012"/>
    <w:rsid w:val="0002305C"/>
    <w:rsid w:val="00023187"/>
    <w:rsid w:val="00024799"/>
    <w:rsid w:val="000255CD"/>
    <w:rsid w:val="00025608"/>
    <w:rsid w:val="00025924"/>
    <w:rsid w:val="000259E1"/>
    <w:rsid w:val="00025B2C"/>
    <w:rsid w:val="00025D68"/>
    <w:rsid w:val="000260CE"/>
    <w:rsid w:val="00026CC7"/>
    <w:rsid w:val="00027025"/>
    <w:rsid w:val="00027A54"/>
    <w:rsid w:val="000301C7"/>
    <w:rsid w:val="000306D4"/>
    <w:rsid w:val="00030888"/>
    <w:rsid w:val="00030F77"/>
    <w:rsid w:val="0003127A"/>
    <w:rsid w:val="0003132B"/>
    <w:rsid w:val="000315C5"/>
    <w:rsid w:val="00031955"/>
    <w:rsid w:val="0003205F"/>
    <w:rsid w:val="000323B4"/>
    <w:rsid w:val="000325C7"/>
    <w:rsid w:val="00032C17"/>
    <w:rsid w:val="00032DE2"/>
    <w:rsid w:val="000332AD"/>
    <w:rsid w:val="00033356"/>
    <w:rsid w:val="00033AD4"/>
    <w:rsid w:val="00033FB0"/>
    <w:rsid w:val="0003463C"/>
    <w:rsid w:val="000346F4"/>
    <w:rsid w:val="00034FEF"/>
    <w:rsid w:val="00035762"/>
    <w:rsid w:val="000359DE"/>
    <w:rsid w:val="00035A43"/>
    <w:rsid w:val="00035A9A"/>
    <w:rsid w:val="00035F8B"/>
    <w:rsid w:val="00036228"/>
    <w:rsid w:val="0003654C"/>
    <w:rsid w:val="00036551"/>
    <w:rsid w:val="00036CC8"/>
    <w:rsid w:val="00036F11"/>
    <w:rsid w:val="00036FD8"/>
    <w:rsid w:val="0004040C"/>
    <w:rsid w:val="000404C0"/>
    <w:rsid w:val="000408A9"/>
    <w:rsid w:val="0004092B"/>
    <w:rsid w:val="00040C8E"/>
    <w:rsid w:val="000410C9"/>
    <w:rsid w:val="000416FA"/>
    <w:rsid w:val="00041B30"/>
    <w:rsid w:val="00041C43"/>
    <w:rsid w:val="00041D3B"/>
    <w:rsid w:val="00042E5D"/>
    <w:rsid w:val="00042E66"/>
    <w:rsid w:val="00042E7E"/>
    <w:rsid w:val="0004327B"/>
    <w:rsid w:val="00043519"/>
    <w:rsid w:val="00043A05"/>
    <w:rsid w:val="00044142"/>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4F0"/>
    <w:rsid w:val="000505AF"/>
    <w:rsid w:val="000508ED"/>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119"/>
    <w:rsid w:val="00054458"/>
    <w:rsid w:val="00054671"/>
    <w:rsid w:val="00054C6D"/>
    <w:rsid w:val="000550B3"/>
    <w:rsid w:val="00055148"/>
    <w:rsid w:val="00056E0A"/>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5D9"/>
    <w:rsid w:val="000619AA"/>
    <w:rsid w:val="00061A9A"/>
    <w:rsid w:val="00061EBF"/>
    <w:rsid w:val="000620CD"/>
    <w:rsid w:val="00062238"/>
    <w:rsid w:val="0006249A"/>
    <w:rsid w:val="000630D8"/>
    <w:rsid w:val="000633D1"/>
    <w:rsid w:val="0006395F"/>
    <w:rsid w:val="00063D9E"/>
    <w:rsid w:val="00063F46"/>
    <w:rsid w:val="00064293"/>
    <w:rsid w:val="000646D5"/>
    <w:rsid w:val="00064739"/>
    <w:rsid w:val="00064BB1"/>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2FB0"/>
    <w:rsid w:val="0007306F"/>
    <w:rsid w:val="00073CCC"/>
    <w:rsid w:val="00073EC6"/>
    <w:rsid w:val="000742AC"/>
    <w:rsid w:val="00074DD8"/>
    <w:rsid w:val="00074F7F"/>
    <w:rsid w:val="00074FBD"/>
    <w:rsid w:val="00075C1D"/>
    <w:rsid w:val="0007621C"/>
    <w:rsid w:val="000769CF"/>
    <w:rsid w:val="00076C4D"/>
    <w:rsid w:val="0007710E"/>
    <w:rsid w:val="000774CF"/>
    <w:rsid w:val="0007798F"/>
    <w:rsid w:val="000800DA"/>
    <w:rsid w:val="00081621"/>
    <w:rsid w:val="00081821"/>
    <w:rsid w:val="000824C2"/>
    <w:rsid w:val="0008254C"/>
    <w:rsid w:val="00082BE2"/>
    <w:rsid w:val="00082BE8"/>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46F"/>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58D"/>
    <w:rsid w:val="0009278B"/>
    <w:rsid w:val="00092B36"/>
    <w:rsid w:val="00092F26"/>
    <w:rsid w:val="00092F8E"/>
    <w:rsid w:val="0009315E"/>
    <w:rsid w:val="000931C4"/>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8EF"/>
    <w:rsid w:val="000A1C49"/>
    <w:rsid w:val="000A1E40"/>
    <w:rsid w:val="000A21B2"/>
    <w:rsid w:val="000A26CB"/>
    <w:rsid w:val="000A2AAB"/>
    <w:rsid w:val="000A30EA"/>
    <w:rsid w:val="000A345B"/>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DF5"/>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081C"/>
    <w:rsid w:val="000C12AF"/>
    <w:rsid w:val="000C1436"/>
    <w:rsid w:val="000C19BF"/>
    <w:rsid w:val="000C1A32"/>
    <w:rsid w:val="000C231E"/>
    <w:rsid w:val="000C28C1"/>
    <w:rsid w:val="000C3340"/>
    <w:rsid w:val="000C347E"/>
    <w:rsid w:val="000C3991"/>
    <w:rsid w:val="000C3B67"/>
    <w:rsid w:val="000C4074"/>
    <w:rsid w:val="000C4208"/>
    <w:rsid w:val="000C47EE"/>
    <w:rsid w:val="000C48D0"/>
    <w:rsid w:val="000C4C30"/>
    <w:rsid w:val="000C4D0B"/>
    <w:rsid w:val="000C53AF"/>
    <w:rsid w:val="000C56F5"/>
    <w:rsid w:val="000C58A0"/>
    <w:rsid w:val="000C5A12"/>
    <w:rsid w:val="000C5BA6"/>
    <w:rsid w:val="000C6284"/>
    <w:rsid w:val="000C674A"/>
    <w:rsid w:val="000C6A4F"/>
    <w:rsid w:val="000C6AB8"/>
    <w:rsid w:val="000C6CF6"/>
    <w:rsid w:val="000C77F2"/>
    <w:rsid w:val="000C7BC9"/>
    <w:rsid w:val="000D02A1"/>
    <w:rsid w:val="000D047B"/>
    <w:rsid w:val="000D09D9"/>
    <w:rsid w:val="000D0C4B"/>
    <w:rsid w:val="000D0F05"/>
    <w:rsid w:val="000D1533"/>
    <w:rsid w:val="000D1CEB"/>
    <w:rsid w:val="000D1FAA"/>
    <w:rsid w:val="000D204A"/>
    <w:rsid w:val="000D2B68"/>
    <w:rsid w:val="000D314D"/>
    <w:rsid w:val="000D339F"/>
    <w:rsid w:val="000D3870"/>
    <w:rsid w:val="000D39B8"/>
    <w:rsid w:val="000D3A6F"/>
    <w:rsid w:val="000D3BDA"/>
    <w:rsid w:val="000D3F53"/>
    <w:rsid w:val="000D422B"/>
    <w:rsid w:val="000D4B79"/>
    <w:rsid w:val="000D543B"/>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2F84"/>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0A"/>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81"/>
    <w:rsid w:val="001076CB"/>
    <w:rsid w:val="0011067A"/>
    <w:rsid w:val="001108A8"/>
    <w:rsid w:val="001118B2"/>
    <w:rsid w:val="00111C62"/>
    <w:rsid w:val="00112709"/>
    <w:rsid w:val="00112CF2"/>
    <w:rsid w:val="00112EC5"/>
    <w:rsid w:val="001132E3"/>
    <w:rsid w:val="001134AC"/>
    <w:rsid w:val="001135CC"/>
    <w:rsid w:val="0011411E"/>
    <w:rsid w:val="00114575"/>
    <w:rsid w:val="00114BEB"/>
    <w:rsid w:val="00114CA3"/>
    <w:rsid w:val="0011548E"/>
    <w:rsid w:val="00115A59"/>
    <w:rsid w:val="00116612"/>
    <w:rsid w:val="0011668B"/>
    <w:rsid w:val="001168EE"/>
    <w:rsid w:val="00116C6F"/>
    <w:rsid w:val="00116D14"/>
    <w:rsid w:val="00117098"/>
    <w:rsid w:val="0011715E"/>
    <w:rsid w:val="00117586"/>
    <w:rsid w:val="00117971"/>
    <w:rsid w:val="00117B75"/>
    <w:rsid w:val="00117DF1"/>
    <w:rsid w:val="00120195"/>
    <w:rsid w:val="001202D1"/>
    <w:rsid w:val="00120A6D"/>
    <w:rsid w:val="00120FC1"/>
    <w:rsid w:val="001221F9"/>
    <w:rsid w:val="00122C35"/>
    <w:rsid w:val="00122E05"/>
    <w:rsid w:val="00123905"/>
    <w:rsid w:val="00124524"/>
    <w:rsid w:val="001250B6"/>
    <w:rsid w:val="001251A0"/>
    <w:rsid w:val="0012526A"/>
    <w:rsid w:val="0012585C"/>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721"/>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3AB"/>
    <w:rsid w:val="0014463A"/>
    <w:rsid w:val="0014472B"/>
    <w:rsid w:val="00144BF3"/>
    <w:rsid w:val="00145979"/>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8CE"/>
    <w:rsid w:val="00156A5B"/>
    <w:rsid w:val="00156AA4"/>
    <w:rsid w:val="00156BB1"/>
    <w:rsid w:val="00156E11"/>
    <w:rsid w:val="00156F5D"/>
    <w:rsid w:val="00157B05"/>
    <w:rsid w:val="00157B08"/>
    <w:rsid w:val="00157BD9"/>
    <w:rsid w:val="00157E3F"/>
    <w:rsid w:val="00160172"/>
    <w:rsid w:val="001604AF"/>
    <w:rsid w:val="0016073A"/>
    <w:rsid w:val="00160CB4"/>
    <w:rsid w:val="001610C5"/>
    <w:rsid w:val="0016137E"/>
    <w:rsid w:val="001617D1"/>
    <w:rsid w:val="00161C20"/>
    <w:rsid w:val="00162F33"/>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A8B"/>
    <w:rsid w:val="00170F7C"/>
    <w:rsid w:val="00171108"/>
    <w:rsid w:val="001712B7"/>
    <w:rsid w:val="0017142D"/>
    <w:rsid w:val="0017205E"/>
    <w:rsid w:val="00172502"/>
    <w:rsid w:val="0017274D"/>
    <w:rsid w:val="0017298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77B80"/>
    <w:rsid w:val="0018004E"/>
    <w:rsid w:val="00180435"/>
    <w:rsid w:val="00180451"/>
    <w:rsid w:val="0018110F"/>
    <w:rsid w:val="00181207"/>
    <w:rsid w:val="00181E9F"/>
    <w:rsid w:val="0018243E"/>
    <w:rsid w:val="001828DD"/>
    <w:rsid w:val="00182BD3"/>
    <w:rsid w:val="00182F38"/>
    <w:rsid w:val="00183335"/>
    <w:rsid w:val="0018355C"/>
    <w:rsid w:val="001841D5"/>
    <w:rsid w:val="00184C6D"/>
    <w:rsid w:val="00185CC8"/>
    <w:rsid w:val="001861EE"/>
    <w:rsid w:val="00186433"/>
    <w:rsid w:val="00186D26"/>
    <w:rsid w:val="001874C4"/>
    <w:rsid w:val="00187978"/>
    <w:rsid w:val="001879EA"/>
    <w:rsid w:val="00191116"/>
    <w:rsid w:val="001918BB"/>
    <w:rsid w:val="00191B63"/>
    <w:rsid w:val="001920A8"/>
    <w:rsid w:val="00192296"/>
    <w:rsid w:val="00192385"/>
    <w:rsid w:val="001926B9"/>
    <w:rsid w:val="00192B54"/>
    <w:rsid w:val="00192DCE"/>
    <w:rsid w:val="00192FE2"/>
    <w:rsid w:val="00193959"/>
    <w:rsid w:val="00193D5C"/>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5F5"/>
    <w:rsid w:val="001A5803"/>
    <w:rsid w:val="001A590C"/>
    <w:rsid w:val="001A60F5"/>
    <w:rsid w:val="001A698A"/>
    <w:rsid w:val="001A6C6A"/>
    <w:rsid w:val="001A72BB"/>
    <w:rsid w:val="001A762E"/>
    <w:rsid w:val="001A7B81"/>
    <w:rsid w:val="001A7F1F"/>
    <w:rsid w:val="001B04A5"/>
    <w:rsid w:val="001B0D93"/>
    <w:rsid w:val="001B0EFA"/>
    <w:rsid w:val="001B17E9"/>
    <w:rsid w:val="001B1CC2"/>
    <w:rsid w:val="001B1FF9"/>
    <w:rsid w:val="001B2531"/>
    <w:rsid w:val="001B2674"/>
    <w:rsid w:val="001B297A"/>
    <w:rsid w:val="001B2D49"/>
    <w:rsid w:val="001B2ECA"/>
    <w:rsid w:val="001B33AB"/>
    <w:rsid w:val="001B34D1"/>
    <w:rsid w:val="001B37C3"/>
    <w:rsid w:val="001B54DC"/>
    <w:rsid w:val="001B5524"/>
    <w:rsid w:val="001B584E"/>
    <w:rsid w:val="001B62D7"/>
    <w:rsid w:val="001B6AB6"/>
    <w:rsid w:val="001B6ECE"/>
    <w:rsid w:val="001B704F"/>
    <w:rsid w:val="001B72EB"/>
    <w:rsid w:val="001B77E9"/>
    <w:rsid w:val="001C0518"/>
    <w:rsid w:val="001C09AA"/>
    <w:rsid w:val="001C1865"/>
    <w:rsid w:val="001C186B"/>
    <w:rsid w:val="001C2691"/>
    <w:rsid w:val="001C3090"/>
    <w:rsid w:val="001C331F"/>
    <w:rsid w:val="001C34F0"/>
    <w:rsid w:val="001C3AE7"/>
    <w:rsid w:val="001C42A6"/>
    <w:rsid w:val="001C4507"/>
    <w:rsid w:val="001C4A16"/>
    <w:rsid w:val="001C5D80"/>
    <w:rsid w:val="001C62B3"/>
    <w:rsid w:val="001C6587"/>
    <w:rsid w:val="001C689A"/>
    <w:rsid w:val="001C6D35"/>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D7344"/>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47C4"/>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654"/>
    <w:rsid w:val="001F390B"/>
    <w:rsid w:val="001F3DA1"/>
    <w:rsid w:val="001F3E0E"/>
    <w:rsid w:val="001F3F3A"/>
    <w:rsid w:val="001F4062"/>
    <w:rsid w:val="001F42EB"/>
    <w:rsid w:val="001F48E4"/>
    <w:rsid w:val="001F5C18"/>
    <w:rsid w:val="001F5D19"/>
    <w:rsid w:val="001F6102"/>
    <w:rsid w:val="001F657A"/>
    <w:rsid w:val="001F6E3B"/>
    <w:rsid w:val="001F707E"/>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944"/>
    <w:rsid w:val="00206BCB"/>
    <w:rsid w:val="00206F20"/>
    <w:rsid w:val="002072C6"/>
    <w:rsid w:val="002077EC"/>
    <w:rsid w:val="00210DDD"/>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707"/>
    <w:rsid w:val="00217869"/>
    <w:rsid w:val="002178C3"/>
    <w:rsid w:val="00217FF8"/>
    <w:rsid w:val="0022013D"/>
    <w:rsid w:val="00220141"/>
    <w:rsid w:val="0022045A"/>
    <w:rsid w:val="0022094A"/>
    <w:rsid w:val="002209C8"/>
    <w:rsid w:val="00220CB8"/>
    <w:rsid w:val="00220F90"/>
    <w:rsid w:val="002210B2"/>
    <w:rsid w:val="002213F5"/>
    <w:rsid w:val="002214A8"/>
    <w:rsid w:val="0022159E"/>
    <w:rsid w:val="00222EA0"/>
    <w:rsid w:val="00222ED3"/>
    <w:rsid w:val="0022399E"/>
    <w:rsid w:val="00224161"/>
    <w:rsid w:val="00224289"/>
    <w:rsid w:val="00224387"/>
    <w:rsid w:val="00224521"/>
    <w:rsid w:val="00225A12"/>
    <w:rsid w:val="002260B1"/>
    <w:rsid w:val="00226319"/>
    <w:rsid w:val="00226C86"/>
    <w:rsid w:val="002274BD"/>
    <w:rsid w:val="0022761E"/>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37F88"/>
    <w:rsid w:val="00241E52"/>
    <w:rsid w:val="00242105"/>
    <w:rsid w:val="002431DF"/>
    <w:rsid w:val="00243884"/>
    <w:rsid w:val="0024390C"/>
    <w:rsid w:val="00243EB0"/>
    <w:rsid w:val="0024449A"/>
    <w:rsid w:val="0024486D"/>
    <w:rsid w:val="00244B37"/>
    <w:rsid w:val="00245102"/>
    <w:rsid w:val="002451EE"/>
    <w:rsid w:val="00245D0C"/>
    <w:rsid w:val="002461B7"/>
    <w:rsid w:val="002467D3"/>
    <w:rsid w:val="0024687F"/>
    <w:rsid w:val="0024704A"/>
    <w:rsid w:val="00247462"/>
    <w:rsid w:val="00247482"/>
    <w:rsid w:val="00247815"/>
    <w:rsid w:val="00250121"/>
    <w:rsid w:val="0025021F"/>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399"/>
    <w:rsid w:val="0025352E"/>
    <w:rsid w:val="00254058"/>
    <w:rsid w:val="002547B3"/>
    <w:rsid w:val="002548AB"/>
    <w:rsid w:val="002550CD"/>
    <w:rsid w:val="002555E5"/>
    <w:rsid w:val="00255B39"/>
    <w:rsid w:val="00255F37"/>
    <w:rsid w:val="00255F54"/>
    <w:rsid w:val="00256784"/>
    <w:rsid w:val="00256828"/>
    <w:rsid w:val="00256E0D"/>
    <w:rsid w:val="0025727F"/>
    <w:rsid w:val="0025737C"/>
    <w:rsid w:val="002573D9"/>
    <w:rsid w:val="00260213"/>
    <w:rsid w:val="00260C52"/>
    <w:rsid w:val="00260CF4"/>
    <w:rsid w:val="00261F41"/>
    <w:rsid w:val="00262A31"/>
    <w:rsid w:val="00262ACE"/>
    <w:rsid w:val="00262D95"/>
    <w:rsid w:val="00263097"/>
    <w:rsid w:val="00263167"/>
    <w:rsid w:val="00263228"/>
    <w:rsid w:val="002637AF"/>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19DA"/>
    <w:rsid w:val="00271A72"/>
    <w:rsid w:val="00271C07"/>
    <w:rsid w:val="00271D7B"/>
    <w:rsid w:val="00271DD4"/>
    <w:rsid w:val="00271F01"/>
    <w:rsid w:val="002724B9"/>
    <w:rsid w:val="00272B4D"/>
    <w:rsid w:val="00272C79"/>
    <w:rsid w:val="00272CD2"/>
    <w:rsid w:val="00273261"/>
    <w:rsid w:val="002733C4"/>
    <w:rsid w:val="00273E6D"/>
    <w:rsid w:val="00274C4B"/>
    <w:rsid w:val="0027508F"/>
    <w:rsid w:val="00275824"/>
    <w:rsid w:val="00275C2D"/>
    <w:rsid w:val="00276D93"/>
    <w:rsid w:val="0027715D"/>
    <w:rsid w:val="00277728"/>
    <w:rsid w:val="0027794E"/>
    <w:rsid w:val="00277997"/>
    <w:rsid w:val="00277A18"/>
    <w:rsid w:val="00277D86"/>
    <w:rsid w:val="002808DA"/>
    <w:rsid w:val="00281097"/>
    <w:rsid w:val="00281372"/>
    <w:rsid w:val="002821C1"/>
    <w:rsid w:val="00282317"/>
    <w:rsid w:val="0028282A"/>
    <w:rsid w:val="002828E1"/>
    <w:rsid w:val="00282A68"/>
    <w:rsid w:val="00282AAA"/>
    <w:rsid w:val="00282D63"/>
    <w:rsid w:val="00282E9E"/>
    <w:rsid w:val="00283033"/>
    <w:rsid w:val="0028305D"/>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1544"/>
    <w:rsid w:val="002919E8"/>
    <w:rsid w:val="002928A6"/>
    <w:rsid w:val="00292B44"/>
    <w:rsid w:val="00292B89"/>
    <w:rsid w:val="00293204"/>
    <w:rsid w:val="00293215"/>
    <w:rsid w:val="00293756"/>
    <w:rsid w:val="00293C94"/>
    <w:rsid w:val="002943DB"/>
    <w:rsid w:val="002946A2"/>
    <w:rsid w:val="00294938"/>
    <w:rsid w:val="00295D20"/>
    <w:rsid w:val="0029674B"/>
    <w:rsid w:val="00296A2C"/>
    <w:rsid w:val="00296F57"/>
    <w:rsid w:val="00297C3E"/>
    <w:rsid w:val="00297C7B"/>
    <w:rsid w:val="00297D74"/>
    <w:rsid w:val="002A0178"/>
    <w:rsid w:val="002A05F7"/>
    <w:rsid w:val="002A0765"/>
    <w:rsid w:val="002A09D0"/>
    <w:rsid w:val="002A11F6"/>
    <w:rsid w:val="002A1FD6"/>
    <w:rsid w:val="002A2250"/>
    <w:rsid w:val="002A2263"/>
    <w:rsid w:val="002A249C"/>
    <w:rsid w:val="002A3273"/>
    <w:rsid w:val="002A3EEC"/>
    <w:rsid w:val="002A42CD"/>
    <w:rsid w:val="002A52C6"/>
    <w:rsid w:val="002A597D"/>
    <w:rsid w:val="002A5CB8"/>
    <w:rsid w:val="002A6033"/>
    <w:rsid w:val="002A65E4"/>
    <w:rsid w:val="002A6BB4"/>
    <w:rsid w:val="002A701C"/>
    <w:rsid w:val="002A77A0"/>
    <w:rsid w:val="002A7DD9"/>
    <w:rsid w:val="002B099A"/>
    <w:rsid w:val="002B0E1E"/>
    <w:rsid w:val="002B18DA"/>
    <w:rsid w:val="002B1CF5"/>
    <w:rsid w:val="002B1F2B"/>
    <w:rsid w:val="002B2176"/>
    <w:rsid w:val="002B2328"/>
    <w:rsid w:val="002B25F5"/>
    <w:rsid w:val="002B263A"/>
    <w:rsid w:val="002B29F2"/>
    <w:rsid w:val="002B2D8C"/>
    <w:rsid w:val="002B3056"/>
    <w:rsid w:val="002B3AAF"/>
    <w:rsid w:val="002B3E9D"/>
    <w:rsid w:val="002B3F02"/>
    <w:rsid w:val="002B4381"/>
    <w:rsid w:val="002B481E"/>
    <w:rsid w:val="002B4D6C"/>
    <w:rsid w:val="002B5529"/>
    <w:rsid w:val="002B5967"/>
    <w:rsid w:val="002B6387"/>
    <w:rsid w:val="002B64B4"/>
    <w:rsid w:val="002B7580"/>
    <w:rsid w:val="002B79D3"/>
    <w:rsid w:val="002B7A59"/>
    <w:rsid w:val="002C004A"/>
    <w:rsid w:val="002C06F7"/>
    <w:rsid w:val="002C0960"/>
    <w:rsid w:val="002C123C"/>
    <w:rsid w:val="002C14B6"/>
    <w:rsid w:val="002C1C15"/>
    <w:rsid w:val="002C1E21"/>
    <w:rsid w:val="002C216E"/>
    <w:rsid w:val="002C24E4"/>
    <w:rsid w:val="002C2847"/>
    <w:rsid w:val="002C2A61"/>
    <w:rsid w:val="002C2A75"/>
    <w:rsid w:val="002C2E9F"/>
    <w:rsid w:val="002C40D1"/>
    <w:rsid w:val="002C41B0"/>
    <w:rsid w:val="002C4280"/>
    <w:rsid w:val="002C43F3"/>
    <w:rsid w:val="002C464B"/>
    <w:rsid w:val="002C493A"/>
    <w:rsid w:val="002C5137"/>
    <w:rsid w:val="002C53A4"/>
    <w:rsid w:val="002C5453"/>
    <w:rsid w:val="002C5A69"/>
    <w:rsid w:val="002C6198"/>
    <w:rsid w:val="002C6290"/>
    <w:rsid w:val="002C62C9"/>
    <w:rsid w:val="002C633B"/>
    <w:rsid w:val="002C6356"/>
    <w:rsid w:val="002C6512"/>
    <w:rsid w:val="002C6F25"/>
    <w:rsid w:val="002C6FEE"/>
    <w:rsid w:val="002C7664"/>
    <w:rsid w:val="002C7896"/>
    <w:rsid w:val="002C7946"/>
    <w:rsid w:val="002C7CE1"/>
    <w:rsid w:val="002D03E0"/>
    <w:rsid w:val="002D06DF"/>
    <w:rsid w:val="002D1049"/>
    <w:rsid w:val="002D1461"/>
    <w:rsid w:val="002D1B95"/>
    <w:rsid w:val="002D2310"/>
    <w:rsid w:val="002D297F"/>
    <w:rsid w:val="002D29AF"/>
    <w:rsid w:val="002D2DFD"/>
    <w:rsid w:val="002D2FB5"/>
    <w:rsid w:val="002D36E6"/>
    <w:rsid w:val="002D36FE"/>
    <w:rsid w:val="002D385D"/>
    <w:rsid w:val="002D3AFD"/>
    <w:rsid w:val="002D3CED"/>
    <w:rsid w:val="002D455E"/>
    <w:rsid w:val="002D498C"/>
    <w:rsid w:val="002D5361"/>
    <w:rsid w:val="002D5C8A"/>
    <w:rsid w:val="002D5EB5"/>
    <w:rsid w:val="002D6C5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2A9"/>
    <w:rsid w:val="002E77B9"/>
    <w:rsid w:val="002E7BC9"/>
    <w:rsid w:val="002E7CA8"/>
    <w:rsid w:val="002E7D23"/>
    <w:rsid w:val="002F00BE"/>
    <w:rsid w:val="002F058C"/>
    <w:rsid w:val="002F08C3"/>
    <w:rsid w:val="002F08DC"/>
    <w:rsid w:val="002F095B"/>
    <w:rsid w:val="002F10FC"/>
    <w:rsid w:val="002F1ADC"/>
    <w:rsid w:val="002F1CDF"/>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9CF"/>
    <w:rsid w:val="00303E0F"/>
    <w:rsid w:val="00304591"/>
    <w:rsid w:val="00304680"/>
    <w:rsid w:val="00304690"/>
    <w:rsid w:val="003047DD"/>
    <w:rsid w:val="00304B24"/>
    <w:rsid w:val="00304FD5"/>
    <w:rsid w:val="003051A4"/>
    <w:rsid w:val="0030534A"/>
    <w:rsid w:val="00305399"/>
    <w:rsid w:val="0030549E"/>
    <w:rsid w:val="00305672"/>
    <w:rsid w:val="0030577B"/>
    <w:rsid w:val="00305F5B"/>
    <w:rsid w:val="0030680A"/>
    <w:rsid w:val="00306ACB"/>
    <w:rsid w:val="00306DC8"/>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0F7E"/>
    <w:rsid w:val="003219D9"/>
    <w:rsid w:val="00321CFC"/>
    <w:rsid w:val="00321F8B"/>
    <w:rsid w:val="00322278"/>
    <w:rsid w:val="003225C1"/>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730"/>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74"/>
    <w:rsid w:val="00351AB4"/>
    <w:rsid w:val="0035240D"/>
    <w:rsid w:val="0035248E"/>
    <w:rsid w:val="003524BB"/>
    <w:rsid w:val="00352EC4"/>
    <w:rsid w:val="00353532"/>
    <w:rsid w:val="0035399F"/>
    <w:rsid w:val="00353A68"/>
    <w:rsid w:val="00353DF1"/>
    <w:rsid w:val="00354519"/>
    <w:rsid w:val="00354600"/>
    <w:rsid w:val="0035522F"/>
    <w:rsid w:val="00355412"/>
    <w:rsid w:val="003556A9"/>
    <w:rsid w:val="003558B1"/>
    <w:rsid w:val="00355B3C"/>
    <w:rsid w:val="00356108"/>
    <w:rsid w:val="0035660B"/>
    <w:rsid w:val="00356921"/>
    <w:rsid w:val="00356A3F"/>
    <w:rsid w:val="00357DD2"/>
    <w:rsid w:val="003608C2"/>
    <w:rsid w:val="003609A6"/>
    <w:rsid w:val="00360B8C"/>
    <w:rsid w:val="003610B5"/>
    <w:rsid w:val="00361409"/>
    <w:rsid w:val="003615E2"/>
    <w:rsid w:val="003619DA"/>
    <w:rsid w:val="0036240A"/>
    <w:rsid w:val="00362445"/>
    <w:rsid w:val="00362A91"/>
    <w:rsid w:val="00362C7C"/>
    <w:rsid w:val="00362DA0"/>
    <w:rsid w:val="00362EA0"/>
    <w:rsid w:val="0036310A"/>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22F"/>
    <w:rsid w:val="00371EBC"/>
    <w:rsid w:val="00371EEC"/>
    <w:rsid w:val="003727CB"/>
    <w:rsid w:val="00372B9D"/>
    <w:rsid w:val="00373C8D"/>
    <w:rsid w:val="00373F3D"/>
    <w:rsid w:val="00375630"/>
    <w:rsid w:val="00375874"/>
    <w:rsid w:val="00375876"/>
    <w:rsid w:val="00376025"/>
    <w:rsid w:val="003769CB"/>
    <w:rsid w:val="003774F0"/>
    <w:rsid w:val="0038005B"/>
    <w:rsid w:val="003802D7"/>
    <w:rsid w:val="00380433"/>
    <w:rsid w:val="003804F7"/>
    <w:rsid w:val="003809B6"/>
    <w:rsid w:val="0038175D"/>
    <w:rsid w:val="0038178A"/>
    <w:rsid w:val="00381DFE"/>
    <w:rsid w:val="00381FF0"/>
    <w:rsid w:val="00382236"/>
    <w:rsid w:val="0038286F"/>
    <w:rsid w:val="003844B3"/>
    <w:rsid w:val="0038476D"/>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092F"/>
    <w:rsid w:val="00391030"/>
    <w:rsid w:val="003916F7"/>
    <w:rsid w:val="00391735"/>
    <w:rsid w:val="003918BB"/>
    <w:rsid w:val="003919A8"/>
    <w:rsid w:val="00391B69"/>
    <w:rsid w:val="00391C56"/>
    <w:rsid w:val="00391DC9"/>
    <w:rsid w:val="003929AC"/>
    <w:rsid w:val="00392C92"/>
    <w:rsid w:val="0039442C"/>
    <w:rsid w:val="00394A07"/>
    <w:rsid w:val="00394ECC"/>
    <w:rsid w:val="00396888"/>
    <w:rsid w:val="00396F70"/>
    <w:rsid w:val="0039734F"/>
    <w:rsid w:val="003973C1"/>
    <w:rsid w:val="0039765E"/>
    <w:rsid w:val="0039795F"/>
    <w:rsid w:val="00397E13"/>
    <w:rsid w:val="003A0053"/>
    <w:rsid w:val="003A06D9"/>
    <w:rsid w:val="003A0FE1"/>
    <w:rsid w:val="003A17CD"/>
    <w:rsid w:val="003A1CC8"/>
    <w:rsid w:val="003A1F22"/>
    <w:rsid w:val="003A22E1"/>
    <w:rsid w:val="003A23F0"/>
    <w:rsid w:val="003A27A0"/>
    <w:rsid w:val="003A2AE8"/>
    <w:rsid w:val="003A3035"/>
    <w:rsid w:val="003A446E"/>
    <w:rsid w:val="003A458C"/>
    <w:rsid w:val="003A4A9F"/>
    <w:rsid w:val="003A4B5E"/>
    <w:rsid w:val="003A4BE6"/>
    <w:rsid w:val="003A5279"/>
    <w:rsid w:val="003A52A7"/>
    <w:rsid w:val="003A5579"/>
    <w:rsid w:val="003A5937"/>
    <w:rsid w:val="003A5A8D"/>
    <w:rsid w:val="003A5DB9"/>
    <w:rsid w:val="003A5FED"/>
    <w:rsid w:val="003A65F3"/>
    <w:rsid w:val="003A6701"/>
    <w:rsid w:val="003A6F7F"/>
    <w:rsid w:val="003A7145"/>
    <w:rsid w:val="003A735B"/>
    <w:rsid w:val="003A7605"/>
    <w:rsid w:val="003A7DEE"/>
    <w:rsid w:val="003B10D4"/>
    <w:rsid w:val="003B13EC"/>
    <w:rsid w:val="003B15C1"/>
    <w:rsid w:val="003B18E4"/>
    <w:rsid w:val="003B214F"/>
    <w:rsid w:val="003B2CF0"/>
    <w:rsid w:val="003B3C73"/>
    <w:rsid w:val="003B3FC4"/>
    <w:rsid w:val="003B4238"/>
    <w:rsid w:val="003B4971"/>
    <w:rsid w:val="003B4C3D"/>
    <w:rsid w:val="003B4F29"/>
    <w:rsid w:val="003B5B6E"/>
    <w:rsid w:val="003B5DBB"/>
    <w:rsid w:val="003B5DFA"/>
    <w:rsid w:val="003B5F8B"/>
    <w:rsid w:val="003B6043"/>
    <w:rsid w:val="003B67C8"/>
    <w:rsid w:val="003B6B09"/>
    <w:rsid w:val="003B6E5D"/>
    <w:rsid w:val="003B78C7"/>
    <w:rsid w:val="003B7C45"/>
    <w:rsid w:val="003B7F1E"/>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323"/>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2B"/>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617"/>
    <w:rsid w:val="003E77A1"/>
    <w:rsid w:val="003E77AA"/>
    <w:rsid w:val="003E7991"/>
    <w:rsid w:val="003E7C1F"/>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573"/>
    <w:rsid w:val="004005ED"/>
    <w:rsid w:val="00400B6F"/>
    <w:rsid w:val="00400FE4"/>
    <w:rsid w:val="004011E3"/>
    <w:rsid w:val="004012FC"/>
    <w:rsid w:val="004017B0"/>
    <w:rsid w:val="00402381"/>
    <w:rsid w:val="00402D2B"/>
    <w:rsid w:val="004030B5"/>
    <w:rsid w:val="004030CF"/>
    <w:rsid w:val="0040359A"/>
    <w:rsid w:val="004039B7"/>
    <w:rsid w:val="00403AD4"/>
    <w:rsid w:val="00403AE3"/>
    <w:rsid w:val="00403F9B"/>
    <w:rsid w:val="00404A56"/>
    <w:rsid w:val="00404E97"/>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02A"/>
    <w:rsid w:val="00412622"/>
    <w:rsid w:val="00413464"/>
    <w:rsid w:val="004135E0"/>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56B"/>
    <w:rsid w:val="004177D5"/>
    <w:rsid w:val="00417AA8"/>
    <w:rsid w:val="00417ED4"/>
    <w:rsid w:val="00420067"/>
    <w:rsid w:val="0042047F"/>
    <w:rsid w:val="004210B4"/>
    <w:rsid w:val="00421EB9"/>
    <w:rsid w:val="00422577"/>
    <w:rsid w:val="00422A6E"/>
    <w:rsid w:val="00424349"/>
    <w:rsid w:val="0042468E"/>
    <w:rsid w:val="00424AC9"/>
    <w:rsid w:val="00424E15"/>
    <w:rsid w:val="004250FD"/>
    <w:rsid w:val="0042529D"/>
    <w:rsid w:val="0042544F"/>
    <w:rsid w:val="0042578E"/>
    <w:rsid w:val="00425F21"/>
    <w:rsid w:val="00425FA6"/>
    <w:rsid w:val="00426182"/>
    <w:rsid w:val="00426A49"/>
    <w:rsid w:val="0042794F"/>
    <w:rsid w:val="00427989"/>
    <w:rsid w:val="00427C55"/>
    <w:rsid w:val="00427FDF"/>
    <w:rsid w:val="00430C35"/>
    <w:rsid w:val="00430F21"/>
    <w:rsid w:val="00431120"/>
    <w:rsid w:val="004314A4"/>
    <w:rsid w:val="004315FD"/>
    <w:rsid w:val="00431765"/>
    <w:rsid w:val="00431AF0"/>
    <w:rsid w:val="004323C4"/>
    <w:rsid w:val="00432923"/>
    <w:rsid w:val="00432A6D"/>
    <w:rsid w:val="00432EC7"/>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4716"/>
    <w:rsid w:val="0044546C"/>
    <w:rsid w:val="00445CD2"/>
    <w:rsid w:val="00445E3E"/>
    <w:rsid w:val="004461E0"/>
    <w:rsid w:val="00446229"/>
    <w:rsid w:val="00446541"/>
    <w:rsid w:val="00447033"/>
    <w:rsid w:val="004471A1"/>
    <w:rsid w:val="00447209"/>
    <w:rsid w:val="004475C2"/>
    <w:rsid w:val="00447F78"/>
    <w:rsid w:val="004503A9"/>
    <w:rsid w:val="00450764"/>
    <w:rsid w:val="0045091B"/>
    <w:rsid w:val="00450C03"/>
    <w:rsid w:val="00450E9F"/>
    <w:rsid w:val="0045142F"/>
    <w:rsid w:val="00451A4E"/>
    <w:rsid w:val="00452592"/>
    <w:rsid w:val="00452B3C"/>
    <w:rsid w:val="00452BF0"/>
    <w:rsid w:val="00452D5E"/>
    <w:rsid w:val="0045376D"/>
    <w:rsid w:val="00453788"/>
    <w:rsid w:val="00453D66"/>
    <w:rsid w:val="00453E4B"/>
    <w:rsid w:val="00454232"/>
    <w:rsid w:val="00454A7A"/>
    <w:rsid w:val="00454DCE"/>
    <w:rsid w:val="00454E5B"/>
    <w:rsid w:val="00454FF1"/>
    <w:rsid w:val="00455399"/>
    <w:rsid w:val="00455448"/>
    <w:rsid w:val="004562EB"/>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203"/>
    <w:rsid w:val="00465263"/>
    <w:rsid w:val="004653BF"/>
    <w:rsid w:val="00465CD6"/>
    <w:rsid w:val="00465EB5"/>
    <w:rsid w:val="00466024"/>
    <w:rsid w:val="004665B2"/>
    <w:rsid w:val="004665FC"/>
    <w:rsid w:val="00467311"/>
    <w:rsid w:val="004675B7"/>
    <w:rsid w:val="0046775C"/>
    <w:rsid w:val="00467A36"/>
    <w:rsid w:val="00467AE6"/>
    <w:rsid w:val="00467CB5"/>
    <w:rsid w:val="00467F22"/>
    <w:rsid w:val="00470132"/>
    <w:rsid w:val="004702A4"/>
    <w:rsid w:val="00470A4E"/>
    <w:rsid w:val="00471835"/>
    <w:rsid w:val="00471A03"/>
    <w:rsid w:val="00472582"/>
    <w:rsid w:val="00473517"/>
    <w:rsid w:val="00473D25"/>
    <w:rsid w:val="0047429C"/>
    <w:rsid w:val="00474A6F"/>
    <w:rsid w:val="00475D21"/>
    <w:rsid w:val="00476771"/>
    <w:rsid w:val="00476BFC"/>
    <w:rsid w:val="00476CAA"/>
    <w:rsid w:val="004771AD"/>
    <w:rsid w:val="004773AC"/>
    <w:rsid w:val="0047770D"/>
    <w:rsid w:val="004777CA"/>
    <w:rsid w:val="00480139"/>
    <w:rsid w:val="00480207"/>
    <w:rsid w:val="00480A7C"/>
    <w:rsid w:val="0048186D"/>
    <w:rsid w:val="004818D2"/>
    <w:rsid w:val="00481BEB"/>
    <w:rsid w:val="00481F5C"/>
    <w:rsid w:val="00482544"/>
    <w:rsid w:val="00482812"/>
    <w:rsid w:val="00484351"/>
    <w:rsid w:val="00484587"/>
    <w:rsid w:val="00484D67"/>
    <w:rsid w:val="00485354"/>
    <w:rsid w:val="00485C00"/>
    <w:rsid w:val="00485F74"/>
    <w:rsid w:val="004860DB"/>
    <w:rsid w:val="00486479"/>
    <w:rsid w:val="00487324"/>
    <w:rsid w:val="0048769A"/>
    <w:rsid w:val="00487A9B"/>
    <w:rsid w:val="00490257"/>
    <w:rsid w:val="004906B4"/>
    <w:rsid w:val="004909D9"/>
    <w:rsid w:val="004911AF"/>
    <w:rsid w:val="004914BD"/>
    <w:rsid w:val="00491C4A"/>
    <w:rsid w:val="00491D55"/>
    <w:rsid w:val="00491FE1"/>
    <w:rsid w:val="00492029"/>
    <w:rsid w:val="0049316B"/>
    <w:rsid w:val="00493588"/>
    <w:rsid w:val="004935BB"/>
    <w:rsid w:val="004937CA"/>
    <w:rsid w:val="00493B15"/>
    <w:rsid w:val="00493C5C"/>
    <w:rsid w:val="00493C6F"/>
    <w:rsid w:val="00493E5B"/>
    <w:rsid w:val="00493EFF"/>
    <w:rsid w:val="00494537"/>
    <w:rsid w:val="00494ACA"/>
    <w:rsid w:val="00494ED7"/>
    <w:rsid w:val="004954EF"/>
    <w:rsid w:val="00495DC9"/>
    <w:rsid w:val="00495FB0"/>
    <w:rsid w:val="004969AD"/>
    <w:rsid w:val="00497B49"/>
    <w:rsid w:val="004A023B"/>
    <w:rsid w:val="004A0B53"/>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1E48"/>
    <w:rsid w:val="004B209C"/>
    <w:rsid w:val="004B2CBC"/>
    <w:rsid w:val="004B41FF"/>
    <w:rsid w:val="004B446C"/>
    <w:rsid w:val="004B4923"/>
    <w:rsid w:val="004B49B0"/>
    <w:rsid w:val="004B50CF"/>
    <w:rsid w:val="004B59E8"/>
    <w:rsid w:val="004B6141"/>
    <w:rsid w:val="004B67E6"/>
    <w:rsid w:val="004B6BAF"/>
    <w:rsid w:val="004B7022"/>
    <w:rsid w:val="004B731B"/>
    <w:rsid w:val="004B7B42"/>
    <w:rsid w:val="004C07EB"/>
    <w:rsid w:val="004C0948"/>
    <w:rsid w:val="004C0AAC"/>
    <w:rsid w:val="004C10C2"/>
    <w:rsid w:val="004C1494"/>
    <w:rsid w:val="004C167F"/>
    <w:rsid w:val="004C1B57"/>
    <w:rsid w:val="004C1B9A"/>
    <w:rsid w:val="004C1D9A"/>
    <w:rsid w:val="004C26B8"/>
    <w:rsid w:val="004C3276"/>
    <w:rsid w:val="004C377A"/>
    <w:rsid w:val="004C3CD2"/>
    <w:rsid w:val="004C3E1E"/>
    <w:rsid w:val="004C4643"/>
    <w:rsid w:val="004C4952"/>
    <w:rsid w:val="004C5115"/>
    <w:rsid w:val="004C57B5"/>
    <w:rsid w:val="004C597F"/>
    <w:rsid w:val="004C5FE4"/>
    <w:rsid w:val="004C6631"/>
    <w:rsid w:val="004C7085"/>
    <w:rsid w:val="004C72B7"/>
    <w:rsid w:val="004C7577"/>
    <w:rsid w:val="004C79A5"/>
    <w:rsid w:val="004C7C53"/>
    <w:rsid w:val="004D06CC"/>
    <w:rsid w:val="004D072E"/>
    <w:rsid w:val="004D139D"/>
    <w:rsid w:val="004D2287"/>
    <w:rsid w:val="004D25E8"/>
    <w:rsid w:val="004D2776"/>
    <w:rsid w:val="004D2C78"/>
    <w:rsid w:val="004D2D40"/>
    <w:rsid w:val="004D3918"/>
    <w:rsid w:val="004D3A1F"/>
    <w:rsid w:val="004D429B"/>
    <w:rsid w:val="004D4A02"/>
    <w:rsid w:val="004D4C53"/>
    <w:rsid w:val="004D5369"/>
    <w:rsid w:val="004D54B9"/>
    <w:rsid w:val="004D5733"/>
    <w:rsid w:val="004D57AF"/>
    <w:rsid w:val="004D5B8C"/>
    <w:rsid w:val="004D5D6C"/>
    <w:rsid w:val="004D5F91"/>
    <w:rsid w:val="004D6343"/>
    <w:rsid w:val="004D657E"/>
    <w:rsid w:val="004D6E55"/>
    <w:rsid w:val="004D71B7"/>
    <w:rsid w:val="004D7239"/>
    <w:rsid w:val="004D769D"/>
    <w:rsid w:val="004D7E32"/>
    <w:rsid w:val="004E045B"/>
    <w:rsid w:val="004E0541"/>
    <w:rsid w:val="004E10BF"/>
    <w:rsid w:val="004E130F"/>
    <w:rsid w:val="004E2267"/>
    <w:rsid w:val="004E281E"/>
    <w:rsid w:val="004E2C2E"/>
    <w:rsid w:val="004E30A8"/>
    <w:rsid w:val="004E31AB"/>
    <w:rsid w:val="004E3A51"/>
    <w:rsid w:val="004E3BFF"/>
    <w:rsid w:val="004E3CCF"/>
    <w:rsid w:val="004E3ECB"/>
    <w:rsid w:val="004E3F70"/>
    <w:rsid w:val="004E4D97"/>
    <w:rsid w:val="004E5B63"/>
    <w:rsid w:val="004E6085"/>
    <w:rsid w:val="004E69A4"/>
    <w:rsid w:val="004E6A28"/>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4F7ED6"/>
    <w:rsid w:val="0050084E"/>
    <w:rsid w:val="00500B5E"/>
    <w:rsid w:val="00501084"/>
    <w:rsid w:val="0050126B"/>
    <w:rsid w:val="005016D7"/>
    <w:rsid w:val="0050208B"/>
    <w:rsid w:val="0050294B"/>
    <w:rsid w:val="00502A25"/>
    <w:rsid w:val="005035D9"/>
    <w:rsid w:val="00503AD9"/>
    <w:rsid w:val="00503BC8"/>
    <w:rsid w:val="00504353"/>
    <w:rsid w:val="00504ABB"/>
    <w:rsid w:val="00504D6D"/>
    <w:rsid w:val="00506294"/>
    <w:rsid w:val="00506782"/>
    <w:rsid w:val="005073EB"/>
    <w:rsid w:val="00507743"/>
    <w:rsid w:val="00507BA3"/>
    <w:rsid w:val="005102F8"/>
    <w:rsid w:val="00510F34"/>
    <w:rsid w:val="0051124D"/>
    <w:rsid w:val="005117FC"/>
    <w:rsid w:val="00511ABC"/>
    <w:rsid w:val="0051214A"/>
    <w:rsid w:val="00512513"/>
    <w:rsid w:val="005125B0"/>
    <w:rsid w:val="00513AE4"/>
    <w:rsid w:val="0051406D"/>
    <w:rsid w:val="00514315"/>
    <w:rsid w:val="00514C23"/>
    <w:rsid w:val="005155B1"/>
    <w:rsid w:val="005162C9"/>
    <w:rsid w:val="005164A6"/>
    <w:rsid w:val="0051689D"/>
    <w:rsid w:val="00516D25"/>
    <w:rsid w:val="00516FBF"/>
    <w:rsid w:val="0051706D"/>
    <w:rsid w:val="00517189"/>
    <w:rsid w:val="005174D5"/>
    <w:rsid w:val="00517A9C"/>
    <w:rsid w:val="0052015B"/>
    <w:rsid w:val="005204A4"/>
    <w:rsid w:val="0052055B"/>
    <w:rsid w:val="005205B8"/>
    <w:rsid w:val="0052083B"/>
    <w:rsid w:val="00520DD8"/>
    <w:rsid w:val="00520EC1"/>
    <w:rsid w:val="0052133B"/>
    <w:rsid w:val="00521447"/>
    <w:rsid w:val="00521603"/>
    <w:rsid w:val="00521BA2"/>
    <w:rsid w:val="00521FCC"/>
    <w:rsid w:val="00522611"/>
    <w:rsid w:val="00522975"/>
    <w:rsid w:val="00522E32"/>
    <w:rsid w:val="00523033"/>
    <w:rsid w:val="005235C5"/>
    <w:rsid w:val="005237EC"/>
    <w:rsid w:val="00524AED"/>
    <w:rsid w:val="0052672B"/>
    <w:rsid w:val="005269A1"/>
    <w:rsid w:val="00527550"/>
    <w:rsid w:val="00527977"/>
    <w:rsid w:val="00527A38"/>
    <w:rsid w:val="00527BAE"/>
    <w:rsid w:val="0053034C"/>
    <w:rsid w:val="00530A35"/>
    <w:rsid w:val="00530BDB"/>
    <w:rsid w:val="00530C61"/>
    <w:rsid w:val="005313B3"/>
    <w:rsid w:val="00531682"/>
    <w:rsid w:val="00531BB2"/>
    <w:rsid w:val="00532220"/>
    <w:rsid w:val="005323C2"/>
    <w:rsid w:val="0053295E"/>
    <w:rsid w:val="00532A40"/>
    <w:rsid w:val="00533BD3"/>
    <w:rsid w:val="005343CB"/>
    <w:rsid w:val="0053467B"/>
    <w:rsid w:val="005346F0"/>
    <w:rsid w:val="00534A7A"/>
    <w:rsid w:val="0053537D"/>
    <w:rsid w:val="005353A2"/>
    <w:rsid w:val="00535550"/>
    <w:rsid w:val="00535996"/>
    <w:rsid w:val="00535CB5"/>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3F2F"/>
    <w:rsid w:val="00544BF2"/>
    <w:rsid w:val="00544D5A"/>
    <w:rsid w:val="00544EFE"/>
    <w:rsid w:val="0054546A"/>
    <w:rsid w:val="00545920"/>
    <w:rsid w:val="00545BB0"/>
    <w:rsid w:val="00545EB6"/>
    <w:rsid w:val="00546792"/>
    <w:rsid w:val="00546BEA"/>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4A"/>
    <w:rsid w:val="00563EF4"/>
    <w:rsid w:val="00563FC2"/>
    <w:rsid w:val="005644E1"/>
    <w:rsid w:val="00564610"/>
    <w:rsid w:val="00564BDA"/>
    <w:rsid w:val="00564E0C"/>
    <w:rsid w:val="0056501B"/>
    <w:rsid w:val="005650F4"/>
    <w:rsid w:val="005654CF"/>
    <w:rsid w:val="005656C4"/>
    <w:rsid w:val="00566048"/>
    <w:rsid w:val="0056608B"/>
    <w:rsid w:val="00566931"/>
    <w:rsid w:val="005670EB"/>
    <w:rsid w:val="005672E8"/>
    <w:rsid w:val="00567914"/>
    <w:rsid w:val="00570636"/>
    <w:rsid w:val="00570948"/>
    <w:rsid w:val="00570A8B"/>
    <w:rsid w:val="00570BB2"/>
    <w:rsid w:val="00570CED"/>
    <w:rsid w:val="005711BE"/>
    <w:rsid w:val="0057243C"/>
    <w:rsid w:val="005729E0"/>
    <w:rsid w:val="00572C26"/>
    <w:rsid w:val="00572E63"/>
    <w:rsid w:val="00573D8B"/>
    <w:rsid w:val="00574285"/>
    <w:rsid w:val="00574785"/>
    <w:rsid w:val="00574DBB"/>
    <w:rsid w:val="00574EFA"/>
    <w:rsid w:val="00574F26"/>
    <w:rsid w:val="00576175"/>
    <w:rsid w:val="00576704"/>
    <w:rsid w:val="00577476"/>
    <w:rsid w:val="005775B2"/>
    <w:rsid w:val="005802A6"/>
    <w:rsid w:val="0058046B"/>
    <w:rsid w:val="0058069C"/>
    <w:rsid w:val="00580871"/>
    <w:rsid w:val="00580C78"/>
    <w:rsid w:val="00581B24"/>
    <w:rsid w:val="00581C07"/>
    <w:rsid w:val="00582505"/>
    <w:rsid w:val="005828F7"/>
    <w:rsid w:val="00582A0F"/>
    <w:rsid w:val="00582BD0"/>
    <w:rsid w:val="00582C23"/>
    <w:rsid w:val="005832B6"/>
    <w:rsid w:val="00583A5D"/>
    <w:rsid w:val="0058422A"/>
    <w:rsid w:val="00584C0E"/>
    <w:rsid w:val="00584C69"/>
    <w:rsid w:val="00585865"/>
    <w:rsid w:val="00585B11"/>
    <w:rsid w:val="00585C07"/>
    <w:rsid w:val="00585DC0"/>
    <w:rsid w:val="0058677D"/>
    <w:rsid w:val="005878C3"/>
    <w:rsid w:val="0059099B"/>
    <w:rsid w:val="005914C7"/>
    <w:rsid w:val="00591543"/>
    <w:rsid w:val="005916A5"/>
    <w:rsid w:val="0059171C"/>
    <w:rsid w:val="00591FFD"/>
    <w:rsid w:val="005925F0"/>
    <w:rsid w:val="00592842"/>
    <w:rsid w:val="00592913"/>
    <w:rsid w:val="00592CF1"/>
    <w:rsid w:val="00592ECA"/>
    <w:rsid w:val="00592F2E"/>
    <w:rsid w:val="00593357"/>
    <w:rsid w:val="00593BFB"/>
    <w:rsid w:val="00593DEE"/>
    <w:rsid w:val="00593ECE"/>
    <w:rsid w:val="00594108"/>
    <w:rsid w:val="00594261"/>
    <w:rsid w:val="005952F3"/>
    <w:rsid w:val="00595844"/>
    <w:rsid w:val="005958CD"/>
    <w:rsid w:val="005963F9"/>
    <w:rsid w:val="005977DF"/>
    <w:rsid w:val="00597E70"/>
    <w:rsid w:val="00597EB2"/>
    <w:rsid w:val="005A061B"/>
    <w:rsid w:val="005A0713"/>
    <w:rsid w:val="005A0C20"/>
    <w:rsid w:val="005A1546"/>
    <w:rsid w:val="005A15E9"/>
    <w:rsid w:val="005A17BF"/>
    <w:rsid w:val="005A18A0"/>
    <w:rsid w:val="005A2A9E"/>
    <w:rsid w:val="005A2FCE"/>
    <w:rsid w:val="005A30E1"/>
    <w:rsid w:val="005A40A9"/>
    <w:rsid w:val="005A48C5"/>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62"/>
    <w:rsid w:val="005B49C5"/>
    <w:rsid w:val="005B4CE5"/>
    <w:rsid w:val="005B4EAD"/>
    <w:rsid w:val="005B51CA"/>
    <w:rsid w:val="005B5E1F"/>
    <w:rsid w:val="005B607F"/>
    <w:rsid w:val="005B6E29"/>
    <w:rsid w:val="005B75E5"/>
    <w:rsid w:val="005B76B1"/>
    <w:rsid w:val="005B79D1"/>
    <w:rsid w:val="005C00C4"/>
    <w:rsid w:val="005C0207"/>
    <w:rsid w:val="005C04DA"/>
    <w:rsid w:val="005C0899"/>
    <w:rsid w:val="005C1045"/>
    <w:rsid w:val="005C1F25"/>
    <w:rsid w:val="005C250F"/>
    <w:rsid w:val="005C2844"/>
    <w:rsid w:val="005C2B19"/>
    <w:rsid w:val="005C2E99"/>
    <w:rsid w:val="005C324D"/>
    <w:rsid w:val="005C35FF"/>
    <w:rsid w:val="005C38C3"/>
    <w:rsid w:val="005C38FF"/>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C7B3E"/>
    <w:rsid w:val="005C7E61"/>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CC0"/>
    <w:rsid w:val="005D3FF9"/>
    <w:rsid w:val="005D4386"/>
    <w:rsid w:val="005D445F"/>
    <w:rsid w:val="005D4843"/>
    <w:rsid w:val="005D564B"/>
    <w:rsid w:val="005D5BE6"/>
    <w:rsid w:val="005D618F"/>
    <w:rsid w:val="005D64AF"/>
    <w:rsid w:val="005D661F"/>
    <w:rsid w:val="005D6732"/>
    <w:rsid w:val="005E0364"/>
    <w:rsid w:val="005E0760"/>
    <w:rsid w:val="005E0800"/>
    <w:rsid w:val="005E0CCF"/>
    <w:rsid w:val="005E0F60"/>
    <w:rsid w:val="005E0FAC"/>
    <w:rsid w:val="005E1F2B"/>
    <w:rsid w:val="005E1FC7"/>
    <w:rsid w:val="005E3034"/>
    <w:rsid w:val="005E3DEE"/>
    <w:rsid w:val="005E49B8"/>
    <w:rsid w:val="005E4A28"/>
    <w:rsid w:val="005E5CED"/>
    <w:rsid w:val="005E6AA4"/>
    <w:rsid w:val="005E6D8F"/>
    <w:rsid w:val="005E6E7B"/>
    <w:rsid w:val="005E7138"/>
    <w:rsid w:val="005E73F3"/>
    <w:rsid w:val="005E741D"/>
    <w:rsid w:val="005E7813"/>
    <w:rsid w:val="005E7EFB"/>
    <w:rsid w:val="005F001C"/>
    <w:rsid w:val="005F089C"/>
    <w:rsid w:val="005F101D"/>
    <w:rsid w:val="005F13A4"/>
    <w:rsid w:val="005F23FA"/>
    <w:rsid w:val="005F2907"/>
    <w:rsid w:val="005F2C24"/>
    <w:rsid w:val="005F2DE3"/>
    <w:rsid w:val="005F2EF7"/>
    <w:rsid w:val="005F33BB"/>
    <w:rsid w:val="005F367B"/>
    <w:rsid w:val="005F36B2"/>
    <w:rsid w:val="005F3EE7"/>
    <w:rsid w:val="005F44B7"/>
    <w:rsid w:val="005F477F"/>
    <w:rsid w:val="005F47D6"/>
    <w:rsid w:val="005F4F70"/>
    <w:rsid w:val="005F5335"/>
    <w:rsid w:val="005F5585"/>
    <w:rsid w:val="005F591B"/>
    <w:rsid w:val="005F5B30"/>
    <w:rsid w:val="005F5EF3"/>
    <w:rsid w:val="005F600C"/>
    <w:rsid w:val="005F63C4"/>
    <w:rsid w:val="005F661D"/>
    <w:rsid w:val="005F6A8B"/>
    <w:rsid w:val="005F6EA8"/>
    <w:rsid w:val="005F78F0"/>
    <w:rsid w:val="005F7B22"/>
    <w:rsid w:val="0060052D"/>
    <w:rsid w:val="00600C3D"/>
    <w:rsid w:val="006011FA"/>
    <w:rsid w:val="0060135F"/>
    <w:rsid w:val="00601BC2"/>
    <w:rsid w:val="0060206F"/>
    <w:rsid w:val="00602166"/>
    <w:rsid w:val="006024AF"/>
    <w:rsid w:val="0060255B"/>
    <w:rsid w:val="006028A0"/>
    <w:rsid w:val="00602C0F"/>
    <w:rsid w:val="00602E53"/>
    <w:rsid w:val="00602F30"/>
    <w:rsid w:val="00603F0A"/>
    <w:rsid w:val="00604C2B"/>
    <w:rsid w:val="00604C3A"/>
    <w:rsid w:val="006050BD"/>
    <w:rsid w:val="0060551A"/>
    <w:rsid w:val="00605B53"/>
    <w:rsid w:val="00605E2D"/>
    <w:rsid w:val="00605FDB"/>
    <w:rsid w:val="00606D58"/>
    <w:rsid w:val="00606F22"/>
    <w:rsid w:val="00607255"/>
    <w:rsid w:val="006076AA"/>
    <w:rsid w:val="00607CC9"/>
    <w:rsid w:val="00607D91"/>
    <w:rsid w:val="0061295D"/>
    <w:rsid w:val="00612B4F"/>
    <w:rsid w:val="00612B8D"/>
    <w:rsid w:val="0061343A"/>
    <w:rsid w:val="006134DA"/>
    <w:rsid w:val="00614001"/>
    <w:rsid w:val="0061422C"/>
    <w:rsid w:val="00615704"/>
    <w:rsid w:val="00615818"/>
    <w:rsid w:val="00616FFA"/>
    <w:rsid w:val="0061728F"/>
    <w:rsid w:val="00620086"/>
    <w:rsid w:val="006202C2"/>
    <w:rsid w:val="00620828"/>
    <w:rsid w:val="00620FCA"/>
    <w:rsid w:val="00621413"/>
    <w:rsid w:val="006214FC"/>
    <w:rsid w:val="00621633"/>
    <w:rsid w:val="0062188E"/>
    <w:rsid w:val="00621BED"/>
    <w:rsid w:val="00622780"/>
    <w:rsid w:val="006231F7"/>
    <w:rsid w:val="00623592"/>
    <w:rsid w:val="00623CFF"/>
    <w:rsid w:val="00623F37"/>
    <w:rsid w:val="006253BE"/>
    <w:rsid w:val="00625643"/>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2ED6"/>
    <w:rsid w:val="0063418D"/>
    <w:rsid w:val="0063462A"/>
    <w:rsid w:val="006348EE"/>
    <w:rsid w:val="00634B66"/>
    <w:rsid w:val="0063509B"/>
    <w:rsid w:val="00635845"/>
    <w:rsid w:val="00635BCE"/>
    <w:rsid w:val="00635C16"/>
    <w:rsid w:val="00635C2B"/>
    <w:rsid w:val="00636171"/>
    <w:rsid w:val="006365BC"/>
    <w:rsid w:val="00636684"/>
    <w:rsid w:val="006366FF"/>
    <w:rsid w:val="00636C32"/>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5B8"/>
    <w:rsid w:val="006449C8"/>
    <w:rsid w:val="00644CF4"/>
    <w:rsid w:val="0064574A"/>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27C9"/>
    <w:rsid w:val="00654378"/>
    <w:rsid w:val="006544A3"/>
    <w:rsid w:val="006544CD"/>
    <w:rsid w:val="00654B08"/>
    <w:rsid w:val="00654C5E"/>
    <w:rsid w:val="0065614D"/>
    <w:rsid w:val="00656218"/>
    <w:rsid w:val="00657097"/>
    <w:rsid w:val="00657D9C"/>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01"/>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8F5"/>
    <w:rsid w:val="00683BEC"/>
    <w:rsid w:val="00683CDE"/>
    <w:rsid w:val="006842E9"/>
    <w:rsid w:val="0068449A"/>
    <w:rsid w:val="00684925"/>
    <w:rsid w:val="00685C01"/>
    <w:rsid w:val="0068617A"/>
    <w:rsid w:val="00687151"/>
    <w:rsid w:val="0068775C"/>
    <w:rsid w:val="0068778F"/>
    <w:rsid w:val="00687933"/>
    <w:rsid w:val="006902DA"/>
    <w:rsid w:val="00690828"/>
    <w:rsid w:val="0069087F"/>
    <w:rsid w:val="006908A5"/>
    <w:rsid w:val="00690B0A"/>
    <w:rsid w:val="00691144"/>
    <w:rsid w:val="00691BCA"/>
    <w:rsid w:val="006924F6"/>
    <w:rsid w:val="006925BA"/>
    <w:rsid w:val="00692D70"/>
    <w:rsid w:val="006930DD"/>
    <w:rsid w:val="00693240"/>
    <w:rsid w:val="006933F6"/>
    <w:rsid w:val="00693BDC"/>
    <w:rsid w:val="00693DE2"/>
    <w:rsid w:val="00694238"/>
    <w:rsid w:val="00694BD4"/>
    <w:rsid w:val="00694D35"/>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062"/>
    <w:rsid w:val="006A13E4"/>
    <w:rsid w:val="006A16C7"/>
    <w:rsid w:val="006A18E3"/>
    <w:rsid w:val="006A193F"/>
    <w:rsid w:val="006A1B18"/>
    <w:rsid w:val="006A1E3E"/>
    <w:rsid w:val="006A25A8"/>
    <w:rsid w:val="006A2897"/>
    <w:rsid w:val="006A29C0"/>
    <w:rsid w:val="006A2B58"/>
    <w:rsid w:val="006A32B6"/>
    <w:rsid w:val="006A3BF0"/>
    <w:rsid w:val="006A3D17"/>
    <w:rsid w:val="006A3F77"/>
    <w:rsid w:val="006A4037"/>
    <w:rsid w:val="006A486D"/>
    <w:rsid w:val="006A511D"/>
    <w:rsid w:val="006A5311"/>
    <w:rsid w:val="006A5DEF"/>
    <w:rsid w:val="006A63F1"/>
    <w:rsid w:val="006A6402"/>
    <w:rsid w:val="006A682F"/>
    <w:rsid w:val="006B0DA8"/>
    <w:rsid w:val="006B0E52"/>
    <w:rsid w:val="006B1567"/>
    <w:rsid w:val="006B1EDE"/>
    <w:rsid w:val="006B2290"/>
    <w:rsid w:val="006B2546"/>
    <w:rsid w:val="006B25EA"/>
    <w:rsid w:val="006B2647"/>
    <w:rsid w:val="006B2F5D"/>
    <w:rsid w:val="006B3209"/>
    <w:rsid w:val="006B3513"/>
    <w:rsid w:val="006B35B0"/>
    <w:rsid w:val="006B3AEE"/>
    <w:rsid w:val="006B4A71"/>
    <w:rsid w:val="006B5C06"/>
    <w:rsid w:val="006B609D"/>
    <w:rsid w:val="006B6CF7"/>
    <w:rsid w:val="006B7218"/>
    <w:rsid w:val="006B748E"/>
    <w:rsid w:val="006B75D6"/>
    <w:rsid w:val="006B793A"/>
    <w:rsid w:val="006C0120"/>
    <w:rsid w:val="006C0B21"/>
    <w:rsid w:val="006C0B54"/>
    <w:rsid w:val="006C0D26"/>
    <w:rsid w:val="006C11FC"/>
    <w:rsid w:val="006C121A"/>
    <w:rsid w:val="006C18ED"/>
    <w:rsid w:val="006C1AE6"/>
    <w:rsid w:val="006C1F8C"/>
    <w:rsid w:val="006C24B5"/>
    <w:rsid w:val="006C26D8"/>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3AC"/>
    <w:rsid w:val="006C67EB"/>
    <w:rsid w:val="006C689A"/>
    <w:rsid w:val="006C6F8F"/>
    <w:rsid w:val="006C74B2"/>
    <w:rsid w:val="006C7D8A"/>
    <w:rsid w:val="006D0AD7"/>
    <w:rsid w:val="006D113B"/>
    <w:rsid w:val="006D155D"/>
    <w:rsid w:val="006D18E3"/>
    <w:rsid w:val="006D1908"/>
    <w:rsid w:val="006D236C"/>
    <w:rsid w:val="006D2442"/>
    <w:rsid w:val="006D280D"/>
    <w:rsid w:val="006D2917"/>
    <w:rsid w:val="006D2E06"/>
    <w:rsid w:val="006D34B8"/>
    <w:rsid w:val="006D3F73"/>
    <w:rsid w:val="006D3FED"/>
    <w:rsid w:val="006D3FFA"/>
    <w:rsid w:val="006D40C0"/>
    <w:rsid w:val="006D48FA"/>
    <w:rsid w:val="006D4ACE"/>
    <w:rsid w:val="006D4E68"/>
    <w:rsid w:val="006D51A3"/>
    <w:rsid w:val="006D56CE"/>
    <w:rsid w:val="006D5854"/>
    <w:rsid w:val="006D6FBA"/>
    <w:rsid w:val="006E00EC"/>
    <w:rsid w:val="006E02A5"/>
    <w:rsid w:val="006E046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23F"/>
    <w:rsid w:val="00711415"/>
    <w:rsid w:val="00711AC4"/>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5E45"/>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ADB"/>
    <w:rsid w:val="0072528D"/>
    <w:rsid w:val="00725D61"/>
    <w:rsid w:val="00726206"/>
    <w:rsid w:val="0072669C"/>
    <w:rsid w:val="00726758"/>
    <w:rsid w:val="0072696F"/>
    <w:rsid w:val="00726A64"/>
    <w:rsid w:val="00726C30"/>
    <w:rsid w:val="00727955"/>
    <w:rsid w:val="00730A55"/>
    <w:rsid w:val="00730B84"/>
    <w:rsid w:val="00730E01"/>
    <w:rsid w:val="00731B27"/>
    <w:rsid w:val="00732539"/>
    <w:rsid w:val="00732A3C"/>
    <w:rsid w:val="00732B49"/>
    <w:rsid w:val="007334A8"/>
    <w:rsid w:val="00733A93"/>
    <w:rsid w:val="00733DF2"/>
    <w:rsid w:val="00734271"/>
    <w:rsid w:val="00734428"/>
    <w:rsid w:val="00734A8D"/>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2658"/>
    <w:rsid w:val="00743081"/>
    <w:rsid w:val="00743166"/>
    <w:rsid w:val="0074325E"/>
    <w:rsid w:val="007433C9"/>
    <w:rsid w:val="007437B1"/>
    <w:rsid w:val="00743B00"/>
    <w:rsid w:val="00743B25"/>
    <w:rsid w:val="0074437B"/>
    <w:rsid w:val="00744606"/>
    <w:rsid w:val="007449A3"/>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3DE"/>
    <w:rsid w:val="00751429"/>
    <w:rsid w:val="0075184E"/>
    <w:rsid w:val="00751C4F"/>
    <w:rsid w:val="00751D8A"/>
    <w:rsid w:val="00752C3E"/>
    <w:rsid w:val="00753226"/>
    <w:rsid w:val="00753804"/>
    <w:rsid w:val="00753A41"/>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677"/>
    <w:rsid w:val="0075795D"/>
    <w:rsid w:val="00757B2C"/>
    <w:rsid w:val="00757C5B"/>
    <w:rsid w:val="00760213"/>
    <w:rsid w:val="00760462"/>
    <w:rsid w:val="007605D7"/>
    <w:rsid w:val="0076068D"/>
    <w:rsid w:val="007609B4"/>
    <w:rsid w:val="007612EE"/>
    <w:rsid w:val="00761351"/>
    <w:rsid w:val="0076137F"/>
    <w:rsid w:val="00761C5E"/>
    <w:rsid w:val="00762217"/>
    <w:rsid w:val="0076289A"/>
    <w:rsid w:val="00762AB6"/>
    <w:rsid w:val="0076334F"/>
    <w:rsid w:val="00763880"/>
    <w:rsid w:val="007648F1"/>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55D"/>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155"/>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10C2"/>
    <w:rsid w:val="007924F5"/>
    <w:rsid w:val="007926C1"/>
    <w:rsid w:val="00792EFB"/>
    <w:rsid w:val="00792FE3"/>
    <w:rsid w:val="00793312"/>
    <w:rsid w:val="00793F31"/>
    <w:rsid w:val="007947DD"/>
    <w:rsid w:val="007949D8"/>
    <w:rsid w:val="007952D8"/>
    <w:rsid w:val="007956D7"/>
    <w:rsid w:val="00795935"/>
    <w:rsid w:val="00795A89"/>
    <w:rsid w:val="00795FAF"/>
    <w:rsid w:val="007962C8"/>
    <w:rsid w:val="007968C1"/>
    <w:rsid w:val="00796C2E"/>
    <w:rsid w:val="00796C4D"/>
    <w:rsid w:val="007971E0"/>
    <w:rsid w:val="0079737A"/>
    <w:rsid w:val="007A0350"/>
    <w:rsid w:val="007A04F1"/>
    <w:rsid w:val="007A0D7A"/>
    <w:rsid w:val="007A0F89"/>
    <w:rsid w:val="007A1138"/>
    <w:rsid w:val="007A11D4"/>
    <w:rsid w:val="007A1667"/>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69F3"/>
    <w:rsid w:val="007A700B"/>
    <w:rsid w:val="007A762C"/>
    <w:rsid w:val="007A790B"/>
    <w:rsid w:val="007A7B10"/>
    <w:rsid w:val="007B019F"/>
    <w:rsid w:val="007B022F"/>
    <w:rsid w:val="007B027A"/>
    <w:rsid w:val="007B03CF"/>
    <w:rsid w:val="007B11AA"/>
    <w:rsid w:val="007B1845"/>
    <w:rsid w:val="007B1B06"/>
    <w:rsid w:val="007B20BC"/>
    <w:rsid w:val="007B2D57"/>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087D"/>
    <w:rsid w:val="007C11B4"/>
    <w:rsid w:val="007C127F"/>
    <w:rsid w:val="007C1B84"/>
    <w:rsid w:val="007C20CF"/>
    <w:rsid w:val="007C256B"/>
    <w:rsid w:val="007C26D4"/>
    <w:rsid w:val="007C27D2"/>
    <w:rsid w:val="007C2859"/>
    <w:rsid w:val="007C331D"/>
    <w:rsid w:val="007C3336"/>
    <w:rsid w:val="007C33B5"/>
    <w:rsid w:val="007C38B6"/>
    <w:rsid w:val="007C3B32"/>
    <w:rsid w:val="007C4680"/>
    <w:rsid w:val="007C4815"/>
    <w:rsid w:val="007C5530"/>
    <w:rsid w:val="007C5923"/>
    <w:rsid w:val="007C66AE"/>
    <w:rsid w:val="007C6E27"/>
    <w:rsid w:val="007C6F13"/>
    <w:rsid w:val="007C792A"/>
    <w:rsid w:val="007D0BA5"/>
    <w:rsid w:val="007D14A6"/>
    <w:rsid w:val="007D156D"/>
    <w:rsid w:val="007D19C2"/>
    <w:rsid w:val="007D283A"/>
    <w:rsid w:val="007D2A35"/>
    <w:rsid w:val="007D2B73"/>
    <w:rsid w:val="007D3002"/>
    <w:rsid w:val="007D30FA"/>
    <w:rsid w:val="007D3199"/>
    <w:rsid w:val="007D3F8D"/>
    <w:rsid w:val="007D48A4"/>
    <w:rsid w:val="007D5388"/>
    <w:rsid w:val="007D53B9"/>
    <w:rsid w:val="007D5B03"/>
    <w:rsid w:val="007D5B23"/>
    <w:rsid w:val="007D6198"/>
    <w:rsid w:val="007D63B3"/>
    <w:rsid w:val="007D64DE"/>
    <w:rsid w:val="007D6DF9"/>
    <w:rsid w:val="007D6F5E"/>
    <w:rsid w:val="007D7431"/>
    <w:rsid w:val="007D77D0"/>
    <w:rsid w:val="007D7B29"/>
    <w:rsid w:val="007D7C10"/>
    <w:rsid w:val="007D7E1F"/>
    <w:rsid w:val="007D7FCB"/>
    <w:rsid w:val="007E0047"/>
    <w:rsid w:val="007E0674"/>
    <w:rsid w:val="007E1034"/>
    <w:rsid w:val="007E10B4"/>
    <w:rsid w:val="007E14A9"/>
    <w:rsid w:val="007E1AB9"/>
    <w:rsid w:val="007E1C1E"/>
    <w:rsid w:val="007E1D42"/>
    <w:rsid w:val="007E2375"/>
    <w:rsid w:val="007E272A"/>
    <w:rsid w:val="007E2B75"/>
    <w:rsid w:val="007E2D46"/>
    <w:rsid w:val="007E2D4D"/>
    <w:rsid w:val="007E308D"/>
    <w:rsid w:val="007E3611"/>
    <w:rsid w:val="007E41C1"/>
    <w:rsid w:val="007E4608"/>
    <w:rsid w:val="007E4ADD"/>
    <w:rsid w:val="007E4B00"/>
    <w:rsid w:val="007E4D0A"/>
    <w:rsid w:val="007E59A3"/>
    <w:rsid w:val="007E5BB0"/>
    <w:rsid w:val="007E63C3"/>
    <w:rsid w:val="007E659D"/>
    <w:rsid w:val="007E6A5C"/>
    <w:rsid w:val="007E6A89"/>
    <w:rsid w:val="007E6DB3"/>
    <w:rsid w:val="007E7936"/>
    <w:rsid w:val="007E7E66"/>
    <w:rsid w:val="007F0003"/>
    <w:rsid w:val="007F0120"/>
    <w:rsid w:val="007F0251"/>
    <w:rsid w:val="007F0C47"/>
    <w:rsid w:val="007F0ED0"/>
    <w:rsid w:val="007F1DDF"/>
    <w:rsid w:val="007F1F8D"/>
    <w:rsid w:val="007F2B24"/>
    <w:rsid w:val="007F30FE"/>
    <w:rsid w:val="007F3516"/>
    <w:rsid w:val="007F3636"/>
    <w:rsid w:val="007F3A6E"/>
    <w:rsid w:val="007F3CC9"/>
    <w:rsid w:val="007F427B"/>
    <w:rsid w:val="007F44A7"/>
    <w:rsid w:val="007F458B"/>
    <w:rsid w:val="007F4A8B"/>
    <w:rsid w:val="007F5598"/>
    <w:rsid w:val="007F620D"/>
    <w:rsid w:val="007F695A"/>
    <w:rsid w:val="007F69BF"/>
    <w:rsid w:val="007F6E91"/>
    <w:rsid w:val="007F7454"/>
    <w:rsid w:val="007F7685"/>
    <w:rsid w:val="007F77A4"/>
    <w:rsid w:val="007F7CDA"/>
    <w:rsid w:val="007F7F5F"/>
    <w:rsid w:val="0080038A"/>
    <w:rsid w:val="0080077F"/>
    <w:rsid w:val="008007D2"/>
    <w:rsid w:val="00800978"/>
    <w:rsid w:val="00800F82"/>
    <w:rsid w:val="00801006"/>
    <w:rsid w:val="008011E6"/>
    <w:rsid w:val="008017C5"/>
    <w:rsid w:val="008018E0"/>
    <w:rsid w:val="008019C7"/>
    <w:rsid w:val="00801CB3"/>
    <w:rsid w:val="008020A1"/>
    <w:rsid w:val="008022A1"/>
    <w:rsid w:val="008027A5"/>
    <w:rsid w:val="00802D1F"/>
    <w:rsid w:val="00802DD7"/>
    <w:rsid w:val="008031D2"/>
    <w:rsid w:val="00803386"/>
    <w:rsid w:val="00803DE4"/>
    <w:rsid w:val="00803F41"/>
    <w:rsid w:val="00804677"/>
    <w:rsid w:val="008057EC"/>
    <w:rsid w:val="0080580C"/>
    <w:rsid w:val="00805AAC"/>
    <w:rsid w:val="00805C1E"/>
    <w:rsid w:val="008062DB"/>
    <w:rsid w:val="00807337"/>
    <w:rsid w:val="0080753E"/>
    <w:rsid w:val="008077E1"/>
    <w:rsid w:val="00807D6C"/>
    <w:rsid w:val="00807D8E"/>
    <w:rsid w:val="00810086"/>
    <w:rsid w:val="00810336"/>
    <w:rsid w:val="00810785"/>
    <w:rsid w:val="00810C08"/>
    <w:rsid w:val="00812091"/>
    <w:rsid w:val="008120BC"/>
    <w:rsid w:val="0081224A"/>
    <w:rsid w:val="00812396"/>
    <w:rsid w:val="00812695"/>
    <w:rsid w:val="0081279B"/>
    <w:rsid w:val="0081282E"/>
    <w:rsid w:val="00812CAA"/>
    <w:rsid w:val="0081310A"/>
    <w:rsid w:val="008131BD"/>
    <w:rsid w:val="00813702"/>
    <w:rsid w:val="0081384E"/>
    <w:rsid w:val="00813B54"/>
    <w:rsid w:val="00813D74"/>
    <w:rsid w:val="0081435A"/>
    <w:rsid w:val="008148C8"/>
    <w:rsid w:val="00815143"/>
    <w:rsid w:val="00815C9D"/>
    <w:rsid w:val="00816A90"/>
    <w:rsid w:val="008170EB"/>
    <w:rsid w:val="008171D2"/>
    <w:rsid w:val="0081741E"/>
    <w:rsid w:val="008175F9"/>
    <w:rsid w:val="00817B4B"/>
    <w:rsid w:val="00817CCF"/>
    <w:rsid w:val="008207EA"/>
    <w:rsid w:val="008214EF"/>
    <w:rsid w:val="008221AD"/>
    <w:rsid w:val="00822ED8"/>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5612"/>
    <w:rsid w:val="0083583F"/>
    <w:rsid w:val="008358A2"/>
    <w:rsid w:val="00836183"/>
    <w:rsid w:val="008364DF"/>
    <w:rsid w:val="00836DD6"/>
    <w:rsid w:val="00837535"/>
    <w:rsid w:val="008375AB"/>
    <w:rsid w:val="008376B2"/>
    <w:rsid w:val="00840235"/>
    <w:rsid w:val="00840655"/>
    <w:rsid w:val="0084075F"/>
    <w:rsid w:val="008407D7"/>
    <w:rsid w:val="008407FD"/>
    <w:rsid w:val="00840C95"/>
    <w:rsid w:val="008412F4"/>
    <w:rsid w:val="008413D3"/>
    <w:rsid w:val="008418EA"/>
    <w:rsid w:val="00841A39"/>
    <w:rsid w:val="00841E4E"/>
    <w:rsid w:val="00841E99"/>
    <w:rsid w:val="008420EC"/>
    <w:rsid w:val="00842DC4"/>
    <w:rsid w:val="00843329"/>
    <w:rsid w:val="008437C2"/>
    <w:rsid w:val="00843B27"/>
    <w:rsid w:val="00843DC2"/>
    <w:rsid w:val="00843DED"/>
    <w:rsid w:val="00843E74"/>
    <w:rsid w:val="00843EA5"/>
    <w:rsid w:val="00843F7C"/>
    <w:rsid w:val="008441B5"/>
    <w:rsid w:val="008446A7"/>
    <w:rsid w:val="0084475B"/>
    <w:rsid w:val="00844892"/>
    <w:rsid w:val="0084494E"/>
    <w:rsid w:val="00844B07"/>
    <w:rsid w:val="00844E57"/>
    <w:rsid w:val="008454B8"/>
    <w:rsid w:val="008454FD"/>
    <w:rsid w:val="008455DC"/>
    <w:rsid w:val="0084573A"/>
    <w:rsid w:val="008459DD"/>
    <w:rsid w:val="0084635F"/>
    <w:rsid w:val="00846626"/>
    <w:rsid w:val="00846890"/>
    <w:rsid w:val="00846925"/>
    <w:rsid w:val="0084692F"/>
    <w:rsid w:val="00846DE7"/>
    <w:rsid w:val="00847BEB"/>
    <w:rsid w:val="00847C26"/>
    <w:rsid w:val="00847E1D"/>
    <w:rsid w:val="008500C5"/>
    <w:rsid w:val="00850E33"/>
    <w:rsid w:val="00851649"/>
    <w:rsid w:val="008520C5"/>
    <w:rsid w:val="0085231C"/>
    <w:rsid w:val="008523C1"/>
    <w:rsid w:val="008524F3"/>
    <w:rsid w:val="008528E9"/>
    <w:rsid w:val="008534AC"/>
    <w:rsid w:val="0085394F"/>
    <w:rsid w:val="00853A82"/>
    <w:rsid w:val="00854119"/>
    <w:rsid w:val="008543AC"/>
    <w:rsid w:val="0085453F"/>
    <w:rsid w:val="00854B98"/>
    <w:rsid w:val="008557F2"/>
    <w:rsid w:val="00855845"/>
    <w:rsid w:val="00855919"/>
    <w:rsid w:val="008559EA"/>
    <w:rsid w:val="00855B8A"/>
    <w:rsid w:val="00856221"/>
    <w:rsid w:val="00860959"/>
    <w:rsid w:val="0086111F"/>
    <w:rsid w:val="008611F8"/>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5E10"/>
    <w:rsid w:val="00866023"/>
    <w:rsid w:val="008665F9"/>
    <w:rsid w:val="00867469"/>
    <w:rsid w:val="008675ED"/>
    <w:rsid w:val="00867A85"/>
    <w:rsid w:val="0087122C"/>
    <w:rsid w:val="0087173A"/>
    <w:rsid w:val="00871998"/>
    <w:rsid w:val="008720F6"/>
    <w:rsid w:val="008721B7"/>
    <w:rsid w:val="00872443"/>
    <w:rsid w:val="008725FE"/>
    <w:rsid w:val="008728A4"/>
    <w:rsid w:val="008730BB"/>
    <w:rsid w:val="0087317D"/>
    <w:rsid w:val="008738BD"/>
    <w:rsid w:val="00873D07"/>
    <w:rsid w:val="0087472F"/>
    <w:rsid w:val="008747A3"/>
    <w:rsid w:val="00874E1E"/>
    <w:rsid w:val="0087546A"/>
    <w:rsid w:val="008765AD"/>
    <w:rsid w:val="00877017"/>
    <w:rsid w:val="00877189"/>
    <w:rsid w:val="00880418"/>
    <w:rsid w:val="00880DFD"/>
    <w:rsid w:val="0088244B"/>
    <w:rsid w:val="008824E5"/>
    <w:rsid w:val="00882900"/>
    <w:rsid w:val="00882C55"/>
    <w:rsid w:val="00883016"/>
    <w:rsid w:val="008834DC"/>
    <w:rsid w:val="0088354C"/>
    <w:rsid w:val="00883C2B"/>
    <w:rsid w:val="00883F5F"/>
    <w:rsid w:val="00884216"/>
    <w:rsid w:val="008845D1"/>
    <w:rsid w:val="00884EC9"/>
    <w:rsid w:val="0088508E"/>
    <w:rsid w:val="008850C1"/>
    <w:rsid w:val="00885147"/>
    <w:rsid w:val="00885CF1"/>
    <w:rsid w:val="00885ECC"/>
    <w:rsid w:val="008868CE"/>
    <w:rsid w:val="00886DAF"/>
    <w:rsid w:val="008871EF"/>
    <w:rsid w:val="008901DB"/>
    <w:rsid w:val="00890526"/>
    <w:rsid w:val="008906DF"/>
    <w:rsid w:val="00890ADF"/>
    <w:rsid w:val="00890F3A"/>
    <w:rsid w:val="00891221"/>
    <w:rsid w:val="008912DB"/>
    <w:rsid w:val="0089145C"/>
    <w:rsid w:val="00891F6E"/>
    <w:rsid w:val="00891F78"/>
    <w:rsid w:val="00892098"/>
    <w:rsid w:val="008920A7"/>
    <w:rsid w:val="00892297"/>
    <w:rsid w:val="008923D9"/>
    <w:rsid w:val="00892789"/>
    <w:rsid w:val="00892B1C"/>
    <w:rsid w:val="00893389"/>
    <w:rsid w:val="00893C9B"/>
    <w:rsid w:val="0089404F"/>
    <w:rsid w:val="00894119"/>
    <w:rsid w:val="00894E8F"/>
    <w:rsid w:val="008957F7"/>
    <w:rsid w:val="00895AEC"/>
    <w:rsid w:val="00895C49"/>
    <w:rsid w:val="00896284"/>
    <w:rsid w:val="0089664D"/>
    <w:rsid w:val="0089690D"/>
    <w:rsid w:val="008977C6"/>
    <w:rsid w:val="00897CFC"/>
    <w:rsid w:val="00897D1E"/>
    <w:rsid w:val="00897E66"/>
    <w:rsid w:val="00897FDA"/>
    <w:rsid w:val="008A0315"/>
    <w:rsid w:val="008A041D"/>
    <w:rsid w:val="008A0548"/>
    <w:rsid w:val="008A06BA"/>
    <w:rsid w:val="008A0E85"/>
    <w:rsid w:val="008A0FF2"/>
    <w:rsid w:val="008A121C"/>
    <w:rsid w:val="008A27F8"/>
    <w:rsid w:val="008A27FE"/>
    <w:rsid w:val="008A2BFF"/>
    <w:rsid w:val="008A3526"/>
    <w:rsid w:val="008A44BC"/>
    <w:rsid w:val="008A5685"/>
    <w:rsid w:val="008A57FC"/>
    <w:rsid w:val="008A5867"/>
    <w:rsid w:val="008A5A89"/>
    <w:rsid w:val="008A62E3"/>
    <w:rsid w:val="008A6E02"/>
    <w:rsid w:val="008A750F"/>
    <w:rsid w:val="008B0384"/>
    <w:rsid w:val="008B0522"/>
    <w:rsid w:val="008B0AB7"/>
    <w:rsid w:val="008B13B3"/>
    <w:rsid w:val="008B2026"/>
    <w:rsid w:val="008B26D6"/>
    <w:rsid w:val="008B2F56"/>
    <w:rsid w:val="008B32BD"/>
    <w:rsid w:val="008B3748"/>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341"/>
    <w:rsid w:val="008D371E"/>
    <w:rsid w:val="008D3809"/>
    <w:rsid w:val="008D3E67"/>
    <w:rsid w:val="008D3FBE"/>
    <w:rsid w:val="008D41C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0B25"/>
    <w:rsid w:val="008E1034"/>
    <w:rsid w:val="008E1511"/>
    <w:rsid w:val="008E16DE"/>
    <w:rsid w:val="008E21F2"/>
    <w:rsid w:val="008E2507"/>
    <w:rsid w:val="008E2CE2"/>
    <w:rsid w:val="008E3D6C"/>
    <w:rsid w:val="008E462E"/>
    <w:rsid w:val="008E466D"/>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318"/>
    <w:rsid w:val="008F2EF7"/>
    <w:rsid w:val="008F32CF"/>
    <w:rsid w:val="008F37C1"/>
    <w:rsid w:val="008F3A95"/>
    <w:rsid w:val="008F3E77"/>
    <w:rsid w:val="008F42AE"/>
    <w:rsid w:val="008F4418"/>
    <w:rsid w:val="008F4772"/>
    <w:rsid w:val="008F48FB"/>
    <w:rsid w:val="008F4A8F"/>
    <w:rsid w:val="008F5059"/>
    <w:rsid w:val="008F5255"/>
    <w:rsid w:val="008F53F2"/>
    <w:rsid w:val="008F574D"/>
    <w:rsid w:val="008F59F7"/>
    <w:rsid w:val="008F5C60"/>
    <w:rsid w:val="008F69C9"/>
    <w:rsid w:val="008F6A0C"/>
    <w:rsid w:val="008F6DD0"/>
    <w:rsid w:val="008F6FE2"/>
    <w:rsid w:val="008F70F0"/>
    <w:rsid w:val="008F7290"/>
    <w:rsid w:val="008F7979"/>
    <w:rsid w:val="008F7F57"/>
    <w:rsid w:val="00900179"/>
    <w:rsid w:val="009005A3"/>
    <w:rsid w:val="009005D7"/>
    <w:rsid w:val="00900668"/>
    <w:rsid w:val="00900866"/>
    <w:rsid w:val="00900CB5"/>
    <w:rsid w:val="00901127"/>
    <w:rsid w:val="0090183D"/>
    <w:rsid w:val="00901BB2"/>
    <w:rsid w:val="00901C9B"/>
    <w:rsid w:val="00902248"/>
    <w:rsid w:val="00902A6A"/>
    <w:rsid w:val="00902DBD"/>
    <w:rsid w:val="0090369C"/>
    <w:rsid w:val="009037BE"/>
    <w:rsid w:val="00903A97"/>
    <w:rsid w:val="0090402D"/>
    <w:rsid w:val="00904447"/>
    <w:rsid w:val="00905566"/>
    <w:rsid w:val="0090666A"/>
    <w:rsid w:val="009066C9"/>
    <w:rsid w:val="00906750"/>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0AB"/>
    <w:rsid w:val="00912470"/>
    <w:rsid w:val="00912A40"/>
    <w:rsid w:val="00912AD5"/>
    <w:rsid w:val="00912FAC"/>
    <w:rsid w:val="00913B0E"/>
    <w:rsid w:val="00913EDF"/>
    <w:rsid w:val="00914B20"/>
    <w:rsid w:val="00914D23"/>
    <w:rsid w:val="00914D5D"/>
    <w:rsid w:val="00914ECE"/>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046"/>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026"/>
    <w:rsid w:val="009320B4"/>
    <w:rsid w:val="009321EE"/>
    <w:rsid w:val="00932770"/>
    <w:rsid w:val="00932B9B"/>
    <w:rsid w:val="009331F3"/>
    <w:rsid w:val="009336E5"/>
    <w:rsid w:val="00933A79"/>
    <w:rsid w:val="00934C3C"/>
    <w:rsid w:val="00935046"/>
    <w:rsid w:val="0093508D"/>
    <w:rsid w:val="00935B44"/>
    <w:rsid w:val="00936BBC"/>
    <w:rsid w:val="00936C23"/>
    <w:rsid w:val="0093795D"/>
    <w:rsid w:val="00937E4C"/>
    <w:rsid w:val="00940105"/>
    <w:rsid w:val="00940335"/>
    <w:rsid w:val="009405DC"/>
    <w:rsid w:val="009406F2"/>
    <w:rsid w:val="00940DA4"/>
    <w:rsid w:val="00942B06"/>
    <w:rsid w:val="00942D9D"/>
    <w:rsid w:val="00942F9E"/>
    <w:rsid w:val="009436D0"/>
    <w:rsid w:val="00943A7A"/>
    <w:rsid w:val="00943FFF"/>
    <w:rsid w:val="00944775"/>
    <w:rsid w:val="00944789"/>
    <w:rsid w:val="00944CAF"/>
    <w:rsid w:val="009450C4"/>
    <w:rsid w:val="00945564"/>
    <w:rsid w:val="00945BE3"/>
    <w:rsid w:val="00946302"/>
    <w:rsid w:val="009465B9"/>
    <w:rsid w:val="009469CA"/>
    <w:rsid w:val="00946A2E"/>
    <w:rsid w:val="00946F23"/>
    <w:rsid w:val="009471B1"/>
    <w:rsid w:val="009472F8"/>
    <w:rsid w:val="00947BC2"/>
    <w:rsid w:val="00950087"/>
    <w:rsid w:val="00950981"/>
    <w:rsid w:val="00950B11"/>
    <w:rsid w:val="00951198"/>
    <w:rsid w:val="009514A3"/>
    <w:rsid w:val="0095154F"/>
    <w:rsid w:val="009516E3"/>
    <w:rsid w:val="00951A93"/>
    <w:rsid w:val="00951AD4"/>
    <w:rsid w:val="00951AFC"/>
    <w:rsid w:val="00951E06"/>
    <w:rsid w:val="00951F6F"/>
    <w:rsid w:val="00952414"/>
    <w:rsid w:val="00952587"/>
    <w:rsid w:val="009542A4"/>
    <w:rsid w:val="0095454D"/>
    <w:rsid w:val="009545F2"/>
    <w:rsid w:val="00954A64"/>
    <w:rsid w:val="00954CFB"/>
    <w:rsid w:val="00954E1F"/>
    <w:rsid w:val="009552A2"/>
    <w:rsid w:val="00955549"/>
    <w:rsid w:val="00955C10"/>
    <w:rsid w:val="00955D7D"/>
    <w:rsid w:val="0095606D"/>
    <w:rsid w:val="00956B06"/>
    <w:rsid w:val="00956BB9"/>
    <w:rsid w:val="00957910"/>
    <w:rsid w:val="00957F33"/>
    <w:rsid w:val="009601B3"/>
    <w:rsid w:val="00960857"/>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88"/>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4D45"/>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B67"/>
    <w:rsid w:val="00984E45"/>
    <w:rsid w:val="00984F25"/>
    <w:rsid w:val="0098525C"/>
    <w:rsid w:val="00985821"/>
    <w:rsid w:val="00985C11"/>
    <w:rsid w:val="00985DFA"/>
    <w:rsid w:val="00985F9E"/>
    <w:rsid w:val="0098630A"/>
    <w:rsid w:val="00986BA9"/>
    <w:rsid w:val="0098712A"/>
    <w:rsid w:val="00987504"/>
    <w:rsid w:val="00987740"/>
    <w:rsid w:val="00987ECC"/>
    <w:rsid w:val="00990115"/>
    <w:rsid w:val="009901D3"/>
    <w:rsid w:val="009903A1"/>
    <w:rsid w:val="00990761"/>
    <w:rsid w:val="009910A0"/>
    <w:rsid w:val="00991F3E"/>
    <w:rsid w:val="009920A1"/>
    <w:rsid w:val="00992215"/>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97D99"/>
    <w:rsid w:val="009A010E"/>
    <w:rsid w:val="009A117D"/>
    <w:rsid w:val="009A11E5"/>
    <w:rsid w:val="009A1422"/>
    <w:rsid w:val="009A2452"/>
    <w:rsid w:val="009A248B"/>
    <w:rsid w:val="009A30C9"/>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A5A"/>
    <w:rsid w:val="009B3B76"/>
    <w:rsid w:val="009B3C8E"/>
    <w:rsid w:val="009B3FE2"/>
    <w:rsid w:val="009B407E"/>
    <w:rsid w:val="009B41B2"/>
    <w:rsid w:val="009B4244"/>
    <w:rsid w:val="009B424F"/>
    <w:rsid w:val="009B4356"/>
    <w:rsid w:val="009B461A"/>
    <w:rsid w:val="009B46E4"/>
    <w:rsid w:val="009B483C"/>
    <w:rsid w:val="009B48F1"/>
    <w:rsid w:val="009B4E11"/>
    <w:rsid w:val="009B4EA5"/>
    <w:rsid w:val="009B4F83"/>
    <w:rsid w:val="009B52E9"/>
    <w:rsid w:val="009B552D"/>
    <w:rsid w:val="009B5568"/>
    <w:rsid w:val="009B56EE"/>
    <w:rsid w:val="009B5A91"/>
    <w:rsid w:val="009B5DA7"/>
    <w:rsid w:val="009B5EDA"/>
    <w:rsid w:val="009B5F68"/>
    <w:rsid w:val="009B6763"/>
    <w:rsid w:val="009B6D65"/>
    <w:rsid w:val="009B6E69"/>
    <w:rsid w:val="009B7706"/>
    <w:rsid w:val="009B7C09"/>
    <w:rsid w:val="009C02A0"/>
    <w:rsid w:val="009C0CE7"/>
    <w:rsid w:val="009C0D29"/>
    <w:rsid w:val="009C0E62"/>
    <w:rsid w:val="009C1545"/>
    <w:rsid w:val="009C1688"/>
    <w:rsid w:val="009C21B3"/>
    <w:rsid w:val="009C288F"/>
    <w:rsid w:val="009C2D2F"/>
    <w:rsid w:val="009C324A"/>
    <w:rsid w:val="009C3C95"/>
    <w:rsid w:val="009C4204"/>
    <w:rsid w:val="009C42B0"/>
    <w:rsid w:val="009C42B7"/>
    <w:rsid w:val="009C4717"/>
    <w:rsid w:val="009C491D"/>
    <w:rsid w:val="009C4F2D"/>
    <w:rsid w:val="009C5679"/>
    <w:rsid w:val="009C58AC"/>
    <w:rsid w:val="009C5BED"/>
    <w:rsid w:val="009C6598"/>
    <w:rsid w:val="009C669B"/>
    <w:rsid w:val="009C69D6"/>
    <w:rsid w:val="009C6CDA"/>
    <w:rsid w:val="009C6DD7"/>
    <w:rsid w:val="009C73D6"/>
    <w:rsid w:val="009C74FC"/>
    <w:rsid w:val="009C78A8"/>
    <w:rsid w:val="009C78AB"/>
    <w:rsid w:val="009D04C7"/>
    <w:rsid w:val="009D1256"/>
    <w:rsid w:val="009D16E5"/>
    <w:rsid w:val="009D1BBD"/>
    <w:rsid w:val="009D1C88"/>
    <w:rsid w:val="009D2306"/>
    <w:rsid w:val="009D23ED"/>
    <w:rsid w:val="009D25A8"/>
    <w:rsid w:val="009D284E"/>
    <w:rsid w:val="009D2E35"/>
    <w:rsid w:val="009D2F35"/>
    <w:rsid w:val="009D31F8"/>
    <w:rsid w:val="009D3739"/>
    <w:rsid w:val="009D3834"/>
    <w:rsid w:val="009D3856"/>
    <w:rsid w:val="009D47EE"/>
    <w:rsid w:val="009D47F6"/>
    <w:rsid w:val="009D4F80"/>
    <w:rsid w:val="009D50AC"/>
    <w:rsid w:val="009D542C"/>
    <w:rsid w:val="009D5BB4"/>
    <w:rsid w:val="009D5BFD"/>
    <w:rsid w:val="009D6215"/>
    <w:rsid w:val="009D64FF"/>
    <w:rsid w:val="009D65B3"/>
    <w:rsid w:val="009D663D"/>
    <w:rsid w:val="009D6D65"/>
    <w:rsid w:val="009D6ECA"/>
    <w:rsid w:val="009D78AF"/>
    <w:rsid w:val="009D7B88"/>
    <w:rsid w:val="009D7DC3"/>
    <w:rsid w:val="009E030E"/>
    <w:rsid w:val="009E15A2"/>
    <w:rsid w:val="009E16B6"/>
    <w:rsid w:val="009E1DD8"/>
    <w:rsid w:val="009E1DE2"/>
    <w:rsid w:val="009E1F60"/>
    <w:rsid w:val="009E20A9"/>
    <w:rsid w:val="009E228E"/>
    <w:rsid w:val="009E2383"/>
    <w:rsid w:val="009E2424"/>
    <w:rsid w:val="009E27D8"/>
    <w:rsid w:val="009E2972"/>
    <w:rsid w:val="009E2B2B"/>
    <w:rsid w:val="009E300C"/>
    <w:rsid w:val="009E332D"/>
    <w:rsid w:val="009E33FA"/>
    <w:rsid w:val="009E36A3"/>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9F7C55"/>
    <w:rsid w:val="00A00309"/>
    <w:rsid w:val="00A00B95"/>
    <w:rsid w:val="00A01E0D"/>
    <w:rsid w:val="00A01F4C"/>
    <w:rsid w:val="00A02074"/>
    <w:rsid w:val="00A02395"/>
    <w:rsid w:val="00A02787"/>
    <w:rsid w:val="00A029BD"/>
    <w:rsid w:val="00A02CA8"/>
    <w:rsid w:val="00A03385"/>
    <w:rsid w:val="00A03AF9"/>
    <w:rsid w:val="00A0404C"/>
    <w:rsid w:val="00A0460D"/>
    <w:rsid w:val="00A06AC7"/>
    <w:rsid w:val="00A06F79"/>
    <w:rsid w:val="00A07336"/>
    <w:rsid w:val="00A07E61"/>
    <w:rsid w:val="00A07E67"/>
    <w:rsid w:val="00A07F2C"/>
    <w:rsid w:val="00A11FD7"/>
    <w:rsid w:val="00A1261C"/>
    <w:rsid w:val="00A13D46"/>
    <w:rsid w:val="00A14B70"/>
    <w:rsid w:val="00A14F5E"/>
    <w:rsid w:val="00A152A5"/>
    <w:rsid w:val="00A15438"/>
    <w:rsid w:val="00A1604A"/>
    <w:rsid w:val="00A16ACA"/>
    <w:rsid w:val="00A17983"/>
    <w:rsid w:val="00A17C33"/>
    <w:rsid w:val="00A17C66"/>
    <w:rsid w:val="00A17F93"/>
    <w:rsid w:val="00A20980"/>
    <w:rsid w:val="00A20A06"/>
    <w:rsid w:val="00A20B84"/>
    <w:rsid w:val="00A20C93"/>
    <w:rsid w:val="00A214DE"/>
    <w:rsid w:val="00A21972"/>
    <w:rsid w:val="00A22DAC"/>
    <w:rsid w:val="00A22FA2"/>
    <w:rsid w:val="00A23923"/>
    <w:rsid w:val="00A24055"/>
    <w:rsid w:val="00A2419A"/>
    <w:rsid w:val="00A24633"/>
    <w:rsid w:val="00A24C85"/>
    <w:rsid w:val="00A24E16"/>
    <w:rsid w:val="00A2502F"/>
    <w:rsid w:val="00A250BA"/>
    <w:rsid w:val="00A2538C"/>
    <w:rsid w:val="00A254C7"/>
    <w:rsid w:val="00A25A32"/>
    <w:rsid w:val="00A26012"/>
    <w:rsid w:val="00A2620B"/>
    <w:rsid w:val="00A267AD"/>
    <w:rsid w:val="00A26AD2"/>
    <w:rsid w:val="00A26CA2"/>
    <w:rsid w:val="00A26E1C"/>
    <w:rsid w:val="00A26E74"/>
    <w:rsid w:val="00A2715B"/>
    <w:rsid w:val="00A27204"/>
    <w:rsid w:val="00A302F5"/>
    <w:rsid w:val="00A30554"/>
    <w:rsid w:val="00A3060C"/>
    <w:rsid w:val="00A30BA9"/>
    <w:rsid w:val="00A30E12"/>
    <w:rsid w:val="00A30E8F"/>
    <w:rsid w:val="00A313B0"/>
    <w:rsid w:val="00A313DB"/>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AA9"/>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329"/>
    <w:rsid w:val="00A45798"/>
    <w:rsid w:val="00A458C5"/>
    <w:rsid w:val="00A45F6C"/>
    <w:rsid w:val="00A46094"/>
    <w:rsid w:val="00A460F3"/>
    <w:rsid w:val="00A461EF"/>
    <w:rsid w:val="00A46A05"/>
    <w:rsid w:val="00A471C1"/>
    <w:rsid w:val="00A477E9"/>
    <w:rsid w:val="00A500C3"/>
    <w:rsid w:val="00A500DE"/>
    <w:rsid w:val="00A50212"/>
    <w:rsid w:val="00A507D8"/>
    <w:rsid w:val="00A50F0F"/>
    <w:rsid w:val="00A51696"/>
    <w:rsid w:val="00A51721"/>
    <w:rsid w:val="00A51801"/>
    <w:rsid w:val="00A51B7C"/>
    <w:rsid w:val="00A522C3"/>
    <w:rsid w:val="00A53857"/>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0AC1"/>
    <w:rsid w:val="00A617EC"/>
    <w:rsid w:val="00A61E42"/>
    <w:rsid w:val="00A61EFA"/>
    <w:rsid w:val="00A61FF5"/>
    <w:rsid w:val="00A6212E"/>
    <w:rsid w:val="00A62326"/>
    <w:rsid w:val="00A629A4"/>
    <w:rsid w:val="00A62CAD"/>
    <w:rsid w:val="00A62F7D"/>
    <w:rsid w:val="00A64184"/>
    <w:rsid w:val="00A643EF"/>
    <w:rsid w:val="00A64853"/>
    <w:rsid w:val="00A652DC"/>
    <w:rsid w:val="00A653F2"/>
    <w:rsid w:val="00A65778"/>
    <w:rsid w:val="00A65A31"/>
    <w:rsid w:val="00A67EF4"/>
    <w:rsid w:val="00A67F21"/>
    <w:rsid w:val="00A70186"/>
    <w:rsid w:val="00A7049A"/>
    <w:rsid w:val="00A709D8"/>
    <w:rsid w:val="00A71153"/>
    <w:rsid w:val="00A71278"/>
    <w:rsid w:val="00A715A4"/>
    <w:rsid w:val="00A71DF9"/>
    <w:rsid w:val="00A71F14"/>
    <w:rsid w:val="00A720AD"/>
    <w:rsid w:val="00A72452"/>
    <w:rsid w:val="00A726A2"/>
    <w:rsid w:val="00A72807"/>
    <w:rsid w:val="00A72ED0"/>
    <w:rsid w:val="00A7320F"/>
    <w:rsid w:val="00A734EB"/>
    <w:rsid w:val="00A73B4B"/>
    <w:rsid w:val="00A73D20"/>
    <w:rsid w:val="00A74670"/>
    <w:rsid w:val="00A75245"/>
    <w:rsid w:val="00A75509"/>
    <w:rsid w:val="00A7558A"/>
    <w:rsid w:val="00A75CD4"/>
    <w:rsid w:val="00A75D63"/>
    <w:rsid w:val="00A7609A"/>
    <w:rsid w:val="00A76210"/>
    <w:rsid w:val="00A7646E"/>
    <w:rsid w:val="00A76CF0"/>
    <w:rsid w:val="00A773DC"/>
    <w:rsid w:val="00A7788D"/>
    <w:rsid w:val="00A77C16"/>
    <w:rsid w:val="00A80861"/>
    <w:rsid w:val="00A80A4A"/>
    <w:rsid w:val="00A80BCD"/>
    <w:rsid w:val="00A80EAE"/>
    <w:rsid w:val="00A81E3D"/>
    <w:rsid w:val="00A83027"/>
    <w:rsid w:val="00A8330B"/>
    <w:rsid w:val="00A83357"/>
    <w:rsid w:val="00A8408D"/>
    <w:rsid w:val="00A84283"/>
    <w:rsid w:val="00A843A5"/>
    <w:rsid w:val="00A843F5"/>
    <w:rsid w:val="00A8447B"/>
    <w:rsid w:val="00A84832"/>
    <w:rsid w:val="00A84CED"/>
    <w:rsid w:val="00A84E0F"/>
    <w:rsid w:val="00A85420"/>
    <w:rsid w:val="00A85A4B"/>
    <w:rsid w:val="00A85D69"/>
    <w:rsid w:val="00A8605A"/>
    <w:rsid w:val="00A86411"/>
    <w:rsid w:val="00A864D2"/>
    <w:rsid w:val="00A86744"/>
    <w:rsid w:val="00A8677E"/>
    <w:rsid w:val="00A867CF"/>
    <w:rsid w:val="00A871BE"/>
    <w:rsid w:val="00A87714"/>
    <w:rsid w:val="00A902E4"/>
    <w:rsid w:val="00A9090D"/>
    <w:rsid w:val="00A90AEB"/>
    <w:rsid w:val="00A91829"/>
    <w:rsid w:val="00A91849"/>
    <w:rsid w:val="00A91AF5"/>
    <w:rsid w:val="00A91F88"/>
    <w:rsid w:val="00A91FB4"/>
    <w:rsid w:val="00A91FF0"/>
    <w:rsid w:val="00A92613"/>
    <w:rsid w:val="00A936B0"/>
    <w:rsid w:val="00A93723"/>
    <w:rsid w:val="00A93D8C"/>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2F94"/>
    <w:rsid w:val="00AA323B"/>
    <w:rsid w:val="00AA32A7"/>
    <w:rsid w:val="00AA33DC"/>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1C07"/>
    <w:rsid w:val="00AB25B6"/>
    <w:rsid w:val="00AB2B3B"/>
    <w:rsid w:val="00AB2BEB"/>
    <w:rsid w:val="00AB2D28"/>
    <w:rsid w:val="00AB325A"/>
    <w:rsid w:val="00AB365D"/>
    <w:rsid w:val="00AB38E3"/>
    <w:rsid w:val="00AB3D11"/>
    <w:rsid w:val="00AB3F07"/>
    <w:rsid w:val="00AB4573"/>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09A"/>
    <w:rsid w:val="00AC1112"/>
    <w:rsid w:val="00AC130D"/>
    <w:rsid w:val="00AC2053"/>
    <w:rsid w:val="00AC22F7"/>
    <w:rsid w:val="00AC281A"/>
    <w:rsid w:val="00AC2A07"/>
    <w:rsid w:val="00AC30CB"/>
    <w:rsid w:val="00AC345F"/>
    <w:rsid w:val="00AC3E1C"/>
    <w:rsid w:val="00AC44BF"/>
    <w:rsid w:val="00AC450E"/>
    <w:rsid w:val="00AC4616"/>
    <w:rsid w:val="00AC461A"/>
    <w:rsid w:val="00AC4A63"/>
    <w:rsid w:val="00AC4B33"/>
    <w:rsid w:val="00AC4D5A"/>
    <w:rsid w:val="00AC5167"/>
    <w:rsid w:val="00AC517E"/>
    <w:rsid w:val="00AC568A"/>
    <w:rsid w:val="00AC590C"/>
    <w:rsid w:val="00AC59F0"/>
    <w:rsid w:val="00AC5BEA"/>
    <w:rsid w:val="00AC5FA9"/>
    <w:rsid w:val="00AC620B"/>
    <w:rsid w:val="00AC6B4C"/>
    <w:rsid w:val="00AC6C87"/>
    <w:rsid w:val="00AC6DCC"/>
    <w:rsid w:val="00AC700D"/>
    <w:rsid w:val="00AC71E1"/>
    <w:rsid w:val="00AC7570"/>
    <w:rsid w:val="00AC7A49"/>
    <w:rsid w:val="00AC7DE2"/>
    <w:rsid w:val="00AD031E"/>
    <w:rsid w:val="00AD0459"/>
    <w:rsid w:val="00AD05CF"/>
    <w:rsid w:val="00AD0816"/>
    <w:rsid w:val="00AD0A7D"/>
    <w:rsid w:val="00AD1A3D"/>
    <w:rsid w:val="00AD26CA"/>
    <w:rsid w:val="00AD3077"/>
    <w:rsid w:val="00AD31C0"/>
    <w:rsid w:val="00AD3267"/>
    <w:rsid w:val="00AD32EE"/>
    <w:rsid w:val="00AD332E"/>
    <w:rsid w:val="00AD35E0"/>
    <w:rsid w:val="00AD38B3"/>
    <w:rsid w:val="00AD4140"/>
    <w:rsid w:val="00AD4EA2"/>
    <w:rsid w:val="00AD4F9A"/>
    <w:rsid w:val="00AD5C2D"/>
    <w:rsid w:val="00AD6A7A"/>
    <w:rsid w:val="00AD6D23"/>
    <w:rsid w:val="00AD7040"/>
    <w:rsid w:val="00AD7A67"/>
    <w:rsid w:val="00AD7B54"/>
    <w:rsid w:val="00AD7CB2"/>
    <w:rsid w:val="00AE00C7"/>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4F2C"/>
    <w:rsid w:val="00AE60ED"/>
    <w:rsid w:val="00AE68EF"/>
    <w:rsid w:val="00AE6A07"/>
    <w:rsid w:val="00AE742B"/>
    <w:rsid w:val="00AE7E85"/>
    <w:rsid w:val="00AF025B"/>
    <w:rsid w:val="00AF03B2"/>
    <w:rsid w:val="00AF0772"/>
    <w:rsid w:val="00AF0E0E"/>
    <w:rsid w:val="00AF12FE"/>
    <w:rsid w:val="00AF1599"/>
    <w:rsid w:val="00AF1820"/>
    <w:rsid w:val="00AF19DB"/>
    <w:rsid w:val="00AF1DB5"/>
    <w:rsid w:val="00AF1FE8"/>
    <w:rsid w:val="00AF2DDC"/>
    <w:rsid w:val="00AF312F"/>
    <w:rsid w:val="00AF34FB"/>
    <w:rsid w:val="00AF36AD"/>
    <w:rsid w:val="00AF37FF"/>
    <w:rsid w:val="00AF3C97"/>
    <w:rsid w:val="00AF3DFB"/>
    <w:rsid w:val="00AF4203"/>
    <w:rsid w:val="00AF4537"/>
    <w:rsid w:val="00AF48BE"/>
    <w:rsid w:val="00AF4960"/>
    <w:rsid w:val="00AF4CAD"/>
    <w:rsid w:val="00AF5650"/>
    <w:rsid w:val="00AF6594"/>
    <w:rsid w:val="00AF6833"/>
    <w:rsid w:val="00AF780B"/>
    <w:rsid w:val="00AF7939"/>
    <w:rsid w:val="00AF794A"/>
    <w:rsid w:val="00AF7AC9"/>
    <w:rsid w:val="00B007F5"/>
    <w:rsid w:val="00B008F0"/>
    <w:rsid w:val="00B01572"/>
    <w:rsid w:val="00B017DB"/>
    <w:rsid w:val="00B0192D"/>
    <w:rsid w:val="00B01C57"/>
    <w:rsid w:val="00B01D20"/>
    <w:rsid w:val="00B01ED7"/>
    <w:rsid w:val="00B02182"/>
    <w:rsid w:val="00B027B4"/>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3E5"/>
    <w:rsid w:val="00B07AFF"/>
    <w:rsid w:val="00B10451"/>
    <w:rsid w:val="00B109EF"/>
    <w:rsid w:val="00B10E55"/>
    <w:rsid w:val="00B10EE4"/>
    <w:rsid w:val="00B11587"/>
    <w:rsid w:val="00B1183A"/>
    <w:rsid w:val="00B11ADA"/>
    <w:rsid w:val="00B12008"/>
    <w:rsid w:val="00B12601"/>
    <w:rsid w:val="00B12C75"/>
    <w:rsid w:val="00B1339A"/>
    <w:rsid w:val="00B13555"/>
    <w:rsid w:val="00B13741"/>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17E84"/>
    <w:rsid w:val="00B2020F"/>
    <w:rsid w:val="00B20356"/>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54D8"/>
    <w:rsid w:val="00B26694"/>
    <w:rsid w:val="00B26929"/>
    <w:rsid w:val="00B26968"/>
    <w:rsid w:val="00B26D7E"/>
    <w:rsid w:val="00B27249"/>
    <w:rsid w:val="00B27532"/>
    <w:rsid w:val="00B27E25"/>
    <w:rsid w:val="00B3008A"/>
    <w:rsid w:val="00B30550"/>
    <w:rsid w:val="00B30BC1"/>
    <w:rsid w:val="00B31527"/>
    <w:rsid w:val="00B325B9"/>
    <w:rsid w:val="00B32C2D"/>
    <w:rsid w:val="00B32C7D"/>
    <w:rsid w:val="00B32CCC"/>
    <w:rsid w:val="00B32DAE"/>
    <w:rsid w:val="00B337CB"/>
    <w:rsid w:val="00B33C4B"/>
    <w:rsid w:val="00B34681"/>
    <w:rsid w:val="00B34924"/>
    <w:rsid w:val="00B3515C"/>
    <w:rsid w:val="00B35410"/>
    <w:rsid w:val="00B354B5"/>
    <w:rsid w:val="00B35C96"/>
    <w:rsid w:val="00B37117"/>
    <w:rsid w:val="00B372E2"/>
    <w:rsid w:val="00B376BB"/>
    <w:rsid w:val="00B377C8"/>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2B1F"/>
    <w:rsid w:val="00B533CA"/>
    <w:rsid w:val="00B53572"/>
    <w:rsid w:val="00B53712"/>
    <w:rsid w:val="00B53E0E"/>
    <w:rsid w:val="00B54335"/>
    <w:rsid w:val="00B5464F"/>
    <w:rsid w:val="00B5535B"/>
    <w:rsid w:val="00B557FA"/>
    <w:rsid w:val="00B55A59"/>
    <w:rsid w:val="00B55ABF"/>
    <w:rsid w:val="00B55CCC"/>
    <w:rsid w:val="00B560ED"/>
    <w:rsid w:val="00B56265"/>
    <w:rsid w:val="00B5644B"/>
    <w:rsid w:val="00B56949"/>
    <w:rsid w:val="00B56BC4"/>
    <w:rsid w:val="00B57229"/>
    <w:rsid w:val="00B57A7F"/>
    <w:rsid w:val="00B57D13"/>
    <w:rsid w:val="00B600FA"/>
    <w:rsid w:val="00B605A2"/>
    <w:rsid w:val="00B60D43"/>
    <w:rsid w:val="00B60F41"/>
    <w:rsid w:val="00B61AB7"/>
    <w:rsid w:val="00B61DD7"/>
    <w:rsid w:val="00B61F62"/>
    <w:rsid w:val="00B6283F"/>
    <w:rsid w:val="00B63B77"/>
    <w:rsid w:val="00B6432F"/>
    <w:rsid w:val="00B643E5"/>
    <w:rsid w:val="00B64B6D"/>
    <w:rsid w:val="00B64BE3"/>
    <w:rsid w:val="00B64D0D"/>
    <w:rsid w:val="00B650E3"/>
    <w:rsid w:val="00B65583"/>
    <w:rsid w:val="00B66C03"/>
    <w:rsid w:val="00B67067"/>
    <w:rsid w:val="00B671EA"/>
    <w:rsid w:val="00B677D4"/>
    <w:rsid w:val="00B67C8F"/>
    <w:rsid w:val="00B706C7"/>
    <w:rsid w:val="00B70742"/>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E18"/>
    <w:rsid w:val="00B81FF0"/>
    <w:rsid w:val="00B82252"/>
    <w:rsid w:val="00B8262B"/>
    <w:rsid w:val="00B8264E"/>
    <w:rsid w:val="00B828C9"/>
    <w:rsid w:val="00B82B28"/>
    <w:rsid w:val="00B82E11"/>
    <w:rsid w:val="00B82FAB"/>
    <w:rsid w:val="00B82FB1"/>
    <w:rsid w:val="00B8419B"/>
    <w:rsid w:val="00B849C3"/>
    <w:rsid w:val="00B84EB0"/>
    <w:rsid w:val="00B851F5"/>
    <w:rsid w:val="00B85300"/>
    <w:rsid w:val="00B85542"/>
    <w:rsid w:val="00B8583F"/>
    <w:rsid w:val="00B85BFF"/>
    <w:rsid w:val="00B85DA8"/>
    <w:rsid w:val="00B86135"/>
    <w:rsid w:val="00B86B93"/>
    <w:rsid w:val="00B87846"/>
    <w:rsid w:val="00B87848"/>
    <w:rsid w:val="00B87ECB"/>
    <w:rsid w:val="00B906B7"/>
    <w:rsid w:val="00B90A15"/>
    <w:rsid w:val="00B90CD2"/>
    <w:rsid w:val="00B91441"/>
    <w:rsid w:val="00B914AF"/>
    <w:rsid w:val="00B919E3"/>
    <w:rsid w:val="00B91A5B"/>
    <w:rsid w:val="00B926AA"/>
    <w:rsid w:val="00B9298D"/>
    <w:rsid w:val="00B92996"/>
    <w:rsid w:val="00B930FE"/>
    <w:rsid w:val="00B9319F"/>
    <w:rsid w:val="00B932CE"/>
    <w:rsid w:val="00B93383"/>
    <w:rsid w:val="00B933E1"/>
    <w:rsid w:val="00B936AD"/>
    <w:rsid w:val="00B936C6"/>
    <w:rsid w:val="00B9448D"/>
    <w:rsid w:val="00B947CD"/>
    <w:rsid w:val="00B94C9B"/>
    <w:rsid w:val="00B94E2D"/>
    <w:rsid w:val="00B96070"/>
    <w:rsid w:val="00B965B8"/>
    <w:rsid w:val="00B968F6"/>
    <w:rsid w:val="00B96E1F"/>
    <w:rsid w:val="00B97CA3"/>
    <w:rsid w:val="00BA0AF5"/>
    <w:rsid w:val="00BA17E1"/>
    <w:rsid w:val="00BA1868"/>
    <w:rsid w:val="00BA1F2F"/>
    <w:rsid w:val="00BA2758"/>
    <w:rsid w:val="00BA2852"/>
    <w:rsid w:val="00BA2DE1"/>
    <w:rsid w:val="00BA3308"/>
    <w:rsid w:val="00BA3901"/>
    <w:rsid w:val="00BA3C74"/>
    <w:rsid w:val="00BA3D90"/>
    <w:rsid w:val="00BA3F45"/>
    <w:rsid w:val="00BA48A8"/>
    <w:rsid w:val="00BA4D38"/>
    <w:rsid w:val="00BA4EC7"/>
    <w:rsid w:val="00BA54CD"/>
    <w:rsid w:val="00BA5BFE"/>
    <w:rsid w:val="00BA65A9"/>
    <w:rsid w:val="00BA69EA"/>
    <w:rsid w:val="00BA6F17"/>
    <w:rsid w:val="00BA7242"/>
    <w:rsid w:val="00BA7638"/>
    <w:rsid w:val="00BA799F"/>
    <w:rsid w:val="00BB0050"/>
    <w:rsid w:val="00BB027F"/>
    <w:rsid w:val="00BB02AA"/>
    <w:rsid w:val="00BB0999"/>
    <w:rsid w:val="00BB0E11"/>
    <w:rsid w:val="00BB114D"/>
    <w:rsid w:val="00BB1BD3"/>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0FC2"/>
    <w:rsid w:val="00BC15E3"/>
    <w:rsid w:val="00BC16D7"/>
    <w:rsid w:val="00BC1A4A"/>
    <w:rsid w:val="00BC1B8A"/>
    <w:rsid w:val="00BC28DC"/>
    <w:rsid w:val="00BC460A"/>
    <w:rsid w:val="00BC46A8"/>
    <w:rsid w:val="00BC578D"/>
    <w:rsid w:val="00BC5BCC"/>
    <w:rsid w:val="00BC5E1D"/>
    <w:rsid w:val="00BC6272"/>
    <w:rsid w:val="00BC64B0"/>
    <w:rsid w:val="00BC6703"/>
    <w:rsid w:val="00BC6B01"/>
    <w:rsid w:val="00BC76D4"/>
    <w:rsid w:val="00BC7B41"/>
    <w:rsid w:val="00BC7F01"/>
    <w:rsid w:val="00BD0279"/>
    <w:rsid w:val="00BD06A4"/>
    <w:rsid w:val="00BD0B17"/>
    <w:rsid w:val="00BD1049"/>
    <w:rsid w:val="00BD1461"/>
    <w:rsid w:val="00BD180D"/>
    <w:rsid w:val="00BD1C9C"/>
    <w:rsid w:val="00BD1F05"/>
    <w:rsid w:val="00BD282A"/>
    <w:rsid w:val="00BD36D7"/>
    <w:rsid w:val="00BD44E9"/>
    <w:rsid w:val="00BD4875"/>
    <w:rsid w:val="00BD49CF"/>
    <w:rsid w:val="00BD4F7A"/>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BBF"/>
    <w:rsid w:val="00BF2F5C"/>
    <w:rsid w:val="00BF31E0"/>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27D2"/>
    <w:rsid w:val="00C032D2"/>
    <w:rsid w:val="00C0335F"/>
    <w:rsid w:val="00C039A0"/>
    <w:rsid w:val="00C04625"/>
    <w:rsid w:val="00C04AF7"/>
    <w:rsid w:val="00C05D01"/>
    <w:rsid w:val="00C05F87"/>
    <w:rsid w:val="00C060CF"/>
    <w:rsid w:val="00C06E07"/>
    <w:rsid w:val="00C07479"/>
    <w:rsid w:val="00C07A2D"/>
    <w:rsid w:val="00C07CD0"/>
    <w:rsid w:val="00C07DEB"/>
    <w:rsid w:val="00C10431"/>
    <w:rsid w:val="00C1057F"/>
    <w:rsid w:val="00C106A5"/>
    <w:rsid w:val="00C1095D"/>
    <w:rsid w:val="00C110F3"/>
    <w:rsid w:val="00C11FCC"/>
    <w:rsid w:val="00C12644"/>
    <w:rsid w:val="00C12689"/>
    <w:rsid w:val="00C13093"/>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3D0"/>
    <w:rsid w:val="00C16673"/>
    <w:rsid w:val="00C16C43"/>
    <w:rsid w:val="00C16E74"/>
    <w:rsid w:val="00C16E8E"/>
    <w:rsid w:val="00C16E94"/>
    <w:rsid w:val="00C1738E"/>
    <w:rsid w:val="00C17477"/>
    <w:rsid w:val="00C17E3C"/>
    <w:rsid w:val="00C2058F"/>
    <w:rsid w:val="00C20660"/>
    <w:rsid w:val="00C208C9"/>
    <w:rsid w:val="00C217B1"/>
    <w:rsid w:val="00C21FC4"/>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84"/>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486"/>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5D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897"/>
    <w:rsid w:val="00C62CD8"/>
    <w:rsid w:val="00C62F3F"/>
    <w:rsid w:val="00C63286"/>
    <w:rsid w:val="00C63561"/>
    <w:rsid w:val="00C637E5"/>
    <w:rsid w:val="00C6381F"/>
    <w:rsid w:val="00C64570"/>
    <w:rsid w:val="00C650F4"/>
    <w:rsid w:val="00C655AF"/>
    <w:rsid w:val="00C65778"/>
    <w:rsid w:val="00C65D49"/>
    <w:rsid w:val="00C661A7"/>
    <w:rsid w:val="00C664F6"/>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2EE9"/>
    <w:rsid w:val="00C73294"/>
    <w:rsid w:val="00C73422"/>
    <w:rsid w:val="00C73AFD"/>
    <w:rsid w:val="00C73DED"/>
    <w:rsid w:val="00C75150"/>
    <w:rsid w:val="00C75154"/>
    <w:rsid w:val="00C7536B"/>
    <w:rsid w:val="00C753A0"/>
    <w:rsid w:val="00C757F0"/>
    <w:rsid w:val="00C75B0D"/>
    <w:rsid w:val="00C7613D"/>
    <w:rsid w:val="00C76560"/>
    <w:rsid w:val="00C76A1B"/>
    <w:rsid w:val="00C76ECB"/>
    <w:rsid w:val="00C7701B"/>
    <w:rsid w:val="00C7765C"/>
    <w:rsid w:val="00C77811"/>
    <w:rsid w:val="00C802C4"/>
    <w:rsid w:val="00C8074F"/>
    <w:rsid w:val="00C80EB3"/>
    <w:rsid w:val="00C80FA0"/>
    <w:rsid w:val="00C8125F"/>
    <w:rsid w:val="00C820A1"/>
    <w:rsid w:val="00C8222C"/>
    <w:rsid w:val="00C82EA4"/>
    <w:rsid w:val="00C833CE"/>
    <w:rsid w:val="00C83A9C"/>
    <w:rsid w:val="00C841EA"/>
    <w:rsid w:val="00C842E7"/>
    <w:rsid w:val="00C8515E"/>
    <w:rsid w:val="00C8584B"/>
    <w:rsid w:val="00C85924"/>
    <w:rsid w:val="00C85C5E"/>
    <w:rsid w:val="00C85D2E"/>
    <w:rsid w:val="00C86C74"/>
    <w:rsid w:val="00C86D88"/>
    <w:rsid w:val="00C8727F"/>
    <w:rsid w:val="00C8748D"/>
    <w:rsid w:val="00C87AF9"/>
    <w:rsid w:val="00C900B4"/>
    <w:rsid w:val="00C9028F"/>
    <w:rsid w:val="00C90772"/>
    <w:rsid w:val="00C90917"/>
    <w:rsid w:val="00C91148"/>
    <w:rsid w:val="00C91B68"/>
    <w:rsid w:val="00C9236A"/>
    <w:rsid w:val="00C92BD7"/>
    <w:rsid w:val="00C93A2E"/>
    <w:rsid w:val="00C93B75"/>
    <w:rsid w:val="00C93D76"/>
    <w:rsid w:val="00C945ED"/>
    <w:rsid w:val="00C94C15"/>
    <w:rsid w:val="00C94CB3"/>
    <w:rsid w:val="00C95309"/>
    <w:rsid w:val="00C957D9"/>
    <w:rsid w:val="00C95B8C"/>
    <w:rsid w:val="00C95DF7"/>
    <w:rsid w:val="00C9611A"/>
    <w:rsid w:val="00C963B7"/>
    <w:rsid w:val="00C968BA"/>
    <w:rsid w:val="00C97D89"/>
    <w:rsid w:val="00CA0470"/>
    <w:rsid w:val="00CA0C4A"/>
    <w:rsid w:val="00CA0D24"/>
    <w:rsid w:val="00CA0F60"/>
    <w:rsid w:val="00CA1959"/>
    <w:rsid w:val="00CA2345"/>
    <w:rsid w:val="00CA29AF"/>
    <w:rsid w:val="00CA3293"/>
    <w:rsid w:val="00CA3471"/>
    <w:rsid w:val="00CA3947"/>
    <w:rsid w:val="00CA4974"/>
    <w:rsid w:val="00CA49D0"/>
    <w:rsid w:val="00CA4BF6"/>
    <w:rsid w:val="00CA57EE"/>
    <w:rsid w:val="00CA5D48"/>
    <w:rsid w:val="00CA6483"/>
    <w:rsid w:val="00CA6B85"/>
    <w:rsid w:val="00CA76EA"/>
    <w:rsid w:val="00CA799F"/>
    <w:rsid w:val="00CB0224"/>
    <w:rsid w:val="00CB02A1"/>
    <w:rsid w:val="00CB07CF"/>
    <w:rsid w:val="00CB086C"/>
    <w:rsid w:val="00CB08A9"/>
    <w:rsid w:val="00CB098E"/>
    <w:rsid w:val="00CB0B9D"/>
    <w:rsid w:val="00CB0C04"/>
    <w:rsid w:val="00CB20B3"/>
    <w:rsid w:val="00CB2A3B"/>
    <w:rsid w:val="00CB37AF"/>
    <w:rsid w:val="00CB3F31"/>
    <w:rsid w:val="00CB42D6"/>
    <w:rsid w:val="00CB4660"/>
    <w:rsid w:val="00CB4942"/>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C01"/>
    <w:rsid w:val="00CC3F22"/>
    <w:rsid w:val="00CC4326"/>
    <w:rsid w:val="00CC43A9"/>
    <w:rsid w:val="00CC453E"/>
    <w:rsid w:val="00CC497D"/>
    <w:rsid w:val="00CC4FF2"/>
    <w:rsid w:val="00CC501D"/>
    <w:rsid w:val="00CC5164"/>
    <w:rsid w:val="00CC5170"/>
    <w:rsid w:val="00CC51DF"/>
    <w:rsid w:val="00CC52E3"/>
    <w:rsid w:val="00CC569E"/>
    <w:rsid w:val="00CC6073"/>
    <w:rsid w:val="00CC6168"/>
    <w:rsid w:val="00CC686A"/>
    <w:rsid w:val="00CC6CAF"/>
    <w:rsid w:val="00CC72B4"/>
    <w:rsid w:val="00CC784F"/>
    <w:rsid w:val="00CC78A3"/>
    <w:rsid w:val="00CC7AF4"/>
    <w:rsid w:val="00CD0737"/>
    <w:rsid w:val="00CD0C03"/>
    <w:rsid w:val="00CD0D00"/>
    <w:rsid w:val="00CD12E3"/>
    <w:rsid w:val="00CD13E4"/>
    <w:rsid w:val="00CD1427"/>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2ABE"/>
    <w:rsid w:val="00CE32AB"/>
    <w:rsid w:val="00CE48B9"/>
    <w:rsid w:val="00CE4E53"/>
    <w:rsid w:val="00CE4F70"/>
    <w:rsid w:val="00CE5691"/>
    <w:rsid w:val="00CE5A8C"/>
    <w:rsid w:val="00CE5B6F"/>
    <w:rsid w:val="00CE5B7A"/>
    <w:rsid w:val="00CE6036"/>
    <w:rsid w:val="00CE674E"/>
    <w:rsid w:val="00CE67CF"/>
    <w:rsid w:val="00CE69BD"/>
    <w:rsid w:val="00CE6D81"/>
    <w:rsid w:val="00CE7241"/>
    <w:rsid w:val="00CE77B6"/>
    <w:rsid w:val="00CE78A4"/>
    <w:rsid w:val="00CE7BD2"/>
    <w:rsid w:val="00CF03CF"/>
    <w:rsid w:val="00CF0578"/>
    <w:rsid w:val="00CF095F"/>
    <w:rsid w:val="00CF1369"/>
    <w:rsid w:val="00CF21AB"/>
    <w:rsid w:val="00CF2A25"/>
    <w:rsid w:val="00CF2E95"/>
    <w:rsid w:val="00CF2FF4"/>
    <w:rsid w:val="00CF3243"/>
    <w:rsid w:val="00CF331D"/>
    <w:rsid w:val="00CF3442"/>
    <w:rsid w:val="00CF3589"/>
    <w:rsid w:val="00CF3869"/>
    <w:rsid w:val="00CF3B2A"/>
    <w:rsid w:val="00CF3BCC"/>
    <w:rsid w:val="00CF3CD5"/>
    <w:rsid w:val="00CF4011"/>
    <w:rsid w:val="00CF4564"/>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57E"/>
    <w:rsid w:val="00D007FF"/>
    <w:rsid w:val="00D00B04"/>
    <w:rsid w:val="00D00B18"/>
    <w:rsid w:val="00D01212"/>
    <w:rsid w:val="00D01339"/>
    <w:rsid w:val="00D0162E"/>
    <w:rsid w:val="00D01E2E"/>
    <w:rsid w:val="00D02042"/>
    <w:rsid w:val="00D028E3"/>
    <w:rsid w:val="00D0297B"/>
    <w:rsid w:val="00D035A3"/>
    <w:rsid w:val="00D0389C"/>
    <w:rsid w:val="00D03BAB"/>
    <w:rsid w:val="00D03FA4"/>
    <w:rsid w:val="00D040FB"/>
    <w:rsid w:val="00D047E5"/>
    <w:rsid w:val="00D04864"/>
    <w:rsid w:val="00D0492C"/>
    <w:rsid w:val="00D04E09"/>
    <w:rsid w:val="00D05979"/>
    <w:rsid w:val="00D05B2E"/>
    <w:rsid w:val="00D05B47"/>
    <w:rsid w:val="00D05E52"/>
    <w:rsid w:val="00D066E9"/>
    <w:rsid w:val="00D072A0"/>
    <w:rsid w:val="00D07425"/>
    <w:rsid w:val="00D07E99"/>
    <w:rsid w:val="00D1074F"/>
    <w:rsid w:val="00D10B69"/>
    <w:rsid w:val="00D10DD0"/>
    <w:rsid w:val="00D11FFA"/>
    <w:rsid w:val="00D12A0D"/>
    <w:rsid w:val="00D12AA4"/>
    <w:rsid w:val="00D12C1D"/>
    <w:rsid w:val="00D13448"/>
    <w:rsid w:val="00D13DA0"/>
    <w:rsid w:val="00D13E31"/>
    <w:rsid w:val="00D13F21"/>
    <w:rsid w:val="00D1404B"/>
    <w:rsid w:val="00D142CB"/>
    <w:rsid w:val="00D146D1"/>
    <w:rsid w:val="00D14719"/>
    <w:rsid w:val="00D149ED"/>
    <w:rsid w:val="00D14AA7"/>
    <w:rsid w:val="00D14B69"/>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3E6"/>
    <w:rsid w:val="00D21593"/>
    <w:rsid w:val="00D21D80"/>
    <w:rsid w:val="00D2214C"/>
    <w:rsid w:val="00D223B8"/>
    <w:rsid w:val="00D22622"/>
    <w:rsid w:val="00D228F6"/>
    <w:rsid w:val="00D22EFF"/>
    <w:rsid w:val="00D23062"/>
    <w:rsid w:val="00D232D7"/>
    <w:rsid w:val="00D238FA"/>
    <w:rsid w:val="00D23D84"/>
    <w:rsid w:val="00D24201"/>
    <w:rsid w:val="00D24D8E"/>
    <w:rsid w:val="00D2516A"/>
    <w:rsid w:val="00D252FB"/>
    <w:rsid w:val="00D25ABE"/>
    <w:rsid w:val="00D26432"/>
    <w:rsid w:val="00D26733"/>
    <w:rsid w:val="00D26D22"/>
    <w:rsid w:val="00D2710E"/>
    <w:rsid w:val="00D2766D"/>
    <w:rsid w:val="00D276DC"/>
    <w:rsid w:val="00D27A90"/>
    <w:rsid w:val="00D30255"/>
    <w:rsid w:val="00D30BAD"/>
    <w:rsid w:val="00D31511"/>
    <w:rsid w:val="00D3156F"/>
    <w:rsid w:val="00D31D75"/>
    <w:rsid w:val="00D32007"/>
    <w:rsid w:val="00D3206A"/>
    <w:rsid w:val="00D32357"/>
    <w:rsid w:val="00D324AA"/>
    <w:rsid w:val="00D33BE6"/>
    <w:rsid w:val="00D33BF6"/>
    <w:rsid w:val="00D340DC"/>
    <w:rsid w:val="00D34288"/>
    <w:rsid w:val="00D342DD"/>
    <w:rsid w:val="00D343FF"/>
    <w:rsid w:val="00D34580"/>
    <w:rsid w:val="00D363F2"/>
    <w:rsid w:val="00D3665B"/>
    <w:rsid w:val="00D368BE"/>
    <w:rsid w:val="00D36AD8"/>
    <w:rsid w:val="00D3756E"/>
    <w:rsid w:val="00D379AD"/>
    <w:rsid w:val="00D37A9D"/>
    <w:rsid w:val="00D37FA3"/>
    <w:rsid w:val="00D408DC"/>
    <w:rsid w:val="00D41DBC"/>
    <w:rsid w:val="00D42013"/>
    <w:rsid w:val="00D4241A"/>
    <w:rsid w:val="00D42741"/>
    <w:rsid w:val="00D4288F"/>
    <w:rsid w:val="00D43948"/>
    <w:rsid w:val="00D43A33"/>
    <w:rsid w:val="00D4403B"/>
    <w:rsid w:val="00D441A0"/>
    <w:rsid w:val="00D44863"/>
    <w:rsid w:val="00D456E2"/>
    <w:rsid w:val="00D45D02"/>
    <w:rsid w:val="00D45D47"/>
    <w:rsid w:val="00D46289"/>
    <w:rsid w:val="00D46778"/>
    <w:rsid w:val="00D47646"/>
    <w:rsid w:val="00D476A4"/>
    <w:rsid w:val="00D47DB0"/>
    <w:rsid w:val="00D47E02"/>
    <w:rsid w:val="00D47F0F"/>
    <w:rsid w:val="00D5000E"/>
    <w:rsid w:val="00D500B9"/>
    <w:rsid w:val="00D50293"/>
    <w:rsid w:val="00D50413"/>
    <w:rsid w:val="00D5048F"/>
    <w:rsid w:val="00D50D0C"/>
    <w:rsid w:val="00D50D36"/>
    <w:rsid w:val="00D51C9D"/>
    <w:rsid w:val="00D52440"/>
    <w:rsid w:val="00D525C2"/>
    <w:rsid w:val="00D52658"/>
    <w:rsid w:val="00D52CD0"/>
    <w:rsid w:val="00D52F36"/>
    <w:rsid w:val="00D52FC4"/>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769"/>
    <w:rsid w:val="00D62B7F"/>
    <w:rsid w:val="00D62B82"/>
    <w:rsid w:val="00D62D79"/>
    <w:rsid w:val="00D630E2"/>
    <w:rsid w:val="00D63258"/>
    <w:rsid w:val="00D637EC"/>
    <w:rsid w:val="00D63A93"/>
    <w:rsid w:val="00D63C87"/>
    <w:rsid w:val="00D64391"/>
    <w:rsid w:val="00D64455"/>
    <w:rsid w:val="00D65137"/>
    <w:rsid w:val="00D65927"/>
    <w:rsid w:val="00D6661F"/>
    <w:rsid w:val="00D66AE1"/>
    <w:rsid w:val="00D672A5"/>
    <w:rsid w:val="00D7013B"/>
    <w:rsid w:val="00D703CF"/>
    <w:rsid w:val="00D706CC"/>
    <w:rsid w:val="00D70905"/>
    <w:rsid w:val="00D70CD8"/>
    <w:rsid w:val="00D70FC9"/>
    <w:rsid w:val="00D71497"/>
    <w:rsid w:val="00D715CB"/>
    <w:rsid w:val="00D71A56"/>
    <w:rsid w:val="00D71F66"/>
    <w:rsid w:val="00D7261D"/>
    <w:rsid w:val="00D732F3"/>
    <w:rsid w:val="00D73430"/>
    <w:rsid w:val="00D73821"/>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1AF1"/>
    <w:rsid w:val="00D8259B"/>
    <w:rsid w:val="00D843F8"/>
    <w:rsid w:val="00D84452"/>
    <w:rsid w:val="00D849C9"/>
    <w:rsid w:val="00D84C5C"/>
    <w:rsid w:val="00D855AF"/>
    <w:rsid w:val="00D85679"/>
    <w:rsid w:val="00D856FD"/>
    <w:rsid w:val="00D85C0B"/>
    <w:rsid w:val="00D85EC3"/>
    <w:rsid w:val="00D86081"/>
    <w:rsid w:val="00D867ED"/>
    <w:rsid w:val="00D86901"/>
    <w:rsid w:val="00D86922"/>
    <w:rsid w:val="00D869C3"/>
    <w:rsid w:val="00D86BC1"/>
    <w:rsid w:val="00D86E30"/>
    <w:rsid w:val="00D874CE"/>
    <w:rsid w:val="00D87653"/>
    <w:rsid w:val="00D876C2"/>
    <w:rsid w:val="00D87932"/>
    <w:rsid w:val="00D90A53"/>
    <w:rsid w:val="00D90B05"/>
    <w:rsid w:val="00D91042"/>
    <w:rsid w:val="00D917C1"/>
    <w:rsid w:val="00D9181B"/>
    <w:rsid w:val="00D92753"/>
    <w:rsid w:val="00D929DD"/>
    <w:rsid w:val="00D938E6"/>
    <w:rsid w:val="00D93A5F"/>
    <w:rsid w:val="00D93B7C"/>
    <w:rsid w:val="00D93BED"/>
    <w:rsid w:val="00D93FF4"/>
    <w:rsid w:val="00D94C52"/>
    <w:rsid w:val="00D955FF"/>
    <w:rsid w:val="00D962DE"/>
    <w:rsid w:val="00D96CC2"/>
    <w:rsid w:val="00D97071"/>
    <w:rsid w:val="00D972FF"/>
    <w:rsid w:val="00D97638"/>
    <w:rsid w:val="00D97761"/>
    <w:rsid w:val="00D97B9B"/>
    <w:rsid w:val="00DA059D"/>
    <w:rsid w:val="00DA0B9A"/>
    <w:rsid w:val="00DA0F55"/>
    <w:rsid w:val="00DA1056"/>
    <w:rsid w:val="00DA10BF"/>
    <w:rsid w:val="00DA13FB"/>
    <w:rsid w:val="00DA1425"/>
    <w:rsid w:val="00DA2B55"/>
    <w:rsid w:val="00DA2C17"/>
    <w:rsid w:val="00DA2C28"/>
    <w:rsid w:val="00DA30DD"/>
    <w:rsid w:val="00DA3154"/>
    <w:rsid w:val="00DA31A6"/>
    <w:rsid w:val="00DA3B37"/>
    <w:rsid w:val="00DA450A"/>
    <w:rsid w:val="00DA4511"/>
    <w:rsid w:val="00DA4C25"/>
    <w:rsid w:val="00DA5225"/>
    <w:rsid w:val="00DA57B5"/>
    <w:rsid w:val="00DA5D68"/>
    <w:rsid w:val="00DA602C"/>
    <w:rsid w:val="00DA67BD"/>
    <w:rsid w:val="00DA6942"/>
    <w:rsid w:val="00DA69FD"/>
    <w:rsid w:val="00DA6ADA"/>
    <w:rsid w:val="00DA7426"/>
    <w:rsid w:val="00DA783D"/>
    <w:rsid w:val="00DA790E"/>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00E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882"/>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FA"/>
    <w:rsid w:val="00DD6B2D"/>
    <w:rsid w:val="00DD7425"/>
    <w:rsid w:val="00DD758F"/>
    <w:rsid w:val="00DD75C2"/>
    <w:rsid w:val="00DD761E"/>
    <w:rsid w:val="00DD79B1"/>
    <w:rsid w:val="00DD7C78"/>
    <w:rsid w:val="00DE0085"/>
    <w:rsid w:val="00DE0907"/>
    <w:rsid w:val="00DE099A"/>
    <w:rsid w:val="00DE1467"/>
    <w:rsid w:val="00DE1A56"/>
    <w:rsid w:val="00DE1AFE"/>
    <w:rsid w:val="00DE21A8"/>
    <w:rsid w:val="00DE2800"/>
    <w:rsid w:val="00DE2A2B"/>
    <w:rsid w:val="00DE2E5C"/>
    <w:rsid w:val="00DE2F91"/>
    <w:rsid w:val="00DE3037"/>
    <w:rsid w:val="00DE3DB3"/>
    <w:rsid w:val="00DE3ED5"/>
    <w:rsid w:val="00DE4804"/>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A70"/>
    <w:rsid w:val="00DF5E31"/>
    <w:rsid w:val="00DF5EE1"/>
    <w:rsid w:val="00DF68B4"/>
    <w:rsid w:val="00DF6B12"/>
    <w:rsid w:val="00DF76AA"/>
    <w:rsid w:val="00DF79EC"/>
    <w:rsid w:val="00E00A92"/>
    <w:rsid w:val="00E00B96"/>
    <w:rsid w:val="00E01438"/>
    <w:rsid w:val="00E01FC9"/>
    <w:rsid w:val="00E02149"/>
    <w:rsid w:val="00E02435"/>
    <w:rsid w:val="00E027A1"/>
    <w:rsid w:val="00E02AB4"/>
    <w:rsid w:val="00E0346D"/>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54D"/>
    <w:rsid w:val="00E07687"/>
    <w:rsid w:val="00E07E52"/>
    <w:rsid w:val="00E103E4"/>
    <w:rsid w:val="00E107F3"/>
    <w:rsid w:val="00E10E36"/>
    <w:rsid w:val="00E11418"/>
    <w:rsid w:val="00E11AE0"/>
    <w:rsid w:val="00E11B6E"/>
    <w:rsid w:val="00E124CC"/>
    <w:rsid w:val="00E12561"/>
    <w:rsid w:val="00E127E6"/>
    <w:rsid w:val="00E12CB1"/>
    <w:rsid w:val="00E135B3"/>
    <w:rsid w:val="00E137F8"/>
    <w:rsid w:val="00E14501"/>
    <w:rsid w:val="00E1519F"/>
    <w:rsid w:val="00E15293"/>
    <w:rsid w:val="00E15AAE"/>
    <w:rsid w:val="00E1623A"/>
    <w:rsid w:val="00E162F9"/>
    <w:rsid w:val="00E16633"/>
    <w:rsid w:val="00E16B7A"/>
    <w:rsid w:val="00E16BA8"/>
    <w:rsid w:val="00E175AD"/>
    <w:rsid w:val="00E1785E"/>
    <w:rsid w:val="00E2051B"/>
    <w:rsid w:val="00E205F3"/>
    <w:rsid w:val="00E20AAB"/>
    <w:rsid w:val="00E216AF"/>
    <w:rsid w:val="00E21AC8"/>
    <w:rsid w:val="00E21AE3"/>
    <w:rsid w:val="00E21C93"/>
    <w:rsid w:val="00E22395"/>
    <w:rsid w:val="00E22D59"/>
    <w:rsid w:val="00E22D5C"/>
    <w:rsid w:val="00E23C8B"/>
    <w:rsid w:val="00E23D66"/>
    <w:rsid w:val="00E23E2F"/>
    <w:rsid w:val="00E244A1"/>
    <w:rsid w:val="00E24AD6"/>
    <w:rsid w:val="00E24B27"/>
    <w:rsid w:val="00E24B55"/>
    <w:rsid w:val="00E251F0"/>
    <w:rsid w:val="00E2552D"/>
    <w:rsid w:val="00E25CC5"/>
    <w:rsid w:val="00E26080"/>
    <w:rsid w:val="00E2635C"/>
    <w:rsid w:val="00E2664D"/>
    <w:rsid w:val="00E26838"/>
    <w:rsid w:val="00E27082"/>
    <w:rsid w:val="00E27866"/>
    <w:rsid w:val="00E27EFD"/>
    <w:rsid w:val="00E302FD"/>
    <w:rsid w:val="00E3039D"/>
    <w:rsid w:val="00E31B01"/>
    <w:rsid w:val="00E322BA"/>
    <w:rsid w:val="00E3251F"/>
    <w:rsid w:val="00E32693"/>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A67"/>
    <w:rsid w:val="00E36D09"/>
    <w:rsid w:val="00E36EA0"/>
    <w:rsid w:val="00E36F1A"/>
    <w:rsid w:val="00E375AB"/>
    <w:rsid w:val="00E40068"/>
    <w:rsid w:val="00E40902"/>
    <w:rsid w:val="00E409FC"/>
    <w:rsid w:val="00E40AEF"/>
    <w:rsid w:val="00E40F4E"/>
    <w:rsid w:val="00E40FFC"/>
    <w:rsid w:val="00E4123D"/>
    <w:rsid w:val="00E41245"/>
    <w:rsid w:val="00E412C6"/>
    <w:rsid w:val="00E41567"/>
    <w:rsid w:val="00E42295"/>
    <w:rsid w:val="00E4289B"/>
    <w:rsid w:val="00E42E65"/>
    <w:rsid w:val="00E42EF1"/>
    <w:rsid w:val="00E434C1"/>
    <w:rsid w:val="00E43C15"/>
    <w:rsid w:val="00E4417B"/>
    <w:rsid w:val="00E4418D"/>
    <w:rsid w:val="00E44458"/>
    <w:rsid w:val="00E4450F"/>
    <w:rsid w:val="00E447AA"/>
    <w:rsid w:val="00E44A0A"/>
    <w:rsid w:val="00E44F9E"/>
    <w:rsid w:val="00E45082"/>
    <w:rsid w:val="00E4529E"/>
    <w:rsid w:val="00E45405"/>
    <w:rsid w:val="00E45959"/>
    <w:rsid w:val="00E45C83"/>
    <w:rsid w:val="00E45DED"/>
    <w:rsid w:val="00E4639D"/>
    <w:rsid w:val="00E46539"/>
    <w:rsid w:val="00E465DA"/>
    <w:rsid w:val="00E46E22"/>
    <w:rsid w:val="00E4759C"/>
    <w:rsid w:val="00E50060"/>
    <w:rsid w:val="00E5012C"/>
    <w:rsid w:val="00E50A57"/>
    <w:rsid w:val="00E50ADF"/>
    <w:rsid w:val="00E50AFB"/>
    <w:rsid w:val="00E512BD"/>
    <w:rsid w:val="00E515BD"/>
    <w:rsid w:val="00E52230"/>
    <w:rsid w:val="00E522DB"/>
    <w:rsid w:val="00E52632"/>
    <w:rsid w:val="00E527AF"/>
    <w:rsid w:val="00E530FE"/>
    <w:rsid w:val="00E53373"/>
    <w:rsid w:val="00E53ABB"/>
    <w:rsid w:val="00E53B74"/>
    <w:rsid w:val="00E53DC9"/>
    <w:rsid w:val="00E541F9"/>
    <w:rsid w:val="00E5421D"/>
    <w:rsid w:val="00E545C7"/>
    <w:rsid w:val="00E5603E"/>
    <w:rsid w:val="00E56894"/>
    <w:rsid w:val="00E569D9"/>
    <w:rsid w:val="00E569ED"/>
    <w:rsid w:val="00E56F5B"/>
    <w:rsid w:val="00E57191"/>
    <w:rsid w:val="00E57CC2"/>
    <w:rsid w:val="00E57D3B"/>
    <w:rsid w:val="00E602E5"/>
    <w:rsid w:val="00E604F1"/>
    <w:rsid w:val="00E6052D"/>
    <w:rsid w:val="00E6070B"/>
    <w:rsid w:val="00E608D7"/>
    <w:rsid w:val="00E60D0B"/>
    <w:rsid w:val="00E6117A"/>
    <w:rsid w:val="00E61505"/>
    <w:rsid w:val="00E61518"/>
    <w:rsid w:val="00E61D7D"/>
    <w:rsid w:val="00E620FF"/>
    <w:rsid w:val="00E627A8"/>
    <w:rsid w:val="00E62987"/>
    <w:rsid w:val="00E632B7"/>
    <w:rsid w:val="00E632EA"/>
    <w:rsid w:val="00E63701"/>
    <w:rsid w:val="00E63CD3"/>
    <w:rsid w:val="00E63CE0"/>
    <w:rsid w:val="00E640F5"/>
    <w:rsid w:val="00E64251"/>
    <w:rsid w:val="00E642DE"/>
    <w:rsid w:val="00E64E9B"/>
    <w:rsid w:val="00E6502C"/>
    <w:rsid w:val="00E657D1"/>
    <w:rsid w:val="00E65977"/>
    <w:rsid w:val="00E66029"/>
    <w:rsid w:val="00E660C2"/>
    <w:rsid w:val="00E66472"/>
    <w:rsid w:val="00E67006"/>
    <w:rsid w:val="00E67133"/>
    <w:rsid w:val="00E678B1"/>
    <w:rsid w:val="00E67CA3"/>
    <w:rsid w:val="00E70028"/>
    <w:rsid w:val="00E7047D"/>
    <w:rsid w:val="00E70591"/>
    <w:rsid w:val="00E70C44"/>
    <w:rsid w:val="00E70E6B"/>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2EB"/>
    <w:rsid w:val="00E839CC"/>
    <w:rsid w:val="00E83A2E"/>
    <w:rsid w:val="00E83A42"/>
    <w:rsid w:val="00E83D78"/>
    <w:rsid w:val="00E840D1"/>
    <w:rsid w:val="00E84380"/>
    <w:rsid w:val="00E8447C"/>
    <w:rsid w:val="00E844B0"/>
    <w:rsid w:val="00E84A0E"/>
    <w:rsid w:val="00E84A94"/>
    <w:rsid w:val="00E84D6F"/>
    <w:rsid w:val="00E84D9D"/>
    <w:rsid w:val="00E85382"/>
    <w:rsid w:val="00E85396"/>
    <w:rsid w:val="00E8568D"/>
    <w:rsid w:val="00E85719"/>
    <w:rsid w:val="00E860DD"/>
    <w:rsid w:val="00E86311"/>
    <w:rsid w:val="00E8666D"/>
    <w:rsid w:val="00E86A13"/>
    <w:rsid w:val="00E86E22"/>
    <w:rsid w:val="00E8740E"/>
    <w:rsid w:val="00E8744D"/>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63B"/>
    <w:rsid w:val="00E95AE5"/>
    <w:rsid w:val="00E96060"/>
    <w:rsid w:val="00E96794"/>
    <w:rsid w:val="00E96C79"/>
    <w:rsid w:val="00E97048"/>
    <w:rsid w:val="00E97322"/>
    <w:rsid w:val="00E97413"/>
    <w:rsid w:val="00E977F8"/>
    <w:rsid w:val="00E9782F"/>
    <w:rsid w:val="00E97B7A"/>
    <w:rsid w:val="00E97D30"/>
    <w:rsid w:val="00EA10A9"/>
    <w:rsid w:val="00EA142E"/>
    <w:rsid w:val="00EA2171"/>
    <w:rsid w:val="00EA232E"/>
    <w:rsid w:val="00EA3169"/>
    <w:rsid w:val="00EA3664"/>
    <w:rsid w:val="00EA371A"/>
    <w:rsid w:val="00EA3B96"/>
    <w:rsid w:val="00EA3EF7"/>
    <w:rsid w:val="00EA4E2B"/>
    <w:rsid w:val="00EA62A9"/>
    <w:rsid w:val="00EA74C2"/>
    <w:rsid w:val="00EA78E0"/>
    <w:rsid w:val="00EA793A"/>
    <w:rsid w:val="00EA7A53"/>
    <w:rsid w:val="00EA7B65"/>
    <w:rsid w:val="00EA7E27"/>
    <w:rsid w:val="00EA7ED7"/>
    <w:rsid w:val="00EA7F69"/>
    <w:rsid w:val="00EA7FDF"/>
    <w:rsid w:val="00EB000A"/>
    <w:rsid w:val="00EB06E0"/>
    <w:rsid w:val="00EB0869"/>
    <w:rsid w:val="00EB0970"/>
    <w:rsid w:val="00EB09F7"/>
    <w:rsid w:val="00EB0BED"/>
    <w:rsid w:val="00EB0C47"/>
    <w:rsid w:val="00EB0D34"/>
    <w:rsid w:val="00EB1980"/>
    <w:rsid w:val="00EB1F5A"/>
    <w:rsid w:val="00EB2E17"/>
    <w:rsid w:val="00EB319C"/>
    <w:rsid w:val="00EB31FC"/>
    <w:rsid w:val="00EB384D"/>
    <w:rsid w:val="00EB3B1A"/>
    <w:rsid w:val="00EB3B7E"/>
    <w:rsid w:val="00EB4583"/>
    <w:rsid w:val="00EB4796"/>
    <w:rsid w:val="00EB502E"/>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2A32"/>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08EE"/>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9D0"/>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3F3"/>
    <w:rsid w:val="00EF351A"/>
    <w:rsid w:val="00EF39BC"/>
    <w:rsid w:val="00EF3C91"/>
    <w:rsid w:val="00EF3EBB"/>
    <w:rsid w:val="00EF4884"/>
    <w:rsid w:val="00EF4AF2"/>
    <w:rsid w:val="00EF50AD"/>
    <w:rsid w:val="00EF5A22"/>
    <w:rsid w:val="00EF6231"/>
    <w:rsid w:val="00EF68A3"/>
    <w:rsid w:val="00EF72EA"/>
    <w:rsid w:val="00EF7A06"/>
    <w:rsid w:val="00F0028A"/>
    <w:rsid w:val="00F0137E"/>
    <w:rsid w:val="00F02261"/>
    <w:rsid w:val="00F024C8"/>
    <w:rsid w:val="00F02D89"/>
    <w:rsid w:val="00F02F8A"/>
    <w:rsid w:val="00F03259"/>
    <w:rsid w:val="00F03E94"/>
    <w:rsid w:val="00F03FFF"/>
    <w:rsid w:val="00F0424E"/>
    <w:rsid w:val="00F04EAF"/>
    <w:rsid w:val="00F051F8"/>
    <w:rsid w:val="00F05431"/>
    <w:rsid w:val="00F057C7"/>
    <w:rsid w:val="00F06174"/>
    <w:rsid w:val="00F0628D"/>
    <w:rsid w:val="00F06E7A"/>
    <w:rsid w:val="00F07015"/>
    <w:rsid w:val="00F07228"/>
    <w:rsid w:val="00F07967"/>
    <w:rsid w:val="00F07ADD"/>
    <w:rsid w:val="00F07E1A"/>
    <w:rsid w:val="00F10CE4"/>
    <w:rsid w:val="00F10EDB"/>
    <w:rsid w:val="00F1163C"/>
    <w:rsid w:val="00F1292D"/>
    <w:rsid w:val="00F12C83"/>
    <w:rsid w:val="00F12D79"/>
    <w:rsid w:val="00F1336F"/>
    <w:rsid w:val="00F141CB"/>
    <w:rsid w:val="00F141ED"/>
    <w:rsid w:val="00F14778"/>
    <w:rsid w:val="00F15B7B"/>
    <w:rsid w:val="00F15E17"/>
    <w:rsid w:val="00F15FC4"/>
    <w:rsid w:val="00F1608A"/>
    <w:rsid w:val="00F160C9"/>
    <w:rsid w:val="00F16257"/>
    <w:rsid w:val="00F1693E"/>
    <w:rsid w:val="00F1751B"/>
    <w:rsid w:val="00F1761A"/>
    <w:rsid w:val="00F17B25"/>
    <w:rsid w:val="00F17D1A"/>
    <w:rsid w:val="00F17FD8"/>
    <w:rsid w:val="00F20405"/>
    <w:rsid w:val="00F2107A"/>
    <w:rsid w:val="00F212BB"/>
    <w:rsid w:val="00F21327"/>
    <w:rsid w:val="00F21DB2"/>
    <w:rsid w:val="00F22289"/>
    <w:rsid w:val="00F222DB"/>
    <w:rsid w:val="00F226EE"/>
    <w:rsid w:val="00F22BE9"/>
    <w:rsid w:val="00F22C21"/>
    <w:rsid w:val="00F22D67"/>
    <w:rsid w:val="00F22E5F"/>
    <w:rsid w:val="00F2344E"/>
    <w:rsid w:val="00F23E1B"/>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BC6"/>
    <w:rsid w:val="00F32D4C"/>
    <w:rsid w:val="00F32EA0"/>
    <w:rsid w:val="00F330C4"/>
    <w:rsid w:val="00F3312E"/>
    <w:rsid w:val="00F3375D"/>
    <w:rsid w:val="00F33AD9"/>
    <w:rsid w:val="00F34E09"/>
    <w:rsid w:val="00F34F79"/>
    <w:rsid w:val="00F350F7"/>
    <w:rsid w:val="00F3550F"/>
    <w:rsid w:val="00F35561"/>
    <w:rsid w:val="00F35B34"/>
    <w:rsid w:val="00F3640E"/>
    <w:rsid w:val="00F367A0"/>
    <w:rsid w:val="00F36DA0"/>
    <w:rsid w:val="00F36DF3"/>
    <w:rsid w:val="00F3742C"/>
    <w:rsid w:val="00F37601"/>
    <w:rsid w:val="00F3763B"/>
    <w:rsid w:val="00F376F1"/>
    <w:rsid w:val="00F402A0"/>
    <w:rsid w:val="00F40B6D"/>
    <w:rsid w:val="00F40D95"/>
    <w:rsid w:val="00F41271"/>
    <w:rsid w:val="00F41310"/>
    <w:rsid w:val="00F41DF7"/>
    <w:rsid w:val="00F42EF1"/>
    <w:rsid w:val="00F43241"/>
    <w:rsid w:val="00F4353A"/>
    <w:rsid w:val="00F443C0"/>
    <w:rsid w:val="00F4460D"/>
    <w:rsid w:val="00F44AAB"/>
    <w:rsid w:val="00F44C54"/>
    <w:rsid w:val="00F450F2"/>
    <w:rsid w:val="00F45477"/>
    <w:rsid w:val="00F46983"/>
    <w:rsid w:val="00F46A48"/>
    <w:rsid w:val="00F46CA3"/>
    <w:rsid w:val="00F47376"/>
    <w:rsid w:val="00F478C1"/>
    <w:rsid w:val="00F47B65"/>
    <w:rsid w:val="00F47D5B"/>
    <w:rsid w:val="00F500F7"/>
    <w:rsid w:val="00F501D0"/>
    <w:rsid w:val="00F503BC"/>
    <w:rsid w:val="00F506C6"/>
    <w:rsid w:val="00F50774"/>
    <w:rsid w:val="00F50D73"/>
    <w:rsid w:val="00F50F97"/>
    <w:rsid w:val="00F50FAA"/>
    <w:rsid w:val="00F50FF1"/>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C54"/>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1CD0"/>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72D"/>
    <w:rsid w:val="00F87AA7"/>
    <w:rsid w:val="00F906D6"/>
    <w:rsid w:val="00F907A8"/>
    <w:rsid w:val="00F90B96"/>
    <w:rsid w:val="00F90ED2"/>
    <w:rsid w:val="00F90EEB"/>
    <w:rsid w:val="00F913C1"/>
    <w:rsid w:val="00F921A7"/>
    <w:rsid w:val="00F92822"/>
    <w:rsid w:val="00F92F7F"/>
    <w:rsid w:val="00F93318"/>
    <w:rsid w:val="00F9387A"/>
    <w:rsid w:val="00F93B19"/>
    <w:rsid w:val="00F942C3"/>
    <w:rsid w:val="00F942D9"/>
    <w:rsid w:val="00F945A2"/>
    <w:rsid w:val="00F94704"/>
    <w:rsid w:val="00F9478E"/>
    <w:rsid w:val="00F94939"/>
    <w:rsid w:val="00F94A3E"/>
    <w:rsid w:val="00F94AF6"/>
    <w:rsid w:val="00F94B91"/>
    <w:rsid w:val="00F94D4D"/>
    <w:rsid w:val="00F94E14"/>
    <w:rsid w:val="00F9568D"/>
    <w:rsid w:val="00F95742"/>
    <w:rsid w:val="00F95E91"/>
    <w:rsid w:val="00F964E5"/>
    <w:rsid w:val="00F964F3"/>
    <w:rsid w:val="00F966C0"/>
    <w:rsid w:val="00F970A9"/>
    <w:rsid w:val="00F97494"/>
    <w:rsid w:val="00F97540"/>
    <w:rsid w:val="00F97875"/>
    <w:rsid w:val="00F97AA5"/>
    <w:rsid w:val="00F97C56"/>
    <w:rsid w:val="00F97D3E"/>
    <w:rsid w:val="00FA0177"/>
    <w:rsid w:val="00FA0333"/>
    <w:rsid w:val="00FA03AA"/>
    <w:rsid w:val="00FA04B7"/>
    <w:rsid w:val="00FA062E"/>
    <w:rsid w:val="00FA1AE9"/>
    <w:rsid w:val="00FA1C24"/>
    <w:rsid w:val="00FA2243"/>
    <w:rsid w:val="00FA224A"/>
    <w:rsid w:val="00FA24D9"/>
    <w:rsid w:val="00FA2B87"/>
    <w:rsid w:val="00FA3202"/>
    <w:rsid w:val="00FA3C51"/>
    <w:rsid w:val="00FA4701"/>
    <w:rsid w:val="00FA4704"/>
    <w:rsid w:val="00FA4B77"/>
    <w:rsid w:val="00FA4D1B"/>
    <w:rsid w:val="00FA5995"/>
    <w:rsid w:val="00FA5DFC"/>
    <w:rsid w:val="00FA60DA"/>
    <w:rsid w:val="00FA6D34"/>
    <w:rsid w:val="00FA71C7"/>
    <w:rsid w:val="00FA7278"/>
    <w:rsid w:val="00FA7A0F"/>
    <w:rsid w:val="00FA7A35"/>
    <w:rsid w:val="00FA7A6C"/>
    <w:rsid w:val="00FA7F66"/>
    <w:rsid w:val="00FB051B"/>
    <w:rsid w:val="00FB0DB4"/>
    <w:rsid w:val="00FB0F1F"/>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A98"/>
    <w:rsid w:val="00FB7F44"/>
    <w:rsid w:val="00FB7F8F"/>
    <w:rsid w:val="00FC0DA6"/>
    <w:rsid w:val="00FC155D"/>
    <w:rsid w:val="00FC169C"/>
    <w:rsid w:val="00FC1883"/>
    <w:rsid w:val="00FC19D4"/>
    <w:rsid w:val="00FC20B0"/>
    <w:rsid w:val="00FC22F7"/>
    <w:rsid w:val="00FC247C"/>
    <w:rsid w:val="00FC31B8"/>
    <w:rsid w:val="00FC340C"/>
    <w:rsid w:val="00FC3791"/>
    <w:rsid w:val="00FC43E4"/>
    <w:rsid w:val="00FC4593"/>
    <w:rsid w:val="00FC4777"/>
    <w:rsid w:val="00FC4E98"/>
    <w:rsid w:val="00FC5423"/>
    <w:rsid w:val="00FC56E8"/>
    <w:rsid w:val="00FC6910"/>
    <w:rsid w:val="00FC6CD7"/>
    <w:rsid w:val="00FC7391"/>
    <w:rsid w:val="00FC7A67"/>
    <w:rsid w:val="00FD0045"/>
    <w:rsid w:val="00FD0555"/>
    <w:rsid w:val="00FD078F"/>
    <w:rsid w:val="00FD0CEE"/>
    <w:rsid w:val="00FD1E4E"/>
    <w:rsid w:val="00FD25F7"/>
    <w:rsid w:val="00FD27B2"/>
    <w:rsid w:val="00FD2A56"/>
    <w:rsid w:val="00FD2B4F"/>
    <w:rsid w:val="00FD2BC4"/>
    <w:rsid w:val="00FD2C57"/>
    <w:rsid w:val="00FD2C65"/>
    <w:rsid w:val="00FD2D03"/>
    <w:rsid w:val="00FD32D5"/>
    <w:rsid w:val="00FD3A2C"/>
    <w:rsid w:val="00FD3A8E"/>
    <w:rsid w:val="00FD3FBB"/>
    <w:rsid w:val="00FD452F"/>
    <w:rsid w:val="00FD4594"/>
    <w:rsid w:val="00FD45BF"/>
    <w:rsid w:val="00FD4ABC"/>
    <w:rsid w:val="00FD5165"/>
    <w:rsid w:val="00FD53E1"/>
    <w:rsid w:val="00FD550B"/>
    <w:rsid w:val="00FD5573"/>
    <w:rsid w:val="00FD57EC"/>
    <w:rsid w:val="00FD5ED6"/>
    <w:rsid w:val="00FD6531"/>
    <w:rsid w:val="00FD66F9"/>
    <w:rsid w:val="00FD6C03"/>
    <w:rsid w:val="00FD6EC2"/>
    <w:rsid w:val="00FD7026"/>
    <w:rsid w:val="00FD71C5"/>
    <w:rsid w:val="00FD7900"/>
    <w:rsid w:val="00FD7E46"/>
    <w:rsid w:val="00FD7F45"/>
    <w:rsid w:val="00FE007B"/>
    <w:rsid w:val="00FE0343"/>
    <w:rsid w:val="00FE09BB"/>
    <w:rsid w:val="00FE22BD"/>
    <w:rsid w:val="00FE2720"/>
    <w:rsid w:val="00FE3002"/>
    <w:rsid w:val="00FE318C"/>
    <w:rsid w:val="00FE3784"/>
    <w:rsid w:val="00FE40F3"/>
    <w:rsid w:val="00FE4216"/>
    <w:rsid w:val="00FE45D2"/>
    <w:rsid w:val="00FE48B2"/>
    <w:rsid w:val="00FE5557"/>
    <w:rsid w:val="00FE61FB"/>
    <w:rsid w:val="00FE6249"/>
    <w:rsid w:val="00FE669B"/>
    <w:rsid w:val="00FE6BAD"/>
    <w:rsid w:val="00FE73BB"/>
    <w:rsid w:val="00FE77D0"/>
    <w:rsid w:val="00FE7DB1"/>
    <w:rsid w:val="00FF00CF"/>
    <w:rsid w:val="00FF0524"/>
    <w:rsid w:val="00FF0CAB"/>
    <w:rsid w:val="00FF186D"/>
    <w:rsid w:val="00FF1D77"/>
    <w:rsid w:val="00FF29B9"/>
    <w:rsid w:val="00FF2DC2"/>
    <w:rsid w:val="00FF3208"/>
    <w:rsid w:val="00FF3DC0"/>
    <w:rsid w:val="00FF4758"/>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11EFEE1"/>
    <w:rsid w:val="04AC1131"/>
    <w:rsid w:val="04C1439E"/>
    <w:rsid w:val="04FB16A5"/>
    <w:rsid w:val="053FBD24"/>
    <w:rsid w:val="056A735C"/>
    <w:rsid w:val="06461294"/>
    <w:rsid w:val="066B7EF1"/>
    <w:rsid w:val="06AC972E"/>
    <w:rsid w:val="073524B3"/>
    <w:rsid w:val="07B47CBC"/>
    <w:rsid w:val="07E0DE53"/>
    <w:rsid w:val="0823CB7C"/>
    <w:rsid w:val="084BF2E3"/>
    <w:rsid w:val="09627871"/>
    <w:rsid w:val="09AD5DEC"/>
    <w:rsid w:val="09F0C8C7"/>
    <w:rsid w:val="0A11DA8D"/>
    <w:rsid w:val="0B9A8376"/>
    <w:rsid w:val="0C751AA6"/>
    <w:rsid w:val="0CC54846"/>
    <w:rsid w:val="0E52F377"/>
    <w:rsid w:val="0EF82D45"/>
    <w:rsid w:val="0FEBF038"/>
    <w:rsid w:val="100E36E4"/>
    <w:rsid w:val="100FA860"/>
    <w:rsid w:val="103B0BA8"/>
    <w:rsid w:val="105A50BD"/>
    <w:rsid w:val="10DB8225"/>
    <w:rsid w:val="10E12BD0"/>
    <w:rsid w:val="10F2E120"/>
    <w:rsid w:val="1115A2F9"/>
    <w:rsid w:val="1123DEB9"/>
    <w:rsid w:val="1146798A"/>
    <w:rsid w:val="11D7AA1D"/>
    <w:rsid w:val="135A63F0"/>
    <w:rsid w:val="13DEAF0C"/>
    <w:rsid w:val="14641179"/>
    <w:rsid w:val="15191FAB"/>
    <w:rsid w:val="1597C64A"/>
    <w:rsid w:val="15C3CA65"/>
    <w:rsid w:val="15CAF82F"/>
    <w:rsid w:val="1642F8CC"/>
    <w:rsid w:val="170661E9"/>
    <w:rsid w:val="1755B8C5"/>
    <w:rsid w:val="1762F28C"/>
    <w:rsid w:val="18707A1A"/>
    <w:rsid w:val="189C89F4"/>
    <w:rsid w:val="18EFF90A"/>
    <w:rsid w:val="197C7FEA"/>
    <w:rsid w:val="19813A46"/>
    <w:rsid w:val="1ADFD5B7"/>
    <w:rsid w:val="1AFB83ED"/>
    <w:rsid w:val="1B4446EF"/>
    <w:rsid w:val="1C16B1FC"/>
    <w:rsid w:val="1C54A345"/>
    <w:rsid w:val="1CC52A75"/>
    <w:rsid w:val="1D8E29AB"/>
    <w:rsid w:val="1E4D1B44"/>
    <w:rsid w:val="1EB161AE"/>
    <w:rsid w:val="1F088E4A"/>
    <w:rsid w:val="1F5324FF"/>
    <w:rsid w:val="1FB70024"/>
    <w:rsid w:val="201D7856"/>
    <w:rsid w:val="209E7BCF"/>
    <w:rsid w:val="20DF8238"/>
    <w:rsid w:val="2161A54E"/>
    <w:rsid w:val="2193F663"/>
    <w:rsid w:val="22B7F815"/>
    <w:rsid w:val="23208C67"/>
    <w:rsid w:val="23392AE7"/>
    <w:rsid w:val="238D3E80"/>
    <w:rsid w:val="23EEEC41"/>
    <w:rsid w:val="240A16D4"/>
    <w:rsid w:val="253192E7"/>
    <w:rsid w:val="25C7CF9B"/>
    <w:rsid w:val="26255FAA"/>
    <w:rsid w:val="26582D29"/>
    <w:rsid w:val="269949FD"/>
    <w:rsid w:val="2710EC6F"/>
    <w:rsid w:val="27E6634F"/>
    <w:rsid w:val="2874592D"/>
    <w:rsid w:val="2943CB56"/>
    <w:rsid w:val="295BA303"/>
    <w:rsid w:val="2997BB71"/>
    <w:rsid w:val="2A10DB8F"/>
    <w:rsid w:val="2A7B5D1D"/>
    <w:rsid w:val="2AA18054"/>
    <w:rsid w:val="2B15C551"/>
    <w:rsid w:val="2B453457"/>
    <w:rsid w:val="2BAD2C6E"/>
    <w:rsid w:val="2C56B6C7"/>
    <w:rsid w:val="2CB424FC"/>
    <w:rsid w:val="2D0D205E"/>
    <w:rsid w:val="2E6B2C94"/>
    <w:rsid w:val="2E9213C8"/>
    <w:rsid w:val="2F4EF0A9"/>
    <w:rsid w:val="2FFCFC6C"/>
    <w:rsid w:val="30841766"/>
    <w:rsid w:val="30AC65EA"/>
    <w:rsid w:val="31A2CD56"/>
    <w:rsid w:val="32B56C21"/>
    <w:rsid w:val="32DA172B"/>
    <w:rsid w:val="3435344A"/>
    <w:rsid w:val="3448A04F"/>
    <w:rsid w:val="347B7533"/>
    <w:rsid w:val="3541FC7B"/>
    <w:rsid w:val="35940F3A"/>
    <w:rsid w:val="35A64B3A"/>
    <w:rsid w:val="35E818AC"/>
    <w:rsid w:val="37782C7D"/>
    <w:rsid w:val="3795E2F7"/>
    <w:rsid w:val="37C3777F"/>
    <w:rsid w:val="37C53568"/>
    <w:rsid w:val="37F1D141"/>
    <w:rsid w:val="3842665B"/>
    <w:rsid w:val="384A5B5D"/>
    <w:rsid w:val="39F94037"/>
    <w:rsid w:val="3A1BA075"/>
    <w:rsid w:val="3A5D8121"/>
    <w:rsid w:val="3A67C8EB"/>
    <w:rsid w:val="3B2C3900"/>
    <w:rsid w:val="3CBD2679"/>
    <w:rsid w:val="3DDC1690"/>
    <w:rsid w:val="3E7F8206"/>
    <w:rsid w:val="3F39D7CA"/>
    <w:rsid w:val="401D20BF"/>
    <w:rsid w:val="40326445"/>
    <w:rsid w:val="41955276"/>
    <w:rsid w:val="41C2A0BE"/>
    <w:rsid w:val="428BC6B0"/>
    <w:rsid w:val="43603BB4"/>
    <w:rsid w:val="4436F5B5"/>
    <w:rsid w:val="44B11D4C"/>
    <w:rsid w:val="4558EE02"/>
    <w:rsid w:val="4595548E"/>
    <w:rsid w:val="45CB2C78"/>
    <w:rsid w:val="4608463B"/>
    <w:rsid w:val="46EE576D"/>
    <w:rsid w:val="48B81A2F"/>
    <w:rsid w:val="48CCE4E7"/>
    <w:rsid w:val="48FA55D7"/>
    <w:rsid w:val="4ACDC62C"/>
    <w:rsid w:val="4B6EF130"/>
    <w:rsid w:val="4BE4FD18"/>
    <w:rsid w:val="4C04D9CF"/>
    <w:rsid w:val="4C18E6FC"/>
    <w:rsid w:val="4C36E130"/>
    <w:rsid w:val="4C452D10"/>
    <w:rsid w:val="4D4EF249"/>
    <w:rsid w:val="4D5244CC"/>
    <w:rsid w:val="4D9E9AA1"/>
    <w:rsid w:val="4E021932"/>
    <w:rsid w:val="4F86553A"/>
    <w:rsid w:val="5068A551"/>
    <w:rsid w:val="5079F7CE"/>
    <w:rsid w:val="507E1DDA"/>
    <w:rsid w:val="513B6863"/>
    <w:rsid w:val="51AAE5A0"/>
    <w:rsid w:val="51E458A7"/>
    <w:rsid w:val="5201A212"/>
    <w:rsid w:val="52C850DE"/>
    <w:rsid w:val="52D16011"/>
    <w:rsid w:val="53B007E5"/>
    <w:rsid w:val="53D235F9"/>
    <w:rsid w:val="5522EE17"/>
    <w:rsid w:val="55F87F66"/>
    <w:rsid w:val="560A8353"/>
    <w:rsid w:val="572D5259"/>
    <w:rsid w:val="576518A7"/>
    <w:rsid w:val="57944FC7"/>
    <w:rsid w:val="57E895FF"/>
    <w:rsid w:val="5899FFCB"/>
    <w:rsid w:val="592B8CA2"/>
    <w:rsid w:val="59302028"/>
    <w:rsid w:val="5964334C"/>
    <w:rsid w:val="5A54582B"/>
    <w:rsid w:val="5A6E6632"/>
    <w:rsid w:val="5ACBF089"/>
    <w:rsid w:val="5AE5B132"/>
    <w:rsid w:val="5B8E6A3D"/>
    <w:rsid w:val="5BA63636"/>
    <w:rsid w:val="5C20DEF4"/>
    <w:rsid w:val="5CF16489"/>
    <w:rsid w:val="5D2DFFFC"/>
    <w:rsid w:val="5D857B97"/>
    <w:rsid w:val="5E03914B"/>
    <w:rsid w:val="5E2C9F8A"/>
    <w:rsid w:val="5E6942B8"/>
    <w:rsid w:val="5FA5EDC9"/>
    <w:rsid w:val="5FF483F3"/>
    <w:rsid w:val="6091998B"/>
    <w:rsid w:val="6123790C"/>
    <w:rsid w:val="61ABCF97"/>
    <w:rsid w:val="61F2EA6B"/>
    <w:rsid w:val="622DC610"/>
    <w:rsid w:val="62C14F45"/>
    <w:rsid w:val="62D7026E"/>
    <w:rsid w:val="634EEE60"/>
    <w:rsid w:val="634F68C7"/>
    <w:rsid w:val="6456E7D3"/>
    <w:rsid w:val="648F3575"/>
    <w:rsid w:val="649C8375"/>
    <w:rsid w:val="65A150ED"/>
    <w:rsid w:val="66170CBA"/>
    <w:rsid w:val="663486F3"/>
    <w:rsid w:val="6676E95B"/>
    <w:rsid w:val="6726E7D4"/>
    <w:rsid w:val="6757C8F9"/>
    <w:rsid w:val="67A01B3C"/>
    <w:rsid w:val="6835E23B"/>
    <w:rsid w:val="686DDF03"/>
    <w:rsid w:val="68A040D6"/>
    <w:rsid w:val="68A5348B"/>
    <w:rsid w:val="69359EB4"/>
    <w:rsid w:val="69E45E4D"/>
    <w:rsid w:val="6A72218B"/>
    <w:rsid w:val="6A84CCEB"/>
    <w:rsid w:val="6B5EC9ED"/>
    <w:rsid w:val="6BC58B47"/>
    <w:rsid w:val="6D2DDFA8"/>
    <w:rsid w:val="6DA9354F"/>
    <w:rsid w:val="6F7A04FA"/>
    <w:rsid w:val="70D47F28"/>
    <w:rsid w:val="7165689E"/>
    <w:rsid w:val="719B8048"/>
    <w:rsid w:val="73BB52D0"/>
    <w:rsid w:val="73E74B9D"/>
    <w:rsid w:val="741F37F9"/>
    <w:rsid w:val="743C88DA"/>
    <w:rsid w:val="746FB69E"/>
    <w:rsid w:val="7490E41F"/>
    <w:rsid w:val="755D28F9"/>
    <w:rsid w:val="756623CC"/>
    <w:rsid w:val="762CB480"/>
    <w:rsid w:val="76727C55"/>
    <w:rsid w:val="77C8186D"/>
    <w:rsid w:val="78833AA2"/>
    <w:rsid w:val="788378F0"/>
    <w:rsid w:val="7977C5C0"/>
    <w:rsid w:val="7A8AEB48"/>
    <w:rsid w:val="7BC39115"/>
    <w:rsid w:val="7C4D8429"/>
    <w:rsid w:val="7C8474BA"/>
    <w:rsid w:val="7CAF9C79"/>
    <w:rsid w:val="7D49C7A8"/>
    <w:rsid w:val="7D6120F1"/>
    <w:rsid w:val="7E5A6DE1"/>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2290179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2947583">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25807706">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4770190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12613432">
      <w:bodyDiv w:val="1"/>
      <w:marLeft w:val="0"/>
      <w:marRight w:val="0"/>
      <w:marTop w:val="0"/>
      <w:marBottom w:val="0"/>
      <w:divBdr>
        <w:top w:val="none" w:sz="0" w:space="0" w:color="auto"/>
        <w:left w:val="none" w:sz="0" w:space="0" w:color="auto"/>
        <w:bottom w:val="none" w:sz="0" w:space="0" w:color="auto"/>
        <w:right w:val="none" w:sz="0" w:space="0" w:color="auto"/>
      </w:divBdr>
      <w:divsChild>
        <w:div w:id="234825014">
          <w:marLeft w:val="0"/>
          <w:marRight w:val="0"/>
          <w:marTop w:val="0"/>
          <w:marBottom w:val="0"/>
          <w:divBdr>
            <w:top w:val="none" w:sz="0" w:space="0" w:color="auto"/>
            <w:left w:val="none" w:sz="0" w:space="0" w:color="auto"/>
            <w:bottom w:val="none" w:sz="0" w:space="0" w:color="auto"/>
            <w:right w:val="none" w:sz="0" w:space="0" w:color="auto"/>
          </w:divBdr>
        </w:div>
        <w:div w:id="768768922">
          <w:marLeft w:val="0"/>
          <w:marRight w:val="0"/>
          <w:marTop w:val="0"/>
          <w:marBottom w:val="0"/>
          <w:divBdr>
            <w:top w:val="none" w:sz="0" w:space="0" w:color="auto"/>
            <w:left w:val="none" w:sz="0" w:space="0" w:color="auto"/>
            <w:bottom w:val="none" w:sz="0" w:space="0" w:color="auto"/>
            <w:right w:val="none" w:sz="0" w:space="0" w:color="auto"/>
          </w:divBdr>
        </w:div>
        <w:div w:id="779102270">
          <w:marLeft w:val="0"/>
          <w:marRight w:val="0"/>
          <w:marTop w:val="0"/>
          <w:marBottom w:val="0"/>
          <w:divBdr>
            <w:top w:val="none" w:sz="0" w:space="0" w:color="auto"/>
            <w:left w:val="none" w:sz="0" w:space="0" w:color="auto"/>
            <w:bottom w:val="none" w:sz="0" w:space="0" w:color="auto"/>
            <w:right w:val="none" w:sz="0" w:space="0" w:color="auto"/>
          </w:divBdr>
        </w:div>
        <w:div w:id="884561850">
          <w:marLeft w:val="0"/>
          <w:marRight w:val="0"/>
          <w:marTop w:val="0"/>
          <w:marBottom w:val="0"/>
          <w:divBdr>
            <w:top w:val="none" w:sz="0" w:space="0" w:color="auto"/>
            <w:left w:val="none" w:sz="0" w:space="0" w:color="auto"/>
            <w:bottom w:val="none" w:sz="0" w:space="0" w:color="auto"/>
            <w:right w:val="none" w:sz="0" w:space="0" w:color="auto"/>
          </w:divBdr>
        </w:div>
        <w:div w:id="1629891692">
          <w:marLeft w:val="0"/>
          <w:marRight w:val="0"/>
          <w:marTop w:val="0"/>
          <w:marBottom w:val="0"/>
          <w:divBdr>
            <w:top w:val="none" w:sz="0" w:space="0" w:color="auto"/>
            <w:left w:val="none" w:sz="0" w:space="0" w:color="auto"/>
            <w:bottom w:val="none" w:sz="0" w:space="0" w:color="auto"/>
            <w:right w:val="none" w:sz="0" w:space="0" w:color="auto"/>
          </w:divBdr>
        </w:div>
        <w:div w:id="1733429833">
          <w:marLeft w:val="0"/>
          <w:marRight w:val="0"/>
          <w:marTop w:val="0"/>
          <w:marBottom w:val="0"/>
          <w:divBdr>
            <w:top w:val="none" w:sz="0" w:space="0" w:color="auto"/>
            <w:left w:val="none" w:sz="0" w:space="0" w:color="auto"/>
            <w:bottom w:val="none" w:sz="0" w:space="0" w:color="auto"/>
            <w:right w:val="none" w:sz="0" w:space="0" w:color="auto"/>
          </w:divBdr>
        </w:div>
        <w:div w:id="1859729423">
          <w:marLeft w:val="0"/>
          <w:marRight w:val="0"/>
          <w:marTop w:val="0"/>
          <w:marBottom w:val="0"/>
          <w:divBdr>
            <w:top w:val="none" w:sz="0" w:space="0" w:color="auto"/>
            <w:left w:val="none" w:sz="0" w:space="0" w:color="auto"/>
            <w:bottom w:val="none" w:sz="0" w:space="0" w:color="auto"/>
            <w:right w:val="none" w:sz="0" w:space="0" w:color="auto"/>
          </w:divBdr>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32879579">
      <w:bodyDiv w:val="1"/>
      <w:marLeft w:val="0"/>
      <w:marRight w:val="0"/>
      <w:marTop w:val="0"/>
      <w:marBottom w:val="0"/>
      <w:divBdr>
        <w:top w:val="none" w:sz="0" w:space="0" w:color="auto"/>
        <w:left w:val="none" w:sz="0" w:space="0" w:color="auto"/>
        <w:bottom w:val="none" w:sz="0" w:space="0" w:color="auto"/>
        <w:right w:val="none" w:sz="0" w:space="0" w:color="auto"/>
      </w:divBdr>
    </w:div>
    <w:div w:id="13383385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71568731">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43205318">
      <w:bodyDiv w:val="1"/>
      <w:marLeft w:val="0"/>
      <w:marRight w:val="0"/>
      <w:marTop w:val="0"/>
      <w:marBottom w:val="0"/>
      <w:divBdr>
        <w:top w:val="none" w:sz="0" w:space="0" w:color="auto"/>
        <w:left w:val="none" w:sz="0" w:space="0" w:color="auto"/>
        <w:bottom w:val="none" w:sz="0" w:space="0" w:color="auto"/>
        <w:right w:val="none" w:sz="0" w:space="0" w:color="auto"/>
      </w:divBdr>
    </w:div>
    <w:div w:id="1556887924">
      <w:bodyDiv w:val="1"/>
      <w:marLeft w:val="0"/>
      <w:marRight w:val="0"/>
      <w:marTop w:val="0"/>
      <w:marBottom w:val="0"/>
      <w:divBdr>
        <w:top w:val="none" w:sz="0" w:space="0" w:color="auto"/>
        <w:left w:val="none" w:sz="0" w:space="0" w:color="auto"/>
        <w:bottom w:val="none" w:sz="0" w:space="0" w:color="auto"/>
        <w:right w:val="none" w:sz="0" w:space="0" w:color="auto"/>
      </w:divBdr>
      <w:divsChild>
        <w:div w:id="567109590">
          <w:marLeft w:val="0"/>
          <w:marRight w:val="0"/>
          <w:marTop w:val="0"/>
          <w:marBottom w:val="0"/>
          <w:divBdr>
            <w:top w:val="none" w:sz="0" w:space="0" w:color="auto"/>
            <w:left w:val="none" w:sz="0" w:space="0" w:color="auto"/>
            <w:bottom w:val="none" w:sz="0" w:space="0" w:color="auto"/>
            <w:right w:val="none" w:sz="0" w:space="0" w:color="auto"/>
          </w:divBdr>
        </w:div>
        <w:div w:id="605692328">
          <w:marLeft w:val="0"/>
          <w:marRight w:val="0"/>
          <w:marTop w:val="0"/>
          <w:marBottom w:val="0"/>
          <w:divBdr>
            <w:top w:val="none" w:sz="0" w:space="0" w:color="auto"/>
            <w:left w:val="none" w:sz="0" w:space="0" w:color="auto"/>
            <w:bottom w:val="none" w:sz="0" w:space="0" w:color="auto"/>
            <w:right w:val="none" w:sz="0" w:space="0" w:color="auto"/>
          </w:divBdr>
        </w:div>
        <w:div w:id="707292119">
          <w:marLeft w:val="0"/>
          <w:marRight w:val="0"/>
          <w:marTop w:val="0"/>
          <w:marBottom w:val="0"/>
          <w:divBdr>
            <w:top w:val="none" w:sz="0" w:space="0" w:color="auto"/>
            <w:left w:val="none" w:sz="0" w:space="0" w:color="auto"/>
            <w:bottom w:val="none" w:sz="0" w:space="0" w:color="auto"/>
            <w:right w:val="none" w:sz="0" w:space="0" w:color="auto"/>
          </w:divBdr>
        </w:div>
        <w:div w:id="744451254">
          <w:marLeft w:val="0"/>
          <w:marRight w:val="0"/>
          <w:marTop w:val="0"/>
          <w:marBottom w:val="0"/>
          <w:divBdr>
            <w:top w:val="none" w:sz="0" w:space="0" w:color="auto"/>
            <w:left w:val="none" w:sz="0" w:space="0" w:color="auto"/>
            <w:bottom w:val="none" w:sz="0" w:space="0" w:color="auto"/>
            <w:right w:val="none" w:sz="0" w:space="0" w:color="auto"/>
          </w:divBdr>
        </w:div>
        <w:div w:id="812793282">
          <w:marLeft w:val="0"/>
          <w:marRight w:val="0"/>
          <w:marTop w:val="0"/>
          <w:marBottom w:val="0"/>
          <w:divBdr>
            <w:top w:val="none" w:sz="0" w:space="0" w:color="auto"/>
            <w:left w:val="none" w:sz="0" w:space="0" w:color="auto"/>
            <w:bottom w:val="none" w:sz="0" w:space="0" w:color="auto"/>
            <w:right w:val="none" w:sz="0" w:space="0" w:color="auto"/>
          </w:divBdr>
        </w:div>
        <w:div w:id="1161969429">
          <w:marLeft w:val="0"/>
          <w:marRight w:val="0"/>
          <w:marTop w:val="0"/>
          <w:marBottom w:val="0"/>
          <w:divBdr>
            <w:top w:val="none" w:sz="0" w:space="0" w:color="auto"/>
            <w:left w:val="none" w:sz="0" w:space="0" w:color="auto"/>
            <w:bottom w:val="none" w:sz="0" w:space="0" w:color="auto"/>
            <w:right w:val="none" w:sz="0" w:space="0" w:color="auto"/>
          </w:divBdr>
        </w:div>
        <w:div w:id="1916431001">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581940007">
      <w:bodyDiv w:val="1"/>
      <w:marLeft w:val="0"/>
      <w:marRight w:val="0"/>
      <w:marTop w:val="0"/>
      <w:marBottom w:val="0"/>
      <w:divBdr>
        <w:top w:val="none" w:sz="0" w:space="0" w:color="auto"/>
        <w:left w:val="none" w:sz="0" w:space="0" w:color="auto"/>
        <w:bottom w:val="none" w:sz="0" w:space="0" w:color="auto"/>
        <w:right w:val="none" w:sz="0" w:space="0" w:color="auto"/>
      </w:divBdr>
      <w:divsChild>
        <w:div w:id="240256510">
          <w:marLeft w:val="0"/>
          <w:marRight w:val="0"/>
          <w:marTop w:val="0"/>
          <w:marBottom w:val="0"/>
          <w:divBdr>
            <w:top w:val="none" w:sz="0" w:space="0" w:color="auto"/>
            <w:left w:val="none" w:sz="0" w:space="0" w:color="auto"/>
            <w:bottom w:val="none" w:sz="0" w:space="0" w:color="auto"/>
            <w:right w:val="none" w:sz="0" w:space="0" w:color="auto"/>
          </w:divBdr>
        </w:div>
        <w:div w:id="415826819">
          <w:marLeft w:val="0"/>
          <w:marRight w:val="0"/>
          <w:marTop w:val="0"/>
          <w:marBottom w:val="0"/>
          <w:divBdr>
            <w:top w:val="none" w:sz="0" w:space="0" w:color="auto"/>
            <w:left w:val="none" w:sz="0" w:space="0" w:color="auto"/>
            <w:bottom w:val="none" w:sz="0" w:space="0" w:color="auto"/>
            <w:right w:val="none" w:sz="0" w:space="0" w:color="auto"/>
          </w:divBdr>
        </w:div>
        <w:div w:id="1262492015">
          <w:marLeft w:val="0"/>
          <w:marRight w:val="0"/>
          <w:marTop w:val="0"/>
          <w:marBottom w:val="0"/>
          <w:divBdr>
            <w:top w:val="none" w:sz="0" w:space="0" w:color="auto"/>
            <w:left w:val="none" w:sz="0" w:space="0" w:color="auto"/>
            <w:bottom w:val="none" w:sz="0" w:space="0" w:color="auto"/>
            <w:right w:val="none" w:sz="0" w:space="0" w:color="auto"/>
          </w:divBdr>
        </w:div>
        <w:div w:id="1378894199">
          <w:marLeft w:val="0"/>
          <w:marRight w:val="0"/>
          <w:marTop w:val="0"/>
          <w:marBottom w:val="0"/>
          <w:divBdr>
            <w:top w:val="none" w:sz="0" w:space="0" w:color="auto"/>
            <w:left w:val="none" w:sz="0" w:space="0" w:color="auto"/>
            <w:bottom w:val="none" w:sz="0" w:space="0" w:color="auto"/>
            <w:right w:val="none" w:sz="0" w:space="0" w:color="auto"/>
          </w:divBdr>
        </w:div>
        <w:div w:id="1600793005">
          <w:marLeft w:val="0"/>
          <w:marRight w:val="0"/>
          <w:marTop w:val="0"/>
          <w:marBottom w:val="0"/>
          <w:divBdr>
            <w:top w:val="none" w:sz="0" w:space="0" w:color="auto"/>
            <w:left w:val="none" w:sz="0" w:space="0" w:color="auto"/>
            <w:bottom w:val="none" w:sz="0" w:space="0" w:color="auto"/>
            <w:right w:val="none" w:sz="0" w:space="0" w:color="auto"/>
          </w:divBdr>
        </w:div>
        <w:div w:id="1733195307">
          <w:marLeft w:val="0"/>
          <w:marRight w:val="0"/>
          <w:marTop w:val="0"/>
          <w:marBottom w:val="0"/>
          <w:divBdr>
            <w:top w:val="none" w:sz="0" w:space="0" w:color="auto"/>
            <w:left w:val="none" w:sz="0" w:space="0" w:color="auto"/>
            <w:bottom w:val="none" w:sz="0" w:space="0" w:color="auto"/>
            <w:right w:val="none" w:sz="0" w:space="0" w:color="auto"/>
          </w:divBdr>
        </w:div>
        <w:div w:id="1865903734">
          <w:marLeft w:val="0"/>
          <w:marRight w:val="0"/>
          <w:marTop w:val="0"/>
          <w:marBottom w:val="0"/>
          <w:divBdr>
            <w:top w:val="none" w:sz="0" w:space="0" w:color="auto"/>
            <w:left w:val="none" w:sz="0" w:space="0" w:color="auto"/>
            <w:bottom w:val="none" w:sz="0" w:space="0" w:color="auto"/>
            <w:right w:val="none" w:sz="0" w:space="0" w:color="auto"/>
          </w:divBdr>
        </w:div>
      </w:divsChild>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71375011">
      <w:bodyDiv w:val="1"/>
      <w:marLeft w:val="0"/>
      <w:marRight w:val="0"/>
      <w:marTop w:val="0"/>
      <w:marBottom w:val="0"/>
      <w:divBdr>
        <w:top w:val="none" w:sz="0" w:space="0" w:color="auto"/>
        <w:left w:val="none" w:sz="0" w:space="0" w:color="auto"/>
        <w:bottom w:val="none" w:sz="0" w:space="0" w:color="auto"/>
        <w:right w:val="none" w:sz="0" w:space="0" w:color="auto"/>
      </w:divBdr>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 w:id="2093579165">
      <w:bodyDiv w:val="1"/>
      <w:marLeft w:val="0"/>
      <w:marRight w:val="0"/>
      <w:marTop w:val="0"/>
      <w:marBottom w:val="0"/>
      <w:divBdr>
        <w:top w:val="none" w:sz="0" w:space="0" w:color="auto"/>
        <w:left w:val="none" w:sz="0" w:space="0" w:color="auto"/>
        <w:bottom w:val="none" w:sz="0" w:space="0" w:color="auto"/>
        <w:right w:val="none" w:sz="0" w:space="0" w:color="auto"/>
      </w:divBdr>
    </w:div>
    <w:div w:id="2105414896">
      <w:bodyDiv w:val="1"/>
      <w:marLeft w:val="0"/>
      <w:marRight w:val="0"/>
      <w:marTop w:val="0"/>
      <w:marBottom w:val="0"/>
      <w:divBdr>
        <w:top w:val="none" w:sz="0" w:space="0" w:color="auto"/>
        <w:left w:val="none" w:sz="0" w:space="0" w:color="auto"/>
        <w:bottom w:val="none" w:sz="0" w:space="0" w:color="auto"/>
        <w:right w:val="none" w:sz="0" w:space="0" w:color="auto"/>
      </w:divBdr>
    </w:div>
    <w:div w:id="2109108834">
      <w:bodyDiv w:val="1"/>
      <w:marLeft w:val="0"/>
      <w:marRight w:val="0"/>
      <w:marTop w:val="0"/>
      <w:marBottom w:val="0"/>
      <w:divBdr>
        <w:top w:val="none" w:sz="0" w:space="0" w:color="auto"/>
        <w:left w:val="none" w:sz="0" w:space="0" w:color="auto"/>
        <w:bottom w:val="none" w:sz="0" w:space="0" w:color="auto"/>
        <w:right w:val="none" w:sz="0" w:space="0" w:color="auto"/>
      </w:divBdr>
      <w:divsChild>
        <w:div w:id="93670178">
          <w:marLeft w:val="0"/>
          <w:marRight w:val="0"/>
          <w:marTop w:val="0"/>
          <w:marBottom w:val="0"/>
          <w:divBdr>
            <w:top w:val="none" w:sz="0" w:space="0" w:color="auto"/>
            <w:left w:val="none" w:sz="0" w:space="0" w:color="auto"/>
            <w:bottom w:val="none" w:sz="0" w:space="0" w:color="auto"/>
            <w:right w:val="none" w:sz="0" w:space="0" w:color="auto"/>
          </w:divBdr>
        </w:div>
        <w:div w:id="375738705">
          <w:marLeft w:val="0"/>
          <w:marRight w:val="0"/>
          <w:marTop w:val="0"/>
          <w:marBottom w:val="0"/>
          <w:divBdr>
            <w:top w:val="none" w:sz="0" w:space="0" w:color="auto"/>
            <w:left w:val="none" w:sz="0" w:space="0" w:color="auto"/>
            <w:bottom w:val="none" w:sz="0" w:space="0" w:color="auto"/>
            <w:right w:val="none" w:sz="0" w:space="0" w:color="auto"/>
          </w:divBdr>
        </w:div>
        <w:div w:id="672029878">
          <w:marLeft w:val="0"/>
          <w:marRight w:val="0"/>
          <w:marTop w:val="0"/>
          <w:marBottom w:val="0"/>
          <w:divBdr>
            <w:top w:val="none" w:sz="0" w:space="0" w:color="auto"/>
            <w:left w:val="none" w:sz="0" w:space="0" w:color="auto"/>
            <w:bottom w:val="none" w:sz="0" w:space="0" w:color="auto"/>
            <w:right w:val="none" w:sz="0" w:space="0" w:color="auto"/>
          </w:divBdr>
        </w:div>
        <w:div w:id="845051951">
          <w:marLeft w:val="0"/>
          <w:marRight w:val="0"/>
          <w:marTop w:val="0"/>
          <w:marBottom w:val="0"/>
          <w:divBdr>
            <w:top w:val="none" w:sz="0" w:space="0" w:color="auto"/>
            <w:left w:val="none" w:sz="0" w:space="0" w:color="auto"/>
            <w:bottom w:val="none" w:sz="0" w:space="0" w:color="auto"/>
            <w:right w:val="none" w:sz="0" w:space="0" w:color="auto"/>
          </w:divBdr>
        </w:div>
        <w:div w:id="1470052239">
          <w:marLeft w:val="0"/>
          <w:marRight w:val="0"/>
          <w:marTop w:val="0"/>
          <w:marBottom w:val="0"/>
          <w:divBdr>
            <w:top w:val="none" w:sz="0" w:space="0" w:color="auto"/>
            <w:left w:val="none" w:sz="0" w:space="0" w:color="auto"/>
            <w:bottom w:val="none" w:sz="0" w:space="0" w:color="auto"/>
            <w:right w:val="none" w:sz="0" w:space="0" w:color="auto"/>
          </w:divBdr>
        </w:div>
        <w:div w:id="1623415794">
          <w:marLeft w:val="0"/>
          <w:marRight w:val="0"/>
          <w:marTop w:val="0"/>
          <w:marBottom w:val="0"/>
          <w:divBdr>
            <w:top w:val="none" w:sz="0" w:space="0" w:color="auto"/>
            <w:left w:val="none" w:sz="0" w:space="0" w:color="auto"/>
            <w:bottom w:val="none" w:sz="0" w:space="0" w:color="auto"/>
            <w:right w:val="none" w:sz="0" w:space="0" w:color="auto"/>
          </w:divBdr>
        </w:div>
        <w:div w:id="19784881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itehouse.gov/presidential-actions/2025/02/ensuring-lawful-governance-and-implementing-the-presidents-department-of-government-efficiency-regulatory-initiativ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gov/media/document/grant-appeals-procedure-109496.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ov/media/document/covid-relief-payment-process-109509.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d.gov/about/news/press-release/us-department-of-education-directs-schools-end-racial-preferenc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gov/media/document/dear-colleague-letter-sffa-v-harvard-109506.pdf" TargetMode="External"/><Relationship Id="rId14" Type="http://schemas.openxmlformats.org/officeDocument/2006/relationships/hyperlink" Target="http://www.bruman.com/training-and-recording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2355</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Federal Update: February 21 - Government Affairs (CA Dept of Education)</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February 21 - Government Affairs (CA Dept of Education)</dc:title>
  <dc:subject>Federal Update Report for February 21, 2025.</dc:subject>
  <dc:creator/>
  <cp:keywords/>
  <dc:description/>
  <cp:lastModifiedBy/>
  <cp:revision>1</cp:revision>
  <dcterms:created xsi:type="dcterms:W3CDTF">2025-04-22T16:46:00Z</dcterms:created>
  <dcterms:modified xsi:type="dcterms:W3CDTF">2025-04-22T16:46:00Z</dcterms:modified>
</cp:coreProperties>
</file>