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3B13F176">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32C1EE8C" w14:textId="576BCD7C" w:rsidR="00196BB4" w:rsidRPr="00C0677C" w:rsidRDefault="00A11D40" w:rsidP="007237A5">
      <w:pPr>
        <w:pStyle w:val="Heading1"/>
        <w:jc w:val="center"/>
      </w:pPr>
      <w:r w:rsidRPr="00D9608F">
        <w:rPr>
          <w:sz w:val="48"/>
          <w:szCs w:val="56"/>
        </w:rPr>
        <w:t>The Federal Update</w:t>
      </w:r>
      <w:bookmarkStart w:id="0" w:name="_Toc222473303"/>
      <w:r w:rsidR="00B61E87">
        <w:br/>
      </w:r>
      <w:r w:rsidR="00B97169">
        <w:rPr>
          <w:sz w:val="32"/>
        </w:rPr>
        <w:t>April 3</w:t>
      </w:r>
      <w:r w:rsidR="008040B1" w:rsidRPr="006B71B6">
        <w:rPr>
          <w:sz w:val="32"/>
        </w:rPr>
        <w:t>, 2026</w:t>
      </w:r>
    </w:p>
    <w:bookmarkEnd w:id="0"/>
    <w:p w14:paraId="1C226C01" w14:textId="10D0E3FF" w:rsidR="003F4824" w:rsidRPr="00B94F62" w:rsidRDefault="00810A87" w:rsidP="00F063A0">
      <w:pPr>
        <w:pStyle w:val="Heading2"/>
        <w:spacing w:after="0"/>
      </w:pPr>
      <w:r w:rsidRPr="00B94F62">
        <w:t>Legislation and Guidance</w:t>
      </w:r>
    </w:p>
    <w:p w14:paraId="6002B6DF" w14:textId="77777777" w:rsidR="00B35A17" w:rsidRDefault="00B35A17" w:rsidP="00B35A17"/>
    <w:p w14:paraId="48500019" w14:textId="2B927497" w:rsidR="0089504D" w:rsidRDefault="0089504D" w:rsidP="007774ED">
      <w:pPr>
        <w:pStyle w:val="Heading3"/>
        <w:jc w:val="left"/>
      </w:pPr>
      <w:r>
        <w:t xml:space="preserve">Trump Administration </w:t>
      </w:r>
      <w:r w:rsidR="00137EEE">
        <w:t xml:space="preserve">Issues </w:t>
      </w:r>
      <w:r>
        <w:t>Fiscal Year 2027 Budget Request</w:t>
      </w:r>
    </w:p>
    <w:p w14:paraId="6392A2FC" w14:textId="77777777" w:rsidR="0089504D" w:rsidRDefault="0089504D" w:rsidP="0089504D"/>
    <w:p w14:paraId="40209D31" w14:textId="7ED3DB4B" w:rsidR="0089504D" w:rsidRDefault="0089504D" w:rsidP="0089504D">
      <w:r>
        <w:t>The White House p</w:t>
      </w:r>
      <w:r w:rsidR="004B1DF2">
        <w:t xml:space="preserve">ublished </w:t>
      </w:r>
      <w:r>
        <w:t xml:space="preserve">its fiscal year </w:t>
      </w:r>
      <w:r w:rsidR="00E5255A">
        <w:t xml:space="preserve">(FY) </w:t>
      </w:r>
      <w:r>
        <w:t xml:space="preserve">2027 budget request Friday, issuing </w:t>
      </w:r>
      <w:hyperlink r:id="rId9" w:tooltip="FY 2027 budget resources" w:history="1">
        <w:r w:rsidRPr="00137EEE">
          <w:rPr>
            <w:rStyle w:val="Hyperlink"/>
          </w:rPr>
          <w:t>several fact sheets</w:t>
        </w:r>
      </w:hyperlink>
      <w:r w:rsidR="00137EEE">
        <w:t xml:space="preserve">, as well as </w:t>
      </w:r>
      <w:hyperlink r:id="rId10" w:tooltip="FY 2027 President's Budget Request" w:history="1">
        <w:r w:rsidR="00137EEE" w:rsidRPr="00137EEE">
          <w:rPr>
            <w:rStyle w:val="Hyperlink"/>
          </w:rPr>
          <w:t>full budget document</w:t>
        </w:r>
      </w:hyperlink>
      <w:r w:rsidR="004B1DF2">
        <w:t xml:space="preserve"> with overviews for each federal agency. </w:t>
      </w:r>
      <w:r w:rsidR="005C12FF">
        <w:t>The U.S. Department of Education</w:t>
      </w:r>
      <w:r w:rsidR="002F4F47">
        <w:t xml:space="preserve"> also released </w:t>
      </w:r>
      <w:hyperlink r:id="rId11" w:tooltip="ED FY 2027 budget tables" w:history="1">
        <w:r w:rsidR="002F4F47" w:rsidRPr="002F4F47">
          <w:rPr>
            <w:rStyle w:val="Hyperlink"/>
          </w:rPr>
          <w:t>funding tables</w:t>
        </w:r>
      </w:hyperlink>
      <w:r w:rsidR="002F4F47">
        <w:t xml:space="preserve"> in conjunction with the overall budget document. </w:t>
      </w:r>
    </w:p>
    <w:p w14:paraId="2902CBC1" w14:textId="77777777" w:rsidR="0089504D" w:rsidRDefault="0089504D" w:rsidP="0089504D"/>
    <w:p w14:paraId="3E3B4009" w14:textId="3D366A52" w:rsidR="0089504D" w:rsidRDefault="0089504D" w:rsidP="0089504D">
      <w:r>
        <w:t xml:space="preserve">A </w:t>
      </w:r>
      <w:hyperlink r:id="rId12" w:tooltip="Fiscal Year 2027 Topline Fact Sheet" w:history="1">
        <w:r w:rsidRPr="00DF0DDF">
          <w:rPr>
            <w:rStyle w:val="Hyperlink"/>
          </w:rPr>
          <w:t>“Fiscal Year 2027 Topline” fact sheet</w:t>
        </w:r>
      </w:hyperlink>
      <w:r>
        <w:t xml:space="preserve"> states that the administration is seeking an overall 10 percent decrease to non-defense spending – the category that includes education programs – and a $445 billion (or 42 percent) increase to defense spending. The President proposes </w:t>
      </w:r>
      <w:r w:rsidR="00F17989">
        <w:t xml:space="preserve">that </w:t>
      </w:r>
      <w:r>
        <w:t xml:space="preserve">$350 billion of the total $1.5 trillion defense funding be passed through the budget reconciliation process in Congress, which is a special procedure that only requires a simple majority to pass the Senate, as opposed to the typical 60-vote threshold. Under the current Congress, Republicans can pass a reconciliation bill with no Democratic support, if enough Republicans agree to the budget legislation. </w:t>
      </w:r>
      <w:r w:rsidR="00DD291B">
        <w:t>For the U.S. Department of Education (ED), the President proposes a $2.3 billion, or 2.9 percent overall cut to funding compared to FY 2026.</w:t>
      </w:r>
    </w:p>
    <w:p w14:paraId="2AD7A3AD" w14:textId="77777777" w:rsidR="0089504D" w:rsidRDefault="0089504D" w:rsidP="0089504D"/>
    <w:p w14:paraId="005A0454" w14:textId="4B633D37" w:rsidR="00DD291B" w:rsidRDefault="00DD291B" w:rsidP="0089504D">
      <w:r>
        <w:t xml:space="preserve">The President seeks level-funding for Title I-A under the Elementary and Secondary Education Act (ESEA) and reintroduces </w:t>
      </w:r>
      <w:r w:rsidR="004B1DF2">
        <w:t xml:space="preserve">the </w:t>
      </w:r>
      <w:r>
        <w:t xml:space="preserve">block grant </w:t>
      </w:r>
      <w:r w:rsidR="004B1DF2">
        <w:t>that was included in the FY 2026 budget proposal that would consolidate 17</w:t>
      </w:r>
      <w:r>
        <w:t xml:space="preserve"> </w:t>
      </w:r>
      <w:r w:rsidR="001E4AA0">
        <w:t xml:space="preserve">other </w:t>
      </w:r>
      <w:r>
        <w:t>K-12 programs</w:t>
      </w:r>
      <w:r w:rsidR="004B1DF2">
        <w:t>. The newly-named</w:t>
      </w:r>
      <w:r>
        <w:t xml:space="preserve"> </w:t>
      </w:r>
      <w:r w:rsidR="004B1DF2">
        <w:t>“</w:t>
      </w:r>
      <w:r>
        <w:t>Making Education Great Again</w:t>
      </w:r>
      <w:r w:rsidR="004B1DF2">
        <w:t>”</w:t>
      </w:r>
      <w:r>
        <w:t xml:space="preserve"> grant</w:t>
      </w:r>
      <w:r w:rsidR="004B1DF2">
        <w:t xml:space="preserve"> would be funded at $2 billion – the same amount proposed in the FY 2026 budget for what was called the “K-12 Simplified Funding program.” That block grant would amount to a $4.5 billion cut for education funding compared to current levels for the included programs. In addition, the administration proposes a $539 million increase for Individuals with Disabilities Education Act programs</w:t>
      </w:r>
      <w:r w:rsidR="00BE295E">
        <w:t xml:space="preserve"> and a consolidation of some special education programs,</w:t>
      </w:r>
      <w:r w:rsidR="004B1DF2">
        <w:t xml:space="preserve"> a</w:t>
      </w:r>
      <w:r w:rsidR="00BE295E">
        <w:t>s well as</w:t>
      </w:r>
      <w:r w:rsidR="004B1DF2">
        <w:t xml:space="preserve"> a $500 million boost for the Charter School Program. </w:t>
      </w:r>
      <w:r w:rsidR="001E4AA0">
        <w:t xml:space="preserve">The budget addresses </w:t>
      </w:r>
      <w:r w:rsidR="00BE295E">
        <w:t>a projected</w:t>
      </w:r>
      <w:r w:rsidR="001E4AA0">
        <w:t xml:space="preserve"> Pell grant shortfall as </w:t>
      </w:r>
      <w:r w:rsidR="001E4AA0">
        <w:lastRenderedPageBreak/>
        <w:t xml:space="preserve">well, proposing an increase of $10.5 billion. </w:t>
      </w:r>
    </w:p>
    <w:p w14:paraId="0CDFB897" w14:textId="77777777" w:rsidR="004B1DF2" w:rsidRDefault="004B1DF2" w:rsidP="0089504D"/>
    <w:p w14:paraId="77124B35" w14:textId="4CAF4A13" w:rsidR="004B1DF2" w:rsidRDefault="004B1DF2" w:rsidP="0089504D">
      <w:r>
        <w:t xml:space="preserve">The administration also suggests eliminating a number of education programs that it considers “woke,” including the Migrant Education Program (ESEA Title I-C), the English Language Acquisition program (ESEA Title III-A), Teacher Quality Partnerships (TQP), Equity Assistance Centers, Comprehensive Centers, the Minority-Serving Institutions (MSIs) program, the Fund for the Improvement of Postsecondary Education (FIPSE), and </w:t>
      </w:r>
      <w:r w:rsidRPr="004B1DF2">
        <w:t>International and Foreign Language Education</w:t>
      </w:r>
      <w:r>
        <w:t xml:space="preserve">. </w:t>
      </w:r>
    </w:p>
    <w:p w14:paraId="008C7238" w14:textId="77777777" w:rsidR="004B1DF2" w:rsidRDefault="004B1DF2" w:rsidP="0089504D"/>
    <w:p w14:paraId="02146DF1" w14:textId="17ACBA9B" w:rsidR="0089504D" w:rsidRDefault="001E4AA0" w:rsidP="0089504D">
      <w:r>
        <w:t>Many</w:t>
      </w:r>
      <w:r w:rsidR="0089504D">
        <w:t xml:space="preserve"> of the education programs suggested for elimination have been targeted by the U.S. Department of Education (ED) over the past year. ED shifted $350 million in funding away from portions of the MSI program last year and reworked the FIPSE grant priorities</w:t>
      </w:r>
      <w:r>
        <w:t xml:space="preserve"> and Comprehensive Centers priorities</w:t>
      </w:r>
      <w:r w:rsidR="0089504D">
        <w:t xml:space="preserve"> to align better with administration policies. In addition, TQP grants and Equity Assistance Center funding and contracts were cancelled because, according to ED, the programs were supporting diversity, equity, and inclusion activities.</w:t>
      </w:r>
    </w:p>
    <w:p w14:paraId="1306530E" w14:textId="77777777" w:rsidR="0089504D" w:rsidRDefault="0089504D" w:rsidP="0089504D"/>
    <w:p w14:paraId="64CA73C4" w14:textId="0A4C7757" w:rsidR="0089504D" w:rsidRDefault="001E4AA0" w:rsidP="0089504D">
      <w:r>
        <w:t>On the workforce front, the budget</w:t>
      </w:r>
      <w:r w:rsidR="0089504D">
        <w:t xml:space="preserve"> reiterate</w:t>
      </w:r>
      <w:r>
        <w:t>s</w:t>
      </w:r>
      <w:r w:rsidR="0089504D">
        <w:t xml:space="preserve"> last year’s request for a workforce block grant called the Make America Skilled Again program. While details of which programs would be included in the block grant are not provided, </w:t>
      </w:r>
      <w:r>
        <w:t>a</w:t>
      </w:r>
      <w:r w:rsidR="0089504D">
        <w:t xml:space="preserve"> White House </w:t>
      </w:r>
      <w:r>
        <w:t xml:space="preserve">fact sheet </w:t>
      </w:r>
      <w:r w:rsidR="0089504D">
        <w:t>says the grant would give States the “</w:t>
      </w:r>
      <w:r w:rsidR="0089504D" w:rsidRPr="00B125AB">
        <w:t xml:space="preserve">flexibility to spend </w:t>
      </w:r>
      <w:r w:rsidR="0089504D">
        <w:t>[f]</w:t>
      </w:r>
      <w:proofErr w:type="spellStart"/>
      <w:r w:rsidR="0089504D" w:rsidRPr="00B125AB">
        <w:t>ederal</w:t>
      </w:r>
      <w:proofErr w:type="spellEnd"/>
      <w:r w:rsidR="0089504D" w:rsidRPr="00B125AB">
        <w:t xml:space="preserve"> workforce dollars to best support their workers and economies</w:t>
      </w:r>
      <w:r w:rsidR="0089504D">
        <w:t>” and that States would be required to spend at least 10 percent of the block grant funds on apprenticeship programs. The block grant would likely include all Workforce Innovation and Opportunity Act programs, and possibly the Perkins Career and Technical Education program, which is now being co-administered by the U.S. Department of Labor</w:t>
      </w:r>
      <w:r>
        <w:t xml:space="preserve"> (DOL)</w:t>
      </w:r>
      <w:r w:rsidR="00BE295E">
        <w:t xml:space="preserve">, but the Adult Education program (WIOA Title II) would be eliminated. </w:t>
      </w:r>
      <w:r>
        <w:t>The budget mentions Perkins CTE in both the ED and DOL sections and highlights last year’s IAA</w:t>
      </w:r>
      <w:r w:rsidR="00BE295E">
        <w:t>, while noting that Perkins w</w:t>
      </w:r>
      <w:r w:rsidR="00934225">
        <w:t>ould</w:t>
      </w:r>
      <w:r w:rsidR="00BE295E">
        <w:t xml:space="preserve"> be funded through DOL</w:t>
      </w:r>
      <w:r w:rsidR="00934225">
        <w:t xml:space="preserve"> (A full shift of Perkins to DOL would likely not be allowable without amendments to the Department of Education Organization Act).</w:t>
      </w:r>
      <w:r>
        <w:t xml:space="preserve"> Other programs that ED plans to move to DOL, including postsecondary and K-12 programs</w:t>
      </w:r>
      <w:r w:rsidR="00BF2964">
        <w:t>,</w:t>
      </w:r>
      <w:r>
        <w:t xml:space="preserve"> are only discussed in the ED portion of the budget, however.</w:t>
      </w:r>
    </w:p>
    <w:p w14:paraId="0B10971D" w14:textId="77777777" w:rsidR="0089504D" w:rsidRDefault="0089504D" w:rsidP="0089504D"/>
    <w:p w14:paraId="45C80F68" w14:textId="362F26B2" w:rsidR="0089504D" w:rsidRDefault="0089504D" w:rsidP="0089504D">
      <w:r>
        <w:t>The submission of the President’s budget request to Congress kicks off the annual appropriations process</w:t>
      </w:r>
      <w:r w:rsidR="00DB244D">
        <w:t>, but</w:t>
      </w:r>
      <w:r>
        <w:t xml:space="preserve"> </w:t>
      </w:r>
      <w:r w:rsidR="00DB244D">
        <w:t>t</w:t>
      </w:r>
      <w:r>
        <w:t>he President’s budget is only a suggestion to Congress</w:t>
      </w:r>
      <w:r w:rsidR="00DB244D">
        <w:t xml:space="preserve">. The budget </w:t>
      </w:r>
      <w:r w:rsidR="00E05558">
        <w:t xml:space="preserve">request </w:t>
      </w:r>
      <w:r>
        <w:t>allows the administration to outline its priorities for the coming fiscal year; lawmakers are not required to implement any provisions in the request. In fact, for FY 2026, Congress largely rejected the administration’s proposals for education programs</w:t>
      </w:r>
      <w:r w:rsidR="001E4AA0">
        <w:t xml:space="preserve">, including the block grant proposal and </w:t>
      </w:r>
      <w:r w:rsidR="000F2424">
        <w:t xml:space="preserve">the </w:t>
      </w:r>
      <w:r w:rsidR="001E4AA0">
        <w:t xml:space="preserve">elimination of </w:t>
      </w:r>
      <w:proofErr w:type="gramStart"/>
      <w:r w:rsidR="001E4AA0">
        <w:t>a number of</w:t>
      </w:r>
      <w:proofErr w:type="gramEnd"/>
      <w:r w:rsidR="001E4AA0">
        <w:t xml:space="preserve"> </w:t>
      </w:r>
      <w:r w:rsidR="001E4AA0">
        <w:lastRenderedPageBreak/>
        <w:t>programs</w:t>
      </w:r>
      <w:r>
        <w:t>. Congress is expected to begin holding hearings later this spring on FY 2027 appropriations.</w:t>
      </w:r>
    </w:p>
    <w:p w14:paraId="1B83797C" w14:textId="77777777" w:rsidR="0089504D" w:rsidRDefault="0089504D" w:rsidP="0089504D"/>
    <w:p w14:paraId="2703D429" w14:textId="27613C59" w:rsidR="0089504D" w:rsidRDefault="0089504D" w:rsidP="0089504D">
      <w:r>
        <w:t>In recent weeks, lawmakers have been focused on wrapping up FY 2026 funding for the U.S. Department of Homeland Security (DHS), as DHS has been shut down since mid-February due to objections over Immigration and Customs Enforcement actions. Negotiations on that funding legislation continued this week while lawmakers are in recess for Passover and Easter. The House and Senate are scheduled to return to session the week of April 13</w:t>
      </w:r>
      <w:r w:rsidRPr="004065DB">
        <w:rPr>
          <w:vertAlign w:val="superscript"/>
        </w:rPr>
        <w:t>th</w:t>
      </w:r>
      <w:r>
        <w:t xml:space="preserve">. </w:t>
      </w:r>
    </w:p>
    <w:p w14:paraId="246582F1" w14:textId="77777777" w:rsidR="0089504D" w:rsidRDefault="0089504D" w:rsidP="0089504D"/>
    <w:p w14:paraId="72301A90" w14:textId="58E82F0D" w:rsidR="0089504D" w:rsidRDefault="0089504D" w:rsidP="0089504D">
      <w:r>
        <w:t>Author: KSC</w:t>
      </w:r>
    </w:p>
    <w:p w14:paraId="5FA78A22" w14:textId="77777777" w:rsidR="0089504D" w:rsidRDefault="0089504D" w:rsidP="0089504D"/>
    <w:p w14:paraId="45BC657C" w14:textId="1F1C86A1" w:rsidR="003103A0" w:rsidRDefault="0088463D" w:rsidP="007774ED">
      <w:pPr>
        <w:pStyle w:val="Heading3"/>
        <w:jc w:val="left"/>
      </w:pPr>
      <w:r w:rsidRPr="0088463D">
        <w:t>OCTAE Issues Guidance on Perkins and WIOA Alignment</w:t>
      </w:r>
    </w:p>
    <w:p w14:paraId="3731DBF3" w14:textId="77777777" w:rsidR="007F4044" w:rsidRPr="003103A0" w:rsidRDefault="007F4044" w:rsidP="003103A0"/>
    <w:p w14:paraId="36D6A323" w14:textId="77777777" w:rsidR="007473F0" w:rsidRDefault="007473F0" w:rsidP="007473F0">
      <w:r>
        <w:t xml:space="preserve">The U.S. Department of Education (ED’s) Office of Career, Technical, and Adult Education (OCTAE) </w:t>
      </w:r>
      <w:hyperlink r:id="rId13" w:tooltip="OCTAE memo on aligning Perkins and WIOA activities" w:history="1">
        <w:r w:rsidRPr="00671449">
          <w:rPr>
            <w:rStyle w:val="Hyperlink"/>
          </w:rPr>
          <w:t>issued a memorandum</w:t>
        </w:r>
      </w:hyperlink>
      <w:r>
        <w:t xml:space="preserve"> last week that addresses aligning activities and planning under the Perkins Career and Technical Education program and programs under the Workforce Innovation and Opportunity Act (WIOA).</w:t>
      </w:r>
    </w:p>
    <w:p w14:paraId="28F5C8A9" w14:textId="77777777" w:rsidR="007473F0" w:rsidRDefault="007473F0" w:rsidP="007473F0"/>
    <w:p w14:paraId="633D4271" w14:textId="785F8275" w:rsidR="007473F0" w:rsidRDefault="007473F0" w:rsidP="007473F0">
      <w:r>
        <w:t>The letter highlights OCTAE and the U.S. Department of Labor’s (DOL’s) “co-administration” of the Perkins and Adult Education programs under an interagency agreement</w:t>
      </w:r>
      <w:r w:rsidR="006F2C71">
        <w:t xml:space="preserve"> (IAA)</w:t>
      </w:r>
      <w:r>
        <w:t xml:space="preserve"> implemented last year and outlines strategies for grantees to better align those two programs with WIOA Title I programs. OCTAE and DOL’s Employment and Training Administration (ETA) have both </w:t>
      </w:r>
      <w:hyperlink r:id="rId14" w:tooltip="OCTAE document on advantages of submitting a combined plan" w:history="1">
        <w:r w:rsidRPr="00671449">
          <w:rPr>
            <w:rStyle w:val="Hyperlink"/>
          </w:rPr>
          <w:t>encouraged States to submit</w:t>
        </w:r>
        <w:r w:rsidR="007F1AA4">
          <w:rPr>
            <w:rStyle w:val="Hyperlink"/>
          </w:rPr>
          <w:t xml:space="preserve"> a</w:t>
        </w:r>
        <w:r w:rsidRPr="00671449">
          <w:rPr>
            <w:rStyle w:val="Hyperlink"/>
          </w:rPr>
          <w:t xml:space="preserve"> combined WIOA and Perkins plan</w:t>
        </w:r>
      </w:hyperlink>
      <w:r>
        <w:t xml:space="preserve"> and issued guidance to that effect, which is reiterated and expanded upon in the new memo. The memo provides a chart showing where seven </w:t>
      </w:r>
      <w:proofErr w:type="gramStart"/>
      <w:r>
        <w:t>key</w:t>
      </w:r>
      <w:proofErr w:type="gramEnd"/>
      <w:r>
        <w:t xml:space="preserve"> required WIOA and Perkins plan elements overlap, including stakeholder engagement, recognized postsecondary credential</w:t>
      </w:r>
      <w:r w:rsidR="007F1AA4">
        <w:t>s</w:t>
      </w:r>
      <w:r>
        <w:t xml:space="preserve">, employer input, economic and labor market analysis, needs assessment, work-based learning and registered apprenticeship, and local and regional program alignment. The memo also identifies the benefits of combined planning in relation to each of the seven elements. </w:t>
      </w:r>
    </w:p>
    <w:p w14:paraId="3EE7589B" w14:textId="77777777" w:rsidR="007473F0" w:rsidRDefault="007473F0" w:rsidP="007473F0"/>
    <w:p w14:paraId="402AC2E4" w14:textId="005B179B" w:rsidR="007473F0" w:rsidRDefault="007473F0" w:rsidP="007473F0">
      <w:r>
        <w:t xml:space="preserve">In addition, OCTAE provides other considerations for joint planning as States work to implement integration between programs. These considerations include creating shared data systems that incorporate secondary, postsecondary, and workforce data points (which may also be useful for States as they implement Workforce Pell later this year); braiding funding between </w:t>
      </w:r>
      <w:r w:rsidR="00F42606">
        <w:t>career and technical education (</w:t>
      </w:r>
      <w:r>
        <w:t>CTE</w:t>
      </w:r>
      <w:r w:rsidR="00F42606">
        <w:t>)</w:t>
      </w:r>
      <w:r>
        <w:t xml:space="preserve"> and workforce </w:t>
      </w:r>
      <w:r>
        <w:lastRenderedPageBreak/>
        <w:t>programs; aligning intake and referral procedures across WIOA and CTE programs</w:t>
      </w:r>
      <w:r w:rsidR="006F2C71">
        <w:t>;</w:t>
      </w:r>
      <w:r>
        <w:t xml:space="preserve"> and coordinating the serving of individuals with barriers to employment under WIOA and Perkins special populations.</w:t>
      </w:r>
    </w:p>
    <w:p w14:paraId="0C5B1A30" w14:textId="77777777" w:rsidR="007473F0" w:rsidRDefault="007473F0" w:rsidP="007473F0"/>
    <w:p w14:paraId="43837680" w14:textId="63CB05E3" w:rsidR="007473F0" w:rsidRDefault="007473F0" w:rsidP="007473F0">
      <w:r>
        <w:t xml:space="preserve">Earlier this year, </w:t>
      </w:r>
      <w:hyperlink r:id="rId15" w:tooltip="OCTAE guidance on Perkins plan modifications" w:history="1">
        <w:r w:rsidRPr="00671449">
          <w:rPr>
            <w:rStyle w:val="Hyperlink"/>
          </w:rPr>
          <w:t>OCTAE issued guidance on Perkins plan modifications</w:t>
        </w:r>
      </w:hyperlink>
      <w:r>
        <w:t>, noting a new submission timeline that is coordinated with the submission of WIOA plan updates. States must submit those modifications, whether part of a combined plan or not, by April 30</w:t>
      </w:r>
      <w:r w:rsidRPr="00671449">
        <w:rPr>
          <w:vertAlign w:val="superscript"/>
        </w:rPr>
        <w:t>th</w:t>
      </w:r>
      <w:r>
        <w:t xml:space="preserve">. </w:t>
      </w:r>
    </w:p>
    <w:p w14:paraId="70E5289D" w14:textId="77777777" w:rsidR="007473F0" w:rsidRDefault="007473F0" w:rsidP="007473F0"/>
    <w:p w14:paraId="2565E5E4" w14:textId="481E1AC6" w:rsidR="007473F0" w:rsidRDefault="007473F0" w:rsidP="007473F0">
      <w:r>
        <w:t xml:space="preserve">The new memo from OCTAE was also </w:t>
      </w:r>
      <w:hyperlink r:id="rId16" w:tooltip="DOL ETA Training and Employment Notice on OCTAE guidance" w:history="1">
        <w:r w:rsidRPr="00671449">
          <w:rPr>
            <w:rStyle w:val="Hyperlink"/>
          </w:rPr>
          <w:t>disseminated by ETA this week in the form of a “Training and Employment Notice.”</w:t>
        </w:r>
      </w:hyperlink>
      <w:r>
        <w:t xml:space="preserve"> Since the transition of Perkins and Adult Education programs to DOL’s ETA last year, ED has still taken the lead on issuing guidance documents for those programs, reflecting the agencies’ view</w:t>
      </w:r>
      <w:r w:rsidR="00073B4C">
        <w:t xml:space="preserve"> of the IAA</w:t>
      </w:r>
      <w:r w:rsidR="006F2C71">
        <w:t xml:space="preserve"> </w:t>
      </w:r>
      <w:r w:rsidR="00073B4C">
        <w:t>as a “co-administration” of programs</w:t>
      </w:r>
      <w:r>
        <w:t>, as noted in the OCTAE memo</w:t>
      </w:r>
      <w:r w:rsidR="00073B4C">
        <w:t>.</w:t>
      </w:r>
      <w:r>
        <w:t xml:space="preserve"> Since the IAA was implemented last fall, the two agencies have focused heavily on aligning WIOA and Perkins programs processes and systems – a focus that is expected to expand to Workforce Pell as that program’s implementation approaches later this year. </w:t>
      </w:r>
    </w:p>
    <w:p w14:paraId="07577BF1" w14:textId="77777777" w:rsidR="000F2424" w:rsidRDefault="000F2424" w:rsidP="007473F0"/>
    <w:p w14:paraId="31CCEBDB" w14:textId="41654D4A" w:rsidR="00E5255A" w:rsidRDefault="00E5255A" w:rsidP="007473F0">
      <w:r>
        <w:t xml:space="preserve">Grantees should be advised, however, that </w:t>
      </w:r>
      <w:r w:rsidRPr="00E5255A">
        <w:t xml:space="preserve">even though </w:t>
      </w:r>
      <w:r>
        <w:t>recent</w:t>
      </w:r>
      <w:r w:rsidRPr="00E5255A">
        <w:t xml:space="preserve"> guidance</w:t>
      </w:r>
      <w:r w:rsidR="006F2C71">
        <w:t xml:space="preserve"> </w:t>
      </w:r>
      <w:r w:rsidRPr="00E5255A">
        <w:t>documents are designed to eliminate the silos between Perkins CTE and WIOA,</w:t>
      </w:r>
      <w:r>
        <w:t xml:space="preserve"> b</w:t>
      </w:r>
      <w:r w:rsidRPr="00E5255A">
        <w:t xml:space="preserve">oth the Perkins and WIOA statutes contain different requirements </w:t>
      </w:r>
      <w:r>
        <w:t>regarding</w:t>
      </w:r>
      <w:r w:rsidRPr="00E5255A">
        <w:t xml:space="preserve"> eligible recipients, eligible participants, and allowable costs</w:t>
      </w:r>
      <w:r>
        <w:t>.</w:t>
      </w:r>
      <w:r w:rsidRPr="00E5255A">
        <w:t xml:space="preserve"> Perkins funds can only be spent on allowable CTE activities for students </w:t>
      </w:r>
      <w:r>
        <w:t>“</w:t>
      </w:r>
      <w:r w:rsidRPr="00E5255A">
        <w:t>who elect to enroll in career and technical education programs</w:t>
      </w:r>
      <w:r>
        <w:t xml:space="preserve"> and programs of study,”</w:t>
      </w:r>
      <w:r w:rsidRPr="00E5255A">
        <w:t xml:space="preserve"> and WIOA Title l funds may only be spent on participants who meet the WIOA eligibility requirements. </w:t>
      </w:r>
    </w:p>
    <w:p w14:paraId="3646ECF7" w14:textId="77777777" w:rsidR="007473F0" w:rsidRDefault="007473F0" w:rsidP="007473F0"/>
    <w:p w14:paraId="51312A0D" w14:textId="62ECECD7" w:rsidR="007473F0" w:rsidRDefault="007473F0" w:rsidP="007473F0">
      <w:r>
        <w:t>Author: KSC</w:t>
      </w:r>
    </w:p>
    <w:p w14:paraId="3C36CFEB" w14:textId="526CAD0D" w:rsidR="00247628" w:rsidRPr="007774ED" w:rsidRDefault="00F31745" w:rsidP="00B94F62">
      <w:pPr>
        <w:pStyle w:val="Heading2"/>
      </w:pPr>
      <w:r w:rsidRPr="007774ED">
        <w:t>News</w:t>
      </w:r>
    </w:p>
    <w:p w14:paraId="28F305F4" w14:textId="77777777" w:rsidR="00247628" w:rsidRDefault="00247628" w:rsidP="00247628"/>
    <w:p w14:paraId="6A8A27C6" w14:textId="481DF228" w:rsidR="00B12EB2" w:rsidRPr="007774ED" w:rsidRDefault="00F040EC" w:rsidP="007774ED">
      <w:pPr>
        <w:pStyle w:val="Heading3"/>
        <w:keepNext w:val="0"/>
        <w:keepLines w:val="0"/>
        <w:widowControl/>
        <w:suppressAutoHyphens w:val="0"/>
        <w:spacing w:before="0" w:after="160" w:line="259" w:lineRule="auto"/>
        <w:jc w:val="left"/>
        <w:rPr>
          <w:szCs w:val="26"/>
        </w:rPr>
      </w:pPr>
      <w:r w:rsidRPr="007774ED">
        <w:rPr>
          <w:szCs w:val="26"/>
        </w:rPr>
        <w:t>Congressional Letter Asks for Information on OCR Case Backlog</w:t>
      </w:r>
    </w:p>
    <w:p w14:paraId="16996F29" w14:textId="77777777" w:rsidR="00B12EB2" w:rsidRDefault="00B12EB2" w:rsidP="00B12EB2"/>
    <w:p w14:paraId="1C47C729" w14:textId="2098352E" w:rsidR="00877DBF" w:rsidRPr="00877DBF" w:rsidRDefault="00877DBF" w:rsidP="00877DBF">
      <w:pPr>
        <w:spacing w:after="240"/>
        <w:rPr>
          <w:rFonts w:eastAsia="Arial" w:cs="Open Sans Medium"/>
        </w:rPr>
      </w:pPr>
      <w:r w:rsidRPr="00877DBF">
        <w:rPr>
          <w:rFonts w:eastAsia="Arial" w:cs="Open Sans Medium"/>
        </w:rPr>
        <w:t xml:space="preserve">Democratic Senators </w:t>
      </w:r>
      <w:hyperlink r:id="rId17" w:tooltip="Congressional letter to Secretary McMahon on Office for Civil Rights Concerns">
        <w:r w:rsidRPr="00877DBF">
          <w:rPr>
            <w:rFonts w:eastAsia="Arial" w:cs="Open Sans Medium"/>
            <w:color w:val="1155CC"/>
            <w:u w:val="single"/>
          </w:rPr>
          <w:t>sent a letter</w:t>
        </w:r>
        <w:r w:rsidRPr="00877DBF">
          <w:rPr>
            <w:rFonts w:eastAsia="Arial" w:cs="Open Sans Medium"/>
            <w:color w:val="1155CC"/>
          </w:rPr>
          <w:t xml:space="preserve"> </w:t>
        </w:r>
      </w:hyperlink>
      <w:r w:rsidRPr="00877DBF">
        <w:rPr>
          <w:rFonts w:eastAsia="Arial" w:cs="Open Sans Medium"/>
        </w:rPr>
        <w:t xml:space="preserve">to Secretary </w:t>
      </w:r>
      <w:r w:rsidR="006F2C71">
        <w:rPr>
          <w:rFonts w:eastAsia="Arial" w:cs="Open Sans Medium"/>
        </w:rPr>
        <w:t xml:space="preserve">of Education </w:t>
      </w:r>
      <w:r w:rsidRPr="00877DBF">
        <w:rPr>
          <w:rFonts w:eastAsia="Arial" w:cs="Open Sans Medium"/>
        </w:rPr>
        <w:t xml:space="preserve">Linda McMahon last month expressing concerns over how the </w:t>
      </w:r>
      <w:r w:rsidR="006F2C71">
        <w:rPr>
          <w:rFonts w:eastAsia="Arial" w:cs="Open Sans Medium"/>
        </w:rPr>
        <w:t xml:space="preserve">U.S. Department of Education’s (ED’s) </w:t>
      </w:r>
      <w:r w:rsidRPr="00877DBF">
        <w:rPr>
          <w:rFonts w:eastAsia="Arial" w:cs="Open Sans Medium"/>
        </w:rPr>
        <w:t xml:space="preserve">Office </w:t>
      </w:r>
      <w:r w:rsidR="003106B8">
        <w:rPr>
          <w:rFonts w:eastAsia="Arial" w:cs="Open Sans Medium"/>
        </w:rPr>
        <w:t>for</w:t>
      </w:r>
      <w:r w:rsidRPr="00877DBF">
        <w:rPr>
          <w:rFonts w:eastAsia="Arial" w:cs="Open Sans Medium"/>
        </w:rPr>
        <w:t xml:space="preserve"> Civil Rights (OCR) is handling investigations and asking for the current status and future plans for the office. The letter was signed by 16 </w:t>
      </w:r>
      <w:r w:rsidR="006F2C71">
        <w:rPr>
          <w:rFonts w:eastAsia="Arial" w:cs="Open Sans Medium"/>
        </w:rPr>
        <w:t>s</w:t>
      </w:r>
      <w:r w:rsidRPr="00877DBF">
        <w:rPr>
          <w:rFonts w:eastAsia="Arial" w:cs="Open Sans Medium"/>
        </w:rPr>
        <w:t xml:space="preserve">enators, including Adam Schiff (D-CA) and Ranking Member of the Committee on Health, Education, Labor and Pensions Bernie Sanders (I-VT). </w:t>
      </w:r>
    </w:p>
    <w:p w14:paraId="08B02A7E" w14:textId="77AC0F67" w:rsidR="00877DBF" w:rsidRPr="00877DBF" w:rsidRDefault="00877DBF" w:rsidP="00877DBF">
      <w:pPr>
        <w:spacing w:after="240"/>
        <w:rPr>
          <w:rFonts w:eastAsia="Arial" w:cs="Open Sans Medium"/>
        </w:rPr>
      </w:pPr>
      <w:r w:rsidRPr="00877DBF">
        <w:rPr>
          <w:rFonts w:eastAsia="Arial" w:cs="Open Sans Medium"/>
        </w:rPr>
        <w:lastRenderedPageBreak/>
        <w:t xml:space="preserve">In the letter, the </w:t>
      </w:r>
      <w:r w:rsidR="006F2C71">
        <w:rPr>
          <w:rFonts w:eastAsia="Arial" w:cs="Open Sans Medium"/>
        </w:rPr>
        <w:t>s</w:t>
      </w:r>
      <w:r w:rsidRPr="00877DBF">
        <w:rPr>
          <w:rFonts w:eastAsia="Arial" w:cs="Open Sans Medium"/>
        </w:rPr>
        <w:t xml:space="preserve">enators raised </w:t>
      </w:r>
      <w:r w:rsidR="006700F3">
        <w:rPr>
          <w:rFonts w:eastAsia="Arial" w:cs="Open Sans Medium"/>
        </w:rPr>
        <w:t>worries about</w:t>
      </w:r>
      <w:r w:rsidRPr="00877DBF">
        <w:rPr>
          <w:rFonts w:eastAsia="Arial" w:cs="Open Sans Medium"/>
        </w:rPr>
        <w:t xml:space="preserve"> the backlog of 24,000</w:t>
      </w:r>
      <w:r w:rsidR="00CE6D9A">
        <w:rPr>
          <w:rFonts w:eastAsia="Arial" w:cs="Open Sans Medium"/>
        </w:rPr>
        <w:t xml:space="preserve"> civil rights</w:t>
      </w:r>
      <w:r w:rsidRPr="00877DBF">
        <w:rPr>
          <w:rFonts w:eastAsia="Arial" w:cs="Open Sans Medium"/>
        </w:rPr>
        <w:t xml:space="preserve"> complaints and the inability of OCR’s now small staff to adequately</w:t>
      </w:r>
      <w:r w:rsidR="006700F3">
        <w:rPr>
          <w:rFonts w:eastAsia="Arial" w:cs="Open Sans Medium"/>
        </w:rPr>
        <w:t xml:space="preserve"> </w:t>
      </w:r>
      <w:r w:rsidR="006930C7">
        <w:rPr>
          <w:rFonts w:eastAsia="Arial" w:cs="Open Sans Medium"/>
        </w:rPr>
        <w:t>process</w:t>
      </w:r>
      <w:r w:rsidRPr="00877DBF">
        <w:rPr>
          <w:rFonts w:eastAsia="Arial" w:cs="Open Sans Medium"/>
        </w:rPr>
        <w:t xml:space="preserve"> the</w:t>
      </w:r>
      <w:r w:rsidR="006930C7">
        <w:rPr>
          <w:rFonts w:eastAsia="Arial" w:cs="Open Sans Medium"/>
        </w:rPr>
        <w:t>m</w:t>
      </w:r>
      <w:r w:rsidRPr="00877DBF">
        <w:rPr>
          <w:rFonts w:eastAsia="Arial" w:cs="Open Sans Medium"/>
        </w:rPr>
        <w:t xml:space="preserve">. In 2024, OCR reached 518 formal resolution agreements; however, the </w:t>
      </w:r>
      <w:r w:rsidR="006F2C71">
        <w:rPr>
          <w:rFonts w:eastAsia="Arial" w:cs="Open Sans Medium"/>
        </w:rPr>
        <w:t>s</w:t>
      </w:r>
      <w:r w:rsidRPr="00877DBF">
        <w:rPr>
          <w:rFonts w:eastAsia="Arial" w:cs="Open Sans Medium"/>
        </w:rPr>
        <w:t>enators say that OCR has only reached agreements with 174 institutions in 2025</w:t>
      </w:r>
      <w:r w:rsidR="00197671">
        <w:rPr>
          <w:rFonts w:eastAsia="Arial" w:cs="Open Sans Medium"/>
        </w:rPr>
        <w:t>,</w:t>
      </w:r>
      <w:r w:rsidR="006F2C71">
        <w:rPr>
          <w:rFonts w:eastAsia="Arial" w:cs="Open Sans Medium"/>
        </w:rPr>
        <w:t xml:space="preserve"> </w:t>
      </w:r>
      <w:r w:rsidRPr="00877DBF">
        <w:rPr>
          <w:rFonts w:eastAsia="Arial" w:cs="Open Sans Medium"/>
        </w:rPr>
        <w:t xml:space="preserve">57 of </w:t>
      </w:r>
      <w:r w:rsidR="00197671">
        <w:rPr>
          <w:rFonts w:eastAsia="Arial" w:cs="Open Sans Medium"/>
        </w:rPr>
        <w:t>which</w:t>
      </w:r>
      <w:r w:rsidRPr="00877DBF">
        <w:rPr>
          <w:rFonts w:eastAsia="Arial" w:cs="Open Sans Medium"/>
        </w:rPr>
        <w:t xml:space="preserve"> happened in January of 2025 before the </w:t>
      </w:r>
      <w:r w:rsidR="006F2C71">
        <w:rPr>
          <w:rFonts w:eastAsia="Arial" w:cs="Open Sans Medium"/>
        </w:rPr>
        <w:t>Trump</w:t>
      </w:r>
      <w:r w:rsidRPr="00877DBF">
        <w:rPr>
          <w:rFonts w:eastAsia="Arial" w:cs="Open Sans Medium"/>
        </w:rPr>
        <w:t xml:space="preserve"> administration </w:t>
      </w:r>
      <w:r w:rsidR="006F2C71">
        <w:rPr>
          <w:rFonts w:eastAsia="Arial" w:cs="Open Sans Medium"/>
        </w:rPr>
        <w:t xml:space="preserve">came into office </w:t>
      </w:r>
      <w:r w:rsidRPr="00877DBF">
        <w:rPr>
          <w:rFonts w:eastAsia="Arial" w:cs="Open Sans Medium"/>
        </w:rPr>
        <w:t xml:space="preserve">and </w:t>
      </w:r>
      <w:r w:rsidR="006F2C71">
        <w:rPr>
          <w:rFonts w:eastAsia="Arial" w:cs="Open Sans Medium"/>
        </w:rPr>
        <w:t>implemented a</w:t>
      </w:r>
      <w:r w:rsidRPr="00877DBF">
        <w:rPr>
          <w:rFonts w:eastAsia="Arial" w:cs="Open Sans Medium"/>
        </w:rPr>
        <w:t xml:space="preserve"> reduction in force </w:t>
      </w:r>
      <w:r w:rsidR="00E46CF7">
        <w:rPr>
          <w:rFonts w:eastAsia="Arial" w:cs="Open Sans Medium"/>
        </w:rPr>
        <w:t xml:space="preserve">(RIF) </w:t>
      </w:r>
      <w:r w:rsidR="006F2C71">
        <w:rPr>
          <w:rFonts w:eastAsia="Arial" w:cs="Open Sans Medium"/>
        </w:rPr>
        <w:t>last</w:t>
      </w:r>
      <w:r w:rsidRPr="00877DBF">
        <w:rPr>
          <w:rFonts w:eastAsia="Arial" w:cs="Open Sans Medium"/>
        </w:rPr>
        <w:t xml:space="preserve"> March. </w:t>
      </w:r>
      <w:r w:rsidR="006F2C71">
        <w:rPr>
          <w:rFonts w:eastAsia="Arial" w:cs="Open Sans Medium"/>
        </w:rPr>
        <w:t>T</w:t>
      </w:r>
      <w:r w:rsidRPr="00877DBF">
        <w:rPr>
          <w:rFonts w:eastAsia="Arial" w:cs="Open Sans Medium"/>
        </w:rPr>
        <w:t>he letter</w:t>
      </w:r>
      <w:r w:rsidR="006F2C71">
        <w:rPr>
          <w:rFonts w:eastAsia="Arial" w:cs="Open Sans Medium"/>
        </w:rPr>
        <w:t xml:space="preserve"> also</w:t>
      </w:r>
      <w:r w:rsidRPr="00877DBF">
        <w:rPr>
          <w:rFonts w:eastAsia="Arial" w:cs="Open Sans Medium"/>
        </w:rPr>
        <w:t xml:space="preserve"> states that OCR reached no sexual harassment agreements in 2025, and since the </w:t>
      </w:r>
      <w:r w:rsidR="00E46CF7">
        <w:rPr>
          <w:rFonts w:eastAsia="Arial" w:cs="Open Sans Medium"/>
        </w:rPr>
        <w:t>RIF</w:t>
      </w:r>
      <w:r w:rsidRPr="00877DBF">
        <w:rPr>
          <w:rFonts w:eastAsia="Arial" w:cs="Open Sans Medium"/>
        </w:rPr>
        <w:t>, OCR has opened fewer than ten sexual violence investigations. While cases involving disability discrimination generally make up the bulk of cases,</w:t>
      </w:r>
      <w:r w:rsidR="002F5ECF">
        <w:rPr>
          <w:rFonts w:eastAsia="Arial" w:cs="Open Sans Medium"/>
        </w:rPr>
        <w:t xml:space="preserve"> they say</w:t>
      </w:r>
      <w:r w:rsidRPr="00877DBF">
        <w:rPr>
          <w:rFonts w:eastAsia="Arial" w:cs="Open Sans Medium"/>
        </w:rPr>
        <w:t xml:space="preserve"> those agreements have declined from 390 in 2024 to 104 in 2025. The </w:t>
      </w:r>
      <w:r w:rsidR="006F2C71">
        <w:rPr>
          <w:rFonts w:eastAsia="Arial" w:cs="Open Sans Medium"/>
        </w:rPr>
        <w:t>s</w:t>
      </w:r>
      <w:r w:rsidRPr="00877DBF">
        <w:rPr>
          <w:rFonts w:eastAsia="Arial" w:cs="Open Sans Medium"/>
        </w:rPr>
        <w:t xml:space="preserve">enators also explained that OCR has not updated its public database or issued its required annual report. </w:t>
      </w:r>
    </w:p>
    <w:p w14:paraId="695AD8E5" w14:textId="4C86620F" w:rsidR="00877DBF" w:rsidRPr="00877DBF" w:rsidRDefault="006F2C71" w:rsidP="00877DBF">
      <w:pPr>
        <w:spacing w:after="240"/>
        <w:rPr>
          <w:rFonts w:eastAsia="Arial" w:cs="Open Sans Medium"/>
        </w:rPr>
      </w:pPr>
      <w:r>
        <w:rPr>
          <w:rFonts w:eastAsia="Arial" w:cs="Open Sans Medium"/>
        </w:rPr>
        <w:t>In addition, t</w:t>
      </w:r>
      <w:r w:rsidR="00877DBF" w:rsidRPr="00877DBF">
        <w:rPr>
          <w:rFonts w:eastAsia="Arial" w:cs="Open Sans Medium"/>
        </w:rPr>
        <w:t xml:space="preserve">he </w:t>
      </w:r>
      <w:r>
        <w:rPr>
          <w:rFonts w:eastAsia="Arial" w:cs="Open Sans Medium"/>
        </w:rPr>
        <w:t>s</w:t>
      </w:r>
      <w:r w:rsidR="00877DBF" w:rsidRPr="00877DBF">
        <w:rPr>
          <w:rFonts w:eastAsia="Arial" w:cs="Open Sans Medium"/>
        </w:rPr>
        <w:t xml:space="preserve">enators </w:t>
      </w:r>
      <w:r w:rsidR="00857574">
        <w:rPr>
          <w:rFonts w:eastAsia="Arial" w:cs="Open Sans Medium"/>
        </w:rPr>
        <w:t>write</w:t>
      </w:r>
      <w:r w:rsidR="00877DBF" w:rsidRPr="00877DBF">
        <w:rPr>
          <w:rFonts w:eastAsia="Arial" w:cs="Open Sans Medium"/>
        </w:rPr>
        <w:t xml:space="preserve"> that OCR is engaging in “politicized investigations” as a “weaponized arm of the Administration’s political agenda.” The letter states that instead of investigating complaints, OCR is initiating its own investigations and not following its own policies for investigations. The </w:t>
      </w:r>
      <w:r>
        <w:rPr>
          <w:rFonts w:eastAsia="Arial" w:cs="Open Sans Medium"/>
        </w:rPr>
        <w:t>s</w:t>
      </w:r>
      <w:r w:rsidR="00877DBF" w:rsidRPr="00877DBF">
        <w:rPr>
          <w:rFonts w:eastAsia="Arial" w:cs="Open Sans Medium"/>
        </w:rPr>
        <w:t xml:space="preserve">enators highlight multiple examples of recent instances where ED terminated grants or threatened cuts without following investigative procedures, responding to questions from institutions, or even opening an investigation first. </w:t>
      </w:r>
    </w:p>
    <w:p w14:paraId="5D3FC113" w14:textId="10953C45" w:rsidR="00877DBF" w:rsidRPr="00877DBF" w:rsidRDefault="00877DBF" w:rsidP="00877DBF">
      <w:pPr>
        <w:spacing w:after="240"/>
        <w:rPr>
          <w:rFonts w:eastAsia="Arial" w:cs="Open Sans Medium"/>
        </w:rPr>
      </w:pPr>
      <w:r w:rsidRPr="00877DBF">
        <w:rPr>
          <w:rFonts w:eastAsia="Arial" w:cs="Open Sans Medium"/>
        </w:rPr>
        <w:t xml:space="preserve">Those facts demonstrate that ED is “ignoring and abandoning students who are the victims of discrimination,” the letter says. The </w:t>
      </w:r>
      <w:r w:rsidR="006F2C71">
        <w:rPr>
          <w:rFonts w:eastAsia="Arial" w:cs="Open Sans Medium"/>
        </w:rPr>
        <w:t>s</w:t>
      </w:r>
      <w:r w:rsidRPr="00877DBF">
        <w:rPr>
          <w:rFonts w:eastAsia="Arial" w:cs="Open Sans Medium"/>
        </w:rPr>
        <w:t xml:space="preserve">enators ask McMahon to respond to a long series of questions, including how OCR staff are handling the backlog, if ED will restore its database for transparency, and if </w:t>
      </w:r>
      <w:r w:rsidR="006F2C71">
        <w:rPr>
          <w:rFonts w:eastAsia="Arial" w:cs="Open Sans Medium"/>
        </w:rPr>
        <w:t>ED</w:t>
      </w:r>
      <w:r w:rsidRPr="00877DBF">
        <w:rPr>
          <w:rFonts w:eastAsia="Arial" w:cs="Open Sans Medium"/>
        </w:rPr>
        <w:t xml:space="preserve"> received communication from the White House on cases it should prioritize. </w:t>
      </w:r>
    </w:p>
    <w:p w14:paraId="71DEE7B7" w14:textId="77777777" w:rsidR="00877DBF" w:rsidRPr="00877DBF" w:rsidRDefault="00877DBF" w:rsidP="00877DBF">
      <w:pPr>
        <w:spacing w:after="240"/>
        <w:rPr>
          <w:rFonts w:cs="Open Sans Medium"/>
        </w:rPr>
      </w:pPr>
      <w:r w:rsidRPr="00877DBF">
        <w:rPr>
          <w:rFonts w:cs="Open Sans Medium"/>
        </w:rPr>
        <w:t xml:space="preserve">Author: BTW </w:t>
      </w:r>
    </w:p>
    <w:p w14:paraId="3990F29C" w14:textId="351A59BE" w:rsidR="00172559" w:rsidRPr="007774ED" w:rsidRDefault="00172559" w:rsidP="00B94F62">
      <w:pPr>
        <w:pStyle w:val="Heading2"/>
      </w:pPr>
      <w:r w:rsidRPr="007774ED">
        <w:t xml:space="preserve">Other </w:t>
      </w:r>
      <w:r w:rsidR="00CD52DA" w:rsidRPr="007774ED">
        <w:t>Items</w:t>
      </w:r>
      <w:r w:rsidRPr="007774ED">
        <w:t xml:space="preserve"> to Watch</w:t>
      </w:r>
    </w:p>
    <w:p w14:paraId="1574532F" w14:textId="77777777" w:rsidR="00172559" w:rsidRDefault="00172559" w:rsidP="00172559"/>
    <w:p w14:paraId="53BB84CE" w14:textId="0DECDE5F" w:rsidR="00B97169" w:rsidRDefault="00B97169" w:rsidP="00B97169">
      <w:r>
        <w:t xml:space="preserve">The union representing U.S. Department of Education (ED) staff </w:t>
      </w:r>
      <w:hyperlink r:id="rId18" w:tooltip="ED union complaint regarding DOL building conditions" w:history="1">
        <w:r w:rsidRPr="002D7D80">
          <w:rPr>
            <w:rStyle w:val="Hyperlink"/>
          </w:rPr>
          <w:t>filed a formal complaint</w:t>
        </w:r>
      </w:hyperlink>
      <w:r>
        <w:t xml:space="preserve"> with the Occupational Health and Safety Administration this week over the building conditions at the U.S. Department of Labor (DOL). ED staff </w:t>
      </w:r>
      <w:r w:rsidR="007B1BCA">
        <w:t>who</w:t>
      </w:r>
      <w:r>
        <w:t xml:space="preserve"> have been detailed to DOL as part of interagency agreements have reported regularly seeing cockroaches and mice, visible mold in workspace and communal areas, unsanitary conditions in bathrooms and kitchens, HVAC issues, and lack of communication in emergency situations.</w:t>
      </w:r>
    </w:p>
    <w:p w14:paraId="2ED1DB9F" w14:textId="77777777" w:rsidR="00B97169" w:rsidRDefault="00B97169" w:rsidP="00B97169"/>
    <w:p w14:paraId="5BE2BA9C" w14:textId="35AFA821" w:rsidR="00B97169" w:rsidRDefault="00B97169" w:rsidP="00B97169">
      <w:r>
        <w:t xml:space="preserve">Last Friday, the U.S. Department of Education </w:t>
      </w:r>
      <w:hyperlink r:id="rId19" w:tooltip="ED Press Release on next steps for borrowers enrolled in SAVE plan" w:history="1">
        <w:r w:rsidRPr="00A034AD">
          <w:rPr>
            <w:rStyle w:val="Hyperlink"/>
          </w:rPr>
          <w:t>issued guidance to borrowers</w:t>
        </w:r>
      </w:hyperlink>
      <w:r>
        <w:t xml:space="preserve"> enrolled in </w:t>
      </w:r>
      <w:r>
        <w:lastRenderedPageBreak/>
        <w:t>the Saving on a Valuable Education (SAVE) loan repayment plan, which is being eliminated as part of a court settlement. The guidance directs borrowers on how to enroll in a different repayment plan.</w:t>
      </w:r>
    </w:p>
    <w:p w14:paraId="75AAD4B9" w14:textId="77777777" w:rsidR="00B97169" w:rsidRDefault="00B97169" w:rsidP="00B97169"/>
    <w:p w14:paraId="241DE278" w14:textId="7030155C" w:rsidR="00B97169" w:rsidRDefault="00B97169" w:rsidP="00B97169">
      <w:r>
        <w:t xml:space="preserve">The U.S. Department of Education’s </w:t>
      </w:r>
      <w:r w:rsidR="000E4589">
        <w:t xml:space="preserve">(ED’s) </w:t>
      </w:r>
      <w:r>
        <w:t xml:space="preserve">Office of Federal Student Aid has </w:t>
      </w:r>
      <w:hyperlink r:id="rId20" w:tooltip="FSA notice on resuming review of borrower defense applications" w:history="1">
        <w:r w:rsidRPr="00CB481A">
          <w:rPr>
            <w:rStyle w:val="Hyperlink"/>
          </w:rPr>
          <w:t>resumed reviewing applications under the borrower defense to repayment program</w:t>
        </w:r>
      </w:hyperlink>
      <w:r>
        <w:t xml:space="preserve"> for individuals </w:t>
      </w:r>
      <w:r w:rsidR="000E4589">
        <w:t>who</w:t>
      </w:r>
      <w:r>
        <w:t xml:space="preserve"> were not part of a </w:t>
      </w:r>
      <w:hyperlink r:id="rId21" w:tooltip="FSA webpage on Sweet v. McMahon settlement" w:history="1">
        <w:r w:rsidRPr="00CB481A">
          <w:rPr>
            <w:rStyle w:val="Hyperlink"/>
          </w:rPr>
          <w:t xml:space="preserve">2022 court settlement in </w:t>
        </w:r>
        <w:r w:rsidRPr="00CB481A">
          <w:rPr>
            <w:rStyle w:val="Hyperlink"/>
            <w:i/>
            <w:iCs/>
          </w:rPr>
          <w:t>Sweet v. McMahon</w:t>
        </w:r>
      </w:hyperlink>
      <w:r>
        <w:t>. Under that settlement, ED was required to review hundreds of thousands of borrower defense applications by January 28</w:t>
      </w:r>
      <w:r w:rsidRPr="00CB481A">
        <w:rPr>
          <w:vertAlign w:val="superscript"/>
        </w:rPr>
        <w:t>th</w:t>
      </w:r>
      <w:r>
        <w:t xml:space="preserve"> this year, which has delayed the review of applications submitted in the years since that settlement. </w:t>
      </w:r>
    </w:p>
    <w:p w14:paraId="0E7EA576" w14:textId="77777777" w:rsidR="00B97169" w:rsidRDefault="00B97169" w:rsidP="00B97169"/>
    <w:p w14:paraId="2985C95F" w14:textId="08A3C9BA" w:rsidR="00B97169" w:rsidRDefault="00B97169" w:rsidP="00B97169">
      <w:r>
        <w:t>A court has delayed the submission date for higher education admissions data to the U.S. Department of Education for an additional group of colleges. Last month, the deadline was extended for colleges in the 17 Plaintiff States until April 6</w:t>
      </w:r>
      <w:r w:rsidRPr="003D3A74">
        <w:rPr>
          <w:vertAlign w:val="superscript"/>
        </w:rPr>
        <w:t>th</w:t>
      </w:r>
      <w:r>
        <w:t xml:space="preserve">, but this week, </w:t>
      </w:r>
      <w:hyperlink r:id="rId22" w:tooltip="Court order extending submission of college admissions data for higher ed organization members" w:history="1">
        <w:r w:rsidRPr="003D3A74">
          <w:rPr>
            <w:rStyle w:val="Hyperlink"/>
          </w:rPr>
          <w:t>the judge issued another order</w:t>
        </w:r>
      </w:hyperlink>
      <w:r>
        <w:t xml:space="preserve"> delaying the deadline for members of </w:t>
      </w:r>
      <w:r w:rsidRPr="00CB481A">
        <w:t>the Association of American Universities</w:t>
      </w:r>
      <w:r>
        <w:t xml:space="preserve"> and </w:t>
      </w:r>
      <w:r w:rsidRPr="00CB481A">
        <w:t>the Association of Independent Colleges</w:t>
      </w:r>
      <w:r>
        <w:t xml:space="preserve"> </w:t>
      </w:r>
      <w:r w:rsidRPr="003D3A74">
        <w:t>and Universities in Massachusetts</w:t>
      </w:r>
      <w:r>
        <w:t xml:space="preserve"> until April 14</w:t>
      </w:r>
      <w:r w:rsidRPr="00CB481A">
        <w:rPr>
          <w:vertAlign w:val="superscript"/>
        </w:rPr>
        <w:t>th</w:t>
      </w:r>
      <w:r>
        <w:t xml:space="preserve">. </w:t>
      </w:r>
    </w:p>
    <w:p w14:paraId="595ABA24" w14:textId="77777777" w:rsidR="00B97169" w:rsidRDefault="00B97169" w:rsidP="00B97169"/>
    <w:p w14:paraId="0C8B08B2" w14:textId="401F3673" w:rsidR="00B97169" w:rsidRDefault="00B97169" w:rsidP="00B97169">
      <w:r>
        <w:t xml:space="preserve">The Government Accountability Office (GAO) published a report this week examining professional development activities and the use of Title II-A funds under the Elementary and Secondary Education Act: </w:t>
      </w:r>
      <w:hyperlink r:id="rId23" w:tooltip="GAO report on professional development" w:history="1">
        <w:r w:rsidRPr="003D3A74">
          <w:rPr>
            <w:rStyle w:val="Hyperlink"/>
          </w:rPr>
          <w:t>“Research on Effectiveness of Professional Development Is Mixed, but Teachers Find Collaborative Learning Most Useful.”</w:t>
        </w:r>
      </w:hyperlink>
      <w:r>
        <w:t xml:space="preserve"> The report analyzes the most effective forms of professional development</w:t>
      </w:r>
      <w:r w:rsidRPr="004C284C">
        <w:t xml:space="preserve"> </w:t>
      </w:r>
      <w:r>
        <w:t>for improving academic achievement, what</w:t>
      </w:r>
      <w:r w:rsidRPr="004C284C">
        <w:t xml:space="preserve"> </w:t>
      </w:r>
      <w:r>
        <w:t xml:space="preserve">types of activities </w:t>
      </w:r>
      <w:r w:rsidRPr="004C284C">
        <w:t>teachers find most useful</w:t>
      </w:r>
      <w:r>
        <w:t xml:space="preserve">, and </w:t>
      </w:r>
      <w:r w:rsidRPr="004C284C">
        <w:t xml:space="preserve">the experiences of selected states and school districts using Title II-A </w:t>
      </w:r>
      <w:r>
        <w:t xml:space="preserve">funds. </w:t>
      </w:r>
    </w:p>
    <w:p w14:paraId="330CDC31" w14:textId="77777777" w:rsidR="00266E0D" w:rsidRDefault="00266E0D" w:rsidP="008725FE">
      <w:pPr>
        <w:rPr>
          <w:b/>
          <w:bCs/>
          <w:i/>
          <w:iCs/>
        </w:rPr>
      </w:pPr>
    </w:p>
    <w:p w14:paraId="04CFEE8B" w14:textId="77777777"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399B4F29"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81C1E">
        <w:rPr>
          <w:rFonts w:eastAsia="Times New Roman" w:cs="Arial"/>
        </w:rPr>
        <w:t>Kelly Christiansen</w:t>
      </w:r>
      <w:r w:rsidR="00B97169">
        <w:rPr>
          <w:rFonts w:eastAsia="Times New Roman" w:cs="Arial"/>
        </w:rPr>
        <w:t>, Brandi Wills</w:t>
      </w:r>
    </w:p>
    <w:p w14:paraId="144EC865" w14:textId="738C8E0D" w:rsidR="00212822" w:rsidRDefault="00212822" w:rsidP="2193F663">
      <w:pPr>
        <w:spacing w:before="240" w:after="240"/>
        <w:rPr>
          <w:rFonts w:eastAsia="Times New Roman" w:cs="Arial"/>
        </w:rPr>
      </w:pPr>
      <w:r w:rsidRPr="00212822">
        <w:rPr>
          <w:rFonts w:eastAsia="Times New Roman" w:cs="Arial"/>
        </w:rPr>
        <w:t>Posted by the California Department of Education, April 2026</w:t>
      </w:r>
    </w:p>
    <w:p w14:paraId="2AE1CD22" w14:textId="77777777" w:rsidR="00C769A4" w:rsidRDefault="00C769A4" w:rsidP="2193F663">
      <w:pPr>
        <w:spacing w:before="240" w:after="240"/>
        <w:rPr>
          <w:rFonts w:eastAsia="Times New Roman" w:cs="Arial"/>
        </w:rPr>
      </w:pPr>
    </w:p>
    <w:sectPr w:rsidR="00C769A4" w:rsidSect="00A11D40">
      <w:headerReference w:type="default" r:id="rId24"/>
      <w:footerReference w:type="default" r:id="rId25"/>
      <w:footerReference w:type="first" r:id="rId26"/>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764B" w14:textId="77777777" w:rsidR="000C02A0" w:rsidRDefault="000C02A0">
      <w:r>
        <w:separator/>
      </w:r>
    </w:p>
  </w:endnote>
  <w:endnote w:type="continuationSeparator" w:id="0">
    <w:p w14:paraId="68DFDE67" w14:textId="77777777" w:rsidR="000C02A0" w:rsidRDefault="000C02A0">
      <w:r>
        <w:continuationSeparator/>
      </w:r>
    </w:p>
  </w:endnote>
  <w:endnote w:type="continuationNotice" w:id="1">
    <w:p w14:paraId="6C50D56F" w14:textId="77777777" w:rsidR="000C02A0" w:rsidRDefault="000C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1400" w14:textId="77777777" w:rsidR="000C02A0" w:rsidRDefault="000C02A0">
      <w:r>
        <w:separator/>
      </w:r>
    </w:p>
  </w:footnote>
  <w:footnote w:type="continuationSeparator" w:id="0">
    <w:p w14:paraId="53474752" w14:textId="77777777" w:rsidR="000C02A0" w:rsidRDefault="000C02A0">
      <w:r>
        <w:continuationSeparator/>
      </w:r>
    </w:p>
  </w:footnote>
  <w:footnote w:type="continuationNotice" w:id="1">
    <w:p w14:paraId="2DF0B916" w14:textId="77777777" w:rsidR="000C02A0" w:rsidRDefault="000C0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1438187F" w:rsidR="00797E60" w:rsidRPr="001767D4" w:rsidRDefault="00B97169" w:rsidP="00B50AD1">
    <w:pPr>
      <w:pStyle w:val="NoSpacing"/>
      <w:tabs>
        <w:tab w:val="left" w:pos="7920"/>
      </w:tabs>
      <w:spacing w:after="240"/>
      <w:rPr>
        <w:b/>
        <w:bCs/>
      </w:rPr>
    </w:pPr>
    <w:r>
      <w:rPr>
        <w:rFonts w:ascii="Open Sans" w:hAnsi="Open Sans" w:cs="Open Sans"/>
        <w:b/>
        <w:bCs/>
      </w:rPr>
      <w:t>April 3</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2A0"/>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23"/>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76E"/>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822"/>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630"/>
    <w:rsid w:val="00375874"/>
    <w:rsid w:val="00375876"/>
    <w:rsid w:val="00375939"/>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783"/>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353"/>
    <w:rsid w:val="005046F8"/>
    <w:rsid w:val="0050477A"/>
    <w:rsid w:val="00504ABB"/>
    <w:rsid w:val="00504B15"/>
    <w:rsid w:val="00504D6D"/>
    <w:rsid w:val="0050598C"/>
    <w:rsid w:val="00505C57"/>
    <w:rsid w:val="00506294"/>
    <w:rsid w:val="0050641A"/>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87F"/>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83C"/>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7A5"/>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4ED"/>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75"/>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6B73"/>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97F"/>
    <w:rsid w:val="00815C18"/>
    <w:rsid w:val="00815C9D"/>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77DBF"/>
    <w:rsid w:val="00880418"/>
    <w:rsid w:val="00880544"/>
    <w:rsid w:val="00880DFD"/>
    <w:rsid w:val="008815DC"/>
    <w:rsid w:val="00881CD6"/>
    <w:rsid w:val="00882233"/>
    <w:rsid w:val="0088244B"/>
    <w:rsid w:val="008824E5"/>
    <w:rsid w:val="00882900"/>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CEF"/>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6AF"/>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7EC"/>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E8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4F62"/>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3DFC"/>
    <w:rsid w:val="00BB44AA"/>
    <w:rsid w:val="00BB465D"/>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77C"/>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10B"/>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08F"/>
    <w:rsid w:val="00D962DE"/>
    <w:rsid w:val="00D96475"/>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A43"/>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28D"/>
    <w:rsid w:val="00F063A0"/>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B94F62"/>
    <w:pPr>
      <w:keepNext/>
      <w:keepLines/>
      <w:spacing w:before="240"/>
      <w:outlineLvl w:val="0"/>
    </w:pPr>
    <w:rPr>
      <w:rFonts w:ascii="Noticia Text" w:eastAsiaTheme="majorEastAsia" w:hAnsi="Noticia Text" w:cstheme="majorBidi"/>
      <w:b/>
      <w:smallCaps/>
      <w:sz w:val="36"/>
      <w:szCs w:val="32"/>
    </w:rPr>
  </w:style>
  <w:style w:type="paragraph" w:styleId="Heading2">
    <w:name w:val="heading 2"/>
    <w:next w:val="Normal"/>
    <w:link w:val="Heading2Char"/>
    <w:uiPriority w:val="9"/>
    <w:unhideWhenUsed/>
    <w:qFormat/>
    <w:rsid w:val="00B94F62"/>
    <w:pPr>
      <w:pBdr>
        <w:bottom w:val="single" w:sz="4" w:space="1" w:color="auto"/>
      </w:pBdr>
      <w:outlineLvl w:val="1"/>
    </w:pPr>
    <w:rPr>
      <w:rFonts w:ascii="Noticia Text" w:eastAsiaTheme="majorEastAsia" w:hAnsi="Noticia Text" w:cstheme="majorBidi"/>
      <w:b/>
      <w:smallCaps/>
      <w:sz w:val="36"/>
      <w:szCs w:val="32"/>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B94F62"/>
    <w:rPr>
      <w:rFonts w:ascii="Noticia Text" w:eastAsiaTheme="majorEastAsia" w:hAnsi="Noticia Text" w:cstheme="majorBidi"/>
      <w:b/>
      <w:smallCaps/>
      <w:sz w:val="36"/>
      <w:szCs w:val="32"/>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B94F62"/>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s3.amazonaws.com/PCRN/docs/FINAL_Aligning_WIOA_Perkins_03.26.2026.pdf" TargetMode="External"/><Relationship Id="rId18" Type="http://schemas.openxmlformats.org/officeDocument/2006/relationships/hyperlink" Target="https://docs.google.com/document/d/1IGDsrCr5LBw0rvsku_Ac__ftiyrZvbBM/edi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tudentaid.gov/announcements-events/sweet-settlement" TargetMode="External"/><Relationship Id="rId7" Type="http://schemas.openxmlformats.org/officeDocument/2006/relationships/endnotes" Target="endnotes.xml"/><Relationship Id="rId12" Type="http://schemas.openxmlformats.org/officeDocument/2006/relationships/hyperlink" Target="https://www.whitehouse.gov/wp-content/uploads/2026/04/fiscal-year-2027-topline-fact-sheet.pdf?source=email" TargetMode="External"/><Relationship Id="rId17" Type="http://schemas.openxmlformats.org/officeDocument/2006/relationships/hyperlink" Target="https://www.lujan.senate.gov/wp-content/uploads/2026/03/Letter-to-Dept.-of-Ed.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ol.gov/sites/dolgov/files/ETA/advisories/TEN/2025/TEN%2008-25/TEN%2008-25.pdf" TargetMode="External"/><Relationship Id="rId20" Type="http://schemas.openxmlformats.org/officeDocument/2006/relationships/hyperlink" Target="https://fsapartners.ed.gov/knowledge-center/library/electronic-announcements/2026-03-30/school-notification-process-under-1994-and-2016-borrower-defense-repayment-regulations-34-cfr-685206c-and-34-cfr-685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fy-2027-presidents-budget-11361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3.amazonaws.com/PCRN/docs/OS-26-000555_Final_memo_Perkins_state_plan_revisions_FY26.pdf" TargetMode="External"/><Relationship Id="rId23" Type="http://schemas.openxmlformats.org/officeDocument/2006/relationships/hyperlink" Target="https://files.gao.gov/reports/GAO-26-107874/index.html?_gl=1*10yroux*_ga*MTUzODcxMTA2Ny4xNzQ3OTQ3ODYz*_ga_V393SNS3SR*czE3NzUxNTQ0MTUkbzEyOSRnMSR0MTc3NTE1NDQ2NCRqMTEkbDAkaDA." TargetMode="External"/><Relationship Id="rId28" Type="http://schemas.openxmlformats.org/officeDocument/2006/relationships/theme" Target="theme/theme1.xml"/><Relationship Id="rId10" Type="http://schemas.openxmlformats.org/officeDocument/2006/relationships/hyperlink" Target="https://www.whitehouse.gov/wp-content/uploads/2026/04/budget_fy2027.pdf" TargetMode="External"/><Relationship Id="rId19" Type="http://schemas.openxmlformats.org/officeDocument/2006/relationships/hyperlink" Target="https://www.ed.gov/about/news/press-release/us-department-of-education-announces-next-steps-borrowers-enrolled-unlawful-save-plan" TargetMode="External"/><Relationship Id="rId4" Type="http://schemas.openxmlformats.org/officeDocument/2006/relationships/settings" Target="settings.xml"/><Relationship Id="rId9" Type="http://schemas.openxmlformats.org/officeDocument/2006/relationships/hyperlink" Target="https://www.whitehouse.gov/omb/information-resources/budget/" TargetMode="External"/><Relationship Id="rId14" Type="http://schemas.openxmlformats.org/officeDocument/2006/relationships/hyperlink" Target="https://s3.amazonaws.com/PCRN/docs/The_Advantages_of_Submitting_a_Combined_WIOA_and_Perkins_V_State_Plan-Opt2_508.pdf" TargetMode="External"/><Relationship Id="rId22" Type="http://schemas.openxmlformats.org/officeDocument/2006/relationships/hyperlink" Target="https://storage.courtlistener.com/recap/gov.uscourts.mad.297314/gov.uscourts.mad.297314.118.0.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Federal Update: April 3 - Government Affairs (CA Dept of Education)</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3, 2026 - Government Affairs (CA Dept of Education)</dc:title>
  <dc:subject>Current information regarding federal legislation and actions impacting California's Kindergarten–Grade Twelve education.</dc:subject>
  <dc:creator/>
  <cp:keywords/>
  <dc:description/>
  <cp:lastModifiedBy/>
  <cp:revision>1</cp:revision>
  <dcterms:created xsi:type="dcterms:W3CDTF">2026-05-12T19:12:00Z</dcterms:created>
  <dcterms:modified xsi:type="dcterms:W3CDTF">2026-05-13T16:41:00Z</dcterms:modified>
</cp:coreProperties>
</file>