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2BB9117E">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402F9B08-BC44-4637-B903-4F38FF33B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696FA6D1" w:rsidR="00196BB4" w:rsidRDefault="00EB23EE"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 xml:space="preserve">August </w:t>
      </w:r>
      <w:r w:rsidR="003310F7">
        <w:rPr>
          <w:rFonts w:ascii="Noticia Text" w:eastAsiaTheme="majorEastAsia" w:hAnsi="Noticia Text" w:cstheme="majorBidi"/>
          <w:b/>
          <w:iCs/>
          <w:sz w:val="32"/>
          <w:szCs w:val="32"/>
        </w:rPr>
        <w:t>14</w:t>
      </w:r>
      <w:r w:rsidR="008040B1" w:rsidRPr="006B71B6">
        <w:rPr>
          <w:rFonts w:ascii="Noticia Text" w:eastAsiaTheme="majorEastAsia" w:hAnsi="Noticia Text" w:cstheme="majorBidi"/>
          <w:b/>
          <w:iCs/>
          <w:sz w:val="32"/>
          <w:szCs w:val="32"/>
        </w:rPr>
        <w:t>, 2026</w:t>
      </w:r>
    </w:p>
    <w:bookmarkEnd w:id="0"/>
    <w:p w14:paraId="6A1C3434" w14:textId="5CF62EC5" w:rsidR="00E74AA2" w:rsidRDefault="00E74AA2" w:rsidP="00BC7ED4">
      <w:pPr>
        <w:pStyle w:val="Heading1"/>
      </w:pPr>
      <w:r>
        <w:t>Legislation and Guidance</w:t>
      </w:r>
    </w:p>
    <w:p w14:paraId="56CEDAEE" w14:textId="77777777" w:rsidR="00E74AA2" w:rsidRDefault="00E74AA2" w:rsidP="00E74AA2"/>
    <w:p w14:paraId="3E5BD433" w14:textId="77777777" w:rsidR="009C1316" w:rsidRDefault="009C1316" w:rsidP="009C1316">
      <w:pPr>
        <w:pStyle w:val="Heading2"/>
      </w:pPr>
      <w:r>
        <w:t>Senate Passes CR to Extend Funding Until December</w:t>
      </w:r>
    </w:p>
    <w:p w14:paraId="0FF52B45" w14:textId="77777777" w:rsidR="00487595" w:rsidRDefault="00487595" w:rsidP="00487595"/>
    <w:p w14:paraId="60955A70" w14:textId="288F8EDD" w:rsidR="00971B79" w:rsidRDefault="00971B79" w:rsidP="00971B79">
      <w:r>
        <w:t>Early Saturday morning, the Senate passed the continuing resolution (CR) proposed last week that would extend fiscal year 2026 funding through December 11</w:t>
      </w:r>
      <w:r w:rsidRPr="004B5C92">
        <w:rPr>
          <w:vertAlign w:val="superscript"/>
        </w:rPr>
        <w:t>th</w:t>
      </w:r>
      <w:r>
        <w:t>. After wrapping some additional business over the weekend, including approving Todd Blanche to serve as Attorney General, senators have now departed Washington for their summer recess and will return in mid-September.</w:t>
      </w:r>
    </w:p>
    <w:p w14:paraId="736BB4A4" w14:textId="77777777" w:rsidR="00363C71" w:rsidRDefault="00363C71" w:rsidP="00971B79"/>
    <w:p w14:paraId="5CBB61CA" w14:textId="0A57F248" w:rsidR="00971B79" w:rsidRDefault="00971B79" w:rsidP="00971B79">
      <w:r>
        <w:t xml:space="preserve">The Senate-passed CR would extend funding for slightly longer than the version passed by the House last month and includes some </w:t>
      </w:r>
      <w:r w:rsidR="0029072C">
        <w:t xml:space="preserve">supplementary </w:t>
      </w:r>
      <w:r>
        <w:t>provisions, unlike the House bill. The Senate bill, if signed into law, would prohibit the Office of Management and Budget</w:t>
      </w:r>
      <w:r w:rsidR="002430A3">
        <w:t xml:space="preserve"> (OMB)</w:t>
      </w:r>
      <w:r>
        <w:t xml:space="preserve"> from finalizing and implementing its proposed Uniform Grants Regulations </w:t>
      </w:r>
      <w:r w:rsidR="005B741C">
        <w:t xml:space="preserve">(UGR) </w:t>
      </w:r>
      <w:r>
        <w:t>for the duration of the CR, including if OMB issues the final rule prior to the CR becoming law.</w:t>
      </w:r>
      <w:r w:rsidR="004B2055">
        <w:t xml:space="preserve"> OMB’s initial goal date for final rules was October 1</w:t>
      </w:r>
      <w:r w:rsidR="004B2055" w:rsidRPr="004B2055">
        <w:rPr>
          <w:vertAlign w:val="superscript"/>
        </w:rPr>
        <w:t>st</w:t>
      </w:r>
      <w:r w:rsidR="004B2055">
        <w:t>, but it is unclear whether that deadline will be met.</w:t>
      </w:r>
    </w:p>
    <w:p w14:paraId="77D30AF5" w14:textId="77777777" w:rsidR="00363C71" w:rsidRDefault="00363C71" w:rsidP="00971B79"/>
    <w:p w14:paraId="1BA359D4" w14:textId="14657FCC" w:rsidR="00971B79" w:rsidRDefault="00971B79" w:rsidP="00971B79">
      <w:r>
        <w:t xml:space="preserve">The House returns to session at the end of the month and will be faced with </w:t>
      </w:r>
      <w:r w:rsidR="00AC3229">
        <w:t xml:space="preserve">the question of whether </w:t>
      </w:r>
      <w:r>
        <w:t>to continue pushing</w:t>
      </w:r>
      <w:r w:rsidR="00AC3229">
        <w:t xml:space="preserve"> forward with</w:t>
      </w:r>
      <w:r>
        <w:t xml:space="preserve"> its own CR, passed in July, or to take up the Senate version. The OMB UG</w:t>
      </w:r>
      <w:r w:rsidR="005B741C">
        <w:t>R</w:t>
      </w:r>
      <w:r>
        <w:t xml:space="preserve"> provision </w:t>
      </w:r>
      <w:r w:rsidR="00AC3229">
        <w:t>will likely</w:t>
      </w:r>
      <w:r>
        <w:t xml:space="preserve"> face some challenges in the House, but the bill passed the Senate with vast </w:t>
      </w:r>
      <w:r w:rsidR="002430A3">
        <w:t xml:space="preserve">bipartisan </w:t>
      </w:r>
      <w:r>
        <w:t xml:space="preserve">support in a 90-6 vote. The House and Senate will only have two and a half weeks in session together before the start of </w:t>
      </w:r>
      <w:r w:rsidR="0029072C">
        <w:t xml:space="preserve">federal </w:t>
      </w:r>
      <w:r>
        <w:t>fiscal year 2027.</w:t>
      </w:r>
    </w:p>
    <w:p w14:paraId="37D027A7" w14:textId="77777777" w:rsidR="00363C71" w:rsidRDefault="00363C71" w:rsidP="00F55C0F"/>
    <w:p w14:paraId="56D63A82" w14:textId="765862B8" w:rsidR="0069707D" w:rsidRDefault="00971B79" w:rsidP="00F55C0F">
      <w:r>
        <w:t>Author: KSC</w:t>
      </w:r>
    </w:p>
    <w:p w14:paraId="45B1FFD8" w14:textId="0FBA8F13" w:rsidR="00A12279" w:rsidRPr="00D40F28" w:rsidRDefault="00A12279" w:rsidP="00D40F28">
      <w:pPr>
        <w:pStyle w:val="Heading2"/>
        <w:pBdr>
          <w:bottom w:val="single" w:sz="6" w:space="1" w:color="auto"/>
        </w:pBdr>
        <w:spacing w:before="240"/>
        <w:rPr>
          <w:rFonts w:ascii="Noticia Text" w:hAnsi="Noticia Text"/>
          <w:smallCaps/>
          <w:sz w:val="36"/>
          <w:szCs w:val="32"/>
        </w:rPr>
      </w:pPr>
      <w:r w:rsidRPr="00D40F28">
        <w:rPr>
          <w:rFonts w:ascii="Noticia Text" w:hAnsi="Noticia Text"/>
          <w:smallCaps/>
          <w:sz w:val="36"/>
          <w:szCs w:val="32"/>
        </w:rPr>
        <w:t>News</w:t>
      </w:r>
    </w:p>
    <w:p w14:paraId="071D40D1" w14:textId="77777777" w:rsidR="00363C71" w:rsidRPr="00363C71" w:rsidRDefault="00363C71" w:rsidP="00363C71"/>
    <w:p w14:paraId="46FA6A69" w14:textId="1005FB15" w:rsidR="00D9168C" w:rsidRDefault="00363C71" w:rsidP="00D40F28">
      <w:pPr>
        <w:pStyle w:val="Heading3"/>
        <w:jc w:val="left"/>
      </w:pPr>
      <w:r w:rsidRPr="00363C71">
        <w:lastRenderedPageBreak/>
        <w:t xml:space="preserve">Federal Judge Dismisses Most of Minnesota’s Title IX Case  </w:t>
      </w:r>
    </w:p>
    <w:p w14:paraId="7004151C" w14:textId="77777777" w:rsidR="00363C71" w:rsidRDefault="00363C71" w:rsidP="00B8510C">
      <w:pPr>
        <w:rPr>
          <w:lang w:val="en"/>
        </w:rPr>
      </w:pPr>
    </w:p>
    <w:p w14:paraId="007EFF14" w14:textId="209DA226" w:rsidR="0029072C" w:rsidRDefault="00B8510C" w:rsidP="00B8510C">
      <w:pPr>
        <w:rPr>
          <w:lang w:val="en"/>
        </w:rPr>
      </w:pPr>
      <w:r w:rsidRPr="00B8510C">
        <w:rPr>
          <w:lang w:val="en"/>
        </w:rPr>
        <w:t xml:space="preserve">On Monday, </w:t>
      </w:r>
      <w:hyperlink r:id="rId8" w:tooltip="Read the Court's Order here">
        <w:r w:rsidRPr="00B8510C">
          <w:rPr>
            <w:rStyle w:val="Hyperlink"/>
            <w:lang w:val="en"/>
          </w:rPr>
          <w:t>a federal court judge dismissed</w:t>
        </w:r>
      </w:hyperlink>
      <w:r w:rsidRPr="00B8510C">
        <w:rPr>
          <w:lang w:val="en"/>
        </w:rPr>
        <w:t xml:space="preserve"> most of Minnesota’s challenge to the administration’s interpretation of Title IX, including related Executive Orders. </w:t>
      </w:r>
    </w:p>
    <w:p w14:paraId="3F0AA0A8" w14:textId="77777777" w:rsidR="0029072C" w:rsidRDefault="0029072C" w:rsidP="00B8510C">
      <w:pPr>
        <w:rPr>
          <w:lang w:val="en"/>
        </w:rPr>
      </w:pPr>
    </w:p>
    <w:p w14:paraId="15EC3302" w14:textId="774AD5A3" w:rsidR="00B8510C" w:rsidRPr="00B8510C" w:rsidRDefault="00B8510C" w:rsidP="00B8510C">
      <w:pPr>
        <w:rPr>
          <w:lang w:val="en"/>
        </w:rPr>
      </w:pPr>
      <w:r w:rsidRPr="00B8510C">
        <w:rPr>
          <w:lang w:val="en"/>
        </w:rPr>
        <w:t xml:space="preserve">Title IX of the Education Amendments of 1972 prohibits discrimination on the basis of sex. The administration has interpreted Title IX </w:t>
      </w:r>
      <w:r w:rsidR="00E24283">
        <w:rPr>
          <w:lang w:val="en"/>
        </w:rPr>
        <w:t xml:space="preserve">based strictly on biological sex assigned at birth.  </w:t>
      </w:r>
      <w:r w:rsidRPr="00B8510C">
        <w:rPr>
          <w:lang w:val="en"/>
        </w:rPr>
        <w:t xml:space="preserve">But the Minnesota Human Rights Act prohibits discrimination on the basis of gender identity. In compliance with State law, the State’s high school sports league also allows students to play on the sports team that aligns with their gender identity. </w:t>
      </w:r>
    </w:p>
    <w:p w14:paraId="216D893A" w14:textId="77777777" w:rsidR="00B8510C" w:rsidRPr="00B8510C" w:rsidRDefault="00B8510C" w:rsidP="00B8510C">
      <w:pPr>
        <w:rPr>
          <w:lang w:val="en"/>
        </w:rPr>
      </w:pPr>
    </w:p>
    <w:p w14:paraId="02364413" w14:textId="2B98ADDB" w:rsidR="00B8510C" w:rsidRPr="00B8510C" w:rsidRDefault="00B8510C" w:rsidP="00B8510C">
      <w:pPr>
        <w:rPr>
          <w:lang w:val="en"/>
        </w:rPr>
      </w:pPr>
      <w:r w:rsidRPr="00B8510C">
        <w:rPr>
          <w:lang w:val="en"/>
        </w:rPr>
        <w:t xml:space="preserve">In February of 2025, the U.S. Department of Education (ED) launched an investigation into Minnesota, </w:t>
      </w:r>
      <w:r w:rsidR="00AC3229">
        <w:rPr>
          <w:lang w:val="en"/>
        </w:rPr>
        <w:t xml:space="preserve">along with similar investigations into several other States, </w:t>
      </w:r>
      <w:r w:rsidRPr="00B8510C">
        <w:rPr>
          <w:lang w:val="en"/>
        </w:rPr>
        <w:t>citing concerns over Title IX compliance</w:t>
      </w:r>
      <w:r w:rsidR="00AC3229">
        <w:rPr>
          <w:lang w:val="en"/>
        </w:rPr>
        <w:t>. T</w:t>
      </w:r>
      <w:r w:rsidRPr="00B8510C">
        <w:rPr>
          <w:lang w:val="en"/>
        </w:rPr>
        <w:t xml:space="preserve">he U.S. Department of Justice (DOJ) </w:t>
      </w:r>
      <w:r w:rsidR="00AC3229">
        <w:rPr>
          <w:lang w:val="en"/>
        </w:rPr>
        <w:t xml:space="preserve">also </w:t>
      </w:r>
      <w:r w:rsidRPr="00B8510C">
        <w:rPr>
          <w:lang w:val="en"/>
        </w:rPr>
        <w:t>threatened to sue the State before any investigation had been completed</w:t>
      </w:r>
      <w:r w:rsidR="00AC3229">
        <w:rPr>
          <w:lang w:val="en"/>
        </w:rPr>
        <w:t>, an</w:t>
      </w:r>
      <w:r w:rsidR="00943F47">
        <w:rPr>
          <w:lang w:val="en"/>
        </w:rPr>
        <w:t>d</w:t>
      </w:r>
      <w:r w:rsidRPr="00B8510C">
        <w:rPr>
          <w:lang w:val="en"/>
        </w:rPr>
        <w:t xml:space="preserve"> then launched </w:t>
      </w:r>
      <w:r w:rsidR="00AC3229">
        <w:rPr>
          <w:lang w:val="en"/>
        </w:rPr>
        <w:t>its own</w:t>
      </w:r>
      <w:r w:rsidR="00AC3229" w:rsidRPr="00B8510C">
        <w:rPr>
          <w:lang w:val="en"/>
        </w:rPr>
        <w:t xml:space="preserve"> </w:t>
      </w:r>
      <w:r w:rsidRPr="00B8510C">
        <w:rPr>
          <w:lang w:val="en"/>
        </w:rPr>
        <w:t xml:space="preserve">investigation in April of 2025. In June, ED issued a finding of noncompliance to Minnesota, </w:t>
      </w:r>
      <w:r w:rsidR="00AC3229">
        <w:rPr>
          <w:lang w:val="en"/>
        </w:rPr>
        <w:t>arguing</w:t>
      </w:r>
      <w:r w:rsidRPr="00B8510C">
        <w:rPr>
          <w:lang w:val="en"/>
        </w:rPr>
        <w:t xml:space="preserve"> that </w:t>
      </w:r>
      <w:r w:rsidR="002430A3">
        <w:rPr>
          <w:lang w:val="en"/>
        </w:rPr>
        <w:t>the State vio</w:t>
      </w:r>
      <w:r w:rsidRPr="00B8510C">
        <w:rPr>
          <w:lang w:val="en"/>
        </w:rPr>
        <w:t xml:space="preserve">lates Title IX “by permitting transgender women and girls to compete on athletic teams designated for women and girls and by allowing transgender women and girls to use restrooms and locker rooms designated for women and girls.” Minnesota filed </w:t>
      </w:r>
      <w:r w:rsidR="00AC3229">
        <w:rPr>
          <w:lang w:val="en"/>
        </w:rPr>
        <w:t>a lawsuit</w:t>
      </w:r>
      <w:r w:rsidRPr="00B8510C">
        <w:rPr>
          <w:lang w:val="en"/>
        </w:rPr>
        <w:t>, challenging the administration’s actions.</w:t>
      </w:r>
    </w:p>
    <w:p w14:paraId="76DE43BF" w14:textId="77777777" w:rsidR="00B8510C" w:rsidRPr="00B8510C" w:rsidRDefault="00B8510C" w:rsidP="00B8510C">
      <w:pPr>
        <w:rPr>
          <w:lang w:val="en"/>
        </w:rPr>
      </w:pPr>
    </w:p>
    <w:p w14:paraId="47D9F518" w14:textId="6F441C6D" w:rsidR="00B8510C" w:rsidRPr="00B8510C" w:rsidRDefault="00B8510C" w:rsidP="00B8510C">
      <w:pPr>
        <w:rPr>
          <w:lang w:val="en"/>
        </w:rPr>
      </w:pPr>
      <w:r w:rsidRPr="00B8510C">
        <w:rPr>
          <w:lang w:val="en"/>
        </w:rPr>
        <w:t xml:space="preserve">Minnesota District Chief Judge Eric Tostrud did not </w:t>
      </w:r>
      <w:r w:rsidR="00E24283">
        <w:rPr>
          <w:lang w:val="en"/>
        </w:rPr>
        <w:t>address</w:t>
      </w:r>
      <w:r w:rsidR="00E24283" w:rsidRPr="00B8510C">
        <w:rPr>
          <w:lang w:val="en"/>
        </w:rPr>
        <w:t xml:space="preserve"> </w:t>
      </w:r>
      <w:r w:rsidRPr="00B8510C">
        <w:rPr>
          <w:lang w:val="en"/>
        </w:rPr>
        <w:t xml:space="preserve">the question of how the administration was interpreting Title IX but dismissed the case because </w:t>
      </w:r>
      <w:proofErr w:type="spellStart"/>
      <w:r w:rsidRPr="00B8510C">
        <w:rPr>
          <w:lang w:val="en"/>
        </w:rPr>
        <w:t>Tostrud</w:t>
      </w:r>
      <w:proofErr w:type="spellEnd"/>
      <w:r w:rsidRPr="00B8510C">
        <w:rPr>
          <w:lang w:val="en"/>
        </w:rPr>
        <w:t xml:space="preserve"> determined that a “final agency action” had not yet been issued. The order stated that Minnesota will not face consequences until after a hearing where an agency determines noncompliance or after a court finds that Minnesota is not in compliance with Title IX. At that point, the agencies would have issued final actions that Minnesota could challenge. </w:t>
      </w:r>
    </w:p>
    <w:p w14:paraId="0F9C6A1F" w14:textId="77777777" w:rsidR="00B8510C" w:rsidRPr="00B8510C" w:rsidRDefault="00B8510C" w:rsidP="00B8510C">
      <w:pPr>
        <w:rPr>
          <w:lang w:val="en"/>
        </w:rPr>
      </w:pPr>
    </w:p>
    <w:p w14:paraId="7E9FD6EA" w14:textId="2B70ADF3" w:rsidR="00B8510C" w:rsidRPr="00B8510C" w:rsidRDefault="00B8510C" w:rsidP="00B8510C">
      <w:pPr>
        <w:rPr>
          <w:lang w:val="en"/>
        </w:rPr>
      </w:pPr>
      <w:r w:rsidRPr="00B8510C">
        <w:rPr>
          <w:lang w:val="en"/>
        </w:rPr>
        <w:t xml:space="preserve">One claim that was not dismissed was Minnesota’s argument that the government violated the Constitution’s spending clause because the administration’s interpretation is unclear and “will induce recipients to violate the constitutional rights of students by discriminating against transgender individuals.” </w:t>
      </w:r>
      <w:proofErr w:type="spellStart"/>
      <w:r w:rsidRPr="00B8510C">
        <w:rPr>
          <w:lang w:val="en"/>
        </w:rPr>
        <w:t>Tostrud</w:t>
      </w:r>
      <w:proofErr w:type="spellEnd"/>
      <w:r w:rsidRPr="00B8510C">
        <w:rPr>
          <w:lang w:val="en"/>
        </w:rPr>
        <w:t xml:space="preserve"> wrote that even if Title IX does prohibit States from allowing students to compete on teams aligned with their gender identity, “that does not mean Minnesota had sufficiently clear notice that Title IX contained that prohibition when it decided to accept federal funding</w:t>
      </w:r>
      <w:r w:rsidR="00AC3229">
        <w:rPr>
          <w:lang w:val="en"/>
        </w:rPr>
        <w:t>,</w:t>
      </w:r>
      <w:r w:rsidRPr="00B8510C">
        <w:rPr>
          <w:lang w:val="en"/>
        </w:rPr>
        <w:t>”</w:t>
      </w:r>
      <w:r w:rsidR="00AC3229">
        <w:rPr>
          <w:lang w:val="en"/>
        </w:rPr>
        <w:t xml:space="preserve"> echoing recent Supreme Court discussion on the same issue. </w:t>
      </w:r>
      <w:r w:rsidRPr="00B8510C">
        <w:rPr>
          <w:lang w:val="en"/>
        </w:rPr>
        <w:t xml:space="preserve">That claim will move forward. </w:t>
      </w:r>
    </w:p>
    <w:p w14:paraId="5504BCED" w14:textId="77777777" w:rsidR="00B8510C" w:rsidRPr="00B8510C" w:rsidRDefault="00B8510C" w:rsidP="00B8510C">
      <w:pPr>
        <w:rPr>
          <w:lang w:val="en"/>
        </w:rPr>
      </w:pPr>
    </w:p>
    <w:p w14:paraId="31D0BBEC" w14:textId="77777777" w:rsidR="00B8510C" w:rsidRPr="00B8510C" w:rsidRDefault="00B8510C" w:rsidP="00B8510C">
      <w:pPr>
        <w:rPr>
          <w:lang w:val="en"/>
        </w:rPr>
      </w:pPr>
      <w:r w:rsidRPr="00B8510C">
        <w:rPr>
          <w:lang w:val="en"/>
        </w:rPr>
        <w:t xml:space="preserve">While the order did not address the question of the interpretation of Title IX, it did </w:t>
      </w:r>
      <w:r w:rsidRPr="00B8510C">
        <w:rPr>
          <w:lang w:val="en"/>
        </w:rPr>
        <w:lastRenderedPageBreak/>
        <w:t xml:space="preserve">reference the Supreme Court’s June decision in </w:t>
      </w:r>
      <w:r w:rsidRPr="00B8510C">
        <w:rPr>
          <w:i/>
          <w:iCs/>
          <w:lang w:val="en"/>
        </w:rPr>
        <w:t>West Virginia v. B.P.J</w:t>
      </w:r>
      <w:r w:rsidRPr="00B8510C">
        <w:rPr>
          <w:lang w:val="en"/>
        </w:rPr>
        <w:t xml:space="preserve">, stating “the Supreme Court’s determination that ‘sex’ in Title IX refers to biological sex provides at least some support for the Defendant’s interpretation of the statute.” The Court has not yet determined whether States may </w:t>
      </w:r>
      <w:r w:rsidRPr="00B8510C">
        <w:rPr>
          <w:i/>
          <w:iCs/>
          <w:lang w:val="en"/>
        </w:rPr>
        <w:t xml:space="preserve">allow </w:t>
      </w:r>
      <w:r w:rsidRPr="00B8510C">
        <w:rPr>
          <w:lang w:val="en"/>
        </w:rPr>
        <w:t xml:space="preserve">students to compete on teams that align with their gender identity. </w:t>
      </w:r>
    </w:p>
    <w:p w14:paraId="2FC60ED3" w14:textId="77777777" w:rsidR="00B8510C" w:rsidRPr="00B8510C" w:rsidRDefault="00B8510C" w:rsidP="00B8510C">
      <w:pPr>
        <w:rPr>
          <w:lang w:val="en"/>
        </w:rPr>
      </w:pPr>
    </w:p>
    <w:p w14:paraId="5C337012" w14:textId="77777777" w:rsidR="00B8510C" w:rsidRPr="00B8510C" w:rsidRDefault="00B8510C" w:rsidP="00B8510C">
      <w:pPr>
        <w:rPr>
          <w:lang w:val="en"/>
        </w:rPr>
      </w:pPr>
      <w:r w:rsidRPr="00B8510C">
        <w:rPr>
          <w:lang w:val="en"/>
        </w:rPr>
        <w:t xml:space="preserve">In March of this year, the government </w:t>
      </w:r>
      <w:hyperlink r:id="rId9" w:tooltip="Read the government's complaint here" w:history="1">
        <w:r w:rsidRPr="00B8510C">
          <w:rPr>
            <w:rStyle w:val="Hyperlink"/>
            <w:lang w:val="en"/>
          </w:rPr>
          <w:t>filed a separate case</w:t>
        </w:r>
      </w:hyperlink>
      <w:r w:rsidRPr="00B8510C">
        <w:rPr>
          <w:lang w:val="en"/>
        </w:rPr>
        <w:t xml:space="preserve"> alleging Minnesota is violating Title IX. That case is still ongoing, and a hearing is scheduled for next month. </w:t>
      </w:r>
    </w:p>
    <w:p w14:paraId="3C5F3DF4" w14:textId="77777777" w:rsidR="00B8510C" w:rsidRPr="00B8510C" w:rsidRDefault="00B8510C" w:rsidP="00B8510C">
      <w:pPr>
        <w:rPr>
          <w:lang w:val="en"/>
        </w:rPr>
      </w:pPr>
    </w:p>
    <w:p w14:paraId="2CD88432" w14:textId="77777777" w:rsidR="00B8510C" w:rsidRPr="00B8510C" w:rsidRDefault="00B8510C" w:rsidP="00B8510C">
      <w:pPr>
        <w:rPr>
          <w:lang w:val="en"/>
        </w:rPr>
      </w:pPr>
      <w:r w:rsidRPr="00B8510C">
        <w:rPr>
          <w:lang w:val="en"/>
        </w:rPr>
        <w:t xml:space="preserve">Resources: </w:t>
      </w:r>
    </w:p>
    <w:p w14:paraId="095441BE" w14:textId="77777777" w:rsidR="00B8510C" w:rsidRPr="00B8510C" w:rsidRDefault="00B8510C" w:rsidP="00B8510C">
      <w:pPr>
        <w:rPr>
          <w:lang w:val="en"/>
        </w:rPr>
      </w:pPr>
      <w:r w:rsidRPr="00B8510C">
        <w:rPr>
          <w:lang w:val="en"/>
        </w:rPr>
        <w:t xml:space="preserve">Bianca Quilantan, “Judge sides with Trump administration in Minnesota lawsuit over trans students,” </w:t>
      </w:r>
      <w:r w:rsidRPr="00B8510C">
        <w:rPr>
          <w:i/>
          <w:iCs/>
          <w:lang w:val="en"/>
        </w:rPr>
        <w:t>Politico</w:t>
      </w:r>
      <w:r w:rsidRPr="00B8510C">
        <w:rPr>
          <w:lang w:val="en"/>
        </w:rPr>
        <w:t xml:space="preserve">, August 10, 2026. </w:t>
      </w:r>
    </w:p>
    <w:p w14:paraId="006AC5C2" w14:textId="77777777" w:rsidR="00B8510C" w:rsidRDefault="00B8510C" w:rsidP="00B8510C">
      <w:pPr>
        <w:rPr>
          <w:lang w:val="en"/>
        </w:rPr>
      </w:pPr>
      <w:r w:rsidRPr="00B8510C">
        <w:rPr>
          <w:lang w:val="en"/>
        </w:rPr>
        <w:t xml:space="preserve">Author: BTW </w:t>
      </w:r>
    </w:p>
    <w:p w14:paraId="37287C45" w14:textId="77777777" w:rsidR="00B8510C" w:rsidRDefault="00B8510C" w:rsidP="00B8510C">
      <w:pPr>
        <w:rPr>
          <w:lang w:val="en"/>
        </w:rPr>
      </w:pPr>
    </w:p>
    <w:p w14:paraId="5EDB39DF" w14:textId="77777777" w:rsidR="008D36F8" w:rsidRDefault="008D36F8" w:rsidP="00D40F28">
      <w:pPr>
        <w:pStyle w:val="Heading3"/>
        <w:jc w:val="left"/>
      </w:pPr>
      <w:r>
        <w:t>Assistant Secretary of ETA Departs</w:t>
      </w:r>
    </w:p>
    <w:p w14:paraId="0F2CA4AB" w14:textId="77777777" w:rsidR="008D36F8" w:rsidRDefault="008D36F8" w:rsidP="008D36F8"/>
    <w:p w14:paraId="1B480A6A" w14:textId="2EBB8A3F" w:rsidR="008D36F8" w:rsidRDefault="008D36F8" w:rsidP="008D36F8">
      <w:r>
        <w:t>Henry Mack, who served as the Assistant Secretary for the Employment and Training Administration</w:t>
      </w:r>
      <w:r w:rsidR="00F841AC">
        <w:t xml:space="preserve"> (ETA)</w:t>
      </w:r>
      <w:r>
        <w:t xml:space="preserve"> at the U.S. Department of Labor</w:t>
      </w:r>
      <w:r w:rsidR="005B741C">
        <w:t xml:space="preserve"> (DOL)</w:t>
      </w:r>
      <w:r>
        <w:t>, has vacated the position to return to his home State of Florida</w:t>
      </w:r>
      <w:r w:rsidR="00AC3229">
        <w:t>, where he</w:t>
      </w:r>
      <w:r>
        <w:t xml:space="preserve"> was appointed and approved to be the State’s Commissioner of Education. </w:t>
      </w:r>
    </w:p>
    <w:p w14:paraId="6282E421" w14:textId="77777777" w:rsidR="008D36F8" w:rsidRDefault="008D36F8" w:rsidP="008D36F8"/>
    <w:p w14:paraId="35C43549" w14:textId="440C77F0" w:rsidR="008D36F8" w:rsidRDefault="008D36F8" w:rsidP="008D36F8">
      <w:r>
        <w:t xml:space="preserve">Mack played a key role in the implementation of </w:t>
      </w:r>
      <w:r w:rsidR="005B741C">
        <w:t>the U.S. Department of Education</w:t>
      </w:r>
      <w:r>
        <w:t xml:space="preserve">’s first interagency agreement with </w:t>
      </w:r>
      <w:r w:rsidR="005B741C">
        <w:t>DOL</w:t>
      </w:r>
      <w:r>
        <w:t xml:space="preserve">, which </w:t>
      </w:r>
      <w:r w:rsidR="00F841AC">
        <w:t>established</w:t>
      </w:r>
      <w:r>
        <w:t xml:space="preserve"> the co-administration of the Perkins Career and Technical Education and the Adult Education programs. One of ETA’s Deputy Assistant Secretaries, Marek Laco, has been appointed as the Acting Assistant Secretary in the interim. Laco previously worked on Capitol Hill for various members and the House Committee on Education and Workforce prior to his role at DOL. It is unclear whether Laco will be nominated for the position long-term, or if the President will seek an individual outside of ETA for the role. </w:t>
      </w:r>
    </w:p>
    <w:p w14:paraId="2F7BF00C" w14:textId="77777777" w:rsidR="008D36F8" w:rsidRDefault="008D36F8" w:rsidP="008D36F8"/>
    <w:p w14:paraId="608163B6" w14:textId="190CB27D" w:rsidR="008D36F8" w:rsidRPr="008D36F8" w:rsidRDefault="008D36F8" w:rsidP="00B8510C">
      <w:r>
        <w:t>Author: KSC</w:t>
      </w:r>
    </w:p>
    <w:p w14:paraId="15EF918C" w14:textId="6E8D6374" w:rsidR="00B8510C" w:rsidRPr="00D40F28" w:rsidRDefault="00B8510C" w:rsidP="00D40F28">
      <w:pPr>
        <w:pStyle w:val="Heading2"/>
        <w:pBdr>
          <w:bottom w:val="single" w:sz="6" w:space="1" w:color="auto"/>
        </w:pBdr>
        <w:spacing w:before="240"/>
        <w:rPr>
          <w:rFonts w:ascii="Noticia Text" w:hAnsi="Noticia Text"/>
          <w:smallCaps/>
          <w:sz w:val="36"/>
          <w:szCs w:val="32"/>
        </w:rPr>
      </w:pPr>
      <w:r w:rsidRPr="00D40F28">
        <w:rPr>
          <w:rFonts w:ascii="Noticia Text" w:hAnsi="Noticia Text"/>
          <w:smallCaps/>
          <w:sz w:val="36"/>
          <w:szCs w:val="32"/>
        </w:rPr>
        <w:t>Reports</w:t>
      </w:r>
    </w:p>
    <w:p w14:paraId="0C547AD4" w14:textId="77777777" w:rsidR="00B8510C" w:rsidRDefault="00B8510C" w:rsidP="00B8510C">
      <w:pPr>
        <w:rPr>
          <w:lang w:val="en"/>
        </w:rPr>
      </w:pPr>
    </w:p>
    <w:p w14:paraId="34629141" w14:textId="77777777" w:rsidR="00351148" w:rsidRDefault="00351148" w:rsidP="00D40F28">
      <w:pPr>
        <w:pStyle w:val="Heading3"/>
        <w:jc w:val="left"/>
      </w:pPr>
      <w:r>
        <w:lastRenderedPageBreak/>
        <w:t>OIG Issues New Reports on IDEA, Title I-D</w:t>
      </w:r>
    </w:p>
    <w:p w14:paraId="5E62B44F" w14:textId="77777777" w:rsidR="00351148" w:rsidRDefault="00351148" w:rsidP="00351148"/>
    <w:p w14:paraId="446B47E6" w14:textId="26354511" w:rsidR="00351148" w:rsidRDefault="00351148" w:rsidP="00351148">
      <w:r>
        <w:t xml:space="preserve">The </w:t>
      </w:r>
      <w:r w:rsidR="002430A3">
        <w:t xml:space="preserve">U.S. </w:t>
      </w:r>
      <w:r>
        <w:t>Department of Education’s Office of Inspector General (OIG) has issued two new reports focusing on specific grantees and their implementation of K-12 education programs.</w:t>
      </w:r>
    </w:p>
    <w:p w14:paraId="6A88DF56" w14:textId="77777777" w:rsidR="00351148" w:rsidRDefault="00351148" w:rsidP="00351148"/>
    <w:p w14:paraId="62B221DD" w14:textId="377120ED" w:rsidR="00351148" w:rsidRDefault="00351148" w:rsidP="00351148">
      <w:hyperlink r:id="rId10" w:tooltip="View the ED OIG Report on IDEA in Prince George's County Maryland" w:history="1">
        <w:r w:rsidRPr="0039352E">
          <w:rPr>
            <w:rStyle w:val="Hyperlink"/>
          </w:rPr>
          <w:t>In the first report, which examines compliance with the Individuals with Disabilities Education Act (IDEA) by Prince George’s County Public Schools in Maryland</w:t>
        </w:r>
      </w:hyperlink>
      <w:r>
        <w:t xml:space="preserve">, OIG argues that the policies in place were not always sufficient to ensure appropriate delivery of services. The issues identified by OIG </w:t>
      </w:r>
      <w:r w:rsidR="00F841AC">
        <w:t xml:space="preserve">focused </w:t>
      </w:r>
      <w:r>
        <w:t xml:space="preserve">primarily </w:t>
      </w:r>
      <w:r w:rsidR="00CD1E13">
        <w:t>on</w:t>
      </w:r>
      <w:r>
        <w:t xml:space="preserve"> documentation, and </w:t>
      </w:r>
      <w:r w:rsidR="002430A3">
        <w:t xml:space="preserve">OIG </w:t>
      </w:r>
      <w:r>
        <w:t xml:space="preserve">noted that students’ </w:t>
      </w:r>
      <w:r w:rsidR="00F841AC">
        <w:t>Individualized Educational Plans (</w:t>
      </w:r>
      <w:r>
        <w:t>IEPs</w:t>
      </w:r>
      <w:r w:rsidR="00F841AC">
        <w:t>)</w:t>
      </w:r>
      <w:r>
        <w:t xml:space="preserve"> did not always show that requirements were met or that students received all of the services described in their IEPs. For example, documents reviewed by OIG did not </w:t>
      </w:r>
      <w:r w:rsidR="00F841AC">
        <w:t xml:space="preserve">demonstrate </w:t>
      </w:r>
      <w:r>
        <w:t>that the district provided parents with a copy of the IEP</w:t>
      </w:r>
      <w:r w:rsidR="002430A3">
        <w:t xml:space="preserve"> </w:t>
      </w:r>
      <w:r>
        <w:t>and did not confirm that parents were notified of absences from IEP meetings. Supporting documentation was missing from approximately 18</w:t>
      </w:r>
      <w:r w:rsidR="002430A3">
        <w:t xml:space="preserve"> percent</w:t>
      </w:r>
      <w:r>
        <w:t xml:space="preserve"> of the documents tested.</w:t>
      </w:r>
    </w:p>
    <w:p w14:paraId="3CF2A59B" w14:textId="77777777" w:rsidR="00351148" w:rsidRDefault="00351148" w:rsidP="00351148"/>
    <w:p w14:paraId="66C9F6EC" w14:textId="69CAD107" w:rsidR="00351148" w:rsidRDefault="00351148" w:rsidP="00351148">
      <w:r>
        <w:t>Additionally, OIG noted that the county uses a non-</w:t>
      </w:r>
      <w:r w:rsidR="00943F47">
        <w:t>risk-based</w:t>
      </w:r>
      <w:r>
        <w:t xml:space="preserve"> approach to monitoring which was not always sufficient to identify issues. Nor does the district incorporate known risks into the sample selection process for determining what documents to review, and OIG </w:t>
      </w:r>
      <w:r w:rsidR="00F841AC">
        <w:t xml:space="preserve">claimed </w:t>
      </w:r>
      <w:r>
        <w:t>its trainings do not cover all necessary topics related to IEPs.</w:t>
      </w:r>
    </w:p>
    <w:p w14:paraId="1FA0502E" w14:textId="77777777" w:rsidR="00351148" w:rsidRDefault="00351148" w:rsidP="00351148"/>
    <w:p w14:paraId="6D129B31" w14:textId="160B0DDD" w:rsidR="00351148" w:rsidRDefault="00351148" w:rsidP="00351148">
      <w:r>
        <w:t xml:space="preserve">The second report focused on </w:t>
      </w:r>
      <w:r w:rsidR="00F841AC">
        <w:t xml:space="preserve">the </w:t>
      </w:r>
      <w:hyperlink r:id="rId11" w:tooltip="Read the OIG report on NY implementation of Title I-D" w:history="1">
        <w:r w:rsidRPr="008B6D76">
          <w:rPr>
            <w:rStyle w:val="Hyperlink"/>
          </w:rPr>
          <w:t xml:space="preserve">New York </w:t>
        </w:r>
        <w:r w:rsidR="00F841AC" w:rsidRPr="008B6D76">
          <w:rPr>
            <w:rStyle w:val="Hyperlink"/>
          </w:rPr>
          <w:t>State</w:t>
        </w:r>
        <w:r w:rsidR="00F841AC">
          <w:rPr>
            <w:rStyle w:val="Hyperlink"/>
          </w:rPr>
          <w:t xml:space="preserve"> Education Department’s</w:t>
        </w:r>
        <w:r w:rsidR="00F841AC" w:rsidRPr="008B6D76">
          <w:rPr>
            <w:rStyle w:val="Hyperlink"/>
          </w:rPr>
          <w:t xml:space="preserve"> </w:t>
        </w:r>
        <w:r w:rsidRPr="008B6D76">
          <w:rPr>
            <w:rStyle w:val="Hyperlink"/>
          </w:rPr>
          <w:t>implementation of programs for students who are neglected, delinquent, or at-risk under Title I-D</w:t>
        </w:r>
      </w:hyperlink>
      <w:r>
        <w:t xml:space="preserve"> of the Elementary and Secondary Education Act (ESEA). OIG concluded that the State “generally implemented processes to provide reasonable assurance” that the State is administering the programs “in accordance with statutory and regulatory requirements.” However, OIG identified some issues with monitoring processes and implementation timelines for a Statewide transition plan.</w:t>
      </w:r>
    </w:p>
    <w:p w14:paraId="4F3931EC" w14:textId="77777777" w:rsidR="00351148" w:rsidRDefault="00351148" w:rsidP="00351148"/>
    <w:p w14:paraId="7DD8905F" w14:textId="5B17B1FB" w:rsidR="00351148" w:rsidRDefault="00351148" w:rsidP="00351148">
      <w:r>
        <w:t xml:space="preserve">In particular, the report </w:t>
      </w:r>
      <w:r w:rsidR="00992B7F">
        <w:t>claims</w:t>
      </w:r>
      <w:r w:rsidR="00E015E4">
        <w:t xml:space="preserve"> </w:t>
      </w:r>
      <w:r>
        <w:t>that the State’s monitoring processes “</w:t>
      </w:r>
      <w:r w:rsidRPr="008B6D76">
        <w:t xml:space="preserve">did not include steps to ensure that State agencies prioritized making services available to children and youth in adult correctional facilities who are likely to complete incarceration within a </w:t>
      </w:r>
      <w:r w:rsidR="002430A3">
        <w:t>two</w:t>
      </w:r>
      <w:r w:rsidRPr="008B6D76">
        <w:t>-year period (1414(c)(2)) or used funds in alignment with their budget and only for authorized purposes (1414(c)(3)).</w:t>
      </w:r>
      <w:r>
        <w:t>” OIG recommends that the State update its monitoring processes to include those items. Additionally, the State has not completed implementation of new achievement standards for the program. OIG suggests that it be completed by 2028, noting that the State cited “</w:t>
      </w:r>
      <w:r w:rsidRPr="008B6D76">
        <w:t xml:space="preserve">pandemic, retirements, and position </w:t>
      </w:r>
      <w:r w:rsidRPr="008B6D76">
        <w:lastRenderedPageBreak/>
        <w:t>changes as causes for the delay in finalizing and implementing a statewide transition plan.</w:t>
      </w:r>
      <w:r>
        <w:t>”</w:t>
      </w:r>
    </w:p>
    <w:p w14:paraId="227EE8B7" w14:textId="77777777" w:rsidR="00351148" w:rsidRDefault="00351148" w:rsidP="00B8510C"/>
    <w:p w14:paraId="26B3B2FD" w14:textId="489BF7D1" w:rsidR="00B8510C" w:rsidRPr="00351148" w:rsidRDefault="00351148" w:rsidP="00B8510C">
      <w:r>
        <w:t>Author: JCM</w:t>
      </w:r>
    </w:p>
    <w:p w14:paraId="233C121B" w14:textId="77777777" w:rsidR="00B50FC3" w:rsidRDefault="00B50FC3" w:rsidP="00B97169"/>
    <w:p w14:paraId="04CFEE8B" w14:textId="58796524"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55EC8C37" w:rsidR="00C769A4" w:rsidRDefault="00201433" w:rsidP="2193F663">
      <w:pPr>
        <w:spacing w:before="240" w:after="240"/>
        <w:rPr>
          <w:rFonts w:eastAsia="Times New Roman" w:cs="Arial"/>
        </w:rPr>
      </w:pPr>
      <w:r w:rsidRPr="71338862">
        <w:rPr>
          <w:rFonts w:eastAsia="Times New Roman" w:cs="Arial"/>
        </w:rPr>
        <w:t>Contributors:</w:t>
      </w:r>
      <w:r w:rsidR="0063062C">
        <w:rPr>
          <w:rFonts w:eastAsia="Times New Roman" w:cs="Arial"/>
        </w:rPr>
        <w:t xml:space="preserve"> </w:t>
      </w:r>
      <w:r w:rsidR="00351148">
        <w:rPr>
          <w:rFonts w:eastAsia="Times New Roman" w:cs="Arial"/>
        </w:rPr>
        <w:t xml:space="preserve">Julia Martin, </w:t>
      </w:r>
      <w:r w:rsidR="00A81C1E">
        <w:rPr>
          <w:rFonts w:eastAsia="Times New Roman" w:cs="Arial"/>
        </w:rPr>
        <w:t>Kelly Christiansen</w:t>
      </w:r>
      <w:r w:rsidR="000C7544">
        <w:rPr>
          <w:rFonts w:eastAsia="Times New Roman" w:cs="Arial"/>
        </w:rPr>
        <w:t>, Brandi Wills</w:t>
      </w:r>
    </w:p>
    <w:p w14:paraId="7FBE8545" w14:textId="321733DC" w:rsidR="00D40F28" w:rsidRDefault="00D40F28" w:rsidP="2193F663">
      <w:pPr>
        <w:spacing w:before="240" w:after="240"/>
        <w:rPr>
          <w:rFonts w:eastAsia="Times New Roman" w:cs="Arial"/>
        </w:rPr>
      </w:pPr>
      <w:r w:rsidRPr="00D40F28">
        <w:rPr>
          <w:rFonts w:eastAsia="Times New Roman" w:cs="Arial"/>
        </w:rPr>
        <w:t>Posted by the California Department of Education, August 2026</w:t>
      </w:r>
    </w:p>
    <w:sectPr w:rsidR="00D40F28" w:rsidSect="00A11D40">
      <w:headerReference w:type="default" r:id="rId12"/>
      <w:footerReference w:type="default" r:id="rId13"/>
      <w:footerReference w:type="first" r:id="rId14"/>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C375" w14:textId="77777777" w:rsidR="00C11A06" w:rsidRDefault="00C11A06">
      <w:r>
        <w:separator/>
      </w:r>
    </w:p>
  </w:endnote>
  <w:endnote w:type="continuationSeparator" w:id="0">
    <w:p w14:paraId="07875A82" w14:textId="77777777" w:rsidR="00C11A06" w:rsidRDefault="00C11A06">
      <w:r>
        <w:continuationSeparator/>
      </w:r>
    </w:p>
  </w:endnote>
  <w:endnote w:type="continuationNotice" w:id="1">
    <w:p w14:paraId="399AC89B" w14:textId="77777777" w:rsidR="00C11A06" w:rsidRDefault="00C11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5152A7" w:rsidRDefault="005152A7">
    <w:pPr>
      <w:pStyle w:val="Footer"/>
      <w:jc w:val="right"/>
    </w:pPr>
  </w:p>
  <w:p w14:paraId="6A515586" w14:textId="77777777" w:rsidR="005152A7" w:rsidRPr="00F1693E" w:rsidRDefault="005152A7" w:rsidP="00F62BBA">
    <w:pPr>
      <w:jc w:val="center"/>
    </w:pPr>
    <w:hyperlink r:id="rId1" w:history="1">
      <w:r w:rsidRPr="00DD3944">
        <w:rPr>
          <w:rStyle w:val="Hyperlink"/>
        </w:rPr>
        <w:t>www.bruman.com</w:t>
      </w:r>
    </w:hyperlink>
  </w:p>
  <w:p w14:paraId="07EFC3ED" w14:textId="5F0537DC" w:rsidR="005152A7" w:rsidRPr="000D1533" w:rsidRDefault="005152A7">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152A7" w:rsidRPr="00F1693E" w:rsidRDefault="005152A7" w:rsidP="00F1693E">
    <w:pPr>
      <w:jc w:val="center"/>
    </w:pPr>
    <w:hyperlink r:id="rId1" w:history="1">
      <w:r w:rsidRPr="00DD3944">
        <w:rPr>
          <w:rStyle w:val="Hyperlink"/>
        </w:rPr>
        <w:t>www.bruman.com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DFD2" w14:textId="77777777" w:rsidR="00C11A06" w:rsidRDefault="00C11A06">
      <w:r>
        <w:separator/>
      </w:r>
    </w:p>
  </w:footnote>
  <w:footnote w:type="continuationSeparator" w:id="0">
    <w:p w14:paraId="74960F56" w14:textId="77777777" w:rsidR="00C11A06" w:rsidRDefault="00C11A06">
      <w:r>
        <w:continuationSeparator/>
      </w:r>
    </w:p>
  </w:footnote>
  <w:footnote w:type="continuationNotice" w:id="1">
    <w:p w14:paraId="4F52C2C7" w14:textId="77777777" w:rsidR="00C11A06" w:rsidRDefault="00C11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5152A7" w:rsidRPr="00B50AD1" w:rsidRDefault="005152A7"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7001FA69" w:rsidR="005152A7" w:rsidRPr="001767D4" w:rsidRDefault="00EB23EE" w:rsidP="00B50AD1">
    <w:pPr>
      <w:pStyle w:val="NoSpacing"/>
      <w:tabs>
        <w:tab w:val="left" w:pos="7920"/>
      </w:tabs>
      <w:spacing w:after="240"/>
      <w:rPr>
        <w:b/>
        <w:bCs/>
      </w:rPr>
    </w:pPr>
    <w:r>
      <w:rPr>
        <w:rFonts w:ascii="Open Sans" w:hAnsi="Open Sans" w:cs="Open Sans"/>
        <w:b/>
        <w:bCs/>
      </w:rPr>
      <w:t xml:space="preserve">August </w:t>
    </w:r>
    <w:r w:rsidR="003310F7">
      <w:rPr>
        <w:rFonts w:ascii="Open Sans" w:hAnsi="Open Sans" w:cs="Open Sans"/>
        <w:b/>
        <w:bCs/>
      </w:rPr>
      <w:t>14</w:t>
    </w:r>
    <w:r w:rsidR="005152A7">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560"/>
    <w:rsid w:val="00005BB9"/>
    <w:rsid w:val="00005C33"/>
    <w:rsid w:val="00005F5A"/>
    <w:rsid w:val="00006377"/>
    <w:rsid w:val="000063CE"/>
    <w:rsid w:val="0000653B"/>
    <w:rsid w:val="00006757"/>
    <w:rsid w:val="00006BD0"/>
    <w:rsid w:val="00006CFC"/>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4EA6"/>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6EB4"/>
    <w:rsid w:val="00027025"/>
    <w:rsid w:val="000271F1"/>
    <w:rsid w:val="000274C7"/>
    <w:rsid w:val="0002758A"/>
    <w:rsid w:val="00027A54"/>
    <w:rsid w:val="000301C7"/>
    <w:rsid w:val="000306D4"/>
    <w:rsid w:val="00030888"/>
    <w:rsid w:val="00030F77"/>
    <w:rsid w:val="0003104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0C5"/>
    <w:rsid w:val="0004027E"/>
    <w:rsid w:val="0004040C"/>
    <w:rsid w:val="000404C0"/>
    <w:rsid w:val="0004077A"/>
    <w:rsid w:val="000408A9"/>
    <w:rsid w:val="0004092B"/>
    <w:rsid w:val="00040C8E"/>
    <w:rsid w:val="000410C9"/>
    <w:rsid w:val="000416FA"/>
    <w:rsid w:val="000417DD"/>
    <w:rsid w:val="00041B30"/>
    <w:rsid w:val="00041C43"/>
    <w:rsid w:val="00041D3B"/>
    <w:rsid w:val="00041F29"/>
    <w:rsid w:val="00042B33"/>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1FF5"/>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A4F"/>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3F91"/>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60D"/>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3F7F"/>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A70"/>
    <w:rsid w:val="000D1CEB"/>
    <w:rsid w:val="000D1FAA"/>
    <w:rsid w:val="000D204A"/>
    <w:rsid w:val="000D214E"/>
    <w:rsid w:val="000D2341"/>
    <w:rsid w:val="000D25EF"/>
    <w:rsid w:val="000D298C"/>
    <w:rsid w:val="000D2B68"/>
    <w:rsid w:val="000D314D"/>
    <w:rsid w:val="000D3248"/>
    <w:rsid w:val="000D339F"/>
    <w:rsid w:val="000D3870"/>
    <w:rsid w:val="000D39B8"/>
    <w:rsid w:val="000D39EA"/>
    <w:rsid w:val="000D3A6F"/>
    <w:rsid w:val="000D3BDA"/>
    <w:rsid w:val="000D3DFA"/>
    <w:rsid w:val="000D3F53"/>
    <w:rsid w:val="000D422B"/>
    <w:rsid w:val="000D464A"/>
    <w:rsid w:val="000D4B79"/>
    <w:rsid w:val="000D543B"/>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5D7"/>
    <w:rsid w:val="000E17A1"/>
    <w:rsid w:val="000E1A8A"/>
    <w:rsid w:val="000E1B8F"/>
    <w:rsid w:val="000E2239"/>
    <w:rsid w:val="000E245F"/>
    <w:rsid w:val="000E25AD"/>
    <w:rsid w:val="000E25EC"/>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651"/>
    <w:rsid w:val="000E7B3D"/>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32C"/>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1DEB"/>
    <w:rsid w:val="00112468"/>
    <w:rsid w:val="00112709"/>
    <w:rsid w:val="00112725"/>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9A8"/>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3BE"/>
    <w:rsid w:val="00127450"/>
    <w:rsid w:val="00127508"/>
    <w:rsid w:val="00127604"/>
    <w:rsid w:val="00127F6A"/>
    <w:rsid w:val="001303AE"/>
    <w:rsid w:val="0013051C"/>
    <w:rsid w:val="00130E13"/>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7D2"/>
    <w:rsid w:val="001508DA"/>
    <w:rsid w:val="00150A63"/>
    <w:rsid w:val="00151DF7"/>
    <w:rsid w:val="00152236"/>
    <w:rsid w:val="0015224A"/>
    <w:rsid w:val="00152811"/>
    <w:rsid w:val="00152E73"/>
    <w:rsid w:val="00152EEE"/>
    <w:rsid w:val="0015316F"/>
    <w:rsid w:val="00153249"/>
    <w:rsid w:val="00153301"/>
    <w:rsid w:val="00153326"/>
    <w:rsid w:val="00153484"/>
    <w:rsid w:val="0015391F"/>
    <w:rsid w:val="00153CD3"/>
    <w:rsid w:val="00153FEA"/>
    <w:rsid w:val="00154DF6"/>
    <w:rsid w:val="0015520D"/>
    <w:rsid w:val="00155592"/>
    <w:rsid w:val="00156627"/>
    <w:rsid w:val="00156708"/>
    <w:rsid w:val="001568CE"/>
    <w:rsid w:val="00156A5B"/>
    <w:rsid w:val="00156AA4"/>
    <w:rsid w:val="00156BB1"/>
    <w:rsid w:val="00156E11"/>
    <w:rsid w:val="00156F5D"/>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1FE6"/>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C79"/>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1FA0"/>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5E31"/>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BB5"/>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1A3"/>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27C7"/>
    <w:rsid w:val="002229B5"/>
    <w:rsid w:val="00222B7F"/>
    <w:rsid w:val="00222EA0"/>
    <w:rsid w:val="00222ED3"/>
    <w:rsid w:val="0022338B"/>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30B"/>
    <w:rsid w:val="0023196F"/>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0973"/>
    <w:rsid w:val="00241A37"/>
    <w:rsid w:val="00241E52"/>
    <w:rsid w:val="00241FBD"/>
    <w:rsid w:val="00242105"/>
    <w:rsid w:val="002429CC"/>
    <w:rsid w:val="00242A4E"/>
    <w:rsid w:val="002430A3"/>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254"/>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ACF"/>
    <w:rsid w:val="00251B6E"/>
    <w:rsid w:val="00251F0B"/>
    <w:rsid w:val="002521FA"/>
    <w:rsid w:val="00252796"/>
    <w:rsid w:val="00252951"/>
    <w:rsid w:val="00252FFF"/>
    <w:rsid w:val="00253074"/>
    <w:rsid w:val="0025307A"/>
    <w:rsid w:val="00253399"/>
    <w:rsid w:val="0025352E"/>
    <w:rsid w:val="00253D18"/>
    <w:rsid w:val="00253F40"/>
    <w:rsid w:val="00254058"/>
    <w:rsid w:val="002543B4"/>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8D4"/>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C64"/>
    <w:rsid w:val="00287FF2"/>
    <w:rsid w:val="002902F5"/>
    <w:rsid w:val="002904B0"/>
    <w:rsid w:val="00290631"/>
    <w:rsid w:val="0029072C"/>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C18"/>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7DB"/>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4EA5"/>
    <w:rsid w:val="002D5054"/>
    <w:rsid w:val="002D5361"/>
    <w:rsid w:val="002D5B29"/>
    <w:rsid w:val="002D5C8A"/>
    <w:rsid w:val="002D5EB5"/>
    <w:rsid w:val="002D6289"/>
    <w:rsid w:val="002D665D"/>
    <w:rsid w:val="002D6C55"/>
    <w:rsid w:val="002D719B"/>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0A"/>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5DB"/>
    <w:rsid w:val="003100DD"/>
    <w:rsid w:val="0031036F"/>
    <w:rsid w:val="003103A0"/>
    <w:rsid w:val="003106B8"/>
    <w:rsid w:val="003107F7"/>
    <w:rsid w:val="003109A1"/>
    <w:rsid w:val="00310B16"/>
    <w:rsid w:val="00310D80"/>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0F7"/>
    <w:rsid w:val="00331148"/>
    <w:rsid w:val="00331670"/>
    <w:rsid w:val="00331AE6"/>
    <w:rsid w:val="00331CD9"/>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998"/>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148"/>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3C71"/>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0D15"/>
    <w:rsid w:val="00391030"/>
    <w:rsid w:val="00391126"/>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B00"/>
    <w:rsid w:val="003B3C73"/>
    <w:rsid w:val="003B3FC4"/>
    <w:rsid w:val="003B418B"/>
    <w:rsid w:val="003B4238"/>
    <w:rsid w:val="003B43FE"/>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BF9"/>
    <w:rsid w:val="003C6D0A"/>
    <w:rsid w:val="003C7552"/>
    <w:rsid w:val="003C7637"/>
    <w:rsid w:val="003C778E"/>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3D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10B4"/>
    <w:rsid w:val="004213E0"/>
    <w:rsid w:val="0042187B"/>
    <w:rsid w:val="00421C83"/>
    <w:rsid w:val="00421EB9"/>
    <w:rsid w:val="00422577"/>
    <w:rsid w:val="00422A6E"/>
    <w:rsid w:val="004236CF"/>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5DF4"/>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24"/>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4D39"/>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5C8"/>
    <w:rsid w:val="004479DD"/>
    <w:rsid w:val="00447F06"/>
    <w:rsid w:val="00447F78"/>
    <w:rsid w:val="00447FFE"/>
    <w:rsid w:val="004501FA"/>
    <w:rsid w:val="004503A9"/>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796"/>
    <w:rsid w:val="0045793E"/>
    <w:rsid w:val="004579FE"/>
    <w:rsid w:val="00460166"/>
    <w:rsid w:val="00460732"/>
    <w:rsid w:val="0046093F"/>
    <w:rsid w:val="00460B48"/>
    <w:rsid w:val="00460CD9"/>
    <w:rsid w:val="00460DB6"/>
    <w:rsid w:val="004612CF"/>
    <w:rsid w:val="004612DC"/>
    <w:rsid w:val="0046165C"/>
    <w:rsid w:val="004617C2"/>
    <w:rsid w:val="00461965"/>
    <w:rsid w:val="00461A7F"/>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039"/>
    <w:rsid w:val="004771AD"/>
    <w:rsid w:val="004773AC"/>
    <w:rsid w:val="00477687"/>
    <w:rsid w:val="0047770D"/>
    <w:rsid w:val="004777CA"/>
    <w:rsid w:val="00477F74"/>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097"/>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55"/>
    <w:rsid w:val="004B209C"/>
    <w:rsid w:val="004B29A2"/>
    <w:rsid w:val="004B2CBC"/>
    <w:rsid w:val="004B3394"/>
    <w:rsid w:val="004B3831"/>
    <w:rsid w:val="004B3946"/>
    <w:rsid w:val="004B3AC4"/>
    <w:rsid w:val="004B41FF"/>
    <w:rsid w:val="004B446C"/>
    <w:rsid w:val="004B44E5"/>
    <w:rsid w:val="004B488A"/>
    <w:rsid w:val="004B4923"/>
    <w:rsid w:val="004B49B0"/>
    <w:rsid w:val="004B4D31"/>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85"/>
    <w:rsid w:val="004C72B7"/>
    <w:rsid w:val="004C7577"/>
    <w:rsid w:val="004C7871"/>
    <w:rsid w:val="004C79A5"/>
    <w:rsid w:val="004C79C9"/>
    <w:rsid w:val="004C7C53"/>
    <w:rsid w:val="004D02E9"/>
    <w:rsid w:val="004D044C"/>
    <w:rsid w:val="004D06CC"/>
    <w:rsid w:val="004D072E"/>
    <w:rsid w:val="004D139D"/>
    <w:rsid w:val="004D1490"/>
    <w:rsid w:val="004D1F9C"/>
    <w:rsid w:val="004D2108"/>
    <w:rsid w:val="004D2151"/>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7E6"/>
    <w:rsid w:val="004F3910"/>
    <w:rsid w:val="004F39E6"/>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141"/>
    <w:rsid w:val="005102F8"/>
    <w:rsid w:val="00510391"/>
    <w:rsid w:val="00510E22"/>
    <w:rsid w:val="00510F34"/>
    <w:rsid w:val="0051124D"/>
    <w:rsid w:val="005117FC"/>
    <w:rsid w:val="00511ABC"/>
    <w:rsid w:val="00511B6A"/>
    <w:rsid w:val="0051214A"/>
    <w:rsid w:val="00512513"/>
    <w:rsid w:val="005125B0"/>
    <w:rsid w:val="00512BCC"/>
    <w:rsid w:val="00512D02"/>
    <w:rsid w:val="005131CC"/>
    <w:rsid w:val="00513588"/>
    <w:rsid w:val="00513AE4"/>
    <w:rsid w:val="00513B67"/>
    <w:rsid w:val="00513D7E"/>
    <w:rsid w:val="00513F47"/>
    <w:rsid w:val="0051406D"/>
    <w:rsid w:val="00514315"/>
    <w:rsid w:val="00514C23"/>
    <w:rsid w:val="005151B6"/>
    <w:rsid w:val="005152A7"/>
    <w:rsid w:val="005154D4"/>
    <w:rsid w:val="005155B1"/>
    <w:rsid w:val="0051575B"/>
    <w:rsid w:val="00515E7C"/>
    <w:rsid w:val="00515F6B"/>
    <w:rsid w:val="005162C9"/>
    <w:rsid w:val="00516443"/>
    <w:rsid w:val="005164A6"/>
    <w:rsid w:val="0051689D"/>
    <w:rsid w:val="00516D25"/>
    <w:rsid w:val="00516E87"/>
    <w:rsid w:val="00516FBF"/>
    <w:rsid w:val="0051706D"/>
    <w:rsid w:val="005170E2"/>
    <w:rsid w:val="00517189"/>
    <w:rsid w:val="005174D5"/>
    <w:rsid w:val="00517A9C"/>
    <w:rsid w:val="0052015B"/>
    <w:rsid w:val="0052042E"/>
    <w:rsid w:val="005204A4"/>
    <w:rsid w:val="0052055B"/>
    <w:rsid w:val="005205B8"/>
    <w:rsid w:val="0052083B"/>
    <w:rsid w:val="00520CE0"/>
    <w:rsid w:val="00520DD8"/>
    <w:rsid w:val="00520EC1"/>
    <w:rsid w:val="0052133B"/>
    <w:rsid w:val="00521447"/>
    <w:rsid w:val="00521603"/>
    <w:rsid w:val="00521ACC"/>
    <w:rsid w:val="00521BA2"/>
    <w:rsid w:val="00521FCC"/>
    <w:rsid w:val="00522611"/>
    <w:rsid w:val="00522614"/>
    <w:rsid w:val="005227E3"/>
    <w:rsid w:val="00522975"/>
    <w:rsid w:val="005229AC"/>
    <w:rsid w:val="00522A9D"/>
    <w:rsid w:val="00522E32"/>
    <w:rsid w:val="00523033"/>
    <w:rsid w:val="005235C5"/>
    <w:rsid w:val="005237EC"/>
    <w:rsid w:val="00524238"/>
    <w:rsid w:val="0052448A"/>
    <w:rsid w:val="00524AED"/>
    <w:rsid w:val="00525325"/>
    <w:rsid w:val="005255DC"/>
    <w:rsid w:val="00525621"/>
    <w:rsid w:val="005256E0"/>
    <w:rsid w:val="00525F10"/>
    <w:rsid w:val="00526242"/>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171"/>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471"/>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DF4"/>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41C"/>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CE7"/>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044"/>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3EAE"/>
    <w:rsid w:val="005E42AF"/>
    <w:rsid w:val="005E49B8"/>
    <w:rsid w:val="005E4A28"/>
    <w:rsid w:val="005E507D"/>
    <w:rsid w:val="005E5CED"/>
    <w:rsid w:val="005E5F16"/>
    <w:rsid w:val="005E6172"/>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999"/>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3C5"/>
    <w:rsid w:val="00604C2B"/>
    <w:rsid w:val="00604C3A"/>
    <w:rsid w:val="006050BD"/>
    <w:rsid w:val="0060551A"/>
    <w:rsid w:val="006057D8"/>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62C"/>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A13"/>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376"/>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5CE"/>
    <w:rsid w:val="00646705"/>
    <w:rsid w:val="00646E0E"/>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294"/>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7EC"/>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07D"/>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14"/>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DBF"/>
    <w:rsid w:val="006D3F73"/>
    <w:rsid w:val="006D3FED"/>
    <w:rsid w:val="006D3FFA"/>
    <w:rsid w:val="006D40C0"/>
    <w:rsid w:val="006D4116"/>
    <w:rsid w:val="006D44D4"/>
    <w:rsid w:val="006D48FA"/>
    <w:rsid w:val="006D4ACE"/>
    <w:rsid w:val="006D4E68"/>
    <w:rsid w:val="006D51A3"/>
    <w:rsid w:val="006D554F"/>
    <w:rsid w:val="006D569D"/>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A84"/>
    <w:rsid w:val="006E50CB"/>
    <w:rsid w:val="006E510B"/>
    <w:rsid w:val="006E5297"/>
    <w:rsid w:val="006E5DEF"/>
    <w:rsid w:val="006E6878"/>
    <w:rsid w:val="006E693A"/>
    <w:rsid w:val="006E6D14"/>
    <w:rsid w:val="006E6D7D"/>
    <w:rsid w:val="006E6D7F"/>
    <w:rsid w:val="006E6F37"/>
    <w:rsid w:val="006E7367"/>
    <w:rsid w:val="006E73D8"/>
    <w:rsid w:val="006F019D"/>
    <w:rsid w:val="006F07D8"/>
    <w:rsid w:val="006F07E0"/>
    <w:rsid w:val="006F0EF8"/>
    <w:rsid w:val="006F0F77"/>
    <w:rsid w:val="006F1102"/>
    <w:rsid w:val="006F143C"/>
    <w:rsid w:val="006F158C"/>
    <w:rsid w:val="006F22E1"/>
    <w:rsid w:val="006F23FD"/>
    <w:rsid w:val="006F25C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7D4"/>
    <w:rsid w:val="0070684B"/>
    <w:rsid w:val="00707CA4"/>
    <w:rsid w:val="00707CFC"/>
    <w:rsid w:val="007108E8"/>
    <w:rsid w:val="0071096E"/>
    <w:rsid w:val="00710BC0"/>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4BEE"/>
    <w:rsid w:val="0072528D"/>
    <w:rsid w:val="00725D61"/>
    <w:rsid w:val="00726206"/>
    <w:rsid w:val="00726607"/>
    <w:rsid w:val="0072669C"/>
    <w:rsid w:val="00726758"/>
    <w:rsid w:val="0072693E"/>
    <w:rsid w:val="0072696F"/>
    <w:rsid w:val="00726A64"/>
    <w:rsid w:val="00726C30"/>
    <w:rsid w:val="00726CA7"/>
    <w:rsid w:val="0072700F"/>
    <w:rsid w:val="007270E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2F1"/>
    <w:rsid w:val="007513BB"/>
    <w:rsid w:val="007513DE"/>
    <w:rsid w:val="00751429"/>
    <w:rsid w:val="0075184E"/>
    <w:rsid w:val="00751BCB"/>
    <w:rsid w:val="00751C4F"/>
    <w:rsid w:val="00751D55"/>
    <w:rsid w:val="00751D8A"/>
    <w:rsid w:val="00752194"/>
    <w:rsid w:val="00752382"/>
    <w:rsid w:val="0075255C"/>
    <w:rsid w:val="00752C3E"/>
    <w:rsid w:val="00753153"/>
    <w:rsid w:val="00753226"/>
    <w:rsid w:val="00753673"/>
    <w:rsid w:val="00753804"/>
    <w:rsid w:val="00753A41"/>
    <w:rsid w:val="00753B22"/>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A55"/>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131"/>
    <w:rsid w:val="007842B0"/>
    <w:rsid w:val="007843B1"/>
    <w:rsid w:val="00784667"/>
    <w:rsid w:val="00784818"/>
    <w:rsid w:val="00785721"/>
    <w:rsid w:val="00785AFC"/>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6E85"/>
    <w:rsid w:val="007A700B"/>
    <w:rsid w:val="007A7233"/>
    <w:rsid w:val="007A7483"/>
    <w:rsid w:val="007A762C"/>
    <w:rsid w:val="007A78ED"/>
    <w:rsid w:val="007A790B"/>
    <w:rsid w:val="007A7B10"/>
    <w:rsid w:val="007B005B"/>
    <w:rsid w:val="007B019F"/>
    <w:rsid w:val="007B022F"/>
    <w:rsid w:val="007B027A"/>
    <w:rsid w:val="007B03CF"/>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C7"/>
    <w:rsid w:val="007C51D1"/>
    <w:rsid w:val="007C5530"/>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2E9F"/>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0F45"/>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AC6"/>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0FE4"/>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BE"/>
    <w:rsid w:val="00836183"/>
    <w:rsid w:val="008363A6"/>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1E4"/>
    <w:rsid w:val="00854278"/>
    <w:rsid w:val="008543AC"/>
    <w:rsid w:val="0085453F"/>
    <w:rsid w:val="008548FE"/>
    <w:rsid w:val="00854933"/>
    <w:rsid w:val="00854982"/>
    <w:rsid w:val="00854B98"/>
    <w:rsid w:val="00854C10"/>
    <w:rsid w:val="00855507"/>
    <w:rsid w:val="008557F2"/>
    <w:rsid w:val="00855845"/>
    <w:rsid w:val="00855919"/>
    <w:rsid w:val="008559EA"/>
    <w:rsid w:val="00855A9E"/>
    <w:rsid w:val="00855B8A"/>
    <w:rsid w:val="00855E67"/>
    <w:rsid w:val="00856221"/>
    <w:rsid w:val="00856283"/>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A0"/>
    <w:rsid w:val="00862ECB"/>
    <w:rsid w:val="008634C0"/>
    <w:rsid w:val="0086377D"/>
    <w:rsid w:val="0086381F"/>
    <w:rsid w:val="00863A06"/>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6D9"/>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DDC"/>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697"/>
    <w:rsid w:val="008C3D18"/>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6F8"/>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D6C"/>
    <w:rsid w:val="008E45C8"/>
    <w:rsid w:val="008E45F0"/>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6D87"/>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92C"/>
    <w:rsid w:val="008F3A95"/>
    <w:rsid w:val="008F3AB5"/>
    <w:rsid w:val="008F3E77"/>
    <w:rsid w:val="008F42AE"/>
    <w:rsid w:val="008F43C3"/>
    <w:rsid w:val="008F4418"/>
    <w:rsid w:val="008F4772"/>
    <w:rsid w:val="008F48FB"/>
    <w:rsid w:val="008F4A8F"/>
    <w:rsid w:val="008F4DB0"/>
    <w:rsid w:val="008F4E6D"/>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629"/>
    <w:rsid w:val="00912A40"/>
    <w:rsid w:val="00912A73"/>
    <w:rsid w:val="00912AD5"/>
    <w:rsid w:val="00912C2A"/>
    <w:rsid w:val="00912FAC"/>
    <w:rsid w:val="00913B0E"/>
    <w:rsid w:val="00913D7A"/>
    <w:rsid w:val="00913EDF"/>
    <w:rsid w:val="00914794"/>
    <w:rsid w:val="00914B20"/>
    <w:rsid w:val="00914C2E"/>
    <w:rsid w:val="00914CD3"/>
    <w:rsid w:val="00914D23"/>
    <w:rsid w:val="00914D5D"/>
    <w:rsid w:val="00914ECE"/>
    <w:rsid w:val="009153DB"/>
    <w:rsid w:val="00915786"/>
    <w:rsid w:val="00915B32"/>
    <w:rsid w:val="00916345"/>
    <w:rsid w:val="00916562"/>
    <w:rsid w:val="00916AC2"/>
    <w:rsid w:val="00916B47"/>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6FDC"/>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47"/>
    <w:rsid w:val="00943FFF"/>
    <w:rsid w:val="00944537"/>
    <w:rsid w:val="00944775"/>
    <w:rsid w:val="00944789"/>
    <w:rsid w:val="00944CAF"/>
    <w:rsid w:val="00944CE0"/>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1C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F1"/>
    <w:rsid w:val="00966C12"/>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B79"/>
    <w:rsid w:val="00971CC9"/>
    <w:rsid w:val="009723BC"/>
    <w:rsid w:val="009724DF"/>
    <w:rsid w:val="009726D6"/>
    <w:rsid w:val="009728C9"/>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273"/>
    <w:rsid w:val="009826FC"/>
    <w:rsid w:val="00982A07"/>
    <w:rsid w:val="00982F7E"/>
    <w:rsid w:val="009837EC"/>
    <w:rsid w:val="00983AD5"/>
    <w:rsid w:val="00983B8C"/>
    <w:rsid w:val="009846B3"/>
    <w:rsid w:val="009847D1"/>
    <w:rsid w:val="00984856"/>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CE9"/>
    <w:rsid w:val="00991F3E"/>
    <w:rsid w:val="009920A1"/>
    <w:rsid w:val="00992215"/>
    <w:rsid w:val="0099248D"/>
    <w:rsid w:val="0099253D"/>
    <w:rsid w:val="00992B7F"/>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0D2"/>
    <w:rsid w:val="009A416C"/>
    <w:rsid w:val="009A43CE"/>
    <w:rsid w:val="009A44F4"/>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4D0"/>
    <w:rsid w:val="009B2531"/>
    <w:rsid w:val="009B2600"/>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853"/>
    <w:rsid w:val="009B7C09"/>
    <w:rsid w:val="009B7D4F"/>
    <w:rsid w:val="009C0052"/>
    <w:rsid w:val="009C0158"/>
    <w:rsid w:val="009C02A0"/>
    <w:rsid w:val="009C0901"/>
    <w:rsid w:val="009C094F"/>
    <w:rsid w:val="009C0CE7"/>
    <w:rsid w:val="009C0D29"/>
    <w:rsid w:val="009C0E62"/>
    <w:rsid w:val="009C122D"/>
    <w:rsid w:val="009C1316"/>
    <w:rsid w:val="009C14DF"/>
    <w:rsid w:val="009C1545"/>
    <w:rsid w:val="009C1688"/>
    <w:rsid w:val="009C1906"/>
    <w:rsid w:val="009C21B3"/>
    <w:rsid w:val="009C288F"/>
    <w:rsid w:val="009C2D2F"/>
    <w:rsid w:val="009C2EFC"/>
    <w:rsid w:val="009C30E0"/>
    <w:rsid w:val="009C324A"/>
    <w:rsid w:val="009C3498"/>
    <w:rsid w:val="009C3561"/>
    <w:rsid w:val="009C3953"/>
    <w:rsid w:val="009C3C95"/>
    <w:rsid w:val="009C4204"/>
    <w:rsid w:val="009C42B0"/>
    <w:rsid w:val="009C42B7"/>
    <w:rsid w:val="009C4717"/>
    <w:rsid w:val="009C491D"/>
    <w:rsid w:val="009C4F2D"/>
    <w:rsid w:val="009C5679"/>
    <w:rsid w:val="009C58AC"/>
    <w:rsid w:val="009C5BED"/>
    <w:rsid w:val="009C5E64"/>
    <w:rsid w:val="009C6598"/>
    <w:rsid w:val="009C6622"/>
    <w:rsid w:val="009C669B"/>
    <w:rsid w:val="009C69D6"/>
    <w:rsid w:val="009C6CDA"/>
    <w:rsid w:val="009C6DD7"/>
    <w:rsid w:val="009C73D6"/>
    <w:rsid w:val="009C74FC"/>
    <w:rsid w:val="009C776C"/>
    <w:rsid w:val="009C78A8"/>
    <w:rsid w:val="009C78AB"/>
    <w:rsid w:val="009C7BB6"/>
    <w:rsid w:val="009C7F11"/>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0EC"/>
    <w:rsid w:val="009E5311"/>
    <w:rsid w:val="009E538F"/>
    <w:rsid w:val="009E5423"/>
    <w:rsid w:val="009E56FB"/>
    <w:rsid w:val="009E5974"/>
    <w:rsid w:val="009E5D37"/>
    <w:rsid w:val="009E6036"/>
    <w:rsid w:val="009E65D5"/>
    <w:rsid w:val="009E76A0"/>
    <w:rsid w:val="009E7960"/>
    <w:rsid w:val="009E7C00"/>
    <w:rsid w:val="009E7D86"/>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3C6D"/>
    <w:rsid w:val="00A0404C"/>
    <w:rsid w:val="00A0460D"/>
    <w:rsid w:val="00A047E5"/>
    <w:rsid w:val="00A05BAD"/>
    <w:rsid w:val="00A06550"/>
    <w:rsid w:val="00A06AC7"/>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279"/>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957"/>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824"/>
    <w:rsid w:val="00A73B4B"/>
    <w:rsid w:val="00A73D20"/>
    <w:rsid w:val="00A73D34"/>
    <w:rsid w:val="00A7408D"/>
    <w:rsid w:val="00A74670"/>
    <w:rsid w:val="00A7479A"/>
    <w:rsid w:val="00A750DC"/>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BA1"/>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6B7"/>
    <w:rsid w:val="00AB2B3B"/>
    <w:rsid w:val="00AB2BEB"/>
    <w:rsid w:val="00AB2D28"/>
    <w:rsid w:val="00AB322F"/>
    <w:rsid w:val="00AB325A"/>
    <w:rsid w:val="00AB33AB"/>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29"/>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7AB"/>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53"/>
    <w:rsid w:val="00AD4EA2"/>
    <w:rsid w:val="00AD4F9A"/>
    <w:rsid w:val="00AD5C2D"/>
    <w:rsid w:val="00AD6A7A"/>
    <w:rsid w:val="00AD6D23"/>
    <w:rsid w:val="00AD7040"/>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780B"/>
    <w:rsid w:val="00AF7939"/>
    <w:rsid w:val="00AF794A"/>
    <w:rsid w:val="00AF7AC9"/>
    <w:rsid w:val="00AF7EC4"/>
    <w:rsid w:val="00B007F5"/>
    <w:rsid w:val="00B008F0"/>
    <w:rsid w:val="00B01178"/>
    <w:rsid w:val="00B01572"/>
    <w:rsid w:val="00B016E9"/>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39A"/>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1"/>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6694"/>
    <w:rsid w:val="00B2687B"/>
    <w:rsid w:val="00B26929"/>
    <w:rsid w:val="00B26968"/>
    <w:rsid w:val="00B26C07"/>
    <w:rsid w:val="00B26D7E"/>
    <w:rsid w:val="00B27249"/>
    <w:rsid w:val="00B27532"/>
    <w:rsid w:val="00B27C27"/>
    <w:rsid w:val="00B27E25"/>
    <w:rsid w:val="00B3008A"/>
    <w:rsid w:val="00B30467"/>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513F"/>
    <w:rsid w:val="00B3515C"/>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38F"/>
    <w:rsid w:val="00B41517"/>
    <w:rsid w:val="00B41B25"/>
    <w:rsid w:val="00B41CB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D85"/>
    <w:rsid w:val="00B47E21"/>
    <w:rsid w:val="00B500E5"/>
    <w:rsid w:val="00B5027E"/>
    <w:rsid w:val="00B50AD1"/>
    <w:rsid w:val="00B50FC3"/>
    <w:rsid w:val="00B51063"/>
    <w:rsid w:val="00B5181C"/>
    <w:rsid w:val="00B51AF3"/>
    <w:rsid w:val="00B51FC4"/>
    <w:rsid w:val="00B52270"/>
    <w:rsid w:val="00B5237E"/>
    <w:rsid w:val="00B52541"/>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E3A"/>
    <w:rsid w:val="00B77309"/>
    <w:rsid w:val="00B775F8"/>
    <w:rsid w:val="00B7794E"/>
    <w:rsid w:val="00B77C8A"/>
    <w:rsid w:val="00B77DC5"/>
    <w:rsid w:val="00B80145"/>
    <w:rsid w:val="00B801DD"/>
    <w:rsid w:val="00B802D3"/>
    <w:rsid w:val="00B80470"/>
    <w:rsid w:val="00B809ED"/>
    <w:rsid w:val="00B80A0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3E26"/>
    <w:rsid w:val="00B84042"/>
    <w:rsid w:val="00B84095"/>
    <w:rsid w:val="00B84115"/>
    <w:rsid w:val="00B8419B"/>
    <w:rsid w:val="00B84225"/>
    <w:rsid w:val="00B849C3"/>
    <w:rsid w:val="00B84EB0"/>
    <w:rsid w:val="00B84EDC"/>
    <w:rsid w:val="00B8510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C0A"/>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A8A"/>
    <w:rsid w:val="00BD5C80"/>
    <w:rsid w:val="00BD5C84"/>
    <w:rsid w:val="00BD5DA7"/>
    <w:rsid w:val="00BD6171"/>
    <w:rsid w:val="00BD669A"/>
    <w:rsid w:val="00BD6701"/>
    <w:rsid w:val="00BD6E18"/>
    <w:rsid w:val="00BD7268"/>
    <w:rsid w:val="00BD74BD"/>
    <w:rsid w:val="00BD74E0"/>
    <w:rsid w:val="00BD786A"/>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4591"/>
    <w:rsid w:val="00BE52DE"/>
    <w:rsid w:val="00BE542A"/>
    <w:rsid w:val="00BE551C"/>
    <w:rsid w:val="00BE57D4"/>
    <w:rsid w:val="00BE599D"/>
    <w:rsid w:val="00BE5D94"/>
    <w:rsid w:val="00BE6763"/>
    <w:rsid w:val="00BE677F"/>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9CF"/>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1D55"/>
    <w:rsid w:val="00C02443"/>
    <w:rsid w:val="00C027D2"/>
    <w:rsid w:val="00C032D2"/>
    <w:rsid w:val="00C0335F"/>
    <w:rsid w:val="00C039A0"/>
    <w:rsid w:val="00C043FC"/>
    <w:rsid w:val="00C04625"/>
    <w:rsid w:val="00C048FE"/>
    <w:rsid w:val="00C04AF7"/>
    <w:rsid w:val="00C04C09"/>
    <w:rsid w:val="00C050C5"/>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A06"/>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7F2"/>
    <w:rsid w:val="00C428EF"/>
    <w:rsid w:val="00C43792"/>
    <w:rsid w:val="00C438CB"/>
    <w:rsid w:val="00C43BA5"/>
    <w:rsid w:val="00C43BD2"/>
    <w:rsid w:val="00C43C3A"/>
    <w:rsid w:val="00C43C3E"/>
    <w:rsid w:val="00C43CD7"/>
    <w:rsid w:val="00C43FAD"/>
    <w:rsid w:val="00C4410E"/>
    <w:rsid w:val="00C441B4"/>
    <w:rsid w:val="00C44202"/>
    <w:rsid w:val="00C443EE"/>
    <w:rsid w:val="00C4461C"/>
    <w:rsid w:val="00C44CC4"/>
    <w:rsid w:val="00C4545F"/>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B91"/>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6D16"/>
    <w:rsid w:val="00CC6E5B"/>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13"/>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0A0"/>
    <w:rsid w:val="00CD6A07"/>
    <w:rsid w:val="00CD6F0E"/>
    <w:rsid w:val="00CD7065"/>
    <w:rsid w:val="00CD7082"/>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642"/>
    <w:rsid w:val="00CF18A2"/>
    <w:rsid w:val="00CF21AB"/>
    <w:rsid w:val="00CF232F"/>
    <w:rsid w:val="00CF2826"/>
    <w:rsid w:val="00CF2930"/>
    <w:rsid w:val="00CF2A25"/>
    <w:rsid w:val="00CF2E21"/>
    <w:rsid w:val="00CF2E95"/>
    <w:rsid w:val="00CF2FF4"/>
    <w:rsid w:val="00CF3243"/>
    <w:rsid w:val="00CF331D"/>
    <w:rsid w:val="00CF3442"/>
    <w:rsid w:val="00CF3589"/>
    <w:rsid w:val="00CF3869"/>
    <w:rsid w:val="00CF3B2A"/>
    <w:rsid w:val="00CF3BCC"/>
    <w:rsid w:val="00CF3CD5"/>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48A"/>
    <w:rsid w:val="00D145E7"/>
    <w:rsid w:val="00D146D1"/>
    <w:rsid w:val="00D14719"/>
    <w:rsid w:val="00D149ED"/>
    <w:rsid w:val="00D14AA7"/>
    <w:rsid w:val="00D14B69"/>
    <w:rsid w:val="00D14E75"/>
    <w:rsid w:val="00D15037"/>
    <w:rsid w:val="00D151C7"/>
    <w:rsid w:val="00D15581"/>
    <w:rsid w:val="00D15671"/>
    <w:rsid w:val="00D1576E"/>
    <w:rsid w:val="00D15873"/>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6B6"/>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5509"/>
    <w:rsid w:val="00D355F6"/>
    <w:rsid w:val="00D35BE4"/>
    <w:rsid w:val="00D3620A"/>
    <w:rsid w:val="00D363D4"/>
    <w:rsid w:val="00D363F2"/>
    <w:rsid w:val="00D3665B"/>
    <w:rsid w:val="00D36757"/>
    <w:rsid w:val="00D368BE"/>
    <w:rsid w:val="00D36AD8"/>
    <w:rsid w:val="00D36D6D"/>
    <w:rsid w:val="00D37050"/>
    <w:rsid w:val="00D371EC"/>
    <w:rsid w:val="00D371FF"/>
    <w:rsid w:val="00D3756E"/>
    <w:rsid w:val="00D379AD"/>
    <w:rsid w:val="00D37A9D"/>
    <w:rsid w:val="00D37FA3"/>
    <w:rsid w:val="00D40061"/>
    <w:rsid w:val="00D408DC"/>
    <w:rsid w:val="00D40C22"/>
    <w:rsid w:val="00D40D2F"/>
    <w:rsid w:val="00D40F28"/>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D74"/>
    <w:rsid w:val="00D52F36"/>
    <w:rsid w:val="00D52FC4"/>
    <w:rsid w:val="00D5306C"/>
    <w:rsid w:val="00D53AAA"/>
    <w:rsid w:val="00D53E09"/>
    <w:rsid w:val="00D54185"/>
    <w:rsid w:val="00D543F7"/>
    <w:rsid w:val="00D551EC"/>
    <w:rsid w:val="00D55949"/>
    <w:rsid w:val="00D55F0E"/>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56"/>
    <w:rsid w:val="00D87CEA"/>
    <w:rsid w:val="00D908BF"/>
    <w:rsid w:val="00D90A53"/>
    <w:rsid w:val="00D90B05"/>
    <w:rsid w:val="00D91042"/>
    <w:rsid w:val="00D9107F"/>
    <w:rsid w:val="00D9168C"/>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A7F16"/>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0BE7"/>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9D1"/>
    <w:rsid w:val="00DE3ABC"/>
    <w:rsid w:val="00DE3DB1"/>
    <w:rsid w:val="00DE3DB3"/>
    <w:rsid w:val="00DE3ED5"/>
    <w:rsid w:val="00DE4804"/>
    <w:rsid w:val="00DE5156"/>
    <w:rsid w:val="00DE5413"/>
    <w:rsid w:val="00DE56A8"/>
    <w:rsid w:val="00DE56F0"/>
    <w:rsid w:val="00DE5808"/>
    <w:rsid w:val="00DE5B95"/>
    <w:rsid w:val="00DE5C42"/>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6B0"/>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5E4"/>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994"/>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5D50"/>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496"/>
    <w:rsid w:val="00E236DB"/>
    <w:rsid w:val="00E23C8B"/>
    <w:rsid w:val="00E23D66"/>
    <w:rsid w:val="00E23E2F"/>
    <w:rsid w:val="00E24283"/>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698"/>
    <w:rsid w:val="00E56894"/>
    <w:rsid w:val="00E569B5"/>
    <w:rsid w:val="00E569D9"/>
    <w:rsid w:val="00E569ED"/>
    <w:rsid w:val="00E56F5B"/>
    <w:rsid w:val="00E57191"/>
    <w:rsid w:val="00E57635"/>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4A3"/>
    <w:rsid w:val="00E667E5"/>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56"/>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01B3"/>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7048"/>
    <w:rsid w:val="00E97158"/>
    <w:rsid w:val="00E971F2"/>
    <w:rsid w:val="00E97322"/>
    <w:rsid w:val="00E97413"/>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D57"/>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3EE"/>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340"/>
    <w:rsid w:val="00EC3696"/>
    <w:rsid w:val="00EC3978"/>
    <w:rsid w:val="00EC3C7E"/>
    <w:rsid w:val="00EC3D9D"/>
    <w:rsid w:val="00EC3E1C"/>
    <w:rsid w:val="00EC3E3A"/>
    <w:rsid w:val="00EC3EDD"/>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8B"/>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72A"/>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AC2"/>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A2C"/>
    <w:rsid w:val="00EF5F3A"/>
    <w:rsid w:val="00EF6231"/>
    <w:rsid w:val="00EF65CB"/>
    <w:rsid w:val="00EF68A3"/>
    <w:rsid w:val="00EF6AA3"/>
    <w:rsid w:val="00EF72EA"/>
    <w:rsid w:val="00EF7359"/>
    <w:rsid w:val="00EF7370"/>
    <w:rsid w:val="00EF79A6"/>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298"/>
    <w:rsid w:val="00F0373F"/>
    <w:rsid w:val="00F03E94"/>
    <w:rsid w:val="00F03FFF"/>
    <w:rsid w:val="00F040EC"/>
    <w:rsid w:val="00F0424E"/>
    <w:rsid w:val="00F0480C"/>
    <w:rsid w:val="00F048C7"/>
    <w:rsid w:val="00F04C4A"/>
    <w:rsid w:val="00F04EAF"/>
    <w:rsid w:val="00F051F1"/>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D80"/>
    <w:rsid w:val="00F07E1A"/>
    <w:rsid w:val="00F07E21"/>
    <w:rsid w:val="00F10CE4"/>
    <w:rsid w:val="00F10EDB"/>
    <w:rsid w:val="00F1163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857"/>
    <w:rsid w:val="00F1693E"/>
    <w:rsid w:val="00F17502"/>
    <w:rsid w:val="00F1751B"/>
    <w:rsid w:val="00F1761A"/>
    <w:rsid w:val="00F17659"/>
    <w:rsid w:val="00F1783E"/>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F7"/>
    <w:rsid w:val="00F3550F"/>
    <w:rsid w:val="00F35561"/>
    <w:rsid w:val="00F35949"/>
    <w:rsid w:val="00F35B34"/>
    <w:rsid w:val="00F35F39"/>
    <w:rsid w:val="00F3640E"/>
    <w:rsid w:val="00F36465"/>
    <w:rsid w:val="00F364CE"/>
    <w:rsid w:val="00F367A0"/>
    <w:rsid w:val="00F36DA0"/>
    <w:rsid w:val="00F36DF3"/>
    <w:rsid w:val="00F373CC"/>
    <w:rsid w:val="00F3742C"/>
    <w:rsid w:val="00F37601"/>
    <w:rsid w:val="00F3763B"/>
    <w:rsid w:val="00F376F1"/>
    <w:rsid w:val="00F3774C"/>
    <w:rsid w:val="00F40245"/>
    <w:rsid w:val="00F402A0"/>
    <w:rsid w:val="00F4096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97E"/>
    <w:rsid w:val="00F52D31"/>
    <w:rsid w:val="00F531BF"/>
    <w:rsid w:val="00F53614"/>
    <w:rsid w:val="00F53FCC"/>
    <w:rsid w:val="00F545BB"/>
    <w:rsid w:val="00F5461C"/>
    <w:rsid w:val="00F546E8"/>
    <w:rsid w:val="00F5477B"/>
    <w:rsid w:val="00F548AC"/>
    <w:rsid w:val="00F54A92"/>
    <w:rsid w:val="00F5549D"/>
    <w:rsid w:val="00F55B75"/>
    <w:rsid w:val="00F55C0F"/>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1AC"/>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593"/>
    <w:rsid w:val="00FC4777"/>
    <w:rsid w:val="00FC4A29"/>
    <w:rsid w:val="00FC4DD8"/>
    <w:rsid w:val="00FC4E98"/>
    <w:rsid w:val="00FC4F20"/>
    <w:rsid w:val="00FC5423"/>
    <w:rsid w:val="00FC54B3"/>
    <w:rsid w:val="00FC5645"/>
    <w:rsid w:val="00FC56E8"/>
    <w:rsid w:val="00FC5A63"/>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6CA1B2F"/>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D16A73"/>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 w:val="7FF8CE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orage.courtlistener.com/recap/gov.uscourts.mnd.224523/gov.uscourts.mnd.224523.80.0.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ig.ed.gov/sites/default/files/reports/2026-08/FY26%20A23IL0149%20%288.10.26%29v100_508_SECURED.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ig.ed.gov/sites/default/files/reports/2026-08/FY26%20I25CA0261%20%288.6.26%29v100_508_SECURED.pdf" TargetMode="External"/><Relationship Id="rId4" Type="http://schemas.openxmlformats.org/officeDocument/2006/relationships/webSettings" Target="webSettings.xml"/><Relationship Id="rId9" Type="http://schemas.openxmlformats.org/officeDocument/2006/relationships/hyperlink" Target="https://storage.courtlistener.com/recap/gov.uscourts.mnd.233078/gov.uscourts.mnd.233078.1.0.pdf"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August 14 - Government Affairs (CA Dept of Education)</dc:title>
  <dc:subject>Federal Updates for August 14, 2026.</dc:subject>
  <dc:creator/>
  <cp:keywords/>
  <dc:description/>
  <cp:lastModifiedBy/>
  <cp:revision>1</cp:revision>
  <dcterms:created xsi:type="dcterms:W3CDTF">2026-09-02T16:02:00Z</dcterms:created>
  <dcterms:modified xsi:type="dcterms:W3CDTF">2026-09-02T16:03:00Z</dcterms:modified>
</cp:coreProperties>
</file>