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142BE27A">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7D5CBDBE-0AAD-4908-B92F-9EEAEA1CA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220E18DD" w:rsidR="00196BB4" w:rsidRDefault="00EB23EE"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 xml:space="preserve">August </w:t>
      </w:r>
      <w:r w:rsidR="00967011">
        <w:rPr>
          <w:rFonts w:ascii="Noticia Text" w:eastAsiaTheme="majorEastAsia" w:hAnsi="Noticia Text" w:cstheme="majorBidi"/>
          <w:b/>
          <w:iCs/>
          <w:sz w:val="32"/>
          <w:szCs w:val="32"/>
        </w:rPr>
        <w:t>21</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1C3F9ABC" w14:textId="77777777" w:rsidR="003B44DF" w:rsidRDefault="003B44DF" w:rsidP="003B44DF">
      <w:pPr>
        <w:rPr>
          <w:b/>
          <w:bCs/>
          <w:sz w:val="28"/>
          <w:szCs w:val="28"/>
        </w:rPr>
      </w:pPr>
    </w:p>
    <w:p w14:paraId="489CB745" w14:textId="54893D35" w:rsidR="00221FC0" w:rsidRPr="009B2869" w:rsidRDefault="00C310CD" w:rsidP="009B2869">
      <w:pPr>
        <w:pStyle w:val="Heading2"/>
      </w:pPr>
      <w:r w:rsidRPr="009B2869">
        <w:t>ED Proposes Revisions to EDGAR</w:t>
      </w:r>
    </w:p>
    <w:p w14:paraId="3CA9ACF8" w14:textId="77777777" w:rsidR="00C310CD" w:rsidRDefault="00C310CD" w:rsidP="003B44DF">
      <w:pPr>
        <w:rPr>
          <w:b/>
          <w:bCs/>
          <w:sz w:val="28"/>
          <w:szCs w:val="28"/>
        </w:rPr>
      </w:pPr>
    </w:p>
    <w:p w14:paraId="2278E842" w14:textId="41FEEE08" w:rsidR="00C310CD" w:rsidRDefault="00C310CD" w:rsidP="00C310CD">
      <w:r w:rsidRPr="00C310CD">
        <w:t xml:space="preserve">This morning, </w:t>
      </w:r>
      <w:r>
        <w:t>the U.S. Department of Education (ED)</w:t>
      </w:r>
      <w:r w:rsidRPr="00C310CD">
        <w:t xml:space="preserve"> released </w:t>
      </w:r>
      <w:hyperlink r:id="rId8" w:tooltip="View the Federal Register notice" w:history="1">
        <w:r w:rsidRPr="007B0AC1">
          <w:rPr>
            <w:rStyle w:val="Hyperlink"/>
          </w:rPr>
          <w:t>proposed regulation</w:t>
        </w:r>
        <w:r w:rsidR="007B0AC1" w:rsidRPr="007B0AC1">
          <w:rPr>
            <w:rStyle w:val="Hyperlink"/>
          </w:rPr>
          <w:t>s</w:t>
        </w:r>
        <w:r w:rsidRPr="007B0AC1">
          <w:rPr>
            <w:rStyle w:val="Hyperlink"/>
          </w:rPr>
          <w:t xml:space="preserve"> to </w:t>
        </w:r>
        <w:r w:rsidR="007B0AC1" w:rsidRPr="007B0AC1">
          <w:rPr>
            <w:rStyle w:val="Hyperlink"/>
          </w:rPr>
          <w:t xml:space="preserve">amend </w:t>
        </w:r>
        <w:r w:rsidRPr="007B0AC1">
          <w:rPr>
            <w:rStyle w:val="Hyperlink"/>
          </w:rPr>
          <w:t>the Education Department General Administrative Regulations (EDGAR)</w:t>
        </w:r>
      </w:hyperlink>
      <w:r w:rsidRPr="00C310CD">
        <w:t xml:space="preserve">, which will be officially published in the </w:t>
      </w:r>
      <w:r w:rsidRPr="00C310CD">
        <w:rPr>
          <w:i/>
          <w:iCs/>
        </w:rPr>
        <w:t>Federal Register</w:t>
      </w:r>
      <w:r w:rsidRPr="00C310CD">
        <w:t xml:space="preserve"> on Monday, August 24</w:t>
      </w:r>
      <w:r w:rsidRPr="00C310CD">
        <w:rPr>
          <w:vertAlign w:val="superscript"/>
        </w:rPr>
        <w:t>th</w:t>
      </w:r>
      <w:r w:rsidRPr="00C310CD">
        <w:t xml:space="preserve">. The proposed </w:t>
      </w:r>
      <w:r>
        <w:t>changes are</w:t>
      </w:r>
      <w:r w:rsidRPr="00C310CD">
        <w:t xml:space="preserve"> largely focused in Part 75 of EDGAR, which governs direct grant programs</w:t>
      </w:r>
      <w:r>
        <w:t>, not State-administered grants</w:t>
      </w:r>
      <w:r w:rsidRPr="00C310CD">
        <w:t xml:space="preserve">. </w:t>
      </w:r>
    </w:p>
    <w:p w14:paraId="3C712E98" w14:textId="77777777" w:rsidR="00C310CD" w:rsidRDefault="00C310CD" w:rsidP="00C310CD"/>
    <w:p w14:paraId="48514ACD" w14:textId="77777777" w:rsidR="008944A5" w:rsidRDefault="00C310CD" w:rsidP="00C310CD">
      <w:r>
        <w:t>The notice proposes several key changes, including</w:t>
      </w:r>
      <w:r w:rsidRPr="00C310CD">
        <w:t xml:space="preserve"> eliminating the requirement for the Secretary to post funding opportunities and priorities for grant competitions in the </w:t>
      </w:r>
      <w:r w:rsidRPr="00C310CD">
        <w:rPr>
          <w:i/>
          <w:iCs/>
        </w:rPr>
        <w:t>Federal Register</w:t>
      </w:r>
      <w:r>
        <w:t>. Instead</w:t>
      </w:r>
      <w:r w:rsidR="00AD7222">
        <w:t>,</w:t>
      </w:r>
      <w:r>
        <w:t xml:space="preserve"> those notices would only be posted to grants.gov, which ED says aligns with practices at most federal agencies and will result in cost savings for the agency. ED also proposes</w:t>
      </w:r>
      <w:r w:rsidRPr="00C310CD">
        <w:t xml:space="preserve"> adding a new section that would allow the Secretary to provide competitive preference to applicants who propose to charge lower indirect costs than their negotiated rate</w:t>
      </w:r>
      <w:r>
        <w:t xml:space="preserve">. The current administration has undertaken several efforts since last year to impose caps or limits on indirect costs, and while federal courts </w:t>
      </w:r>
      <w:r w:rsidR="00AD7222">
        <w:t xml:space="preserve">and Congress </w:t>
      </w:r>
      <w:r>
        <w:t xml:space="preserve">have blocked such actions, </w:t>
      </w:r>
      <w:r w:rsidR="00AD7222">
        <w:t xml:space="preserve">OMB is seeking to amend the Uniform Grant Guidance with a similar provision to the EDGAR proposal. </w:t>
      </w:r>
    </w:p>
    <w:p w14:paraId="75D9B287" w14:textId="77777777" w:rsidR="008944A5" w:rsidRDefault="008944A5" w:rsidP="00C310CD"/>
    <w:p w14:paraId="5559A894" w14:textId="6393A77C" w:rsidR="00C310CD" w:rsidRPr="00C310CD" w:rsidRDefault="00AD7222" w:rsidP="00C310CD">
      <w:r>
        <w:t xml:space="preserve">In addition, ED seeks to </w:t>
      </w:r>
      <w:r w:rsidR="00C310CD" w:rsidRPr="00C310CD">
        <w:t>revis</w:t>
      </w:r>
      <w:r>
        <w:t>e</w:t>
      </w:r>
      <w:r w:rsidR="00C310CD" w:rsidRPr="00C310CD">
        <w:t xml:space="preserve"> several sections around the process of continuation and termination of discretionary awards to include language that would allow for termination and discontinuation of funding on any basis, including “for convenience</w:t>
      </w:r>
      <w:r w:rsidR="00B34D38">
        <w:t>.</w:t>
      </w:r>
      <w:r w:rsidR="00C310CD" w:rsidRPr="00C310CD">
        <w:t>”</w:t>
      </w:r>
      <w:r w:rsidR="00B34D38">
        <w:t xml:space="preserve"> Th</w:t>
      </w:r>
      <w:r w:rsidR="009A490E">
        <w:t>ose</w:t>
      </w:r>
      <w:r w:rsidR="00B34D38">
        <w:t xml:space="preserve"> </w:t>
      </w:r>
      <w:r w:rsidR="009A490E">
        <w:t>revisions</w:t>
      </w:r>
      <w:r w:rsidR="00B34D38">
        <w:t xml:space="preserve"> would bring significant uncertainty into the grant continuation process.</w:t>
      </w:r>
      <w:r w:rsidR="00C310CD" w:rsidRPr="00C310CD">
        <w:t xml:space="preserve"> </w:t>
      </w:r>
      <w:r w:rsidR="00B34D38">
        <w:t xml:space="preserve">In addition, ED proposes </w:t>
      </w:r>
      <w:r>
        <w:t xml:space="preserve">to include </w:t>
      </w:r>
      <w:r w:rsidR="00C310CD" w:rsidRPr="00C310CD">
        <w:t>a new section (in both Part 75 and Part 76 governing State-administered programs) on constitutional rights, nondiscrimination</w:t>
      </w:r>
      <w:r>
        <w:t>,</w:t>
      </w:r>
      <w:r w:rsidR="00C310CD" w:rsidRPr="00C310CD">
        <w:t xml:space="preserve"> and freedom of inquiry. That new section would require grantees to ensure that hiring, admissions, promotions</w:t>
      </w:r>
      <w:r w:rsidR="007B0AC1">
        <w:t>,</w:t>
      </w:r>
      <w:r w:rsidR="00C310CD" w:rsidRPr="00C310CD">
        <w:t xml:space="preserve"> and compensation practices under the grant are based on merit and without regard to race, color, religion, sex, national origin or proxies thereof, that employment practices do not compel statements of belief in support or opposition to </w:t>
      </w:r>
      <w:r w:rsidR="00C310CD" w:rsidRPr="00C310CD">
        <w:lastRenderedPageBreak/>
        <w:t>political views, and that</w:t>
      </w:r>
      <w:r w:rsidR="007B0AC1">
        <w:t xml:space="preserve"> </w:t>
      </w:r>
      <w:r w:rsidR="00C310CD" w:rsidRPr="00C310CD">
        <w:t xml:space="preserve">grantees have policies </w:t>
      </w:r>
      <w:r>
        <w:t xml:space="preserve">regarding the </w:t>
      </w:r>
      <w:r w:rsidR="00C310CD" w:rsidRPr="00C310CD">
        <w:t>protection freedom of speech, inquiry, press, association and research, as applicable.</w:t>
      </w:r>
      <w:r>
        <w:t xml:space="preserve"> Those proposed changes would apply to ED formula grants, as well as competitive programs</w:t>
      </w:r>
      <w:r w:rsidR="00B34D38">
        <w:t xml:space="preserve">. </w:t>
      </w:r>
    </w:p>
    <w:p w14:paraId="1FD6F473" w14:textId="77777777" w:rsidR="00AD7222" w:rsidRDefault="00AD7222" w:rsidP="00C310CD"/>
    <w:p w14:paraId="20E5324D" w14:textId="6EAD8555" w:rsidR="00C310CD" w:rsidRDefault="00AD7222" w:rsidP="00C310CD">
      <w:r>
        <w:t xml:space="preserve">Finally, </w:t>
      </w:r>
      <w:r w:rsidRPr="00C310CD">
        <w:t xml:space="preserve">ED </w:t>
      </w:r>
      <w:r>
        <w:t>include</w:t>
      </w:r>
      <w:r w:rsidR="008944A5">
        <w:t>d</w:t>
      </w:r>
      <w:r w:rsidRPr="00C310CD">
        <w:t xml:space="preserve"> </w:t>
      </w:r>
      <w:r w:rsidR="007B0AC1">
        <w:t xml:space="preserve">a </w:t>
      </w:r>
      <w:r w:rsidRPr="00C310CD">
        <w:t xml:space="preserve">new section </w:t>
      </w:r>
      <w:r w:rsidR="007B0AC1">
        <w:t xml:space="preserve">stating </w:t>
      </w:r>
      <w:r w:rsidRPr="00C310CD">
        <w:t>that the Part 75 regulations are severabl</w:t>
      </w:r>
      <w:r w:rsidR="00E9752D">
        <w:t>e</w:t>
      </w:r>
      <w:r w:rsidRPr="00C310CD">
        <w:t xml:space="preserve"> to clarify that, if any part of the proposed regulations in Part 75</w:t>
      </w:r>
      <w:r>
        <w:t xml:space="preserve"> </w:t>
      </w:r>
      <w:r w:rsidR="007B0AC1">
        <w:t>is</w:t>
      </w:r>
      <w:r w:rsidRPr="00C310CD">
        <w:t xml:space="preserve"> held invalid by a court, the remain</w:t>
      </w:r>
      <w:r w:rsidR="007B0AC1">
        <w:t>ing portions</w:t>
      </w:r>
      <w:r w:rsidRPr="00C310CD">
        <w:t xml:space="preserve"> would still be in effect.</w:t>
      </w:r>
      <w:r>
        <w:t xml:space="preserve"> The proposal will be </w:t>
      </w:r>
      <w:hyperlink r:id="rId9" w:tooltip="View the Federal Register page to submit comments" w:history="1">
        <w:r w:rsidRPr="007B0AC1">
          <w:rPr>
            <w:rStyle w:val="Hyperlink"/>
          </w:rPr>
          <w:t xml:space="preserve">open for </w:t>
        </w:r>
        <w:r w:rsidR="007B0AC1" w:rsidRPr="007B0AC1">
          <w:rPr>
            <w:rStyle w:val="Hyperlink"/>
          </w:rPr>
          <w:t xml:space="preserve">public </w:t>
        </w:r>
        <w:r w:rsidRPr="007B0AC1">
          <w:rPr>
            <w:rStyle w:val="Hyperlink"/>
          </w:rPr>
          <w:t>comment</w:t>
        </w:r>
      </w:hyperlink>
      <w:r>
        <w:t xml:space="preserve"> </w:t>
      </w:r>
      <w:r w:rsidR="007B0AC1">
        <w:t xml:space="preserve">for </w:t>
      </w:r>
      <w:r>
        <w:t>30 days after its official publication on Monday.</w:t>
      </w:r>
      <w:r w:rsidR="00C310CD" w:rsidRPr="00C310CD">
        <w:t xml:space="preserve"> </w:t>
      </w:r>
    </w:p>
    <w:p w14:paraId="2455B16D" w14:textId="77777777" w:rsidR="00AD7222" w:rsidRDefault="00AD7222" w:rsidP="00C310CD"/>
    <w:p w14:paraId="21D7DB2F" w14:textId="25588422" w:rsidR="00AD7222" w:rsidRDefault="007B0AC1" w:rsidP="00C310CD">
      <w:r>
        <w:t>Authors: BLG, KSC</w:t>
      </w:r>
    </w:p>
    <w:p w14:paraId="061E04DF" w14:textId="77777777" w:rsidR="00221FC0" w:rsidRDefault="00221FC0" w:rsidP="00C310CD"/>
    <w:p w14:paraId="554DB09C" w14:textId="0591A9B4" w:rsidR="003B44DF" w:rsidRDefault="003B44DF" w:rsidP="003B44DF">
      <w:pPr>
        <w:pStyle w:val="Heading2"/>
      </w:pPr>
      <w:r>
        <w:t xml:space="preserve">ED </w:t>
      </w:r>
      <w:r w:rsidR="00E72244">
        <w:t>Guidance</w:t>
      </w:r>
      <w:r>
        <w:t xml:space="preserve"> Says Schools Can</w:t>
      </w:r>
      <w:r w:rsidR="008944A5">
        <w:t>’t</w:t>
      </w:r>
      <w:r>
        <w:t xml:space="preserve"> Use Race in Discipline Policies </w:t>
      </w:r>
    </w:p>
    <w:p w14:paraId="56CEDAEE" w14:textId="77777777" w:rsidR="00E74AA2" w:rsidRDefault="00E74AA2" w:rsidP="00E74AA2"/>
    <w:p w14:paraId="05F38E90" w14:textId="5C0D816C" w:rsidR="00A947B2" w:rsidRDefault="0096011A" w:rsidP="0096011A">
      <w:r>
        <w:t>On Tuesday, the U.S. Department of Education (ED) issue</w:t>
      </w:r>
      <w:r w:rsidR="00E72244">
        <w:t>d</w:t>
      </w:r>
      <w:r>
        <w:t xml:space="preserve"> </w:t>
      </w:r>
      <w:hyperlink r:id="rId10" w:tooltip="Read the guidance on discipline" w:history="1">
        <w:r w:rsidR="00E845FA" w:rsidRPr="00E72244">
          <w:rPr>
            <w:rStyle w:val="Hyperlink"/>
          </w:rPr>
          <w:t>guidance</w:t>
        </w:r>
        <w:r w:rsidR="00391358" w:rsidRPr="00E72244">
          <w:rPr>
            <w:rStyle w:val="Hyperlink"/>
          </w:rPr>
          <w:t xml:space="preserve"> </w:t>
        </w:r>
        <w:r w:rsidRPr="00E72244">
          <w:rPr>
            <w:rStyle w:val="Hyperlink"/>
          </w:rPr>
          <w:t>on school discipline and disparate impact liability</w:t>
        </w:r>
      </w:hyperlink>
      <w:r>
        <w:t xml:space="preserve">, instructing schools that they cannot take race into account in their school discipline policies. </w:t>
      </w:r>
      <w:r w:rsidR="00A421AF">
        <w:t xml:space="preserve">The </w:t>
      </w:r>
      <w:r w:rsidR="00E845FA">
        <w:t xml:space="preserve">guidance spans </w:t>
      </w:r>
      <w:r w:rsidR="00391358">
        <w:t>20 page</w:t>
      </w:r>
      <w:r w:rsidR="00F7031C">
        <w:t>s</w:t>
      </w:r>
      <w:r w:rsidR="00EC32C2">
        <w:t xml:space="preserve"> and</w:t>
      </w:r>
      <w:r w:rsidR="00391358">
        <w:t xml:space="preserve"> includ</w:t>
      </w:r>
      <w:r w:rsidR="00E845FA">
        <w:t>es</w:t>
      </w:r>
      <w:r w:rsidR="00391358">
        <w:t xml:space="preserve"> 124 footnotes citing various</w:t>
      </w:r>
      <w:r w:rsidR="00E66EA6">
        <w:t xml:space="preserve"> federal court decisions, Executive Orders, and other documents.</w:t>
      </w:r>
      <w:r w:rsidR="00391358">
        <w:t xml:space="preserve"> </w:t>
      </w:r>
    </w:p>
    <w:p w14:paraId="7BFCD742" w14:textId="77777777" w:rsidR="00A947B2" w:rsidRDefault="00A947B2" w:rsidP="0096011A"/>
    <w:p w14:paraId="66DCEB66" w14:textId="6BB0E2E2" w:rsidR="0096011A" w:rsidRDefault="0096011A" w:rsidP="0096011A">
      <w:r>
        <w:t>Consistent with the rescinded disparate impact regulations and Executive Order</w:t>
      </w:r>
      <w:r w:rsidR="00500FD7">
        <w:t xml:space="preserve"> </w:t>
      </w:r>
      <w:r>
        <w:t xml:space="preserve">14280 </w:t>
      </w:r>
      <w:r>
        <w:rPr>
          <w:i/>
          <w:iCs/>
        </w:rPr>
        <w:t>Reinstating Common Sense School Discipline Policies</w:t>
      </w:r>
      <w:r>
        <w:t xml:space="preserve">, ED argues that Title VI of the Civil Rights Act of 1964 prohibits “intentional race discrimination, not unintentional disparate impact.” Disparate impact discrimination occurs when a supposedly neutral policy has a disproportionate impact on a protected group, regardless of intent. </w:t>
      </w:r>
      <w:r w:rsidR="00E9752D">
        <w:t>Under disparate impact analysis, a</w:t>
      </w:r>
      <w:r>
        <w:t xml:space="preserve">n </w:t>
      </w:r>
      <w:r w:rsidR="00E9752D">
        <w:t>entit</w:t>
      </w:r>
      <w:r>
        <w:t xml:space="preserve">y can be liable for a policy after a determination is made on whether the impact was substantial, the policy was justified, and whether there were other policies that could have been implemented that would not have had a disparate impact. </w:t>
      </w:r>
      <w:r w:rsidR="00E9752D">
        <w:t>The new guidance, however, says that only intentional and clearly evident discrimination should be considered.</w:t>
      </w:r>
    </w:p>
    <w:p w14:paraId="443F90A8" w14:textId="77777777" w:rsidR="0096011A" w:rsidRDefault="0096011A" w:rsidP="0096011A"/>
    <w:p w14:paraId="559D51D9" w14:textId="322D6478" w:rsidR="0096011A" w:rsidRDefault="0096011A" w:rsidP="0096011A">
      <w:r>
        <w:t xml:space="preserve">In the </w:t>
      </w:r>
      <w:r w:rsidR="00304ACD">
        <w:t>guidance</w:t>
      </w:r>
      <w:r>
        <w:t xml:space="preserve">, ED summarized the history of disparate impact, saying that past administrations have incorrectly applied disparate impact liability and that it “effectively required schools to discriminate on the basis of race by imposing discipline based on racial characteristics, rather than on objective behavior </w:t>
      </w:r>
      <w:proofErr w:type="gramStart"/>
      <w:r>
        <w:t>alone.”</w:t>
      </w:r>
      <w:proofErr w:type="gramEnd"/>
      <w:r>
        <w:t xml:space="preserve"> ED states that under the </w:t>
      </w:r>
      <w:r w:rsidR="00E9752D">
        <w:t xml:space="preserve">agency’s </w:t>
      </w:r>
      <w:r>
        <w:t>2014</w:t>
      </w:r>
      <w:r w:rsidR="00E9752D">
        <w:t xml:space="preserve"> disciplinary</w:t>
      </w:r>
      <w:r>
        <w:t xml:space="preserve"> guidance, “a facially neutral disciplinary code that requires the suspension of any student who assaults a teacher, regardless of race, could still be considered a violation of Title VI if individuals violating this racially neutral policy disproportionately belong to one race.” However, this is a simplification of the guidance, which outlined how ED would review policies for disparate impact. The analysis included determining whether the school discipline policy was essential to achieving an </w:t>
      </w:r>
      <w:r>
        <w:lastRenderedPageBreak/>
        <w:t xml:space="preserve">educational goal and whether there were other practices that could have met that goal. The Department also pointed to the rescission of disparate impact liability under the first Trump administration. It pointed to a 2023 report on school crime and safety and noted a correlation between the rescission of disparate impact and a decrease in school crime. However, data for the report was collected from 2020-2022, during the COVID-19 pandemic. </w:t>
      </w:r>
    </w:p>
    <w:p w14:paraId="0F59E35A" w14:textId="77777777" w:rsidR="0096011A" w:rsidRDefault="0096011A" w:rsidP="0096011A"/>
    <w:p w14:paraId="0673AE4B" w14:textId="2BD77DDE" w:rsidR="0096011A" w:rsidRDefault="0096011A" w:rsidP="0096011A">
      <w:r>
        <w:t xml:space="preserve">The Department affirmatively states that considering race in the context of school discipline is racial discrimination, which is subject to strict scrutiny. Strict scrutiny is the highest standard of review that a court uses when </w:t>
      </w:r>
      <w:r w:rsidR="00500FD7">
        <w:t xml:space="preserve">determining whether a school’s action </w:t>
      </w:r>
      <w:r>
        <w:t xml:space="preserve">may violate the Constitution. If a school considers race in school discipline, the school </w:t>
      </w:r>
      <w:proofErr w:type="gramStart"/>
      <w:r>
        <w:t>would</w:t>
      </w:r>
      <w:proofErr w:type="gramEnd"/>
      <w:r>
        <w:t xml:space="preserve"> need to show that it had a compelling interest in creating the policy and that the policy is narrowly tailored to meet th</w:t>
      </w:r>
      <w:r w:rsidR="00500FD7">
        <w:t>at</w:t>
      </w:r>
      <w:r>
        <w:t xml:space="preserve"> interest. </w:t>
      </w:r>
      <w:r w:rsidR="00E9752D">
        <w:t>In order to apply this test, ED says, “</w:t>
      </w:r>
      <w:r w:rsidR="00E9752D" w:rsidRPr="00E9752D">
        <w:t>to assert a compelling interest, the school must identify specific, identified instances of past discrimination that violated the Constitution or a statute that the school discipline policy, practice, or decision is remedying</w:t>
      </w:r>
      <w:r w:rsidR="00E9752D">
        <w:t>.” Disciplinary policies which take into consideration more generalized or longstanding racial or ethnic disparities would not be permitted.</w:t>
      </w:r>
    </w:p>
    <w:p w14:paraId="1EF2285F" w14:textId="77777777" w:rsidR="0096011A" w:rsidRDefault="0096011A" w:rsidP="0096011A"/>
    <w:p w14:paraId="4B039609" w14:textId="1BFFBD54" w:rsidR="0096011A" w:rsidRDefault="0096011A" w:rsidP="0096011A">
      <w:r>
        <w:t xml:space="preserve">ED states that it has rescinded the disparate impact regulations and issued the guidance to “restore Title VI to its original public meaning.” However, critics have contended that this position does not reflect Title VI’s original purpose in addressing discrimination against minority groups. In a response to the </w:t>
      </w:r>
      <w:r w:rsidR="00F52427">
        <w:t>guidance</w:t>
      </w:r>
      <w:r>
        <w:t xml:space="preserve">, the National Center for Youth Law said that ED was “attempting to turn a longstanding civil rights obligation into a false choice between equal treatment and safe, supportive schools.” They pointed to </w:t>
      </w:r>
      <w:r>
        <w:fldChar w:fldCharType="begin"/>
      </w:r>
      <w:r>
        <w:fldChar w:fldCharType="separate"/>
      </w:r>
      <w:r>
        <w:rPr>
          <w:color w:val="1155CC"/>
          <w:u w:val="single"/>
        </w:rPr>
        <w:t>2021 data</w:t>
      </w:r>
      <w:r>
        <w:fldChar w:fldCharType="end"/>
      </w:r>
      <w:r w:rsidR="007B0AC1">
        <w:t xml:space="preserve">data </w:t>
      </w:r>
      <w:r>
        <w:t xml:space="preserve">from ED’s Institute of Education Sciences, which shows that Black students are more likely to be disciplined and receive harsher punishments than their counterparts. </w:t>
      </w:r>
    </w:p>
    <w:p w14:paraId="639FA2B8" w14:textId="77777777" w:rsidR="0096011A" w:rsidRDefault="0096011A" w:rsidP="0096011A"/>
    <w:p w14:paraId="7E3269AC" w14:textId="328F31CC" w:rsidR="0096011A" w:rsidRDefault="0096011A" w:rsidP="0096011A">
      <w:r>
        <w:t xml:space="preserve">At the same time ED issued the </w:t>
      </w:r>
      <w:r w:rsidR="00F52427">
        <w:t>guidance</w:t>
      </w:r>
      <w:r>
        <w:t xml:space="preserve">, it also announced investigations into school districts in Fayetteville, Arkansas and Milwaukee, Wisconsin for the use of race in school discipline policies. In Fayetteville, ED says that teachers took race into account to address “the disproportionality of discipline on students of color” and in Milwaukee, ED asserts that school leaders called neutral policies a reflection of systemic “whiteness.” </w:t>
      </w:r>
    </w:p>
    <w:p w14:paraId="6F0CDCD9" w14:textId="77777777" w:rsidR="0096011A" w:rsidRDefault="0096011A" w:rsidP="0096011A"/>
    <w:p w14:paraId="1E0A2BCB" w14:textId="0C544E81" w:rsidR="003B44DF" w:rsidRDefault="0096011A" w:rsidP="00E74AA2">
      <w:r>
        <w:t xml:space="preserve">Author: BTW </w:t>
      </w:r>
    </w:p>
    <w:p w14:paraId="1C6B23EB" w14:textId="77777777" w:rsidR="003B44DF" w:rsidRDefault="003B44DF" w:rsidP="00E74AA2"/>
    <w:p w14:paraId="7F3DB6B5" w14:textId="77777777" w:rsidR="00B76900" w:rsidRDefault="00B76900" w:rsidP="009B2869">
      <w:pPr>
        <w:pStyle w:val="Heading3"/>
        <w:jc w:val="left"/>
      </w:pPr>
      <w:r>
        <w:lastRenderedPageBreak/>
        <w:t>FCC Asks for Comment on Reenvisioning of E-Rate</w:t>
      </w:r>
    </w:p>
    <w:p w14:paraId="0FF52B45" w14:textId="77777777" w:rsidR="00487595" w:rsidRDefault="00487595" w:rsidP="00487595"/>
    <w:p w14:paraId="3A9FC105" w14:textId="030BBCA8" w:rsidR="00D373D7" w:rsidRDefault="00D373D7" w:rsidP="00D373D7">
      <w:r>
        <w:t xml:space="preserve">In a </w:t>
      </w:r>
      <w:hyperlink r:id="rId11" w:tooltip="Read the Federal Register notice on E-rate" w:history="1">
        <w:r w:rsidRPr="00A25BAB">
          <w:rPr>
            <w:rStyle w:val="Hyperlink"/>
            <w:i/>
            <w:iCs/>
          </w:rPr>
          <w:t xml:space="preserve">Federal Register </w:t>
        </w:r>
        <w:r w:rsidRPr="00A25BAB">
          <w:rPr>
            <w:rStyle w:val="Hyperlink"/>
          </w:rPr>
          <w:t>notice issued this week</w:t>
        </w:r>
      </w:hyperlink>
      <w:r>
        <w:t>, the Federal Communications Commission (FCC) asks the public for comments on what the E-Rate program should look like moving forward. The FCC frames its comments as responding to dual concerns: first, given safety and screen time concerns for children whether the government should continue to promote accessibility, and second, given the high rates of internet connectivity, whether government subsidies are necessary.</w:t>
      </w:r>
    </w:p>
    <w:p w14:paraId="4925C157" w14:textId="77777777" w:rsidR="00D373D7" w:rsidRDefault="00D373D7" w:rsidP="00D373D7"/>
    <w:p w14:paraId="1DBC9D08" w14:textId="02EC953C" w:rsidR="00D373D7" w:rsidRDefault="00D373D7" w:rsidP="00D373D7">
      <w:r>
        <w:t>Specifically, the FCC ties the question of screen time to the idea that E-Rate, which subsidizes internet connections at schools and libraries in rural and remote areas, should be tied to advancing educational outcomes. They also seek comment on whether existing content protections are sufficient to ensure children are safe in accessing the internet.</w:t>
      </w:r>
    </w:p>
    <w:p w14:paraId="77729C8C" w14:textId="77777777" w:rsidR="00D373D7" w:rsidRDefault="00D373D7" w:rsidP="00D373D7"/>
    <w:p w14:paraId="67E108EE" w14:textId="324E0DC2" w:rsidR="00D373D7" w:rsidRDefault="00D373D7" w:rsidP="00D373D7">
      <w:r>
        <w:t xml:space="preserve">Given the high rate of online access, the FCC </w:t>
      </w:r>
      <w:proofErr w:type="gramStart"/>
      <w:r>
        <w:t>asks</w:t>
      </w:r>
      <w:proofErr w:type="gramEnd"/>
      <w:r>
        <w:t xml:space="preserve"> “w</w:t>
      </w:r>
      <w:r w:rsidRPr="00D838F9">
        <w:t>hether the program should be narrowed or otherwise reoriented to reflect the extent to which its connectivity objectives have been achieved</w:t>
      </w:r>
      <w:r>
        <w:t>.” Questions on this topic in the notice include:</w:t>
      </w:r>
    </w:p>
    <w:p w14:paraId="4474076F" w14:textId="77777777" w:rsidR="00D373D7" w:rsidRDefault="00D373D7" w:rsidP="00D373D7">
      <w:pPr>
        <w:ind w:left="720"/>
      </w:pPr>
    </w:p>
    <w:p w14:paraId="3F20882C" w14:textId="2235A12E" w:rsidR="00D373D7" w:rsidRDefault="00D373D7" w:rsidP="00D373D7">
      <w:pPr>
        <w:ind w:left="720"/>
      </w:pPr>
      <w:r>
        <w:t>“</w:t>
      </w:r>
      <w:r w:rsidR="00E9752D">
        <w:t>[s]</w:t>
      </w:r>
      <w:r w:rsidRPr="00D838F9">
        <w:t xml:space="preserve">hould the E-Rate program be limited or sunset to reflect today's extensive connectivity rates? Does the Commission have the authority to limit or sunset the E-Rate program? At what point should policymakers conclude that the program's core objective has been achieved? We seek comment on whether Congress intended E-Rate to operate indefinitely, regardless of the extent to which schools and libraries have achieved universal </w:t>
      </w:r>
      <w:proofErr w:type="gramStart"/>
      <w:r w:rsidRPr="00D838F9">
        <w:t>connectivity.</w:t>
      </w:r>
      <w:r>
        <w:t>”</w:t>
      </w:r>
      <w:proofErr w:type="gramEnd"/>
    </w:p>
    <w:p w14:paraId="106208D3" w14:textId="77777777" w:rsidR="00D373D7" w:rsidRDefault="00D373D7" w:rsidP="00D373D7"/>
    <w:p w14:paraId="5E14E789" w14:textId="1490C1A8" w:rsidR="00D373D7" w:rsidRDefault="00D373D7" w:rsidP="00D373D7">
      <w:r>
        <w:t>The FCC expresses concern that under previous administrations, the FCC had expanded E-Rate services and subsidies beyond the extent intended by Congress when it created the program in the late 1990’s. But the Commission also asks whether E-Rate is necessary at all, and whether schools – or “private investment” would otherwise backfill the costs for day-to-day connectivity as well as major trunk lines.</w:t>
      </w:r>
    </w:p>
    <w:p w14:paraId="0EC41CC7" w14:textId="77777777" w:rsidR="00D373D7" w:rsidRDefault="00D373D7" w:rsidP="00D373D7"/>
    <w:p w14:paraId="63034DA8" w14:textId="77697750" w:rsidR="00D373D7" w:rsidRDefault="00D373D7" w:rsidP="00D373D7">
      <w:r>
        <w:t>The E-Rate program is unique in that it was authorized by Congress but is not funded by annual appropriations. Instead, services are funded by the Universal Services Administrative Commission, which in turn is supported by user fees on cell phone bills. Because the services provided by E-Rate are not authorized by Congress, the FCC asks whether it may be able to restructure or eliminate E-Rate without any input from Congress, or whether legislat</w:t>
      </w:r>
      <w:r w:rsidR="00E9752D">
        <w:t>or</w:t>
      </w:r>
      <w:r>
        <w:t>s need to agree to any significant changes.</w:t>
      </w:r>
    </w:p>
    <w:p w14:paraId="1FF6D837" w14:textId="77777777" w:rsidR="00D373D7" w:rsidRDefault="00D373D7" w:rsidP="00D373D7"/>
    <w:p w14:paraId="10C70C89" w14:textId="28E880E3" w:rsidR="00D373D7" w:rsidRDefault="00D373D7" w:rsidP="00D373D7">
      <w:r>
        <w:t>Comments on the questions posted in the notice are due October 13</w:t>
      </w:r>
      <w:r w:rsidRPr="00D838F9">
        <w:rPr>
          <w:vertAlign w:val="superscript"/>
        </w:rPr>
        <w:t>th</w:t>
      </w:r>
      <w:r>
        <w:t xml:space="preserve">, </w:t>
      </w:r>
      <w:r w:rsidR="00BE045B">
        <w:t xml:space="preserve">while </w:t>
      </w:r>
      <w:r>
        <w:t>replies to those comments are due November 12</w:t>
      </w:r>
      <w:r w:rsidRPr="00D838F9">
        <w:rPr>
          <w:vertAlign w:val="superscript"/>
        </w:rPr>
        <w:t>th</w:t>
      </w:r>
      <w:r>
        <w:t>.</w:t>
      </w:r>
    </w:p>
    <w:p w14:paraId="2BB8F9A1" w14:textId="77777777" w:rsidR="00D373D7" w:rsidRDefault="00D373D7" w:rsidP="00D373D7"/>
    <w:p w14:paraId="3F38A9D4" w14:textId="1C56098C" w:rsidR="00D373D7" w:rsidRDefault="00D373D7" w:rsidP="00D373D7">
      <w:r>
        <w:t>Author: JCM</w:t>
      </w:r>
    </w:p>
    <w:p w14:paraId="436B5E95" w14:textId="77777777" w:rsidR="00A06D23" w:rsidRDefault="00A06D23" w:rsidP="00D373D7"/>
    <w:p w14:paraId="40B0BD19" w14:textId="77777777" w:rsidR="00A06D23" w:rsidRDefault="00A06D23" w:rsidP="009B2869">
      <w:pPr>
        <w:pStyle w:val="Heading3"/>
        <w:jc w:val="left"/>
      </w:pPr>
      <w:r>
        <w:t>New ED Guidance Urges Careful Consideration of Ed Tech</w:t>
      </w:r>
    </w:p>
    <w:p w14:paraId="03ADE181" w14:textId="77777777" w:rsidR="00A06D23" w:rsidRDefault="00A06D23" w:rsidP="00D373D7"/>
    <w:p w14:paraId="40454A16" w14:textId="6FF57A4C" w:rsidR="00E52E17" w:rsidRDefault="00E52E17" w:rsidP="00E52E17">
      <w:r>
        <w:t>In a “Dear Colleague” letter issued by the U.S. Department of Education (ED) Thursday, Assistant Secretary for Elementary and Secondary Education Kirsten Baesler suggests that the use of technology in classrooms should be targeted to improving academic outcomes. The letter stresses the difference between “recreational screen use” and “education technology.” The latter, the letter says, can be a “valuable instructional tool.” For example,</w:t>
      </w:r>
    </w:p>
    <w:p w14:paraId="30F54EE4" w14:textId="77777777" w:rsidR="00E52E17" w:rsidRDefault="00E52E17" w:rsidP="00E52E17">
      <w:pPr>
        <w:ind w:left="720"/>
      </w:pPr>
    </w:p>
    <w:p w14:paraId="3D380AFB" w14:textId="03B77AF9" w:rsidR="00E52E17" w:rsidRDefault="00E52E17" w:rsidP="00E52E17">
      <w:pPr>
        <w:ind w:left="720"/>
      </w:pPr>
      <w:r>
        <w:t>“[d]</w:t>
      </w:r>
      <w:proofErr w:type="spellStart"/>
      <w:r w:rsidRPr="00B31EE7">
        <w:t>igital</w:t>
      </w:r>
      <w:proofErr w:type="spellEnd"/>
      <w:r w:rsidRPr="00B31EE7">
        <w:t xml:space="preserve"> platforms can increase access to rigorous coursework, support differentiated instruction, provide timely feedback through high-quality assessments, and broadly expand opportunities for students. The question before education leaders is not whether technology can support learning, but whether individual tools are selected, implemented, and evaluated in ways that advance specific education goals.</w:t>
      </w:r>
      <w:r>
        <w:t>”</w:t>
      </w:r>
    </w:p>
    <w:p w14:paraId="58DBCF95" w14:textId="77777777" w:rsidR="00E52E17" w:rsidRDefault="00E52E17" w:rsidP="00E52E17"/>
    <w:p w14:paraId="2A0A029F" w14:textId="222CA384" w:rsidR="00E52E17" w:rsidRDefault="00E52E17" w:rsidP="00E52E17">
      <w:r>
        <w:t>While the guidance says that communities are best positioned to make the decision about the appropriate use of technology, it encourages schools to consider certain principles. First, it encourages schools to “hold[]</w:t>
      </w:r>
      <w:r w:rsidR="0002781C">
        <w:t xml:space="preserve"> </w:t>
      </w:r>
      <w:r>
        <w:t>educational value central” and promotes the use of online learning to address the needs of rural students or address teacher shortages. Next, it says that choice of technology should be driven by evidence and continuous improvement. Schools should expect providers to have independent evaluations of product impact and provide transparent information about performance. Last, it says responsibility for digital safety should be shared between states, districts, teachers, families, and providers.</w:t>
      </w:r>
    </w:p>
    <w:p w14:paraId="6C86C967" w14:textId="77777777" w:rsidR="00E52E17" w:rsidRDefault="00E52E17" w:rsidP="00E52E17"/>
    <w:p w14:paraId="5D135385" w14:textId="141D00CB" w:rsidR="00E52E17" w:rsidRDefault="00E52E17" w:rsidP="00E52E17">
      <w:r>
        <w:t xml:space="preserve">The </w:t>
      </w:r>
      <w:hyperlink r:id="rId12" w:tooltip="View the ED technology guidance" w:history="1">
        <w:r w:rsidRPr="00F5364F">
          <w:rPr>
            <w:rStyle w:val="Hyperlink"/>
          </w:rPr>
          <w:t>guidance is available here</w:t>
        </w:r>
      </w:hyperlink>
      <w:r>
        <w:t>.</w:t>
      </w:r>
    </w:p>
    <w:p w14:paraId="116A9FA0" w14:textId="77777777" w:rsidR="00E52E17" w:rsidRDefault="00E52E17" w:rsidP="00E52E17"/>
    <w:p w14:paraId="4977F347" w14:textId="58FD8881" w:rsidR="00E52E17" w:rsidRDefault="00E52E17" w:rsidP="00E52E17">
      <w:r>
        <w:t>Author: JCM</w:t>
      </w:r>
    </w:p>
    <w:p w14:paraId="68602B19" w14:textId="77777777" w:rsidR="00D05704" w:rsidRDefault="00D05704" w:rsidP="00E52E17"/>
    <w:p w14:paraId="250B75CA" w14:textId="7E413907" w:rsidR="00D05704" w:rsidRDefault="00D05704" w:rsidP="009B2869">
      <w:pPr>
        <w:pStyle w:val="Heading3"/>
        <w:jc w:val="left"/>
      </w:pPr>
      <w:r>
        <w:lastRenderedPageBreak/>
        <w:t>ED Propose</w:t>
      </w:r>
      <w:r w:rsidR="00682267">
        <w:t>s</w:t>
      </w:r>
      <w:r>
        <w:t xml:space="preserve"> Revamp of Accreditation Process</w:t>
      </w:r>
    </w:p>
    <w:p w14:paraId="70D135D7" w14:textId="77777777" w:rsidR="00D05704" w:rsidRDefault="00D05704" w:rsidP="00E52E17"/>
    <w:p w14:paraId="197A9991" w14:textId="0D745F36" w:rsidR="00F124FC" w:rsidRDefault="00F124FC" w:rsidP="00F124FC">
      <w:r>
        <w:t xml:space="preserve">The U.S. Department of Education (ED) issued a notice of proposed rulemaking on Thursday to rework the higher education accreditation system. The proposed rule language was agreed upon in May by a negotiated rulemaking committee made up of several higher education </w:t>
      </w:r>
      <w:proofErr w:type="gramStart"/>
      <w:r>
        <w:t>stakeholders, and</w:t>
      </w:r>
      <w:proofErr w:type="gramEnd"/>
      <w:r>
        <w:t xml:space="preserve"> also aligns with an Executive Order issued last year on accreditation reform. </w:t>
      </w:r>
    </w:p>
    <w:p w14:paraId="256A5AE6" w14:textId="77777777" w:rsidR="00F124FC" w:rsidRDefault="00F124FC" w:rsidP="00F124FC"/>
    <w:p w14:paraId="0F61FF09" w14:textId="46C45CB2" w:rsidR="00F124FC" w:rsidRDefault="00F124FC" w:rsidP="00F124FC">
      <w:r>
        <w:t xml:space="preserve">The proposal would allow accreditors to become recognized by ED more quickly than current requirements and would expand the role of accreditors. If finalized, the proposal would require accreditors to ensure institutions of higher education </w:t>
      </w:r>
      <w:r w:rsidR="000F0760">
        <w:t xml:space="preserve">(IHEs) </w:t>
      </w:r>
      <w:r>
        <w:t>have policies to “</w:t>
      </w:r>
      <w:r w:rsidRPr="009C5A1E">
        <w:t>support, promote, and appropriately prioritize intellectual diversity and the free exchange of ideas amongst faculty.</w:t>
      </w:r>
      <w:r>
        <w:t xml:space="preserve">” Some organizations have taken issue with that requirement, noting that the language is vague and would require IHEs to police language on campus. Accreditors would also be required to review whether IHEs have any preference based on race. </w:t>
      </w:r>
    </w:p>
    <w:p w14:paraId="3D2CD2F5" w14:textId="77777777" w:rsidR="00F124FC" w:rsidRDefault="00F124FC" w:rsidP="00F124FC"/>
    <w:p w14:paraId="3D81A7F4" w14:textId="76E4A8CE" w:rsidR="00F124FC" w:rsidRDefault="00F124FC" w:rsidP="00F124FC">
      <w:r>
        <w:t>One portion of the proposal that has received general support is the requirement for</w:t>
      </w:r>
      <w:r w:rsidRPr="005326AF">
        <w:t xml:space="preserve"> more transparency </w:t>
      </w:r>
      <w:r>
        <w:t>and clarity in the</w:t>
      </w:r>
      <w:r w:rsidRPr="005326AF">
        <w:t xml:space="preserve"> credit</w:t>
      </w:r>
      <w:r>
        <w:t xml:space="preserve"> transfer process. The proposal would require</w:t>
      </w:r>
      <w:r w:rsidRPr="005326AF">
        <w:t xml:space="preserve"> </w:t>
      </w:r>
      <w:r>
        <w:t xml:space="preserve">IHEs </w:t>
      </w:r>
      <w:r w:rsidRPr="005326AF">
        <w:t>to provide an evaluation of possible transfer credits to prospective students.</w:t>
      </w:r>
      <w:r>
        <w:t xml:space="preserve"> </w:t>
      </w:r>
    </w:p>
    <w:p w14:paraId="2C2086EB" w14:textId="77777777" w:rsidR="00F124FC" w:rsidRDefault="00F124FC" w:rsidP="00F124FC"/>
    <w:p w14:paraId="32151182" w14:textId="55B216C6" w:rsidR="00F124FC" w:rsidRDefault="00F124FC" w:rsidP="00F124FC">
      <w:r>
        <w:t xml:space="preserve">The proposed rule is </w:t>
      </w:r>
      <w:hyperlink r:id="rId13" w:anchor="open-comment" w:tooltip="View webpage to submit public comment" w:history="1">
        <w:r w:rsidRPr="005C67CA">
          <w:rPr>
            <w:rStyle w:val="Hyperlink"/>
          </w:rPr>
          <w:t>open for public comment</w:t>
        </w:r>
      </w:hyperlink>
      <w:r>
        <w:t xml:space="preserve"> through September 21</w:t>
      </w:r>
      <w:r w:rsidRPr="005C67CA">
        <w:rPr>
          <w:vertAlign w:val="superscript"/>
        </w:rPr>
        <w:t>st</w:t>
      </w:r>
      <w:r>
        <w:t xml:space="preserve">. </w:t>
      </w:r>
    </w:p>
    <w:p w14:paraId="6B5FCFC1" w14:textId="77777777" w:rsidR="00F124FC" w:rsidRDefault="00F124FC" w:rsidP="00F124FC"/>
    <w:p w14:paraId="6D4D8835" w14:textId="7F40934C" w:rsidR="00F124FC" w:rsidRDefault="00F124FC" w:rsidP="00F124FC">
      <w:r>
        <w:t>Resources:</w:t>
      </w:r>
    </w:p>
    <w:p w14:paraId="526F4D3E" w14:textId="77777777" w:rsidR="00F124FC" w:rsidRDefault="00F124FC" w:rsidP="00F124FC">
      <w:r>
        <w:t>Natalie Schwartz, “</w:t>
      </w:r>
      <w:r w:rsidRPr="001677DB">
        <w:t>Education Department proposes accreditation overhaul</w:t>
      </w:r>
      <w:r>
        <w:t xml:space="preserve">,” </w:t>
      </w:r>
      <w:r>
        <w:rPr>
          <w:i/>
          <w:iCs/>
        </w:rPr>
        <w:t xml:space="preserve">Higher Ed Dive, </w:t>
      </w:r>
      <w:r>
        <w:t>August 19, 2026.</w:t>
      </w:r>
    </w:p>
    <w:p w14:paraId="12F32442" w14:textId="77777777" w:rsidR="00F124FC" w:rsidRDefault="00F124FC" w:rsidP="00F124FC">
      <w:r>
        <w:t xml:space="preserve">Rebecca Carballo, “Education Department proposes revamp of college oversight system,” </w:t>
      </w:r>
      <w:r>
        <w:rPr>
          <w:i/>
          <w:iCs/>
        </w:rPr>
        <w:t>Politico</w:t>
      </w:r>
      <w:r>
        <w:t>, August 19, 2026.</w:t>
      </w:r>
    </w:p>
    <w:p w14:paraId="20659021" w14:textId="2484D1A3" w:rsidR="00A06D23" w:rsidRDefault="00F124FC" w:rsidP="00D373D7">
      <w:r>
        <w:t>Author: KSC</w:t>
      </w:r>
    </w:p>
    <w:p w14:paraId="15EF918C" w14:textId="552BA238" w:rsidR="00B8510C" w:rsidRPr="009B2869" w:rsidRDefault="00B8510C" w:rsidP="009B2869">
      <w:pPr>
        <w:pStyle w:val="Heading2"/>
        <w:pBdr>
          <w:bottom w:val="single" w:sz="6" w:space="1" w:color="auto"/>
        </w:pBdr>
        <w:spacing w:before="240"/>
        <w:rPr>
          <w:rFonts w:ascii="Noticia Text" w:hAnsi="Noticia Text"/>
          <w:smallCaps/>
          <w:sz w:val="36"/>
          <w:szCs w:val="32"/>
        </w:rPr>
      </w:pPr>
      <w:r w:rsidRPr="009B2869">
        <w:rPr>
          <w:rFonts w:ascii="Noticia Text" w:hAnsi="Noticia Text"/>
          <w:smallCaps/>
          <w:sz w:val="36"/>
          <w:szCs w:val="32"/>
        </w:rPr>
        <w:t>Reports</w:t>
      </w:r>
    </w:p>
    <w:p w14:paraId="0C547AD4" w14:textId="77777777" w:rsidR="00B8510C" w:rsidRDefault="00B8510C" w:rsidP="00B8510C">
      <w:pPr>
        <w:rPr>
          <w:lang w:val="en"/>
        </w:rPr>
      </w:pPr>
    </w:p>
    <w:p w14:paraId="779DD8CB" w14:textId="77777777" w:rsidR="000B41D9" w:rsidRDefault="000B41D9" w:rsidP="009B2869">
      <w:pPr>
        <w:pStyle w:val="Heading3"/>
        <w:jc w:val="left"/>
      </w:pPr>
      <w:r>
        <w:t>OIG Reviews ED’s Follow-Up Process for Audits</w:t>
      </w:r>
    </w:p>
    <w:p w14:paraId="5E62B44F" w14:textId="77777777" w:rsidR="00351148" w:rsidRDefault="00351148" w:rsidP="00351148"/>
    <w:p w14:paraId="79E5AFEE" w14:textId="31C4001B" w:rsidR="00CF3E8D" w:rsidRDefault="00CF3E8D" w:rsidP="00CF3E8D">
      <w:r>
        <w:t xml:space="preserve">The U.S. Department of Education’s (ED’s) Office of Inspector General (OIG) </w:t>
      </w:r>
      <w:hyperlink r:id="rId14" w:tooltip="Read the ED OIG report on &quot;The Department's Follow-Up Process for External Audits&quot;" w:history="1">
        <w:r w:rsidRPr="00154B78">
          <w:rPr>
            <w:rStyle w:val="Hyperlink"/>
          </w:rPr>
          <w:t>published a report</w:t>
        </w:r>
      </w:hyperlink>
      <w:r>
        <w:t xml:space="preserve"> this week that analyzes how well the agency conducts follow-up activities and </w:t>
      </w:r>
      <w:r>
        <w:lastRenderedPageBreak/>
        <w:t xml:space="preserve">addresses recommendations offered by OIG in its audit reports. OIG reviewed ED’s actions in the period from October 1, </w:t>
      </w:r>
      <w:proofErr w:type="gramStart"/>
      <w:r>
        <w:t>2019</w:t>
      </w:r>
      <w:proofErr w:type="gramEnd"/>
      <w:r>
        <w:t xml:space="preserve"> through September 30, 2024.</w:t>
      </w:r>
    </w:p>
    <w:p w14:paraId="47B73139" w14:textId="77777777" w:rsidR="00CF3E8D" w:rsidRDefault="00CF3E8D" w:rsidP="00221FC0">
      <w:pPr>
        <w:jc w:val="right"/>
      </w:pPr>
    </w:p>
    <w:p w14:paraId="7B9B426B" w14:textId="11F03894" w:rsidR="00CF3E8D" w:rsidRDefault="00CF3E8D" w:rsidP="00CF3E8D">
      <w:r>
        <w:t>Overall, the report states that ED’s follow-up process to OIG audits was “generally effective” during the period reviewed, including sufficient documentation of corrective actions and implementation of audit closure actions. However, the report also states that while ED improved its timeliness in closing audits compared to prior reviews, it was inconsistent. The report raises issues regarding ED’s capability to undertake audit response and closure functions since the Trump administration entered office in January of last year. The concerns result from the significant reductions in force taken last year, and OIG notes that it is “</w:t>
      </w:r>
      <w:r w:rsidRPr="00A130BD">
        <w:t>unclear which Department office, if any, now oversees external audit follow-up and closure activities, since the office previously responsible for this function was effectively eliminated</w:t>
      </w:r>
      <w:r>
        <w:t>” last year. OIG states that it appears that several audits are resolved and ready for closure, but that none have been closed out since January of 2025.</w:t>
      </w:r>
    </w:p>
    <w:p w14:paraId="3B9A7245" w14:textId="77777777" w:rsidR="00CF3E8D" w:rsidRDefault="00CF3E8D" w:rsidP="00CF3E8D"/>
    <w:p w14:paraId="0E4FFC55" w14:textId="012D22BE" w:rsidR="00CF3E8D" w:rsidRDefault="00CF3E8D" w:rsidP="00CF3E8D">
      <w:r>
        <w:t xml:space="preserve">OIG also states in its report that restricted access to ED staff caused challenges and limited OIG’s ability to complete a full review, and that ED did not provide all requested information to OIG. ED did not provide OIG with a current organizational chart or other information to demonstrate which staff are responsible for audit follow-up and closure. ED also requested that the OIG interviews include attorneys from the Office of General Counsel, which is contrary to “longstanding OIG practice.” Due to the limitations on accessing and interviewing ED staff, the report primarily relies on </w:t>
      </w:r>
      <w:proofErr w:type="gramStart"/>
      <w:r>
        <w:t>documentation</w:t>
      </w:r>
      <w:proofErr w:type="gramEnd"/>
      <w:r>
        <w:t xml:space="preserve"> and policies and procedures posted on ED’s internal network. </w:t>
      </w:r>
    </w:p>
    <w:p w14:paraId="7F6FDAE3" w14:textId="77777777" w:rsidR="00CF3E8D" w:rsidRDefault="00CF3E8D" w:rsidP="00CF3E8D"/>
    <w:p w14:paraId="2D900D4A" w14:textId="432D6202" w:rsidR="00CF3E8D" w:rsidRDefault="00CF3E8D" w:rsidP="00CF3E8D">
      <w:r>
        <w:t xml:space="preserve">OIG provided three recommendations to ED’s Chief Financial Officer as a result of the report, including that ED update its handbook for external audit reviews to clearly identify which office and staff will be responsible for such activities, ensure that staff implementing the audit follow-up activities are sufficiently trained, and </w:t>
      </w:r>
      <w:r w:rsidR="000F0760">
        <w:t xml:space="preserve">to </w:t>
      </w:r>
      <w:r>
        <w:t xml:space="preserve">close five open audits as soon as possible. OIG states that ED generally agreed with its recommendations. </w:t>
      </w:r>
    </w:p>
    <w:p w14:paraId="4B91399F" w14:textId="77777777" w:rsidR="00CF3E8D" w:rsidRDefault="00CF3E8D" w:rsidP="00CF3E8D"/>
    <w:p w14:paraId="3DC70241" w14:textId="068B8352" w:rsidR="00CF3E8D" w:rsidRDefault="00CF3E8D" w:rsidP="00CF3E8D">
      <w:r>
        <w:t>Author: KSC</w:t>
      </w:r>
    </w:p>
    <w:p w14:paraId="3677F7D5" w14:textId="66AE0B6E" w:rsidR="00CF3E8D" w:rsidRPr="009B2869" w:rsidRDefault="00CF3E8D" w:rsidP="009B2869">
      <w:pPr>
        <w:pStyle w:val="Heading2"/>
        <w:pBdr>
          <w:bottom w:val="single" w:sz="6" w:space="1" w:color="auto"/>
        </w:pBdr>
        <w:spacing w:before="240"/>
        <w:rPr>
          <w:rFonts w:ascii="Noticia Text" w:hAnsi="Noticia Text"/>
          <w:smallCaps/>
          <w:sz w:val="36"/>
          <w:szCs w:val="32"/>
        </w:rPr>
      </w:pPr>
      <w:r w:rsidRPr="009B2869">
        <w:rPr>
          <w:rFonts w:ascii="Noticia Text" w:hAnsi="Noticia Text"/>
          <w:smallCaps/>
          <w:sz w:val="36"/>
          <w:szCs w:val="32"/>
        </w:rPr>
        <w:t>Other Items to Watch</w:t>
      </w:r>
    </w:p>
    <w:p w14:paraId="3BC4351C" w14:textId="77777777" w:rsidR="00CF3E8D" w:rsidRDefault="00CF3E8D" w:rsidP="00B97169">
      <w:pPr>
        <w:rPr>
          <w:b/>
          <w:bCs/>
          <w:i/>
          <w:iCs/>
        </w:rPr>
      </w:pPr>
    </w:p>
    <w:p w14:paraId="30C6F06A" w14:textId="2DC9CFCD" w:rsidR="000F0760" w:rsidRPr="000F0760" w:rsidRDefault="000F0760" w:rsidP="000F0760">
      <w:r w:rsidRPr="000F0760">
        <w:t xml:space="preserve">A whistleblower report released this week alleges that the U.S. Departments of Justice (DOJ) and Health and Human Services (HHS) pursued settlements with universities like Brown, Columbia, and Harvard even as DOJ’s own lawyers suggested that the schools </w:t>
      </w:r>
      <w:proofErr w:type="gramStart"/>
      <w:r w:rsidRPr="000F0760">
        <w:lastRenderedPageBreak/>
        <w:t>were in compliance with</w:t>
      </w:r>
      <w:proofErr w:type="gramEnd"/>
      <w:r w:rsidRPr="000F0760">
        <w:t xml:space="preserve"> the law. The </w:t>
      </w:r>
      <w:hyperlink r:id="rId15" w:tooltip="Read the whistleblower report" w:history="1">
        <w:r w:rsidRPr="000F0760">
          <w:rPr>
            <w:rStyle w:val="Hyperlink"/>
          </w:rPr>
          <w:t>whistleblower report</w:t>
        </w:r>
      </w:hyperlink>
      <w:r w:rsidRPr="000F0760">
        <w:t xml:space="preserve"> portrays a disorganized federal response where settlement documents were rushed, multiple agencies were giving directions, and attorneys were given limited time for review even as they identified misstatements and First Amendment issues. House Judiciary Committee Ranking Member Jamie Raskin (D-MD) </w:t>
      </w:r>
      <w:hyperlink r:id="rId16" w:tooltip="Rasking letter to DOJ re colleges" w:history="1">
        <w:r w:rsidRPr="000F0760">
          <w:rPr>
            <w:rStyle w:val="Hyperlink"/>
          </w:rPr>
          <w:t>has written to the DOJ</w:t>
        </w:r>
      </w:hyperlink>
      <w:r w:rsidRPr="000F0760">
        <w:t xml:space="preserve"> asking for more information on how the government’s demands were developed.</w:t>
      </w:r>
    </w:p>
    <w:p w14:paraId="0BEDC45E" w14:textId="77777777" w:rsidR="00CF3E8D" w:rsidRDefault="00CF3E8D" w:rsidP="00B97169">
      <w:pPr>
        <w:rPr>
          <w:b/>
          <w:bCs/>
          <w:i/>
          <w:iCs/>
        </w:rPr>
      </w:pPr>
    </w:p>
    <w:p w14:paraId="04CFEE8B" w14:textId="6AD9ACB9"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10EEE0CF" w:rsidR="00C769A4" w:rsidRDefault="00201433" w:rsidP="2193F663">
      <w:pPr>
        <w:spacing w:before="240" w:after="240"/>
        <w:rPr>
          <w:rFonts w:eastAsia="Times New Roman" w:cs="Arial"/>
        </w:rPr>
      </w:pPr>
      <w:r w:rsidRPr="71338862">
        <w:rPr>
          <w:rFonts w:eastAsia="Times New Roman" w:cs="Arial"/>
        </w:rPr>
        <w:t>Contributors:</w:t>
      </w:r>
      <w:r w:rsidR="0063062C">
        <w:rPr>
          <w:rFonts w:eastAsia="Times New Roman" w:cs="Arial"/>
        </w:rPr>
        <w:t xml:space="preserve"> </w:t>
      </w:r>
      <w:r w:rsidR="00351148">
        <w:rPr>
          <w:rFonts w:eastAsia="Times New Roman" w:cs="Arial"/>
        </w:rPr>
        <w:t xml:space="preserve">Julia Martin, </w:t>
      </w:r>
      <w:r w:rsidR="00A81C1E">
        <w:rPr>
          <w:rFonts w:eastAsia="Times New Roman" w:cs="Arial"/>
        </w:rPr>
        <w:t>Kelly Christiansen</w:t>
      </w:r>
      <w:r w:rsidR="000C7544">
        <w:rPr>
          <w:rFonts w:eastAsia="Times New Roman" w:cs="Arial"/>
        </w:rPr>
        <w:t>, Brandi Wills</w:t>
      </w:r>
      <w:r w:rsidR="000F0760">
        <w:rPr>
          <w:rFonts w:eastAsia="Times New Roman" w:cs="Arial"/>
        </w:rPr>
        <w:t>, Bonnie Graham</w:t>
      </w:r>
    </w:p>
    <w:p w14:paraId="1E728375" w14:textId="44833EBE" w:rsidR="009B2869" w:rsidRDefault="009B2869" w:rsidP="2193F663">
      <w:pPr>
        <w:spacing w:before="240" w:after="240"/>
        <w:rPr>
          <w:rFonts w:eastAsia="Times New Roman" w:cs="Arial"/>
        </w:rPr>
      </w:pPr>
      <w:r w:rsidRPr="009B2869">
        <w:rPr>
          <w:rFonts w:eastAsia="Times New Roman" w:cs="Arial"/>
        </w:rPr>
        <w:t>Posted by the California Department of Education, August 2026</w:t>
      </w:r>
    </w:p>
    <w:sectPr w:rsidR="009B2869" w:rsidSect="00A11D40">
      <w:headerReference w:type="default" r:id="rId17"/>
      <w:footerReference w:type="default" r:id="rId18"/>
      <w:footerReference w:type="first" r:id="rId19"/>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1ED4" w14:textId="77777777" w:rsidR="00CF2B2D" w:rsidRDefault="00CF2B2D">
      <w:r>
        <w:separator/>
      </w:r>
    </w:p>
  </w:endnote>
  <w:endnote w:type="continuationSeparator" w:id="0">
    <w:p w14:paraId="30C01EE1" w14:textId="77777777" w:rsidR="00CF2B2D" w:rsidRDefault="00CF2B2D">
      <w:r>
        <w:continuationSeparator/>
      </w:r>
    </w:p>
  </w:endnote>
  <w:endnote w:type="continuationNotice" w:id="1">
    <w:p w14:paraId="60B15B8B" w14:textId="77777777" w:rsidR="00CF2B2D" w:rsidRDefault="00CF2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375C" w14:textId="77777777" w:rsidR="00CF2B2D" w:rsidRDefault="00CF2B2D">
      <w:r>
        <w:separator/>
      </w:r>
    </w:p>
  </w:footnote>
  <w:footnote w:type="continuationSeparator" w:id="0">
    <w:p w14:paraId="02D6ACA3" w14:textId="77777777" w:rsidR="00CF2B2D" w:rsidRDefault="00CF2B2D">
      <w:r>
        <w:continuationSeparator/>
      </w:r>
    </w:p>
  </w:footnote>
  <w:footnote w:type="continuationNotice" w:id="1">
    <w:p w14:paraId="05C1E5EB" w14:textId="77777777" w:rsidR="00CF2B2D" w:rsidRDefault="00CF2B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328977FB" w:rsidR="005152A7" w:rsidRPr="001767D4" w:rsidRDefault="00EB23EE" w:rsidP="00B50AD1">
    <w:pPr>
      <w:pStyle w:val="NoSpacing"/>
      <w:tabs>
        <w:tab w:val="left" w:pos="7920"/>
      </w:tabs>
      <w:spacing w:after="240"/>
      <w:rPr>
        <w:b/>
        <w:bCs/>
      </w:rPr>
    </w:pPr>
    <w:r>
      <w:rPr>
        <w:rFonts w:ascii="Open Sans" w:hAnsi="Open Sans" w:cs="Open Sans"/>
        <w:b/>
        <w:bCs/>
      </w:rPr>
      <w:t xml:space="preserve">August </w:t>
    </w:r>
    <w:r w:rsidR="00967011">
      <w:rPr>
        <w:rFonts w:ascii="Open Sans" w:hAnsi="Open Sans" w:cs="Open Sans"/>
        <w:b/>
        <w:bCs/>
      </w:rPr>
      <w:t>21</w:t>
    </w:r>
    <w:r w:rsidR="005152A7">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560"/>
    <w:rsid w:val="00005BB9"/>
    <w:rsid w:val="00005C33"/>
    <w:rsid w:val="00005F5A"/>
    <w:rsid w:val="00006377"/>
    <w:rsid w:val="000063CE"/>
    <w:rsid w:val="0000653B"/>
    <w:rsid w:val="00006757"/>
    <w:rsid w:val="00006BD0"/>
    <w:rsid w:val="00006CFC"/>
    <w:rsid w:val="00006E53"/>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4EA6"/>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6EB4"/>
    <w:rsid w:val="00027025"/>
    <w:rsid w:val="000271F1"/>
    <w:rsid w:val="000274C7"/>
    <w:rsid w:val="0002758A"/>
    <w:rsid w:val="0002781C"/>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60D"/>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1D9"/>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A70"/>
    <w:rsid w:val="000D1CEB"/>
    <w:rsid w:val="000D1FAA"/>
    <w:rsid w:val="000D204A"/>
    <w:rsid w:val="000D214E"/>
    <w:rsid w:val="000D2341"/>
    <w:rsid w:val="000D25EF"/>
    <w:rsid w:val="000D298C"/>
    <w:rsid w:val="000D2B68"/>
    <w:rsid w:val="000D314D"/>
    <w:rsid w:val="000D3248"/>
    <w:rsid w:val="000D339F"/>
    <w:rsid w:val="000D3870"/>
    <w:rsid w:val="000D39B8"/>
    <w:rsid w:val="000D39EA"/>
    <w:rsid w:val="000D3A6F"/>
    <w:rsid w:val="000D3BDA"/>
    <w:rsid w:val="000D3DF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7A1"/>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651"/>
    <w:rsid w:val="000E7B3D"/>
    <w:rsid w:val="000F0760"/>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32C"/>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8F8"/>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1DEB"/>
    <w:rsid w:val="00112468"/>
    <w:rsid w:val="00112709"/>
    <w:rsid w:val="00112725"/>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0E13"/>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C79"/>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1FA0"/>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BB5"/>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1A3"/>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1FC0"/>
    <w:rsid w:val="002227C7"/>
    <w:rsid w:val="002229B5"/>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96F"/>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0973"/>
    <w:rsid w:val="00241A37"/>
    <w:rsid w:val="00241E52"/>
    <w:rsid w:val="00241FBD"/>
    <w:rsid w:val="00242105"/>
    <w:rsid w:val="002429CC"/>
    <w:rsid w:val="00242A4E"/>
    <w:rsid w:val="00242DEB"/>
    <w:rsid w:val="002430A3"/>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ACF"/>
    <w:rsid w:val="00251B6E"/>
    <w:rsid w:val="00251F0B"/>
    <w:rsid w:val="002521FA"/>
    <w:rsid w:val="00252796"/>
    <w:rsid w:val="00252951"/>
    <w:rsid w:val="00252FFF"/>
    <w:rsid w:val="00253074"/>
    <w:rsid w:val="0025307A"/>
    <w:rsid w:val="00253399"/>
    <w:rsid w:val="002534DA"/>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2C"/>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7DB"/>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3C71"/>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19B"/>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AC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9A1"/>
    <w:rsid w:val="00310B16"/>
    <w:rsid w:val="00310D80"/>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0F7"/>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998"/>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148"/>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3C71"/>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358"/>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4DF"/>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5DF4"/>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24"/>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47FFE"/>
    <w:rsid w:val="004501FA"/>
    <w:rsid w:val="004503A9"/>
    <w:rsid w:val="004504B6"/>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796"/>
    <w:rsid w:val="0045793E"/>
    <w:rsid w:val="004579FE"/>
    <w:rsid w:val="00460166"/>
    <w:rsid w:val="00460732"/>
    <w:rsid w:val="0046093F"/>
    <w:rsid w:val="00460B48"/>
    <w:rsid w:val="00460CD9"/>
    <w:rsid w:val="00460DB6"/>
    <w:rsid w:val="004612CF"/>
    <w:rsid w:val="004612DC"/>
    <w:rsid w:val="0046165C"/>
    <w:rsid w:val="004617C2"/>
    <w:rsid w:val="00461965"/>
    <w:rsid w:val="00461A7F"/>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039"/>
    <w:rsid w:val="004771AD"/>
    <w:rsid w:val="004773AC"/>
    <w:rsid w:val="00477687"/>
    <w:rsid w:val="0047770D"/>
    <w:rsid w:val="004777CA"/>
    <w:rsid w:val="00477F74"/>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55"/>
    <w:rsid w:val="004B209C"/>
    <w:rsid w:val="004B29A2"/>
    <w:rsid w:val="004B2CBC"/>
    <w:rsid w:val="004B3394"/>
    <w:rsid w:val="004B3831"/>
    <w:rsid w:val="004B3946"/>
    <w:rsid w:val="004B3AC4"/>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31"/>
    <w:rsid w:val="004C7085"/>
    <w:rsid w:val="004C72B7"/>
    <w:rsid w:val="004C7577"/>
    <w:rsid w:val="004C7871"/>
    <w:rsid w:val="004C79A5"/>
    <w:rsid w:val="004C79C9"/>
    <w:rsid w:val="004C7C53"/>
    <w:rsid w:val="004D02E9"/>
    <w:rsid w:val="004D03CD"/>
    <w:rsid w:val="004D044C"/>
    <w:rsid w:val="004D06CC"/>
    <w:rsid w:val="004D072E"/>
    <w:rsid w:val="004D139D"/>
    <w:rsid w:val="004D1490"/>
    <w:rsid w:val="004D1F9C"/>
    <w:rsid w:val="004D2108"/>
    <w:rsid w:val="004D2151"/>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9E6"/>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0FD7"/>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214A"/>
    <w:rsid w:val="00512513"/>
    <w:rsid w:val="005125B0"/>
    <w:rsid w:val="00512BCC"/>
    <w:rsid w:val="00512D02"/>
    <w:rsid w:val="005131CC"/>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E87"/>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ACC"/>
    <w:rsid w:val="00521BA2"/>
    <w:rsid w:val="00521FCC"/>
    <w:rsid w:val="00522611"/>
    <w:rsid w:val="00522614"/>
    <w:rsid w:val="005227E3"/>
    <w:rsid w:val="00522975"/>
    <w:rsid w:val="005229AC"/>
    <w:rsid w:val="00522A9D"/>
    <w:rsid w:val="00522E32"/>
    <w:rsid w:val="00523033"/>
    <w:rsid w:val="005235C5"/>
    <w:rsid w:val="005237EC"/>
    <w:rsid w:val="00523A2F"/>
    <w:rsid w:val="00524238"/>
    <w:rsid w:val="0052448A"/>
    <w:rsid w:val="00524AED"/>
    <w:rsid w:val="00525325"/>
    <w:rsid w:val="005255DC"/>
    <w:rsid w:val="00525621"/>
    <w:rsid w:val="005256E0"/>
    <w:rsid w:val="00525F10"/>
    <w:rsid w:val="00526242"/>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249"/>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171"/>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685"/>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471"/>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41C"/>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3EAE"/>
    <w:rsid w:val="005E42AF"/>
    <w:rsid w:val="005E49B8"/>
    <w:rsid w:val="005E4A28"/>
    <w:rsid w:val="005E507D"/>
    <w:rsid w:val="005E5CED"/>
    <w:rsid w:val="005E5F16"/>
    <w:rsid w:val="005E6172"/>
    <w:rsid w:val="005E64B3"/>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7D8"/>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62C"/>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376"/>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5CE"/>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5E60"/>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267"/>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07D"/>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19D"/>
    <w:rsid w:val="006F07D8"/>
    <w:rsid w:val="006F07E0"/>
    <w:rsid w:val="006F0EF8"/>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BC0"/>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194"/>
    <w:rsid w:val="00752382"/>
    <w:rsid w:val="0075255C"/>
    <w:rsid w:val="00752C3E"/>
    <w:rsid w:val="00753153"/>
    <w:rsid w:val="00753226"/>
    <w:rsid w:val="00753673"/>
    <w:rsid w:val="00753804"/>
    <w:rsid w:val="00753A41"/>
    <w:rsid w:val="00753B22"/>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A55"/>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AFC"/>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6E85"/>
    <w:rsid w:val="007A700B"/>
    <w:rsid w:val="007A7233"/>
    <w:rsid w:val="007A7483"/>
    <w:rsid w:val="007A762C"/>
    <w:rsid w:val="007A78ED"/>
    <w:rsid w:val="007A790B"/>
    <w:rsid w:val="007A7B10"/>
    <w:rsid w:val="007B005B"/>
    <w:rsid w:val="007B019F"/>
    <w:rsid w:val="007B022F"/>
    <w:rsid w:val="007B027A"/>
    <w:rsid w:val="007B03CF"/>
    <w:rsid w:val="007B0AC1"/>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C7"/>
    <w:rsid w:val="007C51D1"/>
    <w:rsid w:val="007C5530"/>
    <w:rsid w:val="007C57D1"/>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2E9F"/>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0F45"/>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3A6"/>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1E4"/>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6D9"/>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4A5"/>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6F8"/>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92C"/>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629"/>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6D3B"/>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47"/>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1A"/>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011"/>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B7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273"/>
    <w:rsid w:val="009826FC"/>
    <w:rsid w:val="00982A07"/>
    <w:rsid w:val="00982F7E"/>
    <w:rsid w:val="009837EC"/>
    <w:rsid w:val="00983AD5"/>
    <w:rsid w:val="00983B8C"/>
    <w:rsid w:val="009846B3"/>
    <w:rsid w:val="009847D1"/>
    <w:rsid w:val="00984856"/>
    <w:rsid w:val="00984A23"/>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CE9"/>
    <w:rsid w:val="00991F3E"/>
    <w:rsid w:val="009920A1"/>
    <w:rsid w:val="00992215"/>
    <w:rsid w:val="0099248D"/>
    <w:rsid w:val="0099253D"/>
    <w:rsid w:val="00992B7F"/>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0D2"/>
    <w:rsid w:val="009A416C"/>
    <w:rsid w:val="009A43CE"/>
    <w:rsid w:val="009A44F4"/>
    <w:rsid w:val="009A490E"/>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69"/>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853"/>
    <w:rsid w:val="009B7C09"/>
    <w:rsid w:val="009B7D4F"/>
    <w:rsid w:val="009C0052"/>
    <w:rsid w:val="009C0158"/>
    <w:rsid w:val="009C02A0"/>
    <w:rsid w:val="009C0901"/>
    <w:rsid w:val="009C094F"/>
    <w:rsid w:val="009C0CE7"/>
    <w:rsid w:val="009C0D29"/>
    <w:rsid w:val="009C0E62"/>
    <w:rsid w:val="009C122D"/>
    <w:rsid w:val="009C1316"/>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377"/>
    <w:rsid w:val="009C6598"/>
    <w:rsid w:val="009C6622"/>
    <w:rsid w:val="009C669B"/>
    <w:rsid w:val="009C69D6"/>
    <w:rsid w:val="009C6CDA"/>
    <w:rsid w:val="009C6DD7"/>
    <w:rsid w:val="009C73D6"/>
    <w:rsid w:val="009C74FC"/>
    <w:rsid w:val="009C776C"/>
    <w:rsid w:val="009C78A8"/>
    <w:rsid w:val="009C78AB"/>
    <w:rsid w:val="009C7BB6"/>
    <w:rsid w:val="009C7F11"/>
    <w:rsid w:val="009D038A"/>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D23"/>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279"/>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957"/>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84"/>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1AF"/>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824"/>
    <w:rsid w:val="00A73B4B"/>
    <w:rsid w:val="00A73D20"/>
    <w:rsid w:val="00A73D34"/>
    <w:rsid w:val="00A7408D"/>
    <w:rsid w:val="00A74670"/>
    <w:rsid w:val="00A7479A"/>
    <w:rsid w:val="00A750DC"/>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7B2"/>
    <w:rsid w:val="00A94BA1"/>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6B7"/>
    <w:rsid w:val="00AB2B3B"/>
    <w:rsid w:val="00AB2BEB"/>
    <w:rsid w:val="00AB2D28"/>
    <w:rsid w:val="00AB322F"/>
    <w:rsid w:val="00AB325A"/>
    <w:rsid w:val="00AB33AB"/>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29"/>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7AB"/>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53"/>
    <w:rsid w:val="00AD4EA2"/>
    <w:rsid w:val="00AD4F9A"/>
    <w:rsid w:val="00AD5C2D"/>
    <w:rsid w:val="00AD6A7A"/>
    <w:rsid w:val="00AD6D23"/>
    <w:rsid w:val="00AD7040"/>
    <w:rsid w:val="00AD7222"/>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920"/>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7E"/>
    <w:rsid w:val="00B008F0"/>
    <w:rsid w:val="00B01178"/>
    <w:rsid w:val="00B01572"/>
    <w:rsid w:val="00B016E9"/>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39A"/>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1"/>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67"/>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4D38"/>
    <w:rsid w:val="00B3513F"/>
    <w:rsid w:val="00B3515C"/>
    <w:rsid w:val="00B35394"/>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38F"/>
    <w:rsid w:val="00B41517"/>
    <w:rsid w:val="00B41B25"/>
    <w:rsid w:val="00B41CBC"/>
    <w:rsid w:val="00B41CE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D85"/>
    <w:rsid w:val="00B47E21"/>
    <w:rsid w:val="00B500E5"/>
    <w:rsid w:val="00B5027E"/>
    <w:rsid w:val="00B50AD1"/>
    <w:rsid w:val="00B50FC3"/>
    <w:rsid w:val="00B51063"/>
    <w:rsid w:val="00B5181C"/>
    <w:rsid w:val="00B51AF3"/>
    <w:rsid w:val="00B51FC4"/>
    <w:rsid w:val="00B52270"/>
    <w:rsid w:val="00B5237E"/>
    <w:rsid w:val="00B52541"/>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900"/>
    <w:rsid w:val="00B76E3A"/>
    <w:rsid w:val="00B77309"/>
    <w:rsid w:val="00B775F8"/>
    <w:rsid w:val="00B7794E"/>
    <w:rsid w:val="00B77C8A"/>
    <w:rsid w:val="00B77DC5"/>
    <w:rsid w:val="00B80145"/>
    <w:rsid w:val="00B801DD"/>
    <w:rsid w:val="00B802D3"/>
    <w:rsid w:val="00B80470"/>
    <w:rsid w:val="00B809ED"/>
    <w:rsid w:val="00B80A0D"/>
    <w:rsid w:val="00B80E8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0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2F4D"/>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A8A"/>
    <w:rsid w:val="00BD5C80"/>
    <w:rsid w:val="00BD5C84"/>
    <w:rsid w:val="00BD5DA7"/>
    <w:rsid w:val="00BD6171"/>
    <w:rsid w:val="00BD669A"/>
    <w:rsid w:val="00BD6701"/>
    <w:rsid w:val="00BD6E18"/>
    <w:rsid w:val="00BD7268"/>
    <w:rsid w:val="00BD74BD"/>
    <w:rsid w:val="00BD74E0"/>
    <w:rsid w:val="00BD786A"/>
    <w:rsid w:val="00BE045B"/>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4591"/>
    <w:rsid w:val="00BE52DE"/>
    <w:rsid w:val="00BE542A"/>
    <w:rsid w:val="00BE551C"/>
    <w:rsid w:val="00BE57D4"/>
    <w:rsid w:val="00BE599D"/>
    <w:rsid w:val="00BE5D94"/>
    <w:rsid w:val="00BE6763"/>
    <w:rsid w:val="00BE677F"/>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1D55"/>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0CD"/>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8BB"/>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B91"/>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6E5B"/>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13"/>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0A0"/>
    <w:rsid w:val="00CD6A07"/>
    <w:rsid w:val="00CD6F0E"/>
    <w:rsid w:val="00CD7065"/>
    <w:rsid w:val="00CD7082"/>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642"/>
    <w:rsid w:val="00CF18A2"/>
    <w:rsid w:val="00CF21AB"/>
    <w:rsid w:val="00CF232F"/>
    <w:rsid w:val="00CF2826"/>
    <w:rsid w:val="00CF2930"/>
    <w:rsid w:val="00CF2A25"/>
    <w:rsid w:val="00CF2B2D"/>
    <w:rsid w:val="00CF2E21"/>
    <w:rsid w:val="00CF2E95"/>
    <w:rsid w:val="00CF2FF4"/>
    <w:rsid w:val="00CF3243"/>
    <w:rsid w:val="00CF331D"/>
    <w:rsid w:val="00CF3442"/>
    <w:rsid w:val="00CF3589"/>
    <w:rsid w:val="00CF3869"/>
    <w:rsid w:val="00CF3B2A"/>
    <w:rsid w:val="00CF3BCC"/>
    <w:rsid w:val="00CF3CD5"/>
    <w:rsid w:val="00CF3E8D"/>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704"/>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BD2"/>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48A"/>
    <w:rsid w:val="00D145E7"/>
    <w:rsid w:val="00D146D1"/>
    <w:rsid w:val="00D14719"/>
    <w:rsid w:val="00D149ED"/>
    <w:rsid w:val="00D14AA7"/>
    <w:rsid w:val="00D14B69"/>
    <w:rsid w:val="00D14E75"/>
    <w:rsid w:val="00D15037"/>
    <w:rsid w:val="00D151C7"/>
    <w:rsid w:val="00D15581"/>
    <w:rsid w:val="00D15671"/>
    <w:rsid w:val="00D1576E"/>
    <w:rsid w:val="00D15873"/>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6B6"/>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3D7"/>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4A9"/>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56"/>
    <w:rsid w:val="00D87CEA"/>
    <w:rsid w:val="00D908BF"/>
    <w:rsid w:val="00D90A53"/>
    <w:rsid w:val="00D90B05"/>
    <w:rsid w:val="00D91042"/>
    <w:rsid w:val="00D9107F"/>
    <w:rsid w:val="00D9168C"/>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0BE7"/>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676"/>
    <w:rsid w:val="00DE39D1"/>
    <w:rsid w:val="00DE3ABC"/>
    <w:rsid w:val="00DE3DB1"/>
    <w:rsid w:val="00DE3DB3"/>
    <w:rsid w:val="00DE3ED5"/>
    <w:rsid w:val="00DE4804"/>
    <w:rsid w:val="00DE5156"/>
    <w:rsid w:val="00DE5413"/>
    <w:rsid w:val="00DE56A8"/>
    <w:rsid w:val="00DE56F0"/>
    <w:rsid w:val="00DE5808"/>
    <w:rsid w:val="00DE5B95"/>
    <w:rsid w:val="00DE5C42"/>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6B0"/>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5E4"/>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C8B"/>
    <w:rsid w:val="00E23D66"/>
    <w:rsid w:val="00E23E2F"/>
    <w:rsid w:val="00E24283"/>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6B6A"/>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CEE"/>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2E17"/>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6EA6"/>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44"/>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01B3"/>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5FA"/>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6EAF"/>
    <w:rsid w:val="00E97048"/>
    <w:rsid w:val="00E97158"/>
    <w:rsid w:val="00E971F2"/>
    <w:rsid w:val="00E97322"/>
    <w:rsid w:val="00E97413"/>
    <w:rsid w:val="00E9752D"/>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D57"/>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3EE"/>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2C2"/>
    <w:rsid w:val="00EC3340"/>
    <w:rsid w:val="00EC3696"/>
    <w:rsid w:val="00EC3978"/>
    <w:rsid w:val="00EC3C7E"/>
    <w:rsid w:val="00EC3D9D"/>
    <w:rsid w:val="00EC3E1C"/>
    <w:rsid w:val="00EC3E3A"/>
    <w:rsid w:val="00EC3EDD"/>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8B"/>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72A"/>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AC2"/>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A2C"/>
    <w:rsid w:val="00EF5F3A"/>
    <w:rsid w:val="00EF6231"/>
    <w:rsid w:val="00EF65CB"/>
    <w:rsid w:val="00EF68A3"/>
    <w:rsid w:val="00EF6AA3"/>
    <w:rsid w:val="00EF72EA"/>
    <w:rsid w:val="00EF7359"/>
    <w:rsid w:val="00EF7370"/>
    <w:rsid w:val="00EF79A6"/>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298"/>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D80"/>
    <w:rsid w:val="00F07E1A"/>
    <w:rsid w:val="00F07E21"/>
    <w:rsid w:val="00F10CE4"/>
    <w:rsid w:val="00F10EDB"/>
    <w:rsid w:val="00F1163C"/>
    <w:rsid w:val="00F124F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83E"/>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427"/>
    <w:rsid w:val="00F5297E"/>
    <w:rsid w:val="00F52D31"/>
    <w:rsid w:val="00F531BF"/>
    <w:rsid w:val="00F53614"/>
    <w:rsid w:val="00F53FCC"/>
    <w:rsid w:val="00F545BB"/>
    <w:rsid w:val="00F5461C"/>
    <w:rsid w:val="00F546E8"/>
    <w:rsid w:val="00F5477B"/>
    <w:rsid w:val="00F548AC"/>
    <w:rsid w:val="00F54A92"/>
    <w:rsid w:val="00F5549D"/>
    <w:rsid w:val="00F55B75"/>
    <w:rsid w:val="00F55C0F"/>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31C"/>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1AC"/>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D16A73"/>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641B28"/>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 w:val="7FF8C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inspection.federalregister.gov/2026-17239.pdf?utm_campaign=pi+subscription+mailing+list&amp;utm_medium=email&amp;utm_source=federalregister.gov" TargetMode="External"/><Relationship Id="rId13" Type="http://schemas.openxmlformats.org/officeDocument/2006/relationships/hyperlink" Target="https://www.federalregister.gov/documents/2026/08/20/2026-17001/accreditation-innovation-and-modernization-the-secretarys-recognition-of-accrediting-agenci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hyperlink" Target="https://www.ed.gov/media/document/guidance-education-technology-and-screentime-schools-114386.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mocrats-judiciary.house.gov/media-center/press-releases/ranking-member-raskin-demands-answers-following-doj-whistleblower-reports-that-trump-officials-abused-title-vi-investigations-to-attack-universities-using-antisemitic-discrimination-as-a-pretext-and-a-ru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eralregister.gov/documents/2026/08/14/2026-16590/fcc-to-review-e-rate-program-to-ensure-congresss-vision?utm_campaign=subscription+mailing+list&amp;utm_medium=email&amp;utm_source=federalregister.gov" TargetMode="External"/><Relationship Id="rId5" Type="http://schemas.openxmlformats.org/officeDocument/2006/relationships/footnotes" Target="footnotes.xml"/><Relationship Id="rId15" Type="http://schemas.openxmlformats.org/officeDocument/2006/relationships/hyperlink" Target="https://democrats-judiciary.house.gov/sites/evo-subsites/democrats-judiciary.house.gov/files/evo-media-document/08.17.26-title-vi-whistleblower-disclosure-for-congress.pdf" TargetMode="External"/><Relationship Id="rId10" Type="http://schemas.openxmlformats.org/officeDocument/2006/relationships/hyperlink" Target="https://www.ed.gov/media/document/dear-colleague-letter-guidance-pupil-discipline-and-compliance-title-vi-august-18-2026-114385.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ederalregister.gov/public-inspection/2026-17239/education-department-general-administrative-regulations" TargetMode="External"/><Relationship Id="rId14" Type="http://schemas.openxmlformats.org/officeDocument/2006/relationships/hyperlink" Target="https://oig.ed.gov/sites/default/files/reports/2026-08/FY26%20I25DC0239%20%288.17.26%29v100_508_SECURED.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2836</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August 21 - Government Affairs (CA Dept of Education)</dc:title>
  <dc:subject>Federal Updates for August 21, 2026.</dc:subject>
  <dc:creator/>
  <cp:keywords/>
  <dc:description/>
  <cp:lastModifiedBy/>
  <cp:revision>1</cp:revision>
  <dcterms:created xsi:type="dcterms:W3CDTF">2026-09-02T15:57:00Z</dcterms:created>
  <dcterms:modified xsi:type="dcterms:W3CDTF">2026-09-02T15:58:00Z</dcterms:modified>
</cp:coreProperties>
</file>