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6D2A2" w14:textId="77777777" w:rsidR="00B62641" w:rsidRPr="008B6B19" w:rsidRDefault="00B62641" w:rsidP="00075B23">
      <w:pPr>
        <w:pStyle w:val="Heading1"/>
        <w:spacing w:after="240"/>
      </w:pPr>
      <w:r>
        <w:t>INITIAL STATEMENT OF REASONS</w:t>
      </w:r>
    </w:p>
    <w:p w14:paraId="46C5D223" w14:textId="3F85601E" w:rsidR="37773D13" w:rsidRDefault="37773D13" w:rsidP="00075B23">
      <w:pPr>
        <w:spacing w:before="240" w:after="240"/>
        <w:jc w:val="center"/>
      </w:pPr>
      <w:r w:rsidRPr="64412890">
        <w:rPr>
          <w:rFonts w:eastAsia="Arial" w:cs="Arial"/>
          <w:color w:val="000000" w:themeColor="text1"/>
        </w:rPr>
        <w:t>California Assessment of Student Performance and Progress (CAASPP)</w:t>
      </w:r>
    </w:p>
    <w:p w14:paraId="02EB378F" w14:textId="77777777" w:rsidR="00B62641" w:rsidRPr="008B6B19" w:rsidRDefault="00B62641" w:rsidP="00B62641">
      <w:pPr>
        <w:jc w:val="center"/>
      </w:pPr>
    </w:p>
    <w:p w14:paraId="2C8B4F07" w14:textId="77777777" w:rsidR="00B62641" w:rsidRPr="008B6B19" w:rsidRDefault="00B62641" w:rsidP="00CA73F2">
      <w:pPr>
        <w:pStyle w:val="Heading2"/>
      </w:pPr>
      <w:r w:rsidRPr="008B6B19">
        <w:t>INTRODUCTION</w:t>
      </w:r>
    </w:p>
    <w:p w14:paraId="6A05A809" w14:textId="77777777" w:rsidR="00B62641" w:rsidRPr="008B6B19" w:rsidRDefault="00B62641" w:rsidP="00B62641">
      <w:pPr>
        <w:rPr>
          <w:b/>
        </w:rPr>
      </w:pPr>
    </w:p>
    <w:p w14:paraId="744CC547" w14:textId="6125252E" w:rsidR="517CD49A" w:rsidRDefault="517CD49A" w:rsidP="64412890">
      <w:pPr>
        <w:spacing w:after="240"/>
        <w:rPr>
          <w:rFonts w:eastAsia="Arial" w:cs="Arial"/>
          <w:color w:val="000000" w:themeColor="text1"/>
        </w:rPr>
      </w:pPr>
      <w:r w:rsidRPr="04D6733D">
        <w:rPr>
          <w:rFonts w:eastAsia="Arial" w:cs="Arial"/>
          <w:color w:val="000000" w:themeColor="text1"/>
        </w:rPr>
        <w:t xml:space="preserve">Pursuant to </w:t>
      </w:r>
      <w:r w:rsidRPr="00E93EA0">
        <w:rPr>
          <w:rFonts w:eastAsia="Arial" w:cs="Arial"/>
          <w:color w:val="000000" w:themeColor="text1"/>
        </w:rPr>
        <w:t>Education Code</w:t>
      </w:r>
      <w:r w:rsidRPr="00FD16E0">
        <w:rPr>
          <w:rFonts w:eastAsia="Arial" w:cs="Arial"/>
          <w:color w:val="000000" w:themeColor="text1"/>
        </w:rPr>
        <w:t xml:space="preserve"> (</w:t>
      </w:r>
      <w:r w:rsidR="0050414A">
        <w:rPr>
          <w:rFonts w:eastAsia="Arial" w:cs="Arial"/>
          <w:color w:val="000000" w:themeColor="text1"/>
        </w:rPr>
        <w:t>EC</w:t>
      </w:r>
      <w:r w:rsidRPr="00FD16E0">
        <w:rPr>
          <w:rFonts w:eastAsia="Arial" w:cs="Arial"/>
          <w:color w:val="000000" w:themeColor="text1"/>
        </w:rPr>
        <w:t>)</w:t>
      </w:r>
      <w:r w:rsidRPr="04D6733D">
        <w:rPr>
          <w:rFonts w:eastAsia="Arial" w:cs="Arial"/>
          <w:color w:val="000000" w:themeColor="text1"/>
        </w:rPr>
        <w:t xml:space="preserve"> </w:t>
      </w:r>
      <w:r w:rsidR="00E91F94">
        <w:rPr>
          <w:rFonts w:eastAsia="Arial" w:cs="Arial"/>
          <w:color w:val="000000" w:themeColor="text1"/>
        </w:rPr>
        <w:t xml:space="preserve">section </w:t>
      </w:r>
      <w:r w:rsidRPr="04D6733D">
        <w:rPr>
          <w:rFonts w:eastAsia="Arial" w:cs="Arial"/>
          <w:color w:val="000000" w:themeColor="text1"/>
        </w:rPr>
        <w:t xml:space="preserve">60640, the California Department of Education (CDE) has developed the </w:t>
      </w:r>
      <w:r w:rsidR="00550BD3" w:rsidRPr="64412890">
        <w:rPr>
          <w:rFonts w:eastAsia="Arial" w:cs="Arial"/>
          <w:color w:val="000000" w:themeColor="text1"/>
        </w:rPr>
        <w:t xml:space="preserve">California Assessment of Student Performance and Progress </w:t>
      </w:r>
      <w:r w:rsidR="00550BD3">
        <w:rPr>
          <w:rFonts w:eastAsia="Arial" w:cs="Arial"/>
          <w:color w:val="000000" w:themeColor="text1"/>
        </w:rPr>
        <w:t>(</w:t>
      </w:r>
      <w:r w:rsidRPr="04D6733D">
        <w:rPr>
          <w:rFonts w:eastAsia="Arial" w:cs="Arial"/>
          <w:color w:val="000000" w:themeColor="text1"/>
        </w:rPr>
        <w:t>CAASPP</w:t>
      </w:r>
      <w:r w:rsidR="00550BD3">
        <w:rPr>
          <w:rFonts w:eastAsia="Arial" w:cs="Arial"/>
          <w:color w:val="000000" w:themeColor="text1"/>
        </w:rPr>
        <w:t>)</w:t>
      </w:r>
      <w:r w:rsidRPr="04D6733D">
        <w:rPr>
          <w:rFonts w:eastAsia="Arial" w:cs="Arial"/>
          <w:color w:val="000000" w:themeColor="text1"/>
        </w:rPr>
        <w:t xml:space="preserve"> System, which includes the following assessments: the Smarter Balanced Assessment Consortium computer-based summative assessments for English language arts/literacy (ELA) and mathematics; the California Science Test (CAST), aligned with the California Next Generation Science Standards (CA NGSS); the California Alternate Assessments </w:t>
      </w:r>
      <w:r w:rsidR="04550A5D" w:rsidRPr="04D6733D">
        <w:rPr>
          <w:rFonts w:eastAsia="Arial" w:cs="Arial"/>
          <w:color w:val="000000" w:themeColor="text1"/>
        </w:rPr>
        <w:t xml:space="preserve">(CAAs) </w:t>
      </w:r>
      <w:r w:rsidRPr="04D6733D">
        <w:rPr>
          <w:rFonts w:eastAsia="Arial" w:cs="Arial"/>
          <w:color w:val="000000" w:themeColor="text1"/>
        </w:rPr>
        <w:t>for ELA, Mathematics, and Science</w:t>
      </w:r>
      <w:r w:rsidR="051DCC7D" w:rsidRPr="04D6733D">
        <w:rPr>
          <w:rFonts w:eastAsia="Arial" w:cs="Arial"/>
          <w:color w:val="000000" w:themeColor="text1"/>
        </w:rPr>
        <w:t>, aligned with the Core Content Connectors</w:t>
      </w:r>
      <w:r w:rsidRPr="04D6733D">
        <w:rPr>
          <w:rFonts w:eastAsia="Arial" w:cs="Arial"/>
          <w:color w:val="000000" w:themeColor="text1"/>
        </w:rPr>
        <w:t xml:space="preserve">; and the California Spanish Assessment (CSA), aligned with the Common Core State Standards </w:t>
      </w:r>
      <w:proofErr w:type="spellStart"/>
      <w:r w:rsidRPr="04D6733D">
        <w:rPr>
          <w:rFonts w:eastAsia="Arial" w:cs="Arial"/>
          <w:color w:val="000000" w:themeColor="text1"/>
        </w:rPr>
        <w:t>en</w:t>
      </w:r>
      <w:proofErr w:type="spellEnd"/>
      <w:r w:rsidRPr="04D6733D">
        <w:rPr>
          <w:rFonts w:eastAsia="Arial" w:cs="Arial"/>
          <w:color w:val="000000" w:themeColor="text1"/>
        </w:rPr>
        <w:t xml:space="preserve"> Español. CAASPP test results are used to improve teaching and learning </w:t>
      </w:r>
      <w:r w:rsidR="7ADE8649" w:rsidRPr="04D6733D">
        <w:rPr>
          <w:rFonts w:eastAsia="Arial" w:cs="Arial"/>
          <w:color w:val="000000" w:themeColor="text1"/>
        </w:rPr>
        <w:t xml:space="preserve">in </w:t>
      </w:r>
      <w:r w:rsidRPr="04D6733D">
        <w:rPr>
          <w:rFonts w:eastAsia="Arial" w:cs="Arial"/>
          <w:color w:val="000000" w:themeColor="text1"/>
        </w:rPr>
        <w:t xml:space="preserve">schools and local educational agencies (LEAs) in California. In addition, the CAASPP tests are developed, administered, and reported in accordance with federal requirements. </w:t>
      </w:r>
    </w:p>
    <w:p w14:paraId="74F5DDF8" w14:textId="5DBFF3E1" w:rsidR="44A54F82" w:rsidRDefault="44A54F82" w:rsidP="64412890">
      <w:pPr>
        <w:spacing w:after="240"/>
        <w:rPr>
          <w:rFonts w:eastAsia="Arial" w:cs="Arial"/>
          <w:color w:val="000000" w:themeColor="text1"/>
        </w:rPr>
      </w:pPr>
      <w:r w:rsidRPr="64412890">
        <w:rPr>
          <w:rFonts w:eastAsia="Arial" w:cs="Arial"/>
          <w:color w:val="000000" w:themeColor="text1"/>
        </w:rPr>
        <w:t>All CAASPP assessments are administered within a CAASPP LEA testing window designated by each LEA within the larger CAASPP state testing window. The LEA</w:t>
      </w:r>
      <w:r w:rsidR="00E746ED">
        <w:rPr>
          <w:rFonts w:eastAsia="Arial" w:cs="Arial"/>
          <w:color w:val="000000" w:themeColor="text1"/>
        </w:rPr>
        <w:t>’s</w:t>
      </w:r>
      <w:r w:rsidRPr="64412890">
        <w:rPr>
          <w:rFonts w:eastAsia="Arial" w:cs="Arial"/>
          <w:color w:val="000000" w:themeColor="text1"/>
        </w:rPr>
        <w:t xml:space="preserve"> testing window may begin on the day in which 66 percent of the school's or track's annual instructional days have been completed, but no earlier than the start of the state testing window, and testing may continue up to and including the last day of instruction for the regular school's or track's annual calendar, but no later than the end of the state testing window.</w:t>
      </w:r>
    </w:p>
    <w:p w14:paraId="15627103" w14:textId="1B7AAE4E" w:rsidR="44A54F82" w:rsidRDefault="44A54F82" w:rsidP="64412890">
      <w:pPr>
        <w:spacing w:after="240"/>
        <w:rPr>
          <w:rFonts w:eastAsia="Arial" w:cs="Arial"/>
          <w:color w:val="000000" w:themeColor="text1"/>
        </w:rPr>
      </w:pPr>
      <w:r w:rsidRPr="04D6733D">
        <w:rPr>
          <w:rFonts w:eastAsia="Arial" w:cs="Arial"/>
          <w:color w:val="000000" w:themeColor="text1"/>
        </w:rPr>
        <w:t>The state testing window for all CAASPP assessments—</w:t>
      </w:r>
      <w:proofErr w:type="gramStart"/>
      <w:r w:rsidRPr="04D6733D">
        <w:rPr>
          <w:rFonts w:eastAsia="Arial" w:cs="Arial"/>
          <w:color w:val="000000" w:themeColor="text1"/>
        </w:rPr>
        <w:t>with the exception of</w:t>
      </w:r>
      <w:proofErr w:type="gramEnd"/>
      <w:r w:rsidRPr="04D6733D">
        <w:rPr>
          <w:rFonts w:eastAsia="Arial" w:cs="Arial"/>
          <w:color w:val="000000" w:themeColor="text1"/>
        </w:rPr>
        <w:t xml:space="preserve"> the CAA for Science—</w:t>
      </w:r>
      <w:r w:rsidRPr="04D6733D">
        <w:rPr>
          <w:rFonts w:eastAsia="Arial" w:cs="Arial"/>
          <w:color w:val="212121"/>
        </w:rPr>
        <w:t xml:space="preserve">begins no earlier than the second Tuesday in January of each year. The state testing window for the CAA for Science begins on a date in September as determined by the CDE so that each of the CAA for Science performance tasks can be embedded within the instruction relevant to each performance task. </w:t>
      </w:r>
      <w:r w:rsidRPr="04D6733D">
        <w:rPr>
          <w:rFonts w:eastAsia="Arial" w:cs="Arial"/>
          <w:color w:val="000000" w:themeColor="text1"/>
        </w:rPr>
        <w:t xml:space="preserve">Currently, per the </w:t>
      </w:r>
      <w:r w:rsidRPr="00E93EA0">
        <w:rPr>
          <w:rStyle w:val="Emphasis"/>
          <w:rFonts w:eastAsia="Arial" w:cs="Arial"/>
          <w:i w:val="0"/>
          <w:iCs w:val="0"/>
          <w:color w:val="000000" w:themeColor="text1"/>
        </w:rPr>
        <w:t>California Code of Regulations,</w:t>
      </w:r>
      <w:r w:rsidRPr="04D6733D">
        <w:rPr>
          <w:rStyle w:val="Emphasis"/>
          <w:rFonts w:eastAsia="Arial" w:cs="Arial"/>
          <w:color w:val="000000" w:themeColor="text1"/>
        </w:rPr>
        <w:t xml:space="preserve"> </w:t>
      </w:r>
      <w:r w:rsidR="0050414A">
        <w:rPr>
          <w:rFonts w:eastAsia="Arial" w:cs="Arial"/>
          <w:color w:val="000000" w:themeColor="text1"/>
        </w:rPr>
        <w:t>t</w:t>
      </w:r>
      <w:r w:rsidR="0050414A" w:rsidRPr="04D6733D">
        <w:rPr>
          <w:rFonts w:eastAsia="Arial" w:cs="Arial"/>
          <w:color w:val="000000" w:themeColor="text1"/>
        </w:rPr>
        <w:t xml:space="preserve">itle </w:t>
      </w:r>
      <w:r w:rsidRPr="04D6733D">
        <w:rPr>
          <w:rFonts w:eastAsia="Arial" w:cs="Arial"/>
          <w:color w:val="000000" w:themeColor="text1"/>
        </w:rPr>
        <w:t>5 (</w:t>
      </w:r>
      <w:r w:rsidRPr="00E746ED">
        <w:rPr>
          <w:rFonts w:eastAsia="Arial" w:cs="Arial"/>
          <w:color w:val="000000" w:themeColor="text1"/>
        </w:rPr>
        <w:t>5</w:t>
      </w:r>
      <w:r w:rsidRPr="0050414A">
        <w:rPr>
          <w:rFonts w:eastAsia="Arial" w:cs="Arial"/>
          <w:i/>
          <w:iCs/>
          <w:color w:val="000000" w:themeColor="text1"/>
        </w:rPr>
        <w:t xml:space="preserve"> </w:t>
      </w:r>
      <w:r w:rsidRPr="00E93EA0">
        <w:rPr>
          <w:rFonts w:eastAsia="Arial" w:cs="Arial"/>
          <w:color w:val="000000" w:themeColor="text1"/>
        </w:rPr>
        <w:t>CCR</w:t>
      </w:r>
      <w:r w:rsidRPr="0050414A">
        <w:rPr>
          <w:rFonts w:eastAsia="Arial" w:cs="Arial"/>
          <w:color w:val="000000" w:themeColor="text1"/>
        </w:rPr>
        <w:t>)</w:t>
      </w:r>
      <w:r w:rsidRPr="04D6733D">
        <w:rPr>
          <w:rFonts w:eastAsia="Arial" w:cs="Arial"/>
          <w:color w:val="000000" w:themeColor="text1"/>
        </w:rPr>
        <w:t xml:space="preserve">, </w:t>
      </w:r>
      <w:r w:rsidR="00911273">
        <w:rPr>
          <w:rFonts w:eastAsia="Arial" w:cs="Arial"/>
          <w:color w:val="000000" w:themeColor="text1"/>
        </w:rPr>
        <w:t>s</w:t>
      </w:r>
      <w:r w:rsidR="00911273" w:rsidRPr="04D6733D">
        <w:rPr>
          <w:rFonts w:eastAsia="Arial" w:cs="Arial"/>
          <w:color w:val="000000" w:themeColor="text1"/>
        </w:rPr>
        <w:t xml:space="preserve">ection </w:t>
      </w:r>
      <w:r w:rsidR="00E93EA0">
        <w:rPr>
          <w:rFonts w:eastAsia="Arial" w:cs="Arial"/>
          <w:color w:val="000000" w:themeColor="text1"/>
        </w:rPr>
        <w:t>855</w:t>
      </w:r>
      <w:r w:rsidRPr="04D6733D">
        <w:rPr>
          <w:rFonts w:eastAsia="Arial" w:cs="Arial"/>
          <w:color w:val="000000" w:themeColor="text1"/>
        </w:rPr>
        <w:t xml:space="preserve">, the state testing window for all CAASPP assessments ends each year on July 15, or on the weekday following July 15 if July 15 was not a weekday. </w:t>
      </w:r>
    </w:p>
    <w:p w14:paraId="5A39BBE3" w14:textId="606B830B" w:rsidR="003A6DC0" w:rsidRPr="008B6B19" w:rsidRDefault="44A54F82" w:rsidP="00304BE2">
      <w:pPr>
        <w:spacing w:after="240"/>
      </w:pPr>
      <w:r w:rsidRPr="04D6733D">
        <w:rPr>
          <w:rFonts w:eastAsia="Arial" w:cs="Arial"/>
          <w:color w:val="000000" w:themeColor="text1"/>
        </w:rPr>
        <w:t xml:space="preserve">Following the end of the CAASPP state testing window, the CDE’s testing contractor, ETS, moves all tests that have not been completed to the </w:t>
      </w:r>
      <w:r w:rsidR="6C6FA099" w:rsidRPr="04D6733D">
        <w:rPr>
          <w:rFonts w:eastAsia="Arial" w:cs="Arial"/>
          <w:color w:val="000000" w:themeColor="text1"/>
        </w:rPr>
        <w:t xml:space="preserve">post-administration </w:t>
      </w:r>
      <w:r w:rsidRPr="04D6733D">
        <w:rPr>
          <w:rFonts w:eastAsia="Arial" w:cs="Arial"/>
          <w:color w:val="000000" w:themeColor="text1"/>
        </w:rPr>
        <w:t xml:space="preserve">processes of scoring and reporting. Prior to the public release of all aggregate results to the </w:t>
      </w:r>
      <w:r w:rsidRPr="009E7668">
        <w:rPr>
          <w:rFonts w:eastAsia="Arial" w:cs="Arial"/>
        </w:rPr>
        <w:t>Test Results for California’s Assessments website</w:t>
      </w:r>
      <w:r w:rsidR="00E93EA0">
        <w:rPr>
          <w:rFonts w:eastAsia="Arial" w:cs="Arial"/>
          <w:color w:val="000000" w:themeColor="text1"/>
        </w:rPr>
        <w:t xml:space="preserve"> at </w:t>
      </w:r>
      <w:hyperlink r:id="rId8" w:tooltip="Test Results for California’s Assessments website" w:history="1">
        <w:r w:rsidR="0000287D" w:rsidRPr="0000287D">
          <w:rPr>
            <w:rStyle w:val="Hyperlink"/>
            <w:rFonts w:eastAsia="Arial" w:cs="Arial"/>
          </w:rPr>
          <w:t>https://caaspp-elpac.ets.org</w:t>
        </w:r>
      </w:hyperlink>
      <w:hyperlink w:history="1"/>
      <w:r w:rsidR="00E93EA0">
        <w:rPr>
          <w:rFonts w:eastAsia="Arial" w:cs="Arial"/>
          <w:color w:val="000000" w:themeColor="text1"/>
        </w:rPr>
        <w:t xml:space="preserve">, </w:t>
      </w:r>
      <w:r w:rsidRPr="04D6733D">
        <w:rPr>
          <w:rFonts w:eastAsia="Arial" w:cs="Arial"/>
          <w:color w:val="000000" w:themeColor="text1"/>
        </w:rPr>
        <w:t>ETS and the CDE conduct</w:t>
      </w:r>
      <w:r w:rsidR="00467DFE">
        <w:rPr>
          <w:rFonts w:eastAsia="Arial" w:cs="Arial"/>
          <w:color w:val="000000" w:themeColor="text1"/>
        </w:rPr>
        <w:t>s</w:t>
      </w:r>
      <w:r w:rsidRPr="04D6733D">
        <w:rPr>
          <w:rFonts w:eastAsia="Arial" w:cs="Arial"/>
          <w:color w:val="000000" w:themeColor="text1"/>
        </w:rPr>
        <w:t xml:space="preserve"> a series of quality control processes to ensure that all </w:t>
      </w:r>
      <w:r w:rsidR="375FC5E9" w:rsidRPr="04D6733D">
        <w:rPr>
          <w:rFonts w:eastAsia="Arial" w:cs="Arial"/>
          <w:color w:val="000000" w:themeColor="text1"/>
        </w:rPr>
        <w:t xml:space="preserve">individual and </w:t>
      </w:r>
      <w:r w:rsidRPr="04D6733D">
        <w:rPr>
          <w:rFonts w:eastAsia="Arial" w:cs="Arial"/>
          <w:color w:val="000000" w:themeColor="text1"/>
        </w:rPr>
        <w:t xml:space="preserve">aggregate data reported is correct. </w:t>
      </w:r>
    </w:p>
    <w:p w14:paraId="329455AB" w14:textId="77777777" w:rsidR="00CE10D9" w:rsidRDefault="00CE10D9">
      <w:pPr>
        <w:rPr>
          <w:rFonts w:eastAsiaTheme="majorEastAsia" w:cstheme="majorBidi"/>
          <w:b/>
          <w:szCs w:val="26"/>
        </w:rPr>
      </w:pPr>
      <w:r>
        <w:br w:type="page"/>
      </w:r>
    </w:p>
    <w:p w14:paraId="3F4A3A3D" w14:textId="41674A25" w:rsidR="00965AA4" w:rsidRPr="008B6B19" w:rsidRDefault="00965AA4" w:rsidP="00CA73F2">
      <w:pPr>
        <w:pStyle w:val="Heading2"/>
      </w:pPr>
      <w:r w:rsidRPr="008B6B19">
        <w:lastRenderedPageBreak/>
        <w:t>PROBLEM AGENCY INTENDS TO ADDRESS</w:t>
      </w:r>
    </w:p>
    <w:p w14:paraId="41C8F396" w14:textId="77777777" w:rsidR="00965AA4" w:rsidRPr="008B6B19" w:rsidRDefault="00965AA4" w:rsidP="00B62641"/>
    <w:p w14:paraId="72A3D3EC" w14:textId="621FC511" w:rsidR="003A6DC0" w:rsidRPr="00DE6834" w:rsidRDefault="59411417" w:rsidP="00DE6834">
      <w:pPr>
        <w:spacing w:after="240"/>
        <w:rPr>
          <w:i/>
          <w:color w:val="FF0000"/>
        </w:rPr>
      </w:pPr>
      <w:r w:rsidRPr="013477A0">
        <w:rPr>
          <w:rFonts w:eastAsia="Arial" w:cs="Arial"/>
          <w:color w:val="000000" w:themeColor="text1"/>
        </w:rPr>
        <w:t>In September 2023, Governor Newsom signed Senate Bill</w:t>
      </w:r>
      <w:r w:rsidR="00D905E1">
        <w:rPr>
          <w:rFonts w:eastAsia="Arial" w:cs="Arial"/>
          <w:color w:val="000000" w:themeColor="text1"/>
        </w:rPr>
        <w:t xml:space="preserve"> </w:t>
      </w:r>
      <w:r w:rsidR="00D905E1" w:rsidRPr="013477A0">
        <w:rPr>
          <w:rFonts w:eastAsia="Arial" w:cs="Arial"/>
          <w:color w:val="000000" w:themeColor="text1"/>
        </w:rPr>
        <w:t>(SB)</w:t>
      </w:r>
      <w:r w:rsidR="0050414A">
        <w:rPr>
          <w:rFonts w:eastAsia="Arial" w:cs="Arial"/>
          <w:color w:val="000000" w:themeColor="text1"/>
        </w:rPr>
        <w:t xml:space="preserve"> No.</w:t>
      </w:r>
      <w:r w:rsidRPr="013477A0">
        <w:rPr>
          <w:rFonts w:eastAsia="Arial" w:cs="Arial"/>
          <w:color w:val="000000" w:themeColor="text1"/>
        </w:rPr>
        <w:t xml:space="preserve"> 293, which </w:t>
      </w:r>
      <w:r w:rsidR="7F42DC05" w:rsidRPr="013477A0">
        <w:rPr>
          <w:rFonts w:eastAsia="Arial" w:cs="Arial"/>
          <w:color w:val="000000" w:themeColor="text1"/>
        </w:rPr>
        <w:t xml:space="preserve">amends </w:t>
      </w:r>
      <w:r w:rsidR="0050414A">
        <w:rPr>
          <w:rFonts w:eastAsia="Arial" w:cs="Arial"/>
          <w:color w:val="000000" w:themeColor="text1"/>
        </w:rPr>
        <w:t>EC</w:t>
      </w:r>
      <w:r w:rsidR="7F42DC05" w:rsidRPr="013477A0">
        <w:rPr>
          <w:rFonts w:eastAsia="Arial" w:cs="Arial"/>
          <w:color w:val="000000" w:themeColor="text1"/>
        </w:rPr>
        <w:t xml:space="preserve"> section 60641 to </w:t>
      </w:r>
      <w:r w:rsidRPr="013477A0">
        <w:rPr>
          <w:rFonts w:eastAsia="Arial" w:cs="Arial"/>
          <w:color w:val="000000" w:themeColor="text1"/>
        </w:rPr>
        <w:t xml:space="preserve">require the CDE to make statewide summative CAASPP results publicly available on or before October 15 each year and </w:t>
      </w:r>
      <w:r w:rsidR="17D4723E" w:rsidRPr="013477A0">
        <w:rPr>
          <w:rFonts w:eastAsia="Arial" w:cs="Arial"/>
          <w:color w:val="000000" w:themeColor="text1"/>
        </w:rPr>
        <w:t xml:space="preserve">for </w:t>
      </w:r>
      <w:r w:rsidRPr="013477A0">
        <w:rPr>
          <w:rFonts w:eastAsia="Arial" w:cs="Arial"/>
          <w:color w:val="000000" w:themeColor="text1"/>
        </w:rPr>
        <w:t xml:space="preserve">the State Board of Education’s (SBE) calendar for delivering results to the CDE to be consistent with that deadline. </w:t>
      </w:r>
      <w:proofErr w:type="gramStart"/>
      <w:r w:rsidRPr="013477A0">
        <w:rPr>
          <w:rFonts w:eastAsia="Arial" w:cs="Arial"/>
          <w:color w:val="000000" w:themeColor="text1"/>
        </w:rPr>
        <w:t>In order to</w:t>
      </w:r>
      <w:proofErr w:type="gramEnd"/>
      <w:r w:rsidRPr="013477A0">
        <w:rPr>
          <w:rFonts w:eastAsia="Arial" w:cs="Arial"/>
          <w:color w:val="000000" w:themeColor="text1"/>
        </w:rPr>
        <w:t xml:space="preserve"> allow sufficient time for the CDE and ETS to complete all </w:t>
      </w:r>
      <w:r w:rsidR="142BA0E9" w:rsidRPr="013477A0">
        <w:rPr>
          <w:rFonts w:eastAsia="Arial" w:cs="Arial"/>
          <w:color w:val="000000" w:themeColor="text1"/>
        </w:rPr>
        <w:t xml:space="preserve">necessary post-administration </w:t>
      </w:r>
      <w:r w:rsidRPr="013477A0">
        <w:rPr>
          <w:rFonts w:eastAsia="Arial" w:cs="Arial"/>
          <w:color w:val="000000" w:themeColor="text1"/>
        </w:rPr>
        <w:t xml:space="preserve">processes prior to the release of results, the CDE </w:t>
      </w:r>
      <w:r w:rsidR="00355020">
        <w:rPr>
          <w:rFonts w:eastAsia="Arial" w:cs="Arial"/>
          <w:color w:val="000000" w:themeColor="text1"/>
        </w:rPr>
        <w:t>finds it necessary to</w:t>
      </w:r>
      <w:r w:rsidR="00355020" w:rsidRPr="013477A0">
        <w:rPr>
          <w:rFonts w:eastAsia="Arial" w:cs="Arial"/>
          <w:color w:val="000000" w:themeColor="text1"/>
        </w:rPr>
        <w:t xml:space="preserve"> </w:t>
      </w:r>
      <w:r w:rsidR="00550BD3">
        <w:rPr>
          <w:rFonts w:eastAsia="Arial" w:cs="Arial"/>
          <w:color w:val="000000" w:themeColor="text1"/>
        </w:rPr>
        <w:t xml:space="preserve">amen 5 CCR section 855 to reflect </w:t>
      </w:r>
      <w:r w:rsidRPr="013477A0">
        <w:rPr>
          <w:rFonts w:eastAsia="Arial" w:cs="Arial"/>
          <w:color w:val="000000" w:themeColor="text1"/>
        </w:rPr>
        <w:t xml:space="preserve">that the CAASPP state testing window </w:t>
      </w:r>
      <w:r w:rsidR="00355020">
        <w:rPr>
          <w:rFonts w:eastAsia="Arial" w:cs="Arial"/>
          <w:color w:val="000000" w:themeColor="text1"/>
        </w:rPr>
        <w:t xml:space="preserve">will </w:t>
      </w:r>
      <w:r w:rsidRPr="013477A0">
        <w:rPr>
          <w:rFonts w:eastAsia="Arial" w:cs="Arial"/>
          <w:color w:val="000000" w:themeColor="text1"/>
        </w:rPr>
        <w:t>close no later than June 30 each year.</w:t>
      </w:r>
    </w:p>
    <w:p w14:paraId="04FB3FAB" w14:textId="77777777" w:rsidR="00965AA4" w:rsidRPr="008B6B19" w:rsidRDefault="00965AA4" w:rsidP="00CA73F2">
      <w:pPr>
        <w:pStyle w:val="Heading2"/>
      </w:pPr>
      <w:r w:rsidRPr="008B6B19">
        <w:t>BENEFITS ANTICIPATED FROM REGULATORY ACTION</w:t>
      </w:r>
    </w:p>
    <w:p w14:paraId="0D0B940D" w14:textId="77777777" w:rsidR="00965AA4" w:rsidRPr="008B6B19" w:rsidRDefault="00965AA4" w:rsidP="00B62641"/>
    <w:p w14:paraId="0E27B00A" w14:textId="5D21D0A8" w:rsidR="003A6DC0" w:rsidRPr="00DE6834" w:rsidRDefault="4B0BE5E6" w:rsidP="00DE6834">
      <w:pPr>
        <w:spacing w:after="240"/>
        <w:rPr>
          <w:rFonts w:eastAsia="Arial" w:cs="Arial"/>
          <w:color w:val="000000" w:themeColor="text1"/>
        </w:rPr>
      </w:pPr>
      <w:r w:rsidRPr="04D6733D">
        <w:rPr>
          <w:rFonts w:eastAsia="Arial" w:cs="Arial"/>
          <w:color w:val="000000" w:themeColor="text1"/>
        </w:rPr>
        <w:t xml:space="preserve">The </w:t>
      </w:r>
      <w:r w:rsidR="00355020">
        <w:rPr>
          <w:rFonts w:eastAsia="Arial" w:cs="Arial"/>
          <w:color w:val="000000" w:themeColor="text1"/>
        </w:rPr>
        <w:t xml:space="preserve">anticipated </w:t>
      </w:r>
      <w:r w:rsidRPr="04D6733D">
        <w:rPr>
          <w:rFonts w:eastAsia="Arial" w:cs="Arial"/>
          <w:color w:val="000000" w:themeColor="text1"/>
        </w:rPr>
        <w:t xml:space="preserve">benefit of enacting the proposed amendments </w:t>
      </w:r>
      <w:r w:rsidR="4E38148B" w:rsidRPr="04D6733D">
        <w:rPr>
          <w:rFonts w:eastAsia="Arial" w:cs="Arial"/>
          <w:color w:val="000000" w:themeColor="text1"/>
        </w:rPr>
        <w:t xml:space="preserve">is that the CDE and ETS will </w:t>
      </w:r>
      <w:r w:rsidR="6FD89CBE" w:rsidRPr="04D6733D">
        <w:rPr>
          <w:rFonts w:eastAsia="Arial" w:cs="Arial"/>
          <w:color w:val="000000" w:themeColor="text1"/>
        </w:rPr>
        <w:t>have sufficient time to</w:t>
      </w:r>
      <w:r w:rsidR="4E38148B" w:rsidRPr="04D6733D">
        <w:rPr>
          <w:rFonts w:eastAsia="Arial" w:cs="Arial"/>
          <w:color w:val="000000" w:themeColor="text1"/>
        </w:rPr>
        <w:t xml:space="preserve"> </w:t>
      </w:r>
      <w:proofErr w:type="gramStart"/>
      <w:r w:rsidR="085FA807" w:rsidRPr="04D6733D">
        <w:rPr>
          <w:rFonts w:eastAsia="Arial" w:cs="Arial"/>
          <w:color w:val="000000" w:themeColor="text1"/>
        </w:rPr>
        <w:t xml:space="preserve">effectively, </w:t>
      </w:r>
      <w:r w:rsidR="4E38148B" w:rsidRPr="04D6733D">
        <w:rPr>
          <w:rFonts w:eastAsia="Arial" w:cs="Arial"/>
          <w:color w:val="000000" w:themeColor="text1"/>
        </w:rPr>
        <w:t>consistently</w:t>
      </w:r>
      <w:r w:rsidR="58B14703" w:rsidRPr="04D6733D">
        <w:rPr>
          <w:rFonts w:eastAsia="Arial" w:cs="Arial"/>
          <w:color w:val="000000" w:themeColor="text1"/>
        </w:rPr>
        <w:t xml:space="preserve">, and </w:t>
      </w:r>
      <w:r w:rsidR="4E38148B" w:rsidRPr="04D6733D">
        <w:rPr>
          <w:rFonts w:eastAsia="Arial" w:cs="Arial"/>
          <w:color w:val="000000" w:themeColor="text1"/>
        </w:rPr>
        <w:t>reliably co</w:t>
      </w:r>
      <w:r w:rsidR="434C586C" w:rsidRPr="04D6733D">
        <w:rPr>
          <w:rFonts w:eastAsia="Arial" w:cs="Arial"/>
          <w:color w:val="000000" w:themeColor="text1"/>
        </w:rPr>
        <w:t xml:space="preserve">mplete </w:t>
      </w:r>
      <w:r w:rsidR="4E38148B" w:rsidRPr="04D6733D">
        <w:rPr>
          <w:rFonts w:eastAsia="Arial" w:cs="Arial"/>
          <w:color w:val="000000" w:themeColor="text1"/>
        </w:rPr>
        <w:t>all</w:t>
      </w:r>
      <w:r w:rsidR="1DDE9F28" w:rsidRPr="04D6733D">
        <w:rPr>
          <w:rFonts w:eastAsia="Arial" w:cs="Arial"/>
          <w:color w:val="000000" w:themeColor="text1"/>
        </w:rPr>
        <w:t xml:space="preserve"> post-administration</w:t>
      </w:r>
      <w:r w:rsidR="4E38148B" w:rsidRPr="04D6733D">
        <w:rPr>
          <w:rFonts w:eastAsia="Arial" w:cs="Arial"/>
          <w:color w:val="000000" w:themeColor="text1"/>
        </w:rPr>
        <w:t xml:space="preserve"> </w:t>
      </w:r>
      <w:r w:rsidR="410F8AD5" w:rsidRPr="04D6733D">
        <w:rPr>
          <w:rFonts w:eastAsia="Arial" w:cs="Arial"/>
          <w:color w:val="000000" w:themeColor="text1"/>
        </w:rPr>
        <w:t>processes</w:t>
      </w:r>
      <w:proofErr w:type="gramEnd"/>
      <w:r w:rsidR="4F202553" w:rsidRPr="04D6733D">
        <w:rPr>
          <w:rFonts w:eastAsia="Arial" w:cs="Arial"/>
          <w:color w:val="000000" w:themeColor="text1"/>
        </w:rPr>
        <w:t>—</w:t>
      </w:r>
      <w:r w:rsidR="410F8AD5" w:rsidRPr="04D6733D">
        <w:rPr>
          <w:rFonts w:eastAsia="Arial" w:cs="Arial"/>
          <w:color w:val="000000" w:themeColor="text1"/>
        </w:rPr>
        <w:t xml:space="preserve">including </w:t>
      </w:r>
      <w:r w:rsidR="60553A59" w:rsidRPr="04D6733D">
        <w:rPr>
          <w:rFonts w:eastAsia="Arial" w:cs="Arial"/>
          <w:color w:val="000000" w:themeColor="text1"/>
        </w:rPr>
        <w:t xml:space="preserve">annual </w:t>
      </w:r>
      <w:r w:rsidR="06766359" w:rsidRPr="04D6733D">
        <w:rPr>
          <w:rFonts w:eastAsia="Arial" w:cs="Arial"/>
          <w:color w:val="000000" w:themeColor="text1"/>
        </w:rPr>
        <w:t xml:space="preserve">scoring, reporting, and </w:t>
      </w:r>
      <w:r w:rsidR="4E38148B" w:rsidRPr="04D6733D">
        <w:rPr>
          <w:rFonts w:eastAsia="Arial" w:cs="Arial"/>
          <w:color w:val="000000" w:themeColor="text1"/>
        </w:rPr>
        <w:t>quality control processes</w:t>
      </w:r>
      <w:r w:rsidR="7008F88D" w:rsidRPr="04D6733D">
        <w:rPr>
          <w:rFonts w:eastAsia="Arial" w:cs="Arial"/>
          <w:color w:val="000000" w:themeColor="text1"/>
        </w:rPr>
        <w:t>—</w:t>
      </w:r>
      <w:r w:rsidR="6C2F6C55" w:rsidRPr="04D6733D">
        <w:rPr>
          <w:rFonts w:eastAsia="Arial" w:cs="Arial"/>
          <w:color w:val="000000" w:themeColor="text1"/>
        </w:rPr>
        <w:t xml:space="preserve">prior to the </w:t>
      </w:r>
      <w:r w:rsidR="77602251" w:rsidRPr="04D6733D">
        <w:rPr>
          <w:rFonts w:eastAsia="Arial" w:cs="Arial"/>
          <w:color w:val="000000" w:themeColor="text1"/>
        </w:rPr>
        <w:t>p</w:t>
      </w:r>
      <w:r w:rsidR="006AD293" w:rsidRPr="04D6733D">
        <w:rPr>
          <w:rFonts w:eastAsia="Arial" w:cs="Arial"/>
          <w:color w:val="000000" w:themeColor="text1"/>
        </w:rPr>
        <w:t xml:space="preserve">ublic </w:t>
      </w:r>
      <w:r w:rsidR="6C2F6C55" w:rsidRPr="04D6733D">
        <w:rPr>
          <w:rFonts w:eastAsia="Arial" w:cs="Arial"/>
          <w:color w:val="000000" w:themeColor="text1"/>
        </w:rPr>
        <w:t>release of</w:t>
      </w:r>
      <w:r w:rsidR="4E38148B" w:rsidRPr="04D6733D">
        <w:rPr>
          <w:rFonts w:eastAsia="Arial" w:cs="Arial"/>
          <w:color w:val="000000" w:themeColor="text1"/>
        </w:rPr>
        <w:t xml:space="preserve"> </w:t>
      </w:r>
      <w:r w:rsidR="55B60454" w:rsidRPr="04D6733D">
        <w:rPr>
          <w:rFonts w:eastAsia="Arial" w:cs="Arial"/>
          <w:color w:val="000000" w:themeColor="text1"/>
        </w:rPr>
        <w:t>aggregate</w:t>
      </w:r>
      <w:r w:rsidR="699DA01E" w:rsidRPr="04D6733D">
        <w:rPr>
          <w:rFonts w:eastAsia="Arial" w:cs="Arial"/>
          <w:color w:val="000000" w:themeColor="text1"/>
        </w:rPr>
        <w:t xml:space="preserve"> </w:t>
      </w:r>
      <w:r w:rsidR="4E38148B" w:rsidRPr="04D6733D">
        <w:rPr>
          <w:rFonts w:eastAsia="Arial" w:cs="Arial"/>
          <w:color w:val="000000" w:themeColor="text1"/>
        </w:rPr>
        <w:t>CAASPP results</w:t>
      </w:r>
      <w:r w:rsidRPr="04D6733D">
        <w:rPr>
          <w:rFonts w:eastAsia="Arial" w:cs="Arial"/>
          <w:color w:val="000000" w:themeColor="text1"/>
        </w:rPr>
        <w:t xml:space="preserve"> </w:t>
      </w:r>
      <w:r w:rsidR="3609D357" w:rsidRPr="04D6733D">
        <w:rPr>
          <w:rFonts w:eastAsia="Arial" w:cs="Arial"/>
          <w:color w:val="000000" w:themeColor="text1"/>
        </w:rPr>
        <w:t xml:space="preserve">on or before October 15, as </w:t>
      </w:r>
      <w:r w:rsidR="00355020">
        <w:rPr>
          <w:rFonts w:eastAsia="Arial" w:cs="Arial"/>
          <w:color w:val="000000" w:themeColor="text1"/>
        </w:rPr>
        <w:t xml:space="preserve">now </w:t>
      </w:r>
      <w:r w:rsidR="3609D357" w:rsidRPr="04D6733D">
        <w:rPr>
          <w:rFonts w:eastAsia="Arial" w:cs="Arial"/>
          <w:color w:val="000000" w:themeColor="text1"/>
        </w:rPr>
        <w:t xml:space="preserve">required by </w:t>
      </w:r>
      <w:r w:rsidR="0050414A">
        <w:rPr>
          <w:rFonts w:eastAsia="Arial" w:cs="Arial"/>
          <w:color w:val="000000" w:themeColor="text1"/>
        </w:rPr>
        <w:t>EC</w:t>
      </w:r>
      <w:r w:rsidR="4F8EEDFD" w:rsidRPr="04D6733D">
        <w:rPr>
          <w:rFonts w:eastAsia="Arial" w:cs="Arial"/>
          <w:color w:val="000000" w:themeColor="text1"/>
        </w:rPr>
        <w:t xml:space="preserve"> section 60641</w:t>
      </w:r>
      <w:r w:rsidR="3609D357" w:rsidRPr="04D6733D">
        <w:rPr>
          <w:rFonts w:eastAsia="Arial" w:cs="Arial"/>
          <w:color w:val="000000" w:themeColor="text1"/>
        </w:rPr>
        <w:t xml:space="preserve">. </w:t>
      </w:r>
      <w:r w:rsidRPr="04D6733D">
        <w:rPr>
          <w:rFonts w:eastAsia="Arial" w:cs="Arial"/>
          <w:color w:val="000000" w:themeColor="text1"/>
        </w:rPr>
        <w:t xml:space="preserve">Additionally, the proposed amendments support increased local control, and strengthen </w:t>
      </w:r>
      <w:r w:rsidR="0401940B" w:rsidRPr="04D6733D">
        <w:rPr>
          <w:rFonts w:eastAsia="Arial" w:cs="Arial"/>
          <w:color w:val="000000" w:themeColor="text1"/>
        </w:rPr>
        <w:t>an LEA’s ability to access</w:t>
      </w:r>
      <w:r w:rsidRPr="04D6733D">
        <w:rPr>
          <w:rFonts w:eastAsia="Arial" w:cs="Arial"/>
          <w:color w:val="000000" w:themeColor="text1"/>
        </w:rPr>
        <w:t xml:space="preserve"> achievement </w:t>
      </w:r>
      <w:r w:rsidR="70961834" w:rsidRPr="04D6733D">
        <w:rPr>
          <w:rFonts w:eastAsia="Arial" w:cs="Arial"/>
          <w:color w:val="000000" w:themeColor="text1"/>
        </w:rPr>
        <w:t>results in a timely manner</w:t>
      </w:r>
      <w:r w:rsidR="42A6793C" w:rsidRPr="04D6733D">
        <w:rPr>
          <w:rFonts w:eastAsia="Arial" w:cs="Arial"/>
          <w:color w:val="000000" w:themeColor="text1"/>
        </w:rPr>
        <w:t xml:space="preserve"> so that </w:t>
      </w:r>
      <w:r w:rsidR="3C93E003" w:rsidRPr="04D6733D">
        <w:rPr>
          <w:rFonts w:eastAsia="Arial" w:cs="Arial"/>
          <w:color w:val="000000" w:themeColor="text1"/>
        </w:rPr>
        <w:t>achievement data</w:t>
      </w:r>
      <w:r w:rsidR="42A6793C" w:rsidRPr="04D6733D">
        <w:rPr>
          <w:rFonts w:eastAsia="Arial" w:cs="Arial"/>
          <w:color w:val="000000" w:themeColor="text1"/>
        </w:rPr>
        <w:t xml:space="preserve"> can be used for the purposes for guiding instruction, gauging students’ readiness for career and college, and for meeting state and federal accountability requirements</w:t>
      </w:r>
      <w:r w:rsidRPr="04D6733D">
        <w:rPr>
          <w:rFonts w:eastAsia="Arial" w:cs="Arial"/>
          <w:color w:val="000000" w:themeColor="text1"/>
        </w:rPr>
        <w:t>.</w:t>
      </w:r>
    </w:p>
    <w:p w14:paraId="3D46B1C2" w14:textId="77777777" w:rsidR="00622CBC" w:rsidRPr="008B6B19" w:rsidRDefault="00622CBC" w:rsidP="00CA73F2">
      <w:pPr>
        <w:pStyle w:val="Heading2"/>
      </w:pPr>
      <w:r w:rsidRPr="008B6B19">
        <w:t>SPECIFIC PURPOSE OF EACH SECTION – GOV</w:t>
      </w:r>
      <w:r w:rsidR="00473C9F" w:rsidRPr="008B6B19">
        <w:t xml:space="preserve">. </w:t>
      </w:r>
      <w:r w:rsidRPr="008B6B19">
        <w:t>CODE SECTION 11346.2(b)(1)</w:t>
      </w:r>
    </w:p>
    <w:p w14:paraId="60061E4C" w14:textId="77777777" w:rsidR="00622CBC" w:rsidRPr="008B6B19" w:rsidRDefault="00622CBC" w:rsidP="00B62641">
      <w:pPr>
        <w:rPr>
          <w:b/>
        </w:rPr>
      </w:pPr>
    </w:p>
    <w:p w14:paraId="674801D7" w14:textId="77777777" w:rsidR="00622CBC" w:rsidRPr="008B6B19" w:rsidRDefault="00622CBC" w:rsidP="00B62641">
      <w:r w:rsidRPr="008B6B19">
        <w:t>The specific purpose of each adoption or amendment, and the rationale for the determination that each adoption or amendment is reasonabl</w:t>
      </w:r>
      <w:r w:rsidR="00587B8B" w:rsidRPr="008B6B19">
        <w:t>y</w:t>
      </w:r>
      <w:r w:rsidRPr="008B6B19">
        <w:t xml:space="preserve"> necessary to carry out the purpose of which it is proposed, together with a description of the public problem, administrative requirement, or other condition or circumstance that each adoption or amendment is intended to address, is as follows:</w:t>
      </w:r>
    </w:p>
    <w:p w14:paraId="44EAFD9C" w14:textId="77777777" w:rsidR="00845F82" w:rsidRPr="008B6B19" w:rsidRDefault="00845F82" w:rsidP="00B62641">
      <w:pPr>
        <w:rPr>
          <w:rFonts w:cs="Arial"/>
        </w:rPr>
      </w:pPr>
    </w:p>
    <w:p w14:paraId="6017113A" w14:textId="77777777" w:rsidR="00845F82" w:rsidRDefault="00845F82" w:rsidP="00B62641">
      <w:pPr>
        <w:rPr>
          <w:rFonts w:cs="Arial"/>
        </w:rPr>
      </w:pPr>
      <w:r w:rsidRPr="008B6B19">
        <w:rPr>
          <w:rFonts w:cs="Arial"/>
        </w:rPr>
        <w:t xml:space="preserve">General changes were made to the </w:t>
      </w:r>
      <w:r w:rsidR="00B1243A">
        <w:rPr>
          <w:rFonts w:cs="Arial"/>
        </w:rPr>
        <w:t xml:space="preserve">proposed </w:t>
      </w:r>
      <w:r w:rsidRPr="008B6B19">
        <w:rPr>
          <w:rFonts w:cs="Arial"/>
        </w:rPr>
        <w:t xml:space="preserve">regulations to include grammatical edits, and renumbering and/or </w:t>
      </w:r>
      <w:proofErr w:type="spellStart"/>
      <w:r w:rsidRPr="008B6B19">
        <w:rPr>
          <w:rFonts w:cs="Arial"/>
        </w:rPr>
        <w:t>relettering</w:t>
      </w:r>
      <w:proofErr w:type="spellEnd"/>
      <w:r w:rsidRPr="008B6B19">
        <w:rPr>
          <w:rFonts w:cs="Arial"/>
        </w:rPr>
        <w:t xml:space="preserve"> to reflect deletions or additions.</w:t>
      </w:r>
    </w:p>
    <w:p w14:paraId="3DEEC669" w14:textId="77777777" w:rsidR="003A6DC0" w:rsidRPr="008B6B19" w:rsidRDefault="003A6DC0" w:rsidP="00B62641"/>
    <w:p w14:paraId="12D3C0FA" w14:textId="210EFF27" w:rsidR="00E05DE6" w:rsidRDefault="00E05DE6" w:rsidP="64412890">
      <w:pPr>
        <w:rPr>
          <w:b/>
          <w:bCs/>
        </w:rPr>
      </w:pPr>
      <w:r w:rsidRPr="64412890">
        <w:rPr>
          <w:b/>
          <w:bCs/>
        </w:rPr>
        <w:t xml:space="preserve">SECTION </w:t>
      </w:r>
      <w:r w:rsidR="609DD106" w:rsidRPr="64412890">
        <w:rPr>
          <w:b/>
          <w:bCs/>
        </w:rPr>
        <w:t>855</w:t>
      </w:r>
    </w:p>
    <w:p w14:paraId="57BD1F21" w14:textId="0D739186" w:rsidR="64412890" w:rsidRDefault="64412890" w:rsidP="64412890"/>
    <w:p w14:paraId="4245FA25" w14:textId="08DAB0D2" w:rsidR="1C084E79" w:rsidRDefault="1C084E79">
      <w:r w:rsidRPr="5C115D6C">
        <w:rPr>
          <w:b/>
          <w:bCs/>
        </w:rPr>
        <w:t>S</w:t>
      </w:r>
      <w:r w:rsidR="3D247D0A" w:rsidRPr="5C115D6C">
        <w:rPr>
          <w:b/>
          <w:bCs/>
        </w:rPr>
        <w:t xml:space="preserve">ection 855(a) </w:t>
      </w:r>
      <w:r w:rsidR="3D247D0A">
        <w:t>is amended to remove “2015</w:t>
      </w:r>
      <w:r w:rsidR="7CAA8925">
        <w:t>–</w:t>
      </w:r>
      <w:r w:rsidR="3D247D0A">
        <w:t>16” and to add “2023</w:t>
      </w:r>
      <w:r w:rsidR="32E6B5C2">
        <w:t>–</w:t>
      </w:r>
      <w:r w:rsidR="00D905E1">
        <w:t>20</w:t>
      </w:r>
      <w:r w:rsidR="3D247D0A">
        <w:t xml:space="preserve">24.” This is necessary because the </w:t>
      </w:r>
      <w:r w:rsidR="1F42B638">
        <w:t>testing windows described in the sections to follow will go into effect beginning i</w:t>
      </w:r>
      <w:r w:rsidR="3CB5DBE0">
        <w:t>n the 2023–</w:t>
      </w:r>
      <w:r w:rsidR="00D905E1">
        <w:t>20</w:t>
      </w:r>
      <w:r w:rsidR="3CB5DBE0">
        <w:t xml:space="preserve">24 administration. </w:t>
      </w:r>
    </w:p>
    <w:p w14:paraId="5FE56AB8" w14:textId="38076CF7" w:rsidR="64412890" w:rsidRDefault="64412890" w:rsidP="64412890"/>
    <w:p w14:paraId="597DE9F6" w14:textId="73F6534A" w:rsidR="498308A8" w:rsidRDefault="498308A8">
      <w:r w:rsidRPr="64412890">
        <w:rPr>
          <w:b/>
          <w:bCs/>
        </w:rPr>
        <w:t xml:space="preserve">Section 855(a)(1) </w:t>
      </w:r>
      <w:r>
        <w:t>is amended to remove “July 15” and to add “June 30.” This is necessary because the testing window described in this section is proposed to end no lat</w:t>
      </w:r>
      <w:r w:rsidR="01C15776">
        <w:t>er than June 30</w:t>
      </w:r>
      <w:r w:rsidR="00355020">
        <w:t>.</w:t>
      </w:r>
      <w:r w:rsidR="00355020" w:rsidRPr="00355020">
        <w:t xml:space="preserve"> This will allow CDE and ETS the necessary time to </w:t>
      </w:r>
      <w:proofErr w:type="gramStart"/>
      <w:r w:rsidR="00355020" w:rsidRPr="00355020">
        <w:t>effectively, consistently, and reliabl</w:t>
      </w:r>
      <w:r w:rsidR="00355020">
        <w:t>y</w:t>
      </w:r>
      <w:r w:rsidR="00355020" w:rsidRPr="00355020">
        <w:t xml:space="preserve"> complete all post-administration processes</w:t>
      </w:r>
      <w:proofErr w:type="gramEnd"/>
      <w:r w:rsidR="00355020" w:rsidRPr="00355020">
        <w:t xml:space="preserve"> prior to the public release of the statewide summative CAASPP results on or before October 15 each year as now required by </w:t>
      </w:r>
      <w:r w:rsidR="0050414A">
        <w:rPr>
          <w:rFonts w:eastAsia="Arial" w:cs="Arial"/>
          <w:color w:val="000000" w:themeColor="text1"/>
        </w:rPr>
        <w:t>EC</w:t>
      </w:r>
      <w:r w:rsidR="0050414A" w:rsidRPr="013477A0">
        <w:rPr>
          <w:rFonts w:eastAsia="Arial" w:cs="Arial"/>
          <w:color w:val="000000" w:themeColor="text1"/>
        </w:rPr>
        <w:t xml:space="preserve"> section 60641</w:t>
      </w:r>
      <w:r>
        <w:t>.</w:t>
      </w:r>
    </w:p>
    <w:p w14:paraId="234DFA79" w14:textId="2E08814F" w:rsidR="64412890" w:rsidRDefault="64412890" w:rsidP="64412890"/>
    <w:p w14:paraId="2448CD96" w14:textId="211A8E12" w:rsidR="37C6726A" w:rsidRDefault="37C6726A" w:rsidP="64412890">
      <w:r w:rsidRPr="5C115D6C">
        <w:rPr>
          <w:b/>
          <w:bCs/>
        </w:rPr>
        <w:lastRenderedPageBreak/>
        <w:t xml:space="preserve">Section 855(a)(1) </w:t>
      </w:r>
      <w:r>
        <w:t>is amended to remove “</w:t>
      </w:r>
      <w:r w:rsidRPr="5C115D6C">
        <w:rPr>
          <w:rFonts w:eastAsia="Arial" w:cs="Arial"/>
          <w:color w:val="000000" w:themeColor="text1"/>
        </w:rPr>
        <w:t xml:space="preserve">or the </w:t>
      </w:r>
      <w:r w:rsidR="00FD16E0">
        <w:rPr>
          <w:rFonts w:eastAsia="Arial" w:cs="Arial"/>
          <w:color w:val="000000" w:themeColor="text1"/>
        </w:rPr>
        <w:t xml:space="preserve">next </w:t>
      </w:r>
      <w:r w:rsidRPr="5C115D6C">
        <w:rPr>
          <w:rFonts w:eastAsia="Arial" w:cs="Arial"/>
          <w:color w:val="000000" w:themeColor="text1"/>
        </w:rPr>
        <w:t xml:space="preserve">weekday </w:t>
      </w:r>
      <w:r w:rsidR="00FD16E0">
        <w:rPr>
          <w:rFonts w:eastAsia="Arial" w:cs="Arial"/>
          <w:color w:val="000000" w:themeColor="text1"/>
        </w:rPr>
        <w:t>follow</w:t>
      </w:r>
      <w:r w:rsidR="00FD16E0" w:rsidRPr="5C115D6C">
        <w:rPr>
          <w:rFonts w:eastAsia="Arial" w:cs="Arial"/>
          <w:color w:val="000000" w:themeColor="text1"/>
        </w:rPr>
        <w:t xml:space="preserve">ing </w:t>
      </w:r>
      <w:r w:rsidRPr="5C115D6C">
        <w:rPr>
          <w:rFonts w:eastAsia="Arial" w:cs="Arial"/>
          <w:color w:val="000000" w:themeColor="text1"/>
        </w:rPr>
        <w:t xml:space="preserve">the </w:t>
      </w:r>
      <w:r w:rsidR="00DE6834">
        <w:rPr>
          <w:rFonts w:eastAsia="Arial" w:cs="Arial"/>
          <w:color w:val="000000" w:themeColor="text1"/>
        </w:rPr>
        <w:t>15</w:t>
      </w:r>
      <w:r w:rsidRPr="5C115D6C">
        <w:rPr>
          <w:rFonts w:eastAsia="Arial" w:cs="Arial"/>
          <w:color w:val="000000" w:themeColor="text1"/>
        </w:rPr>
        <w:t>th</w:t>
      </w:r>
      <w:r>
        <w:t>” and to add “</w:t>
      </w:r>
      <w:r w:rsidRPr="5C115D6C">
        <w:rPr>
          <w:rFonts w:eastAsia="Arial" w:cs="Arial"/>
          <w:color w:val="000000" w:themeColor="text1"/>
        </w:rPr>
        <w:t xml:space="preserve">or the weekday </w:t>
      </w:r>
      <w:r w:rsidR="00FD16E0">
        <w:rPr>
          <w:rFonts w:eastAsia="Arial" w:cs="Arial"/>
          <w:color w:val="000000" w:themeColor="text1"/>
        </w:rPr>
        <w:t>preced</w:t>
      </w:r>
      <w:r w:rsidR="00FD16E0" w:rsidRPr="5C115D6C">
        <w:rPr>
          <w:rFonts w:eastAsia="Arial" w:cs="Arial"/>
          <w:color w:val="000000" w:themeColor="text1"/>
        </w:rPr>
        <w:t xml:space="preserve">ing </w:t>
      </w:r>
      <w:r w:rsidRPr="5C115D6C">
        <w:rPr>
          <w:rFonts w:eastAsia="Arial" w:cs="Arial"/>
          <w:color w:val="000000" w:themeColor="text1"/>
        </w:rPr>
        <w:t xml:space="preserve">the </w:t>
      </w:r>
      <w:r w:rsidR="00DE6834">
        <w:rPr>
          <w:rFonts w:eastAsia="Arial" w:cs="Arial"/>
          <w:color w:val="000000" w:themeColor="text1"/>
        </w:rPr>
        <w:t>30</w:t>
      </w:r>
      <w:r w:rsidRPr="5C115D6C">
        <w:rPr>
          <w:rFonts w:eastAsia="Arial" w:cs="Arial"/>
          <w:color w:val="000000" w:themeColor="text1"/>
        </w:rPr>
        <w:t>th</w:t>
      </w:r>
      <w:r>
        <w:t xml:space="preserve">.” This is necessary because the testing window described in this section is proposed to end no later than </w:t>
      </w:r>
      <w:r w:rsidRPr="5C115D6C">
        <w:rPr>
          <w:rFonts w:eastAsia="Arial" w:cs="Arial"/>
          <w:color w:val="000000" w:themeColor="text1"/>
        </w:rPr>
        <w:t xml:space="preserve">the weekday preceding </w:t>
      </w:r>
      <w:r w:rsidR="00FD16E0" w:rsidRPr="5C115D6C">
        <w:rPr>
          <w:rFonts w:eastAsia="Arial" w:cs="Arial"/>
          <w:color w:val="000000" w:themeColor="text1"/>
        </w:rPr>
        <w:t>June 30 if</w:t>
      </w:r>
      <w:r>
        <w:t xml:space="preserve"> June 30 is not a weekday.</w:t>
      </w:r>
    </w:p>
    <w:p w14:paraId="7DF24F8B" w14:textId="4EA19643" w:rsidR="64412890" w:rsidRDefault="64412890" w:rsidP="64412890">
      <w:pPr>
        <w:rPr>
          <w:b/>
          <w:bCs/>
        </w:rPr>
      </w:pPr>
    </w:p>
    <w:p w14:paraId="68F80573" w14:textId="7C6FFBCD" w:rsidR="0050414A" w:rsidRDefault="46CCD30B" w:rsidP="0050414A">
      <w:r w:rsidRPr="64412890">
        <w:rPr>
          <w:b/>
          <w:bCs/>
        </w:rPr>
        <w:t xml:space="preserve">Section 855(a)(2) </w:t>
      </w:r>
      <w:r>
        <w:t>is amended to remove “July 15” and to add “June 30.” This is necessary because the testing window described in this section is proposed to end no later than June 30</w:t>
      </w:r>
      <w:r w:rsidR="00355020">
        <w:t xml:space="preserve">. </w:t>
      </w:r>
      <w:r w:rsidR="00355020" w:rsidRPr="00355020">
        <w:t xml:space="preserve">This will allow CDE and ETS the necessary time to </w:t>
      </w:r>
      <w:proofErr w:type="gramStart"/>
      <w:r w:rsidR="00355020" w:rsidRPr="00355020">
        <w:t>effectively, consistently, and reliabl</w:t>
      </w:r>
      <w:r w:rsidR="00355020">
        <w:t>y</w:t>
      </w:r>
      <w:r w:rsidR="00355020" w:rsidRPr="00355020">
        <w:t xml:space="preserve"> complete all post-administration processes</w:t>
      </w:r>
      <w:proofErr w:type="gramEnd"/>
      <w:r w:rsidR="00355020" w:rsidRPr="00355020">
        <w:t xml:space="preserve"> prior to the public release of the statewide summative CAASPP results on or before October 15 each year as now required by </w:t>
      </w:r>
      <w:r w:rsidR="0050414A">
        <w:rPr>
          <w:rFonts w:eastAsia="Arial" w:cs="Arial"/>
          <w:color w:val="000000" w:themeColor="text1"/>
        </w:rPr>
        <w:t>EC</w:t>
      </w:r>
      <w:r w:rsidR="0050414A" w:rsidRPr="013477A0">
        <w:rPr>
          <w:rFonts w:eastAsia="Arial" w:cs="Arial"/>
          <w:color w:val="000000" w:themeColor="text1"/>
        </w:rPr>
        <w:t xml:space="preserve"> section 60641</w:t>
      </w:r>
      <w:r w:rsidR="0050414A">
        <w:t>.</w:t>
      </w:r>
    </w:p>
    <w:p w14:paraId="01F7AA41" w14:textId="498D8E4C" w:rsidR="64412890" w:rsidRDefault="64412890" w:rsidP="64412890"/>
    <w:p w14:paraId="0AF96B98" w14:textId="5D1F13FA" w:rsidR="46CCD30B" w:rsidRDefault="46CCD30B" w:rsidP="64412890">
      <w:r w:rsidRPr="197FB649">
        <w:rPr>
          <w:b/>
          <w:bCs/>
        </w:rPr>
        <w:t xml:space="preserve">Section 855(a)(2) </w:t>
      </w:r>
      <w:r>
        <w:t>is amended to remove “</w:t>
      </w:r>
      <w:r w:rsidRPr="197FB649">
        <w:rPr>
          <w:rFonts w:eastAsia="Arial" w:cs="Arial"/>
          <w:color w:val="000000" w:themeColor="text1"/>
        </w:rPr>
        <w:t xml:space="preserve">or the </w:t>
      </w:r>
      <w:r w:rsidR="00FD16E0">
        <w:rPr>
          <w:rFonts w:eastAsia="Arial" w:cs="Arial"/>
          <w:color w:val="000000" w:themeColor="text1"/>
        </w:rPr>
        <w:t xml:space="preserve">next </w:t>
      </w:r>
      <w:r w:rsidRPr="197FB649">
        <w:rPr>
          <w:rFonts w:eastAsia="Arial" w:cs="Arial"/>
          <w:color w:val="000000" w:themeColor="text1"/>
        </w:rPr>
        <w:t xml:space="preserve">weekday </w:t>
      </w:r>
      <w:r w:rsidR="00FD16E0">
        <w:rPr>
          <w:rFonts w:eastAsia="Arial" w:cs="Arial"/>
          <w:color w:val="000000" w:themeColor="text1"/>
        </w:rPr>
        <w:t>follow</w:t>
      </w:r>
      <w:r w:rsidR="00FD16E0" w:rsidRPr="197FB649">
        <w:rPr>
          <w:rFonts w:eastAsia="Arial" w:cs="Arial"/>
          <w:color w:val="000000" w:themeColor="text1"/>
        </w:rPr>
        <w:t xml:space="preserve">ing </w:t>
      </w:r>
      <w:r w:rsidRPr="197FB649">
        <w:rPr>
          <w:rFonts w:eastAsia="Arial" w:cs="Arial"/>
          <w:color w:val="000000" w:themeColor="text1"/>
        </w:rPr>
        <w:t xml:space="preserve">the </w:t>
      </w:r>
      <w:r w:rsidR="38B356CA" w:rsidRPr="197FB649">
        <w:rPr>
          <w:rFonts w:eastAsia="Arial" w:cs="Arial"/>
          <w:color w:val="000000" w:themeColor="text1"/>
        </w:rPr>
        <w:t>15</w:t>
      </w:r>
      <w:r w:rsidRPr="197FB649">
        <w:rPr>
          <w:rFonts w:eastAsia="Arial" w:cs="Arial"/>
          <w:color w:val="000000" w:themeColor="text1"/>
        </w:rPr>
        <w:t>th</w:t>
      </w:r>
      <w:r>
        <w:t>” and to add “</w:t>
      </w:r>
      <w:r w:rsidRPr="197FB649">
        <w:rPr>
          <w:rFonts w:eastAsia="Arial" w:cs="Arial"/>
          <w:color w:val="000000" w:themeColor="text1"/>
        </w:rPr>
        <w:t xml:space="preserve">or the weekday </w:t>
      </w:r>
      <w:r w:rsidR="00FD16E0">
        <w:rPr>
          <w:rFonts w:eastAsia="Arial" w:cs="Arial"/>
          <w:color w:val="000000" w:themeColor="text1"/>
        </w:rPr>
        <w:t>preced</w:t>
      </w:r>
      <w:r w:rsidR="00FD16E0" w:rsidRPr="197FB649">
        <w:rPr>
          <w:rFonts w:eastAsia="Arial" w:cs="Arial"/>
          <w:color w:val="000000" w:themeColor="text1"/>
        </w:rPr>
        <w:t xml:space="preserve">ing </w:t>
      </w:r>
      <w:r w:rsidRPr="197FB649">
        <w:rPr>
          <w:rFonts w:eastAsia="Arial" w:cs="Arial"/>
          <w:color w:val="000000" w:themeColor="text1"/>
        </w:rPr>
        <w:t xml:space="preserve">the </w:t>
      </w:r>
      <w:r w:rsidR="155166B2" w:rsidRPr="197FB649">
        <w:rPr>
          <w:rFonts w:eastAsia="Arial" w:cs="Arial"/>
          <w:color w:val="000000" w:themeColor="text1"/>
        </w:rPr>
        <w:t>30</w:t>
      </w:r>
      <w:r w:rsidRPr="197FB649">
        <w:rPr>
          <w:rFonts w:eastAsia="Arial" w:cs="Arial"/>
          <w:color w:val="000000" w:themeColor="text1"/>
        </w:rPr>
        <w:t>th</w:t>
      </w:r>
      <w:r>
        <w:t xml:space="preserve">.” This is necessary because the testing window described in this section is proposed to end no later than </w:t>
      </w:r>
      <w:r w:rsidRPr="197FB649">
        <w:rPr>
          <w:rFonts w:eastAsia="Arial" w:cs="Arial"/>
          <w:color w:val="000000" w:themeColor="text1"/>
        </w:rPr>
        <w:t xml:space="preserve">the weekday preceding </w:t>
      </w:r>
      <w:r w:rsidR="00FD16E0" w:rsidRPr="197FB649">
        <w:rPr>
          <w:rFonts w:eastAsia="Arial" w:cs="Arial"/>
          <w:color w:val="000000" w:themeColor="text1"/>
        </w:rPr>
        <w:t>June 30 if</w:t>
      </w:r>
      <w:r>
        <w:t xml:space="preserve"> June 30 is not a weekday.</w:t>
      </w:r>
    </w:p>
    <w:p w14:paraId="379790DE" w14:textId="226C1364" w:rsidR="64412890" w:rsidRDefault="64412890" w:rsidP="64412890"/>
    <w:p w14:paraId="45FB0818" w14:textId="77777777" w:rsidR="00496D36" w:rsidRPr="008B6B19" w:rsidRDefault="00496D36" w:rsidP="00276011">
      <w:pPr>
        <w:rPr>
          <w:b/>
        </w:rPr>
      </w:pPr>
    </w:p>
    <w:p w14:paraId="59790960" w14:textId="77777777" w:rsidR="009960B9" w:rsidRDefault="009960B9" w:rsidP="00CA73F2">
      <w:pPr>
        <w:pStyle w:val="Heading2"/>
      </w:pPr>
      <w:r w:rsidRPr="00CA73F2">
        <w:rPr>
          <w:rFonts w:ascii="Arial Bold" w:hAnsi="Arial Bold"/>
          <w:caps/>
        </w:rPr>
        <w:t>Economic Impact</w:t>
      </w:r>
      <w:r w:rsidRPr="008B6B19">
        <w:t xml:space="preserve"> </w:t>
      </w:r>
      <w:r w:rsidR="00D0483C" w:rsidRPr="008B6B19">
        <w:t>ASSESSMENT</w:t>
      </w:r>
      <w:r w:rsidRPr="008B6B19">
        <w:t xml:space="preserve"> PER GOV</w:t>
      </w:r>
      <w:r w:rsidR="00972709" w:rsidRPr="008B6B19">
        <w:t xml:space="preserve">. </w:t>
      </w:r>
      <w:r w:rsidRPr="008B6B19">
        <w:t>CODE SECTION 11346.3(b)</w:t>
      </w:r>
    </w:p>
    <w:p w14:paraId="53128261" w14:textId="77777777" w:rsidR="009960B9" w:rsidRPr="008B6B19" w:rsidRDefault="009960B9" w:rsidP="009960B9">
      <w:pPr>
        <w:rPr>
          <w:rFonts w:cs="Arial"/>
        </w:rPr>
      </w:pPr>
    </w:p>
    <w:p w14:paraId="4FB3E2D4" w14:textId="77777777" w:rsidR="00E42546" w:rsidRPr="0076197A" w:rsidRDefault="00E42546" w:rsidP="00CA73F2">
      <w:pPr>
        <w:pStyle w:val="Heading3"/>
        <w:rPr>
          <w:b w:val="0"/>
          <w:i w:val="0"/>
          <w:iCs/>
        </w:rPr>
      </w:pPr>
      <w:r w:rsidRPr="0076197A">
        <w:rPr>
          <w:i w:val="0"/>
          <w:iCs/>
        </w:rPr>
        <w:t>Purpose:</w:t>
      </w:r>
    </w:p>
    <w:p w14:paraId="62486C05" w14:textId="77777777" w:rsidR="00E42546" w:rsidRPr="00FE246F" w:rsidRDefault="00E42546" w:rsidP="009960B9">
      <w:pPr>
        <w:rPr>
          <w:rFonts w:cs="Arial"/>
          <w:i/>
        </w:rPr>
      </w:pPr>
    </w:p>
    <w:p w14:paraId="4101652C" w14:textId="5C7553DA" w:rsidR="000844A7" w:rsidRPr="00FE246F" w:rsidRDefault="00A9B7D3" w:rsidP="64412890">
      <w:pPr>
        <w:widowControl w:val="0"/>
        <w:spacing w:after="240"/>
        <w:rPr>
          <w:rFonts w:eastAsia="Arial" w:cs="Arial"/>
          <w:color w:val="000000" w:themeColor="text1"/>
        </w:rPr>
      </w:pPr>
      <w:r w:rsidRPr="64412890">
        <w:rPr>
          <w:rFonts w:eastAsia="Arial" w:cs="Arial"/>
          <w:color w:val="000000" w:themeColor="text1"/>
        </w:rPr>
        <w:t xml:space="preserve">The proposed regulations are necessary for state implementation of </w:t>
      </w:r>
      <w:r w:rsidR="0050414A">
        <w:rPr>
          <w:rFonts w:eastAsia="Arial" w:cs="Arial"/>
          <w:color w:val="000000" w:themeColor="text1"/>
        </w:rPr>
        <w:t>EC</w:t>
      </w:r>
      <w:r w:rsidRPr="64412890">
        <w:rPr>
          <w:rFonts w:eastAsia="Arial" w:cs="Arial"/>
          <w:color w:val="000000" w:themeColor="text1"/>
        </w:rPr>
        <w:t xml:space="preserve"> section 60641 and for the consistent and timely reporting of CAASPP results to the public.</w:t>
      </w:r>
    </w:p>
    <w:p w14:paraId="53A3DF82" w14:textId="77777777" w:rsidR="00E42546" w:rsidRPr="0076197A" w:rsidRDefault="00276011" w:rsidP="00CA73F2">
      <w:pPr>
        <w:pStyle w:val="Heading3"/>
        <w:rPr>
          <w:i w:val="0"/>
          <w:iCs/>
        </w:rPr>
      </w:pPr>
      <w:r w:rsidRPr="0076197A">
        <w:rPr>
          <w:i w:val="0"/>
          <w:iCs/>
        </w:rPr>
        <w:t>C</w:t>
      </w:r>
      <w:r w:rsidR="00B1243A" w:rsidRPr="0076197A">
        <w:rPr>
          <w:i w:val="0"/>
          <w:iCs/>
        </w:rPr>
        <w:t>reation or Elimination of Jobs w</w:t>
      </w:r>
      <w:r w:rsidR="00E42546" w:rsidRPr="0076197A">
        <w:rPr>
          <w:i w:val="0"/>
          <w:iCs/>
        </w:rPr>
        <w:t>ithin the State of California:</w:t>
      </w:r>
    </w:p>
    <w:p w14:paraId="4B99056E" w14:textId="77777777" w:rsidR="00E42546" w:rsidRPr="00FE246F" w:rsidRDefault="00E42546" w:rsidP="002D1CB1">
      <w:pPr>
        <w:rPr>
          <w:rFonts w:cs="Arial"/>
        </w:rPr>
      </w:pPr>
    </w:p>
    <w:p w14:paraId="23126F4A" w14:textId="3C056783" w:rsidR="00E42546" w:rsidRDefault="00E42546" w:rsidP="4BF26462">
      <w:pPr>
        <w:rPr>
          <w:rFonts w:eastAsia="Arial" w:cs="Arial"/>
          <w:color w:val="000000" w:themeColor="text1"/>
        </w:rPr>
      </w:pPr>
      <w:r w:rsidRPr="04D6733D">
        <w:rPr>
          <w:rFonts w:cs="Arial"/>
        </w:rPr>
        <w:t xml:space="preserve">The </w:t>
      </w:r>
      <w:r w:rsidR="00B1243A" w:rsidRPr="04D6733D">
        <w:rPr>
          <w:rFonts w:cs="Arial"/>
        </w:rPr>
        <w:t xml:space="preserve">proposed </w:t>
      </w:r>
      <w:r w:rsidRPr="04D6733D">
        <w:rPr>
          <w:rFonts w:cs="Arial"/>
        </w:rPr>
        <w:t>regulations are design</w:t>
      </w:r>
      <w:r w:rsidR="57E09250" w:rsidRPr="04D6733D">
        <w:rPr>
          <w:rFonts w:cs="Arial"/>
        </w:rPr>
        <w:t xml:space="preserve">ed to adjust the timeline on which the CDE and ETS begin post-administration processes, such as scoring, reporting, and other quality control processes to ensure all data is correct and reliable. </w:t>
      </w:r>
      <w:r w:rsidR="0F69D41B" w:rsidRPr="04D6733D">
        <w:rPr>
          <w:rFonts w:eastAsia="Arial" w:cs="Arial"/>
        </w:rPr>
        <w:t xml:space="preserve">The CDE and ETS have reviewed </w:t>
      </w:r>
      <w:r w:rsidR="2B1485CB" w:rsidRPr="04D6733D">
        <w:rPr>
          <w:rFonts w:eastAsia="Arial" w:cs="Arial"/>
        </w:rPr>
        <w:t xml:space="preserve">data from </w:t>
      </w:r>
      <w:r w:rsidR="0F69D41B" w:rsidRPr="04D6733D">
        <w:rPr>
          <w:rFonts w:eastAsia="Arial" w:cs="Arial"/>
        </w:rPr>
        <w:t>prior years’ test administration and have confirmed that only a few LEAs have selected testing windows that end in July and no tests have been administered in the time between June 30 and July 15 in prior years, so this change will have little to no effect on LEAs’ administration of assessments</w:t>
      </w:r>
      <w:r w:rsidR="46051EA7" w:rsidRPr="04D6733D">
        <w:rPr>
          <w:rFonts w:cs="Arial"/>
        </w:rPr>
        <w:t xml:space="preserve">. </w:t>
      </w:r>
      <w:r w:rsidR="57E09250" w:rsidRPr="04D6733D">
        <w:rPr>
          <w:rFonts w:eastAsia="Arial" w:cs="Arial"/>
          <w:color w:val="000000" w:themeColor="text1"/>
        </w:rPr>
        <w:t>These regulations do not eliminate any jobs that already exist in relation to the administration of the CAASPP nor do the regulations create any more jobs than what already exist in relation to the CAASPP.</w:t>
      </w:r>
    </w:p>
    <w:p w14:paraId="1299C43A" w14:textId="77777777" w:rsidR="00276011" w:rsidRPr="00FE246F" w:rsidRDefault="00276011" w:rsidP="002D1CB1">
      <w:pPr>
        <w:rPr>
          <w:rFonts w:cs="Arial"/>
        </w:rPr>
      </w:pPr>
    </w:p>
    <w:p w14:paraId="09B001EC" w14:textId="77777777" w:rsidR="00E42546" w:rsidRPr="0076197A" w:rsidRDefault="00E42546" w:rsidP="00CA73F2">
      <w:pPr>
        <w:pStyle w:val="Heading3"/>
        <w:rPr>
          <w:i w:val="0"/>
          <w:iCs/>
        </w:rPr>
      </w:pPr>
      <w:r w:rsidRPr="0076197A">
        <w:rPr>
          <w:i w:val="0"/>
          <w:iCs/>
        </w:rPr>
        <w:t>Creation of New or Elim</w:t>
      </w:r>
      <w:r w:rsidR="00B1243A" w:rsidRPr="0076197A">
        <w:rPr>
          <w:i w:val="0"/>
          <w:iCs/>
        </w:rPr>
        <w:t>ination of Existing Businesses w</w:t>
      </w:r>
      <w:r w:rsidRPr="0076197A">
        <w:rPr>
          <w:i w:val="0"/>
          <w:iCs/>
        </w:rPr>
        <w:t>ithin the State of California:</w:t>
      </w:r>
    </w:p>
    <w:p w14:paraId="4DDBEF00" w14:textId="77777777" w:rsidR="00E42546" w:rsidRPr="00FE246F" w:rsidRDefault="00E42546" w:rsidP="002D1CB1">
      <w:pPr>
        <w:rPr>
          <w:rFonts w:cs="Arial"/>
          <w:b/>
          <w:i/>
        </w:rPr>
      </w:pPr>
    </w:p>
    <w:p w14:paraId="566A216D" w14:textId="1D8B9249" w:rsidR="654DEC34" w:rsidRDefault="654DEC34" w:rsidP="64412890">
      <w:pPr>
        <w:rPr>
          <w:rFonts w:eastAsia="Arial" w:cs="Arial"/>
          <w:color w:val="000000" w:themeColor="text1"/>
        </w:rPr>
      </w:pPr>
      <w:r w:rsidRPr="04D6733D">
        <w:rPr>
          <w:rFonts w:cs="Arial"/>
        </w:rPr>
        <w:t>The proposed regulations are designed to adjust the timeline on which the CDE and ETS begin post-administration processes</w:t>
      </w:r>
      <w:r w:rsidR="22196525" w:rsidRPr="04D6733D">
        <w:rPr>
          <w:rFonts w:cs="Arial"/>
        </w:rPr>
        <w:t>—including</w:t>
      </w:r>
      <w:r w:rsidRPr="04D6733D">
        <w:rPr>
          <w:rFonts w:cs="Arial"/>
        </w:rPr>
        <w:t xml:space="preserve"> scoring, reporting, and other quality control processes</w:t>
      </w:r>
      <w:r w:rsidR="73C184F0" w:rsidRPr="04D6733D">
        <w:rPr>
          <w:rFonts w:cs="Arial"/>
        </w:rPr>
        <w:t>—necessary to</w:t>
      </w:r>
      <w:r w:rsidRPr="04D6733D">
        <w:rPr>
          <w:rFonts w:cs="Arial"/>
        </w:rPr>
        <w:t xml:space="preserve"> ensure all data is </w:t>
      </w:r>
      <w:r w:rsidR="7AFA0EE3" w:rsidRPr="04D6733D">
        <w:rPr>
          <w:rFonts w:cs="Arial"/>
        </w:rPr>
        <w:t xml:space="preserve">complete, </w:t>
      </w:r>
      <w:r w:rsidRPr="04D6733D">
        <w:rPr>
          <w:rFonts w:cs="Arial"/>
        </w:rPr>
        <w:t>correct</w:t>
      </w:r>
      <w:r w:rsidR="0E23BD4B" w:rsidRPr="04D6733D">
        <w:rPr>
          <w:rFonts w:cs="Arial"/>
        </w:rPr>
        <w:t>,</w:t>
      </w:r>
      <w:r w:rsidRPr="04D6733D">
        <w:rPr>
          <w:rFonts w:cs="Arial"/>
        </w:rPr>
        <w:t xml:space="preserve"> and reliable.</w:t>
      </w:r>
      <w:r w:rsidRPr="04D6733D">
        <w:rPr>
          <w:rFonts w:eastAsia="Arial" w:cs="Arial"/>
          <w:color w:val="000000" w:themeColor="text1"/>
        </w:rPr>
        <w:t xml:space="preserve"> Adoption of the regulations will not create new or eliminate existing businesses </w:t>
      </w:r>
      <w:r w:rsidRPr="04D6733D">
        <w:rPr>
          <w:rFonts w:eastAsia="Arial" w:cs="Arial"/>
          <w:color w:val="000000" w:themeColor="text1"/>
        </w:rPr>
        <w:lastRenderedPageBreak/>
        <w:t>within the State of California; the regulations apply to and impact only the CDE, ETS, and LEAs, and do not apply to or impact businesses.</w:t>
      </w:r>
    </w:p>
    <w:p w14:paraId="3461D779" w14:textId="77777777" w:rsidR="00E42546" w:rsidRPr="00FE246F" w:rsidRDefault="00E42546" w:rsidP="002D1CB1">
      <w:pPr>
        <w:rPr>
          <w:rFonts w:cs="Arial"/>
        </w:rPr>
      </w:pPr>
    </w:p>
    <w:p w14:paraId="6193ADE8" w14:textId="77777777" w:rsidR="00E42546" w:rsidRPr="0076197A" w:rsidRDefault="00E42546" w:rsidP="00CA73F2">
      <w:pPr>
        <w:pStyle w:val="Heading3"/>
        <w:rPr>
          <w:i w:val="0"/>
          <w:iCs/>
        </w:rPr>
      </w:pPr>
      <w:r w:rsidRPr="0076197A">
        <w:rPr>
          <w:i w:val="0"/>
          <w:iCs/>
        </w:rPr>
        <w:t>Expansion of Businesses or Elimination of Busin</w:t>
      </w:r>
      <w:r w:rsidR="00B1243A" w:rsidRPr="0076197A">
        <w:rPr>
          <w:i w:val="0"/>
          <w:iCs/>
        </w:rPr>
        <w:t>esses Currently Doing Business w</w:t>
      </w:r>
      <w:r w:rsidRPr="0076197A">
        <w:rPr>
          <w:i w:val="0"/>
          <w:iCs/>
        </w:rPr>
        <w:t>ithin the State of California:</w:t>
      </w:r>
    </w:p>
    <w:p w14:paraId="3CF2D8B6" w14:textId="77777777" w:rsidR="00E42546" w:rsidRPr="00FE246F" w:rsidRDefault="00E42546" w:rsidP="00E42546">
      <w:pPr>
        <w:widowControl w:val="0"/>
        <w:rPr>
          <w:rFonts w:cs="Arial"/>
        </w:rPr>
      </w:pPr>
    </w:p>
    <w:p w14:paraId="6D6E7862" w14:textId="311D3E12" w:rsidR="48CDC158" w:rsidRDefault="48CDC158" w:rsidP="64412890">
      <w:pPr>
        <w:rPr>
          <w:rFonts w:eastAsia="Arial" w:cs="Arial"/>
          <w:color w:val="000000" w:themeColor="text1"/>
        </w:rPr>
      </w:pPr>
      <w:r w:rsidRPr="04D6733D">
        <w:rPr>
          <w:rFonts w:cs="Arial"/>
        </w:rPr>
        <w:t xml:space="preserve">The proposed regulations are designed to adjust the timeline on which the CDE and ETS begin post-administration processes, such as scoring, reporting, and other quality control processes. </w:t>
      </w:r>
      <w:r w:rsidRPr="04D6733D">
        <w:rPr>
          <w:rFonts w:eastAsia="Arial" w:cs="Arial"/>
          <w:color w:val="000000" w:themeColor="text1"/>
        </w:rPr>
        <w:t>Adoption of the regulations will not expand or eliminate existing businesses within the State of California; the regulations apply to and impact only LEAs and do not apply to or impact businesses within California.</w:t>
      </w:r>
    </w:p>
    <w:p w14:paraId="0FB78278" w14:textId="77777777" w:rsidR="00276011" w:rsidRPr="00FE246F" w:rsidRDefault="00276011" w:rsidP="00E42546">
      <w:pPr>
        <w:rPr>
          <w:rFonts w:cs="Arial"/>
        </w:rPr>
      </w:pPr>
    </w:p>
    <w:p w14:paraId="1FC39945" w14:textId="2EC2288B" w:rsidR="00280253" w:rsidRPr="0076197A" w:rsidRDefault="00E42546" w:rsidP="00FD34F5">
      <w:pPr>
        <w:pStyle w:val="Heading3"/>
        <w:rPr>
          <w:i w:val="0"/>
          <w:iCs/>
        </w:rPr>
      </w:pPr>
      <w:r w:rsidRPr="0076197A">
        <w:rPr>
          <w:i w:val="0"/>
          <w:iCs/>
        </w:rPr>
        <w:t>Benefits of the Regulations to the Health and Welfare of California Residents, Worker Safety, and the State’s Environment</w:t>
      </w:r>
      <w:r w:rsidR="00FE246F" w:rsidRPr="0076197A">
        <w:rPr>
          <w:i w:val="0"/>
          <w:iCs/>
        </w:rPr>
        <w:t xml:space="preserve"> – Gov. Code Section 11346.1(b)(1)</w:t>
      </w:r>
      <w:r w:rsidRPr="0076197A">
        <w:rPr>
          <w:i w:val="0"/>
          <w:iCs/>
        </w:rPr>
        <w:t>:</w:t>
      </w:r>
    </w:p>
    <w:p w14:paraId="258CAE83" w14:textId="4BF48BE2" w:rsidR="59F7EC5A" w:rsidRDefault="59F7EC5A" w:rsidP="64412890">
      <w:pPr>
        <w:spacing w:before="240" w:after="240"/>
        <w:rPr>
          <w:rFonts w:eastAsia="Arial" w:cs="Arial"/>
          <w:color w:val="000000" w:themeColor="text1"/>
        </w:rPr>
      </w:pPr>
      <w:r w:rsidRPr="64412890">
        <w:rPr>
          <w:rFonts w:eastAsia="Arial" w:cs="Arial"/>
          <w:color w:val="000000" w:themeColor="text1"/>
        </w:rPr>
        <w:t xml:space="preserve">The anticipated benefit of the regulations is </w:t>
      </w:r>
      <w:r w:rsidR="00355020" w:rsidRPr="00355020">
        <w:rPr>
          <w:rFonts w:eastAsia="Arial" w:cs="Arial"/>
          <w:color w:val="000000" w:themeColor="text1"/>
        </w:rPr>
        <w:t xml:space="preserve">to the welfare of California students by ensuring the CDE and ETS will have sufficient time to </w:t>
      </w:r>
      <w:proofErr w:type="gramStart"/>
      <w:r w:rsidR="00355020" w:rsidRPr="00355020">
        <w:rPr>
          <w:rFonts w:eastAsia="Arial" w:cs="Arial"/>
          <w:color w:val="000000" w:themeColor="text1"/>
        </w:rPr>
        <w:t>effectively, consistently, and reliably complete all post-administration processes</w:t>
      </w:r>
      <w:proofErr w:type="gramEnd"/>
      <w:r w:rsidR="00355020" w:rsidRPr="00355020">
        <w:rPr>
          <w:rFonts w:eastAsia="Arial" w:cs="Arial"/>
          <w:color w:val="000000" w:themeColor="text1"/>
        </w:rPr>
        <w:t xml:space="preserve"> before the required public release on or before October 15 pursuant to EC section 60641. Moreover, the proposed regulations will support increased local control, and strengthen an LEA’s ability to access achievement results in a timely manner so that achievement data can be used to guide instruction, gauge California students’ readiness for career and college, and to meet state and federal accountability requirements.  </w:t>
      </w:r>
    </w:p>
    <w:p w14:paraId="34CE0A41" w14:textId="4F72C6E5" w:rsidR="00FE246F" w:rsidRDefault="59F7EC5A" w:rsidP="00304BE2">
      <w:pPr>
        <w:spacing w:before="240" w:after="240"/>
        <w:rPr>
          <w:i/>
          <w:iCs/>
          <w:color w:val="FF0000"/>
        </w:rPr>
      </w:pPr>
      <w:r w:rsidRPr="64412890">
        <w:rPr>
          <w:rFonts w:eastAsia="Arial" w:cs="Arial"/>
          <w:color w:val="000000" w:themeColor="text1"/>
        </w:rPr>
        <w:t>These proposed regulations will have no adverse effect nor benefit on worker safety or the State’s environment.</w:t>
      </w:r>
    </w:p>
    <w:p w14:paraId="330383F7" w14:textId="77777777" w:rsidR="00FE246F" w:rsidRPr="0076197A" w:rsidRDefault="00FE246F" w:rsidP="00CA73F2">
      <w:pPr>
        <w:pStyle w:val="Heading3"/>
        <w:rPr>
          <w:i w:val="0"/>
          <w:iCs/>
        </w:rPr>
      </w:pPr>
      <w:r w:rsidRPr="0076197A">
        <w:rPr>
          <w:i w:val="0"/>
          <w:iCs/>
        </w:rPr>
        <w:t>Reasonable Alternatives that Would Lessen the Impact on Small Businesses – Gov. Code Section 11346.2(b)(4)(B):</w:t>
      </w:r>
    </w:p>
    <w:p w14:paraId="62EBF3C5" w14:textId="77777777" w:rsidR="00FE246F" w:rsidRPr="008B6B19" w:rsidRDefault="00FE246F" w:rsidP="00FE246F">
      <w:pPr>
        <w:pStyle w:val="BodyText3"/>
        <w:spacing w:after="0"/>
        <w:rPr>
          <w:sz w:val="24"/>
          <w:szCs w:val="24"/>
        </w:rPr>
      </w:pPr>
    </w:p>
    <w:p w14:paraId="3B6C1B03" w14:textId="541B69E8" w:rsidR="00FE246F" w:rsidRPr="008B6B19" w:rsidRDefault="00FE246F" w:rsidP="00FE246F">
      <w:pPr>
        <w:pStyle w:val="BodyText3"/>
        <w:spacing w:after="0"/>
        <w:rPr>
          <w:sz w:val="24"/>
          <w:szCs w:val="24"/>
        </w:rPr>
      </w:pPr>
      <w:r w:rsidRPr="64412890">
        <w:rPr>
          <w:sz w:val="24"/>
          <w:szCs w:val="24"/>
        </w:rPr>
        <w:t>The SBE has not identified any alternatives that would lessen any adverse impact on small business.</w:t>
      </w:r>
    </w:p>
    <w:p w14:paraId="6D98A12B" w14:textId="77777777" w:rsidR="00FE246F" w:rsidRPr="008B6B19" w:rsidRDefault="00FE246F" w:rsidP="00FE246F">
      <w:pPr>
        <w:pStyle w:val="BodyText3"/>
        <w:spacing w:after="0"/>
        <w:rPr>
          <w:sz w:val="24"/>
          <w:szCs w:val="24"/>
        </w:rPr>
      </w:pPr>
    </w:p>
    <w:p w14:paraId="7A2B7D16" w14:textId="77777777" w:rsidR="00FE246F" w:rsidRPr="0076197A" w:rsidRDefault="00FE246F" w:rsidP="00CA73F2">
      <w:pPr>
        <w:pStyle w:val="Heading3"/>
        <w:rPr>
          <w:i w:val="0"/>
          <w:iCs/>
          <w:u w:val="single"/>
        </w:rPr>
      </w:pPr>
      <w:r w:rsidRPr="0076197A">
        <w:rPr>
          <w:i w:val="0"/>
          <w:iCs/>
        </w:rPr>
        <w:t xml:space="preserve">Evidence Relied Upon to Support the Initial Determination that the Regulations Will Not Have a Significant Adverse Economic Impact on Business – Gov. Code Section 11346.2(b)(5): </w:t>
      </w:r>
    </w:p>
    <w:p w14:paraId="6B699379" w14:textId="4DDF4A19" w:rsidR="00347F23" w:rsidRPr="00B00C6E" w:rsidRDefault="545E74DC" w:rsidP="00B00C6E">
      <w:pPr>
        <w:spacing w:before="240" w:after="240"/>
        <w:rPr>
          <w:rFonts w:eastAsia="Arial" w:cs="Arial"/>
          <w:color w:val="000000" w:themeColor="text1"/>
        </w:rPr>
      </w:pPr>
      <w:r w:rsidRPr="64412890">
        <w:rPr>
          <w:rFonts w:eastAsia="Arial" w:cs="Arial"/>
          <w:color w:val="000000" w:themeColor="text1"/>
        </w:rPr>
        <w:t xml:space="preserve">The proposed regulations only apply to LEAs and would have no impact on the private sector, including small businesses, because all processes performed </w:t>
      </w:r>
      <w:r w:rsidR="670E05E6" w:rsidRPr="64412890">
        <w:rPr>
          <w:rFonts w:eastAsia="Arial" w:cs="Arial"/>
          <w:color w:val="000000" w:themeColor="text1"/>
        </w:rPr>
        <w:t>by the CDE and ETS within the proposed timeline</w:t>
      </w:r>
      <w:r w:rsidRPr="64412890">
        <w:rPr>
          <w:rFonts w:eastAsia="Arial" w:cs="Arial"/>
          <w:color w:val="000000" w:themeColor="text1"/>
        </w:rPr>
        <w:t xml:space="preserve"> remain unchanged and do not have any </w:t>
      </w:r>
      <w:r w:rsidR="6E1B8106" w:rsidRPr="64412890">
        <w:rPr>
          <w:rFonts w:eastAsia="Arial" w:cs="Arial"/>
          <w:color w:val="000000" w:themeColor="text1"/>
        </w:rPr>
        <w:t>additional</w:t>
      </w:r>
      <w:r w:rsidRPr="64412890">
        <w:rPr>
          <w:rFonts w:eastAsia="Arial" w:cs="Arial"/>
          <w:color w:val="000000" w:themeColor="text1"/>
        </w:rPr>
        <w:t xml:space="preserve"> impact on </w:t>
      </w:r>
      <w:r w:rsidR="2B954F5A" w:rsidRPr="64412890">
        <w:rPr>
          <w:rFonts w:eastAsia="Arial" w:cs="Arial"/>
          <w:color w:val="000000" w:themeColor="text1"/>
        </w:rPr>
        <w:t>businesses.</w:t>
      </w:r>
    </w:p>
    <w:p w14:paraId="335A402A" w14:textId="77777777" w:rsidR="0000287D" w:rsidRDefault="0000287D">
      <w:pPr>
        <w:rPr>
          <w:rFonts w:eastAsiaTheme="majorEastAsia" w:cstheme="majorBidi"/>
          <w:b/>
          <w:szCs w:val="26"/>
        </w:rPr>
      </w:pPr>
      <w:r>
        <w:br w:type="page"/>
      </w:r>
    </w:p>
    <w:p w14:paraId="783E558B" w14:textId="6B443961" w:rsidR="009841F9" w:rsidRPr="008B6B19" w:rsidRDefault="00F0636B" w:rsidP="00CA73F2">
      <w:pPr>
        <w:pStyle w:val="Heading2"/>
      </w:pPr>
      <w:r w:rsidRPr="008B6B19">
        <w:lastRenderedPageBreak/>
        <w:t>OTHER REQUIRED SHOWINGS</w:t>
      </w:r>
    </w:p>
    <w:p w14:paraId="3FE9F23F" w14:textId="77777777" w:rsidR="00F0636B" w:rsidRPr="008B6B19" w:rsidRDefault="00F0636B" w:rsidP="009841F9">
      <w:pPr>
        <w:pStyle w:val="BodyText3"/>
        <w:spacing w:after="0"/>
        <w:rPr>
          <w:b/>
          <w:sz w:val="24"/>
          <w:szCs w:val="24"/>
        </w:rPr>
      </w:pPr>
    </w:p>
    <w:p w14:paraId="72C410CD" w14:textId="77777777" w:rsidR="009841F9" w:rsidRPr="0076197A" w:rsidRDefault="009841F9" w:rsidP="00CA73F2">
      <w:pPr>
        <w:pStyle w:val="Heading3"/>
        <w:rPr>
          <w:i w:val="0"/>
          <w:iCs/>
        </w:rPr>
      </w:pPr>
      <w:r w:rsidRPr="0076197A">
        <w:rPr>
          <w:i w:val="0"/>
          <w:iCs/>
        </w:rPr>
        <w:t xml:space="preserve">Studies, Reports </w:t>
      </w:r>
      <w:r w:rsidR="00B1243A" w:rsidRPr="0076197A">
        <w:rPr>
          <w:i w:val="0"/>
          <w:iCs/>
        </w:rPr>
        <w:t>o</w:t>
      </w:r>
      <w:r w:rsidRPr="0076197A">
        <w:rPr>
          <w:i w:val="0"/>
          <w:iCs/>
        </w:rPr>
        <w:t>r Documents Relied Upon – Gov. Code. Section 11346.2(b)(</w:t>
      </w:r>
      <w:r w:rsidR="00523194" w:rsidRPr="0076197A">
        <w:rPr>
          <w:i w:val="0"/>
          <w:iCs/>
        </w:rPr>
        <w:t>3</w:t>
      </w:r>
      <w:r w:rsidRPr="0076197A">
        <w:rPr>
          <w:i w:val="0"/>
          <w:iCs/>
        </w:rPr>
        <w:t>):</w:t>
      </w:r>
    </w:p>
    <w:p w14:paraId="1F72F646" w14:textId="77777777" w:rsidR="009841F9" w:rsidRPr="008B6B19" w:rsidRDefault="009841F9" w:rsidP="009841F9">
      <w:pPr>
        <w:pStyle w:val="BodyText3"/>
        <w:spacing w:after="0"/>
        <w:rPr>
          <w:b/>
          <w:sz w:val="24"/>
          <w:szCs w:val="24"/>
        </w:rPr>
      </w:pPr>
    </w:p>
    <w:p w14:paraId="3A979A0D" w14:textId="31F0D9ED" w:rsidR="009841F9" w:rsidRPr="008B6B19" w:rsidRDefault="009841F9" w:rsidP="009841F9">
      <w:pPr>
        <w:widowControl w:val="0"/>
      </w:pPr>
      <w:r>
        <w:t xml:space="preserve">The </w:t>
      </w:r>
      <w:r w:rsidR="003A6DC0">
        <w:t>SBE</w:t>
      </w:r>
      <w:r w:rsidR="61B31C87">
        <w:t xml:space="preserve"> </w:t>
      </w:r>
      <w:r>
        <w:t>did not rely upon any technical, theoretical, or empirical studies, reports</w:t>
      </w:r>
      <w:r w:rsidR="00735038">
        <w:t>,</w:t>
      </w:r>
      <w:r>
        <w:t xml:space="preserve"> or documents in proposing the adoption, amendment, or repeal of these regulations. </w:t>
      </w:r>
    </w:p>
    <w:p w14:paraId="08CE6F91" w14:textId="77777777" w:rsidR="009841F9" w:rsidRPr="008B6B19" w:rsidRDefault="009841F9" w:rsidP="009841F9">
      <w:pPr>
        <w:widowControl w:val="0"/>
      </w:pPr>
    </w:p>
    <w:p w14:paraId="4729A171" w14:textId="77777777" w:rsidR="009841F9" w:rsidRPr="0076197A" w:rsidRDefault="009841F9" w:rsidP="00CA73F2">
      <w:pPr>
        <w:pStyle w:val="Heading3"/>
        <w:rPr>
          <w:i w:val="0"/>
          <w:iCs/>
        </w:rPr>
      </w:pPr>
      <w:r w:rsidRPr="0076197A">
        <w:rPr>
          <w:i w:val="0"/>
          <w:iCs/>
        </w:rPr>
        <w:t>Reas</w:t>
      </w:r>
      <w:r w:rsidR="00503065" w:rsidRPr="0076197A">
        <w:rPr>
          <w:i w:val="0"/>
          <w:iCs/>
        </w:rPr>
        <w:t xml:space="preserve">onable Alternatives Considered </w:t>
      </w:r>
      <w:r w:rsidR="00B1243A" w:rsidRPr="0076197A">
        <w:rPr>
          <w:i w:val="0"/>
          <w:iCs/>
        </w:rPr>
        <w:t>o</w:t>
      </w:r>
      <w:r w:rsidR="00503065" w:rsidRPr="0076197A">
        <w:rPr>
          <w:i w:val="0"/>
          <w:iCs/>
        </w:rPr>
        <w:t xml:space="preserve">r Agency’s Reasons </w:t>
      </w:r>
      <w:r w:rsidR="00B1243A" w:rsidRPr="0076197A">
        <w:rPr>
          <w:i w:val="0"/>
          <w:iCs/>
        </w:rPr>
        <w:t>f</w:t>
      </w:r>
      <w:r w:rsidRPr="0076197A">
        <w:rPr>
          <w:i w:val="0"/>
          <w:iCs/>
        </w:rPr>
        <w:t>or Rejecting Those Alternatives – Gov. Code Section 11346.2(b)(</w:t>
      </w:r>
      <w:r w:rsidR="00FA5D9B" w:rsidRPr="0076197A">
        <w:rPr>
          <w:i w:val="0"/>
          <w:iCs/>
        </w:rPr>
        <w:t>4</w:t>
      </w:r>
      <w:r w:rsidRPr="0076197A">
        <w:rPr>
          <w:i w:val="0"/>
          <w:iCs/>
        </w:rPr>
        <w:t>)(A):</w:t>
      </w:r>
    </w:p>
    <w:p w14:paraId="61CDCEAD" w14:textId="77777777" w:rsidR="009841F9" w:rsidRPr="008B6B19" w:rsidRDefault="009841F9" w:rsidP="009841F9">
      <w:pPr>
        <w:pStyle w:val="BodyText3"/>
        <w:spacing w:after="0"/>
        <w:rPr>
          <w:b/>
          <w:sz w:val="24"/>
          <w:szCs w:val="24"/>
        </w:rPr>
      </w:pPr>
    </w:p>
    <w:p w14:paraId="1818580E" w14:textId="6B3565DE" w:rsidR="00304BE2" w:rsidRDefault="009841F9" w:rsidP="009841F9">
      <w:pPr>
        <w:pStyle w:val="BodyText3"/>
        <w:spacing w:after="0"/>
        <w:rPr>
          <w:sz w:val="24"/>
          <w:szCs w:val="24"/>
        </w:rPr>
      </w:pPr>
      <w:r w:rsidRPr="64412890">
        <w:rPr>
          <w:sz w:val="24"/>
          <w:szCs w:val="24"/>
        </w:rPr>
        <w:t>No other alternatives were presented to or considered by the</w:t>
      </w:r>
      <w:r w:rsidR="4A9D5773" w:rsidRPr="64412890">
        <w:rPr>
          <w:sz w:val="24"/>
          <w:szCs w:val="24"/>
        </w:rPr>
        <w:t xml:space="preserve"> </w:t>
      </w:r>
      <w:r w:rsidR="003A6DC0" w:rsidRPr="64412890">
        <w:rPr>
          <w:sz w:val="24"/>
          <w:szCs w:val="24"/>
        </w:rPr>
        <w:t>SBE</w:t>
      </w:r>
      <w:r w:rsidRPr="64412890">
        <w:rPr>
          <w:sz w:val="24"/>
          <w:szCs w:val="24"/>
        </w:rPr>
        <w:t>.</w:t>
      </w:r>
    </w:p>
    <w:p w14:paraId="6BB9E253" w14:textId="77777777" w:rsidR="009841F9" w:rsidRPr="008B6B19" w:rsidRDefault="009841F9" w:rsidP="00304BE2">
      <w:pPr>
        <w:pStyle w:val="BodyText3"/>
        <w:spacing w:after="0"/>
      </w:pPr>
    </w:p>
    <w:p w14:paraId="06033F00" w14:textId="77777777" w:rsidR="00F54466" w:rsidRPr="0076197A" w:rsidRDefault="00503065" w:rsidP="00CA73F2">
      <w:pPr>
        <w:pStyle w:val="Heading3"/>
        <w:rPr>
          <w:i w:val="0"/>
          <w:iCs/>
        </w:rPr>
      </w:pPr>
      <w:r w:rsidRPr="0076197A">
        <w:rPr>
          <w:i w:val="0"/>
          <w:iCs/>
        </w:rPr>
        <w:t xml:space="preserve">Analysis </w:t>
      </w:r>
      <w:r w:rsidR="00B1243A" w:rsidRPr="0076197A">
        <w:rPr>
          <w:i w:val="0"/>
          <w:iCs/>
        </w:rPr>
        <w:t>o</w:t>
      </w:r>
      <w:r w:rsidRPr="0076197A">
        <w:rPr>
          <w:i w:val="0"/>
          <w:iCs/>
        </w:rPr>
        <w:t xml:space="preserve">f Whether </w:t>
      </w:r>
      <w:r w:rsidR="00B1243A" w:rsidRPr="0076197A">
        <w:rPr>
          <w:i w:val="0"/>
          <w:iCs/>
        </w:rPr>
        <w:t>t</w:t>
      </w:r>
      <w:r w:rsidRPr="0076197A">
        <w:rPr>
          <w:i w:val="0"/>
          <w:iCs/>
        </w:rPr>
        <w:t xml:space="preserve">he Regulations </w:t>
      </w:r>
      <w:r w:rsidR="00B1243A" w:rsidRPr="0076197A">
        <w:rPr>
          <w:i w:val="0"/>
          <w:iCs/>
        </w:rPr>
        <w:t>a</w:t>
      </w:r>
      <w:r w:rsidRPr="0076197A">
        <w:rPr>
          <w:i w:val="0"/>
          <w:iCs/>
        </w:rPr>
        <w:t xml:space="preserve">re </w:t>
      </w:r>
      <w:r w:rsidR="00B1243A" w:rsidRPr="0076197A">
        <w:rPr>
          <w:i w:val="0"/>
          <w:iCs/>
        </w:rPr>
        <w:t>a</w:t>
      </w:r>
      <w:r w:rsidRPr="0076197A">
        <w:rPr>
          <w:i w:val="0"/>
          <w:iCs/>
        </w:rPr>
        <w:t xml:space="preserve">n Efficient </w:t>
      </w:r>
      <w:r w:rsidR="00B1243A" w:rsidRPr="0076197A">
        <w:rPr>
          <w:i w:val="0"/>
          <w:iCs/>
        </w:rPr>
        <w:t>a</w:t>
      </w:r>
      <w:r w:rsidR="00F0636B" w:rsidRPr="0076197A">
        <w:rPr>
          <w:i w:val="0"/>
          <w:iCs/>
        </w:rPr>
        <w:t>nd Effective Means</w:t>
      </w:r>
      <w:r w:rsidRPr="0076197A">
        <w:rPr>
          <w:i w:val="0"/>
          <w:iCs/>
        </w:rPr>
        <w:t xml:space="preserve"> </w:t>
      </w:r>
      <w:r w:rsidR="00B1243A" w:rsidRPr="0076197A">
        <w:rPr>
          <w:i w:val="0"/>
          <w:iCs/>
        </w:rPr>
        <w:t>o</w:t>
      </w:r>
      <w:r w:rsidRPr="0076197A">
        <w:rPr>
          <w:i w:val="0"/>
          <w:iCs/>
        </w:rPr>
        <w:t xml:space="preserve">f Implementing </w:t>
      </w:r>
      <w:r w:rsidR="00B1243A" w:rsidRPr="0076197A">
        <w:rPr>
          <w:i w:val="0"/>
          <w:iCs/>
        </w:rPr>
        <w:t>t</w:t>
      </w:r>
      <w:r w:rsidRPr="0076197A">
        <w:rPr>
          <w:i w:val="0"/>
          <w:iCs/>
        </w:rPr>
        <w:t xml:space="preserve">he Law </w:t>
      </w:r>
      <w:r w:rsidR="00B1243A" w:rsidRPr="0076197A">
        <w:rPr>
          <w:i w:val="0"/>
          <w:iCs/>
        </w:rPr>
        <w:t>i</w:t>
      </w:r>
      <w:r w:rsidRPr="0076197A">
        <w:rPr>
          <w:i w:val="0"/>
          <w:iCs/>
        </w:rPr>
        <w:t xml:space="preserve">n </w:t>
      </w:r>
      <w:r w:rsidR="00B1243A" w:rsidRPr="0076197A">
        <w:rPr>
          <w:i w:val="0"/>
          <w:iCs/>
        </w:rPr>
        <w:t>t</w:t>
      </w:r>
      <w:r w:rsidR="00F0636B" w:rsidRPr="0076197A">
        <w:rPr>
          <w:i w:val="0"/>
          <w:iCs/>
        </w:rPr>
        <w:t xml:space="preserve">he Least Burdensome Manner – Gov. Code Section </w:t>
      </w:r>
      <w:r w:rsidR="00787C7E" w:rsidRPr="0076197A">
        <w:rPr>
          <w:i w:val="0"/>
          <w:iCs/>
        </w:rPr>
        <w:t>1</w:t>
      </w:r>
      <w:r w:rsidR="00F0636B" w:rsidRPr="0076197A">
        <w:rPr>
          <w:i w:val="0"/>
          <w:iCs/>
        </w:rPr>
        <w:t>1346.3(e)</w:t>
      </w:r>
      <w:r w:rsidR="00A83E05" w:rsidRPr="0076197A">
        <w:rPr>
          <w:i w:val="0"/>
          <w:iCs/>
        </w:rPr>
        <w:t>:</w:t>
      </w:r>
    </w:p>
    <w:p w14:paraId="23DE523C" w14:textId="77777777" w:rsidR="009841F9" w:rsidRPr="008B6B19" w:rsidRDefault="009841F9" w:rsidP="00B62641"/>
    <w:p w14:paraId="1E33631C" w14:textId="77777777" w:rsidR="00ED7CE8" w:rsidRDefault="00F0636B" w:rsidP="00B62641">
      <w:r w:rsidRPr="008B6B19">
        <w:t xml:space="preserve">The </w:t>
      </w:r>
      <w:r w:rsidR="00B1243A">
        <w:t xml:space="preserve">proposed </w:t>
      </w:r>
      <w:r w:rsidRPr="008B6B19">
        <w:t>regulations have been determined to be the most efficient and effective means of implementing the law in the least burdensome manner.</w:t>
      </w:r>
    </w:p>
    <w:p w14:paraId="52E56223" w14:textId="77777777" w:rsidR="00E368E2" w:rsidRDefault="00E368E2" w:rsidP="00B62641"/>
    <w:p w14:paraId="5F33E4CB" w14:textId="77777777" w:rsidR="000844A7" w:rsidRPr="0076197A" w:rsidRDefault="000844A7" w:rsidP="00CA73F2">
      <w:pPr>
        <w:pStyle w:val="Heading3"/>
        <w:rPr>
          <w:i w:val="0"/>
          <w:iCs/>
        </w:rPr>
      </w:pPr>
      <w:r w:rsidRPr="0076197A">
        <w:rPr>
          <w:i w:val="0"/>
          <w:iCs/>
        </w:rPr>
        <w:t>Determination of Inconsistent/Incompatible Existing Regulations – Gov. Code Section 11346.</w:t>
      </w:r>
      <w:r w:rsidR="00A83E05" w:rsidRPr="0076197A">
        <w:rPr>
          <w:i w:val="0"/>
          <w:iCs/>
        </w:rPr>
        <w:t>5</w:t>
      </w:r>
      <w:r w:rsidRPr="0076197A">
        <w:rPr>
          <w:i w:val="0"/>
          <w:iCs/>
        </w:rPr>
        <w:t>(</w:t>
      </w:r>
      <w:r w:rsidR="00A83E05" w:rsidRPr="0076197A">
        <w:rPr>
          <w:i w:val="0"/>
          <w:iCs/>
        </w:rPr>
        <w:t>a)(3)(D):</w:t>
      </w:r>
    </w:p>
    <w:p w14:paraId="07547A01" w14:textId="77777777" w:rsidR="000844A7" w:rsidRPr="00FE246F" w:rsidRDefault="000844A7" w:rsidP="00B62641">
      <w:pPr>
        <w:rPr>
          <w:i/>
        </w:rPr>
      </w:pPr>
    </w:p>
    <w:p w14:paraId="09372C5D" w14:textId="18F1286F" w:rsidR="009C14B8" w:rsidRDefault="00E368E2" w:rsidP="00B62641">
      <w:r w:rsidRPr="00E368E2">
        <w:t>An evaluation of the proposed regulations ha</w:t>
      </w:r>
      <w:r w:rsidR="00457AAF">
        <w:t>s</w:t>
      </w:r>
      <w:r w:rsidRPr="00E368E2">
        <w:t xml:space="preserve"> determined they are not inconsistent/incompatible with existing regulations, pursuant to Gov</w:t>
      </w:r>
      <w:r w:rsidR="00B25153">
        <w:t>ernment</w:t>
      </w:r>
      <w:r w:rsidRPr="00E368E2">
        <w:t xml:space="preserve"> </w:t>
      </w:r>
      <w:r w:rsidR="00F90614">
        <w:t>Code s</w:t>
      </w:r>
      <w:r w:rsidRPr="00E368E2">
        <w:t>ection 11346.5(a)(3)(D).</w:t>
      </w:r>
      <w:r w:rsidR="00355020">
        <w:t xml:space="preserve"> </w:t>
      </w:r>
      <w:r w:rsidR="00355020" w:rsidRPr="00355020">
        <w:t>After conducting a review for any regulations that would relate to or affect this area of law, the SBE has concluded that these are the only regulations that concern the CAASPP regulations.</w:t>
      </w:r>
    </w:p>
    <w:p w14:paraId="5043CB0F" w14:textId="77777777" w:rsidR="009C14B8" w:rsidRDefault="009C14B8" w:rsidP="00B62641"/>
    <w:p w14:paraId="5471C776" w14:textId="6172285F" w:rsidR="009841F9" w:rsidRPr="008B6B19" w:rsidRDefault="00FD16E0" w:rsidP="00B62641">
      <w:r>
        <w:t>11-</w:t>
      </w:r>
      <w:r w:rsidR="00355020">
        <w:t>29</w:t>
      </w:r>
      <w:r>
        <w:t>-2023</w:t>
      </w:r>
      <w:r w:rsidR="009841F9">
        <w:t xml:space="preserve"> [California Department of Education]</w:t>
      </w:r>
    </w:p>
    <w:sectPr w:rsidR="009841F9" w:rsidRPr="008B6B19" w:rsidSect="008A6F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7F28F" w14:textId="77777777" w:rsidR="00AE13D0" w:rsidRDefault="00AE13D0" w:rsidP="00735038">
      <w:r>
        <w:separator/>
      </w:r>
    </w:p>
  </w:endnote>
  <w:endnote w:type="continuationSeparator" w:id="0">
    <w:p w14:paraId="6DFB9E20" w14:textId="77777777" w:rsidR="00AE13D0" w:rsidRDefault="00AE13D0" w:rsidP="0073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30CC7" w14:textId="77777777" w:rsidR="00A565EF" w:rsidRDefault="00A565EF">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90614">
      <w:rPr>
        <w:noProof/>
      </w:rPr>
      <w:t>3</w:t>
    </w:r>
    <w:r>
      <w:rPr>
        <w:noProof/>
        <w:color w:val="2B579A"/>
        <w:shd w:val="clear" w:color="auto" w:fill="E6E6E6"/>
      </w:rPr>
      <w:fldChar w:fldCharType="end"/>
    </w:r>
  </w:p>
  <w:p w14:paraId="07459315" w14:textId="77777777" w:rsidR="00A565EF" w:rsidRDefault="00A56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F9E56" w14:textId="77777777" w:rsidR="00AE13D0" w:rsidRDefault="00AE13D0" w:rsidP="00735038">
      <w:r>
        <w:separator/>
      </w:r>
    </w:p>
  </w:footnote>
  <w:footnote w:type="continuationSeparator" w:id="0">
    <w:p w14:paraId="44E871BC" w14:textId="77777777" w:rsidR="00AE13D0" w:rsidRDefault="00AE13D0" w:rsidP="00735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5DD602"/>
    <w:multiLevelType w:val="hybridMultilevel"/>
    <w:tmpl w:val="54B62F80"/>
    <w:lvl w:ilvl="0" w:tplc="C71E7AC6">
      <w:start w:val="1"/>
      <w:numFmt w:val="bullet"/>
      <w:lvlText w:val=""/>
      <w:lvlJc w:val="left"/>
      <w:pPr>
        <w:ind w:left="720" w:hanging="360"/>
      </w:pPr>
      <w:rPr>
        <w:rFonts w:ascii="Symbol" w:hAnsi="Symbol" w:hint="default"/>
      </w:rPr>
    </w:lvl>
    <w:lvl w:ilvl="1" w:tplc="711219F4">
      <w:start w:val="1"/>
      <w:numFmt w:val="bullet"/>
      <w:lvlText w:val="o"/>
      <w:lvlJc w:val="left"/>
      <w:pPr>
        <w:ind w:left="1440" w:hanging="360"/>
      </w:pPr>
      <w:rPr>
        <w:rFonts w:ascii="Courier New" w:hAnsi="Courier New" w:hint="default"/>
      </w:rPr>
    </w:lvl>
    <w:lvl w:ilvl="2" w:tplc="FFC2552A">
      <w:start w:val="1"/>
      <w:numFmt w:val="bullet"/>
      <w:lvlText w:val=""/>
      <w:lvlJc w:val="left"/>
      <w:pPr>
        <w:ind w:left="2160" w:hanging="360"/>
      </w:pPr>
      <w:rPr>
        <w:rFonts w:ascii="Wingdings" w:hAnsi="Wingdings" w:hint="default"/>
      </w:rPr>
    </w:lvl>
    <w:lvl w:ilvl="3" w:tplc="B0EE0B8E">
      <w:start w:val="1"/>
      <w:numFmt w:val="bullet"/>
      <w:lvlText w:val=""/>
      <w:lvlJc w:val="left"/>
      <w:pPr>
        <w:ind w:left="2880" w:hanging="360"/>
      </w:pPr>
      <w:rPr>
        <w:rFonts w:ascii="Symbol" w:hAnsi="Symbol" w:hint="default"/>
      </w:rPr>
    </w:lvl>
    <w:lvl w:ilvl="4" w:tplc="8C180316">
      <w:start w:val="1"/>
      <w:numFmt w:val="bullet"/>
      <w:lvlText w:val="o"/>
      <w:lvlJc w:val="left"/>
      <w:pPr>
        <w:ind w:left="3600" w:hanging="360"/>
      </w:pPr>
      <w:rPr>
        <w:rFonts w:ascii="Courier New" w:hAnsi="Courier New" w:hint="default"/>
      </w:rPr>
    </w:lvl>
    <w:lvl w:ilvl="5" w:tplc="E3140E70">
      <w:start w:val="1"/>
      <w:numFmt w:val="bullet"/>
      <w:lvlText w:val=""/>
      <w:lvlJc w:val="left"/>
      <w:pPr>
        <w:ind w:left="4320" w:hanging="360"/>
      </w:pPr>
      <w:rPr>
        <w:rFonts w:ascii="Wingdings" w:hAnsi="Wingdings" w:hint="default"/>
      </w:rPr>
    </w:lvl>
    <w:lvl w:ilvl="6" w:tplc="600C2918">
      <w:start w:val="1"/>
      <w:numFmt w:val="bullet"/>
      <w:lvlText w:val=""/>
      <w:lvlJc w:val="left"/>
      <w:pPr>
        <w:ind w:left="5040" w:hanging="360"/>
      </w:pPr>
      <w:rPr>
        <w:rFonts w:ascii="Symbol" w:hAnsi="Symbol" w:hint="default"/>
      </w:rPr>
    </w:lvl>
    <w:lvl w:ilvl="7" w:tplc="EE329992">
      <w:start w:val="1"/>
      <w:numFmt w:val="bullet"/>
      <w:lvlText w:val="o"/>
      <w:lvlJc w:val="left"/>
      <w:pPr>
        <w:ind w:left="5760" w:hanging="360"/>
      </w:pPr>
      <w:rPr>
        <w:rFonts w:ascii="Courier New" w:hAnsi="Courier New" w:hint="default"/>
      </w:rPr>
    </w:lvl>
    <w:lvl w:ilvl="8" w:tplc="1D1046E4">
      <w:start w:val="1"/>
      <w:numFmt w:val="bullet"/>
      <w:lvlText w:val=""/>
      <w:lvlJc w:val="left"/>
      <w:pPr>
        <w:ind w:left="6480" w:hanging="360"/>
      </w:pPr>
      <w:rPr>
        <w:rFonts w:ascii="Wingdings" w:hAnsi="Wingdings" w:hint="default"/>
      </w:rPr>
    </w:lvl>
  </w:abstractNum>
  <w:abstractNum w:abstractNumId="1" w15:restartNumberingAfterBreak="0">
    <w:nsid w:val="4FC29B98"/>
    <w:multiLevelType w:val="hybridMultilevel"/>
    <w:tmpl w:val="0D3C3848"/>
    <w:lvl w:ilvl="0" w:tplc="73724BDA">
      <w:start w:val="1"/>
      <w:numFmt w:val="bullet"/>
      <w:lvlText w:val=""/>
      <w:lvlJc w:val="left"/>
      <w:pPr>
        <w:ind w:left="720" w:hanging="360"/>
      </w:pPr>
      <w:rPr>
        <w:rFonts w:ascii="Symbol" w:hAnsi="Symbol" w:hint="default"/>
      </w:rPr>
    </w:lvl>
    <w:lvl w:ilvl="1" w:tplc="6238683E">
      <w:start w:val="1"/>
      <w:numFmt w:val="bullet"/>
      <w:lvlText w:val="o"/>
      <w:lvlJc w:val="left"/>
      <w:pPr>
        <w:ind w:left="1440" w:hanging="360"/>
      </w:pPr>
      <w:rPr>
        <w:rFonts w:ascii="Courier New" w:hAnsi="Courier New" w:hint="default"/>
      </w:rPr>
    </w:lvl>
    <w:lvl w:ilvl="2" w:tplc="A872C54E">
      <w:start w:val="1"/>
      <w:numFmt w:val="bullet"/>
      <w:lvlText w:val=""/>
      <w:lvlJc w:val="left"/>
      <w:pPr>
        <w:ind w:left="2160" w:hanging="360"/>
      </w:pPr>
      <w:rPr>
        <w:rFonts w:ascii="Wingdings" w:hAnsi="Wingdings" w:hint="default"/>
      </w:rPr>
    </w:lvl>
    <w:lvl w:ilvl="3" w:tplc="D51070BE">
      <w:start w:val="1"/>
      <w:numFmt w:val="bullet"/>
      <w:lvlText w:val=""/>
      <w:lvlJc w:val="left"/>
      <w:pPr>
        <w:ind w:left="2880" w:hanging="360"/>
      </w:pPr>
      <w:rPr>
        <w:rFonts w:ascii="Symbol" w:hAnsi="Symbol" w:hint="default"/>
      </w:rPr>
    </w:lvl>
    <w:lvl w:ilvl="4" w:tplc="A66AC89C">
      <w:start w:val="1"/>
      <w:numFmt w:val="bullet"/>
      <w:lvlText w:val="o"/>
      <w:lvlJc w:val="left"/>
      <w:pPr>
        <w:ind w:left="3600" w:hanging="360"/>
      </w:pPr>
      <w:rPr>
        <w:rFonts w:ascii="Courier New" w:hAnsi="Courier New" w:hint="default"/>
      </w:rPr>
    </w:lvl>
    <w:lvl w:ilvl="5" w:tplc="C142A3CC">
      <w:start w:val="1"/>
      <w:numFmt w:val="bullet"/>
      <w:lvlText w:val=""/>
      <w:lvlJc w:val="left"/>
      <w:pPr>
        <w:ind w:left="4320" w:hanging="360"/>
      </w:pPr>
      <w:rPr>
        <w:rFonts w:ascii="Wingdings" w:hAnsi="Wingdings" w:hint="default"/>
      </w:rPr>
    </w:lvl>
    <w:lvl w:ilvl="6" w:tplc="6644ABF0">
      <w:start w:val="1"/>
      <w:numFmt w:val="bullet"/>
      <w:lvlText w:val=""/>
      <w:lvlJc w:val="left"/>
      <w:pPr>
        <w:ind w:left="5040" w:hanging="360"/>
      </w:pPr>
      <w:rPr>
        <w:rFonts w:ascii="Symbol" w:hAnsi="Symbol" w:hint="default"/>
      </w:rPr>
    </w:lvl>
    <w:lvl w:ilvl="7" w:tplc="AD96E5A8">
      <w:start w:val="1"/>
      <w:numFmt w:val="bullet"/>
      <w:lvlText w:val="o"/>
      <w:lvlJc w:val="left"/>
      <w:pPr>
        <w:ind w:left="5760" w:hanging="360"/>
      </w:pPr>
      <w:rPr>
        <w:rFonts w:ascii="Courier New" w:hAnsi="Courier New" w:hint="default"/>
      </w:rPr>
    </w:lvl>
    <w:lvl w:ilvl="8" w:tplc="F3BAB962">
      <w:start w:val="1"/>
      <w:numFmt w:val="bullet"/>
      <w:lvlText w:val=""/>
      <w:lvlJc w:val="left"/>
      <w:pPr>
        <w:ind w:left="6480" w:hanging="360"/>
      </w:pPr>
      <w:rPr>
        <w:rFonts w:ascii="Wingdings" w:hAnsi="Wingdings" w:hint="default"/>
      </w:rPr>
    </w:lvl>
  </w:abstractNum>
  <w:abstractNum w:abstractNumId="2" w15:restartNumberingAfterBreak="0">
    <w:nsid w:val="74CD4C6E"/>
    <w:multiLevelType w:val="hybridMultilevel"/>
    <w:tmpl w:val="786C68F4"/>
    <w:lvl w:ilvl="0" w:tplc="CF184B10">
      <w:start w:val="1"/>
      <w:numFmt w:val="bullet"/>
      <w:lvlText w:val=""/>
      <w:lvlJc w:val="left"/>
      <w:pPr>
        <w:ind w:left="720" w:hanging="360"/>
      </w:pPr>
      <w:rPr>
        <w:rFonts w:ascii="Symbol" w:hAnsi="Symbol" w:hint="default"/>
      </w:rPr>
    </w:lvl>
    <w:lvl w:ilvl="1" w:tplc="FCCCDBF4">
      <w:start w:val="1"/>
      <w:numFmt w:val="bullet"/>
      <w:lvlText w:val="o"/>
      <w:lvlJc w:val="left"/>
      <w:pPr>
        <w:ind w:left="1440" w:hanging="360"/>
      </w:pPr>
      <w:rPr>
        <w:rFonts w:ascii="Courier New" w:hAnsi="Courier New" w:hint="default"/>
      </w:rPr>
    </w:lvl>
    <w:lvl w:ilvl="2" w:tplc="AF4EDD80">
      <w:start w:val="1"/>
      <w:numFmt w:val="bullet"/>
      <w:lvlText w:val=""/>
      <w:lvlJc w:val="left"/>
      <w:pPr>
        <w:ind w:left="2160" w:hanging="360"/>
      </w:pPr>
      <w:rPr>
        <w:rFonts w:ascii="Wingdings" w:hAnsi="Wingdings" w:hint="default"/>
      </w:rPr>
    </w:lvl>
    <w:lvl w:ilvl="3" w:tplc="24A66E70">
      <w:start w:val="1"/>
      <w:numFmt w:val="bullet"/>
      <w:lvlText w:val=""/>
      <w:lvlJc w:val="left"/>
      <w:pPr>
        <w:ind w:left="2880" w:hanging="360"/>
      </w:pPr>
      <w:rPr>
        <w:rFonts w:ascii="Symbol" w:hAnsi="Symbol" w:hint="default"/>
      </w:rPr>
    </w:lvl>
    <w:lvl w:ilvl="4" w:tplc="1A7C7A56">
      <w:start w:val="1"/>
      <w:numFmt w:val="bullet"/>
      <w:lvlText w:val="o"/>
      <w:lvlJc w:val="left"/>
      <w:pPr>
        <w:ind w:left="3600" w:hanging="360"/>
      </w:pPr>
      <w:rPr>
        <w:rFonts w:ascii="Courier New" w:hAnsi="Courier New" w:hint="default"/>
      </w:rPr>
    </w:lvl>
    <w:lvl w:ilvl="5" w:tplc="B2FE2A5A">
      <w:start w:val="1"/>
      <w:numFmt w:val="bullet"/>
      <w:lvlText w:val=""/>
      <w:lvlJc w:val="left"/>
      <w:pPr>
        <w:ind w:left="4320" w:hanging="360"/>
      </w:pPr>
      <w:rPr>
        <w:rFonts w:ascii="Wingdings" w:hAnsi="Wingdings" w:hint="default"/>
      </w:rPr>
    </w:lvl>
    <w:lvl w:ilvl="6" w:tplc="21563CAC">
      <w:start w:val="1"/>
      <w:numFmt w:val="bullet"/>
      <w:lvlText w:val=""/>
      <w:lvlJc w:val="left"/>
      <w:pPr>
        <w:ind w:left="5040" w:hanging="360"/>
      </w:pPr>
      <w:rPr>
        <w:rFonts w:ascii="Symbol" w:hAnsi="Symbol" w:hint="default"/>
      </w:rPr>
    </w:lvl>
    <w:lvl w:ilvl="7" w:tplc="137CD446">
      <w:start w:val="1"/>
      <w:numFmt w:val="bullet"/>
      <w:lvlText w:val="o"/>
      <w:lvlJc w:val="left"/>
      <w:pPr>
        <w:ind w:left="5760" w:hanging="360"/>
      </w:pPr>
      <w:rPr>
        <w:rFonts w:ascii="Courier New" w:hAnsi="Courier New" w:hint="default"/>
      </w:rPr>
    </w:lvl>
    <w:lvl w:ilvl="8" w:tplc="328210F2">
      <w:start w:val="1"/>
      <w:numFmt w:val="bullet"/>
      <w:lvlText w:val=""/>
      <w:lvlJc w:val="left"/>
      <w:pPr>
        <w:ind w:left="6480" w:hanging="360"/>
      </w:pPr>
      <w:rPr>
        <w:rFonts w:ascii="Wingdings" w:hAnsi="Wingdings" w:hint="default"/>
      </w:rPr>
    </w:lvl>
  </w:abstractNum>
  <w:num w:numId="1" w16cid:durableId="609432334">
    <w:abstractNumId w:val="2"/>
  </w:num>
  <w:num w:numId="2" w16cid:durableId="401489822">
    <w:abstractNumId w:val="0"/>
  </w:num>
  <w:num w:numId="3" w16cid:durableId="469906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641"/>
    <w:rsid w:val="0000287D"/>
    <w:rsid w:val="0001622C"/>
    <w:rsid w:val="00023DEC"/>
    <w:rsid w:val="00043A93"/>
    <w:rsid w:val="00050860"/>
    <w:rsid w:val="00060FC0"/>
    <w:rsid w:val="00074164"/>
    <w:rsid w:val="00075B23"/>
    <w:rsid w:val="00076579"/>
    <w:rsid w:val="000844A7"/>
    <w:rsid w:val="00092224"/>
    <w:rsid w:val="000A69BB"/>
    <w:rsid w:val="000C62B8"/>
    <w:rsid w:val="000D00E4"/>
    <w:rsid w:val="000E67A8"/>
    <w:rsid w:val="00107308"/>
    <w:rsid w:val="00112581"/>
    <w:rsid w:val="00131503"/>
    <w:rsid w:val="0014432D"/>
    <w:rsid w:val="001456B9"/>
    <w:rsid w:val="001815C5"/>
    <w:rsid w:val="00196377"/>
    <w:rsid w:val="001A5DB2"/>
    <w:rsid w:val="001B2B09"/>
    <w:rsid w:val="001B57E6"/>
    <w:rsid w:val="001D0E95"/>
    <w:rsid w:val="001E6006"/>
    <w:rsid w:val="00222A30"/>
    <w:rsid w:val="002470F6"/>
    <w:rsid w:val="0025212D"/>
    <w:rsid w:val="00255B7F"/>
    <w:rsid w:val="00276011"/>
    <w:rsid w:val="00280253"/>
    <w:rsid w:val="002A3610"/>
    <w:rsid w:val="002D1CB1"/>
    <w:rsid w:val="002F1BB3"/>
    <w:rsid w:val="002F5C77"/>
    <w:rsid w:val="00304BE2"/>
    <w:rsid w:val="003108D8"/>
    <w:rsid w:val="00322985"/>
    <w:rsid w:val="00347F23"/>
    <w:rsid w:val="00355020"/>
    <w:rsid w:val="00362218"/>
    <w:rsid w:val="003A6DC0"/>
    <w:rsid w:val="003E7915"/>
    <w:rsid w:val="003F26C8"/>
    <w:rsid w:val="003F6821"/>
    <w:rsid w:val="00411756"/>
    <w:rsid w:val="00420857"/>
    <w:rsid w:val="00457AAF"/>
    <w:rsid w:val="00467DFE"/>
    <w:rsid w:val="004711B9"/>
    <w:rsid w:val="00473C9F"/>
    <w:rsid w:val="00475763"/>
    <w:rsid w:val="0047757F"/>
    <w:rsid w:val="00482691"/>
    <w:rsid w:val="00483BEA"/>
    <w:rsid w:val="00485680"/>
    <w:rsid w:val="00486516"/>
    <w:rsid w:val="00496D36"/>
    <w:rsid w:val="004A0958"/>
    <w:rsid w:val="004A258B"/>
    <w:rsid w:val="004B5896"/>
    <w:rsid w:val="004E5500"/>
    <w:rsid w:val="004F2596"/>
    <w:rsid w:val="00503065"/>
    <w:rsid w:val="0050414A"/>
    <w:rsid w:val="00523194"/>
    <w:rsid w:val="00550BD3"/>
    <w:rsid w:val="0055410A"/>
    <w:rsid w:val="00555F6A"/>
    <w:rsid w:val="00560056"/>
    <w:rsid w:val="00572C6A"/>
    <w:rsid w:val="00587B8B"/>
    <w:rsid w:val="005A350B"/>
    <w:rsid w:val="005A617F"/>
    <w:rsid w:val="006068A1"/>
    <w:rsid w:val="00622CBC"/>
    <w:rsid w:val="006402C0"/>
    <w:rsid w:val="00650176"/>
    <w:rsid w:val="00683036"/>
    <w:rsid w:val="006A7EAB"/>
    <w:rsid w:val="006AD293"/>
    <w:rsid w:val="006D1CE6"/>
    <w:rsid w:val="006E1C7F"/>
    <w:rsid w:val="00700D69"/>
    <w:rsid w:val="007018E0"/>
    <w:rsid w:val="00703497"/>
    <w:rsid w:val="007042E2"/>
    <w:rsid w:val="00705EA6"/>
    <w:rsid w:val="00735038"/>
    <w:rsid w:val="007454DA"/>
    <w:rsid w:val="00760BD8"/>
    <w:rsid w:val="0076197A"/>
    <w:rsid w:val="00782455"/>
    <w:rsid w:val="00787C7E"/>
    <w:rsid w:val="007D292E"/>
    <w:rsid w:val="007E74D8"/>
    <w:rsid w:val="007F1A3F"/>
    <w:rsid w:val="00821375"/>
    <w:rsid w:val="00845F82"/>
    <w:rsid w:val="0085705D"/>
    <w:rsid w:val="00875DA2"/>
    <w:rsid w:val="00886EF8"/>
    <w:rsid w:val="0089493E"/>
    <w:rsid w:val="008A0584"/>
    <w:rsid w:val="008A6BC0"/>
    <w:rsid w:val="008A6FD8"/>
    <w:rsid w:val="008B3FC8"/>
    <w:rsid w:val="008B6B19"/>
    <w:rsid w:val="008D1CF4"/>
    <w:rsid w:val="008D3C8F"/>
    <w:rsid w:val="008E1FFD"/>
    <w:rsid w:val="008E262B"/>
    <w:rsid w:val="008E3EA2"/>
    <w:rsid w:val="008F37B3"/>
    <w:rsid w:val="00904DD0"/>
    <w:rsid w:val="00911273"/>
    <w:rsid w:val="00965AA4"/>
    <w:rsid w:val="00972709"/>
    <w:rsid w:val="009841F9"/>
    <w:rsid w:val="009960B9"/>
    <w:rsid w:val="009B2E76"/>
    <w:rsid w:val="009C14B8"/>
    <w:rsid w:val="009C15D7"/>
    <w:rsid w:val="009E7668"/>
    <w:rsid w:val="00A212E2"/>
    <w:rsid w:val="00A32E73"/>
    <w:rsid w:val="00A433B3"/>
    <w:rsid w:val="00A43636"/>
    <w:rsid w:val="00A4580B"/>
    <w:rsid w:val="00A565EF"/>
    <w:rsid w:val="00A83E05"/>
    <w:rsid w:val="00A9B7D3"/>
    <w:rsid w:val="00AE13D0"/>
    <w:rsid w:val="00B00C6E"/>
    <w:rsid w:val="00B1090D"/>
    <w:rsid w:val="00B1243A"/>
    <w:rsid w:val="00B25153"/>
    <w:rsid w:val="00B267CE"/>
    <w:rsid w:val="00B4585F"/>
    <w:rsid w:val="00B62641"/>
    <w:rsid w:val="00B653D6"/>
    <w:rsid w:val="00BF465A"/>
    <w:rsid w:val="00C77E47"/>
    <w:rsid w:val="00CA1EA5"/>
    <w:rsid w:val="00CA4E0E"/>
    <w:rsid w:val="00CA73F2"/>
    <w:rsid w:val="00CD23C8"/>
    <w:rsid w:val="00CE10D9"/>
    <w:rsid w:val="00CF092C"/>
    <w:rsid w:val="00CF7930"/>
    <w:rsid w:val="00D00839"/>
    <w:rsid w:val="00D0483C"/>
    <w:rsid w:val="00D061C2"/>
    <w:rsid w:val="00D24693"/>
    <w:rsid w:val="00D35142"/>
    <w:rsid w:val="00D45035"/>
    <w:rsid w:val="00D56836"/>
    <w:rsid w:val="00D75ECF"/>
    <w:rsid w:val="00D905E1"/>
    <w:rsid w:val="00DA19B3"/>
    <w:rsid w:val="00DA2ABC"/>
    <w:rsid w:val="00DD7FD9"/>
    <w:rsid w:val="00DE6834"/>
    <w:rsid w:val="00DE7EEF"/>
    <w:rsid w:val="00E05DE6"/>
    <w:rsid w:val="00E123C3"/>
    <w:rsid w:val="00E2140A"/>
    <w:rsid w:val="00E27800"/>
    <w:rsid w:val="00E3339F"/>
    <w:rsid w:val="00E368E2"/>
    <w:rsid w:val="00E36AE6"/>
    <w:rsid w:val="00E42546"/>
    <w:rsid w:val="00E702D3"/>
    <w:rsid w:val="00E746ED"/>
    <w:rsid w:val="00E91F94"/>
    <w:rsid w:val="00E93EA0"/>
    <w:rsid w:val="00EB08CC"/>
    <w:rsid w:val="00EC3923"/>
    <w:rsid w:val="00ED22C7"/>
    <w:rsid w:val="00ED7CE8"/>
    <w:rsid w:val="00EF520C"/>
    <w:rsid w:val="00F0295A"/>
    <w:rsid w:val="00F03792"/>
    <w:rsid w:val="00F05C4A"/>
    <w:rsid w:val="00F0636B"/>
    <w:rsid w:val="00F07175"/>
    <w:rsid w:val="00F126FB"/>
    <w:rsid w:val="00F15347"/>
    <w:rsid w:val="00F37F5F"/>
    <w:rsid w:val="00F54466"/>
    <w:rsid w:val="00F547A4"/>
    <w:rsid w:val="00F634F7"/>
    <w:rsid w:val="00F76799"/>
    <w:rsid w:val="00F848F4"/>
    <w:rsid w:val="00F86AF4"/>
    <w:rsid w:val="00F900AA"/>
    <w:rsid w:val="00F90614"/>
    <w:rsid w:val="00F9614D"/>
    <w:rsid w:val="00FA5D9B"/>
    <w:rsid w:val="00FD16E0"/>
    <w:rsid w:val="00FD34F5"/>
    <w:rsid w:val="00FE246F"/>
    <w:rsid w:val="00FF2174"/>
    <w:rsid w:val="011B146A"/>
    <w:rsid w:val="013477A0"/>
    <w:rsid w:val="01C15776"/>
    <w:rsid w:val="035751E5"/>
    <w:rsid w:val="0401940B"/>
    <w:rsid w:val="04550A5D"/>
    <w:rsid w:val="04D6733D"/>
    <w:rsid w:val="051DCC7D"/>
    <w:rsid w:val="054FE4FA"/>
    <w:rsid w:val="05F0B09C"/>
    <w:rsid w:val="064B4318"/>
    <w:rsid w:val="06766359"/>
    <w:rsid w:val="085FA807"/>
    <w:rsid w:val="08FA3A1C"/>
    <w:rsid w:val="0B023D72"/>
    <w:rsid w:val="0C3F74B0"/>
    <w:rsid w:val="0C7E4F19"/>
    <w:rsid w:val="0D5B0A26"/>
    <w:rsid w:val="0D834CE3"/>
    <w:rsid w:val="0E23BD4B"/>
    <w:rsid w:val="0E3347D7"/>
    <w:rsid w:val="0F69D41B"/>
    <w:rsid w:val="0FB5EFDB"/>
    <w:rsid w:val="0FCF1838"/>
    <w:rsid w:val="136059EF"/>
    <w:rsid w:val="142BA0E9"/>
    <w:rsid w:val="148960FE"/>
    <w:rsid w:val="154CF3AE"/>
    <w:rsid w:val="155166B2"/>
    <w:rsid w:val="16857782"/>
    <w:rsid w:val="17C101C0"/>
    <w:rsid w:val="17D4723E"/>
    <w:rsid w:val="184E2C1A"/>
    <w:rsid w:val="197FB649"/>
    <w:rsid w:val="1B643C28"/>
    <w:rsid w:val="1C084E79"/>
    <w:rsid w:val="1DBD8585"/>
    <w:rsid w:val="1DDE9F28"/>
    <w:rsid w:val="1DEF1593"/>
    <w:rsid w:val="1F42B638"/>
    <w:rsid w:val="20BFD698"/>
    <w:rsid w:val="22196525"/>
    <w:rsid w:val="22A69F0A"/>
    <w:rsid w:val="2B1485CB"/>
    <w:rsid w:val="2B32DB24"/>
    <w:rsid w:val="2B954F5A"/>
    <w:rsid w:val="2E52EA9D"/>
    <w:rsid w:val="2FED23EA"/>
    <w:rsid w:val="3188F44B"/>
    <w:rsid w:val="32E6B5C2"/>
    <w:rsid w:val="33D6EDBA"/>
    <w:rsid w:val="355E8049"/>
    <w:rsid w:val="35904328"/>
    <w:rsid w:val="3609D357"/>
    <w:rsid w:val="36FA50AA"/>
    <w:rsid w:val="375FC5E9"/>
    <w:rsid w:val="37773D13"/>
    <w:rsid w:val="37C6726A"/>
    <w:rsid w:val="37E0FC13"/>
    <w:rsid w:val="38B356CA"/>
    <w:rsid w:val="3B7A8464"/>
    <w:rsid w:val="3BFF84AC"/>
    <w:rsid w:val="3C93E003"/>
    <w:rsid w:val="3CB5DBE0"/>
    <w:rsid w:val="3D247D0A"/>
    <w:rsid w:val="3D9B550D"/>
    <w:rsid w:val="3DB6DA4F"/>
    <w:rsid w:val="3E66D543"/>
    <w:rsid w:val="3EAB3F52"/>
    <w:rsid w:val="3F3F12F4"/>
    <w:rsid w:val="410F8AD5"/>
    <w:rsid w:val="42A6793C"/>
    <w:rsid w:val="434C586C"/>
    <w:rsid w:val="439736C2"/>
    <w:rsid w:val="44128417"/>
    <w:rsid w:val="44A54F82"/>
    <w:rsid w:val="44E16167"/>
    <w:rsid w:val="46051EA7"/>
    <w:rsid w:val="46CCD30B"/>
    <w:rsid w:val="4835FA46"/>
    <w:rsid w:val="48CDC158"/>
    <w:rsid w:val="48E1620D"/>
    <w:rsid w:val="498308A8"/>
    <w:rsid w:val="4A9D5773"/>
    <w:rsid w:val="4B0BE5E6"/>
    <w:rsid w:val="4B3BD829"/>
    <w:rsid w:val="4BB50C23"/>
    <w:rsid w:val="4BF26462"/>
    <w:rsid w:val="4E38148B"/>
    <w:rsid w:val="4F202553"/>
    <w:rsid w:val="4F8EEDFD"/>
    <w:rsid w:val="517CD49A"/>
    <w:rsid w:val="53F7D872"/>
    <w:rsid w:val="545E74DC"/>
    <w:rsid w:val="54DAD37C"/>
    <w:rsid w:val="559070E9"/>
    <w:rsid w:val="55B60454"/>
    <w:rsid w:val="57E09250"/>
    <w:rsid w:val="57F60BD4"/>
    <w:rsid w:val="580132D4"/>
    <w:rsid w:val="58B14703"/>
    <w:rsid w:val="58FE75E9"/>
    <w:rsid w:val="59411417"/>
    <w:rsid w:val="59F7EC5A"/>
    <w:rsid w:val="5A6A8641"/>
    <w:rsid w:val="5BA294C2"/>
    <w:rsid w:val="5C115D6C"/>
    <w:rsid w:val="5C3EA641"/>
    <w:rsid w:val="5F477881"/>
    <w:rsid w:val="5F481674"/>
    <w:rsid w:val="602E4E0C"/>
    <w:rsid w:val="60553A59"/>
    <w:rsid w:val="609DD106"/>
    <w:rsid w:val="61B31C87"/>
    <w:rsid w:val="6365EECE"/>
    <w:rsid w:val="64412890"/>
    <w:rsid w:val="65196641"/>
    <w:rsid w:val="654DEC34"/>
    <w:rsid w:val="65B291D6"/>
    <w:rsid w:val="670E05E6"/>
    <w:rsid w:val="686C8C45"/>
    <w:rsid w:val="699DA01E"/>
    <w:rsid w:val="6A8DC195"/>
    <w:rsid w:val="6B32890F"/>
    <w:rsid w:val="6C2F6C55"/>
    <w:rsid w:val="6C6FA099"/>
    <w:rsid w:val="6D9B3CB3"/>
    <w:rsid w:val="6DC56257"/>
    <w:rsid w:val="6E1B8106"/>
    <w:rsid w:val="6FBA7275"/>
    <w:rsid w:val="6FD89CBE"/>
    <w:rsid w:val="6FED3335"/>
    <w:rsid w:val="7008F88D"/>
    <w:rsid w:val="70779E2A"/>
    <w:rsid w:val="70961834"/>
    <w:rsid w:val="72EEAB31"/>
    <w:rsid w:val="72F59105"/>
    <w:rsid w:val="73C184F0"/>
    <w:rsid w:val="751E4F34"/>
    <w:rsid w:val="77602251"/>
    <w:rsid w:val="78E9C29D"/>
    <w:rsid w:val="78EA7EBB"/>
    <w:rsid w:val="79906F45"/>
    <w:rsid w:val="7ADE8649"/>
    <w:rsid w:val="7AFA0EE3"/>
    <w:rsid w:val="7BA9B80A"/>
    <w:rsid w:val="7C66FF3F"/>
    <w:rsid w:val="7CAA8925"/>
    <w:rsid w:val="7ED19E45"/>
    <w:rsid w:val="7F42D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21CB9E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414A"/>
    <w:rPr>
      <w:rFonts w:ascii="Arial" w:hAnsi="Arial"/>
      <w:sz w:val="24"/>
      <w:szCs w:val="24"/>
    </w:rPr>
  </w:style>
  <w:style w:type="paragraph" w:styleId="Heading1">
    <w:name w:val="heading 1"/>
    <w:basedOn w:val="Normal"/>
    <w:next w:val="Normal"/>
    <w:link w:val="Heading1Char"/>
    <w:qFormat/>
    <w:rsid w:val="00CA73F2"/>
    <w:pPr>
      <w:keepNext/>
      <w:keepLines/>
      <w:spacing w:before="240"/>
      <w:jc w:val="center"/>
      <w:outlineLvl w:val="0"/>
    </w:pPr>
    <w:rPr>
      <w:rFonts w:eastAsiaTheme="majorEastAsia" w:cstheme="majorBidi"/>
      <w:b/>
      <w:szCs w:val="32"/>
    </w:rPr>
  </w:style>
  <w:style w:type="paragraph" w:styleId="Heading2">
    <w:name w:val="heading 2"/>
    <w:basedOn w:val="Normal"/>
    <w:next w:val="Normal"/>
    <w:link w:val="Heading2Char"/>
    <w:qFormat/>
    <w:rsid w:val="00CA73F2"/>
    <w:pPr>
      <w:keepNext/>
      <w:keepLines/>
      <w:spacing w:before="40"/>
      <w:outlineLvl w:val="1"/>
    </w:pPr>
    <w:rPr>
      <w:rFonts w:eastAsiaTheme="majorEastAsia" w:cstheme="majorBidi"/>
      <w:b/>
      <w:szCs w:val="26"/>
    </w:rPr>
  </w:style>
  <w:style w:type="paragraph" w:styleId="Heading3">
    <w:name w:val="heading 3"/>
    <w:basedOn w:val="Normal"/>
    <w:next w:val="Normal"/>
    <w:link w:val="Heading3Char"/>
    <w:qFormat/>
    <w:rsid w:val="00CA73F2"/>
    <w:pPr>
      <w:keepNext/>
      <w:keepLines/>
      <w:spacing w:before="40"/>
      <w:outlineLvl w:val="2"/>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nhideWhenUsed/>
    <w:rsid w:val="009841F9"/>
    <w:pPr>
      <w:spacing w:after="120"/>
    </w:pPr>
    <w:rPr>
      <w:sz w:val="16"/>
      <w:szCs w:val="16"/>
      <w:lang w:val="x-none" w:eastAsia="x-none"/>
    </w:rPr>
  </w:style>
  <w:style w:type="character" w:customStyle="1" w:styleId="BodyText3Char">
    <w:name w:val="Body Text 3 Char"/>
    <w:link w:val="BodyText3"/>
    <w:rsid w:val="009841F9"/>
    <w:rPr>
      <w:rFonts w:ascii="Arial" w:hAnsi="Arial"/>
      <w:sz w:val="16"/>
      <w:szCs w:val="16"/>
    </w:rPr>
  </w:style>
  <w:style w:type="paragraph" w:styleId="BalloonText">
    <w:name w:val="Balloon Text"/>
    <w:basedOn w:val="Normal"/>
    <w:semiHidden/>
    <w:rsid w:val="004A0958"/>
    <w:rPr>
      <w:rFonts w:ascii="Tahoma" w:hAnsi="Tahoma" w:cs="Tahoma"/>
      <w:sz w:val="16"/>
      <w:szCs w:val="16"/>
    </w:rPr>
  </w:style>
  <w:style w:type="character" w:styleId="CommentReference">
    <w:name w:val="annotation reference"/>
    <w:rsid w:val="00F900AA"/>
    <w:rPr>
      <w:sz w:val="16"/>
      <w:szCs w:val="16"/>
    </w:rPr>
  </w:style>
  <w:style w:type="paragraph" w:styleId="CommentText">
    <w:name w:val="annotation text"/>
    <w:basedOn w:val="Normal"/>
    <w:link w:val="CommentTextChar"/>
    <w:rsid w:val="00F900AA"/>
    <w:rPr>
      <w:sz w:val="20"/>
      <w:szCs w:val="20"/>
      <w:lang w:val="x-none" w:eastAsia="x-none"/>
    </w:rPr>
  </w:style>
  <w:style w:type="character" w:customStyle="1" w:styleId="CommentTextChar">
    <w:name w:val="Comment Text Char"/>
    <w:link w:val="CommentText"/>
    <w:rsid w:val="00F900AA"/>
    <w:rPr>
      <w:rFonts w:ascii="Arial" w:hAnsi="Arial"/>
    </w:rPr>
  </w:style>
  <w:style w:type="paragraph" w:styleId="CommentSubject">
    <w:name w:val="annotation subject"/>
    <w:basedOn w:val="CommentText"/>
    <w:next w:val="CommentText"/>
    <w:link w:val="CommentSubjectChar"/>
    <w:rsid w:val="00F900AA"/>
    <w:rPr>
      <w:b/>
      <w:bCs/>
    </w:rPr>
  </w:style>
  <w:style w:type="character" w:customStyle="1" w:styleId="CommentSubjectChar">
    <w:name w:val="Comment Subject Char"/>
    <w:link w:val="CommentSubject"/>
    <w:rsid w:val="00F900AA"/>
    <w:rPr>
      <w:rFonts w:ascii="Arial" w:hAnsi="Arial"/>
      <w:b/>
      <w:bCs/>
    </w:rPr>
  </w:style>
  <w:style w:type="paragraph" w:styleId="Header">
    <w:name w:val="header"/>
    <w:basedOn w:val="Normal"/>
    <w:link w:val="HeaderChar"/>
    <w:rsid w:val="00735038"/>
    <w:pPr>
      <w:tabs>
        <w:tab w:val="center" w:pos="4680"/>
        <w:tab w:val="right" w:pos="9360"/>
      </w:tabs>
    </w:pPr>
    <w:rPr>
      <w:lang w:val="x-none" w:eastAsia="x-none"/>
    </w:rPr>
  </w:style>
  <w:style w:type="character" w:customStyle="1" w:styleId="HeaderChar">
    <w:name w:val="Header Char"/>
    <w:link w:val="Header"/>
    <w:rsid w:val="00735038"/>
    <w:rPr>
      <w:rFonts w:ascii="Arial" w:hAnsi="Arial"/>
      <w:sz w:val="24"/>
      <w:szCs w:val="24"/>
    </w:rPr>
  </w:style>
  <w:style w:type="paragraph" w:styleId="Footer">
    <w:name w:val="footer"/>
    <w:basedOn w:val="Normal"/>
    <w:link w:val="FooterChar"/>
    <w:uiPriority w:val="99"/>
    <w:rsid w:val="00735038"/>
    <w:pPr>
      <w:tabs>
        <w:tab w:val="center" w:pos="4680"/>
        <w:tab w:val="right" w:pos="9360"/>
      </w:tabs>
    </w:pPr>
    <w:rPr>
      <w:lang w:val="x-none" w:eastAsia="x-none"/>
    </w:rPr>
  </w:style>
  <w:style w:type="character" w:customStyle="1" w:styleId="FooterChar">
    <w:name w:val="Footer Char"/>
    <w:link w:val="Footer"/>
    <w:uiPriority w:val="99"/>
    <w:rsid w:val="00735038"/>
    <w:rPr>
      <w:rFonts w:ascii="Arial" w:hAnsi="Arial"/>
      <w:sz w:val="24"/>
      <w:szCs w:val="24"/>
    </w:rPr>
  </w:style>
  <w:style w:type="character" w:styleId="Hyperlink">
    <w:name w:val="Hyperlink"/>
    <w:rsid w:val="008B6B19"/>
    <w:rPr>
      <w:color w:val="0000FF"/>
      <w:u w:val="single"/>
    </w:rPr>
  </w:style>
  <w:style w:type="character" w:customStyle="1" w:styleId="Heading1Char">
    <w:name w:val="Heading 1 Char"/>
    <w:basedOn w:val="DefaultParagraphFont"/>
    <w:link w:val="Heading1"/>
    <w:rsid w:val="00CA73F2"/>
    <w:rPr>
      <w:rFonts w:ascii="Arial" w:eastAsiaTheme="majorEastAsia" w:hAnsi="Arial" w:cstheme="majorBidi"/>
      <w:b/>
      <w:sz w:val="24"/>
      <w:szCs w:val="32"/>
    </w:rPr>
  </w:style>
  <w:style w:type="character" w:customStyle="1" w:styleId="Heading2Char">
    <w:name w:val="Heading 2 Char"/>
    <w:basedOn w:val="DefaultParagraphFont"/>
    <w:link w:val="Heading2"/>
    <w:rsid w:val="00CA73F2"/>
    <w:rPr>
      <w:rFonts w:ascii="Arial" w:eastAsiaTheme="majorEastAsia" w:hAnsi="Arial" w:cstheme="majorBidi"/>
      <w:b/>
      <w:sz w:val="24"/>
      <w:szCs w:val="26"/>
    </w:rPr>
  </w:style>
  <w:style w:type="character" w:customStyle="1" w:styleId="Heading3Char">
    <w:name w:val="Heading 3 Char"/>
    <w:basedOn w:val="DefaultParagraphFont"/>
    <w:link w:val="Heading3"/>
    <w:rsid w:val="00CA73F2"/>
    <w:rPr>
      <w:rFonts w:ascii="Arial" w:eastAsiaTheme="majorEastAsia" w:hAnsi="Arial" w:cstheme="majorBidi"/>
      <w:b/>
      <w:i/>
      <w:sz w:val="24"/>
      <w:szCs w:val="24"/>
    </w:rPr>
  </w:style>
  <w:style w:type="paragraph" w:styleId="BlockText">
    <w:name w:val="Block Text"/>
    <w:basedOn w:val="Normal"/>
    <w:unhideWhenUsed/>
    <w:rsid w:val="0025212D"/>
    <w:pPr>
      <w:tabs>
        <w:tab w:val="left" w:pos="-1152"/>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4" w:lineRule="atLeast"/>
      <w:ind w:left="720" w:right="756"/>
    </w:pPr>
    <w:rPr>
      <w:rFonts w:ascii="Times New Roman" w:hAnsi="Times New Roman"/>
      <w:szCs w:val="20"/>
    </w:rPr>
  </w:style>
  <w:style w:type="character" w:styleId="Emphasis">
    <w:name w:val="Emphasis"/>
    <w:basedOn w:val="DefaultParagraphFont"/>
    <w:uiPriority w:val="20"/>
    <w:qFormat/>
    <w:rPr>
      <w:i/>
      <w:iC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FD16E0"/>
    <w:rPr>
      <w:rFonts w:ascii="Arial" w:hAnsi="Arial"/>
      <w:sz w:val="24"/>
      <w:szCs w:val="24"/>
    </w:rPr>
  </w:style>
  <w:style w:type="character" w:styleId="FollowedHyperlink">
    <w:name w:val="FollowedHyperlink"/>
    <w:basedOn w:val="DefaultParagraphFont"/>
    <w:rsid w:val="00911273"/>
    <w:rPr>
      <w:color w:val="954F72" w:themeColor="followedHyperlink"/>
      <w:u w:val="single"/>
    </w:rPr>
  </w:style>
  <w:style w:type="character" w:styleId="UnresolvedMention">
    <w:name w:val="Unresolved Mention"/>
    <w:basedOn w:val="DefaultParagraphFont"/>
    <w:uiPriority w:val="99"/>
    <w:semiHidden/>
    <w:unhideWhenUsed/>
    <w:rsid w:val="00467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26701">
      <w:bodyDiv w:val="1"/>
      <w:marLeft w:val="0"/>
      <w:marRight w:val="0"/>
      <w:marTop w:val="0"/>
      <w:marBottom w:val="0"/>
      <w:divBdr>
        <w:top w:val="none" w:sz="0" w:space="0" w:color="auto"/>
        <w:left w:val="none" w:sz="0" w:space="0" w:color="auto"/>
        <w:bottom w:val="none" w:sz="0" w:space="0" w:color="auto"/>
        <w:right w:val="none" w:sz="0" w:space="0" w:color="auto"/>
      </w:divBdr>
    </w:div>
    <w:div w:id="165100124">
      <w:bodyDiv w:val="1"/>
      <w:marLeft w:val="0"/>
      <w:marRight w:val="0"/>
      <w:marTop w:val="0"/>
      <w:marBottom w:val="0"/>
      <w:divBdr>
        <w:top w:val="none" w:sz="0" w:space="0" w:color="auto"/>
        <w:left w:val="none" w:sz="0" w:space="0" w:color="auto"/>
        <w:bottom w:val="none" w:sz="0" w:space="0" w:color="auto"/>
        <w:right w:val="none" w:sz="0" w:space="0" w:color="auto"/>
      </w:divBdr>
    </w:div>
    <w:div w:id="537427101">
      <w:bodyDiv w:val="1"/>
      <w:marLeft w:val="0"/>
      <w:marRight w:val="0"/>
      <w:marTop w:val="0"/>
      <w:marBottom w:val="0"/>
      <w:divBdr>
        <w:top w:val="none" w:sz="0" w:space="0" w:color="auto"/>
        <w:left w:val="none" w:sz="0" w:space="0" w:color="auto"/>
        <w:bottom w:val="none" w:sz="0" w:space="0" w:color="auto"/>
        <w:right w:val="none" w:sz="0" w:space="0" w:color="auto"/>
      </w:divBdr>
    </w:div>
    <w:div w:id="719088697">
      <w:bodyDiv w:val="1"/>
      <w:marLeft w:val="0"/>
      <w:marRight w:val="0"/>
      <w:marTop w:val="0"/>
      <w:marBottom w:val="0"/>
      <w:divBdr>
        <w:top w:val="none" w:sz="0" w:space="0" w:color="auto"/>
        <w:left w:val="none" w:sz="0" w:space="0" w:color="auto"/>
        <w:bottom w:val="none" w:sz="0" w:space="0" w:color="auto"/>
        <w:right w:val="none" w:sz="0" w:space="0" w:color="auto"/>
      </w:divBdr>
    </w:div>
    <w:div w:id="1866669435">
      <w:bodyDiv w:val="1"/>
      <w:marLeft w:val="0"/>
      <w:marRight w:val="0"/>
      <w:marTop w:val="0"/>
      <w:marBottom w:val="0"/>
      <w:divBdr>
        <w:top w:val="none" w:sz="0" w:space="0" w:color="auto"/>
        <w:left w:val="none" w:sz="0" w:space="0" w:color="auto"/>
        <w:bottom w:val="none" w:sz="0" w:space="0" w:color="auto"/>
        <w:right w:val="none" w:sz="0" w:space="0" w:color="auto"/>
      </w:divBdr>
    </w:div>
    <w:div w:id="1955478238">
      <w:bodyDiv w:val="1"/>
      <w:marLeft w:val="0"/>
      <w:marRight w:val="0"/>
      <w:marTop w:val="0"/>
      <w:marBottom w:val="0"/>
      <w:divBdr>
        <w:top w:val="none" w:sz="0" w:space="0" w:color="auto"/>
        <w:left w:val="none" w:sz="0" w:space="0" w:color="auto"/>
        <w:bottom w:val="none" w:sz="0" w:space="0" w:color="auto"/>
        <w:right w:val="none" w:sz="0" w:space="0" w:color="auto"/>
      </w:divBdr>
    </w:div>
    <w:div w:id="199317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aspp-elpac.et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5BA4B-E20C-4854-912F-F1DD95036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1758</Words>
  <Characters>9822</Characters>
  <Application>Microsoft Office Word</Application>
  <DocSecurity>0</DocSecurity>
  <Lines>81</Lines>
  <Paragraphs>23</Paragraphs>
  <ScaleCrop>false</ScaleCrop>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Statement of Reasons - Proposed Rulemaking and Regulations (CA Dept of Education)</dc:title>
  <dc:subject>Initial Statement of Reasons for California Assessment of Student Performance and Progress.</dc:subject>
  <dc:creator/>
  <cp:keywords/>
  <cp:lastModifiedBy/>
  <cp:revision>1</cp:revision>
  <dcterms:created xsi:type="dcterms:W3CDTF">2024-03-28T16:02:00Z</dcterms:created>
  <dcterms:modified xsi:type="dcterms:W3CDTF">2024-03-28T16:04:00Z</dcterms:modified>
</cp:coreProperties>
</file>