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2D43F" w14:textId="77777777" w:rsidR="006D66C1" w:rsidRPr="00451AAA" w:rsidRDefault="006D66C1" w:rsidP="00FD65DA">
      <w:pPr>
        <w:pStyle w:val="Heading1"/>
        <w:rPr>
          <w:b w:val="0"/>
        </w:rPr>
      </w:pPr>
      <w:r>
        <w:t>FINDING OF EMERGENCY</w:t>
      </w:r>
    </w:p>
    <w:p w14:paraId="0E54BBD4" w14:textId="4F6F886A" w:rsidR="6B7C10E3" w:rsidRDefault="6B7C10E3" w:rsidP="7FC9C327">
      <w:pPr>
        <w:jc w:val="center"/>
      </w:pPr>
      <w:bookmarkStart w:id="0" w:name="_Hlk150845764"/>
      <w:r w:rsidRPr="7FC9C327">
        <w:rPr>
          <w:rFonts w:eastAsia="Arial" w:cs="Arial"/>
          <w:b/>
          <w:bCs/>
          <w:color w:val="000000" w:themeColor="text1"/>
        </w:rPr>
        <w:t>California Assessment of Student Performance</w:t>
      </w:r>
      <w:r w:rsidR="004A4DE2">
        <w:rPr>
          <w:rFonts w:eastAsia="Arial" w:cs="Arial"/>
          <w:b/>
          <w:bCs/>
          <w:color w:val="000000" w:themeColor="text1"/>
        </w:rPr>
        <w:t xml:space="preserve"> and Progress</w:t>
      </w:r>
    </w:p>
    <w:bookmarkEnd w:id="0"/>
    <w:p w14:paraId="02EB378F" w14:textId="77777777" w:rsidR="006D66C1" w:rsidRPr="00451AAA" w:rsidRDefault="006D66C1" w:rsidP="006D66C1">
      <w:pPr>
        <w:jc w:val="center"/>
        <w:rPr>
          <w:rFonts w:cs="Arial"/>
        </w:rPr>
      </w:pPr>
    </w:p>
    <w:p w14:paraId="5B7DA77F" w14:textId="46F5486D" w:rsidR="00971610" w:rsidRPr="00451AAA" w:rsidRDefault="006D66C1" w:rsidP="00971610">
      <w:r w:rsidRPr="00451AAA">
        <w:rPr>
          <w:rFonts w:cs="Arial"/>
        </w:rPr>
        <w:t xml:space="preserve">The State Board of Education (SBE) finds that an emergency exists and that the emergency regulations adopted are necessary to avoid serious harm to the public peace, health, safety, or general welfare, </w:t>
      </w:r>
      <w:r w:rsidR="00815C22">
        <w:rPr>
          <w:rFonts w:cs="Arial"/>
        </w:rPr>
        <w:t>particularly</w:t>
      </w:r>
      <w:r w:rsidR="00815C22" w:rsidRPr="00451AAA">
        <w:rPr>
          <w:rFonts w:cs="Arial"/>
        </w:rPr>
        <w:t xml:space="preserve"> </w:t>
      </w:r>
      <w:r w:rsidRPr="00451AAA">
        <w:rPr>
          <w:rFonts w:cs="Arial"/>
        </w:rPr>
        <w:t xml:space="preserve">the </w:t>
      </w:r>
      <w:r w:rsidR="00815C22">
        <w:rPr>
          <w:rFonts w:cs="Arial"/>
        </w:rPr>
        <w:t xml:space="preserve">general </w:t>
      </w:r>
      <w:r w:rsidRPr="00451AAA">
        <w:rPr>
          <w:rFonts w:cs="Arial"/>
        </w:rPr>
        <w:t>welfare of students attending California’s public schools.</w:t>
      </w:r>
      <w:r w:rsidR="00971610" w:rsidRPr="00451AAA">
        <w:rPr>
          <w:rFonts w:cs="Arial"/>
        </w:rPr>
        <w:t xml:space="preserve"> </w:t>
      </w:r>
    </w:p>
    <w:p w14:paraId="6A05A809" w14:textId="77777777" w:rsidR="006D66C1" w:rsidRPr="00451AAA" w:rsidRDefault="006D66C1" w:rsidP="006D66C1">
      <w:pPr>
        <w:rPr>
          <w:rFonts w:cs="Arial"/>
        </w:rPr>
      </w:pPr>
    </w:p>
    <w:p w14:paraId="79C73987" w14:textId="77777777" w:rsidR="006D66C1" w:rsidRPr="00451AAA" w:rsidRDefault="006D66C1" w:rsidP="00FD65DA">
      <w:pPr>
        <w:pStyle w:val="Heading2"/>
      </w:pPr>
      <w:r w:rsidRPr="00451AAA">
        <w:t xml:space="preserve">SPECIFIC FACTS DEMONSTRATING THE EXISTENCE OF AN EMERGENCY AND THE NEED FOR IMMEDIATE ACTION </w:t>
      </w:r>
    </w:p>
    <w:p w14:paraId="5A39BBE3" w14:textId="77777777" w:rsidR="006D66C1" w:rsidRPr="00451AAA" w:rsidRDefault="006D66C1" w:rsidP="006D66C1">
      <w:pPr>
        <w:rPr>
          <w:rFonts w:cs="Arial"/>
        </w:rPr>
      </w:pPr>
    </w:p>
    <w:p w14:paraId="6C0E1DE5" w14:textId="77777777" w:rsidR="006D66C1" w:rsidRPr="00217999" w:rsidRDefault="006D66C1" w:rsidP="00FD65DA">
      <w:pPr>
        <w:pStyle w:val="Heading3"/>
      </w:pPr>
      <w:r>
        <w:t>Overview</w:t>
      </w:r>
      <w:r>
        <w:br/>
      </w:r>
    </w:p>
    <w:p w14:paraId="1FB46B6F" w14:textId="210EFE50" w:rsidR="586D8442" w:rsidRDefault="586D8442" w:rsidP="3F850A06">
      <w:pPr>
        <w:spacing w:line="259" w:lineRule="auto"/>
        <w:rPr>
          <w:rFonts w:eastAsia="Arial" w:cs="Arial"/>
          <w:color w:val="000000" w:themeColor="text1"/>
        </w:rPr>
      </w:pPr>
      <w:r w:rsidRPr="2573C9FE">
        <w:rPr>
          <w:rFonts w:eastAsia="Arial" w:cs="Arial"/>
          <w:color w:val="000000" w:themeColor="text1"/>
        </w:rPr>
        <w:t xml:space="preserve">The proposed </w:t>
      </w:r>
      <w:r w:rsidRPr="00FC6EE7">
        <w:rPr>
          <w:rFonts w:eastAsia="Arial" w:cs="Arial"/>
          <w:color w:val="000000" w:themeColor="text1"/>
        </w:rPr>
        <w:t xml:space="preserve">regulations, </w:t>
      </w:r>
      <w:r w:rsidR="004618EC">
        <w:rPr>
          <w:rFonts w:eastAsia="Arial" w:cs="Arial"/>
          <w:color w:val="000000" w:themeColor="text1"/>
        </w:rPr>
        <w:t>T</w:t>
      </w:r>
      <w:r w:rsidR="00C11C0A">
        <w:rPr>
          <w:rFonts w:eastAsia="Arial" w:cs="Arial"/>
          <w:color w:val="000000" w:themeColor="text1"/>
        </w:rPr>
        <w:t xml:space="preserve">itle 5 of the </w:t>
      </w:r>
      <w:r w:rsidRPr="004618EC">
        <w:rPr>
          <w:rFonts w:eastAsia="Arial" w:cs="Arial"/>
          <w:color w:val="000000" w:themeColor="text1"/>
        </w:rPr>
        <w:t>California Code of Regulations</w:t>
      </w:r>
      <w:r w:rsidR="00B569BE">
        <w:rPr>
          <w:rFonts w:eastAsia="Arial" w:cs="Arial"/>
          <w:color w:val="000000" w:themeColor="text1"/>
        </w:rPr>
        <w:t xml:space="preserve"> </w:t>
      </w:r>
      <w:r w:rsidRPr="2573C9FE">
        <w:rPr>
          <w:rFonts w:eastAsia="Arial" w:cs="Arial"/>
          <w:color w:val="000000" w:themeColor="text1"/>
        </w:rPr>
        <w:t xml:space="preserve">(5 </w:t>
      </w:r>
      <w:r w:rsidRPr="004618EC">
        <w:rPr>
          <w:rFonts w:eastAsia="Arial" w:cs="Arial"/>
          <w:color w:val="000000" w:themeColor="text1"/>
        </w:rPr>
        <w:t>CCR</w:t>
      </w:r>
      <w:r w:rsidRPr="2573C9FE">
        <w:rPr>
          <w:rFonts w:eastAsia="Arial" w:cs="Arial"/>
          <w:color w:val="000000" w:themeColor="text1"/>
        </w:rPr>
        <w:t xml:space="preserve">), section 855, must be adopted, on an emergency basis, in order for the California Department of </w:t>
      </w:r>
      <w:r w:rsidR="5C9AE6CD" w:rsidRPr="2573C9FE">
        <w:rPr>
          <w:rFonts w:eastAsia="Arial" w:cs="Arial"/>
          <w:color w:val="000000" w:themeColor="text1"/>
        </w:rPr>
        <w:t>Education</w:t>
      </w:r>
      <w:r w:rsidR="00FC6EE7">
        <w:rPr>
          <w:rFonts w:eastAsia="Arial" w:cs="Arial"/>
          <w:color w:val="000000" w:themeColor="text1"/>
        </w:rPr>
        <w:t xml:space="preserve"> (CDE)</w:t>
      </w:r>
      <w:r w:rsidRPr="2573C9FE">
        <w:rPr>
          <w:rFonts w:eastAsia="Arial" w:cs="Arial"/>
          <w:color w:val="000000" w:themeColor="text1"/>
        </w:rPr>
        <w:t xml:space="preserve"> to make statewide summative </w:t>
      </w:r>
      <w:r w:rsidR="004618EC" w:rsidRPr="004618EC">
        <w:rPr>
          <w:rFonts w:eastAsia="Arial" w:cs="Arial"/>
          <w:color w:val="000000" w:themeColor="text1"/>
        </w:rPr>
        <w:t>California Assessment of Student Performance and Progress</w:t>
      </w:r>
      <w:r w:rsidR="004618EC">
        <w:rPr>
          <w:rFonts w:eastAsia="Arial" w:cs="Arial"/>
          <w:color w:val="000000" w:themeColor="text1"/>
        </w:rPr>
        <w:t xml:space="preserve"> (</w:t>
      </w:r>
      <w:r w:rsidRPr="2573C9FE">
        <w:rPr>
          <w:rFonts w:eastAsia="Arial" w:cs="Arial"/>
          <w:color w:val="000000" w:themeColor="text1"/>
        </w:rPr>
        <w:t>CAASPP</w:t>
      </w:r>
      <w:r w:rsidR="004618EC">
        <w:rPr>
          <w:rFonts w:eastAsia="Arial" w:cs="Arial"/>
          <w:color w:val="000000" w:themeColor="text1"/>
        </w:rPr>
        <w:t>)</w:t>
      </w:r>
      <w:r w:rsidRPr="2573C9FE">
        <w:rPr>
          <w:rFonts w:eastAsia="Arial" w:cs="Arial"/>
          <w:color w:val="000000" w:themeColor="text1"/>
        </w:rPr>
        <w:t xml:space="preserve"> results publicly available on or before October 15 in accordance with </w:t>
      </w:r>
      <w:r w:rsidR="0BCEBDCB" w:rsidRPr="004618EC">
        <w:rPr>
          <w:rFonts w:eastAsia="Arial" w:cs="Arial"/>
          <w:color w:val="000000" w:themeColor="text1"/>
        </w:rPr>
        <w:t>Education Code</w:t>
      </w:r>
      <w:r w:rsidR="00851368">
        <w:rPr>
          <w:rFonts w:eastAsia="Arial" w:cs="Arial"/>
          <w:color w:val="000000" w:themeColor="text1"/>
        </w:rPr>
        <w:t xml:space="preserve"> (</w:t>
      </w:r>
      <w:r w:rsidR="00C11C0A">
        <w:rPr>
          <w:rFonts w:eastAsia="Arial" w:cs="Arial"/>
          <w:color w:val="000000" w:themeColor="text1"/>
        </w:rPr>
        <w:t>EC</w:t>
      </w:r>
      <w:r w:rsidR="00851368">
        <w:rPr>
          <w:rFonts w:eastAsia="Arial" w:cs="Arial"/>
          <w:color w:val="000000" w:themeColor="text1"/>
        </w:rPr>
        <w:t>)</w:t>
      </w:r>
      <w:r w:rsidR="0BCEBDCB" w:rsidRPr="004618EC">
        <w:rPr>
          <w:rFonts w:eastAsia="Arial" w:cs="Arial"/>
          <w:color w:val="000000" w:themeColor="text1"/>
        </w:rPr>
        <w:t xml:space="preserve"> </w:t>
      </w:r>
      <w:r w:rsidR="00FC6EE7" w:rsidRPr="004618EC">
        <w:rPr>
          <w:rFonts w:eastAsia="Arial" w:cs="Arial"/>
          <w:color w:val="000000" w:themeColor="text1"/>
        </w:rPr>
        <w:t>section</w:t>
      </w:r>
      <w:r w:rsidR="00FC6EE7">
        <w:rPr>
          <w:rFonts w:eastAsia="Arial" w:cs="Arial"/>
          <w:i/>
          <w:iCs/>
          <w:color w:val="000000" w:themeColor="text1"/>
        </w:rPr>
        <w:t xml:space="preserve"> </w:t>
      </w:r>
      <w:r w:rsidR="0BCEBDCB" w:rsidRPr="2573C9FE">
        <w:rPr>
          <w:rFonts w:eastAsia="Arial" w:cs="Arial"/>
          <w:color w:val="000000" w:themeColor="text1"/>
        </w:rPr>
        <w:t>60641</w:t>
      </w:r>
      <w:r w:rsidR="3B1DCF71" w:rsidRPr="2573C9FE">
        <w:rPr>
          <w:rFonts w:eastAsia="Arial" w:cs="Arial"/>
          <w:color w:val="000000" w:themeColor="text1"/>
        </w:rPr>
        <w:t xml:space="preserve">. </w:t>
      </w:r>
    </w:p>
    <w:p w14:paraId="41C8F396" w14:textId="77777777" w:rsidR="001919FF" w:rsidRDefault="001919FF" w:rsidP="006D66C1">
      <w:pPr>
        <w:rPr>
          <w:rFonts w:cs="Arial"/>
          <w:i/>
          <w:color w:val="FF0000"/>
          <w:sz w:val="20"/>
          <w:szCs w:val="20"/>
        </w:rPr>
      </w:pPr>
    </w:p>
    <w:p w14:paraId="72A3D3EC" w14:textId="08BF43B4" w:rsidR="001919FF" w:rsidRDefault="00014785" w:rsidP="7FC9C327">
      <w:pPr>
        <w:pStyle w:val="Heading3"/>
        <w:keepNext w:val="0"/>
        <w:keepLines w:val="0"/>
      </w:pPr>
      <w:r>
        <w:t>B</w:t>
      </w:r>
      <w:r w:rsidR="006D66C1">
        <w:t>ackground</w:t>
      </w:r>
    </w:p>
    <w:p w14:paraId="69C15D43" w14:textId="77777777" w:rsidR="00CB0C36" w:rsidRDefault="00CB0C36"/>
    <w:p w14:paraId="06A40EDA" w14:textId="1CDA372F" w:rsidR="00FB0335" w:rsidRDefault="00FB0335" w:rsidP="00FB0335">
      <w:pPr>
        <w:spacing w:line="259" w:lineRule="auto"/>
        <w:rPr>
          <w:rFonts w:eastAsia="Arial" w:cs="Arial"/>
          <w:color w:val="000000" w:themeColor="text1"/>
        </w:rPr>
      </w:pPr>
      <w:r w:rsidRPr="2573C9FE">
        <w:rPr>
          <w:rFonts w:eastAsia="Arial" w:cs="Arial"/>
          <w:color w:val="000000" w:themeColor="text1"/>
        </w:rPr>
        <w:t>Assembly Bill No. 484 (Stats. 2013, ch</w:t>
      </w:r>
      <w:r>
        <w:rPr>
          <w:rFonts w:eastAsia="Arial" w:cs="Arial"/>
          <w:color w:val="000000" w:themeColor="text1"/>
        </w:rPr>
        <w:t>.</w:t>
      </w:r>
      <w:r w:rsidRPr="2573C9FE">
        <w:rPr>
          <w:rFonts w:eastAsia="Arial" w:cs="Arial"/>
          <w:color w:val="000000" w:themeColor="text1"/>
        </w:rPr>
        <w:t xml:space="preserve"> 489</w:t>
      </w:r>
      <w:r>
        <w:rPr>
          <w:rFonts w:eastAsia="Arial" w:cs="Arial"/>
          <w:color w:val="000000" w:themeColor="text1"/>
        </w:rPr>
        <w:t>;</w:t>
      </w:r>
      <w:r w:rsidRPr="2573C9FE">
        <w:rPr>
          <w:rFonts w:eastAsia="Arial" w:cs="Arial"/>
          <w:color w:val="000000" w:themeColor="text1"/>
        </w:rPr>
        <w:t xml:space="preserve"> hereafter AB 484) authorized </w:t>
      </w:r>
      <w:r w:rsidR="004618EC">
        <w:rPr>
          <w:rFonts w:eastAsia="Arial" w:cs="Arial"/>
          <w:color w:val="000000" w:themeColor="text1"/>
        </w:rPr>
        <w:t>California’s current</w:t>
      </w:r>
      <w:r w:rsidRPr="2573C9FE">
        <w:rPr>
          <w:rFonts w:eastAsia="Arial" w:cs="Arial"/>
          <w:color w:val="000000" w:themeColor="text1"/>
        </w:rPr>
        <w:t xml:space="preserve"> statewide testing program, the CAASPP System. Provisions of AB 484 took effect in January 2014. Pursuant to </w:t>
      </w:r>
      <w:r>
        <w:rPr>
          <w:rFonts w:eastAsia="Arial" w:cs="Arial"/>
          <w:color w:val="000000" w:themeColor="text1"/>
        </w:rPr>
        <w:t>EC</w:t>
      </w:r>
      <w:r w:rsidRPr="2573C9FE">
        <w:rPr>
          <w:rFonts w:eastAsia="Arial" w:cs="Arial"/>
          <w:color w:val="000000" w:themeColor="text1"/>
        </w:rPr>
        <w:t xml:space="preserve"> </w:t>
      </w:r>
      <w:r>
        <w:rPr>
          <w:rFonts w:eastAsia="Arial" w:cs="Arial"/>
          <w:color w:val="000000" w:themeColor="text1"/>
        </w:rPr>
        <w:t>s</w:t>
      </w:r>
      <w:r w:rsidRPr="2573C9FE">
        <w:rPr>
          <w:rFonts w:eastAsia="Arial" w:cs="Arial"/>
          <w:color w:val="000000" w:themeColor="text1"/>
        </w:rPr>
        <w:t xml:space="preserve">ection 60640, the CDE has updated the CAASPP System since 2014 to include the following assessments: the California Science Test (CAST), aligned with the California Next Generation Science Standards (CA NGSS); the California Alternate Assessments (CAAs) for English Language Arts (ELA), Mathematics, and Science, aligned with the Core Content Connectors; and the California Spanish Assessment (CSA), aligned with the Common Core State Standards </w:t>
      </w:r>
      <w:proofErr w:type="spellStart"/>
      <w:r w:rsidRPr="2573C9FE">
        <w:rPr>
          <w:rFonts w:eastAsia="Arial" w:cs="Arial"/>
          <w:color w:val="000000" w:themeColor="text1"/>
        </w:rPr>
        <w:t>en</w:t>
      </w:r>
      <w:proofErr w:type="spellEnd"/>
      <w:r w:rsidRPr="2573C9FE">
        <w:rPr>
          <w:rFonts w:eastAsia="Arial" w:cs="Arial"/>
          <w:color w:val="000000" w:themeColor="text1"/>
        </w:rPr>
        <w:t xml:space="preserve"> Español. </w:t>
      </w:r>
      <w:r w:rsidR="00815C22" w:rsidRPr="00815C22">
        <w:rPr>
          <w:rFonts w:eastAsia="Arial" w:cs="Arial"/>
          <w:color w:val="000000" w:themeColor="text1"/>
        </w:rPr>
        <w:t>CAASPP test results are used to improve teaching and learning in schools and local educational agencies (LEAs) in California. In addition, the CAASPP tests are developed, administered, and reported in accordance with federal requirements.</w:t>
      </w:r>
    </w:p>
    <w:p w14:paraId="5EDA78DE" w14:textId="77777777" w:rsidR="00FB0335" w:rsidRDefault="00FB0335" w:rsidP="00FB0335">
      <w:pPr>
        <w:rPr>
          <w:rFonts w:eastAsia="Arial" w:cs="Arial"/>
          <w:color w:val="000000" w:themeColor="text1"/>
        </w:rPr>
      </w:pPr>
    </w:p>
    <w:p w14:paraId="24B65EEE" w14:textId="7587D90C" w:rsidR="00FB0335" w:rsidRDefault="00FB0335" w:rsidP="00FB0335">
      <w:pPr>
        <w:rPr>
          <w:rFonts w:eastAsia="Arial" w:cs="Arial"/>
          <w:color w:val="000000" w:themeColor="text1"/>
        </w:rPr>
      </w:pPr>
      <w:r w:rsidRPr="2573C9FE">
        <w:rPr>
          <w:rFonts w:eastAsia="Arial" w:cs="Arial"/>
          <w:color w:val="000000" w:themeColor="text1"/>
        </w:rPr>
        <w:t xml:space="preserve">As required by </w:t>
      </w:r>
      <w:r w:rsidRPr="003A14CA">
        <w:rPr>
          <w:rFonts w:eastAsia="Arial" w:cs="Arial"/>
          <w:color w:val="000000" w:themeColor="text1"/>
        </w:rPr>
        <w:t>EC</w:t>
      </w:r>
      <w:r w:rsidRPr="00FC6EE7">
        <w:rPr>
          <w:rFonts w:eastAsia="Arial" w:cs="Arial"/>
          <w:color w:val="000000" w:themeColor="text1"/>
        </w:rPr>
        <w:t xml:space="preserve"> </w:t>
      </w:r>
      <w:r w:rsidRPr="2573C9FE">
        <w:rPr>
          <w:rFonts w:eastAsia="Arial" w:cs="Arial"/>
          <w:color w:val="000000" w:themeColor="text1"/>
        </w:rPr>
        <w:t xml:space="preserve">section 60640(q), 5 </w:t>
      </w:r>
      <w:r w:rsidRPr="003A14CA">
        <w:rPr>
          <w:rFonts w:eastAsia="Arial" w:cs="Arial"/>
          <w:color w:val="000000" w:themeColor="text1"/>
        </w:rPr>
        <w:t>CCR</w:t>
      </w:r>
      <w:r w:rsidRPr="2573C9FE">
        <w:rPr>
          <w:rFonts w:eastAsia="Arial" w:cs="Arial"/>
          <w:i/>
          <w:iCs/>
          <w:color w:val="000000" w:themeColor="text1"/>
        </w:rPr>
        <w:t xml:space="preserve"> </w:t>
      </w:r>
      <w:r w:rsidRPr="2573C9FE">
        <w:rPr>
          <w:rFonts w:eastAsia="Arial" w:cs="Arial"/>
          <w:color w:val="000000" w:themeColor="text1"/>
        </w:rPr>
        <w:t>sections 850 through 864 were amended to conform to the State’s testing regulations for the CAASPP System for the first operational administration of the CAASPP, which occurred in the 2014–2015 school year. Subsequent amendments were adopted on an emergency basis and through the regular rulemaking process for the second operational year of the CAASPP in 2015–2016, the third operational year of the CAASPP in 2016–2017, the fifth operational year of the CAASPP in 2018–2019, and in the seventh operational year of the CAASPP in 2021–</w:t>
      </w:r>
      <w:r w:rsidR="0090384F">
        <w:rPr>
          <w:rFonts w:eastAsia="Arial" w:cs="Arial"/>
          <w:color w:val="000000" w:themeColor="text1"/>
        </w:rPr>
        <w:t>20</w:t>
      </w:r>
      <w:r w:rsidRPr="2573C9FE">
        <w:rPr>
          <w:rFonts w:eastAsia="Arial" w:cs="Arial"/>
          <w:color w:val="000000" w:themeColor="text1"/>
        </w:rPr>
        <w:t xml:space="preserve">22. </w:t>
      </w:r>
    </w:p>
    <w:p w14:paraId="5B901023" w14:textId="77777777" w:rsidR="00FB0335" w:rsidRDefault="00FB0335" w:rsidP="00FB0335">
      <w:pPr>
        <w:rPr>
          <w:rFonts w:eastAsia="Arial" w:cs="Arial"/>
          <w:color w:val="000000" w:themeColor="text1"/>
        </w:rPr>
      </w:pPr>
    </w:p>
    <w:p w14:paraId="52ABEAB0" w14:textId="0C9AC426" w:rsidR="3786D057" w:rsidRDefault="3786D057" w:rsidP="7FC9C327">
      <w:pPr>
        <w:spacing w:after="240"/>
        <w:rPr>
          <w:rFonts w:eastAsia="Arial" w:cs="Arial"/>
          <w:color w:val="000000" w:themeColor="text1"/>
        </w:rPr>
      </w:pPr>
      <w:r w:rsidRPr="2573C9FE">
        <w:rPr>
          <w:rFonts w:eastAsia="Arial" w:cs="Arial"/>
          <w:color w:val="000000" w:themeColor="text1"/>
        </w:rPr>
        <w:t xml:space="preserve">All CAASPP assessments are administered within a CAASPP LEA testing window designated by each LEA within the larger CAASPP state testing window. The LEA testing window may begin on the day in which 66 percent of the school's or track's </w:t>
      </w:r>
      <w:r w:rsidRPr="2573C9FE">
        <w:rPr>
          <w:rFonts w:eastAsia="Arial" w:cs="Arial"/>
          <w:color w:val="000000" w:themeColor="text1"/>
        </w:rPr>
        <w:lastRenderedPageBreak/>
        <w:t>annual instructional days have been completed, but no earlier than the start of the state testing window, and testing may continue up to and including the last day of instruction for the regular school's or track's annual calendar, but no later than the end of the state testing window.</w:t>
      </w:r>
    </w:p>
    <w:p w14:paraId="0C247400" w14:textId="492BE11C" w:rsidR="3786D057" w:rsidRDefault="3786D057" w:rsidP="3F850A06">
      <w:pPr>
        <w:spacing w:after="240"/>
        <w:rPr>
          <w:rFonts w:eastAsia="Arial" w:cs="Arial"/>
          <w:color w:val="000000" w:themeColor="text1"/>
        </w:rPr>
      </w:pPr>
      <w:r w:rsidRPr="2573C9FE">
        <w:rPr>
          <w:rFonts w:eastAsia="Arial" w:cs="Arial"/>
          <w:color w:val="000000" w:themeColor="text1"/>
        </w:rPr>
        <w:t>The state testing window for all CAASPP assessments—with the exception of the CAA for Science—</w:t>
      </w:r>
      <w:r w:rsidRPr="2573C9FE">
        <w:rPr>
          <w:rFonts w:eastAsia="Arial" w:cs="Arial"/>
          <w:color w:val="212121"/>
        </w:rPr>
        <w:t xml:space="preserve">begins no earlier than the second Tuesday in January of each year. The state testing window for the CAA for Science begins on a date in September as determined by the CDE so that each of the CAA for Science performance tasks can be embedded within the instruction relevant to each performance task. </w:t>
      </w:r>
      <w:r w:rsidRPr="2573C9FE">
        <w:rPr>
          <w:rFonts w:eastAsia="Arial" w:cs="Arial"/>
          <w:color w:val="000000" w:themeColor="text1"/>
        </w:rPr>
        <w:t>Currently, per the 5</w:t>
      </w:r>
      <w:r w:rsidRPr="2573C9FE">
        <w:rPr>
          <w:rFonts w:eastAsia="Arial" w:cs="Arial"/>
          <w:i/>
          <w:iCs/>
          <w:color w:val="000000" w:themeColor="text1"/>
        </w:rPr>
        <w:t xml:space="preserve"> </w:t>
      </w:r>
      <w:r w:rsidRPr="004618EC">
        <w:rPr>
          <w:rFonts w:eastAsia="Arial" w:cs="Arial"/>
          <w:color w:val="000000" w:themeColor="text1"/>
        </w:rPr>
        <w:t>CCR</w:t>
      </w:r>
      <w:r w:rsidRPr="2573C9FE">
        <w:rPr>
          <w:rFonts w:eastAsia="Arial" w:cs="Arial"/>
          <w:color w:val="000000" w:themeColor="text1"/>
        </w:rPr>
        <w:t xml:space="preserve"> </w:t>
      </w:r>
      <w:r w:rsidR="00B569BE">
        <w:rPr>
          <w:rFonts w:eastAsia="Arial" w:cs="Arial"/>
          <w:color w:val="000000" w:themeColor="text1"/>
        </w:rPr>
        <w:t>s</w:t>
      </w:r>
      <w:r w:rsidR="00B569BE" w:rsidRPr="2573C9FE">
        <w:rPr>
          <w:rFonts w:eastAsia="Arial" w:cs="Arial"/>
          <w:color w:val="000000" w:themeColor="text1"/>
        </w:rPr>
        <w:t xml:space="preserve">ection </w:t>
      </w:r>
      <w:r w:rsidR="00FB0335">
        <w:rPr>
          <w:rFonts w:eastAsia="Arial" w:cs="Arial"/>
          <w:color w:val="000000" w:themeColor="text1"/>
        </w:rPr>
        <w:t>855</w:t>
      </w:r>
      <w:r w:rsidRPr="2573C9FE">
        <w:rPr>
          <w:rFonts w:eastAsia="Arial" w:cs="Arial"/>
          <w:color w:val="000000" w:themeColor="text1"/>
        </w:rPr>
        <w:t xml:space="preserve">, the state testing window for all CAASPP assessments ends each year on July 15, or on the weekday following July 15 if July 15 was not a weekday. </w:t>
      </w:r>
    </w:p>
    <w:p w14:paraId="0FA3DA16" w14:textId="227EB1FE" w:rsidR="3786D057" w:rsidRDefault="3786D057" w:rsidP="3F850A06">
      <w:pPr>
        <w:spacing w:after="240"/>
        <w:rPr>
          <w:rFonts w:eastAsia="Arial" w:cs="Arial"/>
          <w:color w:val="000000" w:themeColor="text1"/>
        </w:rPr>
      </w:pPr>
      <w:r w:rsidRPr="3F850A06">
        <w:rPr>
          <w:rFonts w:eastAsia="Arial" w:cs="Arial"/>
          <w:color w:val="000000" w:themeColor="text1"/>
        </w:rPr>
        <w:t xml:space="preserve">Following the end of the CAASPP state testing window, the CDE’s testing contractor, ETS, moves all tests that have not been completed to the </w:t>
      </w:r>
      <w:r w:rsidR="5855AF5C" w:rsidRPr="3F850A06">
        <w:rPr>
          <w:rFonts w:eastAsia="Arial" w:cs="Arial"/>
          <w:color w:val="000000" w:themeColor="text1"/>
        </w:rPr>
        <w:t xml:space="preserve">post-administration </w:t>
      </w:r>
      <w:r w:rsidRPr="3F850A06">
        <w:rPr>
          <w:rFonts w:eastAsia="Arial" w:cs="Arial"/>
          <w:color w:val="000000" w:themeColor="text1"/>
        </w:rPr>
        <w:t xml:space="preserve">processes of scoring and reporting. Prior to the public release of all aggregate results to the </w:t>
      </w:r>
      <w:r w:rsidRPr="0037446E">
        <w:rPr>
          <w:rFonts w:eastAsia="Arial" w:cs="Arial"/>
        </w:rPr>
        <w:t>Test Results for California’s Assessments</w:t>
      </w:r>
      <w:r w:rsidRPr="3F850A06">
        <w:rPr>
          <w:rFonts w:eastAsia="Arial" w:cs="Arial"/>
          <w:color w:val="000000" w:themeColor="text1"/>
        </w:rPr>
        <w:t xml:space="preserve"> website</w:t>
      </w:r>
      <w:r w:rsidR="004618EC">
        <w:rPr>
          <w:rFonts w:eastAsia="Arial" w:cs="Arial"/>
          <w:color w:val="000000" w:themeColor="text1"/>
        </w:rPr>
        <w:t xml:space="preserve"> at </w:t>
      </w:r>
      <w:hyperlink r:id="rId8" w:tooltip="Test Results for California's Assessments website" w:history="1">
        <w:r w:rsidR="004618EC" w:rsidRPr="0083382B">
          <w:rPr>
            <w:rStyle w:val="Hyperlink"/>
            <w:rFonts w:eastAsia="Arial" w:cs="Arial"/>
          </w:rPr>
          <w:t>https://caaspp-elpac.ets.org</w:t>
        </w:r>
      </w:hyperlink>
      <w:r w:rsidRPr="3F850A06">
        <w:rPr>
          <w:rFonts w:eastAsia="Arial" w:cs="Arial"/>
          <w:color w:val="000000" w:themeColor="text1"/>
        </w:rPr>
        <w:t xml:space="preserve">, ETS and the CDE conduct a series of quality control processes to ensure that all aggregate data reported is correct. </w:t>
      </w:r>
    </w:p>
    <w:p w14:paraId="0FD72888" w14:textId="77777777" w:rsidR="00DD30AA" w:rsidRPr="004618EC" w:rsidRDefault="006D66C1" w:rsidP="004618EC">
      <w:pPr>
        <w:pStyle w:val="ListParagraph"/>
        <w:spacing w:after="240"/>
        <w:ind w:left="0"/>
        <w:rPr>
          <w:b/>
          <w:bCs/>
        </w:rPr>
      </w:pPr>
      <w:r w:rsidRPr="004618EC" w:rsidDel="00CB0C36">
        <w:rPr>
          <w:b/>
          <w:bCs/>
        </w:rPr>
        <w:t>Specific Basis for the Finding of Emergency</w:t>
      </w:r>
    </w:p>
    <w:p w14:paraId="3378E40C" w14:textId="756FF110" w:rsidR="00C944E7" w:rsidRDefault="00C944E7" w:rsidP="00C944E7">
      <w:pPr>
        <w:spacing w:after="240"/>
        <w:rPr>
          <w:rFonts w:eastAsia="Arial" w:cs="Arial"/>
          <w:color w:val="000000" w:themeColor="text1"/>
        </w:rPr>
      </w:pPr>
      <w:r w:rsidRPr="2573C9FE">
        <w:rPr>
          <w:rFonts w:eastAsia="Arial" w:cs="Arial"/>
          <w:color w:val="000000" w:themeColor="text1"/>
        </w:rPr>
        <w:t xml:space="preserve">In September 2023, Governor Newsom signed Senate Bill (SB) </w:t>
      </w:r>
      <w:r>
        <w:rPr>
          <w:rFonts w:eastAsia="Arial" w:cs="Arial"/>
          <w:color w:val="000000" w:themeColor="text1"/>
        </w:rPr>
        <w:t xml:space="preserve">No. </w:t>
      </w:r>
      <w:r w:rsidRPr="2573C9FE">
        <w:rPr>
          <w:rFonts w:eastAsia="Arial" w:cs="Arial"/>
          <w:color w:val="000000" w:themeColor="text1"/>
        </w:rPr>
        <w:t xml:space="preserve">293, which requires the CDE to make statewide summative CAASPP results publicly available on or before October 15 each year and requires the State Board of Education’s (SBE) calendar for delivering results to the CDE to be consistent with that deadline. In order to allow sufficient time for the CDE and ETS to complete all required processes prior to the release of results, the CDE </w:t>
      </w:r>
      <w:r w:rsidR="00815C22" w:rsidRPr="00815C22">
        <w:rPr>
          <w:rFonts w:eastAsia="Arial" w:cs="Arial"/>
          <w:color w:val="000000" w:themeColor="text1"/>
        </w:rPr>
        <w:t xml:space="preserve">finds it necessary </w:t>
      </w:r>
      <w:r w:rsidRPr="2573C9FE">
        <w:rPr>
          <w:rFonts w:eastAsia="Arial" w:cs="Arial"/>
          <w:color w:val="000000" w:themeColor="text1"/>
        </w:rPr>
        <w:t>that</w:t>
      </w:r>
      <w:r>
        <w:rPr>
          <w:rFonts w:eastAsia="Arial" w:cs="Arial"/>
          <w:color w:val="000000" w:themeColor="text1"/>
        </w:rPr>
        <w:t xml:space="preserve"> 5 CCR section 855 be amended to indicate that</w:t>
      </w:r>
      <w:r w:rsidRPr="2573C9FE">
        <w:rPr>
          <w:rFonts w:eastAsia="Arial" w:cs="Arial"/>
          <w:color w:val="000000" w:themeColor="text1"/>
        </w:rPr>
        <w:t xml:space="preserve"> the CAASPP state testing window close no later than June 30 each year. The CDE and ETS have reviewed data from prior years’ test administration and have confirmed that only a few LEAs have selected testing windows that end in July and no tests have been administered in the time between June 30 and July 15 in prior years, so this change will have little to no effect on LEAs’ administration of assessments.  </w:t>
      </w:r>
    </w:p>
    <w:p w14:paraId="0D0B940D" w14:textId="34F52AF0" w:rsidR="001919FF" w:rsidRDefault="57177E22" w:rsidP="3F850A06">
      <w:pPr>
        <w:rPr>
          <w:rFonts w:eastAsia="Arial" w:cs="Arial"/>
          <w:color w:val="000000" w:themeColor="text1"/>
        </w:rPr>
      </w:pPr>
      <w:r w:rsidRPr="2573C9FE">
        <w:rPr>
          <w:rFonts w:eastAsia="Arial" w:cs="Arial"/>
          <w:color w:val="000000" w:themeColor="text1"/>
        </w:rPr>
        <w:t>The regulations that govern statewide testing must be as clear, efficient, and effective as possible to ensure the federally required goal of producing valid and reliable statewide test results and the timely reporting of those results.</w:t>
      </w:r>
      <w:r w:rsidR="06F6B546" w:rsidRPr="2573C9FE">
        <w:rPr>
          <w:rFonts w:eastAsia="Arial" w:cs="Arial"/>
          <w:color w:val="000000" w:themeColor="text1"/>
        </w:rPr>
        <w:t xml:space="preserve"> </w:t>
      </w:r>
      <w:r w:rsidR="6E5E6A7B" w:rsidRPr="2573C9FE">
        <w:rPr>
          <w:rFonts w:eastAsia="Arial" w:cs="Arial"/>
          <w:color w:val="000000" w:themeColor="text1"/>
        </w:rPr>
        <w:t>The proposed regulatory amendments are necessary to adopt on an emergency basis to ensure that California continues to produce valid and reliable statewide test results on a timeline in accordance with state law.</w:t>
      </w:r>
    </w:p>
    <w:p w14:paraId="099E9DAA" w14:textId="4B506585" w:rsidR="7FC9C327" w:rsidRDefault="7FC9C327" w:rsidP="002A4690"/>
    <w:p w14:paraId="1BA4A70A" w14:textId="77777777" w:rsidR="00D85C03" w:rsidRDefault="00D85C03">
      <w:pPr>
        <w:rPr>
          <w:rFonts w:eastAsiaTheme="majorEastAsia" w:cstheme="majorBidi"/>
          <w:b/>
        </w:rPr>
      </w:pPr>
      <w:r>
        <w:br w:type="page"/>
      </w:r>
    </w:p>
    <w:p w14:paraId="1DDEE0C4" w14:textId="220E5A23" w:rsidR="001919FF" w:rsidRDefault="00014785" w:rsidP="00FD65DA">
      <w:pPr>
        <w:pStyle w:val="Heading3"/>
      </w:pPr>
      <w:r>
        <w:lastRenderedPageBreak/>
        <w:t>These Issues Could Not Be Addressed Through Nonemergency Regulations</w:t>
      </w:r>
    </w:p>
    <w:p w14:paraId="6773B4F6" w14:textId="46AAE693" w:rsidR="47B6986F" w:rsidRDefault="47B6986F" w:rsidP="47B6986F"/>
    <w:p w14:paraId="43E8E279" w14:textId="627FEBD2" w:rsidR="00453384" w:rsidRDefault="00453384" w:rsidP="7FC9C327">
      <w:pPr>
        <w:rPr>
          <w:rFonts w:eastAsia="Arial" w:cs="Arial"/>
          <w:color w:val="000000" w:themeColor="text1"/>
        </w:rPr>
      </w:pPr>
      <w:r>
        <w:rPr>
          <w:rFonts w:eastAsia="Arial" w:cs="Arial"/>
          <w:color w:val="000000" w:themeColor="text1"/>
        </w:rPr>
        <w:t>Currently, pursuant to 5 CCR section 855, t</w:t>
      </w:r>
      <w:r w:rsidR="737BEA27" w:rsidRPr="2573C9FE">
        <w:rPr>
          <w:rFonts w:eastAsia="Arial" w:cs="Arial"/>
          <w:color w:val="000000" w:themeColor="text1"/>
        </w:rPr>
        <w:t>he 2023–</w:t>
      </w:r>
      <w:r w:rsidR="000C533F">
        <w:rPr>
          <w:rFonts w:eastAsia="Arial" w:cs="Arial"/>
          <w:color w:val="000000" w:themeColor="text1"/>
        </w:rPr>
        <w:t>20</w:t>
      </w:r>
      <w:r w:rsidR="737BEA27" w:rsidRPr="2573C9FE">
        <w:rPr>
          <w:rFonts w:eastAsia="Arial" w:cs="Arial"/>
          <w:color w:val="000000" w:themeColor="text1"/>
        </w:rPr>
        <w:t>24 state testing window for CAASPP is scheduled to end on July 15, 2024. This does not provide enough time for the CD</w:t>
      </w:r>
      <w:r w:rsidR="4AB84D27" w:rsidRPr="2573C9FE">
        <w:rPr>
          <w:rFonts w:eastAsia="Arial" w:cs="Arial"/>
          <w:color w:val="000000" w:themeColor="text1"/>
        </w:rPr>
        <w:t>E</w:t>
      </w:r>
      <w:r w:rsidR="737BEA27" w:rsidRPr="2573C9FE">
        <w:rPr>
          <w:rFonts w:eastAsia="Arial" w:cs="Arial"/>
          <w:color w:val="000000" w:themeColor="text1"/>
        </w:rPr>
        <w:t xml:space="preserve"> and ETS to </w:t>
      </w:r>
      <w:r w:rsidR="57D85885" w:rsidRPr="2573C9FE">
        <w:rPr>
          <w:rFonts w:eastAsia="Arial" w:cs="Arial"/>
          <w:color w:val="000000" w:themeColor="text1"/>
        </w:rPr>
        <w:t xml:space="preserve">complete all annual scoring, reporting, and quality control processes </w:t>
      </w:r>
      <w:r w:rsidR="65A33499" w:rsidRPr="2573C9FE">
        <w:rPr>
          <w:rFonts w:eastAsia="Arial" w:cs="Arial"/>
          <w:color w:val="000000" w:themeColor="text1"/>
        </w:rPr>
        <w:t>needed to</w:t>
      </w:r>
      <w:r w:rsidR="57D85885" w:rsidRPr="2573C9FE">
        <w:rPr>
          <w:rFonts w:eastAsia="Arial" w:cs="Arial"/>
          <w:color w:val="000000" w:themeColor="text1"/>
        </w:rPr>
        <w:t xml:space="preserve"> publicly report 2023–</w:t>
      </w:r>
      <w:r w:rsidR="000C533F">
        <w:rPr>
          <w:rFonts w:eastAsia="Arial" w:cs="Arial"/>
          <w:color w:val="000000" w:themeColor="text1"/>
        </w:rPr>
        <w:t>20</w:t>
      </w:r>
      <w:r w:rsidR="57D85885" w:rsidRPr="2573C9FE">
        <w:rPr>
          <w:rFonts w:eastAsia="Arial" w:cs="Arial"/>
          <w:color w:val="000000" w:themeColor="text1"/>
        </w:rPr>
        <w:t>24 results on or before October 15, 2024</w:t>
      </w:r>
      <w:r>
        <w:rPr>
          <w:rFonts w:eastAsia="Arial" w:cs="Arial"/>
          <w:color w:val="000000" w:themeColor="text1"/>
        </w:rPr>
        <w:t xml:space="preserve">, as </w:t>
      </w:r>
      <w:r w:rsidR="007327F4">
        <w:rPr>
          <w:rFonts w:eastAsia="Arial" w:cs="Arial"/>
          <w:color w:val="000000" w:themeColor="text1"/>
        </w:rPr>
        <w:t xml:space="preserve">now </w:t>
      </w:r>
      <w:r>
        <w:rPr>
          <w:rFonts w:eastAsia="Arial" w:cs="Arial"/>
          <w:color w:val="000000" w:themeColor="text1"/>
        </w:rPr>
        <w:t>required by EC section 60641</w:t>
      </w:r>
      <w:r w:rsidR="57D85885" w:rsidRPr="2573C9FE">
        <w:rPr>
          <w:rFonts w:eastAsia="Arial" w:cs="Arial"/>
          <w:color w:val="000000" w:themeColor="text1"/>
        </w:rPr>
        <w:t xml:space="preserve">. </w:t>
      </w:r>
      <w:r w:rsidR="000C533F">
        <w:rPr>
          <w:rFonts w:eastAsia="Arial" w:cs="Arial"/>
          <w:color w:val="000000" w:themeColor="text1"/>
        </w:rPr>
        <w:t xml:space="preserve">Thus, 5 CCR section 855 is proposed to be amended to close the testing window on </w:t>
      </w:r>
      <w:r w:rsidR="00D85C03">
        <w:rPr>
          <w:rFonts w:eastAsia="Arial" w:cs="Arial"/>
          <w:color w:val="000000" w:themeColor="text1"/>
        </w:rPr>
        <w:t xml:space="preserve">the weekday preceding </w:t>
      </w:r>
      <w:r w:rsidR="000C533F">
        <w:rPr>
          <w:rFonts w:eastAsia="Arial" w:cs="Arial"/>
          <w:color w:val="000000" w:themeColor="text1"/>
        </w:rPr>
        <w:t>June 30, 2024</w:t>
      </w:r>
      <w:r w:rsidR="0090384F">
        <w:rPr>
          <w:rFonts w:eastAsia="Arial" w:cs="Arial"/>
          <w:color w:val="000000" w:themeColor="text1"/>
        </w:rPr>
        <w:t>,</w:t>
      </w:r>
      <w:r w:rsidR="000C533F">
        <w:rPr>
          <w:rFonts w:eastAsia="Arial" w:cs="Arial"/>
          <w:color w:val="000000" w:themeColor="text1"/>
        </w:rPr>
        <w:t xml:space="preserve"> to allow for the completion of all </w:t>
      </w:r>
      <w:r w:rsidR="00815C22">
        <w:rPr>
          <w:rFonts w:eastAsia="Arial" w:cs="Arial"/>
          <w:color w:val="000000" w:themeColor="text1"/>
        </w:rPr>
        <w:t xml:space="preserve">the </w:t>
      </w:r>
      <w:r w:rsidR="000C533F">
        <w:rPr>
          <w:rFonts w:eastAsia="Arial" w:cs="Arial"/>
          <w:color w:val="000000" w:themeColor="text1"/>
        </w:rPr>
        <w:t>necessary processes</w:t>
      </w:r>
      <w:r w:rsidR="00815C22" w:rsidRPr="00815C22">
        <w:t xml:space="preserve"> </w:t>
      </w:r>
      <w:r w:rsidR="00815C22" w:rsidRPr="00815C22">
        <w:rPr>
          <w:rFonts w:eastAsia="Arial" w:cs="Arial"/>
          <w:color w:val="000000" w:themeColor="text1"/>
        </w:rPr>
        <w:t>needed to produce valid and reliable statewide test results by the October 15, 2024, deadline now imposed by EC section 60641.</w:t>
      </w:r>
      <w:r w:rsidR="00815C22">
        <w:rPr>
          <w:rFonts w:eastAsia="Arial" w:cs="Arial"/>
          <w:color w:val="000000" w:themeColor="text1"/>
        </w:rPr>
        <w:t xml:space="preserve"> </w:t>
      </w:r>
    </w:p>
    <w:p w14:paraId="2BE90FEB" w14:textId="77777777" w:rsidR="00453384" w:rsidRDefault="00453384" w:rsidP="7FC9C327">
      <w:pPr>
        <w:rPr>
          <w:rFonts w:eastAsia="Arial" w:cs="Arial"/>
          <w:color w:val="000000" w:themeColor="text1"/>
        </w:rPr>
      </w:pPr>
    </w:p>
    <w:p w14:paraId="43B11FEB" w14:textId="6086BE9D" w:rsidR="349B6EFC" w:rsidRDefault="00453384" w:rsidP="7FC9C327">
      <w:pPr>
        <w:rPr>
          <w:rFonts w:eastAsia="Arial" w:cs="Arial"/>
          <w:color w:val="000000" w:themeColor="text1"/>
        </w:rPr>
      </w:pPr>
      <w:r>
        <w:rPr>
          <w:rFonts w:eastAsia="Arial" w:cs="Arial"/>
          <w:color w:val="000000" w:themeColor="text1"/>
        </w:rPr>
        <w:t xml:space="preserve">The CDE is </w:t>
      </w:r>
      <w:r w:rsidR="00815C22">
        <w:rPr>
          <w:rFonts w:eastAsia="Arial" w:cs="Arial"/>
          <w:color w:val="000000" w:themeColor="text1"/>
        </w:rPr>
        <w:t xml:space="preserve">also </w:t>
      </w:r>
      <w:r>
        <w:rPr>
          <w:rFonts w:eastAsia="Arial" w:cs="Arial"/>
          <w:color w:val="000000" w:themeColor="text1"/>
        </w:rPr>
        <w:t>proposing nonemergency rulemaking for permanent amendments to 5 CCR section</w:t>
      </w:r>
      <w:r w:rsidR="007327F4">
        <w:rPr>
          <w:rFonts w:eastAsia="Arial" w:cs="Arial"/>
          <w:color w:val="000000" w:themeColor="text1"/>
        </w:rPr>
        <w:t xml:space="preserve"> 855</w:t>
      </w:r>
      <w:r w:rsidR="00815C22" w:rsidRPr="00815C22">
        <w:t xml:space="preserve"> </w:t>
      </w:r>
      <w:r w:rsidR="00815C22" w:rsidRPr="00815C22">
        <w:rPr>
          <w:rFonts w:eastAsia="Arial" w:cs="Arial"/>
          <w:color w:val="000000" w:themeColor="text1"/>
        </w:rPr>
        <w:t>that makes these same changes</w:t>
      </w:r>
      <w:r w:rsidR="007327F4">
        <w:rPr>
          <w:rFonts w:eastAsia="Arial" w:cs="Arial"/>
          <w:color w:val="000000" w:themeColor="text1"/>
        </w:rPr>
        <w:t>.</w:t>
      </w:r>
      <w:r>
        <w:rPr>
          <w:rFonts w:eastAsia="Arial" w:cs="Arial"/>
          <w:color w:val="000000" w:themeColor="text1"/>
        </w:rPr>
        <w:t xml:space="preserve"> </w:t>
      </w:r>
      <w:r w:rsidR="156B3C41" w:rsidRPr="2573C9FE">
        <w:rPr>
          <w:rFonts w:eastAsia="Arial" w:cs="Arial"/>
          <w:color w:val="000000" w:themeColor="text1"/>
        </w:rPr>
        <w:t xml:space="preserve">Since </w:t>
      </w:r>
      <w:r w:rsidR="00EA7EE6">
        <w:rPr>
          <w:rFonts w:eastAsia="Arial" w:cs="Arial"/>
          <w:color w:val="000000" w:themeColor="text1"/>
        </w:rPr>
        <w:t xml:space="preserve">the CDE does not expect the </w:t>
      </w:r>
      <w:r w:rsidR="156B3C41" w:rsidRPr="2573C9FE">
        <w:rPr>
          <w:rFonts w:eastAsia="Arial" w:cs="Arial"/>
          <w:color w:val="000000" w:themeColor="text1"/>
        </w:rPr>
        <w:t>nonemergency</w:t>
      </w:r>
      <w:r w:rsidR="00815C22">
        <w:rPr>
          <w:rFonts w:eastAsia="Arial" w:cs="Arial"/>
          <w:color w:val="000000" w:themeColor="text1"/>
        </w:rPr>
        <w:t>,</w:t>
      </w:r>
      <w:r w:rsidR="156B3C41" w:rsidRPr="2573C9FE">
        <w:rPr>
          <w:rFonts w:eastAsia="Arial" w:cs="Arial"/>
          <w:color w:val="000000" w:themeColor="text1"/>
        </w:rPr>
        <w:t xml:space="preserve"> </w:t>
      </w:r>
      <w:r w:rsidR="00C11C0A">
        <w:rPr>
          <w:rFonts w:eastAsia="Arial" w:cs="Arial"/>
          <w:color w:val="000000" w:themeColor="text1"/>
        </w:rPr>
        <w:t xml:space="preserve">permanent </w:t>
      </w:r>
      <w:r w:rsidR="156B3C41" w:rsidRPr="2573C9FE">
        <w:rPr>
          <w:rFonts w:eastAsia="Arial" w:cs="Arial"/>
          <w:color w:val="000000" w:themeColor="text1"/>
        </w:rPr>
        <w:t xml:space="preserve">regulations to go into effect until after </w:t>
      </w:r>
      <w:r w:rsidR="00FD34F9">
        <w:rPr>
          <w:rFonts w:eastAsia="Arial" w:cs="Arial"/>
          <w:color w:val="000000" w:themeColor="text1"/>
        </w:rPr>
        <w:t>June 30</w:t>
      </w:r>
      <w:r w:rsidR="156B3C41" w:rsidRPr="2573C9FE">
        <w:rPr>
          <w:rFonts w:eastAsia="Arial" w:cs="Arial"/>
          <w:color w:val="000000" w:themeColor="text1"/>
        </w:rPr>
        <w:t>, 2024</w:t>
      </w:r>
      <w:r w:rsidR="00C11C0A">
        <w:rPr>
          <w:rFonts w:eastAsia="Arial" w:cs="Arial"/>
          <w:color w:val="000000" w:themeColor="text1"/>
        </w:rPr>
        <w:t xml:space="preserve"> due to compliance with the rulemaking requirements pursuant to the Administrative Procedure Act (Gov. Code, §11340 et seq.)</w:t>
      </w:r>
      <w:r w:rsidR="156B3C41" w:rsidRPr="2573C9FE">
        <w:rPr>
          <w:rFonts w:eastAsia="Arial" w:cs="Arial"/>
          <w:color w:val="000000" w:themeColor="text1"/>
        </w:rPr>
        <w:t xml:space="preserve">, the CDE </w:t>
      </w:r>
      <w:r w:rsidR="24498E28" w:rsidRPr="2573C9FE">
        <w:rPr>
          <w:rFonts w:eastAsia="Arial" w:cs="Arial"/>
          <w:color w:val="000000" w:themeColor="text1"/>
        </w:rPr>
        <w:t xml:space="preserve">finds </w:t>
      </w:r>
      <w:r w:rsidR="00815C22">
        <w:rPr>
          <w:rFonts w:eastAsia="Arial" w:cs="Arial"/>
          <w:color w:val="000000" w:themeColor="text1"/>
        </w:rPr>
        <w:t xml:space="preserve">that </w:t>
      </w:r>
      <w:r w:rsidR="24498E28" w:rsidRPr="2573C9FE">
        <w:rPr>
          <w:rFonts w:eastAsia="Arial" w:cs="Arial"/>
          <w:color w:val="000000" w:themeColor="text1"/>
        </w:rPr>
        <w:t xml:space="preserve">a need for immediate action </w:t>
      </w:r>
      <w:r w:rsidR="00815C22">
        <w:rPr>
          <w:rFonts w:eastAsia="Arial" w:cs="Arial"/>
          <w:color w:val="000000" w:themeColor="text1"/>
        </w:rPr>
        <w:t xml:space="preserve">is necessary </w:t>
      </w:r>
      <w:r w:rsidR="00FB0335">
        <w:rPr>
          <w:rFonts w:eastAsia="Arial" w:cs="Arial"/>
          <w:color w:val="000000" w:themeColor="text1"/>
        </w:rPr>
        <w:t>for</w:t>
      </w:r>
      <w:r w:rsidR="156B3C41" w:rsidRPr="2573C9FE">
        <w:rPr>
          <w:rFonts w:eastAsia="Arial" w:cs="Arial"/>
          <w:color w:val="000000" w:themeColor="text1"/>
        </w:rPr>
        <w:t xml:space="preserve"> the</w:t>
      </w:r>
      <w:r w:rsidR="00815C22">
        <w:rPr>
          <w:rFonts w:eastAsia="Arial" w:cs="Arial"/>
          <w:color w:val="000000" w:themeColor="text1"/>
        </w:rPr>
        <w:t>se</w:t>
      </w:r>
      <w:r w:rsidR="156B3C41" w:rsidRPr="2573C9FE">
        <w:rPr>
          <w:rFonts w:eastAsia="Arial" w:cs="Arial"/>
          <w:color w:val="000000" w:themeColor="text1"/>
        </w:rPr>
        <w:t xml:space="preserve"> proposed regulations</w:t>
      </w:r>
      <w:r w:rsidR="00FB0335">
        <w:rPr>
          <w:rFonts w:eastAsia="Arial" w:cs="Arial"/>
          <w:color w:val="000000" w:themeColor="text1"/>
        </w:rPr>
        <w:t xml:space="preserve"> to be adopted</w:t>
      </w:r>
      <w:r w:rsidR="156B3C41" w:rsidRPr="2573C9FE">
        <w:rPr>
          <w:rFonts w:eastAsia="Arial" w:cs="Arial"/>
          <w:color w:val="000000" w:themeColor="text1"/>
        </w:rPr>
        <w:t xml:space="preserve"> as emergency regulations</w:t>
      </w:r>
      <w:r w:rsidR="00815C22">
        <w:rPr>
          <w:rFonts w:eastAsia="Arial" w:cs="Arial"/>
          <w:color w:val="000000" w:themeColor="text1"/>
        </w:rPr>
        <w:t>,</w:t>
      </w:r>
      <w:r w:rsidR="00EA7EE6">
        <w:rPr>
          <w:rFonts w:eastAsia="Arial" w:cs="Arial"/>
          <w:color w:val="000000" w:themeColor="text1"/>
        </w:rPr>
        <w:t xml:space="preserve"> </w:t>
      </w:r>
      <w:r w:rsidR="00FB0335">
        <w:rPr>
          <w:rFonts w:eastAsia="Arial" w:cs="Arial"/>
          <w:color w:val="000000" w:themeColor="text1"/>
        </w:rPr>
        <w:t>so</w:t>
      </w:r>
      <w:r w:rsidR="00EA7EE6">
        <w:rPr>
          <w:rFonts w:eastAsia="Arial" w:cs="Arial"/>
          <w:color w:val="000000" w:themeColor="text1"/>
        </w:rPr>
        <w:t xml:space="preserve"> the CAASPP results for the 2023-24 testing window </w:t>
      </w:r>
      <w:r w:rsidR="00FB0335">
        <w:rPr>
          <w:rFonts w:eastAsia="Arial" w:cs="Arial"/>
          <w:color w:val="000000" w:themeColor="text1"/>
        </w:rPr>
        <w:t xml:space="preserve">can be publicly reported by October 15, 2024, </w:t>
      </w:r>
      <w:r w:rsidR="00815C22" w:rsidRPr="00815C22">
        <w:rPr>
          <w:rFonts w:eastAsia="Arial" w:cs="Arial"/>
          <w:color w:val="000000" w:themeColor="text1"/>
        </w:rPr>
        <w:t xml:space="preserve">as now required by </w:t>
      </w:r>
      <w:r w:rsidR="00EA7EE6">
        <w:rPr>
          <w:rFonts w:eastAsia="Arial" w:cs="Arial"/>
          <w:color w:val="000000" w:themeColor="text1"/>
        </w:rPr>
        <w:t>EC section 60641</w:t>
      </w:r>
      <w:r w:rsidR="156B3C41" w:rsidRPr="2573C9FE">
        <w:rPr>
          <w:rFonts w:eastAsia="Arial" w:cs="Arial"/>
          <w:color w:val="000000" w:themeColor="text1"/>
        </w:rPr>
        <w:t xml:space="preserve">. </w:t>
      </w:r>
    </w:p>
    <w:p w14:paraId="2A4E0A21" w14:textId="4A8FBE3E" w:rsidR="57A913AB" w:rsidRDefault="57A913AB" w:rsidP="002A4690"/>
    <w:p w14:paraId="22C5E38F" w14:textId="77777777" w:rsidR="006D66C1" w:rsidRPr="00451AAA" w:rsidRDefault="006D66C1" w:rsidP="00FD65DA">
      <w:pPr>
        <w:pStyle w:val="Heading2"/>
      </w:pPr>
      <w:r w:rsidRPr="00451AAA">
        <w:t>NON-DUPLICATION</w:t>
      </w:r>
    </w:p>
    <w:p w14:paraId="60061E4C" w14:textId="77777777" w:rsidR="006D66C1" w:rsidRPr="00451AAA" w:rsidRDefault="006D66C1" w:rsidP="006D66C1">
      <w:pPr>
        <w:rPr>
          <w:rFonts w:cs="Arial"/>
          <w:b/>
        </w:rPr>
      </w:pPr>
    </w:p>
    <w:p w14:paraId="562D3076" w14:textId="08D4FC64" w:rsidR="006D66C1" w:rsidRPr="00451AAA" w:rsidRDefault="006D66C1" w:rsidP="006D66C1">
      <w:pPr>
        <w:rPr>
          <w:rFonts w:cs="Arial"/>
        </w:rPr>
      </w:pPr>
      <w:r w:rsidRPr="2573C9FE">
        <w:rPr>
          <w:rFonts w:cs="Arial"/>
        </w:rPr>
        <w:t xml:space="preserve">Government Code section 11349 prohibits unnecessary duplication of state or federal statutes in regulation. In this case, duplication of </w:t>
      </w:r>
      <w:r w:rsidR="00815C22">
        <w:rPr>
          <w:rFonts w:cs="Arial"/>
        </w:rPr>
        <w:t xml:space="preserve">the language of </w:t>
      </w:r>
      <w:r w:rsidRPr="2573C9FE">
        <w:rPr>
          <w:rFonts w:cs="Arial"/>
        </w:rPr>
        <w:t>certain state statute</w:t>
      </w:r>
      <w:r w:rsidR="00815C22">
        <w:rPr>
          <w:rFonts w:cs="Arial"/>
        </w:rPr>
        <w:t>s</w:t>
      </w:r>
      <w:r w:rsidRPr="2573C9FE">
        <w:rPr>
          <w:rFonts w:cs="Arial"/>
        </w:rPr>
        <w:t xml:space="preserve"> in the proposed emergency regulations is necessary in order to provide additional specific detail not included in </w:t>
      </w:r>
      <w:r w:rsidR="00815C22" w:rsidRPr="00815C22">
        <w:rPr>
          <w:rFonts w:cs="Arial"/>
        </w:rPr>
        <w:t xml:space="preserve">the applicable </w:t>
      </w:r>
      <w:r w:rsidRPr="2573C9FE">
        <w:rPr>
          <w:rFonts w:cs="Arial"/>
        </w:rPr>
        <w:t>state statute</w:t>
      </w:r>
      <w:r w:rsidR="00815C22">
        <w:rPr>
          <w:rFonts w:cs="Arial"/>
        </w:rPr>
        <w:t>s</w:t>
      </w:r>
      <w:r w:rsidRPr="2573C9FE">
        <w:rPr>
          <w:rFonts w:cs="Arial"/>
        </w:rPr>
        <w:t xml:space="preserve">. </w:t>
      </w:r>
    </w:p>
    <w:p w14:paraId="44EAFD9C" w14:textId="77777777" w:rsidR="00014785" w:rsidRPr="00451AAA" w:rsidRDefault="00014785" w:rsidP="006D66C1">
      <w:pPr>
        <w:rPr>
          <w:rFonts w:cs="Arial"/>
        </w:rPr>
      </w:pPr>
    </w:p>
    <w:p w14:paraId="1F88A853" w14:textId="77777777" w:rsidR="006D66C1" w:rsidRPr="00451AAA" w:rsidRDefault="006D66C1" w:rsidP="00FD65DA">
      <w:pPr>
        <w:pStyle w:val="Heading2"/>
      </w:pPr>
      <w:r w:rsidRPr="00451AAA">
        <w:t>AUTHORITY AND REFERENCE</w:t>
      </w:r>
    </w:p>
    <w:p w14:paraId="4B94D5A5" w14:textId="77777777" w:rsidR="006D66C1" w:rsidRPr="00451AAA" w:rsidRDefault="006D66C1" w:rsidP="006D66C1">
      <w:pPr>
        <w:rPr>
          <w:rFonts w:cs="Arial"/>
        </w:rPr>
      </w:pPr>
    </w:p>
    <w:p w14:paraId="0DF6C353" w14:textId="4957B5DF" w:rsidR="006D66C1" w:rsidRPr="00FC6EE7" w:rsidRDefault="63A6E964" w:rsidP="006D66C1">
      <w:pPr>
        <w:rPr>
          <w:rFonts w:cs="Arial"/>
        </w:rPr>
      </w:pPr>
      <w:r w:rsidRPr="3F850A06">
        <w:rPr>
          <w:rFonts w:cs="Arial"/>
        </w:rPr>
        <w:t xml:space="preserve">Authority: Section </w:t>
      </w:r>
      <w:r w:rsidR="00C944E7" w:rsidRPr="00394A43">
        <w:rPr>
          <w:rFonts w:cs="Arial"/>
          <w:color w:val="212121"/>
        </w:rPr>
        <w:t>33031, 60605 and 60640</w:t>
      </w:r>
      <w:r w:rsidRPr="3F850A06">
        <w:rPr>
          <w:rFonts w:cs="Arial"/>
        </w:rPr>
        <w:t xml:space="preserve">, </w:t>
      </w:r>
      <w:r w:rsidRPr="00D85C03">
        <w:rPr>
          <w:rFonts w:cs="Arial"/>
        </w:rPr>
        <w:t>Education Code</w:t>
      </w:r>
      <w:r w:rsidRPr="00FC6EE7">
        <w:rPr>
          <w:rFonts w:cs="Arial"/>
        </w:rPr>
        <w:t>.</w:t>
      </w:r>
    </w:p>
    <w:p w14:paraId="4A48DF02" w14:textId="024E7DDB" w:rsidR="001919FF" w:rsidRDefault="63A6E964" w:rsidP="57A913AB">
      <w:pPr>
        <w:rPr>
          <w:rFonts w:cs="Arial"/>
        </w:rPr>
      </w:pPr>
      <w:r w:rsidRPr="3F850A06">
        <w:rPr>
          <w:rFonts w:cs="Arial"/>
        </w:rPr>
        <w:t xml:space="preserve">Reference: </w:t>
      </w:r>
      <w:r w:rsidR="36723666" w:rsidRPr="3F850A06">
        <w:rPr>
          <w:rFonts w:eastAsia="Arial" w:cs="Arial"/>
          <w:color w:val="000000" w:themeColor="text1"/>
        </w:rPr>
        <w:t xml:space="preserve">Sections </w:t>
      </w:r>
      <w:r w:rsidR="00C944E7" w:rsidRPr="00394A43">
        <w:rPr>
          <w:rFonts w:cs="Arial"/>
          <w:color w:val="212121"/>
        </w:rPr>
        <w:t xml:space="preserve">60605, </w:t>
      </w:r>
      <w:r w:rsidR="36723666" w:rsidRPr="3F850A06">
        <w:rPr>
          <w:rFonts w:eastAsia="Arial" w:cs="Arial"/>
          <w:color w:val="000000" w:themeColor="text1"/>
        </w:rPr>
        <w:t>60640</w:t>
      </w:r>
      <w:r w:rsidR="00C944E7">
        <w:rPr>
          <w:rFonts w:eastAsia="Arial" w:cs="Arial"/>
          <w:color w:val="000000" w:themeColor="text1"/>
        </w:rPr>
        <w:t xml:space="preserve">, </w:t>
      </w:r>
      <w:r w:rsidR="36723666" w:rsidRPr="3F850A06">
        <w:rPr>
          <w:rFonts w:eastAsia="Arial" w:cs="Arial"/>
          <w:color w:val="212121"/>
          <w:lang w:val="en"/>
        </w:rPr>
        <w:t>60641</w:t>
      </w:r>
      <w:r w:rsidR="00C944E7">
        <w:rPr>
          <w:rFonts w:eastAsia="Arial" w:cs="Arial"/>
          <w:color w:val="212121"/>
          <w:lang w:val="en"/>
        </w:rPr>
        <w:t xml:space="preserve"> and 60642.5</w:t>
      </w:r>
      <w:r w:rsidR="36723666" w:rsidRPr="3F850A06">
        <w:rPr>
          <w:rFonts w:eastAsia="Arial" w:cs="Arial"/>
          <w:color w:val="000000" w:themeColor="text1"/>
        </w:rPr>
        <w:t xml:space="preserve">, </w:t>
      </w:r>
      <w:r w:rsidR="36723666" w:rsidRPr="00D85C03">
        <w:rPr>
          <w:rFonts w:eastAsia="Arial" w:cs="Arial"/>
          <w:color w:val="000000" w:themeColor="text1"/>
        </w:rPr>
        <w:t>Education Code</w:t>
      </w:r>
      <w:r w:rsidR="00C944E7">
        <w:rPr>
          <w:rFonts w:eastAsia="Arial" w:cs="Arial"/>
          <w:color w:val="000000" w:themeColor="text1"/>
        </w:rPr>
        <w:t>.</w:t>
      </w:r>
    </w:p>
    <w:p w14:paraId="3656B9AB" w14:textId="77777777" w:rsidR="001919FF" w:rsidRDefault="001919FF" w:rsidP="006D66C1">
      <w:pPr>
        <w:rPr>
          <w:rFonts w:cs="Arial"/>
          <w:b/>
        </w:rPr>
      </w:pPr>
    </w:p>
    <w:p w14:paraId="5E2A653A" w14:textId="77777777" w:rsidR="006D66C1" w:rsidRDefault="006D66C1" w:rsidP="00FD65DA">
      <w:pPr>
        <w:pStyle w:val="Heading2"/>
      </w:pPr>
      <w:r w:rsidRPr="00451AAA">
        <w:t>INFORMATIVE DIGEST</w:t>
      </w:r>
      <w:r w:rsidR="001E5AA6">
        <w:t>/POLICY STATEMENT OVERVIEW</w:t>
      </w:r>
    </w:p>
    <w:p w14:paraId="45FB0818" w14:textId="77777777" w:rsidR="003E3AC4" w:rsidRDefault="003E3AC4" w:rsidP="006D66C1">
      <w:pPr>
        <w:rPr>
          <w:rFonts w:cs="Arial"/>
          <w:b/>
        </w:rPr>
      </w:pPr>
    </w:p>
    <w:p w14:paraId="27C638E4" w14:textId="53CD2B85" w:rsidR="00DD30AA" w:rsidRDefault="00DD30AA" w:rsidP="00DD30AA">
      <w:pPr>
        <w:spacing w:after="240"/>
        <w:rPr>
          <w:rFonts w:eastAsia="Arial" w:cs="Arial"/>
          <w:color w:val="000000" w:themeColor="text1"/>
        </w:rPr>
      </w:pPr>
      <w:r>
        <w:rPr>
          <w:rFonts w:eastAsia="Arial" w:cs="Arial"/>
          <w:color w:val="000000" w:themeColor="text1"/>
        </w:rPr>
        <w:t xml:space="preserve">As stated above, </w:t>
      </w:r>
      <w:r w:rsidR="00C944E7">
        <w:rPr>
          <w:rFonts w:eastAsia="Arial" w:cs="Arial"/>
          <w:color w:val="000000" w:themeColor="text1"/>
        </w:rPr>
        <w:t>EC</w:t>
      </w:r>
      <w:r w:rsidR="426BFCB0" w:rsidRPr="2573C9FE">
        <w:rPr>
          <w:rFonts w:eastAsia="Arial" w:cs="Arial"/>
          <w:color w:val="000000" w:themeColor="text1"/>
        </w:rPr>
        <w:t xml:space="preserve"> section 60641</w:t>
      </w:r>
      <w:r>
        <w:rPr>
          <w:rFonts w:eastAsia="Arial" w:cs="Arial"/>
          <w:color w:val="000000" w:themeColor="text1"/>
        </w:rPr>
        <w:t xml:space="preserve"> was amended by SB 293</w:t>
      </w:r>
      <w:r w:rsidR="426BFCB0" w:rsidRPr="2573C9FE">
        <w:rPr>
          <w:rFonts w:eastAsia="Arial" w:cs="Arial"/>
          <w:color w:val="000000" w:themeColor="text1"/>
        </w:rPr>
        <w:t xml:space="preserve"> to require the CDE to make statewide summative CAASPP results publicly available on or before October 15 each year</w:t>
      </w:r>
      <w:r w:rsidR="00FE23F4">
        <w:rPr>
          <w:rFonts w:eastAsia="Arial" w:cs="Arial"/>
          <w:color w:val="000000" w:themeColor="text1"/>
        </w:rPr>
        <w:t>, which impacts the end date for the CAASPP testing window to allow</w:t>
      </w:r>
      <w:r w:rsidR="426BFCB0" w:rsidRPr="2573C9FE">
        <w:rPr>
          <w:rFonts w:eastAsia="Arial" w:cs="Arial"/>
          <w:color w:val="000000" w:themeColor="text1"/>
        </w:rPr>
        <w:t xml:space="preserve"> the CDE and ETS to have sufficient time to complete all necessary post-administration processes</w:t>
      </w:r>
      <w:r w:rsidR="00FE23F4">
        <w:rPr>
          <w:rFonts w:eastAsia="Arial" w:cs="Arial"/>
          <w:color w:val="000000" w:themeColor="text1"/>
        </w:rPr>
        <w:t xml:space="preserve">. </w:t>
      </w:r>
      <w:r w:rsidR="000C533F">
        <w:rPr>
          <w:rFonts w:eastAsia="Arial" w:cs="Arial"/>
          <w:color w:val="000000" w:themeColor="text1"/>
        </w:rPr>
        <w:t>Since s</w:t>
      </w:r>
      <w:r w:rsidR="00FE23F4">
        <w:rPr>
          <w:rFonts w:eastAsia="Arial" w:cs="Arial"/>
          <w:color w:val="000000" w:themeColor="text1"/>
        </w:rPr>
        <w:t>ection 855 of 5 CCR provides for the timing of the testing window for administration of the CAASPP tests</w:t>
      </w:r>
      <w:r w:rsidRPr="2573C9FE">
        <w:rPr>
          <w:rFonts w:eastAsia="Arial" w:cs="Arial"/>
          <w:color w:val="000000" w:themeColor="text1"/>
        </w:rPr>
        <w:t>, the SBE proposes amendments to 5</w:t>
      </w:r>
      <w:r w:rsidRPr="00FC6EE7">
        <w:rPr>
          <w:rFonts w:eastAsia="Arial" w:cs="Arial"/>
          <w:color w:val="000000" w:themeColor="text1"/>
        </w:rPr>
        <w:t xml:space="preserve"> </w:t>
      </w:r>
      <w:r w:rsidRPr="00076929">
        <w:rPr>
          <w:rFonts w:eastAsia="Arial" w:cs="Arial"/>
          <w:color w:val="000000" w:themeColor="text1"/>
        </w:rPr>
        <w:t>CCR</w:t>
      </w:r>
      <w:r w:rsidRPr="2573C9FE">
        <w:rPr>
          <w:rFonts w:eastAsia="Arial" w:cs="Arial"/>
          <w:color w:val="000000" w:themeColor="text1"/>
        </w:rPr>
        <w:t xml:space="preserve"> section 855 to meet the reporting requirements established in</w:t>
      </w:r>
      <w:r w:rsidR="00E94130">
        <w:rPr>
          <w:rFonts w:eastAsia="Arial" w:cs="Arial"/>
          <w:color w:val="000000" w:themeColor="text1"/>
        </w:rPr>
        <w:t xml:space="preserve"> EC section 60641 by</w:t>
      </w:r>
      <w:r w:rsidRPr="2573C9FE">
        <w:rPr>
          <w:rFonts w:eastAsia="Arial" w:cs="Arial"/>
          <w:color w:val="000000" w:themeColor="text1"/>
        </w:rPr>
        <w:t xml:space="preserve"> SB 293.</w:t>
      </w:r>
    </w:p>
    <w:p w14:paraId="7A813C98" w14:textId="5198819A" w:rsidR="00DD30AA" w:rsidRDefault="00DD30AA" w:rsidP="00DD30AA">
      <w:pPr>
        <w:spacing w:after="240"/>
        <w:rPr>
          <w:rFonts w:eastAsia="Arial" w:cs="Arial"/>
          <w:color w:val="000000" w:themeColor="text1"/>
        </w:rPr>
      </w:pPr>
      <w:r w:rsidRPr="2573C9FE">
        <w:rPr>
          <w:rFonts w:eastAsia="Arial" w:cs="Arial"/>
          <w:color w:val="000000" w:themeColor="text1"/>
        </w:rPr>
        <w:t xml:space="preserve">To meet the reporting requirements established in </w:t>
      </w:r>
      <w:r w:rsidR="00D85C03">
        <w:rPr>
          <w:rFonts w:eastAsia="Arial" w:cs="Arial"/>
          <w:color w:val="000000" w:themeColor="text1"/>
        </w:rPr>
        <w:t>EC section 60641</w:t>
      </w:r>
      <w:r w:rsidRPr="2573C9FE">
        <w:rPr>
          <w:rFonts w:eastAsia="Arial" w:cs="Arial"/>
          <w:color w:val="000000" w:themeColor="text1"/>
        </w:rPr>
        <w:t xml:space="preserve">, the </w:t>
      </w:r>
      <w:r w:rsidR="000C533F">
        <w:rPr>
          <w:rFonts w:eastAsia="Arial" w:cs="Arial"/>
          <w:color w:val="000000" w:themeColor="text1"/>
        </w:rPr>
        <w:t>SBE</w:t>
      </w:r>
      <w:r w:rsidRPr="2573C9FE">
        <w:rPr>
          <w:rFonts w:eastAsia="Arial" w:cs="Arial"/>
          <w:color w:val="000000" w:themeColor="text1"/>
        </w:rPr>
        <w:t xml:space="preserve"> is proposing the following amendments to the regulations: </w:t>
      </w:r>
    </w:p>
    <w:p w14:paraId="4AFE9525" w14:textId="087655BA" w:rsidR="00DD30AA" w:rsidRDefault="00DD30AA" w:rsidP="00DD30AA">
      <w:pPr>
        <w:pStyle w:val="ListParagraph"/>
        <w:numPr>
          <w:ilvl w:val="0"/>
          <w:numId w:val="3"/>
        </w:numPr>
        <w:spacing w:after="240"/>
        <w:rPr>
          <w:rFonts w:eastAsia="Arial" w:cs="Arial"/>
          <w:color w:val="000000" w:themeColor="text1"/>
        </w:rPr>
      </w:pPr>
      <w:r w:rsidRPr="7FC9C327">
        <w:rPr>
          <w:rFonts w:eastAsia="Arial" w:cs="Arial"/>
          <w:color w:val="000000" w:themeColor="text1"/>
        </w:rPr>
        <w:lastRenderedPageBreak/>
        <w:t>Proposed amendment to subsection 855(a) of “2023–</w:t>
      </w:r>
      <w:r w:rsidR="000C533F">
        <w:rPr>
          <w:rFonts w:eastAsia="Arial" w:cs="Arial"/>
          <w:color w:val="000000" w:themeColor="text1"/>
        </w:rPr>
        <w:t>20</w:t>
      </w:r>
      <w:r w:rsidRPr="7FC9C327">
        <w:rPr>
          <w:rFonts w:eastAsia="Arial" w:cs="Arial"/>
          <w:color w:val="000000" w:themeColor="text1"/>
        </w:rPr>
        <w:t>24” and deletion of “2015–16” to make clear that the available testing windows described in the subsections to follow are implemented beginning with the 2023–</w:t>
      </w:r>
      <w:r w:rsidR="00F86C4D">
        <w:rPr>
          <w:rFonts w:eastAsia="Arial" w:cs="Arial"/>
          <w:color w:val="000000" w:themeColor="text1"/>
        </w:rPr>
        <w:t>20</w:t>
      </w:r>
      <w:r w:rsidRPr="7FC9C327">
        <w:rPr>
          <w:rFonts w:eastAsia="Arial" w:cs="Arial"/>
          <w:color w:val="000000" w:themeColor="text1"/>
        </w:rPr>
        <w:t>24 administration.</w:t>
      </w:r>
    </w:p>
    <w:p w14:paraId="23AC8515" w14:textId="77777777" w:rsidR="00DD30AA" w:rsidRDefault="00DD30AA" w:rsidP="00DD30AA">
      <w:pPr>
        <w:pStyle w:val="ListParagraph"/>
        <w:numPr>
          <w:ilvl w:val="0"/>
          <w:numId w:val="3"/>
        </w:numPr>
        <w:spacing w:after="240"/>
        <w:rPr>
          <w:rFonts w:eastAsia="Arial" w:cs="Arial"/>
          <w:color w:val="000000" w:themeColor="text1"/>
        </w:rPr>
      </w:pPr>
      <w:r w:rsidRPr="2573C9FE">
        <w:rPr>
          <w:rFonts w:eastAsia="Arial" w:cs="Arial"/>
          <w:color w:val="000000" w:themeColor="text1"/>
        </w:rPr>
        <w:t>Proposed amendment to subsections 855(a)(1) and 855(a)(2) of “June 30” and deletion of “July 15” to make clear that the available testing windows for all CAASPP assessments shall conclude no later than June 30 of each year.</w:t>
      </w:r>
    </w:p>
    <w:p w14:paraId="2C7A4BE6" w14:textId="77777777" w:rsidR="00DD30AA" w:rsidRPr="00807C06" w:rsidRDefault="00DD30AA" w:rsidP="00DD30AA">
      <w:pPr>
        <w:pStyle w:val="ListParagraph"/>
        <w:numPr>
          <w:ilvl w:val="0"/>
          <w:numId w:val="3"/>
        </w:numPr>
        <w:spacing w:after="240"/>
        <w:rPr>
          <w:rFonts w:cs="Arial"/>
          <w:b/>
          <w:bCs/>
        </w:rPr>
      </w:pPr>
      <w:r w:rsidRPr="2573C9FE">
        <w:rPr>
          <w:rFonts w:eastAsia="Arial" w:cs="Arial"/>
          <w:color w:val="000000" w:themeColor="text1"/>
        </w:rPr>
        <w:t>Proposed amendment to subsections 855(a)(1) and 855(a)(2) of “or the weekday preceding the 30th” and deletion of “or the weekday following the 15th” to make clear that the available testing windows for all CAASPP assessments shall conclude on the weekday preceding June 30 if June 30 is not on a weekday.</w:t>
      </w:r>
    </w:p>
    <w:p w14:paraId="447DF933" w14:textId="73D45995" w:rsidR="57A913AB" w:rsidRDefault="048AC2CE" w:rsidP="2573C9FE">
      <w:pPr>
        <w:spacing w:after="240"/>
        <w:rPr>
          <w:rFonts w:eastAsia="Arial" w:cs="Arial"/>
          <w:color w:val="000000" w:themeColor="text1"/>
        </w:rPr>
      </w:pPr>
      <w:r w:rsidRPr="2573C9FE">
        <w:rPr>
          <w:rFonts w:eastAsia="Arial" w:cs="Arial"/>
          <w:color w:val="000000" w:themeColor="text1"/>
        </w:rPr>
        <w:t xml:space="preserve">The proposed amendments for CAASPP regulations for 2023–2024 are needed on an emergency basis to ensure that </w:t>
      </w:r>
      <w:r w:rsidR="75CAA118" w:rsidRPr="2573C9FE">
        <w:rPr>
          <w:rFonts w:eastAsia="Arial" w:cs="Arial"/>
          <w:color w:val="000000" w:themeColor="text1"/>
        </w:rPr>
        <w:t>2023–</w:t>
      </w:r>
      <w:r w:rsidR="0090384F">
        <w:rPr>
          <w:rFonts w:eastAsia="Arial" w:cs="Arial"/>
          <w:color w:val="000000" w:themeColor="text1"/>
        </w:rPr>
        <w:t>20</w:t>
      </w:r>
      <w:r w:rsidR="75CAA118" w:rsidRPr="2573C9FE">
        <w:rPr>
          <w:rFonts w:eastAsia="Arial" w:cs="Arial"/>
          <w:color w:val="000000" w:themeColor="text1"/>
        </w:rPr>
        <w:t xml:space="preserve">24 </w:t>
      </w:r>
      <w:r w:rsidRPr="2573C9FE">
        <w:rPr>
          <w:rFonts w:eastAsia="Arial" w:cs="Arial"/>
          <w:color w:val="000000" w:themeColor="text1"/>
        </w:rPr>
        <w:t xml:space="preserve">CAASPP results </w:t>
      </w:r>
      <w:r w:rsidR="25DA5721" w:rsidRPr="2573C9FE">
        <w:rPr>
          <w:rFonts w:eastAsia="Arial" w:cs="Arial"/>
          <w:color w:val="000000" w:themeColor="text1"/>
        </w:rPr>
        <w:t xml:space="preserve">are publicly reported on or before October 15, in accordance with the recent </w:t>
      </w:r>
      <w:r w:rsidR="075217CE" w:rsidRPr="2573C9FE">
        <w:rPr>
          <w:rFonts w:eastAsia="Arial" w:cs="Arial"/>
          <w:color w:val="000000" w:themeColor="text1"/>
        </w:rPr>
        <w:t xml:space="preserve">amendments </w:t>
      </w:r>
      <w:r w:rsidR="25DA5721" w:rsidRPr="2573C9FE">
        <w:rPr>
          <w:rFonts w:eastAsia="Arial" w:cs="Arial"/>
          <w:color w:val="000000" w:themeColor="text1"/>
        </w:rPr>
        <w:t xml:space="preserve">to </w:t>
      </w:r>
      <w:r w:rsidR="00006CE7">
        <w:rPr>
          <w:rFonts w:eastAsia="Arial" w:cs="Arial"/>
          <w:color w:val="000000" w:themeColor="text1"/>
        </w:rPr>
        <w:t xml:space="preserve">EC </w:t>
      </w:r>
      <w:r w:rsidR="00FC6EE7">
        <w:rPr>
          <w:rFonts w:eastAsia="Arial" w:cs="Arial"/>
          <w:color w:val="000000" w:themeColor="text1"/>
        </w:rPr>
        <w:t xml:space="preserve">section </w:t>
      </w:r>
      <w:r w:rsidR="25DA5721" w:rsidRPr="2573C9FE">
        <w:rPr>
          <w:rFonts w:eastAsia="Arial" w:cs="Arial"/>
          <w:color w:val="000000" w:themeColor="text1"/>
        </w:rPr>
        <w:t xml:space="preserve">60641. </w:t>
      </w:r>
    </w:p>
    <w:p w14:paraId="79DFDA7A" w14:textId="77777777" w:rsidR="00815C22" w:rsidRDefault="00815C22" w:rsidP="00815C22"/>
    <w:p w14:paraId="6B981F4B" w14:textId="24CD7A77" w:rsidR="002C1F62" w:rsidRPr="002C1F62" w:rsidRDefault="002C1F62" w:rsidP="00FD65DA">
      <w:pPr>
        <w:pStyle w:val="Heading3"/>
      </w:pPr>
      <w:r>
        <w:t>Policy Statement Overview</w:t>
      </w:r>
    </w:p>
    <w:p w14:paraId="4101652C" w14:textId="77777777" w:rsidR="002C1F62" w:rsidRDefault="002C1F62" w:rsidP="002C1F62">
      <w:pPr>
        <w:pStyle w:val="ListParagraph"/>
        <w:rPr>
          <w:i/>
          <w:color w:val="FF0000"/>
        </w:rPr>
      </w:pPr>
    </w:p>
    <w:p w14:paraId="4385AC42" w14:textId="045CE8CE" w:rsidR="77451376" w:rsidRDefault="77451376" w:rsidP="3F850A06">
      <w:pPr>
        <w:spacing w:after="240"/>
        <w:rPr>
          <w:rFonts w:eastAsia="Arial" w:cs="Arial"/>
          <w:color w:val="000000" w:themeColor="text1"/>
        </w:rPr>
      </w:pPr>
      <w:r w:rsidRPr="2573C9FE">
        <w:rPr>
          <w:rFonts w:eastAsia="Arial" w:cs="Arial"/>
          <w:color w:val="000000" w:themeColor="text1"/>
        </w:rPr>
        <w:t xml:space="preserve">The proposed amendments for CAASPP regulations for 2023–2024 are designed to ensure that all CAASPP results are publicly reported on or before October 15 each year, in accordance with the recent amendments to </w:t>
      </w:r>
      <w:r w:rsidR="0090384F">
        <w:rPr>
          <w:rFonts w:eastAsia="Arial" w:cs="Arial"/>
          <w:color w:val="000000" w:themeColor="text1"/>
        </w:rPr>
        <w:t>EC</w:t>
      </w:r>
      <w:r w:rsidRPr="2573C9FE">
        <w:rPr>
          <w:rFonts w:eastAsia="Arial" w:cs="Arial"/>
          <w:color w:val="000000" w:themeColor="text1"/>
        </w:rPr>
        <w:t xml:space="preserve"> </w:t>
      </w:r>
      <w:r w:rsidR="00FC6EE7">
        <w:rPr>
          <w:rFonts w:eastAsia="Arial" w:cs="Arial"/>
          <w:color w:val="000000" w:themeColor="text1"/>
        </w:rPr>
        <w:t xml:space="preserve">section </w:t>
      </w:r>
      <w:r w:rsidRPr="2573C9FE">
        <w:rPr>
          <w:rFonts w:eastAsia="Arial" w:cs="Arial"/>
          <w:color w:val="000000" w:themeColor="text1"/>
        </w:rPr>
        <w:t>60641.</w:t>
      </w:r>
      <w:r w:rsidR="7FC578D5" w:rsidRPr="2573C9FE">
        <w:rPr>
          <w:rFonts w:eastAsia="Arial" w:cs="Arial"/>
          <w:color w:val="000000" w:themeColor="text1"/>
        </w:rPr>
        <w:t xml:space="preserve"> Additionally, the proposed amendments support increased local control, and strengthen an LEA’s ability to access achievement results in a timely manner so that achievement data can be used for the purposes for guiding instruction, gauging students’ readiness for career and college, and for meeting state and federal accountability requirements.</w:t>
      </w:r>
    </w:p>
    <w:p w14:paraId="66A32856" w14:textId="34F16594" w:rsidR="57A913AB" w:rsidRDefault="001E5AA6" w:rsidP="00807C06">
      <w:pPr>
        <w:pStyle w:val="Heading3"/>
      </w:pPr>
      <w:r>
        <w:t xml:space="preserve">Determination of Inconsistency/Incompatibility </w:t>
      </w:r>
      <w:r w:rsidR="00FC6EE7">
        <w:t>with</w:t>
      </w:r>
      <w:r>
        <w:t xml:space="preserve"> Existing State Regulations</w:t>
      </w:r>
    </w:p>
    <w:p w14:paraId="4BD6B23E" w14:textId="77777777" w:rsidR="00426D3D" w:rsidRDefault="00426D3D" w:rsidP="00CC33D7"/>
    <w:p w14:paraId="7FF62F8A" w14:textId="77777777" w:rsidR="00815C22" w:rsidRDefault="00CC33D7" w:rsidP="00815C22">
      <w:r>
        <w:t xml:space="preserve">An evaluation of the proposed regulations </w:t>
      </w:r>
      <w:r w:rsidR="00FC6EE7">
        <w:t>has</w:t>
      </w:r>
      <w:r>
        <w:t xml:space="preserve"> determined they are not inconsistent/incompatible with existing regulations, pursuant to </w:t>
      </w:r>
      <w:r w:rsidR="003F7D30">
        <w:t>Government Code</w:t>
      </w:r>
      <w:r>
        <w:t xml:space="preserve"> </w:t>
      </w:r>
      <w:r w:rsidR="00B569BE">
        <w:t xml:space="preserve">section </w:t>
      </w:r>
      <w:r>
        <w:t>11346.5(a)(3)(D).</w:t>
      </w:r>
      <w:r w:rsidR="00815C22">
        <w:t xml:space="preserve"> After conducting a review for any regulations that would relate to or affect this area of law, the SBE has concluded that these are the only regulations that concern the </w:t>
      </w:r>
      <w:r w:rsidR="00815C22" w:rsidRPr="055E1F9E">
        <w:rPr>
          <w:rFonts w:eastAsia="Arial" w:cs="Arial"/>
          <w:color w:val="000000" w:themeColor="text1"/>
        </w:rPr>
        <w:t>CAASPP</w:t>
      </w:r>
      <w:r w:rsidR="00815C22" w:rsidDel="006C74EA">
        <w:t xml:space="preserve"> </w:t>
      </w:r>
      <w:r w:rsidR="00815C22">
        <w:t>regulations.</w:t>
      </w:r>
    </w:p>
    <w:p w14:paraId="4DDBEF00" w14:textId="77777777" w:rsidR="002C1F62" w:rsidRDefault="002C1F62" w:rsidP="00CC33D7"/>
    <w:p w14:paraId="35B12CE9" w14:textId="69F5AC5D" w:rsidR="003E3AC4" w:rsidRPr="003E3AC4" w:rsidRDefault="006D66C1" w:rsidP="00807C06">
      <w:pPr>
        <w:pStyle w:val="Heading2"/>
      </w:pPr>
      <w:r>
        <w:t>specific benefits anticipated by the proposed regulations</w:t>
      </w:r>
    </w:p>
    <w:p w14:paraId="587DA3A6" w14:textId="1D9BE04C" w:rsidR="006D66C1" w:rsidRPr="00451AAA" w:rsidRDefault="006D66C1" w:rsidP="57A913AB">
      <w:pPr>
        <w:spacing w:line="240" w:lineRule="atLeast"/>
        <w:rPr>
          <w:i/>
          <w:iCs/>
          <w:color w:val="FF0000"/>
        </w:rPr>
      </w:pPr>
    </w:p>
    <w:p w14:paraId="0FB78278" w14:textId="3807CB3E" w:rsidR="006D66C1" w:rsidRPr="00451AAA" w:rsidRDefault="492DA566" w:rsidP="3F850A06">
      <w:pPr>
        <w:spacing w:after="240"/>
        <w:rPr>
          <w:rFonts w:eastAsia="Arial" w:cs="Arial"/>
          <w:color w:val="000000" w:themeColor="text1"/>
        </w:rPr>
      </w:pPr>
      <w:r w:rsidRPr="2573C9FE">
        <w:rPr>
          <w:rFonts w:eastAsia="Arial" w:cs="Arial"/>
          <w:color w:val="000000" w:themeColor="text1"/>
        </w:rPr>
        <w:t xml:space="preserve">The benefit of enacting the proposed amendments is that the CDE and ETS will have sufficient time to effectively, consistently, and reliably complete all post-administration processes—including annual scoring, reporting, and quality control processes—prior to the public release of aggregate CAASPP results on or before October 15, as required by </w:t>
      </w:r>
      <w:r w:rsidR="00E94130">
        <w:rPr>
          <w:rFonts w:eastAsia="Arial" w:cs="Arial"/>
          <w:color w:val="000000" w:themeColor="text1"/>
        </w:rPr>
        <w:t>EC</w:t>
      </w:r>
      <w:r w:rsidRPr="2573C9FE">
        <w:rPr>
          <w:rFonts w:eastAsia="Arial" w:cs="Arial"/>
          <w:color w:val="000000" w:themeColor="text1"/>
        </w:rPr>
        <w:t xml:space="preserve"> section 60641. Additionally, the proposed amendments support increased local control, and strengthen an LEA’s ability to access achievement results in a timely manner so that achievement data can be used for the purposes for guiding instruction, </w:t>
      </w:r>
      <w:r w:rsidRPr="2573C9FE">
        <w:rPr>
          <w:rFonts w:eastAsia="Arial" w:cs="Arial"/>
          <w:color w:val="000000" w:themeColor="text1"/>
        </w:rPr>
        <w:lastRenderedPageBreak/>
        <w:t>gauging students’ readiness for career and college, and for meeting state and federal accountability requirements.</w:t>
      </w:r>
    </w:p>
    <w:p w14:paraId="0A4ADB32" w14:textId="77777777" w:rsidR="006D66C1" w:rsidRPr="00451AAA" w:rsidRDefault="006D66C1" w:rsidP="00FD65DA">
      <w:pPr>
        <w:pStyle w:val="Heading2"/>
      </w:pPr>
      <w:r w:rsidRPr="00451AAA">
        <w:t>TECHNICAL, THEORETICAL, AND/OR EMPIRICAL STUDY, REPORTS, OR DOCUMENTS</w:t>
      </w:r>
      <w:r w:rsidR="00CC33D7">
        <w:t xml:space="preserve"> RELIED UPON</w:t>
      </w:r>
    </w:p>
    <w:p w14:paraId="1FC39945" w14:textId="77777777" w:rsidR="006D66C1" w:rsidRDefault="006D66C1" w:rsidP="006D66C1">
      <w:pPr>
        <w:rPr>
          <w:rFonts w:cs="Arial"/>
        </w:rPr>
      </w:pPr>
    </w:p>
    <w:p w14:paraId="73FD497B" w14:textId="10E24CBF" w:rsidR="005E74AE" w:rsidRPr="00636DB1" w:rsidRDefault="005E74AE" w:rsidP="006D66C1">
      <w:pPr>
        <w:rPr>
          <w:rFonts w:cs="Arial"/>
          <w:i/>
          <w:color w:val="FF0000"/>
          <w:sz w:val="20"/>
          <w:szCs w:val="20"/>
        </w:rPr>
      </w:pPr>
      <w:r>
        <w:rPr>
          <w:rFonts w:cs="Arial"/>
        </w:rPr>
        <w:t xml:space="preserve">The SBE did not </w:t>
      </w:r>
      <w:r w:rsidR="00CC33D7">
        <w:rPr>
          <w:rFonts w:cs="Arial"/>
        </w:rPr>
        <w:t>rely upon</w:t>
      </w:r>
      <w:r>
        <w:rPr>
          <w:rFonts w:cs="Arial"/>
        </w:rPr>
        <w:t xml:space="preserve"> any technical, theoretical, empirical studies, reports, or other documents in drafting these regulations. </w:t>
      </w:r>
    </w:p>
    <w:p w14:paraId="0562CB0E" w14:textId="77777777" w:rsidR="006D66C1" w:rsidRPr="00451AAA" w:rsidRDefault="006D66C1" w:rsidP="006D66C1">
      <w:pPr>
        <w:rPr>
          <w:rFonts w:cs="Arial"/>
        </w:rPr>
      </w:pPr>
    </w:p>
    <w:p w14:paraId="464A3F2E" w14:textId="77777777" w:rsidR="006D66C1" w:rsidRPr="00451AAA" w:rsidRDefault="006D66C1" w:rsidP="00FD65DA">
      <w:pPr>
        <w:pStyle w:val="Heading2"/>
      </w:pPr>
      <w:r w:rsidRPr="00451AAA">
        <w:t>MANDATE ON LOCAL AGENCIES OR SCHOOL DISTRICTS</w:t>
      </w:r>
    </w:p>
    <w:p w14:paraId="34CE0A41" w14:textId="77777777" w:rsidR="006D66C1" w:rsidRPr="00451AAA" w:rsidRDefault="006D66C1" w:rsidP="006D66C1">
      <w:pPr>
        <w:rPr>
          <w:rFonts w:cs="Arial"/>
        </w:rPr>
      </w:pPr>
    </w:p>
    <w:p w14:paraId="32F400C3" w14:textId="5657565D" w:rsidR="001919FF" w:rsidRDefault="7B48EB99" w:rsidP="006D66C1">
      <w:pPr>
        <w:rPr>
          <w:rFonts w:cs="Arial"/>
          <w:color w:val="FF0000"/>
        </w:rPr>
      </w:pPr>
      <w:r w:rsidRPr="2573C9FE">
        <w:rPr>
          <w:rFonts w:cs="Arial"/>
        </w:rPr>
        <w:t>The proposed regulations do not impose a mandate on local agencies or school districts</w:t>
      </w:r>
      <w:r w:rsidR="20E1B43F" w:rsidRPr="2573C9FE">
        <w:rPr>
          <w:rFonts w:cs="Arial"/>
        </w:rPr>
        <w:t xml:space="preserve"> because</w:t>
      </w:r>
      <w:r w:rsidR="007E1C39" w:rsidRPr="2573C9FE">
        <w:rPr>
          <w:rFonts w:cs="Arial"/>
        </w:rPr>
        <w:t xml:space="preserve"> amendments are made to aspects of existing regulations that will not impose new or additional work on the LEAs.</w:t>
      </w:r>
    </w:p>
    <w:p w14:paraId="62EBF3C5" w14:textId="77777777" w:rsidR="001919FF" w:rsidRDefault="001919FF" w:rsidP="006D66C1">
      <w:pPr>
        <w:rPr>
          <w:rFonts w:cs="Arial"/>
          <w:b/>
        </w:rPr>
      </w:pPr>
    </w:p>
    <w:p w14:paraId="6DA2825F" w14:textId="77777777" w:rsidR="0035327D" w:rsidRDefault="0035327D" w:rsidP="00FD65DA">
      <w:pPr>
        <w:pStyle w:val="Heading2"/>
      </w:pPr>
      <w:r>
        <w:t>FISCAL IMPACT ESTIMATION</w:t>
      </w:r>
    </w:p>
    <w:p w14:paraId="6D98A12B" w14:textId="77777777" w:rsidR="0035327D" w:rsidRDefault="0035327D" w:rsidP="006D66C1">
      <w:pPr>
        <w:rPr>
          <w:rFonts w:cs="Arial"/>
          <w:b/>
        </w:rPr>
      </w:pPr>
    </w:p>
    <w:p w14:paraId="4476A8C6" w14:textId="6D47D1CD" w:rsidR="0035327D" w:rsidRDefault="0035327D" w:rsidP="2573C9FE">
      <w:pPr>
        <w:rPr>
          <w:rFonts w:cs="Arial"/>
          <w:i/>
          <w:iCs/>
          <w:color w:val="FF0000"/>
          <w:sz w:val="20"/>
          <w:szCs w:val="20"/>
        </w:rPr>
      </w:pPr>
      <w:r w:rsidRPr="2573C9FE">
        <w:rPr>
          <w:rFonts w:cs="Arial"/>
        </w:rPr>
        <w:t>These emergency regulations will not result in any additional costs or savings to state agencies, or federal funding to the State. These emergency regulations will not result in any additional cost to any local agency or school district that is required to be re</w:t>
      </w:r>
      <w:r w:rsidR="005D6D80" w:rsidRPr="2573C9FE">
        <w:rPr>
          <w:rFonts w:cs="Arial"/>
        </w:rPr>
        <w:t xml:space="preserve">imbursed under Government Code </w:t>
      </w:r>
      <w:r w:rsidR="00B569BE">
        <w:rPr>
          <w:rFonts w:cs="Arial"/>
        </w:rPr>
        <w:t>s</w:t>
      </w:r>
      <w:r w:rsidR="00B569BE" w:rsidRPr="2573C9FE">
        <w:rPr>
          <w:rFonts w:cs="Arial"/>
        </w:rPr>
        <w:t xml:space="preserve">ection </w:t>
      </w:r>
      <w:r w:rsidRPr="2573C9FE">
        <w:rPr>
          <w:rFonts w:cs="Arial"/>
        </w:rPr>
        <w:t>17500 et seq.</w:t>
      </w:r>
      <w:r w:rsidR="00DE0A7E" w:rsidRPr="2573C9FE">
        <w:rPr>
          <w:rFonts w:cs="Arial"/>
        </w:rPr>
        <w:t xml:space="preserve"> </w:t>
      </w:r>
      <w:r w:rsidR="00DE0A7E">
        <w:t>The emergency regulations will not result in any additional non-discretionary costs or savings upon local agencies.</w:t>
      </w:r>
    </w:p>
    <w:p w14:paraId="2946DB82" w14:textId="77777777" w:rsidR="0035327D" w:rsidRPr="00636DB1" w:rsidRDefault="0035327D" w:rsidP="0035327D">
      <w:pPr>
        <w:rPr>
          <w:rFonts w:cs="Arial"/>
          <w:i/>
          <w:color w:val="FF0000"/>
          <w:sz w:val="20"/>
          <w:szCs w:val="20"/>
        </w:rPr>
      </w:pPr>
    </w:p>
    <w:p w14:paraId="5997CC1D" w14:textId="77777777" w:rsidR="00CC33D7" w:rsidRDefault="00CC33D7" w:rsidP="006D66C1"/>
    <w:p w14:paraId="110FFD37" w14:textId="77777777" w:rsidR="006D66C1" w:rsidRPr="00451AAA" w:rsidRDefault="006D66C1" w:rsidP="006D66C1"/>
    <w:p w14:paraId="74AA6DD5" w14:textId="6F99243F" w:rsidR="006D66C1" w:rsidRPr="00451AAA" w:rsidRDefault="00C10289" w:rsidP="006D66C1">
      <w:r>
        <w:t>11-</w:t>
      </w:r>
      <w:r w:rsidR="00815C22">
        <w:t>30</w:t>
      </w:r>
      <w:r>
        <w:t xml:space="preserve">-2023 </w:t>
      </w:r>
      <w:r w:rsidR="006D66C1">
        <w:t>[California Department of Education]</w:t>
      </w:r>
    </w:p>
    <w:p w14:paraId="6B699379" w14:textId="77777777" w:rsidR="009D6CC5" w:rsidRPr="00451AAA" w:rsidRDefault="009D6CC5" w:rsidP="006D66C1"/>
    <w:sectPr w:rsidR="009D6CC5" w:rsidRPr="00451AAA" w:rsidSect="006A1A6A">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2F646" w14:textId="77777777" w:rsidR="00501714" w:rsidRDefault="00501714">
      <w:r>
        <w:separator/>
      </w:r>
    </w:p>
  </w:endnote>
  <w:endnote w:type="continuationSeparator" w:id="0">
    <w:p w14:paraId="08CE6F91" w14:textId="77777777" w:rsidR="00501714" w:rsidRDefault="0050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45945" w:rsidRDefault="00745945" w:rsidP="00A60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E9F23F" w14:textId="77777777" w:rsidR="00745945" w:rsidRDefault="0074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745945" w:rsidRDefault="00745945" w:rsidP="00A60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2340">
      <w:rPr>
        <w:rStyle w:val="PageNumber"/>
        <w:noProof/>
      </w:rPr>
      <w:t>1</w:t>
    </w:r>
    <w:r>
      <w:rPr>
        <w:rStyle w:val="PageNumber"/>
      </w:rPr>
      <w:fldChar w:fldCharType="end"/>
    </w:r>
  </w:p>
  <w:p w14:paraId="23DE523C" w14:textId="77777777" w:rsidR="00745945" w:rsidRDefault="0074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CEAD" w14:textId="77777777" w:rsidR="00501714" w:rsidRDefault="00501714">
      <w:r>
        <w:separator/>
      </w:r>
    </w:p>
  </w:footnote>
  <w:footnote w:type="continuationSeparator" w:id="0">
    <w:p w14:paraId="6BB9E253" w14:textId="77777777" w:rsidR="00501714" w:rsidRDefault="0050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7F"/>
    <w:multiLevelType w:val="hybridMultilevel"/>
    <w:tmpl w:val="1158B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0E89"/>
    <w:multiLevelType w:val="hybridMultilevel"/>
    <w:tmpl w:val="96D293C2"/>
    <w:lvl w:ilvl="0" w:tplc="0E784E28">
      <w:start w:val="1"/>
      <w:numFmt w:val="bullet"/>
      <w:lvlText w:val=""/>
      <w:lvlJc w:val="left"/>
      <w:pPr>
        <w:ind w:left="720" w:hanging="360"/>
      </w:pPr>
      <w:rPr>
        <w:rFonts w:ascii="Symbol" w:hAnsi="Symbol" w:hint="default"/>
      </w:rPr>
    </w:lvl>
    <w:lvl w:ilvl="1" w:tplc="A992F0A4">
      <w:start w:val="1"/>
      <w:numFmt w:val="bullet"/>
      <w:lvlText w:val="o"/>
      <w:lvlJc w:val="left"/>
      <w:pPr>
        <w:ind w:left="1440" w:hanging="360"/>
      </w:pPr>
      <w:rPr>
        <w:rFonts w:ascii="Courier New" w:hAnsi="Courier New" w:hint="default"/>
      </w:rPr>
    </w:lvl>
    <w:lvl w:ilvl="2" w:tplc="7A385A14">
      <w:start w:val="1"/>
      <w:numFmt w:val="bullet"/>
      <w:lvlText w:val=""/>
      <w:lvlJc w:val="left"/>
      <w:pPr>
        <w:ind w:left="2160" w:hanging="360"/>
      </w:pPr>
      <w:rPr>
        <w:rFonts w:ascii="Wingdings" w:hAnsi="Wingdings" w:hint="default"/>
      </w:rPr>
    </w:lvl>
    <w:lvl w:ilvl="3" w:tplc="1EA6475A">
      <w:start w:val="1"/>
      <w:numFmt w:val="bullet"/>
      <w:lvlText w:val=""/>
      <w:lvlJc w:val="left"/>
      <w:pPr>
        <w:ind w:left="2880" w:hanging="360"/>
      </w:pPr>
      <w:rPr>
        <w:rFonts w:ascii="Symbol" w:hAnsi="Symbol" w:hint="default"/>
      </w:rPr>
    </w:lvl>
    <w:lvl w:ilvl="4" w:tplc="C388AD7E">
      <w:start w:val="1"/>
      <w:numFmt w:val="bullet"/>
      <w:lvlText w:val="o"/>
      <w:lvlJc w:val="left"/>
      <w:pPr>
        <w:ind w:left="3600" w:hanging="360"/>
      </w:pPr>
      <w:rPr>
        <w:rFonts w:ascii="Courier New" w:hAnsi="Courier New" w:hint="default"/>
      </w:rPr>
    </w:lvl>
    <w:lvl w:ilvl="5" w:tplc="3112C48E">
      <w:start w:val="1"/>
      <w:numFmt w:val="bullet"/>
      <w:lvlText w:val=""/>
      <w:lvlJc w:val="left"/>
      <w:pPr>
        <w:ind w:left="4320" w:hanging="360"/>
      </w:pPr>
      <w:rPr>
        <w:rFonts w:ascii="Wingdings" w:hAnsi="Wingdings" w:hint="default"/>
      </w:rPr>
    </w:lvl>
    <w:lvl w:ilvl="6" w:tplc="1CFEC0EA">
      <w:start w:val="1"/>
      <w:numFmt w:val="bullet"/>
      <w:lvlText w:val=""/>
      <w:lvlJc w:val="left"/>
      <w:pPr>
        <w:ind w:left="5040" w:hanging="360"/>
      </w:pPr>
      <w:rPr>
        <w:rFonts w:ascii="Symbol" w:hAnsi="Symbol" w:hint="default"/>
      </w:rPr>
    </w:lvl>
    <w:lvl w:ilvl="7" w:tplc="87A2C49C">
      <w:start w:val="1"/>
      <w:numFmt w:val="bullet"/>
      <w:lvlText w:val="o"/>
      <w:lvlJc w:val="left"/>
      <w:pPr>
        <w:ind w:left="5760" w:hanging="360"/>
      </w:pPr>
      <w:rPr>
        <w:rFonts w:ascii="Courier New" w:hAnsi="Courier New" w:hint="default"/>
      </w:rPr>
    </w:lvl>
    <w:lvl w:ilvl="8" w:tplc="195C3860">
      <w:start w:val="1"/>
      <w:numFmt w:val="bullet"/>
      <w:lvlText w:val=""/>
      <w:lvlJc w:val="left"/>
      <w:pPr>
        <w:ind w:left="6480" w:hanging="360"/>
      </w:pPr>
      <w:rPr>
        <w:rFonts w:ascii="Wingdings" w:hAnsi="Wingdings" w:hint="default"/>
      </w:rPr>
    </w:lvl>
  </w:abstractNum>
  <w:abstractNum w:abstractNumId="2" w15:restartNumberingAfterBreak="0">
    <w:nsid w:val="3092091C"/>
    <w:multiLevelType w:val="hybridMultilevel"/>
    <w:tmpl w:val="3A7C1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7C337D"/>
    <w:multiLevelType w:val="hybridMultilevel"/>
    <w:tmpl w:val="0BFC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D8FC6E"/>
    <w:multiLevelType w:val="hybridMultilevel"/>
    <w:tmpl w:val="359862E4"/>
    <w:lvl w:ilvl="0" w:tplc="4782DCAE">
      <w:start w:val="1"/>
      <w:numFmt w:val="bullet"/>
      <w:lvlText w:val=""/>
      <w:lvlJc w:val="left"/>
      <w:pPr>
        <w:ind w:left="720" w:hanging="360"/>
      </w:pPr>
      <w:rPr>
        <w:rFonts w:ascii="Symbol" w:hAnsi="Symbol" w:hint="default"/>
      </w:rPr>
    </w:lvl>
    <w:lvl w:ilvl="1" w:tplc="B12464FE">
      <w:start w:val="1"/>
      <w:numFmt w:val="bullet"/>
      <w:lvlText w:val="o"/>
      <w:lvlJc w:val="left"/>
      <w:pPr>
        <w:ind w:left="1440" w:hanging="360"/>
      </w:pPr>
      <w:rPr>
        <w:rFonts w:ascii="Courier New" w:hAnsi="Courier New" w:hint="default"/>
      </w:rPr>
    </w:lvl>
    <w:lvl w:ilvl="2" w:tplc="DFCAF566">
      <w:start w:val="1"/>
      <w:numFmt w:val="bullet"/>
      <w:lvlText w:val=""/>
      <w:lvlJc w:val="left"/>
      <w:pPr>
        <w:ind w:left="2160" w:hanging="360"/>
      </w:pPr>
      <w:rPr>
        <w:rFonts w:ascii="Wingdings" w:hAnsi="Wingdings" w:hint="default"/>
      </w:rPr>
    </w:lvl>
    <w:lvl w:ilvl="3" w:tplc="D41CC0A4">
      <w:start w:val="1"/>
      <w:numFmt w:val="bullet"/>
      <w:lvlText w:val=""/>
      <w:lvlJc w:val="left"/>
      <w:pPr>
        <w:ind w:left="2880" w:hanging="360"/>
      </w:pPr>
      <w:rPr>
        <w:rFonts w:ascii="Symbol" w:hAnsi="Symbol" w:hint="default"/>
      </w:rPr>
    </w:lvl>
    <w:lvl w:ilvl="4" w:tplc="F692061E">
      <w:start w:val="1"/>
      <w:numFmt w:val="bullet"/>
      <w:lvlText w:val="o"/>
      <w:lvlJc w:val="left"/>
      <w:pPr>
        <w:ind w:left="3600" w:hanging="360"/>
      </w:pPr>
      <w:rPr>
        <w:rFonts w:ascii="Courier New" w:hAnsi="Courier New" w:hint="default"/>
      </w:rPr>
    </w:lvl>
    <w:lvl w:ilvl="5" w:tplc="20AA70EA">
      <w:start w:val="1"/>
      <w:numFmt w:val="bullet"/>
      <w:lvlText w:val=""/>
      <w:lvlJc w:val="left"/>
      <w:pPr>
        <w:ind w:left="4320" w:hanging="360"/>
      </w:pPr>
      <w:rPr>
        <w:rFonts w:ascii="Wingdings" w:hAnsi="Wingdings" w:hint="default"/>
      </w:rPr>
    </w:lvl>
    <w:lvl w:ilvl="6" w:tplc="243C77F4">
      <w:start w:val="1"/>
      <w:numFmt w:val="bullet"/>
      <w:lvlText w:val=""/>
      <w:lvlJc w:val="left"/>
      <w:pPr>
        <w:ind w:left="5040" w:hanging="360"/>
      </w:pPr>
      <w:rPr>
        <w:rFonts w:ascii="Symbol" w:hAnsi="Symbol" w:hint="default"/>
      </w:rPr>
    </w:lvl>
    <w:lvl w:ilvl="7" w:tplc="2C8A0AA6">
      <w:start w:val="1"/>
      <w:numFmt w:val="bullet"/>
      <w:lvlText w:val="o"/>
      <w:lvlJc w:val="left"/>
      <w:pPr>
        <w:ind w:left="5760" w:hanging="360"/>
      </w:pPr>
      <w:rPr>
        <w:rFonts w:ascii="Courier New" w:hAnsi="Courier New" w:hint="default"/>
      </w:rPr>
    </w:lvl>
    <w:lvl w:ilvl="8" w:tplc="F4585D60">
      <w:start w:val="1"/>
      <w:numFmt w:val="bullet"/>
      <w:lvlText w:val=""/>
      <w:lvlJc w:val="left"/>
      <w:pPr>
        <w:ind w:left="6480" w:hanging="360"/>
      </w:pPr>
      <w:rPr>
        <w:rFonts w:ascii="Wingdings" w:hAnsi="Wingdings" w:hint="default"/>
      </w:rPr>
    </w:lvl>
  </w:abstractNum>
  <w:abstractNum w:abstractNumId="5" w15:restartNumberingAfterBreak="0">
    <w:nsid w:val="52F70C9B"/>
    <w:multiLevelType w:val="hybridMultilevel"/>
    <w:tmpl w:val="722EE24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0B247C"/>
    <w:multiLevelType w:val="hybridMultilevel"/>
    <w:tmpl w:val="9DA41E14"/>
    <w:lvl w:ilvl="0" w:tplc="675A4024">
      <w:start w:val="1"/>
      <w:numFmt w:val="bullet"/>
      <w:lvlText w:val=""/>
      <w:lvlJc w:val="left"/>
      <w:pPr>
        <w:ind w:left="720" w:hanging="360"/>
      </w:pPr>
      <w:rPr>
        <w:rFonts w:ascii="Symbol" w:hAnsi="Symbol" w:hint="default"/>
      </w:rPr>
    </w:lvl>
    <w:lvl w:ilvl="1" w:tplc="2C7CD538">
      <w:start w:val="1"/>
      <w:numFmt w:val="bullet"/>
      <w:lvlText w:val="o"/>
      <w:lvlJc w:val="left"/>
      <w:pPr>
        <w:ind w:left="1440" w:hanging="360"/>
      </w:pPr>
      <w:rPr>
        <w:rFonts w:ascii="Courier New" w:hAnsi="Courier New" w:hint="default"/>
      </w:rPr>
    </w:lvl>
    <w:lvl w:ilvl="2" w:tplc="3DA69DD6">
      <w:start w:val="1"/>
      <w:numFmt w:val="bullet"/>
      <w:lvlText w:val=""/>
      <w:lvlJc w:val="left"/>
      <w:pPr>
        <w:ind w:left="2160" w:hanging="360"/>
      </w:pPr>
      <w:rPr>
        <w:rFonts w:ascii="Wingdings" w:hAnsi="Wingdings" w:hint="default"/>
      </w:rPr>
    </w:lvl>
    <w:lvl w:ilvl="3" w:tplc="A964DBBE">
      <w:start w:val="1"/>
      <w:numFmt w:val="bullet"/>
      <w:lvlText w:val=""/>
      <w:lvlJc w:val="left"/>
      <w:pPr>
        <w:ind w:left="2880" w:hanging="360"/>
      </w:pPr>
      <w:rPr>
        <w:rFonts w:ascii="Symbol" w:hAnsi="Symbol" w:hint="default"/>
      </w:rPr>
    </w:lvl>
    <w:lvl w:ilvl="4" w:tplc="95FA0070">
      <w:start w:val="1"/>
      <w:numFmt w:val="bullet"/>
      <w:lvlText w:val="o"/>
      <w:lvlJc w:val="left"/>
      <w:pPr>
        <w:ind w:left="3600" w:hanging="360"/>
      </w:pPr>
      <w:rPr>
        <w:rFonts w:ascii="Courier New" w:hAnsi="Courier New" w:hint="default"/>
      </w:rPr>
    </w:lvl>
    <w:lvl w:ilvl="5" w:tplc="448E58A2">
      <w:start w:val="1"/>
      <w:numFmt w:val="bullet"/>
      <w:lvlText w:val=""/>
      <w:lvlJc w:val="left"/>
      <w:pPr>
        <w:ind w:left="4320" w:hanging="360"/>
      </w:pPr>
      <w:rPr>
        <w:rFonts w:ascii="Wingdings" w:hAnsi="Wingdings" w:hint="default"/>
      </w:rPr>
    </w:lvl>
    <w:lvl w:ilvl="6" w:tplc="BFA24B8A">
      <w:start w:val="1"/>
      <w:numFmt w:val="bullet"/>
      <w:lvlText w:val=""/>
      <w:lvlJc w:val="left"/>
      <w:pPr>
        <w:ind w:left="5040" w:hanging="360"/>
      </w:pPr>
      <w:rPr>
        <w:rFonts w:ascii="Symbol" w:hAnsi="Symbol" w:hint="default"/>
      </w:rPr>
    </w:lvl>
    <w:lvl w:ilvl="7" w:tplc="4BC435B2">
      <w:start w:val="1"/>
      <w:numFmt w:val="bullet"/>
      <w:lvlText w:val="o"/>
      <w:lvlJc w:val="left"/>
      <w:pPr>
        <w:ind w:left="5760" w:hanging="360"/>
      </w:pPr>
      <w:rPr>
        <w:rFonts w:ascii="Courier New" w:hAnsi="Courier New" w:hint="default"/>
      </w:rPr>
    </w:lvl>
    <w:lvl w:ilvl="8" w:tplc="63B0D366">
      <w:start w:val="1"/>
      <w:numFmt w:val="bullet"/>
      <w:lvlText w:val=""/>
      <w:lvlJc w:val="left"/>
      <w:pPr>
        <w:ind w:left="6480" w:hanging="360"/>
      </w:pPr>
      <w:rPr>
        <w:rFonts w:ascii="Wingdings" w:hAnsi="Wingdings" w:hint="default"/>
      </w:rPr>
    </w:lvl>
  </w:abstractNum>
  <w:abstractNum w:abstractNumId="7" w15:restartNumberingAfterBreak="0">
    <w:nsid w:val="5D86380F"/>
    <w:multiLevelType w:val="hybridMultilevel"/>
    <w:tmpl w:val="BE926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0B4DF2"/>
    <w:multiLevelType w:val="hybridMultilevel"/>
    <w:tmpl w:val="1158B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788593">
    <w:abstractNumId w:val="1"/>
  </w:num>
  <w:num w:numId="2" w16cid:durableId="2095588448">
    <w:abstractNumId w:val="4"/>
  </w:num>
  <w:num w:numId="3" w16cid:durableId="40254230">
    <w:abstractNumId w:val="6"/>
  </w:num>
  <w:num w:numId="4" w16cid:durableId="1846357221">
    <w:abstractNumId w:val="2"/>
  </w:num>
  <w:num w:numId="5" w16cid:durableId="1693721351">
    <w:abstractNumId w:val="7"/>
  </w:num>
  <w:num w:numId="6" w16cid:durableId="1373917097">
    <w:abstractNumId w:val="8"/>
  </w:num>
  <w:num w:numId="7" w16cid:durableId="1872259865">
    <w:abstractNumId w:val="0"/>
  </w:num>
  <w:num w:numId="8" w16cid:durableId="275646741">
    <w:abstractNumId w:val="5"/>
  </w:num>
  <w:num w:numId="9" w16cid:durableId="1754007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5E"/>
    <w:rsid w:val="00001364"/>
    <w:rsid w:val="00006CE7"/>
    <w:rsid w:val="0001025E"/>
    <w:rsid w:val="00014301"/>
    <w:rsid w:val="00014785"/>
    <w:rsid w:val="00017578"/>
    <w:rsid w:val="00021666"/>
    <w:rsid w:val="00021BB0"/>
    <w:rsid w:val="00023879"/>
    <w:rsid w:val="00023DE5"/>
    <w:rsid w:val="0003083C"/>
    <w:rsid w:val="000364D0"/>
    <w:rsid w:val="0004240B"/>
    <w:rsid w:val="00045F20"/>
    <w:rsid w:val="0005603F"/>
    <w:rsid w:val="000568E7"/>
    <w:rsid w:val="00060C83"/>
    <w:rsid w:val="000610C4"/>
    <w:rsid w:val="00064517"/>
    <w:rsid w:val="000713A1"/>
    <w:rsid w:val="00075559"/>
    <w:rsid w:val="00090C5F"/>
    <w:rsid w:val="0009298D"/>
    <w:rsid w:val="000B30B4"/>
    <w:rsid w:val="000B3740"/>
    <w:rsid w:val="000C00E8"/>
    <w:rsid w:val="000C533F"/>
    <w:rsid w:val="000C7F02"/>
    <w:rsid w:val="000E2F6E"/>
    <w:rsid w:val="000E495F"/>
    <w:rsid w:val="000F2B46"/>
    <w:rsid w:val="000F51B8"/>
    <w:rsid w:val="000F719A"/>
    <w:rsid w:val="00106DA9"/>
    <w:rsid w:val="0011183D"/>
    <w:rsid w:val="00114977"/>
    <w:rsid w:val="00114BB7"/>
    <w:rsid w:val="00124E46"/>
    <w:rsid w:val="00126C86"/>
    <w:rsid w:val="001332A8"/>
    <w:rsid w:val="001424D8"/>
    <w:rsid w:val="00142B5B"/>
    <w:rsid w:val="001549EA"/>
    <w:rsid w:val="00164321"/>
    <w:rsid w:val="00170E07"/>
    <w:rsid w:val="00180C51"/>
    <w:rsid w:val="00186AB7"/>
    <w:rsid w:val="001919FF"/>
    <w:rsid w:val="00197914"/>
    <w:rsid w:val="001A3F5C"/>
    <w:rsid w:val="001B5595"/>
    <w:rsid w:val="001C36F7"/>
    <w:rsid w:val="001C37F3"/>
    <w:rsid w:val="001C515E"/>
    <w:rsid w:val="001C5550"/>
    <w:rsid w:val="001C5E74"/>
    <w:rsid w:val="001D35C9"/>
    <w:rsid w:val="001D3BF1"/>
    <w:rsid w:val="001D4DF5"/>
    <w:rsid w:val="001D4EF8"/>
    <w:rsid w:val="001D62A6"/>
    <w:rsid w:val="001D6A89"/>
    <w:rsid w:val="001E1590"/>
    <w:rsid w:val="001E5AA6"/>
    <w:rsid w:val="001E78D1"/>
    <w:rsid w:val="001F719E"/>
    <w:rsid w:val="0020410E"/>
    <w:rsid w:val="002050C3"/>
    <w:rsid w:val="00213457"/>
    <w:rsid w:val="00217999"/>
    <w:rsid w:val="002228CE"/>
    <w:rsid w:val="00225588"/>
    <w:rsid w:val="0022641B"/>
    <w:rsid w:val="00232421"/>
    <w:rsid w:val="00232DBC"/>
    <w:rsid w:val="00234142"/>
    <w:rsid w:val="00236F35"/>
    <w:rsid w:val="002479C4"/>
    <w:rsid w:val="00262715"/>
    <w:rsid w:val="002628F9"/>
    <w:rsid w:val="0027275D"/>
    <w:rsid w:val="00280738"/>
    <w:rsid w:val="0028331E"/>
    <w:rsid w:val="002857F6"/>
    <w:rsid w:val="00286740"/>
    <w:rsid w:val="00292E89"/>
    <w:rsid w:val="0029568B"/>
    <w:rsid w:val="002A003A"/>
    <w:rsid w:val="002A318F"/>
    <w:rsid w:val="002A4690"/>
    <w:rsid w:val="002B0F2F"/>
    <w:rsid w:val="002B4FDA"/>
    <w:rsid w:val="002C1F62"/>
    <w:rsid w:val="002C3453"/>
    <w:rsid w:val="002C5B79"/>
    <w:rsid w:val="002C611C"/>
    <w:rsid w:val="002C721F"/>
    <w:rsid w:val="002D10A9"/>
    <w:rsid w:val="002E36F0"/>
    <w:rsid w:val="002E560C"/>
    <w:rsid w:val="002F13D4"/>
    <w:rsid w:val="002F607D"/>
    <w:rsid w:val="0030004C"/>
    <w:rsid w:val="00300E03"/>
    <w:rsid w:val="00305098"/>
    <w:rsid w:val="00315AE0"/>
    <w:rsid w:val="00333AB2"/>
    <w:rsid w:val="00333CE5"/>
    <w:rsid w:val="0034260A"/>
    <w:rsid w:val="00342AA6"/>
    <w:rsid w:val="00342F3E"/>
    <w:rsid w:val="003449A7"/>
    <w:rsid w:val="00346256"/>
    <w:rsid w:val="00347C65"/>
    <w:rsid w:val="0035327D"/>
    <w:rsid w:val="00356B4E"/>
    <w:rsid w:val="00356B82"/>
    <w:rsid w:val="003627F6"/>
    <w:rsid w:val="00365E73"/>
    <w:rsid w:val="0036641F"/>
    <w:rsid w:val="00370F32"/>
    <w:rsid w:val="003737FF"/>
    <w:rsid w:val="0037446E"/>
    <w:rsid w:val="0038095F"/>
    <w:rsid w:val="00380B29"/>
    <w:rsid w:val="00381716"/>
    <w:rsid w:val="00385AF1"/>
    <w:rsid w:val="003963FF"/>
    <w:rsid w:val="003A1111"/>
    <w:rsid w:val="003B07E2"/>
    <w:rsid w:val="003B16CF"/>
    <w:rsid w:val="003B1C29"/>
    <w:rsid w:val="003B51B0"/>
    <w:rsid w:val="003B6028"/>
    <w:rsid w:val="003C2705"/>
    <w:rsid w:val="003E3AC4"/>
    <w:rsid w:val="003E7A7D"/>
    <w:rsid w:val="003F3F96"/>
    <w:rsid w:val="003F7D30"/>
    <w:rsid w:val="004008CB"/>
    <w:rsid w:val="0040102D"/>
    <w:rsid w:val="00404EB1"/>
    <w:rsid w:val="00406D17"/>
    <w:rsid w:val="0040772C"/>
    <w:rsid w:val="00410651"/>
    <w:rsid w:val="00411D53"/>
    <w:rsid w:val="00412870"/>
    <w:rsid w:val="00415795"/>
    <w:rsid w:val="00416510"/>
    <w:rsid w:val="00423191"/>
    <w:rsid w:val="00423392"/>
    <w:rsid w:val="00423D78"/>
    <w:rsid w:val="00426D3D"/>
    <w:rsid w:val="0043014E"/>
    <w:rsid w:val="00436740"/>
    <w:rsid w:val="004400F3"/>
    <w:rsid w:val="00442E44"/>
    <w:rsid w:val="00443022"/>
    <w:rsid w:val="00444180"/>
    <w:rsid w:val="004460C4"/>
    <w:rsid w:val="00450530"/>
    <w:rsid w:val="00450AA3"/>
    <w:rsid w:val="00451797"/>
    <w:rsid w:val="00451AAA"/>
    <w:rsid w:val="00453384"/>
    <w:rsid w:val="00454C6D"/>
    <w:rsid w:val="004618EC"/>
    <w:rsid w:val="00467507"/>
    <w:rsid w:val="00470186"/>
    <w:rsid w:val="00492909"/>
    <w:rsid w:val="0049478D"/>
    <w:rsid w:val="004A105F"/>
    <w:rsid w:val="004A1A11"/>
    <w:rsid w:val="004A3A76"/>
    <w:rsid w:val="004A3B87"/>
    <w:rsid w:val="004A4DE2"/>
    <w:rsid w:val="004A5F00"/>
    <w:rsid w:val="004B2CE8"/>
    <w:rsid w:val="004B7154"/>
    <w:rsid w:val="004B7470"/>
    <w:rsid w:val="004C3BDF"/>
    <w:rsid w:val="004C4B36"/>
    <w:rsid w:val="004C684E"/>
    <w:rsid w:val="004D2992"/>
    <w:rsid w:val="004E0C20"/>
    <w:rsid w:val="004E5190"/>
    <w:rsid w:val="004E777E"/>
    <w:rsid w:val="004F282E"/>
    <w:rsid w:val="00501714"/>
    <w:rsid w:val="00501CBF"/>
    <w:rsid w:val="00503897"/>
    <w:rsid w:val="00526F20"/>
    <w:rsid w:val="00527B6C"/>
    <w:rsid w:val="00530A3A"/>
    <w:rsid w:val="005319F2"/>
    <w:rsid w:val="0053460F"/>
    <w:rsid w:val="0054171B"/>
    <w:rsid w:val="005558D1"/>
    <w:rsid w:val="00555E31"/>
    <w:rsid w:val="0056505E"/>
    <w:rsid w:val="005724BD"/>
    <w:rsid w:val="005746BE"/>
    <w:rsid w:val="00574EB5"/>
    <w:rsid w:val="00583248"/>
    <w:rsid w:val="00583A95"/>
    <w:rsid w:val="005857D5"/>
    <w:rsid w:val="00587744"/>
    <w:rsid w:val="00592EDD"/>
    <w:rsid w:val="005A1B59"/>
    <w:rsid w:val="005A3C84"/>
    <w:rsid w:val="005A4485"/>
    <w:rsid w:val="005A6C80"/>
    <w:rsid w:val="005A79E2"/>
    <w:rsid w:val="005B0687"/>
    <w:rsid w:val="005B6D78"/>
    <w:rsid w:val="005C575D"/>
    <w:rsid w:val="005C68E1"/>
    <w:rsid w:val="005C7748"/>
    <w:rsid w:val="005D6D80"/>
    <w:rsid w:val="005E74AE"/>
    <w:rsid w:val="005F424D"/>
    <w:rsid w:val="005F7D39"/>
    <w:rsid w:val="0060028A"/>
    <w:rsid w:val="006016F5"/>
    <w:rsid w:val="00604703"/>
    <w:rsid w:val="0060600E"/>
    <w:rsid w:val="006063D1"/>
    <w:rsid w:val="00606B37"/>
    <w:rsid w:val="00607E6F"/>
    <w:rsid w:val="00612861"/>
    <w:rsid w:val="00613CDA"/>
    <w:rsid w:val="00614EDB"/>
    <w:rsid w:val="006167C4"/>
    <w:rsid w:val="00622E29"/>
    <w:rsid w:val="006235A6"/>
    <w:rsid w:val="00630F9B"/>
    <w:rsid w:val="00636DB1"/>
    <w:rsid w:val="00641415"/>
    <w:rsid w:val="00642821"/>
    <w:rsid w:val="00642E37"/>
    <w:rsid w:val="00660A8E"/>
    <w:rsid w:val="00664678"/>
    <w:rsid w:val="0067522F"/>
    <w:rsid w:val="006819DC"/>
    <w:rsid w:val="006830F8"/>
    <w:rsid w:val="00686E8A"/>
    <w:rsid w:val="006900C6"/>
    <w:rsid w:val="00690FB5"/>
    <w:rsid w:val="006963DE"/>
    <w:rsid w:val="00697D20"/>
    <w:rsid w:val="006A1A6A"/>
    <w:rsid w:val="006A375C"/>
    <w:rsid w:val="006B1073"/>
    <w:rsid w:val="006B231C"/>
    <w:rsid w:val="006B4B26"/>
    <w:rsid w:val="006B4DE8"/>
    <w:rsid w:val="006B6629"/>
    <w:rsid w:val="006B7F28"/>
    <w:rsid w:val="006C115F"/>
    <w:rsid w:val="006C21F6"/>
    <w:rsid w:val="006C3459"/>
    <w:rsid w:val="006C4CA4"/>
    <w:rsid w:val="006C4F1D"/>
    <w:rsid w:val="006D0538"/>
    <w:rsid w:val="006D4301"/>
    <w:rsid w:val="006D66C1"/>
    <w:rsid w:val="006D7907"/>
    <w:rsid w:val="006E1FD0"/>
    <w:rsid w:val="006F1A5E"/>
    <w:rsid w:val="006F6928"/>
    <w:rsid w:val="00700A58"/>
    <w:rsid w:val="00701F21"/>
    <w:rsid w:val="00705930"/>
    <w:rsid w:val="00707B43"/>
    <w:rsid w:val="00713CC5"/>
    <w:rsid w:val="00714AF6"/>
    <w:rsid w:val="007162C3"/>
    <w:rsid w:val="00721F69"/>
    <w:rsid w:val="007245F5"/>
    <w:rsid w:val="007327F4"/>
    <w:rsid w:val="00734AB9"/>
    <w:rsid w:val="00736D64"/>
    <w:rsid w:val="0074126E"/>
    <w:rsid w:val="00742DDA"/>
    <w:rsid w:val="007433D7"/>
    <w:rsid w:val="00744C0E"/>
    <w:rsid w:val="00745945"/>
    <w:rsid w:val="00747C72"/>
    <w:rsid w:val="00755030"/>
    <w:rsid w:val="00762059"/>
    <w:rsid w:val="00764D1B"/>
    <w:rsid w:val="00775B32"/>
    <w:rsid w:val="00776CF1"/>
    <w:rsid w:val="007808E8"/>
    <w:rsid w:val="00780E5F"/>
    <w:rsid w:val="00794EBF"/>
    <w:rsid w:val="007A1ACE"/>
    <w:rsid w:val="007A1BED"/>
    <w:rsid w:val="007B5247"/>
    <w:rsid w:val="007B7051"/>
    <w:rsid w:val="007C05FE"/>
    <w:rsid w:val="007C4156"/>
    <w:rsid w:val="007D4F18"/>
    <w:rsid w:val="007D52DD"/>
    <w:rsid w:val="007E1C39"/>
    <w:rsid w:val="007E3614"/>
    <w:rsid w:val="007E4AAC"/>
    <w:rsid w:val="007F6238"/>
    <w:rsid w:val="00801EEB"/>
    <w:rsid w:val="00805679"/>
    <w:rsid w:val="00807C06"/>
    <w:rsid w:val="00813517"/>
    <w:rsid w:val="00813CAD"/>
    <w:rsid w:val="00814497"/>
    <w:rsid w:val="00815C22"/>
    <w:rsid w:val="00822452"/>
    <w:rsid w:val="00822CC1"/>
    <w:rsid w:val="0082383E"/>
    <w:rsid w:val="008244A7"/>
    <w:rsid w:val="00827D89"/>
    <w:rsid w:val="00832D81"/>
    <w:rsid w:val="00834A7D"/>
    <w:rsid w:val="00835212"/>
    <w:rsid w:val="00846830"/>
    <w:rsid w:val="00850829"/>
    <w:rsid w:val="00851368"/>
    <w:rsid w:val="008950B8"/>
    <w:rsid w:val="008B0AB5"/>
    <w:rsid w:val="008B13C8"/>
    <w:rsid w:val="008B2641"/>
    <w:rsid w:val="008B44B1"/>
    <w:rsid w:val="008C3A24"/>
    <w:rsid w:val="008D3D6F"/>
    <w:rsid w:val="008D41E1"/>
    <w:rsid w:val="008D45CF"/>
    <w:rsid w:val="008D5DD7"/>
    <w:rsid w:val="008E6D12"/>
    <w:rsid w:val="008F47FB"/>
    <w:rsid w:val="008F78BD"/>
    <w:rsid w:val="00902461"/>
    <w:rsid w:val="0090384F"/>
    <w:rsid w:val="00906EC6"/>
    <w:rsid w:val="009073CC"/>
    <w:rsid w:val="0091094A"/>
    <w:rsid w:val="0091511D"/>
    <w:rsid w:val="009206A1"/>
    <w:rsid w:val="00941A1F"/>
    <w:rsid w:val="009501C4"/>
    <w:rsid w:val="00971610"/>
    <w:rsid w:val="00975C94"/>
    <w:rsid w:val="0098351C"/>
    <w:rsid w:val="009861DC"/>
    <w:rsid w:val="009941B7"/>
    <w:rsid w:val="009A1156"/>
    <w:rsid w:val="009A2491"/>
    <w:rsid w:val="009A581B"/>
    <w:rsid w:val="009A65D9"/>
    <w:rsid w:val="009B4AC4"/>
    <w:rsid w:val="009B6C31"/>
    <w:rsid w:val="009C005C"/>
    <w:rsid w:val="009C37C6"/>
    <w:rsid w:val="009D651D"/>
    <w:rsid w:val="009D6CC5"/>
    <w:rsid w:val="009E21AB"/>
    <w:rsid w:val="009E4A93"/>
    <w:rsid w:val="009E75F9"/>
    <w:rsid w:val="009F519D"/>
    <w:rsid w:val="00A04A75"/>
    <w:rsid w:val="00A05653"/>
    <w:rsid w:val="00A05DBA"/>
    <w:rsid w:val="00A17833"/>
    <w:rsid w:val="00A2086B"/>
    <w:rsid w:val="00A2240B"/>
    <w:rsid w:val="00A2585C"/>
    <w:rsid w:val="00A34AEA"/>
    <w:rsid w:val="00A506FB"/>
    <w:rsid w:val="00A5101C"/>
    <w:rsid w:val="00A527A2"/>
    <w:rsid w:val="00A531DE"/>
    <w:rsid w:val="00A53FB0"/>
    <w:rsid w:val="00A54E29"/>
    <w:rsid w:val="00A60B62"/>
    <w:rsid w:val="00A61063"/>
    <w:rsid w:val="00A62CEE"/>
    <w:rsid w:val="00A66BA8"/>
    <w:rsid w:val="00A7096F"/>
    <w:rsid w:val="00A71E73"/>
    <w:rsid w:val="00A75932"/>
    <w:rsid w:val="00A80D44"/>
    <w:rsid w:val="00A81809"/>
    <w:rsid w:val="00A85FD4"/>
    <w:rsid w:val="00A8762B"/>
    <w:rsid w:val="00A901E0"/>
    <w:rsid w:val="00A9027C"/>
    <w:rsid w:val="00A92343"/>
    <w:rsid w:val="00AA02B4"/>
    <w:rsid w:val="00AA495C"/>
    <w:rsid w:val="00AB6A6F"/>
    <w:rsid w:val="00AC3417"/>
    <w:rsid w:val="00AD289F"/>
    <w:rsid w:val="00AE2D0F"/>
    <w:rsid w:val="00AF2251"/>
    <w:rsid w:val="00AF6771"/>
    <w:rsid w:val="00B04946"/>
    <w:rsid w:val="00B06006"/>
    <w:rsid w:val="00B10173"/>
    <w:rsid w:val="00B20A31"/>
    <w:rsid w:val="00B22340"/>
    <w:rsid w:val="00B23372"/>
    <w:rsid w:val="00B23AC8"/>
    <w:rsid w:val="00B25A6D"/>
    <w:rsid w:val="00B26712"/>
    <w:rsid w:val="00B32718"/>
    <w:rsid w:val="00B55818"/>
    <w:rsid w:val="00B569BE"/>
    <w:rsid w:val="00B61231"/>
    <w:rsid w:val="00B62F5F"/>
    <w:rsid w:val="00B73CE5"/>
    <w:rsid w:val="00B77A9C"/>
    <w:rsid w:val="00B83FCE"/>
    <w:rsid w:val="00B84A13"/>
    <w:rsid w:val="00B85025"/>
    <w:rsid w:val="00B90FEE"/>
    <w:rsid w:val="00B94C36"/>
    <w:rsid w:val="00B94E7F"/>
    <w:rsid w:val="00B9659B"/>
    <w:rsid w:val="00BA5D97"/>
    <w:rsid w:val="00BB5124"/>
    <w:rsid w:val="00BB71E6"/>
    <w:rsid w:val="00BC57EE"/>
    <w:rsid w:val="00BC61B3"/>
    <w:rsid w:val="00BD655D"/>
    <w:rsid w:val="00BD6F80"/>
    <w:rsid w:val="00BE534F"/>
    <w:rsid w:val="00BE6E02"/>
    <w:rsid w:val="00BF30EE"/>
    <w:rsid w:val="00BF4914"/>
    <w:rsid w:val="00C010FF"/>
    <w:rsid w:val="00C01CD1"/>
    <w:rsid w:val="00C02108"/>
    <w:rsid w:val="00C02E96"/>
    <w:rsid w:val="00C04584"/>
    <w:rsid w:val="00C04BCF"/>
    <w:rsid w:val="00C10289"/>
    <w:rsid w:val="00C11587"/>
    <w:rsid w:val="00C11C0A"/>
    <w:rsid w:val="00C17FC9"/>
    <w:rsid w:val="00C20334"/>
    <w:rsid w:val="00C31871"/>
    <w:rsid w:val="00C37139"/>
    <w:rsid w:val="00C4268A"/>
    <w:rsid w:val="00C45BC0"/>
    <w:rsid w:val="00C47A2A"/>
    <w:rsid w:val="00C51419"/>
    <w:rsid w:val="00C536FE"/>
    <w:rsid w:val="00C57F3A"/>
    <w:rsid w:val="00C66E7E"/>
    <w:rsid w:val="00C71B7A"/>
    <w:rsid w:val="00C75D66"/>
    <w:rsid w:val="00C81490"/>
    <w:rsid w:val="00C8318F"/>
    <w:rsid w:val="00C93264"/>
    <w:rsid w:val="00C93FF8"/>
    <w:rsid w:val="00C944E7"/>
    <w:rsid w:val="00C95889"/>
    <w:rsid w:val="00C97C44"/>
    <w:rsid w:val="00CA0FEC"/>
    <w:rsid w:val="00CA3253"/>
    <w:rsid w:val="00CA54CF"/>
    <w:rsid w:val="00CB0C36"/>
    <w:rsid w:val="00CB1188"/>
    <w:rsid w:val="00CB173C"/>
    <w:rsid w:val="00CB1F25"/>
    <w:rsid w:val="00CB3E0C"/>
    <w:rsid w:val="00CC33D7"/>
    <w:rsid w:val="00CC3CA7"/>
    <w:rsid w:val="00CC608F"/>
    <w:rsid w:val="00CD54DB"/>
    <w:rsid w:val="00CE266D"/>
    <w:rsid w:val="00CE727E"/>
    <w:rsid w:val="00CE735D"/>
    <w:rsid w:val="00D14C13"/>
    <w:rsid w:val="00D165AB"/>
    <w:rsid w:val="00D17A98"/>
    <w:rsid w:val="00D17FBA"/>
    <w:rsid w:val="00D364EA"/>
    <w:rsid w:val="00D36607"/>
    <w:rsid w:val="00D411C4"/>
    <w:rsid w:val="00D443BC"/>
    <w:rsid w:val="00D44907"/>
    <w:rsid w:val="00D45A4C"/>
    <w:rsid w:val="00D53DFE"/>
    <w:rsid w:val="00D6044A"/>
    <w:rsid w:val="00D60E00"/>
    <w:rsid w:val="00D61E04"/>
    <w:rsid w:val="00D62F87"/>
    <w:rsid w:val="00D65F25"/>
    <w:rsid w:val="00D753BE"/>
    <w:rsid w:val="00D7715D"/>
    <w:rsid w:val="00D85016"/>
    <w:rsid w:val="00D85C03"/>
    <w:rsid w:val="00D860FA"/>
    <w:rsid w:val="00D865E1"/>
    <w:rsid w:val="00D91394"/>
    <w:rsid w:val="00DA35B9"/>
    <w:rsid w:val="00DA5518"/>
    <w:rsid w:val="00DA602C"/>
    <w:rsid w:val="00DB170A"/>
    <w:rsid w:val="00DB1BBC"/>
    <w:rsid w:val="00DB7F28"/>
    <w:rsid w:val="00DB7F99"/>
    <w:rsid w:val="00DC087E"/>
    <w:rsid w:val="00DC402B"/>
    <w:rsid w:val="00DC47CF"/>
    <w:rsid w:val="00DD2294"/>
    <w:rsid w:val="00DD30AA"/>
    <w:rsid w:val="00DD655A"/>
    <w:rsid w:val="00DE086A"/>
    <w:rsid w:val="00DE0A7E"/>
    <w:rsid w:val="00DE0C9F"/>
    <w:rsid w:val="00DE2BFD"/>
    <w:rsid w:val="00DE62B6"/>
    <w:rsid w:val="00DF5157"/>
    <w:rsid w:val="00DF5565"/>
    <w:rsid w:val="00DF73AE"/>
    <w:rsid w:val="00E1559B"/>
    <w:rsid w:val="00E204D6"/>
    <w:rsid w:val="00E266EF"/>
    <w:rsid w:val="00E270D1"/>
    <w:rsid w:val="00E33382"/>
    <w:rsid w:val="00E5422C"/>
    <w:rsid w:val="00E553C8"/>
    <w:rsid w:val="00E563AD"/>
    <w:rsid w:val="00E60C10"/>
    <w:rsid w:val="00E61537"/>
    <w:rsid w:val="00E6247F"/>
    <w:rsid w:val="00E629EB"/>
    <w:rsid w:val="00E67752"/>
    <w:rsid w:val="00E76F12"/>
    <w:rsid w:val="00E8490C"/>
    <w:rsid w:val="00E94130"/>
    <w:rsid w:val="00EA3C89"/>
    <w:rsid w:val="00EA6F75"/>
    <w:rsid w:val="00EA7EE6"/>
    <w:rsid w:val="00EB6964"/>
    <w:rsid w:val="00EC0405"/>
    <w:rsid w:val="00EC2390"/>
    <w:rsid w:val="00EC6DC0"/>
    <w:rsid w:val="00ED285B"/>
    <w:rsid w:val="00ED633B"/>
    <w:rsid w:val="00ED7D8D"/>
    <w:rsid w:val="00EE2F32"/>
    <w:rsid w:val="00EF0E91"/>
    <w:rsid w:val="00EF28B6"/>
    <w:rsid w:val="00EF5526"/>
    <w:rsid w:val="00F0204E"/>
    <w:rsid w:val="00F050DE"/>
    <w:rsid w:val="00F05334"/>
    <w:rsid w:val="00F05B54"/>
    <w:rsid w:val="00F0685A"/>
    <w:rsid w:val="00F06EF3"/>
    <w:rsid w:val="00F16C49"/>
    <w:rsid w:val="00F16C90"/>
    <w:rsid w:val="00F2026B"/>
    <w:rsid w:val="00F214D3"/>
    <w:rsid w:val="00F3329F"/>
    <w:rsid w:val="00F4370C"/>
    <w:rsid w:val="00F5661C"/>
    <w:rsid w:val="00F60A96"/>
    <w:rsid w:val="00F7089E"/>
    <w:rsid w:val="00F73269"/>
    <w:rsid w:val="00F74773"/>
    <w:rsid w:val="00F76A4A"/>
    <w:rsid w:val="00F77938"/>
    <w:rsid w:val="00F8565A"/>
    <w:rsid w:val="00F86C4D"/>
    <w:rsid w:val="00F86F75"/>
    <w:rsid w:val="00F921B1"/>
    <w:rsid w:val="00F93454"/>
    <w:rsid w:val="00F94C89"/>
    <w:rsid w:val="00FA38E3"/>
    <w:rsid w:val="00FA667F"/>
    <w:rsid w:val="00FA74A7"/>
    <w:rsid w:val="00FB0335"/>
    <w:rsid w:val="00FC644A"/>
    <w:rsid w:val="00FC6EE7"/>
    <w:rsid w:val="00FC7F4A"/>
    <w:rsid w:val="00FD20A2"/>
    <w:rsid w:val="00FD34F9"/>
    <w:rsid w:val="00FD65DA"/>
    <w:rsid w:val="00FE075A"/>
    <w:rsid w:val="00FE23F4"/>
    <w:rsid w:val="00FE2694"/>
    <w:rsid w:val="00FE2E39"/>
    <w:rsid w:val="00FE3888"/>
    <w:rsid w:val="00FF2C30"/>
    <w:rsid w:val="011ED4DF"/>
    <w:rsid w:val="048AC2CE"/>
    <w:rsid w:val="04F26642"/>
    <w:rsid w:val="054C376A"/>
    <w:rsid w:val="066AD103"/>
    <w:rsid w:val="06F6B546"/>
    <w:rsid w:val="075217CE"/>
    <w:rsid w:val="08480E99"/>
    <w:rsid w:val="08A5617F"/>
    <w:rsid w:val="096034CC"/>
    <w:rsid w:val="0B7FAF5B"/>
    <w:rsid w:val="0BCEBDCB"/>
    <w:rsid w:val="0E75E2E8"/>
    <w:rsid w:val="11DE42CF"/>
    <w:rsid w:val="135862E0"/>
    <w:rsid w:val="13BEA4AE"/>
    <w:rsid w:val="14FAF0AF"/>
    <w:rsid w:val="156B3C41"/>
    <w:rsid w:val="159C768E"/>
    <w:rsid w:val="17450B4A"/>
    <w:rsid w:val="175E3129"/>
    <w:rsid w:val="17A0CD26"/>
    <w:rsid w:val="17BCA609"/>
    <w:rsid w:val="17DA6930"/>
    <w:rsid w:val="191E3723"/>
    <w:rsid w:val="19EDC01B"/>
    <w:rsid w:val="1A04419C"/>
    <w:rsid w:val="1B07B648"/>
    <w:rsid w:val="1B817120"/>
    <w:rsid w:val="1D6920A1"/>
    <w:rsid w:val="1DC4C78D"/>
    <w:rsid w:val="1DE8D868"/>
    <w:rsid w:val="1E2E4BB7"/>
    <w:rsid w:val="1E4E66D6"/>
    <w:rsid w:val="1F070E21"/>
    <w:rsid w:val="20AAD009"/>
    <w:rsid w:val="20E1B43F"/>
    <w:rsid w:val="2190B803"/>
    <w:rsid w:val="22DFAF3F"/>
    <w:rsid w:val="234E3CFE"/>
    <w:rsid w:val="24498E28"/>
    <w:rsid w:val="2573C9FE"/>
    <w:rsid w:val="2593B161"/>
    <w:rsid w:val="259C3EB9"/>
    <w:rsid w:val="25DA5721"/>
    <w:rsid w:val="274D2DF1"/>
    <w:rsid w:val="287CC666"/>
    <w:rsid w:val="28996B62"/>
    <w:rsid w:val="293CAE3A"/>
    <w:rsid w:val="2A20F615"/>
    <w:rsid w:val="2A28BA5A"/>
    <w:rsid w:val="2AD87E9B"/>
    <w:rsid w:val="2AE0828F"/>
    <w:rsid w:val="2C092483"/>
    <w:rsid w:val="2DA35CA9"/>
    <w:rsid w:val="2DC52989"/>
    <w:rsid w:val="2E101F5D"/>
    <w:rsid w:val="2F1D0AAD"/>
    <w:rsid w:val="2F95E25C"/>
    <w:rsid w:val="315AF720"/>
    <w:rsid w:val="33B07CF6"/>
    <w:rsid w:val="3439A01B"/>
    <w:rsid w:val="349B6EFC"/>
    <w:rsid w:val="35331860"/>
    <w:rsid w:val="36015116"/>
    <w:rsid w:val="3601A31E"/>
    <w:rsid w:val="3666DF7E"/>
    <w:rsid w:val="36723666"/>
    <w:rsid w:val="36AE3DF6"/>
    <w:rsid w:val="374A9BDD"/>
    <w:rsid w:val="3786D057"/>
    <w:rsid w:val="38AD183E"/>
    <w:rsid w:val="3A1CEF59"/>
    <w:rsid w:val="3B1DCF71"/>
    <w:rsid w:val="3C90510C"/>
    <w:rsid w:val="3CAEE1AD"/>
    <w:rsid w:val="3F3DE606"/>
    <w:rsid w:val="3F3F7C9A"/>
    <w:rsid w:val="3F850A06"/>
    <w:rsid w:val="3FE6826F"/>
    <w:rsid w:val="418252D0"/>
    <w:rsid w:val="41E4E432"/>
    <w:rsid w:val="426BFCB0"/>
    <w:rsid w:val="42C6FDC9"/>
    <w:rsid w:val="44B9F392"/>
    <w:rsid w:val="4646215A"/>
    <w:rsid w:val="471A022B"/>
    <w:rsid w:val="4787F4B1"/>
    <w:rsid w:val="47B6986F"/>
    <w:rsid w:val="483AFD4F"/>
    <w:rsid w:val="48B5D28C"/>
    <w:rsid w:val="492DA566"/>
    <w:rsid w:val="49441245"/>
    <w:rsid w:val="498D64B5"/>
    <w:rsid w:val="49BCC017"/>
    <w:rsid w:val="4AA55867"/>
    <w:rsid w:val="4AB84D27"/>
    <w:rsid w:val="4CA7F136"/>
    <w:rsid w:val="4D3828D8"/>
    <w:rsid w:val="4D780059"/>
    <w:rsid w:val="4DEED3E8"/>
    <w:rsid w:val="4F9FBF55"/>
    <w:rsid w:val="504F23F1"/>
    <w:rsid w:val="50E8EBC7"/>
    <w:rsid w:val="512CB3DF"/>
    <w:rsid w:val="5363A25D"/>
    <w:rsid w:val="53A28F66"/>
    <w:rsid w:val="57177E22"/>
    <w:rsid w:val="57A913AB"/>
    <w:rsid w:val="57D85885"/>
    <w:rsid w:val="5855AF5C"/>
    <w:rsid w:val="58638ED0"/>
    <w:rsid w:val="586D8442"/>
    <w:rsid w:val="599AAA6D"/>
    <w:rsid w:val="59A4BE29"/>
    <w:rsid w:val="59F4DF00"/>
    <w:rsid w:val="5BC19486"/>
    <w:rsid w:val="5C9AE6CD"/>
    <w:rsid w:val="5DBDE376"/>
    <w:rsid w:val="5DD18DDF"/>
    <w:rsid w:val="5F519438"/>
    <w:rsid w:val="5FAA8294"/>
    <w:rsid w:val="5FAF4960"/>
    <w:rsid w:val="6114F545"/>
    <w:rsid w:val="620E3F77"/>
    <w:rsid w:val="62551FB5"/>
    <w:rsid w:val="6339A00F"/>
    <w:rsid w:val="63A6E964"/>
    <w:rsid w:val="6518C84E"/>
    <w:rsid w:val="65A33499"/>
    <w:rsid w:val="678C017F"/>
    <w:rsid w:val="6810B250"/>
    <w:rsid w:val="6AAE09B4"/>
    <w:rsid w:val="6AC3A241"/>
    <w:rsid w:val="6B2FAAE2"/>
    <w:rsid w:val="6B7C10E3"/>
    <w:rsid w:val="6E5E6A7B"/>
    <w:rsid w:val="6F0AD11E"/>
    <w:rsid w:val="6F1B1389"/>
    <w:rsid w:val="6FE670C2"/>
    <w:rsid w:val="70A6A17F"/>
    <w:rsid w:val="721875C6"/>
    <w:rsid w:val="72ECFB6B"/>
    <w:rsid w:val="737BEA27"/>
    <w:rsid w:val="7440CEBD"/>
    <w:rsid w:val="746EBDE6"/>
    <w:rsid w:val="749BEC37"/>
    <w:rsid w:val="74DF1AA3"/>
    <w:rsid w:val="7515C3BB"/>
    <w:rsid w:val="75610B15"/>
    <w:rsid w:val="75CAA118"/>
    <w:rsid w:val="760A8E47"/>
    <w:rsid w:val="764D0726"/>
    <w:rsid w:val="76FA17DB"/>
    <w:rsid w:val="77451376"/>
    <w:rsid w:val="78D9B03B"/>
    <w:rsid w:val="792320CA"/>
    <w:rsid w:val="79422F09"/>
    <w:rsid w:val="79A57657"/>
    <w:rsid w:val="7A189040"/>
    <w:rsid w:val="7A94D6C2"/>
    <w:rsid w:val="7B48EB99"/>
    <w:rsid w:val="7B5BEC48"/>
    <w:rsid w:val="7DD140B5"/>
    <w:rsid w:val="7DE7AD62"/>
    <w:rsid w:val="7FC578D5"/>
    <w:rsid w:val="7FC9C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95D93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5DA"/>
    <w:rPr>
      <w:rFonts w:ascii="Arial" w:hAnsi="Arial"/>
      <w:sz w:val="24"/>
      <w:szCs w:val="24"/>
    </w:rPr>
  </w:style>
  <w:style w:type="paragraph" w:styleId="Heading1">
    <w:name w:val="heading 1"/>
    <w:basedOn w:val="Normal"/>
    <w:next w:val="Normal"/>
    <w:link w:val="Heading1Char"/>
    <w:qFormat/>
    <w:rsid w:val="00FD65DA"/>
    <w:pPr>
      <w:keepNext/>
      <w:keepLines/>
      <w:jc w:val="center"/>
      <w:outlineLvl w:val="0"/>
    </w:pPr>
    <w:rPr>
      <w:rFonts w:eastAsiaTheme="majorEastAsia" w:cstheme="majorBidi"/>
      <w:b/>
      <w:szCs w:val="32"/>
    </w:rPr>
  </w:style>
  <w:style w:type="paragraph" w:styleId="Heading2">
    <w:name w:val="heading 2"/>
    <w:basedOn w:val="Normal"/>
    <w:next w:val="Normal"/>
    <w:link w:val="Heading2Char"/>
    <w:qFormat/>
    <w:rsid w:val="00FD65DA"/>
    <w:pPr>
      <w:keepNext/>
      <w:keepLines/>
      <w:outlineLvl w:val="1"/>
    </w:pPr>
    <w:rPr>
      <w:rFonts w:ascii="Arial Bold" w:eastAsiaTheme="majorEastAsia" w:hAnsi="Arial Bold" w:cstheme="majorBidi"/>
      <w:b/>
      <w:caps/>
      <w:szCs w:val="26"/>
    </w:rPr>
  </w:style>
  <w:style w:type="paragraph" w:styleId="Heading3">
    <w:name w:val="heading 3"/>
    <w:basedOn w:val="Normal"/>
    <w:next w:val="Normal"/>
    <w:link w:val="Heading3Char"/>
    <w:qFormat/>
    <w:rsid w:val="00FD65DA"/>
    <w:pPr>
      <w:keepNext/>
      <w:keepLines/>
      <w:outlineLvl w:val="2"/>
    </w:pPr>
    <w:rPr>
      <w:rFonts w:eastAsiaTheme="majorEastAsia" w:cstheme="majorBidi"/>
      <w:b/>
    </w:rPr>
  </w:style>
  <w:style w:type="paragraph" w:styleId="Heading4">
    <w:name w:val="heading 4"/>
    <w:basedOn w:val="Normal"/>
    <w:next w:val="Normal"/>
    <w:link w:val="Heading4Char"/>
    <w:qFormat/>
    <w:rsid w:val="001E5AA6"/>
    <w:pPr>
      <w:keepNext/>
      <w:tabs>
        <w:tab w:val="center" w:pos="9720"/>
      </w:tabs>
      <w:spacing w:line="360" w:lineRule="atLeast"/>
      <w:outlineLvl w:val="3"/>
    </w:pPr>
    <w:rPr>
      <w:rFonts w:eastAsia="Times"/>
      <w:b/>
      <w:bCs/>
      <w:spacing w:val="20"/>
      <w:kern w:val="24"/>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15E"/>
    <w:pPr>
      <w:tabs>
        <w:tab w:val="center" w:pos="4320"/>
        <w:tab w:val="right" w:pos="8640"/>
      </w:tabs>
    </w:pPr>
  </w:style>
  <w:style w:type="character" w:styleId="PageNumber">
    <w:name w:val="page number"/>
    <w:basedOn w:val="DefaultParagraphFont"/>
    <w:rsid w:val="001C515E"/>
  </w:style>
  <w:style w:type="character" w:styleId="Hyperlink">
    <w:name w:val="Hyperlink"/>
    <w:rsid w:val="00305098"/>
    <w:rPr>
      <w:color w:val="0000FF"/>
      <w:u w:val="single"/>
    </w:rPr>
  </w:style>
  <w:style w:type="paragraph" w:styleId="ListParagraph">
    <w:name w:val="List Paragraph"/>
    <w:basedOn w:val="Normal"/>
    <w:uiPriority w:val="34"/>
    <w:qFormat/>
    <w:rsid w:val="00642821"/>
    <w:pPr>
      <w:ind w:left="720"/>
    </w:pPr>
  </w:style>
  <w:style w:type="table" w:styleId="TableGrid">
    <w:name w:val="Table Grid"/>
    <w:basedOn w:val="TableNormal"/>
    <w:rsid w:val="004A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8">
    <w:name w:val="6/8"/>
    <w:rsid w:val="00F0204E"/>
    <w:rPr>
      <w:rFonts w:ascii="Arial" w:hAnsi="Arial"/>
      <w:b/>
      <w:caps/>
      <w:color w:val="0000FF"/>
      <w:sz w:val="12"/>
      <w:u w:val="none"/>
      <w:vertAlign w:val="baseline"/>
    </w:rPr>
  </w:style>
  <w:style w:type="paragraph" w:customStyle="1" w:styleId="FillIn">
    <w:name w:val="Fill In"/>
    <w:basedOn w:val="Normal"/>
    <w:rsid w:val="00F0204E"/>
    <w:pPr>
      <w:overflowPunct w:val="0"/>
      <w:autoSpaceDE w:val="0"/>
      <w:autoSpaceDN w:val="0"/>
      <w:adjustRightInd w:val="0"/>
      <w:spacing w:line="240" w:lineRule="exact"/>
      <w:textAlignment w:val="baseline"/>
    </w:pPr>
    <w:rPr>
      <w:rFonts w:ascii="Times New Roman" w:hAnsi="Times New Roman"/>
      <w:color w:val="000000"/>
      <w:sz w:val="20"/>
      <w:szCs w:val="20"/>
    </w:rPr>
  </w:style>
  <w:style w:type="paragraph" w:styleId="BalloonText">
    <w:name w:val="Balloon Text"/>
    <w:basedOn w:val="Normal"/>
    <w:link w:val="BalloonTextChar"/>
    <w:rsid w:val="00365E73"/>
    <w:rPr>
      <w:rFonts w:ascii="Tahoma" w:hAnsi="Tahoma" w:cs="Tahoma"/>
      <w:sz w:val="16"/>
      <w:szCs w:val="16"/>
    </w:rPr>
  </w:style>
  <w:style w:type="character" w:customStyle="1" w:styleId="BalloonTextChar">
    <w:name w:val="Balloon Text Char"/>
    <w:link w:val="BalloonText"/>
    <w:rsid w:val="00365E73"/>
    <w:rPr>
      <w:rFonts w:ascii="Tahoma" w:hAnsi="Tahoma" w:cs="Tahoma"/>
      <w:sz w:val="16"/>
      <w:szCs w:val="16"/>
    </w:rPr>
  </w:style>
  <w:style w:type="character" w:customStyle="1" w:styleId="Heading4Char">
    <w:name w:val="Heading 4 Char"/>
    <w:basedOn w:val="DefaultParagraphFont"/>
    <w:link w:val="Heading4"/>
    <w:rsid w:val="001E5AA6"/>
    <w:rPr>
      <w:rFonts w:ascii="Arial" w:eastAsia="Times" w:hAnsi="Arial"/>
      <w:b/>
      <w:bCs/>
      <w:spacing w:val="20"/>
      <w:kern w:val="24"/>
      <w:sz w:val="18"/>
    </w:rPr>
  </w:style>
  <w:style w:type="character" w:customStyle="1" w:styleId="Heading1Char">
    <w:name w:val="Heading 1 Char"/>
    <w:basedOn w:val="DefaultParagraphFont"/>
    <w:link w:val="Heading1"/>
    <w:rsid w:val="00FD65DA"/>
    <w:rPr>
      <w:rFonts w:ascii="Arial" w:eastAsiaTheme="majorEastAsia" w:hAnsi="Arial" w:cstheme="majorBidi"/>
      <w:b/>
      <w:sz w:val="24"/>
      <w:szCs w:val="32"/>
    </w:rPr>
  </w:style>
  <w:style w:type="character" w:customStyle="1" w:styleId="Heading2Char">
    <w:name w:val="Heading 2 Char"/>
    <w:basedOn w:val="DefaultParagraphFont"/>
    <w:link w:val="Heading2"/>
    <w:rsid w:val="00FD65DA"/>
    <w:rPr>
      <w:rFonts w:ascii="Arial Bold" w:eastAsiaTheme="majorEastAsia" w:hAnsi="Arial Bold" w:cstheme="majorBidi"/>
      <w:b/>
      <w:caps/>
      <w:sz w:val="24"/>
      <w:szCs w:val="26"/>
    </w:rPr>
  </w:style>
  <w:style w:type="character" w:customStyle="1" w:styleId="Heading3Char">
    <w:name w:val="Heading 3 Char"/>
    <w:basedOn w:val="DefaultParagraphFont"/>
    <w:link w:val="Heading3"/>
    <w:rsid w:val="00FD65DA"/>
    <w:rPr>
      <w:rFonts w:ascii="Arial" w:eastAsiaTheme="majorEastAsia" w:hAnsi="Arial" w:cstheme="majorBidi"/>
      <w:b/>
      <w:sz w:val="24"/>
      <w:szCs w:val="24"/>
    </w:rPr>
  </w:style>
  <w:style w:type="character" w:styleId="Emphasis">
    <w:name w:val="Emphasis"/>
    <w:basedOn w:val="DefaultParagraphFont"/>
    <w:uiPriority w:val="20"/>
    <w:qFormat/>
    <w:rPr>
      <w:i/>
      <w:i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F73269"/>
    <w:rPr>
      <w:b/>
      <w:bCs/>
    </w:rPr>
  </w:style>
  <w:style w:type="character" w:customStyle="1" w:styleId="CommentSubjectChar">
    <w:name w:val="Comment Subject Char"/>
    <w:basedOn w:val="CommentTextChar"/>
    <w:link w:val="CommentSubject"/>
    <w:rsid w:val="00F73269"/>
    <w:rPr>
      <w:rFonts w:ascii="Arial" w:hAnsi="Arial"/>
      <w:b/>
      <w:bCs/>
    </w:rPr>
  </w:style>
  <w:style w:type="character" w:customStyle="1" w:styleId="ui-provider">
    <w:name w:val="ui-provider"/>
    <w:basedOn w:val="DefaultParagraphFont"/>
    <w:rsid w:val="007E1C39"/>
  </w:style>
  <w:style w:type="paragraph" w:styleId="Revision">
    <w:name w:val="Revision"/>
    <w:hidden/>
    <w:uiPriority w:val="99"/>
    <w:semiHidden/>
    <w:rsid w:val="00451797"/>
    <w:rPr>
      <w:rFonts w:ascii="Arial" w:hAnsi="Arial"/>
      <w:sz w:val="24"/>
      <w:szCs w:val="24"/>
    </w:rPr>
  </w:style>
  <w:style w:type="paragraph" w:styleId="Header">
    <w:name w:val="header"/>
    <w:basedOn w:val="Normal"/>
    <w:link w:val="HeaderChar"/>
    <w:rsid w:val="00A2240B"/>
    <w:pPr>
      <w:tabs>
        <w:tab w:val="center" w:pos="4680"/>
        <w:tab w:val="right" w:pos="9360"/>
      </w:tabs>
    </w:pPr>
  </w:style>
  <w:style w:type="character" w:customStyle="1" w:styleId="HeaderChar">
    <w:name w:val="Header Char"/>
    <w:basedOn w:val="DefaultParagraphFont"/>
    <w:link w:val="Header"/>
    <w:rsid w:val="00A2240B"/>
    <w:rPr>
      <w:rFonts w:ascii="Arial" w:hAnsi="Arial"/>
      <w:sz w:val="24"/>
      <w:szCs w:val="24"/>
    </w:rPr>
  </w:style>
  <w:style w:type="character" w:styleId="FollowedHyperlink">
    <w:name w:val="FollowedHyperlink"/>
    <w:basedOn w:val="DefaultParagraphFont"/>
    <w:rsid w:val="00374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94563">
      <w:bodyDiv w:val="1"/>
      <w:marLeft w:val="0"/>
      <w:marRight w:val="0"/>
      <w:marTop w:val="0"/>
      <w:marBottom w:val="0"/>
      <w:divBdr>
        <w:top w:val="none" w:sz="0" w:space="0" w:color="auto"/>
        <w:left w:val="none" w:sz="0" w:space="0" w:color="auto"/>
        <w:bottom w:val="none" w:sz="0" w:space="0" w:color="auto"/>
        <w:right w:val="none" w:sz="0" w:space="0" w:color="auto"/>
      </w:divBdr>
    </w:div>
    <w:div w:id="557471817">
      <w:bodyDiv w:val="1"/>
      <w:marLeft w:val="0"/>
      <w:marRight w:val="0"/>
      <w:marTop w:val="0"/>
      <w:marBottom w:val="0"/>
      <w:divBdr>
        <w:top w:val="none" w:sz="0" w:space="0" w:color="auto"/>
        <w:left w:val="none" w:sz="0" w:space="0" w:color="auto"/>
        <w:bottom w:val="none" w:sz="0" w:space="0" w:color="auto"/>
        <w:right w:val="none" w:sz="0" w:space="0" w:color="auto"/>
      </w:divBdr>
    </w:div>
    <w:div w:id="558131340">
      <w:bodyDiv w:val="1"/>
      <w:marLeft w:val="0"/>
      <w:marRight w:val="0"/>
      <w:marTop w:val="0"/>
      <w:marBottom w:val="0"/>
      <w:divBdr>
        <w:top w:val="none" w:sz="0" w:space="0" w:color="auto"/>
        <w:left w:val="none" w:sz="0" w:space="0" w:color="auto"/>
        <w:bottom w:val="none" w:sz="0" w:space="0" w:color="auto"/>
        <w:right w:val="none" w:sz="0" w:space="0" w:color="auto"/>
      </w:divBdr>
    </w:div>
    <w:div w:id="1365524097">
      <w:bodyDiv w:val="1"/>
      <w:marLeft w:val="0"/>
      <w:marRight w:val="0"/>
      <w:marTop w:val="0"/>
      <w:marBottom w:val="0"/>
      <w:divBdr>
        <w:top w:val="none" w:sz="0" w:space="0" w:color="auto"/>
        <w:left w:val="none" w:sz="0" w:space="0" w:color="auto"/>
        <w:bottom w:val="none" w:sz="0" w:space="0" w:color="auto"/>
        <w:right w:val="none" w:sz="0" w:space="0" w:color="auto"/>
      </w:divBdr>
    </w:div>
    <w:div w:id="19333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aspp-elpac.et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120F2-B333-4CF3-B9DF-36303F60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1839</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CAASPP Finding of Emergency - Proposed Rulemaking &amp; Regulations (CA Dept of Education)</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CAASPP Finding of Emergency - Proposed Rulemaking &amp; Regulations (CA Dept of Education)</dc:title>
  <dc:subject>Finding of Emergency for California Assessment of Student Performance and Progress regulations.</dc:subject>
  <dc:creator/>
  <cp:keywords/>
  <cp:lastModifiedBy/>
  <cp:revision>1</cp:revision>
  <dcterms:created xsi:type="dcterms:W3CDTF">2024-03-11T17:36:00Z</dcterms:created>
  <dcterms:modified xsi:type="dcterms:W3CDTF">2025-03-10T23:24:00Z</dcterms:modified>
</cp:coreProperties>
</file>