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5EF8" w14:textId="0D142CFA" w:rsidR="00B62641" w:rsidRPr="00315E4C" w:rsidRDefault="00B62641" w:rsidP="00CA73F2">
      <w:pPr>
        <w:pStyle w:val="Heading1"/>
      </w:pPr>
      <w:r w:rsidRPr="00315E4C">
        <w:t>INITIAL STATEMENT OF REASONS</w:t>
      </w:r>
    </w:p>
    <w:p w14:paraId="632E5564" w14:textId="77777777" w:rsidR="00B62641" w:rsidRPr="00315E4C" w:rsidRDefault="00167E69" w:rsidP="00940A81">
      <w:pPr>
        <w:spacing w:after="240"/>
        <w:jc w:val="center"/>
      </w:pPr>
      <w:r w:rsidRPr="00315E4C">
        <w:t xml:space="preserve">High School Equivalency </w:t>
      </w:r>
      <w:r w:rsidR="00111009" w:rsidRPr="00315E4C">
        <w:t>(HSE) Program</w:t>
      </w:r>
    </w:p>
    <w:p w14:paraId="15E4B4FC" w14:textId="77777777" w:rsidR="00B62641" w:rsidRPr="00315E4C" w:rsidRDefault="00B62641" w:rsidP="00CA73F2">
      <w:pPr>
        <w:pStyle w:val="Heading2"/>
      </w:pPr>
      <w:r w:rsidRPr="00315E4C">
        <w:t>INTRODUCTION</w:t>
      </w:r>
    </w:p>
    <w:p w14:paraId="50F7F60A" w14:textId="7B96C1CC" w:rsidR="00AC4011" w:rsidRPr="00315E4C" w:rsidRDefault="004B4779" w:rsidP="005B6BC7">
      <w:pPr>
        <w:spacing w:before="240"/>
      </w:pPr>
      <w:r w:rsidRPr="00315E4C">
        <w:t xml:space="preserve">Education Code (EC) </w:t>
      </w:r>
      <w:r w:rsidR="004B1906" w:rsidRPr="00315E4C">
        <w:t>s</w:t>
      </w:r>
      <w:r w:rsidRPr="00315E4C">
        <w:t xml:space="preserve">ection 51420 states the State Superintendent of Public Instruction </w:t>
      </w:r>
      <w:r w:rsidR="00056BCE" w:rsidRPr="00315E4C">
        <w:t>(</w:t>
      </w:r>
      <w:r w:rsidRPr="00315E4C">
        <w:t>SSPI</w:t>
      </w:r>
      <w:r w:rsidR="00056BCE" w:rsidRPr="00315E4C">
        <w:t>)</w:t>
      </w:r>
      <w:r w:rsidRPr="00315E4C">
        <w:t xml:space="preserve"> shall issue a California High School Equivalency</w:t>
      </w:r>
      <w:r w:rsidR="00B67997" w:rsidRPr="00315E4C">
        <w:t xml:space="preserve"> (HSE)</w:t>
      </w:r>
      <w:r w:rsidRPr="00315E4C">
        <w:t xml:space="preserve"> Certificate and/or official score report, to persons who have not completed high school and who meet specified requirements</w:t>
      </w:r>
      <w:r w:rsidR="004B1906" w:rsidRPr="00315E4C">
        <w:t>.</w:t>
      </w:r>
      <w:r w:rsidRPr="00315E4C">
        <w:t xml:space="preserve"> </w:t>
      </w:r>
      <w:r w:rsidR="004B1906" w:rsidRPr="00315E4C">
        <w:t xml:space="preserve">The requirements include </w:t>
      </w:r>
      <w:r w:rsidRPr="00315E4C">
        <w:t xml:space="preserve">having taken all or a portion of a </w:t>
      </w:r>
      <w:r w:rsidR="00AC4011" w:rsidRPr="00315E4C">
        <w:t>HSE t</w:t>
      </w:r>
      <w:r w:rsidRPr="00315E4C">
        <w:t>est that has been approved by the State Board of Education (SBE) and administered by a</w:t>
      </w:r>
      <w:r w:rsidR="001F171A" w:rsidRPr="00D81E61">
        <w:t xml:space="preserve"> </w:t>
      </w:r>
      <w:r w:rsidR="001F171A" w:rsidRPr="00315E4C">
        <w:t>California Department of Education (CDE)</w:t>
      </w:r>
      <w:r w:rsidRPr="00315E4C">
        <w:t xml:space="preserve"> </w:t>
      </w:r>
      <w:r w:rsidR="001F171A" w:rsidRPr="00315E4C">
        <w:t xml:space="preserve">approved </w:t>
      </w:r>
      <w:r w:rsidRPr="00315E4C">
        <w:t xml:space="preserve">testing center, with a score determined by the SBE to be equal to the standard of performance expected from high school graduates. </w:t>
      </w:r>
    </w:p>
    <w:p w14:paraId="025C1531" w14:textId="173578AC" w:rsidR="00965AA4" w:rsidRPr="00315E4C" w:rsidRDefault="00965AA4" w:rsidP="00203A32">
      <w:pPr>
        <w:pStyle w:val="Heading2"/>
        <w:spacing w:before="240" w:after="240"/>
      </w:pPr>
      <w:r w:rsidRPr="00315E4C">
        <w:t>PROBLEM AGENCY INTENDS TO ADDRESS</w:t>
      </w:r>
    </w:p>
    <w:p w14:paraId="1B3E0FEC" w14:textId="48848AF5" w:rsidR="001B31A6" w:rsidRPr="001B31A6" w:rsidRDefault="001B31A6" w:rsidP="00870BA9">
      <w:pPr>
        <w:pStyle w:val="Heading2"/>
        <w:spacing w:before="240" w:after="240"/>
        <w:rPr>
          <w:b w:val="0"/>
        </w:rPr>
      </w:pPr>
      <w:r w:rsidRPr="001B31A6">
        <w:rPr>
          <w:b w:val="0"/>
        </w:rPr>
        <w:t>After receiving feedback from various stakeholders, such as students and parents, regarding the regulations governing the HSE program, the CDE identifie</w:t>
      </w:r>
      <w:r w:rsidR="00B121C5">
        <w:rPr>
          <w:b w:val="0"/>
        </w:rPr>
        <w:t>s</w:t>
      </w:r>
      <w:r w:rsidRPr="001B31A6">
        <w:rPr>
          <w:b w:val="0"/>
        </w:rPr>
        <w:t xml:space="preserve"> the need to revise the regulations and remove overly restrictive eligibility requirements not supported by EC. The CDE also recognize</w:t>
      </w:r>
      <w:r w:rsidR="00B121C5">
        <w:rPr>
          <w:b w:val="0"/>
        </w:rPr>
        <w:t>s</w:t>
      </w:r>
      <w:r w:rsidRPr="001B31A6">
        <w:rPr>
          <w:b w:val="0"/>
        </w:rPr>
        <w:t xml:space="preserve"> the need for more specific guidelines for acceptable forms of identification and state residency </w:t>
      </w:r>
      <w:r w:rsidR="00B121C5">
        <w:rPr>
          <w:b w:val="0"/>
        </w:rPr>
        <w:t>is</w:t>
      </w:r>
      <w:r w:rsidRPr="001B31A6">
        <w:rPr>
          <w:b w:val="0"/>
        </w:rPr>
        <w:t xml:space="preserve"> necessary to avoid confusion for the test takers.</w:t>
      </w:r>
    </w:p>
    <w:p w14:paraId="0B5B77EE" w14:textId="6BEA6BFF" w:rsidR="00965AA4" w:rsidRPr="00315E4C" w:rsidRDefault="00965AA4" w:rsidP="00870BA9">
      <w:pPr>
        <w:pStyle w:val="Heading2"/>
        <w:spacing w:before="240" w:after="240"/>
      </w:pPr>
      <w:r w:rsidRPr="00315E4C">
        <w:t>BENEFITS ANTICIPATED FROM REGULATORY ACTION</w:t>
      </w:r>
    </w:p>
    <w:p w14:paraId="19137749" w14:textId="74524142" w:rsidR="00870BA9" w:rsidRPr="008B0355" w:rsidRDefault="007523E5" w:rsidP="715D9423">
      <w:pPr>
        <w:spacing w:after="240"/>
        <w:rPr>
          <w:rFonts w:cs="Arial"/>
        </w:rPr>
      </w:pPr>
      <w:bookmarkStart w:id="0" w:name="_Hlk123664838"/>
      <w:r w:rsidRPr="008B0355">
        <w:rPr>
          <w:rFonts w:cs="Arial"/>
        </w:rPr>
        <w:t xml:space="preserve">By clarifying the definition of "fee," CDE can provide examinees with a clear understanding of what </w:t>
      </w:r>
      <w:r w:rsidR="004F0251" w:rsidRPr="008B0355">
        <w:rPr>
          <w:rFonts w:cs="Arial"/>
        </w:rPr>
        <w:t>is included in the fee to take the HSE</w:t>
      </w:r>
      <w:r w:rsidRPr="008B0355">
        <w:rPr>
          <w:rFonts w:cs="Arial"/>
        </w:rPr>
        <w:t>. This information can help examinees make informed decisions about whether they can afford to take the test, as well as whether they need to budget for additional costs related to the test. Clarity about fees also promotes transparency and fairness, as examinees are better able to understand the full cost of the testing process.</w:t>
      </w:r>
    </w:p>
    <w:p w14:paraId="25BFB7FE" w14:textId="2D17BDAD" w:rsidR="00947A05" w:rsidRPr="00315E4C" w:rsidRDefault="007523E5" w:rsidP="715D9423">
      <w:pPr>
        <w:spacing w:after="240"/>
        <w:rPr>
          <w:rFonts w:cs="Arial"/>
        </w:rPr>
      </w:pPr>
      <w:r w:rsidRPr="00315E4C">
        <w:rPr>
          <w:rFonts w:cs="Arial"/>
        </w:rPr>
        <w:t xml:space="preserve">Examinees </w:t>
      </w:r>
      <w:r w:rsidR="00947A05" w:rsidRPr="00315E4C">
        <w:rPr>
          <w:rFonts w:cs="Arial"/>
        </w:rPr>
        <w:t xml:space="preserve">will benefit </w:t>
      </w:r>
      <w:r w:rsidR="6320E122" w:rsidRPr="00315E4C">
        <w:rPr>
          <w:rFonts w:cs="Arial"/>
        </w:rPr>
        <w:t xml:space="preserve">from </w:t>
      </w:r>
      <w:r w:rsidR="00947A05" w:rsidRPr="00315E4C">
        <w:rPr>
          <w:rFonts w:cs="Arial"/>
        </w:rPr>
        <w:t xml:space="preserve">the proposed </w:t>
      </w:r>
      <w:r w:rsidR="00156CF5" w:rsidRPr="00315E4C">
        <w:rPr>
          <w:rFonts w:cs="Arial"/>
        </w:rPr>
        <w:t xml:space="preserve">removal of </w:t>
      </w:r>
      <w:r w:rsidR="00F039B1" w:rsidRPr="00315E4C">
        <w:rPr>
          <w:rFonts w:cs="Arial"/>
        </w:rPr>
        <w:t xml:space="preserve">overreaching </w:t>
      </w:r>
      <w:r w:rsidR="00156CF5" w:rsidRPr="00315E4C">
        <w:rPr>
          <w:rFonts w:cs="Arial"/>
        </w:rPr>
        <w:t xml:space="preserve">eligibility requirements. </w:t>
      </w:r>
      <w:r w:rsidR="00947A05" w:rsidRPr="00315E4C">
        <w:rPr>
          <w:rFonts w:cs="Arial"/>
        </w:rPr>
        <w:t xml:space="preserve">These unnecessary restrictions </w:t>
      </w:r>
      <w:r w:rsidR="00050646" w:rsidRPr="00315E4C">
        <w:rPr>
          <w:rFonts w:cs="Arial"/>
        </w:rPr>
        <w:t xml:space="preserve">are not found in </w:t>
      </w:r>
      <w:r w:rsidR="00050646" w:rsidRPr="00315E4C">
        <w:rPr>
          <w:rFonts w:cs="Arial"/>
          <w:iCs/>
        </w:rPr>
        <w:t>E</w:t>
      </w:r>
      <w:r w:rsidR="005609F3" w:rsidRPr="00315E4C">
        <w:rPr>
          <w:rFonts w:cs="Arial"/>
          <w:iCs/>
        </w:rPr>
        <w:t>C</w:t>
      </w:r>
      <w:r w:rsidR="544FFA58" w:rsidRPr="00315E4C">
        <w:rPr>
          <w:rFonts w:cs="Arial"/>
          <w:i/>
          <w:iCs/>
        </w:rPr>
        <w:t>,</w:t>
      </w:r>
      <w:r w:rsidR="005609F3" w:rsidRPr="00315E4C">
        <w:rPr>
          <w:rFonts w:cs="Arial"/>
        </w:rPr>
        <w:t xml:space="preserve"> </w:t>
      </w:r>
      <w:r w:rsidR="00947A05" w:rsidRPr="00315E4C">
        <w:rPr>
          <w:rFonts w:cs="Arial"/>
        </w:rPr>
        <w:t xml:space="preserve">serve no meaningful purpose and </w:t>
      </w:r>
      <w:r w:rsidR="002D7225" w:rsidRPr="00315E4C">
        <w:rPr>
          <w:rFonts w:cs="Arial"/>
        </w:rPr>
        <w:t xml:space="preserve">may </w:t>
      </w:r>
      <w:r w:rsidR="7C3C97CD" w:rsidRPr="00315E4C">
        <w:rPr>
          <w:rFonts w:cs="Arial"/>
        </w:rPr>
        <w:t xml:space="preserve">delay </w:t>
      </w:r>
      <w:r w:rsidR="00B85697" w:rsidRPr="00315E4C">
        <w:rPr>
          <w:rFonts w:cs="Arial"/>
        </w:rPr>
        <w:t>examinees</w:t>
      </w:r>
      <w:r w:rsidR="3B5E7EC3" w:rsidRPr="00315E4C">
        <w:rPr>
          <w:rFonts w:cs="Arial"/>
        </w:rPr>
        <w:t xml:space="preserve"> </w:t>
      </w:r>
      <w:r w:rsidR="00947A05" w:rsidRPr="00315E4C">
        <w:rPr>
          <w:rFonts w:cs="Arial"/>
        </w:rPr>
        <w:t xml:space="preserve">from </w:t>
      </w:r>
      <w:r w:rsidR="0076276C" w:rsidRPr="00315E4C">
        <w:rPr>
          <w:rFonts w:cs="Arial"/>
        </w:rPr>
        <w:t xml:space="preserve">obtaining their HSE transcript and </w:t>
      </w:r>
      <w:r w:rsidR="00947A05" w:rsidRPr="00315E4C">
        <w:rPr>
          <w:rFonts w:cs="Arial"/>
        </w:rPr>
        <w:t>beginning their college or career path</w:t>
      </w:r>
      <w:r w:rsidR="441E2565" w:rsidRPr="00315E4C">
        <w:rPr>
          <w:rFonts w:cs="Arial"/>
        </w:rPr>
        <w:t>.</w:t>
      </w:r>
      <w:r w:rsidRPr="00315E4C">
        <w:rPr>
          <w:rFonts w:cs="Arial"/>
        </w:rPr>
        <w:t xml:space="preserve"> </w:t>
      </w:r>
      <w:r w:rsidR="00085F93" w:rsidRPr="00315E4C">
        <w:rPr>
          <w:rFonts w:cs="Arial"/>
        </w:rPr>
        <w:t>In addition, removing</w:t>
      </w:r>
      <w:r w:rsidRPr="00315E4C">
        <w:rPr>
          <w:rFonts w:cs="Arial"/>
        </w:rPr>
        <w:t xml:space="preserve"> these restrictions would streamline the process for examinees and eliminate any unnecessary barriers to their success.</w:t>
      </w:r>
    </w:p>
    <w:p w14:paraId="20BCB61F" w14:textId="1FD3C74D" w:rsidR="003A4BDF" w:rsidRDefault="005256AF" w:rsidP="003A4BDF">
      <w:pPr>
        <w:spacing w:after="240"/>
        <w:rPr>
          <w:rFonts w:cs="Arial"/>
        </w:rPr>
      </w:pPr>
      <w:bookmarkStart w:id="1" w:name="_Hlk123665122"/>
      <w:bookmarkEnd w:id="0"/>
      <w:r w:rsidRPr="00315E4C">
        <w:rPr>
          <w:rFonts w:cs="Arial"/>
        </w:rPr>
        <w:t>A</w:t>
      </w:r>
      <w:r w:rsidR="00C34A82" w:rsidRPr="00315E4C">
        <w:rPr>
          <w:rFonts w:cs="Arial"/>
        </w:rPr>
        <w:t>doption of</w:t>
      </w:r>
      <w:r w:rsidR="00FA3437" w:rsidRPr="00315E4C">
        <w:rPr>
          <w:rFonts w:cs="Arial"/>
        </w:rPr>
        <w:t xml:space="preserve"> </w:t>
      </w:r>
      <w:r w:rsidR="00E020E2" w:rsidRPr="00315E4C">
        <w:rPr>
          <w:rFonts w:cs="Arial"/>
        </w:rPr>
        <w:t>5 CCR</w:t>
      </w:r>
      <w:r w:rsidR="00A856DB">
        <w:rPr>
          <w:rFonts w:cs="Arial"/>
        </w:rPr>
        <w:t xml:space="preserve"> proposed</w:t>
      </w:r>
      <w:r w:rsidR="00E020E2" w:rsidRPr="00315E4C">
        <w:rPr>
          <w:rFonts w:cs="Arial"/>
        </w:rPr>
        <w:t xml:space="preserve"> </w:t>
      </w:r>
      <w:r w:rsidR="00954B39">
        <w:rPr>
          <w:rFonts w:cs="Arial"/>
        </w:rPr>
        <w:t>s</w:t>
      </w:r>
      <w:r w:rsidR="00FA3437" w:rsidRPr="00315E4C">
        <w:rPr>
          <w:rFonts w:cs="Arial"/>
        </w:rPr>
        <w:t>ection 11532.5</w:t>
      </w:r>
      <w:r w:rsidR="00FE6A0F" w:rsidRPr="00315E4C">
        <w:rPr>
          <w:rFonts w:cs="Arial"/>
        </w:rPr>
        <w:t xml:space="preserve"> </w:t>
      </w:r>
      <w:r w:rsidR="00E020E2" w:rsidRPr="00315E4C">
        <w:rPr>
          <w:rFonts w:cs="Arial"/>
        </w:rPr>
        <w:t>will provide clarity</w:t>
      </w:r>
      <w:r w:rsidR="00141FCD" w:rsidRPr="00315E4C">
        <w:rPr>
          <w:rFonts w:cs="Arial"/>
        </w:rPr>
        <w:t xml:space="preserve"> on </w:t>
      </w:r>
      <w:r w:rsidR="00FE6A0F" w:rsidRPr="00315E4C">
        <w:rPr>
          <w:rFonts w:cs="Arial"/>
        </w:rPr>
        <w:t>acceptable form</w:t>
      </w:r>
      <w:r w:rsidR="00FF146C" w:rsidRPr="00315E4C">
        <w:rPr>
          <w:rFonts w:cs="Arial"/>
        </w:rPr>
        <w:t>s</w:t>
      </w:r>
      <w:r w:rsidR="00FE6A0F" w:rsidRPr="00315E4C">
        <w:rPr>
          <w:rFonts w:cs="Arial"/>
        </w:rPr>
        <w:t xml:space="preserve"> of identification and </w:t>
      </w:r>
      <w:r w:rsidR="00141FCD" w:rsidRPr="00315E4C">
        <w:rPr>
          <w:rFonts w:cs="Arial"/>
        </w:rPr>
        <w:t xml:space="preserve">documents that will provide </w:t>
      </w:r>
      <w:r w:rsidR="00FF146C" w:rsidRPr="00315E4C">
        <w:rPr>
          <w:rFonts w:cs="Arial"/>
        </w:rPr>
        <w:t xml:space="preserve">proof of </w:t>
      </w:r>
      <w:r w:rsidR="00141FCD" w:rsidRPr="00315E4C">
        <w:rPr>
          <w:rFonts w:cs="Arial"/>
        </w:rPr>
        <w:t xml:space="preserve">state </w:t>
      </w:r>
      <w:r w:rsidR="00FE6A0F" w:rsidRPr="00315E4C">
        <w:rPr>
          <w:rFonts w:cs="Arial"/>
        </w:rPr>
        <w:t>residency.</w:t>
      </w:r>
      <w:r w:rsidR="004B1906" w:rsidRPr="00315E4C">
        <w:rPr>
          <w:rFonts w:cs="Arial"/>
        </w:rPr>
        <w:t xml:space="preserve"> </w:t>
      </w:r>
      <w:r w:rsidR="00CB10B1" w:rsidRPr="00315E4C">
        <w:rPr>
          <w:rFonts w:cs="Arial"/>
        </w:rPr>
        <w:t xml:space="preserve">Many </w:t>
      </w:r>
      <w:r w:rsidR="00B91CC9" w:rsidRPr="00315E4C">
        <w:rPr>
          <w:rFonts w:cs="Arial"/>
        </w:rPr>
        <w:t>examinees</w:t>
      </w:r>
      <w:r w:rsidR="007343A1" w:rsidRPr="00315E4C">
        <w:rPr>
          <w:rFonts w:cs="Arial"/>
        </w:rPr>
        <w:t xml:space="preserve"> </w:t>
      </w:r>
      <w:r w:rsidR="00CB10B1" w:rsidRPr="00315E4C">
        <w:rPr>
          <w:rFonts w:cs="Arial"/>
        </w:rPr>
        <w:t xml:space="preserve">are unaware of what types of documents </w:t>
      </w:r>
      <w:r w:rsidR="002D7225" w:rsidRPr="00315E4C">
        <w:rPr>
          <w:rFonts w:cs="Arial"/>
        </w:rPr>
        <w:t xml:space="preserve">that </w:t>
      </w:r>
      <w:r w:rsidR="00CB10B1" w:rsidRPr="00315E4C">
        <w:rPr>
          <w:rFonts w:cs="Arial"/>
        </w:rPr>
        <w:t>qualify for appropriate identification</w:t>
      </w:r>
      <w:r w:rsidR="00B121C5">
        <w:rPr>
          <w:rFonts w:cs="Arial"/>
        </w:rPr>
        <w:t>,</w:t>
      </w:r>
      <w:r w:rsidR="00CB10B1" w:rsidRPr="00315E4C">
        <w:rPr>
          <w:rFonts w:cs="Arial"/>
        </w:rPr>
        <w:t xml:space="preserve"> as well as how to properly prove California residency</w:t>
      </w:r>
      <w:r w:rsidR="003A4BDF">
        <w:rPr>
          <w:rFonts w:cs="Arial"/>
        </w:rPr>
        <w:t>.</w:t>
      </w:r>
      <w:r w:rsidR="003A4BDF" w:rsidRPr="003A4BDF">
        <w:rPr>
          <w:rFonts w:cs="Arial"/>
        </w:rPr>
        <w:t xml:space="preserve"> </w:t>
      </w:r>
      <w:r w:rsidR="003A4BDF">
        <w:rPr>
          <w:rFonts w:cs="Arial"/>
        </w:rPr>
        <w:t xml:space="preserve">In addition, the </w:t>
      </w:r>
      <w:r w:rsidR="003A4BDF" w:rsidRPr="4270EC9C">
        <w:rPr>
          <w:rFonts w:eastAsiaTheme="majorEastAsia"/>
        </w:rPr>
        <w:t xml:space="preserve">launch of online testing has created vulnerabilities to identity impersonation and access to the test by non-California residents. </w:t>
      </w:r>
      <w:r w:rsidR="003A4BDF" w:rsidRPr="4270EC9C">
        <w:rPr>
          <w:rFonts w:cs="Arial"/>
        </w:rPr>
        <w:t>With the advent of online, live proctored testing</w:t>
      </w:r>
      <w:r w:rsidR="00B121C5">
        <w:rPr>
          <w:rFonts w:cs="Arial"/>
        </w:rPr>
        <w:t>,</w:t>
      </w:r>
      <w:r w:rsidR="003A4BDF" w:rsidRPr="4270EC9C">
        <w:rPr>
          <w:rFonts w:cs="Arial"/>
        </w:rPr>
        <w:t xml:space="preserve"> the</w:t>
      </w:r>
      <w:r w:rsidR="003A4BDF" w:rsidRPr="4270EC9C">
        <w:rPr>
          <w:rFonts w:eastAsiaTheme="majorEastAsia"/>
        </w:rPr>
        <w:t xml:space="preserve"> regulations</w:t>
      </w:r>
      <w:r w:rsidR="003A4BDF" w:rsidRPr="4270EC9C">
        <w:rPr>
          <w:rFonts w:eastAsiaTheme="majorEastAsia" w:cs="Arial"/>
        </w:rPr>
        <w:t xml:space="preserve"> </w:t>
      </w:r>
      <w:r w:rsidR="003A4BDF" w:rsidRPr="4270EC9C">
        <w:rPr>
          <w:rFonts w:cs="Arial"/>
        </w:rPr>
        <w:t>must be updated to clarify identity and residency requirements</w:t>
      </w:r>
      <w:r w:rsidR="003A4BDF">
        <w:rPr>
          <w:rFonts w:cs="Arial"/>
        </w:rPr>
        <w:t>.</w:t>
      </w:r>
    </w:p>
    <w:p w14:paraId="0E97FEB0" w14:textId="3919757B" w:rsidR="001B31A6" w:rsidRDefault="001B31A6" w:rsidP="001B31A6">
      <w:pPr>
        <w:spacing w:after="240"/>
        <w:rPr>
          <w:rFonts w:cs="Arial"/>
        </w:rPr>
      </w:pPr>
    </w:p>
    <w:p w14:paraId="6BE0DBE5" w14:textId="2D2BF49F" w:rsidR="00FA3437" w:rsidRPr="00315E4C" w:rsidRDefault="00FA3437" w:rsidP="003457FE">
      <w:pPr>
        <w:spacing w:after="240"/>
        <w:rPr>
          <w:rFonts w:cs="Arial"/>
        </w:rPr>
      </w:pPr>
    </w:p>
    <w:bookmarkEnd w:id="1"/>
    <w:p w14:paraId="23B35D31" w14:textId="77777777" w:rsidR="00C048F1" w:rsidRPr="00315E4C" w:rsidRDefault="00C048F1" w:rsidP="00940A81">
      <w:pPr>
        <w:pStyle w:val="Heading2"/>
        <w:spacing w:before="240"/>
        <w:rPr>
          <w:rFonts w:ascii="Arial Bold" w:hAnsi="Arial Bold" w:hint="eastAsia"/>
          <w:szCs w:val="20"/>
        </w:rPr>
      </w:pPr>
      <w:r w:rsidRPr="00315E4C">
        <w:t>SPECIFIC PURPOSE OF EACH SECTION – GOV. CODE SECTION 11346.2(b)(1)</w:t>
      </w:r>
    </w:p>
    <w:p w14:paraId="464CC21D" w14:textId="77777777" w:rsidR="00C048F1" w:rsidRPr="00315E4C" w:rsidRDefault="00C048F1" w:rsidP="00940A81">
      <w:pPr>
        <w:widowControl w:val="0"/>
        <w:spacing w:before="240"/>
      </w:pPr>
      <w:r w:rsidRPr="00315E4C">
        <w:t>The specific purpose of each adoption or amendment, and the rationale for the determination that each adoption or amendment is reasonably necessary to carry out the purpose of which it is proposed, together with a description of the public problem, administrative requirement, or other condition or circumstance that each adoption or amendment is intended to address, is as follows:</w:t>
      </w:r>
    </w:p>
    <w:p w14:paraId="1955EFC6" w14:textId="5831B1DA" w:rsidR="00C048F1" w:rsidRPr="00315E4C" w:rsidRDefault="00C048F1" w:rsidP="00940A81">
      <w:pPr>
        <w:spacing w:before="240"/>
      </w:pPr>
      <w:r w:rsidRPr="00315E4C">
        <w:rPr>
          <w:rFonts w:cs="Arial"/>
        </w:rPr>
        <w:t>General changes were made to the regulations to include grammatical edits and renumbering and/or relettering to reflect deletions or additions.</w:t>
      </w:r>
    </w:p>
    <w:p w14:paraId="23050A33" w14:textId="2D0AF3DA" w:rsidR="007523E5" w:rsidRPr="00315E4C" w:rsidRDefault="007523E5" w:rsidP="00940A81">
      <w:pPr>
        <w:pStyle w:val="paragraph"/>
        <w:spacing w:before="240" w:beforeAutospacing="0" w:after="0" w:afterAutospacing="0"/>
        <w:textAlignment w:val="baseline"/>
        <w:rPr>
          <w:rStyle w:val="normaltextrun"/>
          <w:rFonts w:ascii="Arial" w:hAnsi="Arial" w:cs="Arial"/>
          <w:bCs/>
        </w:rPr>
      </w:pPr>
      <w:r w:rsidRPr="00315E4C">
        <w:rPr>
          <w:rStyle w:val="normaltextrun"/>
          <w:rFonts w:ascii="Arial" w:hAnsi="Arial" w:cs="Arial"/>
          <w:b/>
          <w:bCs/>
        </w:rPr>
        <w:t>Title of Article 2. High School Equivalency Certificate</w:t>
      </w:r>
      <w:r w:rsidR="00954B39">
        <w:rPr>
          <w:rStyle w:val="normaltextrun"/>
          <w:rFonts w:ascii="Arial" w:hAnsi="Arial" w:cs="Arial"/>
          <w:b/>
          <w:bCs/>
        </w:rPr>
        <w:t xml:space="preserve"> </w:t>
      </w:r>
      <w:r w:rsidR="00954B39">
        <w:rPr>
          <w:rStyle w:val="normaltextrun"/>
          <w:rFonts w:ascii="Arial" w:hAnsi="Arial" w:cs="Arial"/>
          <w:bCs/>
        </w:rPr>
        <w:t xml:space="preserve">is amended to </w:t>
      </w:r>
      <w:r w:rsidRPr="00315E4C">
        <w:rPr>
          <w:rStyle w:val="normaltextrun"/>
          <w:rFonts w:ascii="Arial" w:hAnsi="Arial" w:cs="Arial"/>
          <w:bCs/>
        </w:rPr>
        <w:t>remove “for Persons 18 years of Age or Older</w:t>
      </w:r>
      <w:r w:rsidR="00316CB8" w:rsidRPr="00315E4C">
        <w:rPr>
          <w:rStyle w:val="normaltextrun"/>
          <w:rFonts w:ascii="Arial" w:hAnsi="Arial" w:cs="Arial"/>
          <w:bCs/>
        </w:rPr>
        <w:t>.” This is necessary becau</w:t>
      </w:r>
      <w:r w:rsidR="000C4649" w:rsidRPr="00315E4C">
        <w:rPr>
          <w:rStyle w:val="normaltextrun"/>
          <w:rFonts w:ascii="Arial" w:hAnsi="Arial" w:cs="Arial"/>
          <w:bCs/>
        </w:rPr>
        <w:t>se</w:t>
      </w:r>
      <w:r w:rsidR="00305D55" w:rsidRPr="00315E4C">
        <w:rPr>
          <w:rStyle w:val="normaltextrun"/>
          <w:rFonts w:ascii="Arial" w:hAnsi="Arial" w:cs="Arial"/>
          <w:bCs/>
        </w:rPr>
        <w:t xml:space="preserve"> there are instances where a person who is younger than 18 qualifies to take the equivalency </w:t>
      </w:r>
      <w:r w:rsidR="00305D55" w:rsidRPr="006E6F70">
        <w:rPr>
          <w:rStyle w:val="normaltextrun"/>
          <w:rFonts w:ascii="Arial" w:hAnsi="Arial" w:cs="Arial"/>
          <w:bCs/>
        </w:rPr>
        <w:t>exam</w:t>
      </w:r>
      <w:r w:rsidR="007322F4" w:rsidRPr="006E6F70">
        <w:rPr>
          <w:rStyle w:val="normaltextrun"/>
          <w:rFonts w:ascii="Arial" w:hAnsi="Arial" w:cs="Arial"/>
          <w:bCs/>
        </w:rPr>
        <w:t>ination</w:t>
      </w:r>
      <w:r w:rsidR="00305D55" w:rsidRPr="006E6F70">
        <w:rPr>
          <w:rStyle w:val="normaltextrun"/>
          <w:rFonts w:ascii="Arial" w:hAnsi="Arial" w:cs="Arial"/>
          <w:bCs/>
        </w:rPr>
        <w:t>.</w:t>
      </w:r>
    </w:p>
    <w:p w14:paraId="0E7E8C38" w14:textId="446CF523" w:rsidR="008222B4" w:rsidRPr="00315E4C" w:rsidRDefault="008222B4" w:rsidP="00B129F9">
      <w:pPr>
        <w:pStyle w:val="paragraph"/>
        <w:keepNext/>
        <w:spacing w:before="240" w:beforeAutospacing="0" w:after="0" w:afterAutospacing="0"/>
        <w:textAlignment w:val="baseline"/>
        <w:rPr>
          <w:rFonts w:ascii="Segoe UI" w:hAnsi="Segoe UI" w:cs="Segoe UI"/>
          <w:b/>
          <w:bCs/>
          <w:sz w:val="18"/>
          <w:szCs w:val="18"/>
        </w:rPr>
      </w:pPr>
      <w:r w:rsidRPr="00315E4C">
        <w:rPr>
          <w:rStyle w:val="normaltextrun"/>
          <w:rFonts w:ascii="Arial" w:hAnsi="Arial" w:cs="Arial"/>
          <w:b/>
          <w:bCs/>
        </w:rPr>
        <w:t>SECTION 11530</w:t>
      </w:r>
    </w:p>
    <w:p w14:paraId="613FCC3B" w14:textId="066B5F98" w:rsidR="008222B4" w:rsidRPr="00315E4C" w:rsidRDefault="0053132C" w:rsidP="00B129F9">
      <w:pPr>
        <w:pStyle w:val="paragraph"/>
        <w:keepNext/>
        <w:spacing w:before="240" w:beforeAutospacing="0" w:after="0" w:afterAutospacing="0"/>
        <w:textAlignment w:val="baseline"/>
        <w:rPr>
          <w:rFonts w:ascii="Arial" w:hAnsi="Arial" w:cs="Arial"/>
        </w:rPr>
      </w:pPr>
      <w:r>
        <w:rPr>
          <w:rStyle w:val="normaltextrun"/>
          <w:rFonts w:ascii="Arial" w:hAnsi="Arial" w:cs="Arial"/>
          <w:b/>
          <w:bCs/>
        </w:rPr>
        <w:t xml:space="preserve">Renumbered </w:t>
      </w:r>
      <w:r w:rsidR="008222B4" w:rsidRPr="00315E4C">
        <w:rPr>
          <w:rStyle w:val="normaltextrun"/>
          <w:rFonts w:ascii="Arial" w:hAnsi="Arial" w:cs="Arial"/>
          <w:b/>
          <w:bCs/>
        </w:rPr>
        <w:t>Section 11530(</w:t>
      </w:r>
      <w:r>
        <w:rPr>
          <w:rStyle w:val="normaltextrun"/>
          <w:rFonts w:ascii="Arial" w:hAnsi="Arial" w:cs="Arial"/>
          <w:b/>
          <w:bCs/>
        </w:rPr>
        <w:t>c</w:t>
      </w:r>
      <w:r w:rsidR="008222B4" w:rsidRPr="00315E4C">
        <w:rPr>
          <w:rStyle w:val="normaltextrun"/>
          <w:rFonts w:ascii="Arial" w:hAnsi="Arial" w:cs="Arial"/>
          <w:b/>
          <w:bCs/>
        </w:rPr>
        <w:t>)</w:t>
      </w:r>
      <w:r>
        <w:rPr>
          <w:rStyle w:val="normaltextrun"/>
          <w:rFonts w:ascii="Arial" w:hAnsi="Arial" w:cs="Arial"/>
          <w:b/>
          <w:bCs/>
        </w:rPr>
        <w:t>, formerly Section 11530(b)</w:t>
      </w:r>
      <w:r w:rsidR="00B121C5">
        <w:rPr>
          <w:rStyle w:val="normaltextrun"/>
          <w:rFonts w:ascii="Arial" w:hAnsi="Arial" w:cs="Arial"/>
          <w:b/>
          <w:bCs/>
        </w:rPr>
        <w:t>,</w:t>
      </w:r>
      <w:r w:rsidR="008222B4" w:rsidRPr="00315E4C">
        <w:rPr>
          <w:rStyle w:val="normaltextrun"/>
          <w:rFonts w:ascii="Arial" w:hAnsi="Arial" w:cs="Arial"/>
          <w:b/>
          <w:bCs/>
        </w:rPr>
        <w:t xml:space="preserve"> </w:t>
      </w:r>
      <w:r w:rsidR="008222B4" w:rsidRPr="00315E4C">
        <w:rPr>
          <w:rStyle w:val="normaltextrun"/>
          <w:rFonts w:ascii="Arial" w:hAnsi="Arial" w:cs="Arial"/>
        </w:rPr>
        <w:t>is amended to clarify the definition of what constitutes the high school equivalency fee.</w:t>
      </w:r>
      <w:r w:rsidR="00E455BF" w:rsidRPr="00315E4C">
        <w:rPr>
          <w:rStyle w:val="normaltextrun"/>
          <w:rFonts w:ascii="Arial" w:hAnsi="Arial" w:cs="Arial"/>
        </w:rPr>
        <w:t xml:space="preserve"> This is necessary because </w:t>
      </w:r>
      <w:r w:rsidR="004B1906" w:rsidRPr="00315E4C">
        <w:rPr>
          <w:rStyle w:val="normaltextrun"/>
          <w:rFonts w:ascii="Arial" w:hAnsi="Arial" w:cs="Arial"/>
        </w:rPr>
        <w:t xml:space="preserve">current </w:t>
      </w:r>
      <w:r w:rsidR="002D7225" w:rsidRPr="00315E4C">
        <w:rPr>
          <w:rStyle w:val="normaltextrun"/>
          <w:rFonts w:ascii="Arial" w:hAnsi="Arial" w:cs="Arial"/>
        </w:rPr>
        <w:t xml:space="preserve">EC </w:t>
      </w:r>
      <w:r w:rsidR="004B1906" w:rsidRPr="00315E4C">
        <w:rPr>
          <w:rStyle w:val="normaltextrun"/>
          <w:rFonts w:ascii="Arial" w:hAnsi="Arial" w:cs="Arial"/>
        </w:rPr>
        <w:t xml:space="preserve">defines the fee as </w:t>
      </w:r>
      <w:r w:rsidR="00E455BF" w:rsidRPr="00315E4C">
        <w:rPr>
          <w:rStyle w:val="normaltextrun"/>
          <w:rFonts w:ascii="Arial" w:hAnsi="Arial" w:cs="Arial"/>
        </w:rPr>
        <w:t>the $20 state administration fee</w:t>
      </w:r>
      <w:r w:rsidR="00A856DB">
        <w:rPr>
          <w:rStyle w:val="normaltextrun"/>
          <w:rFonts w:ascii="Arial" w:hAnsi="Arial" w:cs="Arial"/>
        </w:rPr>
        <w:t xml:space="preserve"> and does not include other ancillary costs. Currently, 5 CCR section 115630(b) </w:t>
      </w:r>
      <w:r w:rsidR="00AE2C60" w:rsidRPr="00315E4C">
        <w:rPr>
          <w:rStyle w:val="normaltextrun"/>
          <w:rFonts w:ascii="Arial" w:hAnsi="Arial" w:cs="Arial"/>
        </w:rPr>
        <w:t xml:space="preserve">implies </w:t>
      </w:r>
      <w:r w:rsidR="00E455BF" w:rsidRPr="00315E4C">
        <w:rPr>
          <w:rStyle w:val="normaltextrun"/>
          <w:rFonts w:ascii="Arial" w:hAnsi="Arial" w:cs="Arial"/>
        </w:rPr>
        <w:t xml:space="preserve">the test will not cost more than $20, which </w:t>
      </w:r>
      <w:r w:rsidR="00462F94" w:rsidRPr="00315E4C">
        <w:rPr>
          <w:rStyle w:val="cf01"/>
          <w:rFonts w:ascii="Arial" w:hAnsi="Arial" w:cs="Arial"/>
          <w:sz w:val="24"/>
          <w:szCs w:val="24"/>
        </w:rPr>
        <w:t>is misleading as the testing center</w:t>
      </w:r>
      <w:r w:rsidR="00B53D00" w:rsidRPr="00315E4C">
        <w:rPr>
          <w:rStyle w:val="cf01"/>
          <w:rFonts w:ascii="Arial" w:hAnsi="Arial" w:cs="Arial"/>
          <w:sz w:val="24"/>
          <w:szCs w:val="24"/>
        </w:rPr>
        <w:t xml:space="preserve">’s cost to administer, test </w:t>
      </w:r>
      <w:r w:rsidR="00462F94" w:rsidRPr="00315E4C">
        <w:rPr>
          <w:rStyle w:val="cf01"/>
          <w:rFonts w:ascii="Arial" w:hAnsi="Arial" w:cs="Arial"/>
          <w:sz w:val="24"/>
          <w:szCs w:val="24"/>
        </w:rPr>
        <w:t xml:space="preserve">vendor’s cost to administer, score, and provide results to the examinee are not </w:t>
      </w:r>
      <w:r w:rsidR="00B77E79" w:rsidRPr="00315E4C">
        <w:rPr>
          <w:rStyle w:val="cf01"/>
          <w:rFonts w:ascii="Arial" w:hAnsi="Arial" w:cs="Arial"/>
          <w:sz w:val="24"/>
          <w:szCs w:val="24"/>
        </w:rPr>
        <w:t>included in the actual cost to the examinee</w:t>
      </w:r>
      <w:r w:rsidR="00462F94" w:rsidRPr="00315E4C">
        <w:rPr>
          <w:rStyle w:val="cf01"/>
          <w:rFonts w:ascii="Arial" w:hAnsi="Arial" w:cs="Arial"/>
          <w:sz w:val="24"/>
          <w:szCs w:val="24"/>
        </w:rPr>
        <w:t xml:space="preserve">. </w:t>
      </w:r>
      <w:r w:rsidR="00A856DB">
        <w:rPr>
          <w:rStyle w:val="cf01"/>
          <w:rFonts w:ascii="Arial" w:hAnsi="Arial" w:cs="Arial"/>
          <w:sz w:val="24"/>
          <w:szCs w:val="24"/>
        </w:rPr>
        <w:t xml:space="preserve">Thus, </w:t>
      </w:r>
      <w:r w:rsidR="00714A6E" w:rsidRPr="00315E4C">
        <w:rPr>
          <w:rStyle w:val="cf01"/>
          <w:rFonts w:ascii="Arial" w:hAnsi="Arial" w:cs="Arial"/>
          <w:sz w:val="24"/>
          <w:szCs w:val="24"/>
        </w:rPr>
        <w:t>amending</w:t>
      </w:r>
      <w:r w:rsidR="00462F94" w:rsidRPr="00315E4C">
        <w:rPr>
          <w:rStyle w:val="cf01"/>
          <w:rFonts w:ascii="Arial" w:hAnsi="Arial" w:cs="Arial"/>
          <w:sz w:val="24"/>
          <w:szCs w:val="24"/>
        </w:rPr>
        <w:t xml:space="preserve"> </w:t>
      </w:r>
      <w:r w:rsidR="00A856DB">
        <w:rPr>
          <w:rStyle w:val="cf01"/>
          <w:rFonts w:ascii="Arial" w:hAnsi="Arial" w:cs="Arial"/>
          <w:sz w:val="24"/>
          <w:szCs w:val="24"/>
        </w:rPr>
        <w:t>the</w:t>
      </w:r>
      <w:r w:rsidR="00A856DB" w:rsidRPr="00315E4C">
        <w:rPr>
          <w:rStyle w:val="cf01"/>
          <w:rFonts w:ascii="Arial" w:hAnsi="Arial" w:cs="Arial"/>
          <w:sz w:val="24"/>
          <w:szCs w:val="24"/>
        </w:rPr>
        <w:t xml:space="preserve"> </w:t>
      </w:r>
      <w:r w:rsidR="00462F94" w:rsidRPr="00315E4C">
        <w:rPr>
          <w:rStyle w:val="cf01"/>
          <w:rFonts w:ascii="Arial" w:hAnsi="Arial" w:cs="Arial"/>
          <w:sz w:val="24"/>
          <w:szCs w:val="24"/>
        </w:rPr>
        <w:t xml:space="preserve">definition of </w:t>
      </w:r>
      <w:r w:rsidR="00A84D05">
        <w:rPr>
          <w:rStyle w:val="cf01"/>
          <w:rFonts w:ascii="Arial" w:hAnsi="Arial" w:cs="Arial"/>
          <w:sz w:val="24"/>
          <w:szCs w:val="24"/>
        </w:rPr>
        <w:t>“</w:t>
      </w:r>
      <w:r w:rsidR="00462F94" w:rsidRPr="00315E4C">
        <w:rPr>
          <w:rStyle w:val="cf01"/>
          <w:rFonts w:ascii="Arial" w:hAnsi="Arial" w:cs="Arial"/>
          <w:sz w:val="24"/>
          <w:szCs w:val="24"/>
        </w:rPr>
        <w:t>fee</w:t>
      </w:r>
      <w:r w:rsidR="00A84D05">
        <w:rPr>
          <w:rStyle w:val="cf01"/>
          <w:rFonts w:ascii="Arial" w:hAnsi="Arial" w:cs="Arial"/>
          <w:sz w:val="24"/>
          <w:szCs w:val="24"/>
        </w:rPr>
        <w:t>”</w:t>
      </w:r>
      <w:r w:rsidR="00462F94" w:rsidRPr="00315E4C">
        <w:rPr>
          <w:rStyle w:val="cf01"/>
          <w:rFonts w:ascii="Arial" w:hAnsi="Arial" w:cs="Arial"/>
          <w:sz w:val="24"/>
          <w:szCs w:val="24"/>
        </w:rPr>
        <w:t xml:space="preserve"> will </w:t>
      </w:r>
      <w:r w:rsidR="00A25729" w:rsidRPr="00315E4C">
        <w:rPr>
          <w:rStyle w:val="cf01"/>
          <w:rFonts w:ascii="Arial" w:hAnsi="Arial" w:cs="Arial"/>
          <w:sz w:val="24"/>
          <w:szCs w:val="24"/>
        </w:rPr>
        <w:t>clari</w:t>
      </w:r>
      <w:r w:rsidR="00F341D7" w:rsidRPr="00315E4C">
        <w:rPr>
          <w:rStyle w:val="cf01"/>
          <w:rFonts w:ascii="Arial" w:hAnsi="Arial" w:cs="Arial"/>
          <w:sz w:val="24"/>
          <w:szCs w:val="24"/>
        </w:rPr>
        <w:t xml:space="preserve">fy </w:t>
      </w:r>
      <w:r w:rsidR="00A856DB">
        <w:rPr>
          <w:rStyle w:val="cf01"/>
          <w:rFonts w:ascii="Arial" w:hAnsi="Arial" w:cs="Arial"/>
          <w:sz w:val="24"/>
          <w:szCs w:val="24"/>
        </w:rPr>
        <w:t>what costs are included in the high school equivalency</w:t>
      </w:r>
      <w:r w:rsidR="00F341D7" w:rsidRPr="00315E4C">
        <w:rPr>
          <w:rStyle w:val="cf01"/>
          <w:rFonts w:ascii="Arial" w:hAnsi="Arial" w:cs="Arial"/>
          <w:sz w:val="24"/>
          <w:szCs w:val="24"/>
        </w:rPr>
        <w:t xml:space="preserve"> fee</w:t>
      </w:r>
      <w:r w:rsidR="00E455BF" w:rsidRPr="00315E4C">
        <w:rPr>
          <w:rStyle w:val="normaltextrun"/>
          <w:rFonts w:ascii="Arial" w:hAnsi="Arial" w:cs="Arial"/>
        </w:rPr>
        <w:t>.</w:t>
      </w:r>
    </w:p>
    <w:p w14:paraId="4E6243E9" w14:textId="18EDE51B" w:rsidR="00AD7D61" w:rsidRPr="00315E4C" w:rsidRDefault="00AD7D61" w:rsidP="00AD7D61">
      <w:pPr>
        <w:pStyle w:val="BodyText3"/>
        <w:spacing w:before="240" w:after="0"/>
        <w:rPr>
          <w:sz w:val="24"/>
          <w:szCs w:val="24"/>
          <w:lang w:val="en-US"/>
        </w:rPr>
      </w:pPr>
      <w:r w:rsidRPr="00315E4C">
        <w:rPr>
          <w:b/>
          <w:sz w:val="24"/>
          <w:szCs w:val="24"/>
          <w:lang w:val="en-US"/>
        </w:rPr>
        <w:t xml:space="preserve">Section 11530(d) </w:t>
      </w:r>
      <w:r w:rsidRPr="00315E4C">
        <w:rPr>
          <w:sz w:val="24"/>
          <w:szCs w:val="24"/>
          <w:lang w:val="en-US"/>
        </w:rPr>
        <w:t>is amended to remove the use of “his” gender labels. This is necessary to address each examinee without assigning a gender.</w:t>
      </w:r>
    </w:p>
    <w:p w14:paraId="55B0164C" w14:textId="4CE5D89F" w:rsidR="00C048F1" w:rsidRPr="00315E4C" w:rsidRDefault="00C048F1" w:rsidP="00940A81">
      <w:pPr>
        <w:pStyle w:val="Heading2"/>
        <w:spacing w:before="240"/>
      </w:pPr>
      <w:r w:rsidRPr="00315E4C">
        <w:t>SECTION 11531</w:t>
      </w:r>
    </w:p>
    <w:p w14:paraId="09C9AE53" w14:textId="46067C11" w:rsidR="00C048F1" w:rsidRPr="00315E4C" w:rsidRDefault="00C048F1" w:rsidP="00940A81">
      <w:pPr>
        <w:pStyle w:val="BodyText3"/>
        <w:spacing w:before="240" w:after="0"/>
        <w:rPr>
          <w:sz w:val="24"/>
          <w:szCs w:val="24"/>
          <w:lang w:val="en-US"/>
        </w:rPr>
      </w:pPr>
      <w:r w:rsidRPr="00315E4C">
        <w:rPr>
          <w:b/>
          <w:sz w:val="24"/>
          <w:szCs w:val="24"/>
          <w:lang w:val="en-US"/>
        </w:rPr>
        <w:t xml:space="preserve">Section 11531(a)(1)(D) </w:t>
      </w:r>
      <w:r w:rsidRPr="00315E4C">
        <w:rPr>
          <w:sz w:val="24"/>
          <w:szCs w:val="24"/>
          <w:lang w:val="en-US"/>
        </w:rPr>
        <w:t xml:space="preserve">is amended to clarify the testing facility should be a local educational agency. This </w:t>
      </w:r>
      <w:r w:rsidR="008F5AAD" w:rsidRPr="00315E4C">
        <w:rPr>
          <w:sz w:val="24"/>
          <w:szCs w:val="24"/>
          <w:lang w:val="en-US"/>
        </w:rPr>
        <w:t xml:space="preserve">is necessary because </w:t>
      </w:r>
      <w:r w:rsidRPr="00315E4C">
        <w:rPr>
          <w:sz w:val="24"/>
          <w:szCs w:val="24"/>
          <w:lang w:val="en-US"/>
        </w:rPr>
        <w:t>“school district”</w:t>
      </w:r>
      <w:r w:rsidR="008F5AAD" w:rsidRPr="00315E4C">
        <w:rPr>
          <w:sz w:val="24"/>
          <w:szCs w:val="24"/>
          <w:lang w:val="en-US"/>
        </w:rPr>
        <w:t xml:space="preserve"> was </w:t>
      </w:r>
      <w:r w:rsidR="00CF0A79" w:rsidRPr="00315E4C">
        <w:rPr>
          <w:sz w:val="24"/>
          <w:szCs w:val="24"/>
          <w:lang w:val="en-US"/>
        </w:rPr>
        <w:t>the term used previously to be inclusive of all educational agencies</w:t>
      </w:r>
      <w:r w:rsidR="007D78B7" w:rsidRPr="00315E4C">
        <w:rPr>
          <w:sz w:val="24"/>
          <w:szCs w:val="24"/>
          <w:lang w:val="en-US"/>
        </w:rPr>
        <w:t xml:space="preserve"> but did not include </w:t>
      </w:r>
      <w:r w:rsidR="001075E9" w:rsidRPr="00315E4C">
        <w:rPr>
          <w:sz w:val="24"/>
          <w:szCs w:val="24"/>
          <w:lang w:val="en-US"/>
        </w:rPr>
        <w:t>independently funded charter schools</w:t>
      </w:r>
      <w:r w:rsidR="002511B1" w:rsidRPr="00315E4C">
        <w:rPr>
          <w:sz w:val="24"/>
          <w:szCs w:val="24"/>
          <w:lang w:val="en-US"/>
        </w:rPr>
        <w:t>; therefore,</w:t>
      </w:r>
      <w:r w:rsidR="001075E9" w:rsidRPr="00315E4C">
        <w:rPr>
          <w:sz w:val="24"/>
          <w:szCs w:val="24"/>
          <w:lang w:val="en-US"/>
        </w:rPr>
        <w:t xml:space="preserve"> </w:t>
      </w:r>
      <w:r w:rsidRPr="00315E4C">
        <w:rPr>
          <w:sz w:val="24"/>
          <w:szCs w:val="24"/>
          <w:lang w:val="en-US"/>
        </w:rPr>
        <w:t xml:space="preserve">“local educational agency” is proposed to replace “school district” for </w:t>
      </w:r>
      <w:r w:rsidR="00CF0A79" w:rsidRPr="00315E4C">
        <w:rPr>
          <w:sz w:val="24"/>
          <w:szCs w:val="24"/>
          <w:lang w:val="en-US"/>
        </w:rPr>
        <w:t xml:space="preserve">inclusivity and </w:t>
      </w:r>
      <w:r w:rsidRPr="00315E4C">
        <w:rPr>
          <w:sz w:val="24"/>
          <w:szCs w:val="24"/>
          <w:lang w:val="en-US"/>
        </w:rPr>
        <w:t>clarity.</w:t>
      </w:r>
    </w:p>
    <w:p w14:paraId="59A25C13" w14:textId="77777777" w:rsidR="0053793F" w:rsidRPr="00315E4C" w:rsidRDefault="0053793F" w:rsidP="00940A81">
      <w:pPr>
        <w:pStyle w:val="BodyText3"/>
        <w:spacing w:before="240" w:after="0"/>
        <w:rPr>
          <w:sz w:val="24"/>
          <w:szCs w:val="24"/>
          <w:lang w:val="en-US"/>
        </w:rPr>
      </w:pPr>
      <w:r w:rsidRPr="00315E4C">
        <w:rPr>
          <w:b/>
          <w:sz w:val="24"/>
          <w:szCs w:val="24"/>
          <w:lang w:val="en-US"/>
        </w:rPr>
        <w:t xml:space="preserve">Section 11531(a)(3) </w:t>
      </w:r>
      <w:r w:rsidRPr="00315E4C">
        <w:rPr>
          <w:sz w:val="24"/>
          <w:szCs w:val="24"/>
          <w:lang w:val="en-US"/>
        </w:rPr>
        <w:t>is amended to remove the use of “his” or “her” gender labels. This is necessary to address each examinee without assigning a gender.</w:t>
      </w:r>
    </w:p>
    <w:p w14:paraId="2C70B080" w14:textId="48D7AFD3" w:rsidR="008222B4" w:rsidRPr="000A6696" w:rsidRDefault="008222B4" w:rsidP="00940A81">
      <w:pPr>
        <w:pStyle w:val="paragraph"/>
        <w:spacing w:before="240" w:beforeAutospacing="0" w:after="0" w:afterAutospacing="0"/>
        <w:textAlignment w:val="baseline"/>
        <w:rPr>
          <w:rFonts w:ascii="Arial" w:hAnsi="Arial" w:cs="Arial"/>
          <w:b/>
          <w:bCs/>
          <w:lang w:eastAsia="x-none"/>
        </w:rPr>
      </w:pPr>
      <w:r w:rsidRPr="00315E4C">
        <w:rPr>
          <w:rStyle w:val="normaltextrun"/>
          <w:rFonts w:ascii="Arial" w:hAnsi="Arial" w:cs="Arial"/>
          <w:b/>
          <w:bCs/>
        </w:rPr>
        <w:t xml:space="preserve">SECTION </w:t>
      </w:r>
      <w:r w:rsidRPr="000A6696">
        <w:rPr>
          <w:rFonts w:ascii="Arial" w:hAnsi="Arial" w:cs="Arial"/>
          <w:b/>
          <w:bCs/>
          <w:lang w:eastAsia="x-none"/>
        </w:rPr>
        <w:t>11532</w:t>
      </w:r>
    </w:p>
    <w:p w14:paraId="08D2FDE0" w14:textId="0FF1BE04" w:rsidR="008222B4" w:rsidRPr="008B0355" w:rsidRDefault="008222B4" w:rsidP="007928FB">
      <w:pPr>
        <w:spacing w:before="240"/>
        <w:rPr>
          <w:rStyle w:val="eop"/>
          <w:rFonts w:cs="Arial"/>
        </w:rPr>
      </w:pPr>
      <w:r w:rsidRPr="00315E4C">
        <w:rPr>
          <w:rStyle w:val="normaltextrun"/>
          <w:rFonts w:cs="Arial"/>
          <w:b/>
          <w:bCs/>
        </w:rPr>
        <w:t>Section 11532</w:t>
      </w:r>
      <w:r w:rsidRPr="00315E4C">
        <w:rPr>
          <w:rStyle w:val="normaltextrun"/>
          <w:rFonts w:cs="Arial"/>
        </w:rPr>
        <w:t xml:space="preserve"> is </w:t>
      </w:r>
      <w:r w:rsidR="0076276C" w:rsidRPr="00315E4C">
        <w:rPr>
          <w:rStyle w:val="normaltextrun"/>
          <w:rFonts w:cs="Arial"/>
        </w:rPr>
        <w:t xml:space="preserve">deleted </w:t>
      </w:r>
      <w:r w:rsidRPr="00315E4C">
        <w:rPr>
          <w:rStyle w:val="normaltextrun"/>
          <w:rFonts w:cs="Arial"/>
        </w:rPr>
        <w:t xml:space="preserve">to </w:t>
      </w:r>
      <w:r w:rsidR="0076276C" w:rsidRPr="00315E4C">
        <w:rPr>
          <w:rStyle w:val="normaltextrun"/>
          <w:rFonts w:cs="Arial"/>
        </w:rPr>
        <w:t>remove the extra parameters of eligibility</w:t>
      </w:r>
      <w:r w:rsidR="007F2FA6" w:rsidRPr="00315E4C">
        <w:rPr>
          <w:rStyle w:val="normaltextrun"/>
          <w:rFonts w:cs="Arial"/>
        </w:rPr>
        <w:t xml:space="preserve"> </w:t>
      </w:r>
      <w:r w:rsidR="0076276C" w:rsidRPr="00315E4C">
        <w:rPr>
          <w:rStyle w:val="normaltextrun"/>
          <w:rFonts w:cs="Arial"/>
        </w:rPr>
        <w:t xml:space="preserve">requirements </w:t>
      </w:r>
      <w:r w:rsidR="007F2FA6" w:rsidRPr="00315E4C">
        <w:rPr>
          <w:rStyle w:val="normaltextrun"/>
          <w:rFonts w:cs="Arial"/>
        </w:rPr>
        <w:t xml:space="preserve">and </w:t>
      </w:r>
      <w:r w:rsidRPr="00315E4C">
        <w:rPr>
          <w:rStyle w:val="normaltextrun"/>
          <w:rFonts w:cs="Arial"/>
        </w:rPr>
        <w:t xml:space="preserve">align regulations with </w:t>
      </w:r>
      <w:r w:rsidR="00050646" w:rsidRPr="00315E4C">
        <w:rPr>
          <w:rStyle w:val="normaltextrun"/>
          <w:rFonts w:cs="Arial"/>
          <w:iCs/>
        </w:rPr>
        <w:t>EC</w:t>
      </w:r>
      <w:r w:rsidRPr="00315E4C">
        <w:rPr>
          <w:rStyle w:val="normaltextrun"/>
          <w:rFonts w:cs="Arial"/>
        </w:rPr>
        <w:t xml:space="preserve"> </w:t>
      </w:r>
      <w:r w:rsidR="0053132C">
        <w:rPr>
          <w:rStyle w:val="normaltextrun"/>
          <w:rFonts w:cs="Arial"/>
        </w:rPr>
        <w:t>s</w:t>
      </w:r>
      <w:r w:rsidRPr="00315E4C">
        <w:rPr>
          <w:rStyle w:val="normaltextrun"/>
          <w:rFonts w:cs="Arial"/>
        </w:rPr>
        <w:t>ection 51420(c)</w:t>
      </w:r>
      <w:r w:rsidR="0076276C" w:rsidRPr="00315E4C">
        <w:rPr>
          <w:rStyle w:val="normaltextrun"/>
          <w:rFonts w:cs="Arial"/>
        </w:rPr>
        <w:t>.</w:t>
      </w:r>
      <w:r w:rsidRPr="00315E4C">
        <w:rPr>
          <w:rStyle w:val="normaltextrun"/>
          <w:rFonts w:cs="Arial"/>
        </w:rPr>
        <w:t xml:space="preserve"> This is </w:t>
      </w:r>
      <w:r w:rsidR="00AE2C60" w:rsidRPr="00315E4C">
        <w:rPr>
          <w:rStyle w:val="normaltextrun"/>
          <w:rFonts w:cs="Arial"/>
        </w:rPr>
        <w:t>needed</w:t>
      </w:r>
      <w:r w:rsidRPr="00315E4C">
        <w:rPr>
          <w:rStyle w:val="normaltextrun"/>
          <w:rFonts w:cs="Arial"/>
        </w:rPr>
        <w:t xml:space="preserve"> because the current regulations </w:t>
      </w:r>
      <w:r w:rsidR="00305D55" w:rsidRPr="00315E4C">
        <w:rPr>
          <w:rStyle w:val="normaltextrun"/>
          <w:rFonts w:cs="Arial"/>
        </w:rPr>
        <w:t>contain language that is deemed to be unnecessary and over-regulat</w:t>
      </w:r>
      <w:r w:rsidR="0053132C">
        <w:rPr>
          <w:rStyle w:val="normaltextrun"/>
          <w:rFonts w:cs="Arial"/>
        </w:rPr>
        <w:t>ing</w:t>
      </w:r>
      <w:r w:rsidR="00305D55" w:rsidRPr="00315E4C">
        <w:rPr>
          <w:rStyle w:val="normaltextrun"/>
          <w:rFonts w:cs="Arial"/>
        </w:rPr>
        <w:t xml:space="preserve">, as it does not add any value or clarity to the intended purpose of </w:t>
      </w:r>
      <w:r w:rsidR="00305D55" w:rsidRPr="0053132C">
        <w:rPr>
          <w:rStyle w:val="normaltextrun"/>
          <w:rFonts w:cs="Arial"/>
        </w:rPr>
        <w:t>EC</w:t>
      </w:r>
      <w:r w:rsidR="0053132C">
        <w:rPr>
          <w:rStyle w:val="normaltextrun"/>
          <w:rFonts w:cs="Arial"/>
        </w:rPr>
        <w:t xml:space="preserve"> section</w:t>
      </w:r>
      <w:r w:rsidR="00305D55" w:rsidRPr="00315E4C">
        <w:rPr>
          <w:rStyle w:val="normaltextrun"/>
          <w:rFonts w:cs="Arial"/>
        </w:rPr>
        <w:t xml:space="preserve"> 51420(c). By </w:t>
      </w:r>
      <w:r w:rsidR="00305D55" w:rsidRPr="00315E4C">
        <w:rPr>
          <w:rStyle w:val="normaltextrun"/>
          <w:rFonts w:cs="Arial"/>
        </w:rPr>
        <w:lastRenderedPageBreak/>
        <w:t xml:space="preserve">removing this language, the regulations will become more streamlined and easier to understand for all related parties. This would also help to ensure that the regulations are consistent with the underlying statute and that all eligible individuals have access to the equivalency </w:t>
      </w:r>
      <w:r w:rsidR="00305D55" w:rsidRPr="006E6F70">
        <w:rPr>
          <w:rStyle w:val="normaltextrun"/>
          <w:rFonts w:cs="Arial"/>
        </w:rPr>
        <w:t>exam</w:t>
      </w:r>
      <w:r w:rsidR="007322F4" w:rsidRPr="006E6F70">
        <w:rPr>
          <w:rStyle w:val="normaltextrun"/>
          <w:rFonts w:cs="Arial"/>
        </w:rPr>
        <w:t>ination.</w:t>
      </w:r>
    </w:p>
    <w:p w14:paraId="7977609B" w14:textId="71DBB269" w:rsidR="0053132C" w:rsidRPr="000A6696" w:rsidRDefault="003A4BDF" w:rsidP="0053132C">
      <w:pPr>
        <w:pStyle w:val="paragraph"/>
        <w:spacing w:before="240" w:beforeAutospacing="0" w:after="0" w:afterAutospacing="0"/>
        <w:textAlignment w:val="baseline"/>
        <w:rPr>
          <w:rFonts w:ascii="Arial" w:hAnsi="Arial" w:cs="Arial"/>
          <w:b/>
          <w:bCs/>
          <w:lang w:eastAsia="x-none"/>
        </w:rPr>
      </w:pPr>
      <w:r>
        <w:rPr>
          <w:rStyle w:val="normaltextrun"/>
          <w:rFonts w:ascii="Arial" w:hAnsi="Arial" w:cs="Arial"/>
          <w:b/>
          <w:bCs/>
        </w:rPr>
        <w:t xml:space="preserve">PROPOSED </w:t>
      </w:r>
      <w:r w:rsidR="0053132C" w:rsidRPr="00315E4C">
        <w:rPr>
          <w:rStyle w:val="normaltextrun"/>
          <w:rFonts w:ascii="Arial" w:hAnsi="Arial" w:cs="Arial"/>
          <w:b/>
          <w:bCs/>
        </w:rPr>
        <w:t xml:space="preserve">SECTION </w:t>
      </w:r>
      <w:r w:rsidR="0053132C" w:rsidRPr="000A6696">
        <w:rPr>
          <w:rFonts w:ascii="Arial" w:hAnsi="Arial" w:cs="Arial"/>
          <w:b/>
          <w:bCs/>
          <w:lang w:eastAsia="x-none"/>
        </w:rPr>
        <w:t>11532</w:t>
      </w:r>
      <w:r w:rsidR="0053132C">
        <w:rPr>
          <w:rFonts w:ascii="Arial" w:hAnsi="Arial" w:cs="Arial"/>
          <w:b/>
          <w:bCs/>
          <w:lang w:eastAsia="x-none"/>
        </w:rPr>
        <w:t>.5</w:t>
      </w:r>
    </w:p>
    <w:p w14:paraId="21622D41" w14:textId="1FC43719" w:rsidR="008222B4" w:rsidRPr="00315E4C" w:rsidRDefault="0053132C" w:rsidP="004E7B72">
      <w:pPr>
        <w:spacing w:before="240"/>
        <w:rPr>
          <w:rFonts w:cs="Arial"/>
        </w:rPr>
      </w:pPr>
      <w:r>
        <w:rPr>
          <w:rStyle w:val="normaltextrun"/>
          <w:rFonts w:cs="Arial"/>
          <w:b/>
          <w:bCs/>
        </w:rPr>
        <w:t xml:space="preserve">Proposed </w:t>
      </w:r>
      <w:r w:rsidR="008222B4" w:rsidRPr="00315E4C">
        <w:rPr>
          <w:rStyle w:val="normaltextrun"/>
          <w:rFonts w:cs="Arial"/>
          <w:b/>
          <w:bCs/>
        </w:rPr>
        <w:t xml:space="preserve">Section 11532.5 </w:t>
      </w:r>
      <w:r w:rsidR="008222B4" w:rsidRPr="00315E4C">
        <w:rPr>
          <w:rStyle w:val="normaltextrun"/>
          <w:rFonts w:cs="Arial"/>
        </w:rPr>
        <w:t xml:space="preserve">is added to clarify the acceptable forms of </w:t>
      </w:r>
      <w:r w:rsidR="00267668" w:rsidRPr="00315E4C">
        <w:rPr>
          <w:rStyle w:val="normaltextrun"/>
          <w:rFonts w:cs="Arial"/>
        </w:rPr>
        <w:t>examinee</w:t>
      </w:r>
      <w:r w:rsidR="008222B4" w:rsidRPr="00315E4C">
        <w:rPr>
          <w:rStyle w:val="normaltextrun"/>
          <w:rFonts w:cs="Arial"/>
        </w:rPr>
        <w:t xml:space="preserve"> identification and residency requirements. This is necessary because there are no clear parameters mentioned in </w:t>
      </w:r>
      <w:r w:rsidR="00050646" w:rsidRPr="00315E4C">
        <w:rPr>
          <w:rStyle w:val="normaltextrun"/>
          <w:rFonts w:cs="Arial"/>
        </w:rPr>
        <w:t>EC</w:t>
      </w:r>
      <w:r w:rsidR="008222B4" w:rsidRPr="00315E4C">
        <w:rPr>
          <w:rStyle w:val="normaltextrun"/>
          <w:rFonts w:cs="Arial"/>
        </w:rPr>
        <w:t xml:space="preserve"> or current regulations.</w:t>
      </w:r>
      <w:r w:rsidR="00305D55" w:rsidRPr="00315E4C">
        <w:t xml:space="preserve"> </w:t>
      </w:r>
      <w:r w:rsidR="00305D55" w:rsidRPr="00315E4C">
        <w:rPr>
          <w:rStyle w:val="normaltextrun"/>
          <w:rFonts w:cs="Arial"/>
        </w:rPr>
        <w:t xml:space="preserve">By adding this section, the regulations will provide a comprehensive list of acceptable forms of identification and residency documentation. </w:t>
      </w:r>
      <w:r w:rsidR="00DF0126" w:rsidRPr="00315E4C">
        <w:rPr>
          <w:rStyle w:val="normaltextrun"/>
          <w:rFonts w:cs="Arial"/>
        </w:rPr>
        <w:t xml:space="preserve">This new section is proposed to maintain the validity of the test by ensuring the person taking the test is not an imposter and clearly provide acceptable forms of residency to prevent those who are not eligible to take the test from doing so and to enforce the residency requirement stated in EC </w:t>
      </w:r>
      <w:r>
        <w:rPr>
          <w:rStyle w:val="normaltextrun"/>
          <w:rFonts w:cs="Arial"/>
        </w:rPr>
        <w:t xml:space="preserve">section </w:t>
      </w:r>
      <w:r w:rsidR="00DF0126" w:rsidRPr="00315E4C">
        <w:rPr>
          <w:rStyle w:val="normaltextrun"/>
          <w:rFonts w:cs="Arial"/>
        </w:rPr>
        <w:t>51420(a).</w:t>
      </w:r>
    </w:p>
    <w:p w14:paraId="2A0A87F9" w14:textId="77777777" w:rsidR="009960B9" w:rsidRPr="00315E4C" w:rsidRDefault="009960B9" w:rsidP="00940A81">
      <w:pPr>
        <w:pStyle w:val="Heading2"/>
        <w:spacing w:before="240"/>
      </w:pPr>
      <w:r w:rsidRPr="00315E4C">
        <w:rPr>
          <w:rFonts w:ascii="Arial Bold" w:hAnsi="Arial Bold"/>
          <w:caps/>
        </w:rPr>
        <w:t>Economic Impact</w:t>
      </w:r>
      <w:r w:rsidRPr="00315E4C">
        <w:t xml:space="preserve"> </w:t>
      </w:r>
      <w:r w:rsidR="00D0483C" w:rsidRPr="00315E4C">
        <w:t>ASSESSMENT</w:t>
      </w:r>
      <w:r w:rsidRPr="00315E4C">
        <w:t xml:space="preserve"> PER GOV</w:t>
      </w:r>
      <w:r w:rsidR="00972709" w:rsidRPr="00315E4C">
        <w:t xml:space="preserve">. </w:t>
      </w:r>
      <w:r w:rsidRPr="00315E4C">
        <w:t>CODE SECTION 11346.3(b)</w:t>
      </w:r>
    </w:p>
    <w:p w14:paraId="42BAC45A" w14:textId="77777777" w:rsidR="00E42546" w:rsidRPr="00315E4C" w:rsidRDefault="00E42546" w:rsidP="00940A81">
      <w:pPr>
        <w:pStyle w:val="Heading3"/>
        <w:spacing w:before="240"/>
        <w:rPr>
          <w:b w:val="0"/>
        </w:rPr>
      </w:pPr>
      <w:r w:rsidRPr="00315E4C">
        <w:t>Purpose:</w:t>
      </w:r>
    </w:p>
    <w:p w14:paraId="60F0CE61" w14:textId="0C9AEB9D" w:rsidR="00276011" w:rsidRPr="00315E4C" w:rsidRDefault="00E42546" w:rsidP="00940A81">
      <w:pPr>
        <w:spacing w:before="240"/>
        <w:rPr>
          <w:rFonts w:cs="Arial"/>
        </w:rPr>
      </w:pPr>
      <w:r w:rsidRPr="00315E4C">
        <w:rPr>
          <w:rFonts w:cs="Arial"/>
        </w:rPr>
        <w:t>The proposed regulations</w:t>
      </w:r>
      <w:r w:rsidR="0091712C" w:rsidRPr="00315E4C">
        <w:rPr>
          <w:rFonts w:cs="Arial"/>
        </w:rPr>
        <w:t xml:space="preserve"> will </w:t>
      </w:r>
      <w:r w:rsidR="0053132C">
        <w:rPr>
          <w:rFonts w:cs="Arial"/>
        </w:rPr>
        <w:t>provide clarity and remove unnecessary restriction</w:t>
      </w:r>
      <w:r w:rsidR="007D1510">
        <w:rPr>
          <w:rFonts w:cs="Arial"/>
        </w:rPr>
        <w:t>s</w:t>
      </w:r>
      <w:r w:rsidR="0053132C">
        <w:rPr>
          <w:rFonts w:cs="Arial"/>
        </w:rPr>
        <w:t xml:space="preserve"> to individuals taking the HSE test</w:t>
      </w:r>
      <w:r w:rsidR="00DB2F3C" w:rsidRPr="00315E4C">
        <w:rPr>
          <w:rFonts w:cs="Arial"/>
        </w:rPr>
        <w:t>.</w:t>
      </w:r>
    </w:p>
    <w:p w14:paraId="1CA89CC2" w14:textId="77777777" w:rsidR="00E42546" w:rsidRPr="00315E4C" w:rsidRDefault="00276011" w:rsidP="00940A81">
      <w:pPr>
        <w:pStyle w:val="Heading3"/>
        <w:spacing w:before="240"/>
      </w:pPr>
      <w:r w:rsidRPr="00315E4C">
        <w:t>C</w:t>
      </w:r>
      <w:r w:rsidR="00B1243A" w:rsidRPr="00315E4C">
        <w:t>reation or Elimination of Jobs w</w:t>
      </w:r>
      <w:r w:rsidR="00E42546" w:rsidRPr="00315E4C">
        <w:t>ithin the State of California:</w:t>
      </w:r>
    </w:p>
    <w:p w14:paraId="0E3E3764" w14:textId="6E32A18E" w:rsidR="003F79C9" w:rsidRPr="00315E4C" w:rsidRDefault="00DB2F3C" w:rsidP="00940A81">
      <w:pPr>
        <w:spacing w:before="240"/>
        <w:rPr>
          <w:rFonts w:cs="Arial"/>
        </w:rPr>
      </w:pPr>
      <w:r w:rsidRPr="00315E4C">
        <w:rPr>
          <w:rFonts w:cs="Arial"/>
        </w:rPr>
        <w:t>The</w:t>
      </w:r>
      <w:r w:rsidR="003F79C9" w:rsidRPr="00315E4C">
        <w:rPr>
          <w:rFonts w:cs="Arial"/>
        </w:rPr>
        <w:t xml:space="preserve"> proposed regulations directly impact potential test takers, HSE contractors, and testing centers. They are designed to provide clarity regarding the documentation required to prove a test taker’s </w:t>
      </w:r>
      <w:r w:rsidRPr="00315E4C">
        <w:rPr>
          <w:rFonts w:cs="Arial"/>
        </w:rPr>
        <w:t>eligibility and identity</w:t>
      </w:r>
      <w:r w:rsidR="003F79C9" w:rsidRPr="00315E4C">
        <w:rPr>
          <w:rFonts w:cs="Arial"/>
        </w:rPr>
        <w:t xml:space="preserve">. There is no evidence the regulations will either create or eliminate </w:t>
      </w:r>
      <w:r w:rsidR="00B01EF4" w:rsidRPr="00315E4C">
        <w:rPr>
          <w:rFonts w:cs="Arial"/>
        </w:rPr>
        <w:t>jobs within</w:t>
      </w:r>
      <w:r w:rsidR="003F79C9" w:rsidRPr="00315E4C">
        <w:rPr>
          <w:rFonts w:cs="Arial"/>
        </w:rPr>
        <w:t xml:space="preserve"> California.</w:t>
      </w:r>
    </w:p>
    <w:p w14:paraId="6178262A" w14:textId="77777777" w:rsidR="00E42546" w:rsidRPr="00315E4C" w:rsidRDefault="00E42546" w:rsidP="00940A81">
      <w:pPr>
        <w:pStyle w:val="Heading3"/>
        <w:spacing w:before="240"/>
      </w:pPr>
      <w:r w:rsidRPr="00315E4C">
        <w:t>Creation of New or Elim</w:t>
      </w:r>
      <w:r w:rsidR="00B1243A" w:rsidRPr="00315E4C">
        <w:t>ination of Existing Businesses w</w:t>
      </w:r>
      <w:r w:rsidRPr="00315E4C">
        <w:t>ithin the State of California:</w:t>
      </w:r>
    </w:p>
    <w:p w14:paraId="5F7945A6" w14:textId="377B4DBE" w:rsidR="003F79C9" w:rsidRPr="00315E4C" w:rsidRDefault="003F79C9" w:rsidP="00940A81">
      <w:pPr>
        <w:spacing w:before="240"/>
        <w:rPr>
          <w:rFonts w:cs="Arial"/>
        </w:rPr>
      </w:pPr>
      <w:r w:rsidRPr="00315E4C">
        <w:rPr>
          <w:rFonts w:cs="Arial"/>
        </w:rPr>
        <w:t xml:space="preserve">The proposed regulations directly impact potential test takers, HSE contractors, and testing centers. They are designed to provide clarity regarding </w:t>
      </w:r>
      <w:r w:rsidR="001D4C7A" w:rsidRPr="00315E4C">
        <w:rPr>
          <w:rFonts w:cs="Arial"/>
        </w:rPr>
        <w:t>eligibility and</w:t>
      </w:r>
      <w:r w:rsidRPr="00315E4C">
        <w:rPr>
          <w:rFonts w:cs="Arial"/>
        </w:rPr>
        <w:t xml:space="preserve"> </w:t>
      </w:r>
      <w:r w:rsidR="008176EA" w:rsidRPr="00315E4C">
        <w:rPr>
          <w:rFonts w:cs="Arial"/>
        </w:rPr>
        <w:t xml:space="preserve">proper </w:t>
      </w:r>
      <w:r w:rsidRPr="00315E4C">
        <w:rPr>
          <w:rFonts w:cs="Arial"/>
        </w:rPr>
        <w:t xml:space="preserve">documentation required to prove a test taker’s </w:t>
      </w:r>
      <w:r w:rsidR="00DB2F3C" w:rsidRPr="00315E4C">
        <w:rPr>
          <w:rFonts w:cs="Arial"/>
        </w:rPr>
        <w:t xml:space="preserve">eligibility and </w:t>
      </w:r>
      <w:r w:rsidRPr="00315E4C">
        <w:rPr>
          <w:rFonts w:cs="Arial"/>
        </w:rPr>
        <w:t xml:space="preserve">identity. There is no evidence the regulations will either create or eliminate </w:t>
      </w:r>
      <w:r w:rsidR="00DF0126" w:rsidRPr="00315E4C">
        <w:rPr>
          <w:rFonts w:cs="Arial"/>
        </w:rPr>
        <w:t xml:space="preserve">existing business </w:t>
      </w:r>
      <w:r w:rsidR="00B01EF4" w:rsidRPr="00315E4C">
        <w:rPr>
          <w:rFonts w:cs="Arial"/>
        </w:rPr>
        <w:t>within</w:t>
      </w:r>
      <w:r w:rsidRPr="00315E4C">
        <w:rPr>
          <w:rFonts w:cs="Arial"/>
        </w:rPr>
        <w:t xml:space="preserve"> California.</w:t>
      </w:r>
    </w:p>
    <w:p w14:paraId="629B9CC4" w14:textId="77777777" w:rsidR="00E42546" w:rsidRPr="00315E4C" w:rsidRDefault="00E42546" w:rsidP="00940A81">
      <w:pPr>
        <w:pStyle w:val="Heading3"/>
        <w:spacing w:before="240"/>
      </w:pPr>
      <w:r w:rsidRPr="00315E4C">
        <w:t>Expansion of Businesses or Elimination of Busin</w:t>
      </w:r>
      <w:r w:rsidR="00B1243A" w:rsidRPr="00315E4C">
        <w:t>esses Currently Doing Business w</w:t>
      </w:r>
      <w:r w:rsidRPr="00315E4C">
        <w:t>ithin the State of California:</w:t>
      </w:r>
    </w:p>
    <w:p w14:paraId="72C12B4F" w14:textId="0EBF5030" w:rsidR="00DB2F3C" w:rsidRPr="00315E4C" w:rsidRDefault="00DB2F3C" w:rsidP="00940A81">
      <w:pPr>
        <w:spacing w:before="240"/>
        <w:rPr>
          <w:rFonts w:cs="Arial"/>
        </w:rPr>
      </w:pPr>
      <w:r w:rsidRPr="00315E4C">
        <w:rPr>
          <w:rFonts w:cs="Arial"/>
        </w:rPr>
        <w:t xml:space="preserve">The proposed regulations directly impact potential test takers, HSE contractors, and testing centers. They are designed to provide clarity regarding </w:t>
      </w:r>
      <w:r w:rsidR="008176EA" w:rsidRPr="00315E4C">
        <w:rPr>
          <w:rFonts w:cs="Arial"/>
        </w:rPr>
        <w:t xml:space="preserve">eligibility and proper </w:t>
      </w:r>
      <w:r w:rsidRPr="00315E4C">
        <w:rPr>
          <w:rFonts w:cs="Arial"/>
        </w:rPr>
        <w:t xml:space="preserve">documentation required to prove a test taker’s eligibility and identity. There is no evidence the regulations will either </w:t>
      </w:r>
      <w:r w:rsidR="00DF0126" w:rsidRPr="00315E4C">
        <w:rPr>
          <w:rFonts w:cs="Arial"/>
        </w:rPr>
        <w:t xml:space="preserve">expand </w:t>
      </w:r>
      <w:r w:rsidRPr="00315E4C">
        <w:rPr>
          <w:rFonts w:cs="Arial"/>
        </w:rPr>
        <w:t xml:space="preserve">or eliminate </w:t>
      </w:r>
      <w:r w:rsidR="00DF0126" w:rsidRPr="00315E4C">
        <w:rPr>
          <w:rFonts w:cs="Arial"/>
        </w:rPr>
        <w:t xml:space="preserve">businesses </w:t>
      </w:r>
      <w:r w:rsidRPr="00315E4C">
        <w:rPr>
          <w:rFonts w:cs="Arial"/>
        </w:rPr>
        <w:t>within California.</w:t>
      </w:r>
    </w:p>
    <w:p w14:paraId="6C1B6AD7" w14:textId="77777777" w:rsidR="00E42546" w:rsidRPr="00315E4C" w:rsidRDefault="00E42546" w:rsidP="00940A81">
      <w:pPr>
        <w:pStyle w:val="Heading3"/>
        <w:spacing w:before="240"/>
      </w:pPr>
      <w:r w:rsidRPr="00315E4C">
        <w:lastRenderedPageBreak/>
        <w:t>Benefits of the Regulations to the Health and Welfare of California Residents, Worker Safety, and the State’s Environment</w:t>
      </w:r>
      <w:r w:rsidR="00FE246F" w:rsidRPr="00315E4C">
        <w:t xml:space="preserve"> – Gov. Code Section 11346.1(b)(1)</w:t>
      </w:r>
      <w:r w:rsidRPr="00315E4C">
        <w:t>:</w:t>
      </w:r>
    </w:p>
    <w:p w14:paraId="707A4BD0" w14:textId="4CB5621E" w:rsidR="00D75ECF" w:rsidRPr="00315E4C" w:rsidRDefault="00D75ECF" w:rsidP="00940A81">
      <w:pPr>
        <w:spacing w:before="240"/>
        <w:rPr>
          <w:iCs/>
        </w:rPr>
      </w:pPr>
      <w:r w:rsidRPr="00315E4C">
        <w:t>These proposed regulations will have no adverse effect nor benefit on worker safety or the State’s environment.</w:t>
      </w:r>
    </w:p>
    <w:p w14:paraId="17746D85" w14:textId="77777777" w:rsidR="00FE246F" w:rsidRPr="00315E4C" w:rsidRDefault="00FE246F" w:rsidP="00940A81">
      <w:pPr>
        <w:pStyle w:val="Heading3"/>
        <w:spacing w:before="240"/>
      </w:pPr>
      <w:r w:rsidRPr="00315E4C">
        <w:t>Reasonable Alternatives that Would Lessen the Impact on Small Businesses – Gov. Code Section 11346.2(b)(4)(B):</w:t>
      </w:r>
    </w:p>
    <w:p w14:paraId="039703D7" w14:textId="77777777" w:rsidR="00FE246F" w:rsidRPr="00315E4C" w:rsidRDefault="00FE246F" w:rsidP="00940A81">
      <w:pPr>
        <w:pStyle w:val="BodyText3"/>
        <w:spacing w:before="240" w:after="0"/>
        <w:rPr>
          <w:sz w:val="24"/>
          <w:szCs w:val="24"/>
          <w:lang w:val="en-US"/>
        </w:rPr>
      </w:pPr>
      <w:r w:rsidRPr="00315E4C">
        <w:rPr>
          <w:sz w:val="24"/>
          <w:szCs w:val="24"/>
        </w:rPr>
        <w:t>The SSPI has not identified any alternatives that would lessen any adverse impact on small business</w:t>
      </w:r>
      <w:r w:rsidR="00DB2F3C" w:rsidRPr="00315E4C">
        <w:rPr>
          <w:sz w:val="24"/>
          <w:szCs w:val="24"/>
          <w:lang w:val="en-US"/>
        </w:rPr>
        <w:t xml:space="preserve"> because there will not be any adverse impact on small business.</w:t>
      </w:r>
    </w:p>
    <w:p w14:paraId="2FE58DE6" w14:textId="4C1414F5" w:rsidR="00FE246F" w:rsidRPr="00315E4C" w:rsidRDefault="00FE246F" w:rsidP="00940A81">
      <w:pPr>
        <w:pStyle w:val="Heading3"/>
        <w:spacing w:before="240"/>
        <w:rPr>
          <w:u w:val="single"/>
        </w:rPr>
      </w:pPr>
      <w:r w:rsidRPr="00315E4C">
        <w:t>Evidence Relied Upon to Support the Initial Determination that the Regulations Will Not Have a Significant Adverse Economic Impact on Business – Gov. Code Section 11346.2(b)(5):</w:t>
      </w:r>
    </w:p>
    <w:p w14:paraId="46E98A69" w14:textId="77777777" w:rsidR="00FE246F" w:rsidRPr="00315E4C" w:rsidRDefault="00FE246F" w:rsidP="00940A81">
      <w:pPr>
        <w:widowControl w:val="0"/>
        <w:spacing w:before="240"/>
      </w:pPr>
      <w:r w:rsidRPr="00315E4C">
        <w:t xml:space="preserve">The proposed regulations would not have a significant adverse economic impact on any business because </w:t>
      </w:r>
      <w:r w:rsidR="00DB2F3C" w:rsidRPr="00315E4C">
        <w:t xml:space="preserve">individuals who take and pass the equivalency exam would only have a positive impact on business by increasing the pool of eligible employment candidates. </w:t>
      </w:r>
    </w:p>
    <w:p w14:paraId="266C4D2C" w14:textId="3974D78B" w:rsidR="009841F9" w:rsidRPr="00315E4C" w:rsidRDefault="00F0636B" w:rsidP="00940A81">
      <w:pPr>
        <w:pStyle w:val="Heading2"/>
        <w:spacing w:before="240"/>
      </w:pPr>
      <w:r w:rsidRPr="00315E4C">
        <w:t>OTHER REQUIRED SHOWINGS</w:t>
      </w:r>
    </w:p>
    <w:p w14:paraId="65A7C08C" w14:textId="77777777" w:rsidR="009841F9" w:rsidRPr="00315E4C" w:rsidRDefault="009841F9" w:rsidP="00940A81">
      <w:pPr>
        <w:pStyle w:val="Heading3"/>
        <w:spacing w:before="240"/>
      </w:pPr>
      <w:r w:rsidRPr="00315E4C">
        <w:t xml:space="preserve">Studies, Reports </w:t>
      </w:r>
      <w:r w:rsidR="00B1243A" w:rsidRPr="00315E4C">
        <w:t>o</w:t>
      </w:r>
      <w:r w:rsidRPr="00315E4C">
        <w:t>r Documents Relied Upon – Gov. Code. Section 11346.2(b)(</w:t>
      </w:r>
      <w:r w:rsidR="00523194" w:rsidRPr="00315E4C">
        <w:t>3</w:t>
      </w:r>
      <w:r w:rsidRPr="00315E4C">
        <w:t>):</w:t>
      </w:r>
    </w:p>
    <w:p w14:paraId="69FFB36A" w14:textId="77777777" w:rsidR="009841F9" w:rsidRPr="00315E4C" w:rsidRDefault="009841F9" w:rsidP="00940A81">
      <w:pPr>
        <w:widowControl w:val="0"/>
        <w:spacing w:before="240"/>
      </w:pPr>
      <w:r w:rsidRPr="00315E4C">
        <w:t>The SSPI did not rely upon any technical, theoretical, or empirical studies, reports</w:t>
      </w:r>
      <w:r w:rsidR="00735038" w:rsidRPr="00315E4C">
        <w:t>,</w:t>
      </w:r>
      <w:r w:rsidRPr="00315E4C">
        <w:t xml:space="preserve"> or documents in proposing the adoption, amendment, or repeal of these regulations. </w:t>
      </w:r>
    </w:p>
    <w:p w14:paraId="4A95CE61" w14:textId="77777777" w:rsidR="009841F9" w:rsidRPr="00315E4C" w:rsidRDefault="009841F9" w:rsidP="00940A81">
      <w:pPr>
        <w:pStyle w:val="Heading3"/>
        <w:spacing w:before="240"/>
      </w:pPr>
      <w:r w:rsidRPr="00315E4C">
        <w:t>Reas</w:t>
      </w:r>
      <w:r w:rsidR="00503065" w:rsidRPr="00315E4C">
        <w:t xml:space="preserve">onable Alternatives Considered </w:t>
      </w:r>
      <w:r w:rsidR="00B1243A" w:rsidRPr="00315E4C">
        <w:t>o</w:t>
      </w:r>
      <w:r w:rsidR="00503065" w:rsidRPr="00315E4C">
        <w:t xml:space="preserve">r Agency’s Reasons </w:t>
      </w:r>
      <w:r w:rsidR="00B1243A" w:rsidRPr="00315E4C">
        <w:t>f</w:t>
      </w:r>
      <w:r w:rsidRPr="00315E4C">
        <w:t>or Rejecting Those Alternatives – Gov. Code Section 11346.2(b)(</w:t>
      </w:r>
      <w:r w:rsidR="00FA5D9B" w:rsidRPr="00315E4C">
        <w:t>4</w:t>
      </w:r>
      <w:r w:rsidRPr="00315E4C">
        <w:t>)(A):</w:t>
      </w:r>
    </w:p>
    <w:p w14:paraId="5D196094" w14:textId="77777777" w:rsidR="00276011" w:rsidRPr="00315E4C" w:rsidRDefault="009841F9" w:rsidP="00940A81">
      <w:pPr>
        <w:pStyle w:val="BodyText3"/>
        <w:spacing w:before="240" w:after="0"/>
        <w:rPr>
          <w:sz w:val="24"/>
          <w:szCs w:val="24"/>
        </w:rPr>
      </w:pPr>
      <w:r w:rsidRPr="00315E4C">
        <w:rPr>
          <w:sz w:val="24"/>
          <w:szCs w:val="24"/>
        </w:rPr>
        <w:t>No other alternatives were presented to or considered by the SSPI.</w:t>
      </w:r>
    </w:p>
    <w:p w14:paraId="5197A603" w14:textId="77777777" w:rsidR="00F54466" w:rsidRPr="00315E4C" w:rsidRDefault="00503065" w:rsidP="00940A81">
      <w:pPr>
        <w:pStyle w:val="Heading3"/>
        <w:spacing w:before="240"/>
      </w:pPr>
      <w:r w:rsidRPr="00315E4C">
        <w:t xml:space="preserve">Analysis </w:t>
      </w:r>
      <w:r w:rsidR="00B1243A" w:rsidRPr="00315E4C">
        <w:t>o</w:t>
      </w:r>
      <w:r w:rsidRPr="00315E4C">
        <w:t xml:space="preserve">f Whether </w:t>
      </w:r>
      <w:r w:rsidR="00B1243A" w:rsidRPr="00315E4C">
        <w:t>t</w:t>
      </w:r>
      <w:r w:rsidRPr="00315E4C">
        <w:t xml:space="preserve">he Regulations </w:t>
      </w:r>
      <w:r w:rsidR="00B1243A" w:rsidRPr="00315E4C">
        <w:t>a</w:t>
      </w:r>
      <w:r w:rsidRPr="00315E4C">
        <w:t xml:space="preserve">re </w:t>
      </w:r>
      <w:r w:rsidR="00B1243A" w:rsidRPr="00315E4C">
        <w:t>a</w:t>
      </w:r>
      <w:r w:rsidRPr="00315E4C">
        <w:t xml:space="preserve">n Efficient </w:t>
      </w:r>
      <w:r w:rsidR="00B1243A" w:rsidRPr="00315E4C">
        <w:t>a</w:t>
      </w:r>
      <w:r w:rsidR="00F0636B" w:rsidRPr="00315E4C">
        <w:t>nd Effective Means</w:t>
      </w:r>
      <w:r w:rsidRPr="00315E4C">
        <w:t xml:space="preserve"> </w:t>
      </w:r>
      <w:r w:rsidR="00B1243A" w:rsidRPr="00315E4C">
        <w:t>o</w:t>
      </w:r>
      <w:r w:rsidRPr="00315E4C">
        <w:t xml:space="preserve">f Implementing </w:t>
      </w:r>
      <w:r w:rsidR="00B1243A" w:rsidRPr="00315E4C">
        <w:t>t</w:t>
      </w:r>
      <w:r w:rsidRPr="00315E4C">
        <w:t xml:space="preserve">he Law </w:t>
      </w:r>
      <w:r w:rsidR="00B1243A" w:rsidRPr="00315E4C">
        <w:t>i</w:t>
      </w:r>
      <w:r w:rsidRPr="00315E4C">
        <w:t xml:space="preserve">n </w:t>
      </w:r>
      <w:r w:rsidR="00B1243A" w:rsidRPr="00315E4C">
        <w:t>t</w:t>
      </w:r>
      <w:r w:rsidR="00F0636B" w:rsidRPr="00315E4C">
        <w:t xml:space="preserve">he Least Burdensome Manner – Gov. Code Section </w:t>
      </w:r>
      <w:r w:rsidR="00787C7E" w:rsidRPr="00315E4C">
        <w:t>1</w:t>
      </w:r>
      <w:r w:rsidR="00F0636B" w:rsidRPr="00315E4C">
        <w:t>1346.3(e)</w:t>
      </w:r>
      <w:r w:rsidR="00A83E05" w:rsidRPr="00315E4C">
        <w:t>:</w:t>
      </w:r>
    </w:p>
    <w:p w14:paraId="498D3B61" w14:textId="77777777" w:rsidR="00ED7CE8" w:rsidRPr="00315E4C" w:rsidRDefault="00F0636B" w:rsidP="00940A81">
      <w:pPr>
        <w:spacing w:before="240"/>
      </w:pPr>
      <w:r w:rsidRPr="00315E4C">
        <w:t xml:space="preserve">The </w:t>
      </w:r>
      <w:r w:rsidR="00B1243A" w:rsidRPr="00315E4C">
        <w:t xml:space="preserve">proposed </w:t>
      </w:r>
      <w:r w:rsidRPr="00315E4C">
        <w:t>regulations have been determined to be the most efficient and effective means of implementing the law in the least burdensome manner.</w:t>
      </w:r>
    </w:p>
    <w:p w14:paraId="10859FA7" w14:textId="77777777" w:rsidR="000844A7" w:rsidRPr="00315E4C" w:rsidRDefault="000844A7" w:rsidP="00940A81">
      <w:pPr>
        <w:pStyle w:val="Heading3"/>
        <w:spacing w:before="240"/>
      </w:pPr>
      <w:r w:rsidRPr="00315E4C">
        <w:t>Determination of Inconsistent/Incompatible Existing Regulations – Gov. Code Section 11346.</w:t>
      </w:r>
      <w:r w:rsidR="00A83E05" w:rsidRPr="00315E4C">
        <w:t>5</w:t>
      </w:r>
      <w:r w:rsidRPr="00315E4C">
        <w:t>(</w:t>
      </w:r>
      <w:r w:rsidR="00A83E05" w:rsidRPr="00315E4C">
        <w:t>a)(3)(D):</w:t>
      </w:r>
    </w:p>
    <w:p w14:paraId="538A10C6" w14:textId="77777777" w:rsidR="009C14B8" w:rsidRPr="00315E4C" w:rsidRDefault="00E368E2" w:rsidP="00940A81">
      <w:pPr>
        <w:spacing w:before="240"/>
      </w:pPr>
      <w:r w:rsidRPr="00315E4C">
        <w:t>An evaluation of the proposed regulations ha</w:t>
      </w:r>
      <w:r w:rsidR="00457AAF" w:rsidRPr="00315E4C">
        <w:t>s</w:t>
      </w:r>
      <w:r w:rsidRPr="00315E4C">
        <w:t xml:space="preserve"> determined they are not inconsistent/incompatible with existing regulations, pursuant to Gov</w:t>
      </w:r>
      <w:r w:rsidR="00B25153" w:rsidRPr="00315E4C">
        <w:t>ernment</w:t>
      </w:r>
      <w:r w:rsidRPr="00315E4C">
        <w:t xml:space="preserve"> </w:t>
      </w:r>
      <w:r w:rsidR="00F90614" w:rsidRPr="00315E4C">
        <w:t>Code s</w:t>
      </w:r>
      <w:r w:rsidRPr="00315E4C">
        <w:t>ection 11346.5(a)(3)(D).</w:t>
      </w:r>
    </w:p>
    <w:p w14:paraId="401826A6" w14:textId="2295A65D" w:rsidR="009841F9" w:rsidRPr="00315E4C" w:rsidRDefault="00996C85" w:rsidP="00940A81">
      <w:pPr>
        <w:spacing w:before="240"/>
      </w:pPr>
      <w:r>
        <w:t>4-</w:t>
      </w:r>
      <w:r w:rsidR="007322F4">
        <w:t>27</w:t>
      </w:r>
      <w:r w:rsidR="00227FBB">
        <w:t>-</w:t>
      </w:r>
      <w:r w:rsidR="0053132C">
        <w:t>2023</w:t>
      </w:r>
      <w:r w:rsidR="009841F9" w:rsidRPr="00315E4C">
        <w:t xml:space="preserve"> [California Department of Education]</w:t>
      </w:r>
    </w:p>
    <w:sectPr w:rsidR="009841F9" w:rsidRPr="00315E4C" w:rsidSect="008A6FD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5B6E" w14:textId="77777777" w:rsidR="008D2462" w:rsidRDefault="008D2462" w:rsidP="00735038">
      <w:r>
        <w:separator/>
      </w:r>
    </w:p>
  </w:endnote>
  <w:endnote w:type="continuationSeparator" w:id="0">
    <w:p w14:paraId="2AA82FFE" w14:textId="77777777" w:rsidR="008D2462" w:rsidRDefault="008D2462" w:rsidP="0073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361A" w14:textId="77777777" w:rsidR="00A565EF" w:rsidRDefault="00A565EF">
    <w:pPr>
      <w:pStyle w:val="Footer"/>
      <w:jc w:val="center"/>
    </w:pPr>
    <w:r>
      <w:fldChar w:fldCharType="begin"/>
    </w:r>
    <w:r>
      <w:instrText xml:space="preserve"> PAGE   \* MERGEFORMAT </w:instrText>
    </w:r>
    <w:r>
      <w:fldChar w:fldCharType="separate"/>
    </w:r>
    <w:r w:rsidR="00F90614">
      <w:rPr>
        <w:noProof/>
      </w:rPr>
      <w:t>3</w:t>
    </w:r>
    <w:r>
      <w:rPr>
        <w:noProof/>
      </w:rPr>
      <w:fldChar w:fldCharType="end"/>
    </w:r>
  </w:p>
  <w:p w14:paraId="2BDC659A" w14:textId="77777777" w:rsidR="00A565EF" w:rsidRDefault="00A5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68C0" w14:textId="77777777" w:rsidR="008D2462" w:rsidRDefault="008D2462" w:rsidP="00735038">
      <w:r>
        <w:separator/>
      </w:r>
    </w:p>
  </w:footnote>
  <w:footnote w:type="continuationSeparator" w:id="0">
    <w:p w14:paraId="2BE4EDF8" w14:textId="77777777" w:rsidR="008D2462" w:rsidRDefault="008D2462" w:rsidP="0073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A0B42"/>
    <w:multiLevelType w:val="hybridMultilevel"/>
    <w:tmpl w:val="3B626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1760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41"/>
    <w:rsid w:val="00003E85"/>
    <w:rsid w:val="0001622C"/>
    <w:rsid w:val="00023DEC"/>
    <w:rsid w:val="00027AB9"/>
    <w:rsid w:val="00030F96"/>
    <w:rsid w:val="0003168A"/>
    <w:rsid w:val="00033B21"/>
    <w:rsid w:val="00033B71"/>
    <w:rsid w:val="00043A93"/>
    <w:rsid w:val="00046106"/>
    <w:rsid w:val="00050646"/>
    <w:rsid w:val="00050860"/>
    <w:rsid w:val="00056BCE"/>
    <w:rsid w:val="0006001D"/>
    <w:rsid w:val="00060FC0"/>
    <w:rsid w:val="00062466"/>
    <w:rsid w:val="000670CA"/>
    <w:rsid w:val="00070F36"/>
    <w:rsid w:val="00074164"/>
    <w:rsid w:val="0007525F"/>
    <w:rsid w:val="00075D7F"/>
    <w:rsid w:val="00076579"/>
    <w:rsid w:val="000844A7"/>
    <w:rsid w:val="00085F93"/>
    <w:rsid w:val="00094CB0"/>
    <w:rsid w:val="000A6696"/>
    <w:rsid w:val="000A69BB"/>
    <w:rsid w:val="000C4649"/>
    <w:rsid w:val="000C62B8"/>
    <w:rsid w:val="000C7F4D"/>
    <w:rsid w:val="000D00E4"/>
    <w:rsid w:val="000D591A"/>
    <w:rsid w:val="000E67A8"/>
    <w:rsid w:val="000E6CA1"/>
    <w:rsid w:val="000F0B95"/>
    <w:rsid w:val="00107308"/>
    <w:rsid w:val="001075E9"/>
    <w:rsid w:val="00111009"/>
    <w:rsid w:val="00112581"/>
    <w:rsid w:val="00131503"/>
    <w:rsid w:val="00131724"/>
    <w:rsid w:val="00140747"/>
    <w:rsid w:val="00141FCD"/>
    <w:rsid w:val="0014432D"/>
    <w:rsid w:val="001456B9"/>
    <w:rsid w:val="00156CF5"/>
    <w:rsid w:val="0016519E"/>
    <w:rsid w:val="00167E69"/>
    <w:rsid w:val="0017584C"/>
    <w:rsid w:val="001815C5"/>
    <w:rsid w:val="00185E85"/>
    <w:rsid w:val="00196377"/>
    <w:rsid w:val="001A0124"/>
    <w:rsid w:val="001A2F55"/>
    <w:rsid w:val="001A3F79"/>
    <w:rsid w:val="001A5A8C"/>
    <w:rsid w:val="001B2104"/>
    <w:rsid w:val="001B31A6"/>
    <w:rsid w:val="001C5554"/>
    <w:rsid w:val="001C7331"/>
    <w:rsid w:val="001D0E95"/>
    <w:rsid w:val="001D2E1E"/>
    <w:rsid w:val="001D4C7A"/>
    <w:rsid w:val="001D6C1A"/>
    <w:rsid w:val="001E6006"/>
    <w:rsid w:val="001F171A"/>
    <w:rsid w:val="00203A32"/>
    <w:rsid w:val="0021640E"/>
    <w:rsid w:val="00222A30"/>
    <w:rsid w:val="00227FBB"/>
    <w:rsid w:val="00231D37"/>
    <w:rsid w:val="00241277"/>
    <w:rsid w:val="00245E84"/>
    <w:rsid w:val="002470F6"/>
    <w:rsid w:val="00250E8D"/>
    <w:rsid w:val="002511B1"/>
    <w:rsid w:val="0025212D"/>
    <w:rsid w:val="002543BB"/>
    <w:rsid w:val="00255B7F"/>
    <w:rsid w:val="00256EAE"/>
    <w:rsid w:val="002631A3"/>
    <w:rsid w:val="00264AFE"/>
    <w:rsid w:val="00267668"/>
    <w:rsid w:val="00271FB8"/>
    <w:rsid w:val="00276011"/>
    <w:rsid w:val="00277C48"/>
    <w:rsid w:val="00280253"/>
    <w:rsid w:val="00285B80"/>
    <w:rsid w:val="002A3610"/>
    <w:rsid w:val="002C0460"/>
    <w:rsid w:val="002D1CB1"/>
    <w:rsid w:val="002D7225"/>
    <w:rsid w:val="002F1BB3"/>
    <w:rsid w:val="002F2E86"/>
    <w:rsid w:val="002F3EFF"/>
    <w:rsid w:val="002F5C77"/>
    <w:rsid w:val="00304376"/>
    <w:rsid w:val="00305D55"/>
    <w:rsid w:val="003108D8"/>
    <w:rsid w:val="00310942"/>
    <w:rsid w:val="00315E4C"/>
    <w:rsid w:val="00316CB8"/>
    <w:rsid w:val="0032013F"/>
    <w:rsid w:val="00322985"/>
    <w:rsid w:val="0034044B"/>
    <w:rsid w:val="003457FE"/>
    <w:rsid w:val="00347F23"/>
    <w:rsid w:val="00366B00"/>
    <w:rsid w:val="00375CE6"/>
    <w:rsid w:val="00382E4A"/>
    <w:rsid w:val="00397868"/>
    <w:rsid w:val="003A1FAB"/>
    <w:rsid w:val="003A2238"/>
    <w:rsid w:val="003A4BDF"/>
    <w:rsid w:val="003A6DC0"/>
    <w:rsid w:val="003C7CD7"/>
    <w:rsid w:val="003E150E"/>
    <w:rsid w:val="003E1890"/>
    <w:rsid w:val="003E7494"/>
    <w:rsid w:val="003E76AC"/>
    <w:rsid w:val="003E7915"/>
    <w:rsid w:val="003F26C8"/>
    <w:rsid w:val="003F6821"/>
    <w:rsid w:val="003F79C9"/>
    <w:rsid w:val="00400ABF"/>
    <w:rsid w:val="0040459A"/>
    <w:rsid w:val="00411756"/>
    <w:rsid w:val="00420857"/>
    <w:rsid w:val="004212AC"/>
    <w:rsid w:val="00422B33"/>
    <w:rsid w:val="00456954"/>
    <w:rsid w:val="00457AAF"/>
    <w:rsid w:val="00462F94"/>
    <w:rsid w:val="00465F18"/>
    <w:rsid w:val="004665EB"/>
    <w:rsid w:val="00467DEF"/>
    <w:rsid w:val="004711B9"/>
    <w:rsid w:val="00473C9F"/>
    <w:rsid w:val="00475763"/>
    <w:rsid w:val="00480E3F"/>
    <w:rsid w:val="00482691"/>
    <w:rsid w:val="00483BEA"/>
    <w:rsid w:val="00485680"/>
    <w:rsid w:val="00486516"/>
    <w:rsid w:val="00496D36"/>
    <w:rsid w:val="004A0958"/>
    <w:rsid w:val="004A258B"/>
    <w:rsid w:val="004A7495"/>
    <w:rsid w:val="004B1906"/>
    <w:rsid w:val="004B4779"/>
    <w:rsid w:val="004B52D0"/>
    <w:rsid w:val="004D2E65"/>
    <w:rsid w:val="004D3716"/>
    <w:rsid w:val="004E1876"/>
    <w:rsid w:val="004E7B72"/>
    <w:rsid w:val="004F0251"/>
    <w:rsid w:val="004F2596"/>
    <w:rsid w:val="004F56DD"/>
    <w:rsid w:val="005017D2"/>
    <w:rsid w:val="00503065"/>
    <w:rsid w:val="005202EA"/>
    <w:rsid w:val="00523194"/>
    <w:rsid w:val="005256AF"/>
    <w:rsid w:val="0053132C"/>
    <w:rsid w:val="0053793F"/>
    <w:rsid w:val="00543A36"/>
    <w:rsid w:val="00546244"/>
    <w:rsid w:val="0055410A"/>
    <w:rsid w:val="00555F6A"/>
    <w:rsid w:val="00560056"/>
    <w:rsid w:val="005609F3"/>
    <w:rsid w:val="005675A3"/>
    <w:rsid w:val="00572C6A"/>
    <w:rsid w:val="005744E8"/>
    <w:rsid w:val="0058692C"/>
    <w:rsid w:val="00587B8B"/>
    <w:rsid w:val="0059068F"/>
    <w:rsid w:val="005A350B"/>
    <w:rsid w:val="005A617F"/>
    <w:rsid w:val="005B3F19"/>
    <w:rsid w:val="005B6BC7"/>
    <w:rsid w:val="005D058F"/>
    <w:rsid w:val="005E6782"/>
    <w:rsid w:val="005F0AC7"/>
    <w:rsid w:val="005F5BEC"/>
    <w:rsid w:val="006000B2"/>
    <w:rsid w:val="00602645"/>
    <w:rsid w:val="006068A1"/>
    <w:rsid w:val="00620891"/>
    <w:rsid w:val="00622CBC"/>
    <w:rsid w:val="006402C0"/>
    <w:rsid w:val="00650176"/>
    <w:rsid w:val="006635A9"/>
    <w:rsid w:val="00681C27"/>
    <w:rsid w:val="00683036"/>
    <w:rsid w:val="006932F4"/>
    <w:rsid w:val="006956B2"/>
    <w:rsid w:val="006A7EAB"/>
    <w:rsid w:val="006C456A"/>
    <w:rsid w:val="006D1700"/>
    <w:rsid w:val="006D1CE6"/>
    <w:rsid w:val="006E0E04"/>
    <w:rsid w:val="006E1C7F"/>
    <w:rsid w:val="006E316E"/>
    <w:rsid w:val="006E6F70"/>
    <w:rsid w:val="006F1385"/>
    <w:rsid w:val="00700D69"/>
    <w:rsid w:val="007018E0"/>
    <w:rsid w:val="00703497"/>
    <w:rsid w:val="00705EA6"/>
    <w:rsid w:val="00714A6E"/>
    <w:rsid w:val="00726A81"/>
    <w:rsid w:val="007322F4"/>
    <w:rsid w:val="007343A1"/>
    <w:rsid w:val="00735038"/>
    <w:rsid w:val="00740081"/>
    <w:rsid w:val="00742CEE"/>
    <w:rsid w:val="007454DA"/>
    <w:rsid w:val="007523E5"/>
    <w:rsid w:val="00760BD8"/>
    <w:rsid w:val="0076276C"/>
    <w:rsid w:val="00781704"/>
    <w:rsid w:val="00782455"/>
    <w:rsid w:val="00783D06"/>
    <w:rsid w:val="00786483"/>
    <w:rsid w:val="00787C7E"/>
    <w:rsid w:val="007928FB"/>
    <w:rsid w:val="007A1DF1"/>
    <w:rsid w:val="007C2F19"/>
    <w:rsid w:val="007D1510"/>
    <w:rsid w:val="007D3B44"/>
    <w:rsid w:val="007D78B7"/>
    <w:rsid w:val="007D7FC3"/>
    <w:rsid w:val="007E093F"/>
    <w:rsid w:val="007E37FE"/>
    <w:rsid w:val="007E3BC2"/>
    <w:rsid w:val="007E74D8"/>
    <w:rsid w:val="007F1A3F"/>
    <w:rsid w:val="007F2FA6"/>
    <w:rsid w:val="007F367D"/>
    <w:rsid w:val="008176EA"/>
    <w:rsid w:val="00821375"/>
    <w:rsid w:val="008222B4"/>
    <w:rsid w:val="0082601E"/>
    <w:rsid w:val="008261EF"/>
    <w:rsid w:val="0082672D"/>
    <w:rsid w:val="00827291"/>
    <w:rsid w:val="008349C1"/>
    <w:rsid w:val="0083587F"/>
    <w:rsid w:val="00845F82"/>
    <w:rsid w:val="0085705D"/>
    <w:rsid w:val="0085754C"/>
    <w:rsid w:val="00870BA9"/>
    <w:rsid w:val="00875DA2"/>
    <w:rsid w:val="00882174"/>
    <w:rsid w:val="008846F7"/>
    <w:rsid w:val="00886EF8"/>
    <w:rsid w:val="0089493E"/>
    <w:rsid w:val="00896C9D"/>
    <w:rsid w:val="008A0584"/>
    <w:rsid w:val="008A514B"/>
    <w:rsid w:val="008A6B97"/>
    <w:rsid w:val="008A6BC0"/>
    <w:rsid w:val="008A6FD8"/>
    <w:rsid w:val="008B0355"/>
    <w:rsid w:val="008B3FC8"/>
    <w:rsid w:val="008B6B19"/>
    <w:rsid w:val="008D1CF4"/>
    <w:rsid w:val="008D2462"/>
    <w:rsid w:val="008D3C8F"/>
    <w:rsid w:val="008E1FFD"/>
    <w:rsid w:val="008E262B"/>
    <w:rsid w:val="008E3EA2"/>
    <w:rsid w:val="008F2163"/>
    <w:rsid w:val="008F37B3"/>
    <w:rsid w:val="008F5AAD"/>
    <w:rsid w:val="00904DD0"/>
    <w:rsid w:val="00907FD7"/>
    <w:rsid w:val="0091712C"/>
    <w:rsid w:val="00922014"/>
    <w:rsid w:val="00925420"/>
    <w:rsid w:val="00931625"/>
    <w:rsid w:val="00932DD3"/>
    <w:rsid w:val="00940A81"/>
    <w:rsid w:val="00944AF2"/>
    <w:rsid w:val="00947A05"/>
    <w:rsid w:val="00953B59"/>
    <w:rsid w:val="00954B39"/>
    <w:rsid w:val="00955885"/>
    <w:rsid w:val="00956500"/>
    <w:rsid w:val="00965AA4"/>
    <w:rsid w:val="00972709"/>
    <w:rsid w:val="009841F9"/>
    <w:rsid w:val="00985F8B"/>
    <w:rsid w:val="00994F6D"/>
    <w:rsid w:val="009960B9"/>
    <w:rsid w:val="00996C85"/>
    <w:rsid w:val="009A5102"/>
    <w:rsid w:val="009B0C3F"/>
    <w:rsid w:val="009B2E76"/>
    <w:rsid w:val="009B75E3"/>
    <w:rsid w:val="009C14B8"/>
    <w:rsid w:val="009E65DF"/>
    <w:rsid w:val="009F6884"/>
    <w:rsid w:val="00A212E2"/>
    <w:rsid w:val="00A22109"/>
    <w:rsid w:val="00A25729"/>
    <w:rsid w:val="00A32E73"/>
    <w:rsid w:val="00A33BDC"/>
    <w:rsid w:val="00A35D9B"/>
    <w:rsid w:val="00A433B3"/>
    <w:rsid w:val="00A43636"/>
    <w:rsid w:val="00A4580B"/>
    <w:rsid w:val="00A565EF"/>
    <w:rsid w:val="00A7024F"/>
    <w:rsid w:val="00A833BF"/>
    <w:rsid w:val="00A83E05"/>
    <w:rsid w:val="00A84D05"/>
    <w:rsid w:val="00A856DB"/>
    <w:rsid w:val="00AB5DA2"/>
    <w:rsid w:val="00AC4011"/>
    <w:rsid w:val="00AC4314"/>
    <w:rsid w:val="00AD7D61"/>
    <w:rsid w:val="00AE13D0"/>
    <w:rsid w:val="00AE2C60"/>
    <w:rsid w:val="00AF5DC1"/>
    <w:rsid w:val="00B01EF4"/>
    <w:rsid w:val="00B1090D"/>
    <w:rsid w:val="00B121C5"/>
    <w:rsid w:val="00B1243A"/>
    <w:rsid w:val="00B129F9"/>
    <w:rsid w:val="00B25153"/>
    <w:rsid w:val="00B267CE"/>
    <w:rsid w:val="00B4585F"/>
    <w:rsid w:val="00B53D00"/>
    <w:rsid w:val="00B55F05"/>
    <w:rsid w:val="00B62641"/>
    <w:rsid w:val="00B6281F"/>
    <w:rsid w:val="00B653D6"/>
    <w:rsid w:val="00B658EF"/>
    <w:rsid w:val="00B67997"/>
    <w:rsid w:val="00B77E79"/>
    <w:rsid w:val="00B85697"/>
    <w:rsid w:val="00B91CC9"/>
    <w:rsid w:val="00B93F00"/>
    <w:rsid w:val="00BA02FD"/>
    <w:rsid w:val="00BA3916"/>
    <w:rsid w:val="00BC193F"/>
    <w:rsid w:val="00BE2E13"/>
    <w:rsid w:val="00BE6961"/>
    <w:rsid w:val="00C048F1"/>
    <w:rsid w:val="00C23E64"/>
    <w:rsid w:val="00C27EC8"/>
    <w:rsid w:val="00C34A82"/>
    <w:rsid w:val="00C644B4"/>
    <w:rsid w:val="00C70261"/>
    <w:rsid w:val="00C74009"/>
    <w:rsid w:val="00C84F0F"/>
    <w:rsid w:val="00CA1EA5"/>
    <w:rsid w:val="00CA4E0E"/>
    <w:rsid w:val="00CA73F2"/>
    <w:rsid w:val="00CB10B1"/>
    <w:rsid w:val="00CB2AC8"/>
    <w:rsid w:val="00CB546E"/>
    <w:rsid w:val="00CB6C11"/>
    <w:rsid w:val="00CD2989"/>
    <w:rsid w:val="00CF092C"/>
    <w:rsid w:val="00CF0A79"/>
    <w:rsid w:val="00CF248C"/>
    <w:rsid w:val="00D0483C"/>
    <w:rsid w:val="00D05DF6"/>
    <w:rsid w:val="00D061C2"/>
    <w:rsid w:val="00D1574E"/>
    <w:rsid w:val="00D24693"/>
    <w:rsid w:val="00D35142"/>
    <w:rsid w:val="00D45035"/>
    <w:rsid w:val="00D47BC1"/>
    <w:rsid w:val="00D5068A"/>
    <w:rsid w:val="00D56836"/>
    <w:rsid w:val="00D75ECF"/>
    <w:rsid w:val="00DA1091"/>
    <w:rsid w:val="00DA19B3"/>
    <w:rsid w:val="00DA2ABC"/>
    <w:rsid w:val="00DB2F3C"/>
    <w:rsid w:val="00DD7FD9"/>
    <w:rsid w:val="00DE7EEF"/>
    <w:rsid w:val="00DF0126"/>
    <w:rsid w:val="00E020E2"/>
    <w:rsid w:val="00E03BA0"/>
    <w:rsid w:val="00E05DE6"/>
    <w:rsid w:val="00E123C3"/>
    <w:rsid w:val="00E2140A"/>
    <w:rsid w:val="00E2536D"/>
    <w:rsid w:val="00E30216"/>
    <w:rsid w:val="00E3339F"/>
    <w:rsid w:val="00E368E2"/>
    <w:rsid w:val="00E36AE6"/>
    <w:rsid w:val="00E42546"/>
    <w:rsid w:val="00E455BF"/>
    <w:rsid w:val="00E7066A"/>
    <w:rsid w:val="00E745A9"/>
    <w:rsid w:val="00E76D0F"/>
    <w:rsid w:val="00E8269A"/>
    <w:rsid w:val="00E87B17"/>
    <w:rsid w:val="00E94B26"/>
    <w:rsid w:val="00EA130C"/>
    <w:rsid w:val="00EC3923"/>
    <w:rsid w:val="00ED22C7"/>
    <w:rsid w:val="00ED6275"/>
    <w:rsid w:val="00ED7CE8"/>
    <w:rsid w:val="00EE3644"/>
    <w:rsid w:val="00EF6BE9"/>
    <w:rsid w:val="00F0295A"/>
    <w:rsid w:val="00F03792"/>
    <w:rsid w:val="00F039B1"/>
    <w:rsid w:val="00F05C4A"/>
    <w:rsid w:val="00F0636B"/>
    <w:rsid w:val="00F126FB"/>
    <w:rsid w:val="00F13637"/>
    <w:rsid w:val="00F15347"/>
    <w:rsid w:val="00F20559"/>
    <w:rsid w:val="00F31523"/>
    <w:rsid w:val="00F341D7"/>
    <w:rsid w:val="00F37F5F"/>
    <w:rsid w:val="00F51819"/>
    <w:rsid w:val="00F54466"/>
    <w:rsid w:val="00F547A4"/>
    <w:rsid w:val="00F634F7"/>
    <w:rsid w:val="00F848F4"/>
    <w:rsid w:val="00F86AF4"/>
    <w:rsid w:val="00F900AA"/>
    <w:rsid w:val="00F90614"/>
    <w:rsid w:val="00F907D3"/>
    <w:rsid w:val="00F9614D"/>
    <w:rsid w:val="00FA3437"/>
    <w:rsid w:val="00FA5D9B"/>
    <w:rsid w:val="00FB085D"/>
    <w:rsid w:val="00FB3F20"/>
    <w:rsid w:val="00FC47FA"/>
    <w:rsid w:val="00FE246F"/>
    <w:rsid w:val="00FE6A0F"/>
    <w:rsid w:val="00FF146C"/>
    <w:rsid w:val="00FF2174"/>
    <w:rsid w:val="05E03F39"/>
    <w:rsid w:val="0669F7FE"/>
    <w:rsid w:val="085A41CB"/>
    <w:rsid w:val="0D5A65D8"/>
    <w:rsid w:val="0DE3C494"/>
    <w:rsid w:val="18062F84"/>
    <w:rsid w:val="18DBA558"/>
    <w:rsid w:val="190FC617"/>
    <w:rsid w:val="1BBC44C9"/>
    <w:rsid w:val="20EEFA86"/>
    <w:rsid w:val="30DC1C35"/>
    <w:rsid w:val="375AE1B4"/>
    <w:rsid w:val="3A87A093"/>
    <w:rsid w:val="3B5E7EC3"/>
    <w:rsid w:val="3D13807A"/>
    <w:rsid w:val="3E9CD048"/>
    <w:rsid w:val="441E2565"/>
    <w:rsid w:val="460E420A"/>
    <w:rsid w:val="48F3AD82"/>
    <w:rsid w:val="4B8F8E17"/>
    <w:rsid w:val="50FF7DA0"/>
    <w:rsid w:val="544FFA58"/>
    <w:rsid w:val="5C26E8EB"/>
    <w:rsid w:val="5FA1558D"/>
    <w:rsid w:val="626A1CE2"/>
    <w:rsid w:val="6320E122"/>
    <w:rsid w:val="63939171"/>
    <w:rsid w:val="715D9423"/>
    <w:rsid w:val="75452FD9"/>
    <w:rsid w:val="75D60169"/>
    <w:rsid w:val="76634F7D"/>
    <w:rsid w:val="78F0DCA8"/>
    <w:rsid w:val="7AA62547"/>
    <w:rsid w:val="7C3C9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955DC"/>
  <w15:chartTrackingRefBased/>
  <w15:docId w15:val="{3FC892EE-2E0C-49E2-82BB-E017CC82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F2"/>
    <w:rPr>
      <w:rFonts w:ascii="Arial" w:hAnsi="Arial"/>
      <w:sz w:val="24"/>
      <w:szCs w:val="24"/>
    </w:rPr>
  </w:style>
  <w:style w:type="paragraph" w:styleId="Heading1">
    <w:name w:val="heading 1"/>
    <w:basedOn w:val="Normal"/>
    <w:next w:val="Normal"/>
    <w:link w:val="Heading1Char"/>
    <w:qFormat/>
    <w:rsid w:val="00CA73F2"/>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qFormat/>
    <w:rsid w:val="00CA73F2"/>
    <w:pPr>
      <w:keepNext/>
      <w:keepLines/>
      <w:spacing w:before="40"/>
      <w:outlineLvl w:val="1"/>
    </w:pPr>
    <w:rPr>
      <w:rFonts w:eastAsiaTheme="majorEastAsia" w:cstheme="majorBidi"/>
      <w:b/>
      <w:szCs w:val="26"/>
    </w:rPr>
  </w:style>
  <w:style w:type="paragraph" w:styleId="Heading3">
    <w:name w:val="heading 3"/>
    <w:basedOn w:val="Normal"/>
    <w:next w:val="Normal"/>
    <w:link w:val="Heading3Char"/>
    <w:qFormat/>
    <w:rsid w:val="00CA73F2"/>
    <w:pPr>
      <w:keepNext/>
      <w:keepLines/>
      <w:spacing w:before="4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841F9"/>
    <w:pPr>
      <w:spacing w:after="120"/>
    </w:pPr>
    <w:rPr>
      <w:sz w:val="16"/>
      <w:szCs w:val="16"/>
      <w:lang w:val="x-none" w:eastAsia="x-none"/>
    </w:rPr>
  </w:style>
  <w:style w:type="character" w:customStyle="1" w:styleId="BodyText3Char">
    <w:name w:val="Body Text 3 Char"/>
    <w:link w:val="BodyText3"/>
    <w:rsid w:val="009841F9"/>
    <w:rPr>
      <w:rFonts w:ascii="Arial" w:hAnsi="Arial"/>
      <w:sz w:val="16"/>
      <w:szCs w:val="16"/>
    </w:rPr>
  </w:style>
  <w:style w:type="paragraph" w:styleId="BalloonText">
    <w:name w:val="Balloon Text"/>
    <w:basedOn w:val="Normal"/>
    <w:semiHidden/>
    <w:rsid w:val="004A0958"/>
    <w:rPr>
      <w:rFonts w:ascii="Tahoma" w:hAnsi="Tahoma" w:cs="Tahoma"/>
      <w:sz w:val="16"/>
      <w:szCs w:val="16"/>
    </w:rPr>
  </w:style>
  <w:style w:type="character" w:styleId="CommentReference">
    <w:name w:val="annotation reference"/>
    <w:rsid w:val="00F900AA"/>
    <w:rPr>
      <w:sz w:val="16"/>
      <w:szCs w:val="16"/>
    </w:rPr>
  </w:style>
  <w:style w:type="paragraph" w:styleId="CommentText">
    <w:name w:val="annotation text"/>
    <w:basedOn w:val="Normal"/>
    <w:link w:val="CommentTextChar"/>
    <w:rsid w:val="00F900AA"/>
    <w:rPr>
      <w:sz w:val="20"/>
      <w:szCs w:val="20"/>
      <w:lang w:val="x-none" w:eastAsia="x-none"/>
    </w:rPr>
  </w:style>
  <w:style w:type="character" w:customStyle="1" w:styleId="CommentTextChar">
    <w:name w:val="Comment Text Char"/>
    <w:link w:val="CommentText"/>
    <w:rsid w:val="00F900AA"/>
    <w:rPr>
      <w:rFonts w:ascii="Arial" w:hAnsi="Arial"/>
    </w:rPr>
  </w:style>
  <w:style w:type="paragraph" w:styleId="CommentSubject">
    <w:name w:val="annotation subject"/>
    <w:basedOn w:val="CommentText"/>
    <w:next w:val="CommentText"/>
    <w:link w:val="CommentSubjectChar"/>
    <w:rsid w:val="00F900AA"/>
    <w:rPr>
      <w:b/>
      <w:bCs/>
    </w:rPr>
  </w:style>
  <w:style w:type="character" w:customStyle="1" w:styleId="CommentSubjectChar">
    <w:name w:val="Comment Subject Char"/>
    <w:link w:val="CommentSubject"/>
    <w:rsid w:val="00F900AA"/>
    <w:rPr>
      <w:rFonts w:ascii="Arial" w:hAnsi="Arial"/>
      <w:b/>
      <w:bCs/>
    </w:rPr>
  </w:style>
  <w:style w:type="paragraph" w:styleId="Header">
    <w:name w:val="header"/>
    <w:basedOn w:val="Normal"/>
    <w:link w:val="HeaderChar"/>
    <w:rsid w:val="00735038"/>
    <w:pPr>
      <w:tabs>
        <w:tab w:val="center" w:pos="4680"/>
        <w:tab w:val="right" w:pos="9360"/>
      </w:tabs>
    </w:pPr>
    <w:rPr>
      <w:lang w:val="x-none" w:eastAsia="x-none"/>
    </w:rPr>
  </w:style>
  <w:style w:type="character" w:customStyle="1" w:styleId="HeaderChar">
    <w:name w:val="Header Char"/>
    <w:link w:val="Header"/>
    <w:rsid w:val="00735038"/>
    <w:rPr>
      <w:rFonts w:ascii="Arial" w:hAnsi="Arial"/>
      <w:sz w:val="24"/>
      <w:szCs w:val="24"/>
    </w:rPr>
  </w:style>
  <w:style w:type="paragraph" w:styleId="Footer">
    <w:name w:val="footer"/>
    <w:basedOn w:val="Normal"/>
    <w:link w:val="FooterChar"/>
    <w:uiPriority w:val="99"/>
    <w:rsid w:val="00735038"/>
    <w:pPr>
      <w:tabs>
        <w:tab w:val="center" w:pos="4680"/>
        <w:tab w:val="right" w:pos="9360"/>
      </w:tabs>
    </w:pPr>
    <w:rPr>
      <w:lang w:val="x-none" w:eastAsia="x-none"/>
    </w:rPr>
  </w:style>
  <w:style w:type="character" w:customStyle="1" w:styleId="FooterChar">
    <w:name w:val="Footer Char"/>
    <w:link w:val="Footer"/>
    <w:uiPriority w:val="99"/>
    <w:rsid w:val="00735038"/>
    <w:rPr>
      <w:rFonts w:ascii="Arial" w:hAnsi="Arial"/>
      <w:sz w:val="24"/>
      <w:szCs w:val="24"/>
    </w:rPr>
  </w:style>
  <w:style w:type="character" w:styleId="Hyperlink">
    <w:name w:val="Hyperlink"/>
    <w:rsid w:val="008B6B19"/>
    <w:rPr>
      <w:color w:val="0000FF"/>
      <w:u w:val="single"/>
    </w:rPr>
  </w:style>
  <w:style w:type="character" w:customStyle="1" w:styleId="Heading1Char">
    <w:name w:val="Heading 1 Char"/>
    <w:basedOn w:val="DefaultParagraphFont"/>
    <w:link w:val="Heading1"/>
    <w:rsid w:val="00CA73F2"/>
    <w:rPr>
      <w:rFonts w:ascii="Arial" w:eastAsiaTheme="majorEastAsia" w:hAnsi="Arial" w:cstheme="majorBidi"/>
      <w:b/>
      <w:sz w:val="24"/>
      <w:szCs w:val="32"/>
    </w:rPr>
  </w:style>
  <w:style w:type="character" w:customStyle="1" w:styleId="Heading2Char">
    <w:name w:val="Heading 2 Char"/>
    <w:basedOn w:val="DefaultParagraphFont"/>
    <w:link w:val="Heading2"/>
    <w:rsid w:val="00CA73F2"/>
    <w:rPr>
      <w:rFonts w:ascii="Arial" w:eastAsiaTheme="majorEastAsia" w:hAnsi="Arial" w:cstheme="majorBidi"/>
      <w:b/>
      <w:sz w:val="24"/>
      <w:szCs w:val="26"/>
    </w:rPr>
  </w:style>
  <w:style w:type="character" w:customStyle="1" w:styleId="Heading3Char">
    <w:name w:val="Heading 3 Char"/>
    <w:basedOn w:val="DefaultParagraphFont"/>
    <w:link w:val="Heading3"/>
    <w:rsid w:val="00CA73F2"/>
    <w:rPr>
      <w:rFonts w:ascii="Arial" w:eastAsiaTheme="majorEastAsia" w:hAnsi="Arial" w:cstheme="majorBidi"/>
      <w:b/>
      <w:i/>
      <w:sz w:val="24"/>
      <w:szCs w:val="24"/>
    </w:rPr>
  </w:style>
  <w:style w:type="paragraph" w:styleId="BlockText">
    <w:name w:val="Block Text"/>
    <w:basedOn w:val="Normal"/>
    <w:unhideWhenUsed/>
    <w:rsid w:val="0025212D"/>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paragraph" w:styleId="ListParagraph">
    <w:name w:val="List Paragraph"/>
    <w:basedOn w:val="Normal"/>
    <w:uiPriority w:val="34"/>
    <w:qFormat/>
    <w:rsid w:val="00F907D3"/>
    <w:pPr>
      <w:ind w:left="720"/>
      <w:contextualSpacing/>
    </w:pPr>
  </w:style>
  <w:style w:type="paragraph" w:customStyle="1" w:styleId="paragraph">
    <w:name w:val="paragraph"/>
    <w:basedOn w:val="Normal"/>
    <w:rsid w:val="008222B4"/>
    <w:pPr>
      <w:spacing w:before="100" w:beforeAutospacing="1" w:after="100" w:afterAutospacing="1"/>
    </w:pPr>
    <w:rPr>
      <w:rFonts w:ascii="Times New Roman" w:hAnsi="Times New Roman"/>
    </w:rPr>
  </w:style>
  <w:style w:type="character" w:customStyle="1" w:styleId="normaltextrun">
    <w:name w:val="normaltextrun"/>
    <w:basedOn w:val="DefaultParagraphFont"/>
    <w:rsid w:val="008222B4"/>
  </w:style>
  <w:style w:type="character" w:customStyle="1" w:styleId="eop">
    <w:name w:val="eop"/>
    <w:basedOn w:val="DefaultParagraphFont"/>
    <w:rsid w:val="008222B4"/>
  </w:style>
  <w:style w:type="paragraph" w:styleId="Revision">
    <w:name w:val="Revision"/>
    <w:hidden/>
    <w:uiPriority w:val="99"/>
    <w:semiHidden/>
    <w:rsid w:val="005B6BC7"/>
    <w:rPr>
      <w:rFonts w:ascii="Arial" w:hAnsi="Arial"/>
      <w:sz w:val="24"/>
      <w:szCs w:val="24"/>
    </w:rPr>
  </w:style>
  <w:style w:type="character" w:customStyle="1" w:styleId="cf01">
    <w:name w:val="cf01"/>
    <w:basedOn w:val="DefaultParagraphFont"/>
    <w:rsid w:val="00462F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750">
      <w:bodyDiv w:val="1"/>
      <w:marLeft w:val="0"/>
      <w:marRight w:val="0"/>
      <w:marTop w:val="0"/>
      <w:marBottom w:val="0"/>
      <w:divBdr>
        <w:top w:val="none" w:sz="0" w:space="0" w:color="auto"/>
        <w:left w:val="none" w:sz="0" w:space="0" w:color="auto"/>
        <w:bottom w:val="none" w:sz="0" w:space="0" w:color="auto"/>
        <w:right w:val="none" w:sz="0" w:space="0" w:color="auto"/>
      </w:divBdr>
    </w:div>
    <w:div w:id="18167287">
      <w:bodyDiv w:val="1"/>
      <w:marLeft w:val="0"/>
      <w:marRight w:val="0"/>
      <w:marTop w:val="0"/>
      <w:marBottom w:val="0"/>
      <w:divBdr>
        <w:top w:val="none" w:sz="0" w:space="0" w:color="auto"/>
        <w:left w:val="none" w:sz="0" w:space="0" w:color="auto"/>
        <w:bottom w:val="none" w:sz="0" w:space="0" w:color="auto"/>
        <w:right w:val="none" w:sz="0" w:space="0" w:color="auto"/>
      </w:divBdr>
    </w:div>
    <w:div w:id="56326701">
      <w:bodyDiv w:val="1"/>
      <w:marLeft w:val="0"/>
      <w:marRight w:val="0"/>
      <w:marTop w:val="0"/>
      <w:marBottom w:val="0"/>
      <w:divBdr>
        <w:top w:val="none" w:sz="0" w:space="0" w:color="auto"/>
        <w:left w:val="none" w:sz="0" w:space="0" w:color="auto"/>
        <w:bottom w:val="none" w:sz="0" w:space="0" w:color="auto"/>
        <w:right w:val="none" w:sz="0" w:space="0" w:color="auto"/>
      </w:divBdr>
    </w:div>
    <w:div w:id="133106222">
      <w:bodyDiv w:val="1"/>
      <w:marLeft w:val="0"/>
      <w:marRight w:val="0"/>
      <w:marTop w:val="0"/>
      <w:marBottom w:val="0"/>
      <w:divBdr>
        <w:top w:val="none" w:sz="0" w:space="0" w:color="auto"/>
        <w:left w:val="none" w:sz="0" w:space="0" w:color="auto"/>
        <w:bottom w:val="none" w:sz="0" w:space="0" w:color="auto"/>
        <w:right w:val="none" w:sz="0" w:space="0" w:color="auto"/>
      </w:divBdr>
    </w:div>
    <w:div w:id="165100124">
      <w:bodyDiv w:val="1"/>
      <w:marLeft w:val="0"/>
      <w:marRight w:val="0"/>
      <w:marTop w:val="0"/>
      <w:marBottom w:val="0"/>
      <w:divBdr>
        <w:top w:val="none" w:sz="0" w:space="0" w:color="auto"/>
        <w:left w:val="none" w:sz="0" w:space="0" w:color="auto"/>
        <w:bottom w:val="none" w:sz="0" w:space="0" w:color="auto"/>
        <w:right w:val="none" w:sz="0" w:space="0" w:color="auto"/>
      </w:divBdr>
    </w:div>
    <w:div w:id="215241297">
      <w:bodyDiv w:val="1"/>
      <w:marLeft w:val="0"/>
      <w:marRight w:val="0"/>
      <w:marTop w:val="0"/>
      <w:marBottom w:val="0"/>
      <w:divBdr>
        <w:top w:val="none" w:sz="0" w:space="0" w:color="auto"/>
        <w:left w:val="none" w:sz="0" w:space="0" w:color="auto"/>
        <w:bottom w:val="none" w:sz="0" w:space="0" w:color="auto"/>
        <w:right w:val="none" w:sz="0" w:space="0" w:color="auto"/>
      </w:divBdr>
      <w:divsChild>
        <w:div w:id="1699045799">
          <w:marLeft w:val="0"/>
          <w:marRight w:val="0"/>
          <w:marTop w:val="0"/>
          <w:marBottom w:val="0"/>
          <w:divBdr>
            <w:top w:val="none" w:sz="0" w:space="0" w:color="auto"/>
            <w:left w:val="none" w:sz="0" w:space="0" w:color="auto"/>
            <w:bottom w:val="none" w:sz="0" w:space="0" w:color="auto"/>
            <w:right w:val="none" w:sz="0" w:space="0" w:color="auto"/>
          </w:divBdr>
        </w:div>
        <w:div w:id="1465584968">
          <w:marLeft w:val="0"/>
          <w:marRight w:val="0"/>
          <w:marTop w:val="0"/>
          <w:marBottom w:val="0"/>
          <w:divBdr>
            <w:top w:val="none" w:sz="0" w:space="0" w:color="auto"/>
            <w:left w:val="none" w:sz="0" w:space="0" w:color="auto"/>
            <w:bottom w:val="none" w:sz="0" w:space="0" w:color="auto"/>
            <w:right w:val="none" w:sz="0" w:space="0" w:color="auto"/>
          </w:divBdr>
        </w:div>
        <w:div w:id="356732892">
          <w:marLeft w:val="0"/>
          <w:marRight w:val="0"/>
          <w:marTop w:val="0"/>
          <w:marBottom w:val="0"/>
          <w:divBdr>
            <w:top w:val="none" w:sz="0" w:space="0" w:color="auto"/>
            <w:left w:val="none" w:sz="0" w:space="0" w:color="auto"/>
            <w:bottom w:val="none" w:sz="0" w:space="0" w:color="auto"/>
            <w:right w:val="none" w:sz="0" w:space="0" w:color="auto"/>
          </w:divBdr>
        </w:div>
        <w:div w:id="1473867640">
          <w:marLeft w:val="0"/>
          <w:marRight w:val="0"/>
          <w:marTop w:val="0"/>
          <w:marBottom w:val="0"/>
          <w:divBdr>
            <w:top w:val="none" w:sz="0" w:space="0" w:color="auto"/>
            <w:left w:val="none" w:sz="0" w:space="0" w:color="auto"/>
            <w:bottom w:val="none" w:sz="0" w:space="0" w:color="auto"/>
            <w:right w:val="none" w:sz="0" w:space="0" w:color="auto"/>
          </w:divBdr>
        </w:div>
        <w:div w:id="6176579">
          <w:marLeft w:val="0"/>
          <w:marRight w:val="0"/>
          <w:marTop w:val="0"/>
          <w:marBottom w:val="0"/>
          <w:divBdr>
            <w:top w:val="none" w:sz="0" w:space="0" w:color="auto"/>
            <w:left w:val="none" w:sz="0" w:space="0" w:color="auto"/>
            <w:bottom w:val="none" w:sz="0" w:space="0" w:color="auto"/>
            <w:right w:val="none" w:sz="0" w:space="0" w:color="auto"/>
          </w:divBdr>
        </w:div>
      </w:divsChild>
    </w:div>
    <w:div w:id="245191188">
      <w:bodyDiv w:val="1"/>
      <w:marLeft w:val="0"/>
      <w:marRight w:val="0"/>
      <w:marTop w:val="0"/>
      <w:marBottom w:val="0"/>
      <w:divBdr>
        <w:top w:val="none" w:sz="0" w:space="0" w:color="auto"/>
        <w:left w:val="none" w:sz="0" w:space="0" w:color="auto"/>
        <w:bottom w:val="none" w:sz="0" w:space="0" w:color="auto"/>
        <w:right w:val="none" w:sz="0" w:space="0" w:color="auto"/>
      </w:divBdr>
    </w:div>
    <w:div w:id="285553342">
      <w:bodyDiv w:val="1"/>
      <w:marLeft w:val="0"/>
      <w:marRight w:val="0"/>
      <w:marTop w:val="0"/>
      <w:marBottom w:val="0"/>
      <w:divBdr>
        <w:top w:val="none" w:sz="0" w:space="0" w:color="auto"/>
        <w:left w:val="none" w:sz="0" w:space="0" w:color="auto"/>
        <w:bottom w:val="none" w:sz="0" w:space="0" w:color="auto"/>
        <w:right w:val="none" w:sz="0" w:space="0" w:color="auto"/>
      </w:divBdr>
    </w:div>
    <w:div w:id="537427101">
      <w:bodyDiv w:val="1"/>
      <w:marLeft w:val="0"/>
      <w:marRight w:val="0"/>
      <w:marTop w:val="0"/>
      <w:marBottom w:val="0"/>
      <w:divBdr>
        <w:top w:val="none" w:sz="0" w:space="0" w:color="auto"/>
        <w:left w:val="none" w:sz="0" w:space="0" w:color="auto"/>
        <w:bottom w:val="none" w:sz="0" w:space="0" w:color="auto"/>
        <w:right w:val="none" w:sz="0" w:space="0" w:color="auto"/>
      </w:divBdr>
    </w:div>
    <w:div w:id="568074817">
      <w:bodyDiv w:val="1"/>
      <w:marLeft w:val="0"/>
      <w:marRight w:val="0"/>
      <w:marTop w:val="0"/>
      <w:marBottom w:val="0"/>
      <w:divBdr>
        <w:top w:val="none" w:sz="0" w:space="0" w:color="auto"/>
        <w:left w:val="none" w:sz="0" w:space="0" w:color="auto"/>
        <w:bottom w:val="none" w:sz="0" w:space="0" w:color="auto"/>
        <w:right w:val="none" w:sz="0" w:space="0" w:color="auto"/>
      </w:divBdr>
    </w:div>
    <w:div w:id="584605810">
      <w:bodyDiv w:val="1"/>
      <w:marLeft w:val="0"/>
      <w:marRight w:val="0"/>
      <w:marTop w:val="0"/>
      <w:marBottom w:val="0"/>
      <w:divBdr>
        <w:top w:val="none" w:sz="0" w:space="0" w:color="auto"/>
        <w:left w:val="none" w:sz="0" w:space="0" w:color="auto"/>
        <w:bottom w:val="none" w:sz="0" w:space="0" w:color="auto"/>
        <w:right w:val="none" w:sz="0" w:space="0" w:color="auto"/>
      </w:divBdr>
    </w:div>
    <w:div w:id="719088697">
      <w:bodyDiv w:val="1"/>
      <w:marLeft w:val="0"/>
      <w:marRight w:val="0"/>
      <w:marTop w:val="0"/>
      <w:marBottom w:val="0"/>
      <w:divBdr>
        <w:top w:val="none" w:sz="0" w:space="0" w:color="auto"/>
        <w:left w:val="none" w:sz="0" w:space="0" w:color="auto"/>
        <w:bottom w:val="none" w:sz="0" w:space="0" w:color="auto"/>
        <w:right w:val="none" w:sz="0" w:space="0" w:color="auto"/>
      </w:divBdr>
    </w:div>
    <w:div w:id="778454170">
      <w:bodyDiv w:val="1"/>
      <w:marLeft w:val="0"/>
      <w:marRight w:val="0"/>
      <w:marTop w:val="0"/>
      <w:marBottom w:val="0"/>
      <w:divBdr>
        <w:top w:val="none" w:sz="0" w:space="0" w:color="auto"/>
        <w:left w:val="none" w:sz="0" w:space="0" w:color="auto"/>
        <w:bottom w:val="none" w:sz="0" w:space="0" w:color="auto"/>
        <w:right w:val="none" w:sz="0" w:space="0" w:color="auto"/>
      </w:divBdr>
    </w:div>
    <w:div w:id="808399505">
      <w:bodyDiv w:val="1"/>
      <w:marLeft w:val="0"/>
      <w:marRight w:val="0"/>
      <w:marTop w:val="0"/>
      <w:marBottom w:val="0"/>
      <w:divBdr>
        <w:top w:val="none" w:sz="0" w:space="0" w:color="auto"/>
        <w:left w:val="none" w:sz="0" w:space="0" w:color="auto"/>
        <w:bottom w:val="none" w:sz="0" w:space="0" w:color="auto"/>
        <w:right w:val="none" w:sz="0" w:space="0" w:color="auto"/>
      </w:divBdr>
    </w:div>
    <w:div w:id="811403615">
      <w:bodyDiv w:val="1"/>
      <w:marLeft w:val="0"/>
      <w:marRight w:val="0"/>
      <w:marTop w:val="0"/>
      <w:marBottom w:val="0"/>
      <w:divBdr>
        <w:top w:val="none" w:sz="0" w:space="0" w:color="auto"/>
        <w:left w:val="none" w:sz="0" w:space="0" w:color="auto"/>
        <w:bottom w:val="none" w:sz="0" w:space="0" w:color="auto"/>
        <w:right w:val="none" w:sz="0" w:space="0" w:color="auto"/>
      </w:divBdr>
    </w:div>
    <w:div w:id="1106391805">
      <w:bodyDiv w:val="1"/>
      <w:marLeft w:val="0"/>
      <w:marRight w:val="0"/>
      <w:marTop w:val="0"/>
      <w:marBottom w:val="0"/>
      <w:divBdr>
        <w:top w:val="none" w:sz="0" w:space="0" w:color="auto"/>
        <w:left w:val="none" w:sz="0" w:space="0" w:color="auto"/>
        <w:bottom w:val="none" w:sz="0" w:space="0" w:color="auto"/>
        <w:right w:val="none" w:sz="0" w:space="0" w:color="auto"/>
      </w:divBdr>
    </w:div>
    <w:div w:id="1147936954">
      <w:bodyDiv w:val="1"/>
      <w:marLeft w:val="0"/>
      <w:marRight w:val="0"/>
      <w:marTop w:val="0"/>
      <w:marBottom w:val="0"/>
      <w:divBdr>
        <w:top w:val="none" w:sz="0" w:space="0" w:color="auto"/>
        <w:left w:val="none" w:sz="0" w:space="0" w:color="auto"/>
        <w:bottom w:val="none" w:sz="0" w:space="0" w:color="auto"/>
        <w:right w:val="none" w:sz="0" w:space="0" w:color="auto"/>
      </w:divBdr>
    </w:div>
    <w:div w:id="1448813313">
      <w:bodyDiv w:val="1"/>
      <w:marLeft w:val="0"/>
      <w:marRight w:val="0"/>
      <w:marTop w:val="0"/>
      <w:marBottom w:val="0"/>
      <w:divBdr>
        <w:top w:val="none" w:sz="0" w:space="0" w:color="auto"/>
        <w:left w:val="none" w:sz="0" w:space="0" w:color="auto"/>
        <w:bottom w:val="none" w:sz="0" w:space="0" w:color="auto"/>
        <w:right w:val="none" w:sz="0" w:space="0" w:color="auto"/>
      </w:divBdr>
    </w:div>
    <w:div w:id="1866669435">
      <w:bodyDiv w:val="1"/>
      <w:marLeft w:val="0"/>
      <w:marRight w:val="0"/>
      <w:marTop w:val="0"/>
      <w:marBottom w:val="0"/>
      <w:divBdr>
        <w:top w:val="none" w:sz="0" w:space="0" w:color="auto"/>
        <w:left w:val="none" w:sz="0" w:space="0" w:color="auto"/>
        <w:bottom w:val="none" w:sz="0" w:space="0" w:color="auto"/>
        <w:right w:val="none" w:sz="0" w:space="0" w:color="auto"/>
      </w:divBdr>
    </w:div>
    <w:div w:id="1947610890">
      <w:bodyDiv w:val="1"/>
      <w:marLeft w:val="0"/>
      <w:marRight w:val="0"/>
      <w:marTop w:val="0"/>
      <w:marBottom w:val="0"/>
      <w:divBdr>
        <w:top w:val="none" w:sz="0" w:space="0" w:color="auto"/>
        <w:left w:val="none" w:sz="0" w:space="0" w:color="auto"/>
        <w:bottom w:val="none" w:sz="0" w:space="0" w:color="auto"/>
        <w:right w:val="none" w:sz="0" w:space="0" w:color="auto"/>
      </w:divBdr>
      <w:divsChild>
        <w:div w:id="1796679523">
          <w:marLeft w:val="0"/>
          <w:marRight w:val="0"/>
          <w:marTop w:val="0"/>
          <w:marBottom w:val="0"/>
          <w:divBdr>
            <w:top w:val="none" w:sz="0" w:space="0" w:color="auto"/>
            <w:left w:val="none" w:sz="0" w:space="0" w:color="auto"/>
            <w:bottom w:val="none" w:sz="0" w:space="0" w:color="auto"/>
            <w:right w:val="none" w:sz="0" w:space="0" w:color="auto"/>
          </w:divBdr>
        </w:div>
        <w:div w:id="491870901">
          <w:marLeft w:val="0"/>
          <w:marRight w:val="0"/>
          <w:marTop w:val="0"/>
          <w:marBottom w:val="0"/>
          <w:divBdr>
            <w:top w:val="none" w:sz="0" w:space="0" w:color="auto"/>
            <w:left w:val="none" w:sz="0" w:space="0" w:color="auto"/>
            <w:bottom w:val="none" w:sz="0" w:space="0" w:color="auto"/>
            <w:right w:val="none" w:sz="0" w:space="0" w:color="auto"/>
          </w:divBdr>
        </w:div>
        <w:div w:id="1980643423">
          <w:marLeft w:val="0"/>
          <w:marRight w:val="0"/>
          <w:marTop w:val="0"/>
          <w:marBottom w:val="0"/>
          <w:divBdr>
            <w:top w:val="none" w:sz="0" w:space="0" w:color="auto"/>
            <w:left w:val="none" w:sz="0" w:space="0" w:color="auto"/>
            <w:bottom w:val="none" w:sz="0" w:space="0" w:color="auto"/>
            <w:right w:val="none" w:sz="0" w:space="0" w:color="auto"/>
          </w:divBdr>
        </w:div>
        <w:div w:id="627931819">
          <w:marLeft w:val="0"/>
          <w:marRight w:val="0"/>
          <w:marTop w:val="0"/>
          <w:marBottom w:val="0"/>
          <w:divBdr>
            <w:top w:val="none" w:sz="0" w:space="0" w:color="auto"/>
            <w:left w:val="none" w:sz="0" w:space="0" w:color="auto"/>
            <w:bottom w:val="none" w:sz="0" w:space="0" w:color="auto"/>
            <w:right w:val="none" w:sz="0" w:space="0" w:color="auto"/>
          </w:divBdr>
        </w:div>
        <w:div w:id="829102948">
          <w:marLeft w:val="0"/>
          <w:marRight w:val="0"/>
          <w:marTop w:val="0"/>
          <w:marBottom w:val="0"/>
          <w:divBdr>
            <w:top w:val="none" w:sz="0" w:space="0" w:color="auto"/>
            <w:left w:val="none" w:sz="0" w:space="0" w:color="auto"/>
            <w:bottom w:val="none" w:sz="0" w:space="0" w:color="auto"/>
            <w:right w:val="none" w:sz="0" w:space="0" w:color="auto"/>
          </w:divBdr>
        </w:div>
        <w:div w:id="1358432052">
          <w:marLeft w:val="0"/>
          <w:marRight w:val="0"/>
          <w:marTop w:val="0"/>
          <w:marBottom w:val="0"/>
          <w:divBdr>
            <w:top w:val="none" w:sz="0" w:space="0" w:color="auto"/>
            <w:left w:val="none" w:sz="0" w:space="0" w:color="auto"/>
            <w:bottom w:val="none" w:sz="0" w:space="0" w:color="auto"/>
            <w:right w:val="none" w:sz="0" w:space="0" w:color="auto"/>
          </w:divBdr>
        </w:div>
        <w:div w:id="1840733946">
          <w:marLeft w:val="0"/>
          <w:marRight w:val="0"/>
          <w:marTop w:val="0"/>
          <w:marBottom w:val="0"/>
          <w:divBdr>
            <w:top w:val="none" w:sz="0" w:space="0" w:color="auto"/>
            <w:left w:val="none" w:sz="0" w:space="0" w:color="auto"/>
            <w:bottom w:val="none" w:sz="0" w:space="0" w:color="auto"/>
            <w:right w:val="none" w:sz="0" w:space="0" w:color="auto"/>
          </w:divBdr>
        </w:div>
        <w:div w:id="1323775962">
          <w:marLeft w:val="0"/>
          <w:marRight w:val="0"/>
          <w:marTop w:val="0"/>
          <w:marBottom w:val="0"/>
          <w:divBdr>
            <w:top w:val="none" w:sz="0" w:space="0" w:color="auto"/>
            <w:left w:val="none" w:sz="0" w:space="0" w:color="auto"/>
            <w:bottom w:val="none" w:sz="0" w:space="0" w:color="auto"/>
            <w:right w:val="none" w:sz="0" w:space="0" w:color="auto"/>
          </w:divBdr>
        </w:div>
        <w:div w:id="1130124154">
          <w:marLeft w:val="0"/>
          <w:marRight w:val="0"/>
          <w:marTop w:val="0"/>
          <w:marBottom w:val="0"/>
          <w:divBdr>
            <w:top w:val="none" w:sz="0" w:space="0" w:color="auto"/>
            <w:left w:val="none" w:sz="0" w:space="0" w:color="auto"/>
            <w:bottom w:val="none" w:sz="0" w:space="0" w:color="auto"/>
            <w:right w:val="none" w:sz="0" w:space="0" w:color="auto"/>
          </w:divBdr>
        </w:div>
        <w:div w:id="347340805">
          <w:marLeft w:val="0"/>
          <w:marRight w:val="0"/>
          <w:marTop w:val="0"/>
          <w:marBottom w:val="0"/>
          <w:divBdr>
            <w:top w:val="none" w:sz="0" w:space="0" w:color="auto"/>
            <w:left w:val="none" w:sz="0" w:space="0" w:color="auto"/>
            <w:bottom w:val="none" w:sz="0" w:space="0" w:color="auto"/>
            <w:right w:val="none" w:sz="0" w:space="0" w:color="auto"/>
          </w:divBdr>
        </w:div>
        <w:div w:id="1411581020">
          <w:marLeft w:val="0"/>
          <w:marRight w:val="0"/>
          <w:marTop w:val="0"/>
          <w:marBottom w:val="0"/>
          <w:divBdr>
            <w:top w:val="none" w:sz="0" w:space="0" w:color="auto"/>
            <w:left w:val="none" w:sz="0" w:space="0" w:color="auto"/>
            <w:bottom w:val="none" w:sz="0" w:space="0" w:color="auto"/>
            <w:right w:val="none" w:sz="0" w:space="0" w:color="auto"/>
          </w:divBdr>
        </w:div>
        <w:div w:id="1333989552">
          <w:marLeft w:val="0"/>
          <w:marRight w:val="0"/>
          <w:marTop w:val="0"/>
          <w:marBottom w:val="0"/>
          <w:divBdr>
            <w:top w:val="none" w:sz="0" w:space="0" w:color="auto"/>
            <w:left w:val="none" w:sz="0" w:space="0" w:color="auto"/>
            <w:bottom w:val="none" w:sz="0" w:space="0" w:color="auto"/>
            <w:right w:val="none" w:sz="0" w:space="0" w:color="auto"/>
          </w:divBdr>
        </w:div>
        <w:div w:id="733162929">
          <w:marLeft w:val="0"/>
          <w:marRight w:val="0"/>
          <w:marTop w:val="0"/>
          <w:marBottom w:val="0"/>
          <w:divBdr>
            <w:top w:val="none" w:sz="0" w:space="0" w:color="auto"/>
            <w:left w:val="none" w:sz="0" w:space="0" w:color="auto"/>
            <w:bottom w:val="none" w:sz="0" w:space="0" w:color="auto"/>
            <w:right w:val="none" w:sz="0" w:space="0" w:color="auto"/>
          </w:divBdr>
        </w:div>
        <w:div w:id="1887329198">
          <w:marLeft w:val="0"/>
          <w:marRight w:val="0"/>
          <w:marTop w:val="0"/>
          <w:marBottom w:val="0"/>
          <w:divBdr>
            <w:top w:val="none" w:sz="0" w:space="0" w:color="auto"/>
            <w:left w:val="none" w:sz="0" w:space="0" w:color="auto"/>
            <w:bottom w:val="none" w:sz="0" w:space="0" w:color="auto"/>
            <w:right w:val="none" w:sz="0" w:space="0" w:color="auto"/>
          </w:divBdr>
        </w:div>
        <w:div w:id="1054744156">
          <w:marLeft w:val="0"/>
          <w:marRight w:val="0"/>
          <w:marTop w:val="0"/>
          <w:marBottom w:val="0"/>
          <w:divBdr>
            <w:top w:val="none" w:sz="0" w:space="0" w:color="auto"/>
            <w:left w:val="none" w:sz="0" w:space="0" w:color="auto"/>
            <w:bottom w:val="none" w:sz="0" w:space="0" w:color="auto"/>
            <w:right w:val="none" w:sz="0" w:space="0" w:color="auto"/>
          </w:divBdr>
        </w:div>
        <w:div w:id="882333185">
          <w:marLeft w:val="0"/>
          <w:marRight w:val="0"/>
          <w:marTop w:val="0"/>
          <w:marBottom w:val="0"/>
          <w:divBdr>
            <w:top w:val="none" w:sz="0" w:space="0" w:color="auto"/>
            <w:left w:val="none" w:sz="0" w:space="0" w:color="auto"/>
            <w:bottom w:val="none" w:sz="0" w:space="0" w:color="auto"/>
            <w:right w:val="none" w:sz="0" w:space="0" w:color="auto"/>
          </w:divBdr>
        </w:div>
      </w:divsChild>
    </w:div>
    <w:div w:id="1955478238">
      <w:bodyDiv w:val="1"/>
      <w:marLeft w:val="0"/>
      <w:marRight w:val="0"/>
      <w:marTop w:val="0"/>
      <w:marBottom w:val="0"/>
      <w:divBdr>
        <w:top w:val="none" w:sz="0" w:space="0" w:color="auto"/>
        <w:left w:val="none" w:sz="0" w:space="0" w:color="auto"/>
        <w:bottom w:val="none" w:sz="0" w:space="0" w:color="auto"/>
        <w:right w:val="none" w:sz="0" w:space="0" w:color="auto"/>
      </w:divBdr>
    </w:div>
    <w:div w:id="1993174159">
      <w:bodyDiv w:val="1"/>
      <w:marLeft w:val="0"/>
      <w:marRight w:val="0"/>
      <w:marTop w:val="0"/>
      <w:marBottom w:val="0"/>
      <w:divBdr>
        <w:top w:val="none" w:sz="0" w:space="0" w:color="auto"/>
        <w:left w:val="none" w:sz="0" w:space="0" w:color="auto"/>
        <w:bottom w:val="none" w:sz="0" w:space="0" w:color="auto"/>
        <w:right w:val="none" w:sz="0" w:space="0" w:color="auto"/>
      </w:divBdr>
    </w:div>
    <w:div w:id="2102217193">
      <w:bodyDiv w:val="1"/>
      <w:marLeft w:val="0"/>
      <w:marRight w:val="0"/>
      <w:marTop w:val="0"/>
      <w:marBottom w:val="0"/>
      <w:divBdr>
        <w:top w:val="none" w:sz="0" w:space="0" w:color="auto"/>
        <w:left w:val="none" w:sz="0" w:space="0" w:color="auto"/>
        <w:bottom w:val="none" w:sz="0" w:space="0" w:color="auto"/>
        <w:right w:val="none" w:sz="0" w:space="0" w:color="auto"/>
      </w:divBdr>
    </w:div>
    <w:div w:id="21065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fa343b666238b0856af313b226b43208">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9a58c1f7c58f005b60310e52beb88771"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3DA33-C571-4078-A4AB-4FE5DF1E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152C0-CE6E-4473-BB1A-985447ACD9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40D89D-E4D7-4455-B1A3-ECE11955A58E}">
  <ds:schemaRefs>
    <ds:schemaRef ds:uri="http://schemas.openxmlformats.org/officeDocument/2006/bibliography"/>
  </ds:schemaRefs>
</ds:datastoreItem>
</file>

<file path=customXml/itemProps4.xml><?xml version="1.0" encoding="utf-8"?>
<ds:datastoreItem xmlns:ds="http://schemas.openxmlformats.org/officeDocument/2006/customXml" ds:itemID="{0F967F6A-9A02-48AA-ABA4-421BA15A5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High School Equivalency Program Initial Statement of Reasons - Proposed Rulemaking and Regulations (CA Dept of Education)</vt:lpstr>
    </vt:vector>
  </TitlesOfParts>
  <Company>Calif. Dept. of Education</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Equivalency Program ISOR - Proposed Rulemaking and Regulations (CA Dept of Education)</dc:title>
  <dc:subject>Initial Statement of Reasons regarding amendments to the High School Equivalency Program regulations.</dc:subject>
  <dc:creator/>
  <cp:keywords/>
  <dc:description/>
  <cp:lastModifiedBy>Shannon Reel</cp:lastModifiedBy>
  <cp:revision>5</cp:revision>
  <cp:lastPrinted>2018-08-16T20:07:00Z</cp:lastPrinted>
  <dcterms:created xsi:type="dcterms:W3CDTF">2023-04-27T20:04:00Z</dcterms:created>
  <dcterms:modified xsi:type="dcterms:W3CDTF">2023-08-10T21:49:00Z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1a78907b5b0f29383cbc568609820b304ee47c591746a3d1587ede4109a4248e</vt:lpwstr>
  </property>
</Properties>
</file>