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6232" w14:textId="77777777" w:rsidR="00843E1F" w:rsidRDefault="00F31A2C" w:rsidP="00292DF9">
      <w:pPr>
        <w:pStyle w:val="Heading2"/>
        <w:spacing w:after="360"/>
      </w:pPr>
      <w:r w:rsidRPr="00F31A2C">
        <w:t xml:space="preserve">CSMT </w:t>
      </w:r>
      <w:r>
        <w:t>Staff and Support</w:t>
      </w:r>
    </w:p>
    <w:p w14:paraId="54B5DFE7" w14:textId="15819710" w:rsidR="00C62A6D" w:rsidRDefault="00C62A6D" w:rsidP="00D9002B">
      <w:pPr>
        <w:spacing w:after="240"/>
      </w:pPr>
      <w:r>
        <w:rPr>
          <w:b/>
        </w:rPr>
        <w:t>Johanna Harder</w:t>
      </w:r>
      <w:r w:rsidR="0017193D">
        <w:br/>
      </w:r>
      <w:r>
        <w:t xml:space="preserve">Education Administrator </w:t>
      </w:r>
      <w:r w:rsidR="0017193D">
        <w:br/>
        <w:t>916-</w:t>
      </w:r>
      <w:r w:rsidR="00FB765B">
        <w:t>3</w:t>
      </w:r>
      <w:r w:rsidR="00B42AF5">
        <w:t>19-0</w:t>
      </w:r>
      <w:r>
        <w:t>249</w:t>
      </w:r>
      <w:r w:rsidR="0017193D">
        <w:br/>
      </w:r>
      <w:hyperlink r:id="rId8" w:history="1">
        <w:r w:rsidRPr="008A2405">
          <w:rPr>
            <w:rStyle w:val="Hyperlink"/>
          </w:rPr>
          <w:t>jharder@cde.ca</w:t>
        </w:r>
        <w:r w:rsidRPr="008A2405">
          <w:rPr>
            <w:rStyle w:val="Hyperlink"/>
          </w:rPr>
          <w:t>.</w:t>
        </w:r>
        <w:r w:rsidRPr="008A2405">
          <w:rPr>
            <w:rStyle w:val="Hyperlink"/>
          </w:rPr>
          <w:t>g</w:t>
        </w:r>
        <w:r w:rsidRPr="008A2405">
          <w:rPr>
            <w:rStyle w:val="Hyperlink"/>
          </w:rPr>
          <w:t>ov</w:t>
        </w:r>
      </w:hyperlink>
    </w:p>
    <w:p w14:paraId="625CAC2D" w14:textId="0979CAAA" w:rsidR="00D9002B" w:rsidRDefault="000D62C1" w:rsidP="00117D45">
      <w:pPr>
        <w:spacing w:after="240"/>
        <w:rPr>
          <w:rStyle w:val="Hyperlink"/>
        </w:rPr>
      </w:pPr>
      <w:r>
        <w:rPr>
          <w:b/>
        </w:rPr>
        <w:t>Grant Leung</w:t>
      </w:r>
      <w:r w:rsidR="00A97AA8">
        <w:br/>
      </w:r>
      <w:r w:rsidR="00292DF9">
        <w:t>Technical Support</w:t>
      </w:r>
      <w:r w:rsidR="00117D45">
        <w:br/>
      </w:r>
      <w:r w:rsidR="0017193D">
        <w:t>IMODS</w:t>
      </w:r>
      <w:r w:rsidR="00B42AF5">
        <w:t xml:space="preserve">, </w:t>
      </w:r>
      <w:r w:rsidR="00F31A2C">
        <w:t>Braille-n-Teach</w:t>
      </w:r>
      <w:r w:rsidR="00B42AF5">
        <w:t xml:space="preserve">, </w:t>
      </w:r>
      <w:r w:rsidR="00B42AF5">
        <w:br/>
        <w:t>and NIMAC</w:t>
      </w:r>
      <w:r w:rsidR="00117D45">
        <w:br/>
      </w:r>
      <w:r w:rsidR="00C92FF1">
        <w:t>916-323-4735</w:t>
      </w:r>
      <w:r w:rsidR="00117D45">
        <w:br/>
      </w:r>
      <w:hyperlink r:id="rId9" w:history="1">
        <w:r w:rsidRPr="00221ADB">
          <w:rPr>
            <w:rStyle w:val="Hyperlink"/>
          </w:rPr>
          <w:t>gleung@cde.ca.gov</w:t>
        </w:r>
      </w:hyperlink>
    </w:p>
    <w:p w14:paraId="1846342F" w14:textId="7365BCC0" w:rsidR="00AD72FA" w:rsidRDefault="00AD72FA" w:rsidP="00117D45">
      <w:pPr>
        <w:spacing w:after="240"/>
        <w:ind w:right="-86"/>
      </w:pPr>
      <w:r w:rsidRPr="00E8480F">
        <w:rPr>
          <w:b/>
        </w:rPr>
        <w:t>James Morrison</w:t>
      </w:r>
      <w:r w:rsidR="00117D45">
        <w:br/>
        <w:t xml:space="preserve">APH </w:t>
      </w:r>
      <w:r w:rsidR="005643E4">
        <w:t>and</w:t>
      </w:r>
      <w:r w:rsidR="00117D45">
        <w:t xml:space="preserve"> Assistive Technology</w:t>
      </w:r>
      <w:r w:rsidR="00117D45">
        <w:br/>
      </w:r>
      <w:r>
        <w:t>916-323-1329</w:t>
      </w:r>
      <w:r w:rsidR="00117D45">
        <w:br/>
      </w:r>
      <w:hyperlink r:id="rId10" w:history="1">
        <w:r w:rsidRPr="002A1C8B">
          <w:rPr>
            <w:rStyle w:val="Hyperlink"/>
          </w:rPr>
          <w:t>jmorrison@cde.ca.gov</w:t>
        </w:r>
      </w:hyperlink>
    </w:p>
    <w:p w14:paraId="584CAFE3" w14:textId="77777777" w:rsidR="00F31A2C" w:rsidRDefault="00F31A2C" w:rsidP="00117D45">
      <w:pPr>
        <w:spacing w:after="240"/>
      </w:pPr>
      <w:r>
        <w:rPr>
          <w:b/>
        </w:rPr>
        <w:t>Mike Morse</w:t>
      </w:r>
      <w:r w:rsidR="00117D45">
        <w:br/>
      </w:r>
      <w:r>
        <w:t>Warehouse Manager</w:t>
      </w:r>
      <w:r w:rsidR="00117D45">
        <w:br/>
      </w:r>
      <w:r w:rsidR="00C92FF1">
        <w:t>916-373-3191</w:t>
      </w:r>
      <w:r w:rsidR="00117D45">
        <w:br/>
      </w:r>
      <w:hyperlink r:id="rId11" w:history="1">
        <w:r w:rsidRPr="002A1C8B">
          <w:rPr>
            <w:rStyle w:val="Hyperlink"/>
          </w:rPr>
          <w:t>mmorse@cde.ca.gov</w:t>
        </w:r>
      </w:hyperlink>
    </w:p>
    <w:p w14:paraId="110475E1" w14:textId="4C6CD4ED" w:rsidR="006A51E7" w:rsidRDefault="00B42AF5" w:rsidP="00117D45">
      <w:pPr>
        <w:spacing w:after="240"/>
        <w:rPr>
          <w:rStyle w:val="Hyperlink"/>
        </w:rPr>
      </w:pPr>
      <w:r>
        <w:rPr>
          <w:b/>
        </w:rPr>
        <w:t>Jackelyn Waight</w:t>
      </w:r>
      <w:r w:rsidR="00117D45">
        <w:br/>
      </w:r>
      <w:r w:rsidR="00F31A2C">
        <w:t>Large Print Production</w:t>
      </w:r>
      <w:r w:rsidR="00117D45">
        <w:br/>
      </w:r>
      <w:r w:rsidR="00F31A2C">
        <w:t>916-327-0224</w:t>
      </w:r>
      <w:r w:rsidR="00117D45">
        <w:br/>
      </w:r>
      <w:r w:rsidR="005643E4" w:rsidRPr="005643E4">
        <w:rPr>
          <w:rStyle w:val="Hyperlink"/>
        </w:rPr>
        <w:t>jwaight@cde.ca.gov</w:t>
      </w:r>
    </w:p>
    <w:p w14:paraId="732AE71E" w14:textId="77777777" w:rsidR="00D9002B" w:rsidRDefault="00D9002B" w:rsidP="00D9002B">
      <w:r>
        <w:rPr>
          <w:b/>
        </w:rPr>
        <w:t>Erin Coppedge</w:t>
      </w:r>
      <w:r>
        <w:br/>
        <w:t>Braille Production</w:t>
      </w:r>
      <w:r w:rsidR="004B479D">
        <w:br/>
        <w:t>916-445-1887</w:t>
      </w:r>
      <w:r>
        <w:br/>
      </w:r>
      <w:hyperlink r:id="rId12" w:history="1">
        <w:r w:rsidRPr="006E05E0">
          <w:rPr>
            <w:rStyle w:val="Hyperlink"/>
          </w:rPr>
          <w:t>ecoppedge@cde.ca.gov</w:t>
        </w:r>
      </w:hyperlink>
    </w:p>
    <w:p w14:paraId="4FF15472" w14:textId="77777777" w:rsidR="006A51E7" w:rsidRDefault="006A51E7" w:rsidP="00B75B16">
      <w:pPr>
        <w:spacing w:before="3000" w:after="720"/>
        <w:rPr>
          <w:b/>
        </w:rPr>
      </w:pPr>
    </w:p>
    <w:p w14:paraId="78417EA4" w14:textId="24863B90" w:rsidR="006A51E7" w:rsidRPr="006A51E7" w:rsidRDefault="006A51E7" w:rsidP="00D9002B">
      <w:pPr>
        <w:spacing w:after="240"/>
        <w:rPr>
          <w:rStyle w:val="Hyperlink"/>
          <w:color w:val="auto"/>
          <w:u w:val="none"/>
        </w:rPr>
      </w:pPr>
      <w:r>
        <w:rPr>
          <w:b/>
        </w:rPr>
        <w:t>Susan Hardesty</w:t>
      </w:r>
      <w:r>
        <w:br/>
        <w:t>Production Services Manager</w:t>
      </w:r>
      <w:r>
        <w:br/>
        <w:t>Braille</w:t>
      </w:r>
      <w:r w:rsidR="00255907">
        <w:t xml:space="preserve"> </w:t>
      </w:r>
      <w:r>
        <w:t>and Large Print</w:t>
      </w:r>
      <w:r>
        <w:br/>
        <w:t>916-323-4737</w:t>
      </w:r>
      <w:r>
        <w:br/>
      </w:r>
      <w:hyperlink r:id="rId13" w:history="1">
        <w:r w:rsidRPr="00401DAF">
          <w:rPr>
            <w:rStyle w:val="Hyperlink"/>
          </w:rPr>
          <w:t>shardesty@cde.ca.gov</w:t>
        </w:r>
      </w:hyperlink>
    </w:p>
    <w:p w14:paraId="5167A26E" w14:textId="77777777" w:rsidR="00AD72FA" w:rsidRPr="00550993" w:rsidRDefault="00AD72FA" w:rsidP="00B75B16">
      <w:pPr>
        <w:spacing w:after="280"/>
        <w:rPr>
          <w:lang w:val="es-ES"/>
        </w:rPr>
      </w:pPr>
      <w:r w:rsidRPr="00550993">
        <w:rPr>
          <w:b/>
          <w:lang w:val="es-ES"/>
        </w:rPr>
        <w:t xml:space="preserve">General </w:t>
      </w:r>
      <w:r w:rsidRPr="00BE26B7">
        <w:rPr>
          <w:b/>
        </w:rPr>
        <w:t>Assistance</w:t>
      </w:r>
      <w:r w:rsidRPr="00550993">
        <w:rPr>
          <w:lang w:val="es-ES"/>
        </w:rPr>
        <w:t>:</w:t>
      </w:r>
      <w:r w:rsidR="00B75B16" w:rsidRPr="00550993">
        <w:rPr>
          <w:lang w:val="es-ES"/>
        </w:rPr>
        <w:br/>
      </w:r>
      <w:hyperlink r:id="rId14" w:history="1">
        <w:r w:rsidRPr="00550993">
          <w:rPr>
            <w:rStyle w:val="Hyperlink"/>
            <w:lang w:val="es-ES"/>
          </w:rPr>
          <w:t>CSMT@cde.ca.gov</w:t>
        </w:r>
      </w:hyperlink>
    </w:p>
    <w:p w14:paraId="0FCF41A3" w14:textId="77777777" w:rsidR="00E8480F" w:rsidRDefault="00E8480F" w:rsidP="00754370">
      <w:pPr>
        <w:spacing w:after="80"/>
        <w:ind w:firstLine="720"/>
      </w:pPr>
    </w:p>
    <w:p w14:paraId="1D15BE5E" w14:textId="77777777" w:rsidR="00E8480F" w:rsidRDefault="00077DE2" w:rsidP="00754370">
      <w:pPr>
        <w:spacing w:after="80"/>
        <w:jc w:val="right"/>
      </w:pPr>
      <w:r>
        <w:rPr>
          <w:noProof/>
        </w:rPr>
        <w:drawing>
          <wp:inline distT="0" distB="0" distL="0" distR="0" wp14:anchorId="541BB8E0" wp14:editId="469055DF">
            <wp:extent cx="2336165" cy="1657350"/>
            <wp:effectExtent l="0" t="0" r="6985" b="0"/>
            <wp:docPr id="1" name="Picture 1" descr="Logo for Clearinghouse for Specialized Media and Technology (CS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T Logo.png"/>
                    <pic:cNvPicPr/>
                  </pic:nvPicPr>
                  <pic:blipFill>
                    <a:blip r:embed="rId15">
                      <a:extLst>
                        <a:ext uri="{28A0092B-C50C-407E-A947-70E740481C1C}">
                          <a14:useLocalDpi xmlns:a14="http://schemas.microsoft.com/office/drawing/2010/main" val="0"/>
                        </a:ext>
                      </a:extLst>
                    </a:blip>
                    <a:stretch>
                      <a:fillRect/>
                    </a:stretch>
                  </pic:blipFill>
                  <pic:spPr>
                    <a:xfrm>
                      <a:off x="0" y="0"/>
                      <a:ext cx="2336165" cy="1657350"/>
                    </a:xfrm>
                    <a:prstGeom prst="rect">
                      <a:avLst/>
                    </a:prstGeom>
                  </pic:spPr>
                </pic:pic>
              </a:graphicData>
            </a:graphic>
          </wp:inline>
        </w:drawing>
      </w:r>
    </w:p>
    <w:p w14:paraId="6634DFCF" w14:textId="77777777" w:rsidR="00AD72FA" w:rsidRPr="00D9002B" w:rsidRDefault="00AD72FA" w:rsidP="00550993">
      <w:pPr>
        <w:pStyle w:val="Heading1"/>
        <w:spacing w:before="720"/>
      </w:pPr>
      <w:r w:rsidRPr="00AD72FA">
        <w:t>Clearinghouse for Specialized Media and</w:t>
      </w:r>
      <w:r w:rsidR="00D9002B">
        <w:br/>
      </w:r>
      <w:r w:rsidRPr="00AD72FA">
        <w:t>Technology Reference Guide</w:t>
      </w:r>
    </w:p>
    <w:p w14:paraId="157AE2DE" w14:textId="77777777" w:rsidR="00AD72FA" w:rsidRDefault="00AD72FA" w:rsidP="00B75B16">
      <w:pPr>
        <w:jc w:val="center"/>
        <w:rPr>
          <w:szCs w:val="24"/>
        </w:rPr>
      </w:pPr>
      <w:r w:rsidRPr="00AD72FA">
        <w:rPr>
          <w:szCs w:val="24"/>
        </w:rPr>
        <w:t>1430 N Street, Suite 3207</w:t>
      </w:r>
      <w:r w:rsidR="00B75B16">
        <w:rPr>
          <w:szCs w:val="24"/>
        </w:rPr>
        <w:br/>
      </w:r>
      <w:r>
        <w:rPr>
          <w:szCs w:val="24"/>
        </w:rPr>
        <w:t>Sacramento, CA 95814-5901</w:t>
      </w:r>
      <w:r w:rsidR="00B75B16">
        <w:rPr>
          <w:szCs w:val="24"/>
        </w:rPr>
        <w:br/>
      </w:r>
      <w:r>
        <w:rPr>
          <w:szCs w:val="24"/>
        </w:rPr>
        <w:t>Telephone 916-445-5103 / FAX 916-</w:t>
      </w:r>
      <w:r w:rsidR="00D9002B">
        <w:rPr>
          <w:szCs w:val="24"/>
        </w:rPr>
        <w:t>319-0172</w:t>
      </w:r>
    </w:p>
    <w:p w14:paraId="265E09E2" w14:textId="77777777" w:rsidR="00AD72FA" w:rsidRDefault="00AD72FA" w:rsidP="00B75B16">
      <w:pPr>
        <w:spacing w:before="240" w:after="360"/>
        <w:jc w:val="center"/>
        <w:rPr>
          <w:szCs w:val="24"/>
        </w:rPr>
      </w:pPr>
      <w:r>
        <w:rPr>
          <w:szCs w:val="24"/>
        </w:rPr>
        <w:t>The Clearinghouse for Specialized Media and Technology helps to</w:t>
      </w:r>
      <w:r w:rsidR="00A1427F">
        <w:rPr>
          <w:szCs w:val="24"/>
        </w:rPr>
        <w:t xml:space="preserve"> </w:t>
      </w:r>
      <w:r w:rsidR="00B75B16">
        <w:rPr>
          <w:szCs w:val="24"/>
        </w:rPr>
        <w:br/>
      </w:r>
      <w:r>
        <w:rPr>
          <w:szCs w:val="24"/>
        </w:rPr>
        <w:t xml:space="preserve">close the achievement gap by providing instructional resources in </w:t>
      </w:r>
      <w:r w:rsidR="00B75B16">
        <w:rPr>
          <w:szCs w:val="24"/>
        </w:rPr>
        <w:br/>
      </w:r>
      <w:r>
        <w:rPr>
          <w:szCs w:val="24"/>
        </w:rPr>
        <w:t>accessible formats to students with disabilities in California.</w:t>
      </w:r>
    </w:p>
    <w:p w14:paraId="00ADF587" w14:textId="77777777" w:rsidR="00AD72FA" w:rsidRDefault="00AD72FA" w:rsidP="00B75B16">
      <w:pPr>
        <w:spacing w:after="360"/>
        <w:jc w:val="center"/>
        <w:rPr>
          <w:szCs w:val="24"/>
        </w:rPr>
      </w:pPr>
      <w:r>
        <w:rPr>
          <w:noProof/>
        </w:rPr>
        <w:drawing>
          <wp:inline distT="0" distB="0" distL="0" distR="0" wp14:anchorId="2A3B2674" wp14:editId="3A3EECD5">
            <wp:extent cx="1389584" cy="1389584"/>
            <wp:effectExtent l="0" t="0" r="1270" b="1270"/>
            <wp:docPr id="9" name="Picture 9" descr="CA Department of Education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9584" cy="1389584"/>
                    </a:xfrm>
                    <a:prstGeom prst="rect">
                      <a:avLst/>
                    </a:prstGeom>
                    <a:noFill/>
                    <a:ln>
                      <a:noFill/>
                    </a:ln>
                  </pic:spPr>
                </pic:pic>
              </a:graphicData>
            </a:graphic>
          </wp:inline>
        </w:drawing>
      </w:r>
    </w:p>
    <w:p w14:paraId="2CB0E807" w14:textId="77777777" w:rsidR="00AD72FA" w:rsidRPr="00AD72FA" w:rsidRDefault="00AD72FA" w:rsidP="003554CA">
      <w:pPr>
        <w:spacing w:before="240" w:line="360" w:lineRule="auto"/>
        <w:jc w:val="center"/>
        <w:rPr>
          <w:b/>
          <w:szCs w:val="24"/>
        </w:rPr>
      </w:pPr>
      <w:r w:rsidRPr="00AD72FA">
        <w:rPr>
          <w:b/>
          <w:szCs w:val="24"/>
        </w:rPr>
        <w:t>California Department of Education</w:t>
      </w:r>
    </w:p>
    <w:p w14:paraId="19C21FED" w14:textId="77777777" w:rsidR="00AD72FA" w:rsidRPr="00AD72FA" w:rsidRDefault="00747C69" w:rsidP="00AD72FA">
      <w:pPr>
        <w:spacing w:line="360" w:lineRule="auto"/>
        <w:jc w:val="center"/>
        <w:rPr>
          <w:b/>
          <w:szCs w:val="24"/>
        </w:rPr>
      </w:pPr>
      <w:r>
        <w:rPr>
          <w:b/>
          <w:szCs w:val="24"/>
        </w:rPr>
        <w:t>Instruction and Measurement Branch</w:t>
      </w:r>
    </w:p>
    <w:p w14:paraId="474F7BBC" w14:textId="77777777" w:rsidR="00AD72FA" w:rsidRPr="00AD72FA" w:rsidRDefault="00AD72FA" w:rsidP="00B75B16">
      <w:pPr>
        <w:spacing w:after="480" w:line="360" w:lineRule="auto"/>
        <w:jc w:val="center"/>
        <w:rPr>
          <w:b/>
          <w:szCs w:val="24"/>
        </w:rPr>
      </w:pPr>
      <w:r w:rsidRPr="00AD72FA">
        <w:rPr>
          <w:b/>
          <w:szCs w:val="24"/>
        </w:rPr>
        <w:t>Curriculum Frameworks &amp; Instructional Resources Division</w:t>
      </w:r>
    </w:p>
    <w:p w14:paraId="4F4AB912" w14:textId="77777777" w:rsidR="00AD72FA" w:rsidRDefault="00AD72FA" w:rsidP="00AD72FA">
      <w:pPr>
        <w:jc w:val="center"/>
        <w:rPr>
          <w:szCs w:val="24"/>
        </w:rPr>
      </w:pPr>
      <w:r>
        <w:rPr>
          <w:szCs w:val="24"/>
        </w:rPr>
        <w:t xml:space="preserve">Visit CSMT at </w:t>
      </w:r>
      <w:hyperlink r:id="rId17" w:tooltip="CSMT webpage" w:history="1">
        <w:r w:rsidR="00056FBB">
          <w:rPr>
            <w:rStyle w:val="Hyperlink"/>
            <w:szCs w:val="24"/>
          </w:rPr>
          <w:t>https://www.cde.ca.gov/re/pn/sm</w:t>
        </w:r>
      </w:hyperlink>
    </w:p>
    <w:p w14:paraId="00AABA90" w14:textId="77777777" w:rsidR="00AD72FA" w:rsidRPr="00AD72FA" w:rsidRDefault="00AD72FA" w:rsidP="00AD72FA">
      <w:pPr>
        <w:jc w:val="center"/>
        <w:rPr>
          <w:szCs w:val="24"/>
        </w:rPr>
      </w:pPr>
    </w:p>
    <w:p w14:paraId="30C3E3AE" w14:textId="77777777" w:rsidR="007D2A4D" w:rsidRDefault="007D2A4D" w:rsidP="007D2A4D">
      <w:pPr>
        <w:jc w:val="center"/>
        <w:rPr>
          <w:b/>
          <w:sz w:val="32"/>
          <w:szCs w:val="32"/>
        </w:rPr>
        <w:sectPr w:rsidR="007D2A4D" w:rsidSect="00F31A2C">
          <w:headerReference w:type="even" r:id="rId18"/>
          <w:headerReference w:type="default" r:id="rId19"/>
          <w:footerReference w:type="even" r:id="rId20"/>
          <w:footerReference w:type="default" r:id="rId21"/>
          <w:headerReference w:type="first" r:id="rId22"/>
          <w:footerReference w:type="first" r:id="rId23"/>
          <w:type w:val="continuous"/>
          <w:pgSz w:w="20160" w:h="12240" w:orient="landscape" w:code="5"/>
          <w:pgMar w:top="720" w:right="720" w:bottom="720" w:left="720" w:header="720" w:footer="720"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num="3" w:space="360" w:equalWidth="0">
            <w:col w:w="4320" w:space="360"/>
            <w:col w:w="4320" w:space="1080"/>
            <w:col w:w="8640"/>
          </w:cols>
          <w:docGrid w:linePitch="360"/>
        </w:sectPr>
      </w:pPr>
    </w:p>
    <w:p w14:paraId="66025AFC" w14:textId="77777777" w:rsidR="003F1F9E" w:rsidRPr="003F1F9E" w:rsidRDefault="003F1F9E" w:rsidP="00291752">
      <w:pPr>
        <w:pStyle w:val="Heading2"/>
        <w:spacing w:before="0"/>
      </w:pPr>
      <w:r w:rsidRPr="003F1F9E">
        <w:lastRenderedPageBreak/>
        <w:t>Instructional Materials Ordering and Distribution System</w:t>
      </w:r>
    </w:p>
    <w:p w14:paraId="0369538C" w14:textId="77777777" w:rsidR="003F1F9E" w:rsidRPr="00D23751" w:rsidRDefault="003F1F9E" w:rsidP="00754370">
      <w:pPr>
        <w:spacing w:after="120"/>
        <w:rPr>
          <w:szCs w:val="24"/>
        </w:rPr>
      </w:pPr>
      <w:r w:rsidRPr="00D23751">
        <w:rPr>
          <w:szCs w:val="24"/>
        </w:rPr>
        <w:t>The online Instructional Materials Ordering and Distribution System (IMODS) allows school districts to order and access free state-adop</w:t>
      </w:r>
      <w:r w:rsidR="003E428B">
        <w:rPr>
          <w:szCs w:val="24"/>
        </w:rPr>
        <w:t xml:space="preserve">ted instructional materials for </w:t>
      </w:r>
      <w:r w:rsidRPr="00D23751">
        <w:rPr>
          <w:szCs w:val="24"/>
        </w:rPr>
        <w:t>K–8 students with print disabilities. Student textbooks, workbooks, and literature books adopted by the State Board of Education are produced and made available in a variety of formats:</w:t>
      </w:r>
    </w:p>
    <w:p w14:paraId="7AB6E37E" w14:textId="77777777" w:rsidR="003F1F9E" w:rsidRPr="00D23751" w:rsidRDefault="003F1F9E" w:rsidP="00B75B16">
      <w:pPr>
        <w:spacing w:after="40" w:line="276" w:lineRule="auto"/>
        <w:jc w:val="center"/>
        <w:rPr>
          <w:szCs w:val="24"/>
        </w:rPr>
      </w:pPr>
      <w:r w:rsidRPr="00D23751">
        <w:rPr>
          <w:szCs w:val="24"/>
        </w:rPr>
        <w:t>Braille</w:t>
      </w:r>
    </w:p>
    <w:p w14:paraId="55425D78" w14:textId="77777777" w:rsidR="003F1F9E" w:rsidRPr="00D23751" w:rsidRDefault="003F1F9E" w:rsidP="00B75B16">
      <w:pPr>
        <w:spacing w:after="40" w:line="276" w:lineRule="auto"/>
        <w:jc w:val="center"/>
        <w:rPr>
          <w:szCs w:val="24"/>
        </w:rPr>
      </w:pPr>
      <w:r w:rsidRPr="00D23751">
        <w:rPr>
          <w:szCs w:val="24"/>
        </w:rPr>
        <w:t>Large Print</w:t>
      </w:r>
    </w:p>
    <w:p w14:paraId="6E08B8CE" w14:textId="77777777" w:rsidR="003F1F9E" w:rsidRPr="00D23751" w:rsidRDefault="003F1F9E" w:rsidP="00B75B16">
      <w:pPr>
        <w:spacing w:after="40" w:line="276" w:lineRule="auto"/>
        <w:jc w:val="center"/>
        <w:rPr>
          <w:szCs w:val="24"/>
        </w:rPr>
      </w:pPr>
      <w:r w:rsidRPr="00D23751">
        <w:rPr>
          <w:szCs w:val="24"/>
        </w:rPr>
        <w:t>Electronic Files</w:t>
      </w:r>
    </w:p>
    <w:p w14:paraId="5FA6AC79" w14:textId="77777777" w:rsidR="003F1F9E" w:rsidRPr="00D23751" w:rsidRDefault="003F1F9E" w:rsidP="00B75B16">
      <w:pPr>
        <w:spacing w:after="40" w:line="276" w:lineRule="auto"/>
        <w:jc w:val="center"/>
        <w:rPr>
          <w:szCs w:val="24"/>
        </w:rPr>
      </w:pPr>
      <w:r w:rsidRPr="00D23751">
        <w:rPr>
          <w:szCs w:val="24"/>
        </w:rPr>
        <w:t>Audio Recordings</w:t>
      </w:r>
    </w:p>
    <w:p w14:paraId="18337EB1" w14:textId="77777777" w:rsidR="003F1F9E" w:rsidRPr="00D23751" w:rsidRDefault="003F1F9E" w:rsidP="00B75B16">
      <w:pPr>
        <w:spacing w:after="40" w:line="276" w:lineRule="auto"/>
        <w:jc w:val="center"/>
        <w:rPr>
          <w:szCs w:val="24"/>
        </w:rPr>
      </w:pPr>
      <w:r w:rsidRPr="00D23751">
        <w:rPr>
          <w:szCs w:val="24"/>
        </w:rPr>
        <w:t>Digital Talking Books</w:t>
      </w:r>
    </w:p>
    <w:p w14:paraId="0A9012E3" w14:textId="77777777" w:rsidR="003F1F9E" w:rsidRPr="00D23751" w:rsidRDefault="003F1F9E" w:rsidP="00B75B16">
      <w:pPr>
        <w:spacing w:after="40" w:line="276" w:lineRule="auto"/>
        <w:jc w:val="center"/>
        <w:rPr>
          <w:szCs w:val="24"/>
        </w:rPr>
      </w:pPr>
      <w:r w:rsidRPr="00D23751">
        <w:rPr>
          <w:szCs w:val="24"/>
        </w:rPr>
        <w:t>American Sign Language (ASL)</w:t>
      </w:r>
    </w:p>
    <w:p w14:paraId="543145FC" w14:textId="77777777" w:rsidR="003F1F9E" w:rsidRPr="00D23751" w:rsidRDefault="003F1F9E" w:rsidP="00B75B16">
      <w:pPr>
        <w:spacing w:after="40" w:line="276" w:lineRule="auto"/>
        <w:jc w:val="center"/>
        <w:rPr>
          <w:szCs w:val="24"/>
        </w:rPr>
      </w:pPr>
      <w:r w:rsidRPr="00D23751">
        <w:rPr>
          <w:szCs w:val="24"/>
        </w:rPr>
        <w:t>Video Books</w:t>
      </w:r>
    </w:p>
    <w:p w14:paraId="0156C53E" w14:textId="77777777" w:rsidR="003F1F9E" w:rsidRPr="00D23751" w:rsidRDefault="003F1F9E" w:rsidP="00754370">
      <w:pPr>
        <w:spacing w:after="120" w:line="276" w:lineRule="auto"/>
        <w:jc w:val="center"/>
        <w:rPr>
          <w:szCs w:val="24"/>
        </w:rPr>
      </w:pPr>
      <w:r w:rsidRPr="00D23751">
        <w:rPr>
          <w:szCs w:val="24"/>
        </w:rPr>
        <w:t>American Printing House for the Blind (APH) Assistive Technology &amp; Products</w:t>
      </w:r>
    </w:p>
    <w:p w14:paraId="78D99630" w14:textId="77777777" w:rsidR="003F1F9E" w:rsidRPr="00D23751" w:rsidRDefault="003F1F9E" w:rsidP="003F1F9E">
      <w:pPr>
        <w:rPr>
          <w:szCs w:val="24"/>
        </w:rPr>
      </w:pPr>
      <w:r w:rsidRPr="00D23751">
        <w:rPr>
          <w:szCs w:val="24"/>
        </w:rPr>
        <w:t xml:space="preserve">Educators and support personnel employed by California public schools who serve students with visual impairments or other disabilities may order through IMODS. There is no cost to schools in California that have students who qualify for these services. These authorized users may log in and order state-adopted specialized formats of K–8 instructional materials. We also provide the APH products for educators and personnel authorized by a public or </w:t>
      </w:r>
      <w:r w:rsidRPr="00D23751">
        <w:rPr>
          <w:szCs w:val="24"/>
        </w:rPr>
        <w:t>private agency that serve students who are registered with the APH.</w:t>
      </w:r>
    </w:p>
    <w:p w14:paraId="4E63B842" w14:textId="77777777" w:rsidR="003F1F9E" w:rsidRPr="003F1F9E" w:rsidRDefault="003F1F9E" w:rsidP="00441C2D">
      <w:pPr>
        <w:pStyle w:val="Heading2"/>
      </w:pPr>
      <w:r w:rsidRPr="003F1F9E">
        <w:t>Electronic Files</w:t>
      </w:r>
    </w:p>
    <w:p w14:paraId="62A094EA" w14:textId="238E920F" w:rsidR="003F1F9E" w:rsidRPr="00D23751" w:rsidRDefault="003F1F9E" w:rsidP="003F1F9E">
      <w:pPr>
        <w:rPr>
          <w:szCs w:val="24"/>
        </w:rPr>
      </w:pPr>
      <w:r w:rsidRPr="00D23751">
        <w:rPr>
          <w:szCs w:val="24"/>
        </w:rPr>
        <w:t>The Clearinghouse for Specialized Media and Technology (CSMT) provides downloadable electronic media files in various formats to empower students who require access to braill</w:t>
      </w:r>
      <w:r w:rsidR="0009682A">
        <w:rPr>
          <w:szCs w:val="24"/>
        </w:rPr>
        <w:t xml:space="preserve">e and </w:t>
      </w:r>
      <w:r w:rsidRPr="00D23751">
        <w:rPr>
          <w:szCs w:val="24"/>
        </w:rPr>
        <w:t>large print</w:t>
      </w:r>
      <w:r w:rsidR="0009682A">
        <w:rPr>
          <w:szCs w:val="24"/>
        </w:rPr>
        <w:t xml:space="preserve"> </w:t>
      </w:r>
      <w:r w:rsidRPr="00D23751">
        <w:rPr>
          <w:szCs w:val="24"/>
        </w:rPr>
        <w:t xml:space="preserve">to obtain their information. These formats </w:t>
      </w:r>
      <w:proofErr w:type="gramStart"/>
      <w:r w:rsidRPr="00D23751">
        <w:rPr>
          <w:szCs w:val="24"/>
        </w:rPr>
        <w:t>include:</w:t>
      </w:r>
      <w:proofErr w:type="gramEnd"/>
      <w:r w:rsidRPr="00D23751">
        <w:rPr>
          <w:szCs w:val="24"/>
        </w:rPr>
        <w:t xml:space="preserve"> portable document format (PDF), National Instructional Materials </w:t>
      </w:r>
      <w:r w:rsidR="003E428B">
        <w:rPr>
          <w:szCs w:val="24"/>
        </w:rPr>
        <w:t>Accessibility Standard (NIMAS),</w:t>
      </w:r>
      <w:r w:rsidR="006F6118">
        <w:rPr>
          <w:szCs w:val="24"/>
        </w:rPr>
        <w:t xml:space="preserve"> </w:t>
      </w:r>
      <w:r w:rsidRPr="00D23751">
        <w:rPr>
          <w:szCs w:val="24"/>
        </w:rPr>
        <w:t>rich text format (RTF), DAISY, braille files, and MP3, which are used on computers and othe</w:t>
      </w:r>
      <w:r w:rsidR="003E428B">
        <w:rPr>
          <w:szCs w:val="24"/>
        </w:rPr>
        <w:t>r assistive technology devices.</w:t>
      </w:r>
    </w:p>
    <w:p w14:paraId="457DC626" w14:textId="77777777" w:rsidR="003F1F9E" w:rsidRPr="00BD73B5" w:rsidRDefault="003F1F9E" w:rsidP="00441C2D">
      <w:pPr>
        <w:pStyle w:val="Heading2"/>
      </w:pPr>
      <w:r w:rsidRPr="00BD73B5">
        <w:t>Braille</w:t>
      </w:r>
    </w:p>
    <w:p w14:paraId="0527844A" w14:textId="77777777" w:rsidR="003F1F9E" w:rsidRPr="00D23751" w:rsidRDefault="003F1F9E" w:rsidP="003F1F9E">
      <w:pPr>
        <w:rPr>
          <w:szCs w:val="24"/>
        </w:rPr>
      </w:pPr>
      <w:r w:rsidRPr="00D23751">
        <w:rPr>
          <w:szCs w:val="24"/>
        </w:rPr>
        <w:t xml:space="preserve">The CSMT contracts with certified </w:t>
      </w:r>
      <w:proofErr w:type="spellStart"/>
      <w:r w:rsidRPr="00D23751">
        <w:rPr>
          <w:szCs w:val="24"/>
        </w:rPr>
        <w:t>braillists</w:t>
      </w:r>
      <w:proofErr w:type="spellEnd"/>
      <w:r w:rsidRPr="00D23751">
        <w:rPr>
          <w:szCs w:val="24"/>
        </w:rPr>
        <w:t xml:space="preserve"> to transcribe, format, proof, create tactiles, and emboss state-adopted books into braille. The process can take several months depending on the size and complex nature of the book. These books are on loan to California public schools serving students who a</w:t>
      </w:r>
      <w:r w:rsidR="003E428B">
        <w:rPr>
          <w:szCs w:val="24"/>
        </w:rPr>
        <w:t>re blind and visually impaired.</w:t>
      </w:r>
    </w:p>
    <w:p w14:paraId="580AAE3F" w14:textId="77777777" w:rsidR="003F1F9E" w:rsidRPr="00BD73B5" w:rsidRDefault="003F1F9E" w:rsidP="00441C2D">
      <w:pPr>
        <w:pStyle w:val="Heading2"/>
      </w:pPr>
      <w:r w:rsidRPr="00BD73B5">
        <w:t>Large Print</w:t>
      </w:r>
    </w:p>
    <w:p w14:paraId="2CCB9CE6" w14:textId="77777777" w:rsidR="003F1F9E" w:rsidRPr="00D23751" w:rsidRDefault="003F1F9E" w:rsidP="003F1F9E">
      <w:pPr>
        <w:rPr>
          <w:szCs w:val="24"/>
        </w:rPr>
      </w:pPr>
      <w:r w:rsidRPr="00D23751">
        <w:rPr>
          <w:szCs w:val="24"/>
        </w:rPr>
        <w:t>The CSMT has a contractor who enlarges curriculum books. These books are available to educators who have students who require enlarged text (</w:t>
      </w:r>
      <w:proofErr w:type="gramStart"/>
      <w:r w:rsidRPr="00D23751">
        <w:rPr>
          <w:szCs w:val="24"/>
        </w:rPr>
        <w:t xml:space="preserve">20 </w:t>
      </w:r>
      <w:r w:rsidR="00BC561A">
        <w:rPr>
          <w:szCs w:val="24"/>
        </w:rPr>
        <w:t>point</w:t>
      </w:r>
      <w:proofErr w:type="gramEnd"/>
      <w:r w:rsidR="00BC561A">
        <w:rPr>
          <w:szCs w:val="24"/>
        </w:rPr>
        <w:t xml:space="preserve"> </w:t>
      </w:r>
      <w:r w:rsidRPr="00D23751">
        <w:rPr>
          <w:szCs w:val="24"/>
        </w:rPr>
        <w:t xml:space="preserve">font) or PDF files. These books are </w:t>
      </w:r>
      <w:r w:rsidRPr="00D23751">
        <w:rPr>
          <w:szCs w:val="24"/>
        </w:rPr>
        <w:t>on loan to California public schools serving students who have low vision or</w:t>
      </w:r>
      <w:r w:rsidR="003E428B">
        <w:rPr>
          <w:szCs w:val="24"/>
        </w:rPr>
        <w:t xml:space="preserve"> other disabilities.</w:t>
      </w:r>
    </w:p>
    <w:p w14:paraId="5C1BDB79" w14:textId="77777777" w:rsidR="003F1F9E" w:rsidRPr="003F1F9E" w:rsidRDefault="00B81C04" w:rsidP="00441C2D">
      <w:pPr>
        <w:pStyle w:val="Heading2"/>
      </w:pPr>
      <w:r>
        <w:t>APH Federal Quota Program</w:t>
      </w:r>
    </w:p>
    <w:p w14:paraId="33BF8F4B" w14:textId="77777777" w:rsidR="003F1F9E" w:rsidRPr="00D23751" w:rsidRDefault="003F1F9E" w:rsidP="003F1F9E">
      <w:r w:rsidRPr="00D23751">
        <w:t xml:space="preserve">The CSMT oversees the APH Federal Quota Program for California students. The annual census of eligible students is used to determine California’s allocation of federal quota money for the purchase of APH products. Students must be enrolled in a formally organized public or private nonprofit educational program on the first </w:t>
      </w:r>
      <w:r w:rsidR="006F6118">
        <w:t>Monday in January.</w:t>
      </w:r>
      <w:r w:rsidR="009E6E1C">
        <w:t xml:space="preserve"> </w:t>
      </w:r>
      <w:r w:rsidRPr="00D23751">
        <w:t xml:space="preserve">Educators and personnel authorized by a public or private agency that serves qualified students can use their quota funds to purchase assistive technology and instructional materials from APH through IMODS. APH also has the Louis Database, which contains accessible materials in a variety of formats. Learn more about APH at </w:t>
      </w:r>
      <w:hyperlink r:id="rId24" w:tooltip="APH website" w:history="1">
        <w:r w:rsidRPr="00BC561A">
          <w:rPr>
            <w:rStyle w:val="Hyperlink"/>
          </w:rPr>
          <w:t>http://www.aph.org</w:t>
        </w:r>
      </w:hyperlink>
      <w:r w:rsidRPr="00D23751">
        <w:t>.</w:t>
      </w:r>
    </w:p>
    <w:p w14:paraId="56E8FE05" w14:textId="77777777" w:rsidR="008B05D8" w:rsidRPr="003F1F9E" w:rsidRDefault="008B05D8" w:rsidP="008B05D8">
      <w:pPr>
        <w:pStyle w:val="Heading2"/>
      </w:pPr>
      <w:r>
        <w:t>NIMAC</w:t>
      </w:r>
    </w:p>
    <w:p w14:paraId="4365F47C" w14:textId="77777777" w:rsidR="008B05D8" w:rsidRPr="00D23751" w:rsidRDefault="008B05D8" w:rsidP="008B05D8">
      <w:r w:rsidRPr="00D23751">
        <w:t xml:space="preserve">The National Instructional Material Access Center (NIMAC) is for NIMAS files. Publishers provide files so states can create curriculum in formats for qualified students with print disabilities. The CSMT is your authorized agent to access these files. If you find a book on their </w:t>
      </w:r>
      <w:r w:rsidR="00BC561A">
        <w:t>w</w:t>
      </w:r>
      <w:r w:rsidRPr="00D23751">
        <w:t xml:space="preserve">ebsite (www.NIMAC.us), email us at </w:t>
      </w:r>
      <w:hyperlink r:id="rId25" w:tooltip="Email CSMT" w:history="1">
        <w:r w:rsidRPr="00BC561A">
          <w:rPr>
            <w:rStyle w:val="Hyperlink"/>
          </w:rPr>
          <w:t>CSMT@cde.ca.gov</w:t>
        </w:r>
      </w:hyperlink>
      <w:r w:rsidRPr="00D23751">
        <w:t>, and we can retrieve and convert to a Word document fo</w:t>
      </w:r>
      <w:r>
        <w:t>r you.</w:t>
      </w:r>
    </w:p>
    <w:p w14:paraId="39611DC0" w14:textId="77777777" w:rsidR="008B05D8" w:rsidRPr="003F1F9E" w:rsidRDefault="00B81C04" w:rsidP="008B05D8">
      <w:pPr>
        <w:pStyle w:val="Heading2"/>
      </w:pPr>
      <w:r>
        <w:t>Education List Services</w:t>
      </w:r>
    </w:p>
    <w:p w14:paraId="5DBF2D62" w14:textId="77777777" w:rsidR="008B05D8" w:rsidRPr="00D23751" w:rsidRDefault="008B05D8" w:rsidP="008B05D8">
      <w:r w:rsidRPr="00D23751">
        <w:t xml:space="preserve">The CSMT administers a list service for educators and school administrators. Braille-N-Teach is available for those who serve visually impaired students. The purpose of the list service is to exchange ideas, share materials, and provide resources to support students. To join the list service, download and fill out the application on the CSMT </w:t>
      </w:r>
      <w:r w:rsidR="00292DF9">
        <w:t>web</w:t>
      </w:r>
      <w:r>
        <w:t>site.</w:t>
      </w:r>
    </w:p>
    <w:p w14:paraId="0A3CF241" w14:textId="77777777" w:rsidR="008B05D8" w:rsidRPr="00BD73B5" w:rsidRDefault="008B05D8" w:rsidP="008B05D8">
      <w:pPr>
        <w:pStyle w:val="Heading2"/>
      </w:pPr>
      <w:r w:rsidRPr="00BD73B5">
        <w:t>Book and Material Return</w:t>
      </w:r>
    </w:p>
    <w:p w14:paraId="5F265F6F" w14:textId="77777777" w:rsidR="008B05D8" w:rsidRPr="00D23751" w:rsidRDefault="008B05D8" w:rsidP="00B75B16">
      <w:pPr>
        <w:spacing w:after="200"/>
      </w:pPr>
      <w:r w:rsidRPr="00D23751">
        <w:t>When these specialized books are no longer needed, return</w:t>
      </w:r>
      <w:r w:rsidR="00D9028B">
        <w:t xml:space="preserve"> them</w:t>
      </w:r>
      <w:r w:rsidR="00D9028B">
        <w:br/>
      </w:r>
      <w:r>
        <w:t>“Free Matter for the Blind” to:</w:t>
      </w:r>
    </w:p>
    <w:p w14:paraId="5E280B86" w14:textId="77777777" w:rsidR="008B05D8" w:rsidRPr="00D23751" w:rsidRDefault="008B05D8" w:rsidP="008B05D8">
      <w:pPr>
        <w:jc w:val="center"/>
      </w:pPr>
      <w:r w:rsidRPr="00D23751">
        <w:rPr>
          <w:b/>
        </w:rPr>
        <w:t>California Department of Education</w:t>
      </w:r>
      <w:r w:rsidR="00B75B16">
        <w:rPr>
          <w:b/>
        </w:rPr>
        <w:br/>
      </w:r>
      <w:r w:rsidRPr="00D23751">
        <w:rPr>
          <w:b/>
        </w:rPr>
        <w:t>CSMT Media Warehouse</w:t>
      </w:r>
      <w:r w:rsidR="00B75B16">
        <w:rPr>
          <w:b/>
        </w:rPr>
        <w:br/>
      </w:r>
      <w:r w:rsidRPr="00D23751">
        <w:rPr>
          <w:b/>
        </w:rPr>
        <w:t>3740 Seaport Blvd., #20</w:t>
      </w:r>
      <w:r w:rsidR="00B75B16">
        <w:rPr>
          <w:b/>
        </w:rPr>
        <w:br/>
      </w:r>
      <w:r w:rsidRPr="00D23751">
        <w:rPr>
          <w:b/>
        </w:rPr>
        <w:t>West Sacramento, CA 95691-3525</w:t>
      </w:r>
    </w:p>
    <w:p w14:paraId="414F0A97" w14:textId="77777777" w:rsidR="003F1F9E" w:rsidRPr="003F1F9E" w:rsidRDefault="00292DF9" w:rsidP="00B75B16">
      <w:pPr>
        <w:pStyle w:val="Heading2"/>
        <w:spacing w:after="160"/>
      </w:pPr>
      <w:r>
        <w:t>CSMT Webs</w:t>
      </w:r>
      <w:r w:rsidR="006F6118">
        <w:t>ite</w:t>
      </w:r>
    </w:p>
    <w:p w14:paraId="105626D0" w14:textId="77777777" w:rsidR="003F1F9E" w:rsidRDefault="00000000" w:rsidP="00BD73B5">
      <w:pPr>
        <w:jc w:val="center"/>
        <w:rPr>
          <w:rStyle w:val="Hyperlink"/>
          <w:szCs w:val="24"/>
        </w:rPr>
      </w:pPr>
      <w:hyperlink r:id="rId26" w:tooltip="CSMT webpage" w:history="1">
        <w:r w:rsidR="00056FBB" w:rsidRPr="00B75B16">
          <w:rPr>
            <w:rStyle w:val="Hyperlink"/>
            <w:szCs w:val="24"/>
          </w:rPr>
          <w:t>https://www.cde.ca.gov/re/pn/sm</w:t>
        </w:r>
      </w:hyperlink>
    </w:p>
    <w:p w14:paraId="36B5B7D8" w14:textId="77777777" w:rsidR="00C51C10" w:rsidRDefault="00C51C10" w:rsidP="00BD73B5">
      <w:pPr>
        <w:jc w:val="center"/>
        <w:rPr>
          <w:rStyle w:val="Hyperlink"/>
          <w:szCs w:val="24"/>
        </w:rPr>
      </w:pPr>
    </w:p>
    <w:p w14:paraId="57052AB7" w14:textId="77777777" w:rsidR="00C51C10" w:rsidRDefault="00C51C10" w:rsidP="00BD73B5">
      <w:pPr>
        <w:jc w:val="center"/>
        <w:rPr>
          <w:rStyle w:val="Hyperlink"/>
          <w:szCs w:val="24"/>
        </w:rPr>
      </w:pPr>
    </w:p>
    <w:p w14:paraId="6CE67B2F" w14:textId="77777777" w:rsidR="00C51C10" w:rsidRDefault="00C51C10" w:rsidP="00BD73B5">
      <w:pPr>
        <w:jc w:val="center"/>
        <w:rPr>
          <w:rStyle w:val="Hyperlink"/>
          <w:szCs w:val="24"/>
        </w:rPr>
      </w:pPr>
    </w:p>
    <w:p w14:paraId="54B3C1FE" w14:textId="77777777" w:rsidR="00C51C10" w:rsidRDefault="00C51C10" w:rsidP="00BD73B5">
      <w:pPr>
        <w:jc w:val="center"/>
        <w:rPr>
          <w:rStyle w:val="Hyperlink"/>
          <w:szCs w:val="24"/>
        </w:rPr>
      </w:pPr>
    </w:p>
    <w:p w14:paraId="4516253A" w14:textId="77777777" w:rsidR="00C51C10" w:rsidRDefault="00C51C10" w:rsidP="00BD73B5">
      <w:pPr>
        <w:jc w:val="center"/>
        <w:rPr>
          <w:rStyle w:val="Hyperlink"/>
          <w:szCs w:val="24"/>
        </w:rPr>
      </w:pPr>
    </w:p>
    <w:p w14:paraId="57F94264" w14:textId="77777777" w:rsidR="00C51C10" w:rsidRDefault="00C51C10" w:rsidP="00BD73B5">
      <w:pPr>
        <w:jc w:val="center"/>
        <w:rPr>
          <w:rStyle w:val="Hyperlink"/>
          <w:szCs w:val="24"/>
        </w:rPr>
      </w:pPr>
    </w:p>
    <w:p w14:paraId="6FB5AD03" w14:textId="77777777" w:rsidR="00C51C10" w:rsidRDefault="00C51C10" w:rsidP="00BD73B5">
      <w:pPr>
        <w:jc w:val="center"/>
        <w:rPr>
          <w:rStyle w:val="Hyperlink"/>
          <w:szCs w:val="24"/>
        </w:rPr>
      </w:pPr>
    </w:p>
    <w:p w14:paraId="27CE5538" w14:textId="77777777" w:rsidR="00C51C10" w:rsidRDefault="00C51C10" w:rsidP="00C51C10">
      <w:pPr>
        <w:rPr>
          <w:szCs w:val="24"/>
        </w:rPr>
      </w:pPr>
    </w:p>
    <w:p w14:paraId="255BFA5C" w14:textId="77777777" w:rsidR="00C51C10" w:rsidRDefault="00C51C10" w:rsidP="00C51C10">
      <w:pPr>
        <w:rPr>
          <w:szCs w:val="24"/>
        </w:rPr>
      </w:pPr>
    </w:p>
    <w:p w14:paraId="6F1E0702" w14:textId="54A05617" w:rsidR="00C51C10" w:rsidRPr="00B75B16" w:rsidRDefault="00C51C10" w:rsidP="00C51C10">
      <w:pPr>
        <w:rPr>
          <w:szCs w:val="24"/>
        </w:rPr>
      </w:pPr>
      <w:r w:rsidRPr="00C51C10">
        <w:rPr>
          <w:szCs w:val="24"/>
        </w:rPr>
        <w:t>California Department of Education, October 2017</w:t>
      </w:r>
    </w:p>
    <w:sectPr w:rsidR="00C51C10" w:rsidRPr="00B75B16" w:rsidSect="00B2058D">
      <w:type w:val="continuous"/>
      <w:pgSz w:w="20160" w:h="12240" w:orient="landscape" w:code="5"/>
      <w:pgMar w:top="720" w:right="720" w:bottom="720" w:left="720" w:header="720" w:footer="720"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num="4" w:space="720" w:equalWidth="0">
        <w:col w:w="4320" w:space="360"/>
        <w:col w:w="4320" w:space="720"/>
        <w:col w:w="4320" w:space="360"/>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6BB8" w14:textId="77777777" w:rsidR="005B3B00" w:rsidRDefault="005B3B00" w:rsidP="00C80B01">
      <w:r>
        <w:separator/>
      </w:r>
    </w:p>
  </w:endnote>
  <w:endnote w:type="continuationSeparator" w:id="0">
    <w:p w14:paraId="1822EFF5" w14:textId="77777777" w:rsidR="005B3B00" w:rsidRDefault="005B3B00" w:rsidP="00C8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45F5" w14:textId="77777777" w:rsidR="006C2E6E" w:rsidRDefault="006C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2592" w14:textId="77777777" w:rsidR="006C2E6E" w:rsidRDefault="006C2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0B83" w14:textId="77777777" w:rsidR="006C2E6E" w:rsidRDefault="006C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2D7D2" w14:textId="77777777" w:rsidR="005B3B00" w:rsidRDefault="005B3B00" w:rsidP="00C80B01">
      <w:r>
        <w:separator/>
      </w:r>
    </w:p>
  </w:footnote>
  <w:footnote w:type="continuationSeparator" w:id="0">
    <w:p w14:paraId="349642BD" w14:textId="77777777" w:rsidR="005B3B00" w:rsidRDefault="005B3B00" w:rsidP="00C8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6465" w14:textId="77777777" w:rsidR="006C2E6E" w:rsidRDefault="006C2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9F63" w14:textId="77777777" w:rsidR="006C2E6E" w:rsidRDefault="006C2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1F0B" w14:textId="77777777" w:rsidR="006C2E6E" w:rsidRDefault="006C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C43"/>
    <w:multiLevelType w:val="hybridMultilevel"/>
    <w:tmpl w:val="945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152CA"/>
    <w:multiLevelType w:val="hybridMultilevel"/>
    <w:tmpl w:val="9EFEF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8987291">
    <w:abstractNumId w:val="1"/>
  </w:num>
  <w:num w:numId="2" w16cid:durableId="128118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8A"/>
    <w:rsid w:val="00001430"/>
    <w:rsid w:val="0002515C"/>
    <w:rsid w:val="00027B9F"/>
    <w:rsid w:val="00027BA1"/>
    <w:rsid w:val="000451E4"/>
    <w:rsid w:val="00056FBB"/>
    <w:rsid w:val="000677C7"/>
    <w:rsid w:val="00077DE2"/>
    <w:rsid w:val="00081E91"/>
    <w:rsid w:val="00094036"/>
    <w:rsid w:val="0009682A"/>
    <w:rsid w:val="000A6544"/>
    <w:rsid w:val="000B4817"/>
    <w:rsid w:val="000D05E2"/>
    <w:rsid w:val="000D62C1"/>
    <w:rsid w:val="000F009B"/>
    <w:rsid w:val="00114ED6"/>
    <w:rsid w:val="00117D45"/>
    <w:rsid w:val="00131254"/>
    <w:rsid w:val="00136B83"/>
    <w:rsid w:val="001378B4"/>
    <w:rsid w:val="00146DE3"/>
    <w:rsid w:val="00154BE3"/>
    <w:rsid w:val="00165AA8"/>
    <w:rsid w:val="0017193D"/>
    <w:rsid w:val="00172640"/>
    <w:rsid w:val="0017427C"/>
    <w:rsid w:val="0017438E"/>
    <w:rsid w:val="00186E94"/>
    <w:rsid w:val="001879DF"/>
    <w:rsid w:val="001A5248"/>
    <w:rsid w:val="001C133D"/>
    <w:rsid w:val="001C5D6E"/>
    <w:rsid w:val="001C6BA5"/>
    <w:rsid w:val="001E41FF"/>
    <w:rsid w:val="001F2B99"/>
    <w:rsid w:val="001F2E94"/>
    <w:rsid w:val="00200240"/>
    <w:rsid w:val="0020320E"/>
    <w:rsid w:val="00220C63"/>
    <w:rsid w:val="002340F8"/>
    <w:rsid w:val="0023505F"/>
    <w:rsid w:val="0024206F"/>
    <w:rsid w:val="00255907"/>
    <w:rsid w:val="0025665C"/>
    <w:rsid w:val="00263539"/>
    <w:rsid w:val="002642F9"/>
    <w:rsid w:val="00291752"/>
    <w:rsid w:val="00292DF9"/>
    <w:rsid w:val="002A452F"/>
    <w:rsid w:val="002C157D"/>
    <w:rsid w:val="002D68F0"/>
    <w:rsid w:val="002E77F2"/>
    <w:rsid w:val="002F326C"/>
    <w:rsid w:val="0030294E"/>
    <w:rsid w:val="00302FEC"/>
    <w:rsid w:val="00332CB3"/>
    <w:rsid w:val="003554CA"/>
    <w:rsid w:val="003716EF"/>
    <w:rsid w:val="003D1B70"/>
    <w:rsid w:val="003D4568"/>
    <w:rsid w:val="003E428B"/>
    <w:rsid w:val="003F1F9E"/>
    <w:rsid w:val="00402719"/>
    <w:rsid w:val="00441C2D"/>
    <w:rsid w:val="00473434"/>
    <w:rsid w:val="00481B11"/>
    <w:rsid w:val="00486BD3"/>
    <w:rsid w:val="004872BE"/>
    <w:rsid w:val="004A3090"/>
    <w:rsid w:val="004B479D"/>
    <w:rsid w:val="004B742C"/>
    <w:rsid w:val="004D54C1"/>
    <w:rsid w:val="00504982"/>
    <w:rsid w:val="00516C04"/>
    <w:rsid w:val="0052213F"/>
    <w:rsid w:val="00523157"/>
    <w:rsid w:val="0052528A"/>
    <w:rsid w:val="00550993"/>
    <w:rsid w:val="00555175"/>
    <w:rsid w:val="005577EB"/>
    <w:rsid w:val="00563FB9"/>
    <w:rsid w:val="005643E4"/>
    <w:rsid w:val="0057155A"/>
    <w:rsid w:val="00575137"/>
    <w:rsid w:val="005A1EED"/>
    <w:rsid w:val="005B3B00"/>
    <w:rsid w:val="005F4819"/>
    <w:rsid w:val="005F50A2"/>
    <w:rsid w:val="006174E5"/>
    <w:rsid w:val="006303A6"/>
    <w:rsid w:val="00634861"/>
    <w:rsid w:val="00651872"/>
    <w:rsid w:val="00651D7C"/>
    <w:rsid w:val="0065580E"/>
    <w:rsid w:val="006559E0"/>
    <w:rsid w:val="006563B7"/>
    <w:rsid w:val="006A51E7"/>
    <w:rsid w:val="006B040B"/>
    <w:rsid w:val="006C2E6E"/>
    <w:rsid w:val="006E4868"/>
    <w:rsid w:val="006E6FCF"/>
    <w:rsid w:val="006F35DF"/>
    <w:rsid w:val="006F6118"/>
    <w:rsid w:val="00711989"/>
    <w:rsid w:val="00715AE2"/>
    <w:rsid w:val="007171B2"/>
    <w:rsid w:val="007325CA"/>
    <w:rsid w:val="00747C69"/>
    <w:rsid w:val="00753CE0"/>
    <w:rsid w:val="00754370"/>
    <w:rsid w:val="007545DE"/>
    <w:rsid w:val="00782490"/>
    <w:rsid w:val="007A0AA3"/>
    <w:rsid w:val="007D2A4D"/>
    <w:rsid w:val="007E2E00"/>
    <w:rsid w:val="007E6B60"/>
    <w:rsid w:val="007F2CDA"/>
    <w:rsid w:val="00801B73"/>
    <w:rsid w:val="00802E30"/>
    <w:rsid w:val="0082346B"/>
    <w:rsid w:val="00830023"/>
    <w:rsid w:val="00843E1F"/>
    <w:rsid w:val="008B05D8"/>
    <w:rsid w:val="008C6859"/>
    <w:rsid w:val="008E7593"/>
    <w:rsid w:val="008F0C2A"/>
    <w:rsid w:val="00915592"/>
    <w:rsid w:val="009216E5"/>
    <w:rsid w:val="00925852"/>
    <w:rsid w:val="00932AF2"/>
    <w:rsid w:val="00934395"/>
    <w:rsid w:val="00937D28"/>
    <w:rsid w:val="0094132E"/>
    <w:rsid w:val="00945D2F"/>
    <w:rsid w:val="00951BE7"/>
    <w:rsid w:val="0096013E"/>
    <w:rsid w:val="00974134"/>
    <w:rsid w:val="009840EC"/>
    <w:rsid w:val="00996944"/>
    <w:rsid w:val="009E6E1C"/>
    <w:rsid w:val="009F5310"/>
    <w:rsid w:val="00A1427F"/>
    <w:rsid w:val="00A163D4"/>
    <w:rsid w:val="00A31D16"/>
    <w:rsid w:val="00A531DF"/>
    <w:rsid w:val="00A71E5C"/>
    <w:rsid w:val="00A92632"/>
    <w:rsid w:val="00A97AA8"/>
    <w:rsid w:val="00AA0F5B"/>
    <w:rsid w:val="00AC2AA8"/>
    <w:rsid w:val="00AD72FA"/>
    <w:rsid w:val="00AE3DED"/>
    <w:rsid w:val="00B010DC"/>
    <w:rsid w:val="00B16403"/>
    <w:rsid w:val="00B2058D"/>
    <w:rsid w:val="00B30B8D"/>
    <w:rsid w:val="00B42AF5"/>
    <w:rsid w:val="00B73948"/>
    <w:rsid w:val="00B75B16"/>
    <w:rsid w:val="00B81C04"/>
    <w:rsid w:val="00B94FFC"/>
    <w:rsid w:val="00BA6B91"/>
    <w:rsid w:val="00BB221D"/>
    <w:rsid w:val="00BB7D37"/>
    <w:rsid w:val="00BC561A"/>
    <w:rsid w:val="00BD73B5"/>
    <w:rsid w:val="00BE26B7"/>
    <w:rsid w:val="00BE3125"/>
    <w:rsid w:val="00BF418A"/>
    <w:rsid w:val="00BF59CB"/>
    <w:rsid w:val="00C02809"/>
    <w:rsid w:val="00C34A6F"/>
    <w:rsid w:val="00C51C10"/>
    <w:rsid w:val="00C61EF2"/>
    <w:rsid w:val="00C62A6D"/>
    <w:rsid w:val="00C80B01"/>
    <w:rsid w:val="00C85A8A"/>
    <w:rsid w:val="00C904A2"/>
    <w:rsid w:val="00C922DF"/>
    <w:rsid w:val="00C92E09"/>
    <w:rsid w:val="00C92FF1"/>
    <w:rsid w:val="00C95227"/>
    <w:rsid w:val="00CA2716"/>
    <w:rsid w:val="00CC14F1"/>
    <w:rsid w:val="00CD1613"/>
    <w:rsid w:val="00CD328C"/>
    <w:rsid w:val="00CD45B1"/>
    <w:rsid w:val="00CE2161"/>
    <w:rsid w:val="00CE36D7"/>
    <w:rsid w:val="00CF0EA5"/>
    <w:rsid w:val="00D024CC"/>
    <w:rsid w:val="00D02707"/>
    <w:rsid w:val="00D1018A"/>
    <w:rsid w:val="00D23751"/>
    <w:rsid w:val="00D447D9"/>
    <w:rsid w:val="00D55F32"/>
    <w:rsid w:val="00D62F48"/>
    <w:rsid w:val="00D741FE"/>
    <w:rsid w:val="00D83E70"/>
    <w:rsid w:val="00D9002B"/>
    <w:rsid w:val="00D9028B"/>
    <w:rsid w:val="00DA2281"/>
    <w:rsid w:val="00DE7B6C"/>
    <w:rsid w:val="00DF026A"/>
    <w:rsid w:val="00DF0395"/>
    <w:rsid w:val="00DF594F"/>
    <w:rsid w:val="00E249F2"/>
    <w:rsid w:val="00E5149C"/>
    <w:rsid w:val="00E7799B"/>
    <w:rsid w:val="00E824C9"/>
    <w:rsid w:val="00E8480F"/>
    <w:rsid w:val="00EB38A7"/>
    <w:rsid w:val="00EC2C28"/>
    <w:rsid w:val="00ED2725"/>
    <w:rsid w:val="00EE4EDA"/>
    <w:rsid w:val="00F06D14"/>
    <w:rsid w:val="00F104C3"/>
    <w:rsid w:val="00F24C62"/>
    <w:rsid w:val="00F31A2C"/>
    <w:rsid w:val="00F46BA2"/>
    <w:rsid w:val="00F46EF7"/>
    <w:rsid w:val="00F80889"/>
    <w:rsid w:val="00FA3AA7"/>
    <w:rsid w:val="00FB765B"/>
    <w:rsid w:val="00FD2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90052"/>
  <w15:chartTrackingRefBased/>
  <w15:docId w15:val="{F5F2E17F-A205-4122-AF22-ED8FD98F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A1"/>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D9002B"/>
    <w:pPr>
      <w:keepNext/>
      <w:keepLines/>
      <w:spacing w:before="240" w:after="440"/>
      <w:jc w:val="center"/>
      <w:outlineLvl w:val="0"/>
    </w:pPr>
    <w:rPr>
      <w:rFonts w:eastAsiaTheme="majorEastAsia" w:cs="Arial"/>
      <w:color w:val="2E74B5" w:themeColor="accent1" w:themeShade="BF"/>
      <w:sz w:val="44"/>
      <w:szCs w:val="28"/>
    </w:rPr>
  </w:style>
  <w:style w:type="paragraph" w:styleId="Heading2">
    <w:name w:val="heading 2"/>
    <w:basedOn w:val="Normal"/>
    <w:next w:val="Normal"/>
    <w:link w:val="Heading2Char"/>
    <w:uiPriority w:val="9"/>
    <w:unhideWhenUsed/>
    <w:qFormat/>
    <w:rsid w:val="00441C2D"/>
    <w:pPr>
      <w:keepNext/>
      <w:keepLines/>
      <w:spacing w:before="160" w:after="12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4C1"/>
    <w:rPr>
      <w:color w:val="0000FF"/>
      <w:u w:val="single"/>
    </w:rPr>
  </w:style>
  <w:style w:type="paragraph" w:styleId="NormalWeb">
    <w:name w:val="Normal (Web)"/>
    <w:basedOn w:val="Normal"/>
    <w:uiPriority w:val="99"/>
    <w:semiHidden/>
    <w:unhideWhenUsed/>
    <w:rsid w:val="004D54C1"/>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AE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23"/>
    <w:rPr>
      <w:rFonts w:ascii="Segoe UI" w:hAnsi="Segoe UI" w:cs="Segoe UI"/>
      <w:sz w:val="18"/>
      <w:szCs w:val="18"/>
    </w:rPr>
  </w:style>
  <w:style w:type="paragraph" w:customStyle="1" w:styleId="DecimalAligned">
    <w:name w:val="Decimal Aligned"/>
    <w:basedOn w:val="Normal"/>
    <w:uiPriority w:val="40"/>
    <w:qFormat/>
    <w:rsid w:val="00027BA1"/>
    <w:pPr>
      <w:tabs>
        <w:tab w:val="decimal" w:pos="360"/>
      </w:tabs>
      <w:spacing w:after="200" w:line="276" w:lineRule="auto"/>
    </w:pPr>
    <w:rPr>
      <w:rFonts w:ascii="Calibri" w:hAnsi="Calibri"/>
      <w:sz w:val="22"/>
      <w:lang w:eastAsia="ja-JP"/>
    </w:rPr>
  </w:style>
  <w:style w:type="paragraph" w:customStyle="1" w:styleId="Default">
    <w:name w:val="Default"/>
    <w:rsid w:val="00094036"/>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094036"/>
    <w:pPr>
      <w:spacing w:line="256" w:lineRule="atLeast"/>
    </w:pPr>
    <w:rPr>
      <w:color w:val="auto"/>
    </w:rPr>
  </w:style>
  <w:style w:type="paragraph" w:customStyle="1" w:styleId="CM5">
    <w:name w:val="CM5"/>
    <w:basedOn w:val="Default"/>
    <w:next w:val="Default"/>
    <w:uiPriority w:val="99"/>
    <w:rsid w:val="00094036"/>
    <w:rPr>
      <w:color w:val="auto"/>
    </w:rPr>
  </w:style>
  <w:style w:type="paragraph" w:customStyle="1" w:styleId="CM6">
    <w:name w:val="CM6"/>
    <w:basedOn w:val="Default"/>
    <w:next w:val="Default"/>
    <w:uiPriority w:val="99"/>
    <w:rsid w:val="00094036"/>
    <w:rPr>
      <w:color w:val="auto"/>
    </w:rPr>
  </w:style>
  <w:style w:type="paragraph" w:styleId="Header">
    <w:name w:val="header"/>
    <w:basedOn w:val="Normal"/>
    <w:link w:val="HeaderChar"/>
    <w:uiPriority w:val="99"/>
    <w:unhideWhenUsed/>
    <w:rsid w:val="00C80B01"/>
    <w:pPr>
      <w:tabs>
        <w:tab w:val="center" w:pos="4680"/>
        <w:tab w:val="right" w:pos="9360"/>
      </w:tabs>
    </w:pPr>
  </w:style>
  <w:style w:type="character" w:customStyle="1" w:styleId="HeaderChar">
    <w:name w:val="Header Char"/>
    <w:basedOn w:val="DefaultParagraphFont"/>
    <w:link w:val="Header"/>
    <w:uiPriority w:val="99"/>
    <w:rsid w:val="00C80B01"/>
    <w:rPr>
      <w:rFonts w:ascii="Arial" w:eastAsia="Calibri" w:hAnsi="Arial" w:cs="Times New Roman"/>
      <w:sz w:val="24"/>
    </w:rPr>
  </w:style>
  <w:style w:type="paragraph" w:styleId="Footer">
    <w:name w:val="footer"/>
    <w:basedOn w:val="Normal"/>
    <w:link w:val="FooterChar"/>
    <w:uiPriority w:val="99"/>
    <w:unhideWhenUsed/>
    <w:rsid w:val="00C80B01"/>
    <w:pPr>
      <w:tabs>
        <w:tab w:val="center" w:pos="4680"/>
        <w:tab w:val="right" w:pos="9360"/>
      </w:tabs>
    </w:pPr>
  </w:style>
  <w:style w:type="character" w:customStyle="1" w:styleId="FooterChar">
    <w:name w:val="Footer Char"/>
    <w:basedOn w:val="DefaultParagraphFont"/>
    <w:link w:val="Footer"/>
    <w:uiPriority w:val="99"/>
    <w:rsid w:val="00C80B01"/>
    <w:rPr>
      <w:rFonts w:ascii="Arial" w:eastAsia="Calibri" w:hAnsi="Arial" w:cs="Times New Roman"/>
      <w:sz w:val="24"/>
    </w:rPr>
  </w:style>
  <w:style w:type="character" w:styleId="FollowedHyperlink">
    <w:name w:val="FollowedHyperlink"/>
    <w:basedOn w:val="DefaultParagraphFont"/>
    <w:uiPriority w:val="99"/>
    <w:semiHidden/>
    <w:unhideWhenUsed/>
    <w:rsid w:val="002642F9"/>
    <w:rPr>
      <w:color w:val="954F72" w:themeColor="followedHyperlink"/>
      <w:u w:val="single"/>
    </w:rPr>
  </w:style>
  <w:style w:type="paragraph" w:styleId="ListParagraph">
    <w:name w:val="List Paragraph"/>
    <w:basedOn w:val="Normal"/>
    <w:uiPriority w:val="34"/>
    <w:qFormat/>
    <w:rsid w:val="00516C04"/>
    <w:pPr>
      <w:ind w:left="720"/>
      <w:contextualSpacing/>
    </w:pPr>
  </w:style>
  <w:style w:type="character" w:customStyle="1" w:styleId="Heading1Char">
    <w:name w:val="Heading 1 Char"/>
    <w:basedOn w:val="DefaultParagraphFont"/>
    <w:link w:val="Heading1"/>
    <w:uiPriority w:val="9"/>
    <w:rsid w:val="00D9002B"/>
    <w:rPr>
      <w:rFonts w:ascii="Arial" w:eastAsiaTheme="majorEastAsia" w:hAnsi="Arial" w:cs="Arial"/>
      <w:color w:val="2E74B5" w:themeColor="accent1" w:themeShade="BF"/>
      <w:sz w:val="44"/>
      <w:szCs w:val="28"/>
    </w:rPr>
  </w:style>
  <w:style w:type="character" w:customStyle="1" w:styleId="Heading2Char">
    <w:name w:val="Heading 2 Char"/>
    <w:basedOn w:val="DefaultParagraphFont"/>
    <w:link w:val="Heading2"/>
    <w:uiPriority w:val="9"/>
    <w:rsid w:val="00441C2D"/>
    <w:rPr>
      <w:rFonts w:ascii="Arial" w:eastAsiaTheme="majorEastAsia" w:hAnsi="Arial" w:cstheme="majorBidi"/>
      <w:color w:val="2E74B5" w:themeColor="accent1" w:themeShade="BF"/>
      <w:sz w:val="28"/>
      <w:szCs w:val="26"/>
    </w:rPr>
  </w:style>
  <w:style w:type="character" w:customStyle="1" w:styleId="UnresolvedMention1">
    <w:name w:val="Unresolved Mention1"/>
    <w:basedOn w:val="DefaultParagraphFont"/>
    <w:uiPriority w:val="99"/>
    <w:semiHidden/>
    <w:unhideWhenUsed/>
    <w:rsid w:val="006A51E7"/>
    <w:rPr>
      <w:color w:val="605E5C"/>
      <w:shd w:val="clear" w:color="auto" w:fill="E1DFDD"/>
    </w:rPr>
  </w:style>
  <w:style w:type="character" w:customStyle="1" w:styleId="UnresolvedMention2">
    <w:name w:val="Unresolved Mention2"/>
    <w:basedOn w:val="DefaultParagraphFont"/>
    <w:uiPriority w:val="99"/>
    <w:semiHidden/>
    <w:unhideWhenUsed/>
    <w:rsid w:val="00BC561A"/>
    <w:rPr>
      <w:color w:val="605E5C"/>
      <w:shd w:val="clear" w:color="auto" w:fill="E1DFDD"/>
    </w:rPr>
  </w:style>
  <w:style w:type="character" w:styleId="UnresolvedMention">
    <w:name w:val="Unresolved Mention"/>
    <w:basedOn w:val="DefaultParagraphFont"/>
    <w:uiPriority w:val="99"/>
    <w:semiHidden/>
    <w:unhideWhenUsed/>
    <w:rsid w:val="0055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6639">
      <w:bodyDiv w:val="1"/>
      <w:marLeft w:val="0"/>
      <w:marRight w:val="0"/>
      <w:marTop w:val="0"/>
      <w:marBottom w:val="0"/>
      <w:divBdr>
        <w:top w:val="none" w:sz="0" w:space="0" w:color="auto"/>
        <w:left w:val="none" w:sz="0" w:space="0" w:color="auto"/>
        <w:bottom w:val="none" w:sz="0" w:space="0" w:color="auto"/>
        <w:right w:val="none" w:sz="0" w:space="0" w:color="auto"/>
      </w:divBdr>
      <w:divsChild>
        <w:div w:id="483813802">
          <w:marLeft w:val="0"/>
          <w:marRight w:val="0"/>
          <w:marTop w:val="0"/>
          <w:marBottom w:val="0"/>
          <w:divBdr>
            <w:top w:val="none" w:sz="0" w:space="0" w:color="auto"/>
            <w:left w:val="none" w:sz="0" w:space="0" w:color="auto"/>
            <w:bottom w:val="none" w:sz="0" w:space="0" w:color="auto"/>
            <w:right w:val="none" w:sz="0" w:space="0" w:color="auto"/>
          </w:divBdr>
          <w:divsChild>
            <w:div w:id="1995640106">
              <w:marLeft w:val="0"/>
              <w:marRight w:val="0"/>
              <w:marTop w:val="0"/>
              <w:marBottom w:val="0"/>
              <w:divBdr>
                <w:top w:val="none" w:sz="0" w:space="0" w:color="auto"/>
                <w:left w:val="none" w:sz="0" w:space="0" w:color="auto"/>
                <w:bottom w:val="none" w:sz="0" w:space="0" w:color="auto"/>
                <w:right w:val="none" w:sz="0" w:space="0" w:color="auto"/>
              </w:divBdr>
              <w:divsChild>
                <w:div w:id="1964842156">
                  <w:marLeft w:val="0"/>
                  <w:marRight w:val="0"/>
                  <w:marTop w:val="0"/>
                  <w:marBottom w:val="0"/>
                  <w:divBdr>
                    <w:top w:val="none" w:sz="0" w:space="0" w:color="auto"/>
                    <w:left w:val="none" w:sz="0" w:space="0" w:color="auto"/>
                    <w:bottom w:val="none" w:sz="0" w:space="0" w:color="auto"/>
                    <w:right w:val="none" w:sz="0" w:space="0" w:color="auto"/>
                  </w:divBdr>
                  <w:divsChild>
                    <w:div w:id="517620530">
                      <w:marLeft w:val="0"/>
                      <w:marRight w:val="0"/>
                      <w:marTop w:val="0"/>
                      <w:marBottom w:val="0"/>
                      <w:divBdr>
                        <w:top w:val="none" w:sz="0" w:space="0" w:color="auto"/>
                        <w:left w:val="none" w:sz="0" w:space="0" w:color="auto"/>
                        <w:bottom w:val="none" w:sz="0" w:space="0" w:color="auto"/>
                        <w:right w:val="none" w:sz="0" w:space="0" w:color="auto"/>
                      </w:divBdr>
                      <w:divsChild>
                        <w:div w:id="1594515306">
                          <w:marLeft w:val="0"/>
                          <w:marRight w:val="0"/>
                          <w:marTop w:val="0"/>
                          <w:marBottom w:val="0"/>
                          <w:divBdr>
                            <w:top w:val="none" w:sz="0" w:space="0" w:color="auto"/>
                            <w:left w:val="none" w:sz="0" w:space="0" w:color="auto"/>
                            <w:bottom w:val="none" w:sz="0" w:space="0" w:color="auto"/>
                            <w:right w:val="none" w:sz="0" w:space="0" w:color="auto"/>
                          </w:divBdr>
                        </w:div>
                        <w:div w:id="20430928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76333787">
          <w:marLeft w:val="0"/>
          <w:marRight w:val="0"/>
          <w:marTop w:val="0"/>
          <w:marBottom w:val="0"/>
          <w:divBdr>
            <w:top w:val="single" w:sz="6" w:space="0" w:color="EBEBEB"/>
            <w:left w:val="none" w:sz="0" w:space="0" w:color="auto"/>
            <w:bottom w:val="none" w:sz="0" w:space="0" w:color="auto"/>
            <w:right w:val="none" w:sz="0" w:space="0" w:color="auto"/>
          </w:divBdr>
          <w:divsChild>
            <w:div w:id="1266186662">
              <w:marLeft w:val="0"/>
              <w:marRight w:val="0"/>
              <w:marTop w:val="0"/>
              <w:marBottom w:val="0"/>
              <w:divBdr>
                <w:top w:val="none" w:sz="0" w:space="0" w:color="auto"/>
                <w:left w:val="none" w:sz="0" w:space="0" w:color="auto"/>
                <w:bottom w:val="none" w:sz="0" w:space="0" w:color="auto"/>
                <w:right w:val="none" w:sz="0" w:space="0" w:color="auto"/>
              </w:divBdr>
              <w:divsChild>
                <w:div w:id="195429368">
                  <w:marLeft w:val="0"/>
                  <w:marRight w:val="0"/>
                  <w:marTop w:val="0"/>
                  <w:marBottom w:val="0"/>
                  <w:divBdr>
                    <w:top w:val="none" w:sz="0" w:space="0" w:color="auto"/>
                    <w:left w:val="none" w:sz="0" w:space="0" w:color="auto"/>
                    <w:bottom w:val="none" w:sz="0" w:space="0" w:color="auto"/>
                    <w:right w:val="none" w:sz="0" w:space="0" w:color="auto"/>
                  </w:divBdr>
                  <w:divsChild>
                    <w:div w:id="1125923494">
                      <w:marLeft w:val="0"/>
                      <w:marRight w:val="0"/>
                      <w:marTop w:val="0"/>
                      <w:marBottom w:val="0"/>
                      <w:divBdr>
                        <w:top w:val="none" w:sz="0" w:space="0" w:color="auto"/>
                        <w:left w:val="none" w:sz="0" w:space="0" w:color="auto"/>
                        <w:bottom w:val="none" w:sz="0" w:space="0" w:color="auto"/>
                        <w:right w:val="none" w:sz="0" w:space="0" w:color="auto"/>
                      </w:divBdr>
                      <w:divsChild>
                        <w:div w:id="96290479">
                          <w:marLeft w:val="0"/>
                          <w:marRight w:val="0"/>
                          <w:marTop w:val="60"/>
                          <w:marBottom w:val="0"/>
                          <w:divBdr>
                            <w:top w:val="none" w:sz="0" w:space="0" w:color="auto"/>
                            <w:left w:val="none" w:sz="0" w:space="0" w:color="auto"/>
                            <w:bottom w:val="none" w:sz="0" w:space="0" w:color="auto"/>
                            <w:right w:val="none" w:sz="0" w:space="0" w:color="auto"/>
                          </w:divBdr>
                          <w:divsChild>
                            <w:div w:id="1232928828">
                              <w:marLeft w:val="0"/>
                              <w:marRight w:val="0"/>
                              <w:marTop w:val="0"/>
                              <w:marBottom w:val="195"/>
                              <w:divBdr>
                                <w:top w:val="none" w:sz="0" w:space="0" w:color="auto"/>
                                <w:left w:val="none" w:sz="0" w:space="0" w:color="auto"/>
                                <w:bottom w:val="none" w:sz="0" w:space="0" w:color="auto"/>
                                <w:right w:val="none" w:sz="0" w:space="0" w:color="auto"/>
                              </w:divBdr>
                            </w:div>
                            <w:div w:id="135799879">
                              <w:marLeft w:val="0"/>
                              <w:marRight w:val="0"/>
                              <w:marTop w:val="0"/>
                              <w:marBottom w:val="195"/>
                              <w:divBdr>
                                <w:top w:val="none" w:sz="0" w:space="0" w:color="auto"/>
                                <w:left w:val="none" w:sz="0" w:space="0" w:color="auto"/>
                                <w:bottom w:val="none" w:sz="0" w:space="0" w:color="auto"/>
                                <w:right w:val="none" w:sz="0" w:space="0" w:color="auto"/>
                              </w:divBdr>
                            </w:div>
                            <w:div w:id="10835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31210">
      <w:bodyDiv w:val="1"/>
      <w:marLeft w:val="0"/>
      <w:marRight w:val="0"/>
      <w:marTop w:val="0"/>
      <w:marBottom w:val="0"/>
      <w:divBdr>
        <w:top w:val="none" w:sz="0" w:space="0" w:color="auto"/>
        <w:left w:val="none" w:sz="0" w:space="0" w:color="auto"/>
        <w:bottom w:val="none" w:sz="0" w:space="0" w:color="auto"/>
        <w:right w:val="none" w:sz="0" w:space="0" w:color="auto"/>
      </w:divBdr>
    </w:div>
    <w:div w:id="11206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rder@cde.ca.gov" TargetMode="External"/><Relationship Id="rId13" Type="http://schemas.openxmlformats.org/officeDocument/2006/relationships/hyperlink" Target="mailto:shardesty@cde.ca.gov" TargetMode="External"/><Relationship Id="rId18" Type="http://schemas.openxmlformats.org/officeDocument/2006/relationships/header" Target="header1.xml"/><Relationship Id="rId26" Type="http://schemas.openxmlformats.org/officeDocument/2006/relationships/hyperlink" Target="https://www.cde.ca.gov/re/pn/s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coppedge@cde.ca.gov" TargetMode="External"/><Relationship Id="rId17" Type="http://schemas.openxmlformats.org/officeDocument/2006/relationships/hyperlink" Target="https://www.cde.ca.gov/re/pn/sm" TargetMode="External"/><Relationship Id="rId25" Type="http://schemas.openxmlformats.org/officeDocument/2006/relationships/hyperlink" Target="mailto:CSMT@cde.ca.gov"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orse@cde.ca.gov" TargetMode="External"/><Relationship Id="rId24" Type="http://schemas.openxmlformats.org/officeDocument/2006/relationships/hyperlink" Target="http://www.aph.org"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jmorrison@cde.c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leung@cde.ca.gov" TargetMode="External"/><Relationship Id="rId14" Type="http://schemas.openxmlformats.org/officeDocument/2006/relationships/hyperlink" Target="mailto:CSMT@cde.ca.gov"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CF710-616E-45CA-86F9-91A6E4D1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CSMT Reference Guide - Specialized Media (CA Dept of Education)</vt:lpstr>
    </vt:vector>
  </TitlesOfParts>
  <Company>CA Department of Education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CSMT Reference Guide - Specialized Media (CA Dept of Education)</dc:title>
  <dc:subject>Clearinghouse for Specialized Media and Technology Brochure</dc:subject>
  <dc:creator>CDE</dc:creator>
  <cp:keywords/>
  <dc:description/>
  <cp:lastModifiedBy>Grant Leung</cp:lastModifiedBy>
  <cp:revision>20</cp:revision>
  <cp:lastPrinted>2019-02-11T19:18:00Z</cp:lastPrinted>
  <dcterms:created xsi:type="dcterms:W3CDTF">2019-12-19T17:49:00Z</dcterms:created>
  <dcterms:modified xsi:type="dcterms:W3CDTF">2025-03-28T19:38:00Z</dcterms:modified>
</cp:coreProperties>
</file>