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5024" w14:textId="6828CCD2" w:rsidR="00A70529" w:rsidRPr="002D4703" w:rsidRDefault="00A70529" w:rsidP="009F0EC0">
      <w:pPr>
        <w:pBdr>
          <w:top w:val="single" w:sz="24" w:space="31" w:color="auto"/>
          <w:left w:val="single" w:sz="24" w:space="4" w:color="auto"/>
          <w:bottom w:val="single" w:sz="24" w:space="1" w:color="auto"/>
          <w:right w:val="single" w:sz="24" w:space="4" w:color="auto"/>
        </w:pBdr>
        <w:spacing w:before="960"/>
        <w:jc w:val="center"/>
        <w:rPr>
          <w:rFonts w:ascii="Arial" w:hAnsi="Arial" w:cs="Arial"/>
          <w:b/>
          <w:bCs/>
          <w:sz w:val="28"/>
          <w:szCs w:val="28"/>
        </w:rPr>
      </w:pPr>
      <w:r w:rsidRPr="002D4703">
        <w:rPr>
          <w:rFonts w:ascii="Arial" w:hAnsi="Arial" w:cs="Arial"/>
          <w:b/>
          <w:bCs/>
          <w:sz w:val="28"/>
          <w:szCs w:val="28"/>
        </w:rPr>
        <w:t>California Department of Education</w:t>
      </w:r>
    </w:p>
    <w:p w14:paraId="4D50D5C5" w14:textId="18C4E2CB" w:rsidR="00A70529" w:rsidRPr="009F0EC0" w:rsidRDefault="00A70529" w:rsidP="009F0EC0">
      <w:pPr>
        <w:pStyle w:val="Heading1"/>
      </w:pPr>
      <w:r w:rsidRPr="009F0EC0">
        <w:t xml:space="preserve">Report </w:t>
      </w:r>
      <w:proofErr w:type="gramStart"/>
      <w:r w:rsidRPr="009F0EC0">
        <w:t>to</w:t>
      </w:r>
      <w:proofErr w:type="gramEnd"/>
      <w:r w:rsidRPr="009F0EC0">
        <w:t xml:space="preserve"> the</w:t>
      </w:r>
      <w:r w:rsidR="00892278" w:rsidRPr="009F0EC0">
        <w:t xml:space="preserve"> </w:t>
      </w:r>
      <w:r w:rsidR="00594187" w:rsidRPr="009F0EC0">
        <w:t>Legislature</w:t>
      </w:r>
      <w:r w:rsidR="00AB7E50" w:rsidRPr="009F0EC0">
        <w:t>: Dual Language Immersion Grant</w:t>
      </w:r>
    </w:p>
    <w:p w14:paraId="3125C115" w14:textId="5975B71D" w:rsidR="00A70529" w:rsidRPr="002D4703" w:rsidRDefault="008B626A" w:rsidP="009F0EC0">
      <w:pPr>
        <w:pBdr>
          <w:top w:val="single" w:sz="24" w:space="31" w:color="auto"/>
          <w:left w:val="single" w:sz="24" w:space="4" w:color="auto"/>
          <w:bottom w:val="single" w:sz="24" w:space="1" w:color="auto"/>
          <w:right w:val="single" w:sz="24" w:space="4" w:color="auto"/>
        </w:pBdr>
        <w:jc w:val="center"/>
        <w:rPr>
          <w:rFonts w:ascii="Arial" w:hAnsi="Arial" w:cs="Arial"/>
          <w:b/>
          <w:bCs/>
        </w:rPr>
      </w:pPr>
      <w:r w:rsidRPr="002D4703">
        <w:rPr>
          <w:rFonts w:ascii="Arial" w:hAnsi="Arial" w:cs="Arial"/>
          <w:color w:val="C0C0C0"/>
        </w:rPr>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25pt;height:179.25pt" o:ole="">
            <v:imagedata r:id="rId8" o:title=""/>
          </v:shape>
          <o:OLEObject Type="Embed" ProgID="MSPhotoEd.3" ShapeID="_x0000_i1025" DrawAspect="Content" ObjectID="_1841906987" r:id="rId9"/>
        </w:object>
      </w:r>
    </w:p>
    <w:p w14:paraId="4E9A13CB" w14:textId="3B025427" w:rsidR="00A70529" w:rsidRPr="009F0EC0" w:rsidRDefault="00A70529" w:rsidP="009F0EC0">
      <w:pPr>
        <w:pBdr>
          <w:top w:val="single" w:sz="24" w:space="31" w:color="auto"/>
          <w:left w:val="single" w:sz="24" w:space="4" w:color="auto"/>
          <w:bottom w:val="single" w:sz="24" w:space="1" w:color="auto"/>
          <w:right w:val="single" w:sz="24" w:space="4" w:color="auto"/>
        </w:pBdr>
        <w:spacing w:before="840"/>
        <w:jc w:val="center"/>
        <w:rPr>
          <w:rFonts w:ascii="Arial" w:hAnsi="Arial" w:cs="Arial"/>
          <w:b/>
          <w:bCs/>
          <w:iCs/>
        </w:rPr>
      </w:pPr>
      <w:r w:rsidRPr="002D4703">
        <w:rPr>
          <w:rFonts w:ascii="Arial" w:hAnsi="Arial" w:cs="Arial"/>
          <w:b/>
          <w:bCs/>
          <w:iCs/>
        </w:rPr>
        <w:t>Prepared by:</w:t>
      </w:r>
    </w:p>
    <w:p w14:paraId="07F62240" w14:textId="7DF09700" w:rsidR="00A70529" w:rsidRPr="002D4703" w:rsidRDefault="00594187" w:rsidP="009F0EC0">
      <w:pPr>
        <w:pBdr>
          <w:top w:val="single" w:sz="24" w:space="31" w:color="auto"/>
          <w:left w:val="single" w:sz="24" w:space="4" w:color="auto"/>
          <w:bottom w:val="single" w:sz="24" w:space="1" w:color="auto"/>
          <w:right w:val="single" w:sz="24" w:space="4" w:color="auto"/>
        </w:pBdr>
        <w:spacing w:before="360"/>
        <w:jc w:val="center"/>
        <w:rPr>
          <w:rFonts w:ascii="Arial" w:hAnsi="Arial" w:cs="Arial"/>
          <w:b/>
          <w:bCs/>
          <w:color w:val="000000" w:themeColor="text1"/>
          <w:sz w:val="28"/>
          <w:szCs w:val="28"/>
        </w:rPr>
      </w:pPr>
      <w:r w:rsidRPr="002D4703">
        <w:rPr>
          <w:rFonts w:ascii="Arial" w:hAnsi="Arial" w:cs="Arial"/>
          <w:b/>
          <w:bCs/>
          <w:color w:val="000000" w:themeColor="text1"/>
          <w:sz w:val="28"/>
          <w:szCs w:val="28"/>
        </w:rPr>
        <w:t>Multilingual Support Division</w:t>
      </w:r>
    </w:p>
    <w:p w14:paraId="14FD37BD" w14:textId="0A0AD978" w:rsidR="00A70529" w:rsidRPr="009F0EC0" w:rsidRDefault="00594187" w:rsidP="009F0EC0">
      <w:pPr>
        <w:pBdr>
          <w:top w:val="single" w:sz="24" w:space="31" w:color="auto"/>
          <w:left w:val="single" w:sz="24" w:space="4" w:color="auto"/>
          <w:bottom w:val="single" w:sz="24" w:space="1" w:color="auto"/>
          <w:right w:val="single" w:sz="24" w:space="4" w:color="auto"/>
        </w:pBdr>
        <w:jc w:val="center"/>
        <w:rPr>
          <w:rFonts w:ascii="Arial" w:hAnsi="Arial" w:cs="Arial"/>
          <w:b/>
          <w:bCs/>
          <w:color w:val="000000" w:themeColor="text1"/>
          <w:sz w:val="28"/>
          <w:szCs w:val="28"/>
        </w:rPr>
      </w:pPr>
      <w:r w:rsidRPr="002D4703">
        <w:rPr>
          <w:rFonts w:ascii="Arial" w:hAnsi="Arial" w:cs="Arial"/>
          <w:b/>
          <w:bCs/>
          <w:color w:val="000000" w:themeColor="text1"/>
          <w:sz w:val="28"/>
          <w:szCs w:val="28"/>
        </w:rPr>
        <w:t>Building Educational Success Together</w:t>
      </w:r>
      <w:r w:rsidR="00A70529" w:rsidRPr="002D4703">
        <w:rPr>
          <w:rFonts w:ascii="Arial" w:hAnsi="Arial" w:cs="Arial"/>
          <w:b/>
          <w:bCs/>
          <w:color w:val="000000" w:themeColor="text1"/>
          <w:sz w:val="28"/>
          <w:szCs w:val="28"/>
        </w:rPr>
        <w:t xml:space="preserve"> Branch</w:t>
      </w:r>
    </w:p>
    <w:p w14:paraId="074AF63E" w14:textId="61B34332" w:rsidR="00A70529" w:rsidRPr="009F0EC0" w:rsidRDefault="00594187" w:rsidP="009F0EC0">
      <w:pPr>
        <w:pBdr>
          <w:top w:val="single" w:sz="24" w:space="31" w:color="auto"/>
          <w:left w:val="single" w:sz="24" w:space="4" w:color="auto"/>
          <w:bottom w:val="single" w:sz="24" w:space="1" w:color="auto"/>
          <w:right w:val="single" w:sz="24" w:space="4" w:color="auto"/>
        </w:pBdr>
        <w:spacing w:before="240" w:after="240"/>
        <w:jc w:val="center"/>
        <w:rPr>
          <w:rFonts w:ascii="Arial" w:hAnsi="Arial" w:cs="Arial"/>
          <w:iCs/>
          <w:color w:val="000000" w:themeColor="text1"/>
        </w:rPr>
      </w:pPr>
      <w:r w:rsidRPr="002D4703">
        <w:rPr>
          <w:rFonts w:ascii="Arial" w:hAnsi="Arial" w:cs="Arial"/>
          <w:iCs/>
          <w:color w:val="000000" w:themeColor="text1"/>
        </w:rPr>
        <w:t>June 1, 2026</w:t>
      </w:r>
    </w:p>
    <w:p w14:paraId="4FD5AD94" w14:textId="7745EACB" w:rsidR="00A70529" w:rsidRPr="002D4703" w:rsidRDefault="00A70529" w:rsidP="009F0EC0">
      <w:pPr>
        <w:pBdr>
          <w:top w:val="single" w:sz="24" w:space="31" w:color="auto"/>
          <w:left w:val="single" w:sz="24" w:space="4" w:color="auto"/>
          <w:bottom w:val="single" w:sz="24" w:space="1" w:color="auto"/>
          <w:right w:val="single" w:sz="24" w:space="4" w:color="auto"/>
        </w:pBdr>
        <w:spacing w:before="120"/>
        <w:jc w:val="both"/>
        <w:rPr>
          <w:rFonts w:ascii="Arial" w:hAnsi="Arial" w:cs="Arial"/>
          <w:sz w:val="18"/>
          <w:szCs w:val="18"/>
          <w:lang w:bidi="en-US"/>
        </w:rPr>
      </w:pPr>
      <w:r w:rsidRPr="002D4703">
        <w:rPr>
          <w:rFonts w:ascii="Arial" w:hAnsi="Arial" w:cs="Arial"/>
          <w:i/>
          <w:sz w:val="18"/>
          <w:szCs w:val="18"/>
          <w:lang w:bidi="en-US"/>
        </w:rPr>
        <w:t>Description</w:t>
      </w:r>
      <w:r w:rsidRPr="002D4703">
        <w:rPr>
          <w:rFonts w:ascii="Arial" w:hAnsi="Arial" w:cs="Arial"/>
          <w:sz w:val="18"/>
          <w:szCs w:val="18"/>
          <w:lang w:bidi="en-US"/>
        </w:rPr>
        <w:t xml:space="preserve">: </w:t>
      </w:r>
      <w:r w:rsidR="00300558" w:rsidRPr="002D4703">
        <w:rPr>
          <w:rFonts w:ascii="Arial" w:hAnsi="Arial" w:cs="Arial"/>
          <w:sz w:val="18"/>
          <w:szCs w:val="18"/>
          <w:lang w:bidi="en-US"/>
        </w:rPr>
        <w:t>Dual Language Immersion Grant Legislative Report</w:t>
      </w:r>
      <w:r w:rsidRPr="002D4703">
        <w:rPr>
          <w:rFonts w:ascii="Arial" w:hAnsi="Arial" w:cs="Arial"/>
          <w:sz w:val="18"/>
          <w:szCs w:val="18"/>
          <w:lang w:bidi="en-US"/>
        </w:rPr>
        <w:t xml:space="preserve"> </w:t>
      </w:r>
    </w:p>
    <w:p w14:paraId="2D8D7EA9" w14:textId="48C386DB" w:rsidR="00A70529" w:rsidRPr="002D4703" w:rsidRDefault="00A70529" w:rsidP="009F0EC0">
      <w:pPr>
        <w:pBdr>
          <w:top w:val="single" w:sz="24" w:space="31" w:color="auto"/>
          <w:left w:val="single" w:sz="24" w:space="4" w:color="auto"/>
          <w:bottom w:val="single" w:sz="24" w:space="1" w:color="auto"/>
          <w:right w:val="single" w:sz="24" w:space="4" w:color="auto"/>
        </w:pBdr>
        <w:spacing w:before="120"/>
        <w:jc w:val="both"/>
        <w:rPr>
          <w:rFonts w:ascii="Arial" w:hAnsi="Arial" w:cs="Arial"/>
          <w:color w:val="C00000"/>
          <w:sz w:val="18"/>
          <w:szCs w:val="18"/>
          <w:lang w:bidi="en-US"/>
        </w:rPr>
      </w:pPr>
      <w:r w:rsidRPr="002D4703">
        <w:rPr>
          <w:rFonts w:ascii="Arial" w:hAnsi="Arial" w:cs="Arial"/>
          <w:i/>
          <w:sz w:val="18"/>
          <w:szCs w:val="18"/>
          <w:lang w:bidi="en-US"/>
        </w:rPr>
        <w:t>Authority</w:t>
      </w:r>
      <w:r w:rsidRPr="002D4703">
        <w:rPr>
          <w:rFonts w:ascii="Arial" w:hAnsi="Arial" w:cs="Arial"/>
          <w:sz w:val="18"/>
          <w:szCs w:val="18"/>
          <w:lang w:bidi="en-US"/>
        </w:rPr>
        <w:t xml:space="preserve">: </w:t>
      </w:r>
      <w:r w:rsidR="00CC7042" w:rsidRPr="002D4703">
        <w:rPr>
          <w:rFonts w:ascii="Arial" w:hAnsi="Arial" w:cs="Arial"/>
          <w:sz w:val="18"/>
          <w:szCs w:val="18"/>
          <w:lang w:bidi="en-US"/>
        </w:rPr>
        <w:t>Assembly Bill 130, Chapter 44, Section 158, Statu</w:t>
      </w:r>
      <w:r w:rsidR="005920C7" w:rsidRPr="002D4703">
        <w:rPr>
          <w:rFonts w:ascii="Arial" w:hAnsi="Arial" w:cs="Arial"/>
          <w:sz w:val="18"/>
          <w:szCs w:val="18"/>
          <w:lang w:bidi="en-US"/>
        </w:rPr>
        <w:t>t</w:t>
      </w:r>
      <w:r w:rsidR="00CC7042" w:rsidRPr="002D4703">
        <w:rPr>
          <w:rFonts w:ascii="Arial" w:hAnsi="Arial" w:cs="Arial"/>
          <w:sz w:val="18"/>
          <w:szCs w:val="18"/>
          <w:lang w:bidi="en-US"/>
        </w:rPr>
        <w:t xml:space="preserve">es of 2021 </w:t>
      </w:r>
    </w:p>
    <w:p w14:paraId="5E4FFB83" w14:textId="5EAE1E0D" w:rsidR="00A70529" w:rsidRPr="002D4703" w:rsidRDefault="00A70529" w:rsidP="009F0EC0">
      <w:pPr>
        <w:pBdr>
          <w:top w:val="single" w:sz="24" w:space="31" w:color="auto"/>
          <w:left w:val="single" w:sz="24" w:space="4" w:color="auto"/>
          <w:bottom w:val="single" w:sz="24" w:space="1" w:color="auto"/>
          <w:right w:val="single" w:sz="24" w:space="4" w:color="auto"/>
        </w:pBdr>
        <w:spacing w:before="120"/>
        <w:jc w:val="both"/>
        <w:rPr>
          <w:rFonts w:ascii="Arial" w:hAnsi="Arial" w:cs="Arial"/>
          <w:color w:val="C00000"/>
          <w:sz w:val="18"/>
          <w:szCs w:val="18"/>
          <w:lang w:bidi="en-US"/>
        </w:rPr>
      </w:pPr>
      <w:r w:rsidRPr="002D4703">
        <w:rPr>
          <w:rFonts w:ascii="Arial" w:hAnsi="Arial" w:cs="Arial"/>
          <w:i/>
          <w:sz w:val="18"/>
          <w:szCs w:val="18"/>
          <w:lang w:bidi="en-US"/>
        </w:rPr>
        <w:t>Recipient</w:t>
      </w:r>
      <w:r w:rsidRPr="002D4703">
        <w:rPr>
          <w:rFonts w:ascii="Arial" w:hAnsi="Arial" w:cs="Arial"/>
          <w:sz w:val="18"/>
          <w:szCs w:val="18"/>
          <w:lang w:bidi="en-US"/>
        </w:rPr>
        <w:t>:</w:t>
      </w:r>
      <w:r w:rsidR="00CC7042" w:rsidRPr="002D4703">
        <w:rPr>
          <w:rFonts w:ascii="Arial" w:hAnsi="Arial" w:cs="Arial"/>
          <w:sz w:val="18"/>
          <w:szCs w:val="18"/>
          <w:lang w:bidi="en-US"/>
        </w:rPr>
        <w:t xml:space="preserve"> California State Legislature</w:t>
      </w:r>
    </w:p>
    <w:p w14:paraId="4237374B" w14:textId="12AE0605" w:rsidR="00A70529" w:rsidRPr="009F0EC0" w:rsidRDefault="00A70529" w:rsidP="009F0EC0">
      <w:pPr>
        <w:pBdr>
          <w:top w:val="single" w:sz="24" w:space="31" w:color="auto"/>
          <w:left w:val="single" w:sz="24" w:space="4" w:color="auto"/>
          <w:bottom w:val="single" w:sz="24" w:space="1" w:color="auto"/>
          <w:right w:val="single" w:sz="24" w:space="4" w:color="auto"/>
        </w:pBdr>
        <w:spacing w:before="120" w:after="120"/>
        <w:jc w:val="both"/>
        <w:rPr>
          <w:rFonts w:ascii="Arial" w:hAnsi="Arial" w:cs="Arial"/>
          <w:color w:val="000000" w:themeColor="text1"/>
          <w:sz w:val="18"/>
          <w:szCs w:val="18"/>
          <w:lang w:bidi="en-US"/>
        </w:rPr>
      </w:pPr>
      <w:r w:rsidRPr="002D4703">
        <w:rPr>
          <w:rFonts w:ascii="Arial" w:hAnsi="Arial" w:cs="Arial"/>
          <w:i/>
          <w:color w:val="000000" w:themeColor="text1"/>
          <w:sz w:val="18"/>
          <w:szCs w:val="18"/>
          <w:lang w:bidi="en-US"/>
        </w:rPr>
        <w:t>Due Date</w:t>
      </w:r>
      <w:r w:rsidRPr="002D4703">
        <w:rPr>
          <w:rFonts w:ascii="Arial" w:hAnsi="Arial" w:cs="Arial"/>
          <w:color w:val="000000" w:themeColor="text1"/>
          <w:sz w:val="18"/>
          <w:szCs w:val="18"/>
          <w:lang w:bidi="en-US"/>
        </w:rPr>
        <w:t xml:space="preserve">: </w:t>
      </w:r>
      <w:r w:rsidR="00594187" w:rsidRPr="002D4703">
        <w:rPr>
          <w:rFonts w:ascii="Arial" w:hAnsi="Arial" w:cs="Arial"/>
          <w:color w:val="000000" w:themeColor="text1"/>
          <w:sz w:val="18"/>
          <w:szCs w:val="18"/>
          <w:lang w:bidi="en-US"/>
        </w:rPr>
        <w:t>June 1, 2026</w:t>
      </w:r>
    </w:p>
    <w:p w14:paraId="5B510233" w14:textId="77777777" w:rsidR="00F614E3" w:rsidRPr="002D4703" w:rsidRDefault="00F614E3" w:rsidP="00A70529"/>
    <w:p w14:paraId="4DCE4315" w14:textId="77777777" w:rsidR="00315109" w:rsidRPr="002D4703" w:rsidRDefault="00315109" w:rsidP="00A70529">
      <w:pPr>
        <w:sectPr w:rsidR="00315109" w:rsidRPr="002D4703" w:rsidSect="00131C7F">
          <w:footerReference w:type="default" r:id="rId10"/>
          <w:pgSz w:w="12240" w:h="15840"/>
          <w:pgMar w:top="1440" w:right="1440" w:bottom="1440" w:left="1800" w:header="720" w:footer="720" w:gutter="0"/>
          <w:pgNumType w:start="1"/>
          <w:cols w:space="720"/>
          <w:titlePg/>
          <w:docGrid w:linePitch="360"/>
        </w:sectPr>
      </w:pPr>
    </w:p>
    <w:p w14:paraId="7EDF5C43" w14:textId="77777777" w:rsidR="00941F84" w:rsidRPr="002D4703" w:rsidRDefault="00941F84" w:rsidP="00941F84">
      <w:pPr>
        <w:tabs>
          <w:tab w:val="decimal" w:leader="dot" w:pos="8820"/>
        </w:tabs>
        <w:spacing w:line="360" w:lineRule="auto"/>
        <w:ind w:right="-180"/>
        <w:jc w:val="center"/>
        <w:rPr>
          <w:rFonts w:ascii="Arial" w:hAnsi="Arial" w:cs="Arial"/>
          <w:b/>
          <w:bCs/>
        </w:rPr>
      </w:pPr>
      <w:r w:rsidRPr="002D4703">
        <w:rPr>
          <w:rFonts w:ascii="Arial" w:hAnsi="Arial" w:cs="Arial"/>
          <w:b/>
          <w:bCs/>
        </w:rPr>
        <w:lastRenderedPageBreak/>
        <w:t>California Department of Education</w:t>
      </w:r>
    </w:p>
    <w:p w14:paraId="0541EFF1" w14:textId="4C7929E7" w:rsidR="00941F84" w:rsidRPr="002D4703" w:rsidRDefault="00941F84" w:rsidP="00DA7FAD">
      <w:pPr>
        <w:spacing w:after="240" w:line="360" w:lineRule="auto"/>
        <w:jc w:val="center"/>
        <w:rPr>
          <w:rFonts w:ascii="Arial" w:hAnsi="Arial" w:cs="Arial"/>
          <w:b/>
          <w:bCs/>
          <w:color w:val="C00000"/>
        </w:rPr>
      </w:pPr>
      <w:r w:rsidRPr="002D4703">
        <w:rPr>
          <w:rFonts w:ascii="Arial" w:hAnsi="Arial" w:cs="Arial"/>
          <w:b/>
        </w:rPr>
        <w:t xml:space="preserve">Report to the </w:t>
      </w:r>
      <w:r w:rsidR="00242B0A" w:rsidRPr="002D4703">
        <w:rPr>
          <w:rFonts w:ascii="Arial" w:hAnsi="Arial" w:cs="Arial"/>
          <w:b/>
        </w:rPr>
        <w:t>Legislature</w:t>
      </w:r>
    </w:p>
    <w:sdt>
      <w:sdtPr>
        <w:rPr>
          <w:rFonts w:ascii="Times New Roman" w:eastAsia="Times New Roman" w:hAnsi="Times New Roman" w:cs="Times New Roman"/>
          <w:b w:val="0"/>
          <w:sz w:val="24"/>
          <w:szCs w:val="24"/>
        </w:rPr>
        <w:id w:val="18518436"/>
        <w:docPartObj>
          <w:docPartGallery w:val="Table of Contents"/>
          <w:docPartUnique/>
        </w:docPartObj>
      </w:sdtPr>
      <w:sdtEndPr>
        <w:rPr>
          <w:bCs/>
          <w:noProof/>
        </w:rPr>
      </w:sdtEndPr>
      <w:sdtContent>
        <w:p w14:paraId="4EF471DE" w14:textId="12C13169" w:rsidR="00534DD4" w:rsidRPr="009D0E78" w:rsidRDefault="00807ADE" w:rsidP="009D0E78">
          <w:pPr>
            <w:pStyle w:val="Heading2"/>
          </w:pPr>
          <w:r w:rsidRPr="009D0E78">
            <w:t>Table of Contents</w:t>
          </w:r>
        </w:p>
        <w:p w14:paraId="1EF3C551" w14:textId="43AE533C" w:rsidR="00A46312" w:rsidRPr="002D4703" w:rsidRDefault="00807ADE">
          <w:pPr>
            <w:pStyle w:val="TOC1"/>
            <w:rPr>
              <w:rFonts w:asciiTheme="minorHAnsi" w:eastAsiaTheme="minorEastAsia" w:hAnsiTheme="minorHAnsi" w:cstheme="minorBidi"/>
              <w:kern w:val="2"/>
              <w14:ligatures w14:val="standardContextual"/>
            </w:rPr>
          </w:pPr>
          <w:r w:rsidRPr="002D4703">
            <w:fldChar w:fldCharType="begin"/>
          </w:r>
          <w:r w:rsidRPr="002D4703">
            <w:instrText xml:space="preserve"> TOC \o "1-3" \h \z \u </w:instrText>
          </w:r>
          <w:r w:rsidRPr="002D4703">
            <w:fldChar w:fldCharType="separate"/>
          </w:r>
          <w:hyperlink w:anchor="_Toc219285933" w:history="1">
            <w:r w:rsidR="00A46312" w:rsidRPr="002D4703">
              <w:rPr>
                <w:rStyle w:val="Hyperlink"/>
              </w:rPr>
              <w:t>Executive Summary</w:t>
            </w:r>
            <w:r w:rsidR="00A46312" w:rsidRPr="002D4703">
              <w:rPr>
                <w:webHidden/>
              </w:rPr>
              <w:tab/>
            </w:r>
            <w:r w:rsidR="00A46312" w:rsidRPr="002D4703">
              <w:rPr>
                <w:webHidden/>
              </w:rPr>
              <w:fldChar w:fldCharType="begin"/>
            </w:r>
            <w:r w:rsidR="00A46312" w:rsidRPr="002D4703">
              <w:rPr>
                <w:webHidden/>
              </w:rPr>
              <w:instrText xml:space="preserve"> PAGEREF _Toc219285933 \h </w:instrText>
            </w:r>
            <w:r w:rsidR="00A46312" w:rsidRPr="002D4703">
              <w:rPr>
                <w:webHidden/>
              </w:rPr>
            </w:r>
            <w:r w:rsidR="00A46312" w:rsidRPr="002D4703">
              <w:rPr>
                <w:webHidden/>
              </w:rPr>
              <w:fldChar w:fldCharType="separate"/>
            </w:r>
            <w:r w:rsidR="00DA6F86">
              <w:rPr>
                <w:webHidden/>
              </w:rPr>
              <w:t>2</w:t>
            </w:r>
            <w:r w:rsidR="00A46312" w:rsidRPr="002D4703">
              <w:rPr>
                <w:webHidden/>
              </w:rPr>
              <w:fldChar w:fldCharType="end"/>
            </w:r>
          </w:hyperlink>
        </w:p>
        <w:p w14:paraId="08E56F9F" w14:textId="5CBC51C8" w:rsidR="00A46312" w:rsidRPr="002D4703" w:rsidRDefault="00A46312">
          <w:pPr>
            <w:pStyle w:val="TOC1"/>
            <w:rPr>
              <w:rFonts w:asciiTheme="minorHAnsi" w:eastAsiaTheme="minorEastAsia" w:hAnsiTheme="minorHAnsi" w:cstheme="minorBidi"/>
              <w:kern w:val="2"/>
              <w14:ligatures w14:val="standardContextual"/>
            </w:rPr>
          </w:pPr>
          <w:hyperlink w:anchor="_Toc219285934" w:history="1">
            <w:r w:rsidRPr="002D4703">
              <w:rPr>
                <w:rStyle w:val="Hyperlink"/>
              </w:rPr>
              <w:t>Background</w:t>
            </w:r>
            <w:r w:rsidRPr="002D4703">
              <w:rPr>
                <w:webHidden/>
              </w:rPr>
              <w:tab/>
            </w:r>
            <w:r w:rsidRPr="002D4703">
              <w:rPr>
                <w:webHidden/>
              </w:rPr>
              <w:fldChar w:fldCharType="begin"/>
            </w:r>
            <w:r w:rsidRPr="002D4703">
              <w:rPr>
                <w:webHidden/>
              </w:rPr>
              <w:instrText xml:space="preserve"> PAGEREF _Toc219285934 \h </w:instrText>
            </w:r>
            <w:r w:rsidRPr="002D4703">
              <w:rPr>
                <w:webHidden/>
              </w:rPr>
            </w:r>
            <w:r w:rsidRPr="002D4703">
              <w:rPr>
                <w:webHidden/>
              </w:rPr>
              <w:fldChar w:fldCharType="separate"/>
            </w:r>
            <w:r w:rsidR="00DA6F86">
              <w:rPr>
                <w:webHidden/>
              </w:rPr>
              <w:t>3</w:t>
            </w:r>
            <w:r w:rsidRPr="002D4703">
              <w:rPr>
                <w:webHidden/>
              </w:rPr>
              <w:fldChar w:fldCharType="end"/>
            </w:r>
          </w:hyperlink>
        </w:p>
        <w:p w14:paraId="64F7ED44" w14:textId="2B53E5BF" w:rsidR="00A46312" w:rsidRPr="002D4703" w:rsidRDefault="00A46312">
          <w:pPr>
            <w:pStyle w:val="TOC1"/>
            <w:rPr>
              <w:rFonts w:asciiTheme="minorHAnsi" w:eastAsiaTheme="minorEastAsia" w:hAnsiTheme="minorHAnsi" w:cstheme="minorBidi"/>
              <w:kern w:val="2"/>
              <w14:ligatures w14:val="standardContextual"/>
            </w:rPr>
          </w:pPr>
          <w:hyperlink w:anchor="_Toc219285935" w:history="1">
            <w:r w:rsidRPr="002D4703">
              <w:rPr>
                <w:rStyle w:val="Hyperlink"/>
              </w:rPr>
              <w:t>State Statute and Authority</w:t>
            </w:r>
            <w:r w:rsidRPr="002D4703">
              <w:rPr>
                <w:webHidden/>
              </w:rPr>
              <w:tab/>
            </w:r>
            <w:r w:rsidRPr="002D4703">
              <w:rPr>
                <w:webHidden/>
              </w:rPr>
              <w:fldChar w:fldCharType="begin"/>
            </w:r>
            <w:r w:rsidRPr="002D4703">
              <w:rPr>
                <w:webHidden/>
              </w:rPr>
              <w:instrText xml:space="preserve"> PAGEREF _Toc219285935 \h </w:instrText>
            </w:r>
            <w:r w:rsidRPr="002D4703">
              <w:rPr>
                <w:webHidden/>
              </w:rPr>
            </w:r>
            <w:r w:rsidRPr="002D4703">
              <w:rPr>
                <w:webHidden/>
              </w:rPr>
              <w:fldChar w:fldCharType="separate"/>
            </w:r>
            <w:r w:rsidR="00DA6F86">
              <w:rPr>
                <w:webHidden/>
              </w:rPr>
              <w:t>3</w:t>
            </w:r>
            <w:r w:rsidRPr="002D4703">
              <w:rPr>
                <w:webHidden/>
              </w:rPr>
              <w:fldChar w:fldCharType="end"/>
            </w:r>
          </w:hyperlink>
        </w:p>
        <w:p w14:paraId="165646FC" w14:textId="00181D0F" w:rsidR="00A46312" w:rsidRPr="002D4703" w:rsidRDefault="00A46312">
          <w:pPr>
            <w:pStyle w:val="TOC1"/>
            <w:rPr>
              <w:rFonts w:asciiTheme="minorHAnsi" w:eastAsiaTheme="minorEastAsia" w:hAnsiTheme="minorHAnsi" w:cstheme="minorBidi"/>
              <w:kern w:val="2"/>
              <w14:ligatures w14:val="standardContextual"/>
            </w:rPr>
          </w:pPr>
          <w:hyperlink w:anchor="_Toc219285936" w:history="1">
            <w:r w:rsidRPr="002D4703">
              <w:rPr>
                <w:rStyle w:val="Hyperlink"/>
              </w:rPr>
              <w:t>Legislative Reporting Requirements</w:t>
            </w:r>
            <w:r w:rsidRPr="002D4703">
              <w:rPr>
                <w:webHidden/>
              </w:rPr>
              <w:tab/>
            </w:r>
            <w:r w:rsidRPr="002D4703">
              <w:rPr>
                <w:webHidden/>
              </w:rPr>
              <w:fldChar w:fldCharType="begin"/>
            </w:r>
            <w:r w:rsidRPr="002D4703">
              <w:rPr>
                <w:webHidden/>
              </w:rPr>
              <w:instrText xml:space="preserve"> PAGEREF _Toc219285936 \h </w:instrText>
            </w:r>
            <w:r w:rsidRPr="002D4703">
              <w:rPr>
                <w:webHidden/>
              </w:rPr>
            </w:r>
            <w:r w:rsidRPr="002D4703">
              <w:rPr>
                <w:webHidden/>
              </w:rPr>
              <w:fldChar w:fldCharType="separate"/>
            </w:r>
            <w:r w:rsidR="00DA6F86">
              <w:rPr>
                <w:webHidden/>
              </w:rPr>
              <w:t>3</w:t>
            </w:r>
            <w:r w:rsidRPr="002D4703">
              <w:rPr>
                <w:webHidden/>
              </w:rPr>
              <w:fldChar w:fldCharType="end"/>
            </w:r>
          </w:hyperlink>
        </w:p>
        <w:p w14:paraId="06EE0000" w14:textId="1D1204AC" w:rsidR="00A46312" w:rsidRPr="002D4703" w:rsidRDefault="00A46312">
          <w:pPr>
            <w:pStyle w:val="TOC1"/>
            <w:rPr>
              <w:rFonts w:asciiTheme="minorHAnsi" w:eastAsiaTheme="minorEastAsia" w:hAnsiTheme="minorHAnsi" w:cstheme="minorBidi"/>
              <w:kern w:val="2"/>
              <w14:ligatures w14:val="standardContextual"/>
            </w:rPr>
          </w:pPr>
          <w:hyperlink w:anchor="_Toc219285937" w:history="1">
            <w:r w:rsidRPr="002D4703">
              <w:rPr>
                <w:rStyle w:val="Hyperlink"/>
              </w:rPr>
              <w:t>Grantee Information</w:t>
            </w:r>
            <w:r w:rsidRPr="002D4703">
              <w:rPr>
                <w:webHidden/>
              </w:rPr>
              <w:tab/>
            </w:r>
            <w:r w:rsidRPr="002D4703">
              <w:rPr>
                <w:webHidden/>
              </w:rPr>
              <w:fldChar w:fldCharType="begin"/>
            </w:r>
            <w:r w:rsidRPr="002D4703">
              <w:rPr>
                <w:webHidden/>
              </w:rPr>
              <w:instrText xml:space="preserve"> PAGEREF _Toc219285937 \h </w:instrText>
            </w:r>
            <w:r w:rsidRPr="002D4703">
              <w:rPr>
                <w:webHidden/>
              </w:rPr>
            </w:r>
            <w:r w:rsidRPr="002D4703">
              <w:rPr>
                <w:webHidden/>
              </w:rPr>
              <w:fldChar w:fldCharType="separate"/>
            </w:r>
            <w:r w:rsidR="00DA6F86">
              <w:rPr>
                <w:webHidden/>
              </w:rPr>
              <w:t>4</w:t>
            </w:r>
            <w:r w:rsidRPr="002D4703">
              <w:rPr>
                <w:webHidden/>
              </w:rPr>
              <w:fldChar w:fldCharType="end"/>
            </w:r>
          </w:hyperlink>
        </w:p>
        <w:p w14:paraId="7382BA4B" w14:textId="53E246E6" w:rsidR="00A46312" w:rsidRPr="002D4703" w:rsidRDefault="00A46312">
          <w:pPr>
            <w:pStyle w:val="TOC1"/>
            <w:rPr>
              <w:rFonts w:asciiTheme="minorHAnsi" w:eastAsiaTheme="minorEastAsia" w:hAnsiTheme="minorHAnsi" w:cstheme="minorBidi"/>
              <w:kern w:val="2"/>
              <w14:ligatures w14:val="standardContextual"/>
            </w:rPr>
          </w:pPr>
          <w:hyperlink w:anchor="_Toc219285938" w:history="1">
            <w:r w:rsidRPr="002D4703">
              <w:rPr>
                <w:rStyle w:val="Hyperlink"/>
              </w:rPr>
              <w:t>Establishment and Expansion of DLI Programs</w:t>
            </w:r>
            <w:r w:rsidRPr="002D4703">
              <w:rPr>
                <w:webHidden/>
              </w:rPr>
              <w:tab/>
            </w:r>
            <w:r w:rsidRPr="002D4703">
              <w:rPr>
                <w:webHidden/>
              </w:rPr>
              <w:fldChar w:fldCharType="begin"/>
            </w:r>
            <w:r w:rsidRPr="002D4703">
              <w:rPr>
                <w:webHidden/>
              </w:rPr>
              <w:instrText xml:space="preserve"> PAGEREF _Toc219285938 \h </w:instrText>
            </w:r>
            <w:r w:rsidRPr="002D4703">
              <w:rPr>
                <w:webHidden/>
              </w:rPr>
            </w:r>
            <w:r w:rsidRPr="002D4703">
              <w:rPr>
                <w:webHidden/>
              </w:rPr>
              <w:fldChar w:fldCharType="separate"/>
            </w:r>
            <w:r w:rsidR="00DA6F86">
              <w:rPr>
                <w:webHidden/>
              </w:rPr>
              <w:t>5</w:t>
            </w:r>
            <w:r w:rsidRPr="002D4703">
              <w:rPr>
                <w:webHidden/>
              </w:rPr>
              <w:fldChar w:fldCharType="end"/>
            </w:r>
          </w:hyperlink>
        </w:p>
        <w:p w14:paraId="7931B538" w14:textId="4F85D6D7" w:rsidR="00A46312" w:rsidRPr="002D4703" w:rsidRDefault="00A46312">
          <w:pPr>
            <w:pStyle w:val="TOC1"/>
            <w:rPr>
              <w:rFonts w:asciiTheme="minorHAnsi" w:eastAsiaTheme="minorEastAsia" w:hAnsiTheme="minorHAnsi" w:cstheme="minorBidi"/>
              <w:kern w:val="2"/>
              <w14:ligatures w14:val="standardContextual"/>
            </w:rPr>
          </w:pPr>
          <w:hyperlink w:anchor="_Toc219285939" w:history="1">
            <w:r w:rsidRPr="002D4703">
              <w:rPr>
                <w:rStyle w:val="Hyperlink"/>
              </w:rPr>
              <w:t>Grant Successes</w:t>
            </w:r>
            <w:r w:rsidRPr="002D4703">
              <w:rPr>
                <w:webHidden/>
              </w:rPr>
              <w:tab/>
            </w:r>
            <w:r w:rsidRPr="002D4703">
              <w:rPr>
                <w:webHidden/>
              </w:rPr>
              <w:fldChar w:fldCharType="begin"/>
            </w:r>
            <w:r w:rsidRPr="002D4703">
              <w:rPr>
                <w:webHidden/>
              </w:rPr>
              <w:instrText xml:space="preserve"> PAGEREF _Toc219285939 \h </w:instrText>
            </w:r>
            <w:r w:rsidRPr="002D4703">
              <w:rPr>
                <w:webHidden/>
              </w:rPr>
            </w:r>
            <w:r w:rsidRPr="002D4703">
              <w:rPr>
                <w:webHidden/>
              </w:rPr>
              <w:fldChar w:fldCharType="separate"/>
            </w:r>
            <w:r w:rsidR="00DA6F86">
              <w:rPr>
                <w:webHidden/>
              </w:rPr>
              <w:t>6</w:t>
            </w:r>
            <w:r w:rsidRPr="002D4703">
              <w:rPr>
                <w:webHidden/>
              </w:rPr>
              <w:fldChar w:fldCharType="end"/>
            </w:r>
          </w:hyperlink>
        </w:p>
        <w:p w14:paraId="03022DCB" w14:textId="7DDD9F61" w:rsidR="00A46312" w:rsidRPr="002D4703" w:rsidRDefault="00A46312">
          <w:pPr>
            <w:pStyle w:val="TOC1"/>
            <w:rPr>
              <w:rFonts w:asciiTheme="minorHAnsi" w:eastAsiaTheme="minorEastAsia" w:hAnsiTheme="minorHAnsi" w:cstheme="minorBidi"/>
              <w:kern w:val="2"/>
              <w14:ligatures w14:val="standardContextual"/>
            </w:rPr>
          </w:pPr>
          <w:hyperlink w:anchor="_Toc219285940" w:history="1">
            <w:r w:rsidRPr="002D4703">
              <w:rPr>
                <w:rStyle w:val="Hyperlink"/>
              </w:rPr>
              <w:t>Student Impact from Grant Implementation</w:t>
            </w:r>
            <w:r w:rsidRPr="002D4703">
              <w:rPr>
                <w:webHidden/>
              </w:rPr>
              <w:tab/>
            </w:r>
            <w:r w:rsidRPr="002D4703">
              <w:rPr>
                <w:webHidden/>
              </w:rPr>
              <w:fldChar w:fldCharType="begin"/>
            </w:r>
            <w:r w:rsidRPr="002D4703">
              <w:rPr>
                <w:webHidden/>
              </w:rPr>
              <w:instrText xml:space="preserve"> PAGEREF _Toc219285940 \h </w:instrText>
            </w:r>
            <w:r w:rsidRPr="002D4703">
              <w:rPr>
                <w:webHidden/>
              </w:rPr>
            </w:r>
            <w:r w:rsidRPr="002D4703">
              <w:rPr>
                <w:webHidden/>
              </w:rPr>
              <w:fldChar w:fldCharType="separate"/>
            </w:r>
            <w:r w:rsidR="00DA6F86">
              <w:rPr>
                <w:webHidden/>
              </w:rPr>
              <w:t>6</w:t>
            </w:r>
            <w:r w:rsidRPr="002D4703">
              <w:rPr>
                <w:webHidden/>
              </w:rPr>
              <w:fldChar w:fldCharType="end"/>
            </w:r>
          </w:hyperlink>
        </w:p>
        <w:p w14:paraId="05A36F62" w14:textId="5967D69C" w:rsidR="00A46312" w:rsidRPr="002D4703" w:rsidRDefault="00A46312">
          <w:pPr>
            <w:pStyle w:val="TOC1"/>
            <w:rPr>
              <w:rFonts w:asciiTheme="minorHAnsi" w:eastAsiaTheme="minorEastAsia" w:hAnsiTheme="minorHAnsi" w:cstheme="minorBidi"/>
              <w:kern w:val="2"/>
              <w14:ligatures w14:val="standardContextual"/>
            </w:rPr>
          </w:pPr>
          <w:hyperlink w:anchor="_Toc219285941" w:history="1">
            <w:r w:rsidRPr="002D4703">
              <w:rPr>
                <w:rStyle w:val="Hyperlink"/>
              </w:rPr>
              <w:t>Curriculum Purchase, Development, and Alignment</w:t>
            </w:r>
            <w:r w:rsidRPr="002D4703">
              <w:rPr>
                <w:webHidden/>
              </w:rPr>
              <w:tab/>
            </w:r>
            <w:r w:rsidRPr="002D4703">
              <w:rPr>
                <w:webHidden/>
              </w:rPr>
              <w:fldChar w:fldCharType="begin"/>
            </w:r>
            <w:r w:rsidRPr="002D4703">
              <w:rPr>
                <w:webHidden/>
              </w:rPr>
              <w:instrText xml:space="preserve"> PAGEREF _Toc219285941 \h </w:instrText>
            </w:r>
            <w:r w:rsidRPr="002D4703">
              <w:rPr>
                <w:webHidden/>
              </w:rPr>
            </w:r>
            <w:r w:rsidRPr="002D4703">
              <w:rPr>
                <w:webHidden/>
              </w:rPr>
              <w:fldChar w:fldCharType="separate"/>
            </w:r>
            <w:r w:rsidR="00DA6F86">
              <w:rPr>
                <w:webHidden/>
              </w:rPr>
              <w:t>7</w:t>
            </w:r>
            <w:r w:rsidRPr="002D4703">
              <w:rPr>
                <w:webHidden/>
              </w:rPr>
              <w:fldChar w:fldCharType="end"/>
            </w:r>
          </w:hyperlink>
        </w:p>
        <w:p w14:paraId="69F4C3A4" w14:textId="4E5EB1B2" w:rsidR="00A46312" w:rsidRPr="002D4703" w:rsidRDefault="00A46312">
          <w:pPr>
            <w:pStyle w:val="TOC1"/>
            <w:rPr>
              <w:rFonts w:asciiTheme="minorHAnsi" w:eastAsiaTheme="minorEastAsia" w:hAnsiTheme="minorHAnsi" w:cstheme="minorBidi"/>
              <w:kern w:val="2"/>
              <w14:ligatures w14:val="standardContextual"/>
            </w:rPr>
          </w:pPr>
          <w:hyperlink w:anchor="_Toc219285942" w:history="1">
            <w:r w:rsidRPr="002D4703">
              <w:rPr>
                <w:rStyle w:val="Hyperlink"/>
              </w:rPr>
              <w:t>Professional Learning</w:t>
            </w:r>
            <w:r w:rsidRPr="002D4703">
              <w:rPr>
                <w:webHidden/>
              </w:rPr>
              <w:tab/>
            </w:r>
            <w:r w:rsidRPr="002D4703">
              <w:rPr>
                <w:webHidden/>
              </w:rPr>
              <w:fldChar w:fldCharType="begin"/>
            </w:r>
            <w:r w:rsidRPr="002D4703">
              <w:rPr>
                <w:webHidden/>
              </w:rPr>
              <w:instrText xml:space="preserve"> PAGEREF _Toc219285942 \h </w:instrText>
            </w:r>
            <w:r w:rsidRPr="002D4703">
              <w:rPr>
                <w:webHidden/>
              </w:rPr>
            </w:r>
            <w:r w:rsidRPr="002D4703">
              <w:rPr>
                <w:webHidden/>
              </w:rPr>
              <w:fldChar w:fldCharType="separate"/>
            </w:r>
            <w:r w:rsidR="00DA6F86">
              <w:rPr>
                <w:webHidden/>
              </w:rPr>
              <w:t>8</w:t>
            </w:r>
            <w:r w:rsidRPr="002D4703">
              <w:rPr>
                <w:webHidden/>
              </w:rPr>
              <w:fldChar w:fldCharType="end"/>
            </w:r>
          </w:hyperlink>
        </w:p>
        <w:p w14:paraId="6E024E85" w14:textId="74ABC599" w:rsidR="00A46312" w:rsidRPr="002D4703" w:rsidRDefault="00A46312">
          <w:pPr>
            <w:pStyle w:val="TOC1"/>
            <w:rPr>
              <w:rFonts w:asciiTheme="minorHAnsi" w:eastAsiaTheme="minorEastAsia" w:hAnsiTheme="minorHAnsi" w:cstheme="minorBidi"/>
              <w:kern w:val="2"/>
              <w14:ligatures w14:val="standardContextual"/>
            </w:rPr>
          </w:pPr>
          <w:hyperlink w:anchor="_Toc219285943" w:history="1">
            <w:r w:rsidRPr="002D4703">
              <w:rPr>
                <w:rStyle w:val="Hyperlink"/>
              </w:rPr>
              <w:t>Classroom and School Libraries</w:t>
            </w:r>
            <w:r w:rsidRPr="002D4703">
              <w:rPr>
                <w:webHidden/>
              </w:rPr>
              <w:tab/>
            </w:r>
            <w:r w:rsidRPr="002D4703">
              <w:rPr>
                <w:webHidden/>
              </w:rPr>
              <w:fldChar w:fldCharType="begin"/>
            </w:r>
            <w:r w:rsidRPr="002D4703">
              <w:rPr>
                <w:webHidden/>
              </w:rPr>
              <w:instrText xml:space="preserve"> PAGEREF _Toc219285943 \h </w:instrText>
            </w:r>
            <w:r w:rsidRPr="002D4703">
              <w:rPr>
                <w:webHidden/>
              </w:rPr>
            </w:r>
            <w:r w:rsidRPr="002D4703">
              <w:rPr>
                <w:webHidden/>
              </w:rPr>
              <w:fldChar w:fldCharType="separate"/>
            </w:r>
            <w:r w:rsidR="00DA6F86">
              <w:rPr>
                <w:webHidden/>
              </w:rPr>
              <w:t>9</w:t>
            </w:r>
            <w:r w:rsidRPr="002D4703">
              <w:rPr>
                <w:webHidden/>
              </w:rPr>
              <w:fldChar w:fldCharType="end"/>
            </w:r>
          </w:hyperlink>
        </w:p>
        <w:p w14:paraId="698B4112" w14:textId="13D76D4D" w:rsidR="00A46312" w:rsidRPr="002D4703" w:rsidRDefault="00A46312">
          <w:pPr>
            <w:pStyle w:val="TOC1"/>
            <w:rPr>
              <w:rFonts w:asciiTheme="minorHAnsi" w:eastAsiaTheme="minorEastAsia" w:hAnsiTheme="minorHAnsi" w:cstheme="minorBidi"/>
              <w:kern w:val="2"/>
              <w14:ligatures w14:val="standardContextual"/>
            </w:rPr>
          </w:pPr>
          <w:hyperlink w:anchor="_Toc219285944" w:history="1">
            <w:r w:rsidRPr="002D4703">
              <w:rPr>
                <w:rStyle w:val="Hyperlink"/>
              </w:rPr>
              <w:t>Teacher Recruitment</w:t>
            </w:r>
            <w:r w:rsidRPr="002D4703">
              <w:rPr>
                <w:webHidden/>
              </w:rPr>
              <w:tab/>
            </w:r>
            <w:r w:rsidRPr="002D4703">
              <w:rPr>
                <w:webHidden/>
              </w:rPr>
              <w:fldChar w:fldCharType="begin"/>
            </w:r>
            <w:r w:rsidRPr="002D4703">
              <w:rPr>
                <w:webHidden/>
              </w:rPr>
              <w:instrText xml:space="preserve"> PAGEREF _Toc219285944 \h </w:instrText>
            </w:r>
            <w:r w:rsidRPr="002D4703">
              <w:rPr>
                <w:webHidden/>
              </w:rPr>
            </w:r>
            <w:r w:rsidRPr="002D4703">
              <w:rPr>
                <w:webHidden/>
              </w:rPr>
              <w:fldChar w:fldCharType="separate"/>
            </w:r>
            <w:r w:rsidR="00DA6F86">
              <w:rPr>
                <w:webHidden/>
              </w:rPr>
              <w:t>9</w:t>
            </w:r>
            <w:r w:rsidRPr="002D4703">
              <w:rPr>
                <w:webHidden/>
              </w:rPr>
              <w:fldChar w:fldCharType="end"/>
            </w:r>
          </w:hyperlink>
        </w:p>
        <w:p w14:paraId="1E4C3A04" w14:textId="72FA6E05" w:rsidR="00A46312" w:rsidRPr="002D4703" w:rsidRDefault="00A46312">
          <w:pPr>
            <w:pStyle w:val="TOC1"/>
            <w:rPr>
              <w:rFonts w:asciiTheme="minorHAnsi" w:eastAsiaTheme="minorEastAsia" w:hAnsiTheme="minorHAnsi" w:cstheme="minorBidi"/>
              <w:kern w:val="2"/>
              <w14:ligatures w14:val="standardContextual"/>
            </w:rPr>
          </w:pPr>
          <w:hyperlink w:anchor="_Toc219285945" w:history="1">
            <w:r w:rsidRPr="002D4703">
              <w:rPr>
                <w:rStyle w:val="Hyperlink"/>
              </w:rPr>
              <w:t>Family and Student Outreach</w:t>
            </w:r>
            <w:r w:rsidRPr="002D4703">
              <w:rPr>
                <w:webHidden/>
              </w:rPr>
              <w:tab/>
            </w:r>
            <w:r w:rsidRPr="002D4703">
              <w:rPr>
                <w:webHidden/>
              </w:rPr>
              <w:fldChar w:fldCharType="begin"/>
            </w:r>
            <w:r w:rsidRPr="002D4703">
              <w:rPr>
                <w:webHidden/>
              </w:rPr>
              <w:instrText xml:space="preserve"> PAGEREF _Toc219285945 \h </w:instrText>
            </w:r>
            <w:r w:rsidRPr="002D4703">
              <w:rPr>
                <w:webHidden/>
              </w:rPr>
            </w:r>
            <w:r w:rsidRPr="002D4703">
              <w:rPr>
                <w:webHidden/>
              </w:rPr>
              <w:fldChar w:fldCharType="separate"/>
            </w:r>
            <w:r w:rsidR="00DA6F86">
              <w:rPr>
                <w:webHidden/>
              </w:rPr>
              <w:t>9</w:t>
            </w:r>
            <w:r w:rsidRPr="002D4703">
              <w:rPr>
                <w:webHidden/>
              </w:rPr>
              <w:fldChar w:fldCharType="end"/>
            </w:r>
          </w:hyperlink>
        </w:p>
        <w:p w14:paraId="6D5A6333" w14:textId="31DB2584" w:rsidR="00A46312" w:rsidRPr="002D4703" w:rsidRDefault="00A46312">
          <w:pPr>
            <w:pStyle w:val="TOC1"/>
            <w:rPr>
              <w:rFonts w:asciiTheme="minorHAnsi" w:eastAsiaTheme="minorEastAsia" w:hAnsiTheme="minorHAnsi" w:cstheme="minorBidi"/>
              <w:kern w:val="2"/>
              <w14:ligatures w14:val="standardContextual"/>
            </w:rPr>
          </w:pPr>
          <w:hyperlink w:anchor="_Toc219285946" w:history="1">
            <w:r w:rsidRPr="002D4703">
              <w:rPr>
                <w:rStyle w:val="Hyperlink"/>
              </w:rPr>
              <w:t>Challenges</w:t>
            </w:r>
            <w:r w:rsidRPr="002D4703">
              <w:rPr>
                <w:webHidden/>
              </w:rPr>
              <w:tab/>
            </w:r>
            <w:r w:rsidRPr="002D4703">
              <w:rPr>
                <w:webHidden/>
              </w:rPr>
              <w:fldChar w:fldCharType="begin"/>
            </w:r>
            <w:r w:rsidRPr="002D4703">
              <w:rPr>
                <w:webHidden/>
              </w:rPr>
              <w:instrText xml:space="preserve"> PAGEREF _Toc219285946 \h </w:instrText>
            </w:r>
            <w:r w:rsidRPr="002D4703">
              <w:rPr>
                <w:webHidden/>
              </w:rPr>
            </w:r>
            <w:r w:rsidRPr="002D4703">
              <w:rPr>
                <w:webHidden/>
              </w:rPr>
              <w:fldChar w:fldCharType="separate"/>
            </w:r>
            <w:r w:rsidR="00DA6F86">
              <w:rPr>
                <w:webHidden/>
              </w:rPr>
              <w:t>10</w:t>
            </w:r>
            <w:r w:rsidRPr="002D4703">
              <w:rPr>
                <w:webHidden/>
              </w:rPr>
              <w:fldChar w:fldCharType="end"/>
            </w:r>
          </w:hyperlink>
        </w:p>
        <w:p w14:paraId="3F9C7AC3" w14:textId="389EC281" w:rsidR="00A46312" w:rsidRPr="002D4703" w:rsidRDefault="00A46312">
          <w:pPr>
            <w:pStyle w:val="TOC1"/>
            <w:rPr>
              <w:rFonts w:asciiTheme="minorHAnsi" w:eastAsiaTheme="minorEastAsia" w:hAnsiTheme="minorHAnsi" w:cstheme="minorBidi"/>
              <w:kern w:val="2"/>
              <w14:ligatures w14:val="standardContextual"/>
            </w:rPr>
          </w:pPr>
          <w:hyperlink w:anchor="_Toc219285947" w:history="1">
            <w:r w:rsidRPr="002D4703">
              <w:rPr>
                <w:rStyle w:val="Hyperlink"/>
              </w:rPr>
              <w:t>Grantee Next Steps</w:t>
            </w:r>
            <w:r w:rsidRPr="002D4703">
              <w:rPr>
                <w:webHidden/>
              </w:rPr>
              <w:tab/>
            </w:r>
            <w:r w:rsidRPr="002D4703">
              <w:rPr>
                <w:webHidden/>
              </w:rPr>
              <w:fldChar w:fldCharType="begin"/>
            </w:r>
            <w:r w:rsidRPr="002D4703">
              <w:rPr>
                <w:webHidden/>
              </w:rPr>
              <w:instrText xml:space="preserve"> PAGEREF _Toc219285947 \h </w:instrText>
            </w:r>
            <w:r w:rsidRPr="002D4703">
              <w:rPr>
                <w:webHidden/>
              </w:rPr>
            </w:r>
            <w:r w:rsidRPr="002D4703">
              <w:rPr>
                <w:webHidden/>
              </w:rPr>
              <w:fldChar w:fldCharType="separate"/>
            </w:r>
            <w:r w:rsidR="00DA6F86">
              <w:rPr>
                <w:webHidden/>
              </w:rPr>
              <w:t>11</w:t>
            </w:r>
            <w:r w:rsidRPr="002D4703">
              <w:rPr>
                <w:webHidden/>
              </w:rPr>
              <w:fldChar w:fldCharType="end"/>
            </w:r>
          </w:hyperlink>
        </w:p>
        <w:p w14:paraId="711E5F95" w14:textId="7D0A49F8" w:rsidR="00A46312" w:rsidRPr="002D4703" w:rsidRDefault="00A46312">
          <w:pPr>
            <w:pStyle w:val="TOC1"/>
            <w:rPr>
              <w:rFonts w:asciiTheme="minorHAnsi" w:eastAsiaTheme="minorEastAsia" w:hAnsiTheme="minorHAnsi" w:cstheme="minorBidi"/>
              <w:kern w:val="2"/>
              <w14:ligatures w14:val="standardContextual"/>
            </w:rPr>
          </w:pPr>
          <w:hyperlink w:anchor="_Toc219285948" w:history="1">
            <w:r w:rsidRPr="002D4703">
              <w:rPr>
                <w:rStyle w:val="Hyperlink"/>
              </w:rPr>
              <w:t>Grantee Recommendations for LEAs Planning to Implement a DLI Program</w:t>
            </w:r>
            <w:r w:rsidRPr="002D4703">
              <w:rPr>
                <w:webHidden/>
              </w:rPr>
              <w:tab/>
            </w:r>
            <w:r w:rsidRPr="002D4703">
              <w:rPr>
                <w:webHidden/>
              </w:rPr>
              <w:fldChar w:fldCharType="begin"/>
            </w:r>
            <w:r w:rsidRPr="002D4703">
              <w:rPr>
                <w:webHidden/>
              </w:rPr>
              <w:instrText xml:space="preserve"> PAGEREF _Toc219285948 \h </w:instrText>
            </w:r>
            <w:r w:rsidRPr="002D4703">
              <w:rPr>
                <w:webHidden/>
              </w:rPr>
            </w:r>
            <w:r w:rsidRPr="002D4703">
              <w:rPr>
                <w:webHidden/>
              </w:rPr>
              <w:fldChar w:fldCharType="separate"/>
            </w:r>
            <w:r w:rsidR="00DA6F86">
              <w:rPr>
                <w:webHidden/>
              </w:rPr>
              <w:t>12</w:t>
            </w:r>
            <w:r w:rsidRPr="002D4703">
              <w:rPr>
                <w:webHidden/>
              </w:rPr>
              <w:fldChar w:fldCharType="end"/>
            </w:r>
          </w:hyperlink>
        </w:p>
        <w:p w14:paraId="3545C1AE" w14:textId="76376204" w:rsidR="00A46312" w:rsidRPr="002D4703" w:rsidRDefault="00A46312">
          <w:pPr>
            <w:pStyle w:val="TOC1"/>
            <w:rPr>
              <w:rFonts w:asciiTheme="minorHAnsi" w:eastAsiaTheme="minorEastAsia" w:hAnsiTheme="minorHAnsi" w:cstheme="minorBidi"/>
              <w:kern w:val="2"/>
              <w14:ligatures w14:val="standardContextual"/>
            </w:rPr>
          </w:pPr>
          <w:hyperlink w:anchor="_Toc219285949" w:history="1">
            <w:r w:rsidRPr="002D4703">
              <w:rPr>
                <w:rStyle w:val="Hyperlink"/>
              </w:rPr>
              <w:t>Conclusion</w:t>
            </w:r>
            <w:r w:rsidRPr="002D4703">
              <w:rPr>
                <w:webHidden/>
              </w:rPr>
              <w:tab/>
            </w:r>
            <w:r w:rsidRPr="002D4703">
              <w:rPr>
                <w:webHidden/>
              </w:rPr>
              <w:fldChar w:fldCharType="begin"/>
            </w:r>
            <w:r w:rsidRPr="002D4703">
              <w:rPr>
                <w:webHidden/>
              </w:rPr>
              <w:instrText xml:space="preserve"> PAGEREF _Toc219285949 \h </w:instrText>
            </w:r>
            <w:r w:rsidRPr="002D4703">
              <w:rPr>
                <w:webHidden/>
              </w:rPr>
            </w:r>
            <w:r w:rsidRPr="002D4703">
              <w:rPr>
                <w:webHidden/>
              </w:rPr>
              <w:fldChar w:fldCharType="separate"/>
            </w:r>
            <w:r w:rsidR="00DA6F86">
              <w:rPr>
                <w:webHidden/>
              </w:rPr>
              <w:t>13</w:t>
            </w:r>
            <w:r w:rsidRPr="002D4703">
              <w:rPr>
                <w:webHidden/>
              </w:rPr>
              <w:fldChar w:fldCharType="end"/>
            </w:r>
          </w:hyperlink>
        </w:p>
        <w:p w14:paraId="6C04C06E" w14:textId="5023EF13" w:rsidR="00807ADE" w:rsidRPr="002D4703" w:rsidRDefault="00807ADE">
          <w:r w:rsidRPr="002D4703">
            <w:rPr>
              <w:b/>
              <w:bCs/>
              <w:noProof/>
            </w:rPr>
            <w:fldChar w:fldCharType="end"/>
          </w:r>
        </w:p>
      </w:sdtContent>
    </w:sdt>
    <w:p w14:paraId="620BE7B6" w14:textId="00C3F567" w:rsidR="00941F84" w:rsidRPr="002D4703" w:rsidRDefault="00941F84">
      <w:pPr>
        <w:rPr>
          <w:rFonts w:ascii="Arial" w:hAnsi="Arial" w:cs="Arial"/>
        </w:rPr>
      </w:pPr>
      <w:r w:rsidRPr="002D4703">
        <w:rPr>
          <w:rFonts w:ascii="Arial" w:hAnsi="Arial" w:cs="Arial"/>
        </w:rPr>
        <w:br w:type="page"/>
      </w:r>
    </w:p>
    <w:p w14:paraId="224A731D" w14:textId="2CBE1993" w:rsidR="00906E4B" w:rsidRPr="002D4703" w:rsidRDefault="00906E4B" w:rsidP="00941F84">
      <w:pPr>
        <w:tabs>
          <w:tab w:val="decimal" w:leader="dot" w:pos="8820"/>
        </w:tabs>
        <w:spacing w:line="360" w:lineRule="auto"/>
        <w:ind w:right="-180"/>
        <w:jc w:val="center"/>
        <w:rPr>
          <w:rFonts w:ascii="Arial" w:hAnsi="Arial" w:cs="Arial"/>
          <w:b/>
          <w:bCs/>
        </w:rPr>
      </w:pPr>
      <w:r w:rsidRPr="002D4703">
        <w:rPr>
          <w:rFonts w:ascii="Arial" w:hAnsi="Arial" w:cs="Arial"/>
          <w:b/>
          <w:bCs/>
        </w:rPr>
        <w:lastRenderedPageBreak/>
        <w:t>California Department of Education</w:t>
      </w:r>
    </w:p>
    <w:p w14:paraId="20D4CBC9" w14:textId="61577D52" w:rsidR="00906E4B" w:rsidRPr="002D4703" w:rsidRDefault="00906E4B" w:rsidP="00242B0A">
      <w:pPr>
        <w:spacing w:line="360" w:lineRule="auto"/>
        <w:jc w:val="center"/>
        <w:rPr>
          <w:rFonts w:ascii="Arial" w:hAnsi="Arial" w:cs="Arial"/>
          <w:b/>
          <w:bCs/>
        </w:rPr>
      </w:pPr>
      <w:r w:rsidRPr="002D4703">
        <w:rPr>
          <w:rFonts w:ascii="Arial" w:hAnsi="Arial" w:cs="Arial"/>
          <w:b/>
        </w:rPr>
        <w:t xml:space="preserve">Report to the </w:t>
      </w:r>
      <w:r w:rsidR="00242B0A" w:rsidRPr="002D4703">
        <w:rPr>
          <w:rFonts w:ascii="Arial" w:hAnsi="Arial" w:cs="Arial"/>
          <w:b/>
        </w:rPr>
        <w:t>Legislature</w:t>
      </w:r>
    </w:p>
    <w:p w14:paraId="1E9AA4C1" w14:textId="77777777" w:rsidR="00906E4B" w:rsidRPr="002D4703" w:rsidRDefault="00906E4B" w:rsidP="009D0E78">
      <w:pPr>
        <w:pStyle w:val="Heading2"/>
        <w:rPr>
          <w:color w:val="000000"/>
        </w:rPr>
      </w:pPr>
      <w:bookmarkStart w:id="0" w:name="_Toc55478426"/>
      <w:bookmarkStart w:id="1" w:name="_Toc219285933"/>
      <w:r w:rsidRPr="002D4703">
        <w:t>Executive Summary</w:t>
      </w:r>
      <w:bookmarkEnd w:id="0"/>
      <w:bookmarkEnd w:id="1"/>
    </w:p>
    <w:p w14:paraId="36574507" w14:textId="6DEA612B" w:rsidR="0014089C" w:rsidRPr="002D4703" w:rsidRDefault="0014089C" w:rsidP="0014089C">
      <w:pPr>
        <w:tabs>
          <w:tab w:val="right" w:pos="9360"/>
        </w:tabs>
        <w:autoSpaceDE w:val="0"/>
        <w:autoSpaceDN w:val="0"/>
        <w:adjustRightInd w:val="0"/>
        <w:spacing w:after="240"/>
        <w:rPr>
          <w:rFonts w:ascii="Arial" w:hAnsi="Arial" w:cs="Arial"/>
        </w:rPr>
      </w:pPr>
      <w:bookmarkStart w:id="2" w:name="_Hlk219976076"/>
      <w:r w:rsidRPr="002D4703">
        <w:rPr>
          <w:rFonts w:ascii="Arial" w:hAnsi="Arial" w:cs="Arial"/>
        </w:rPr>
        <w:t>Authorized under Assembly Bill</w:t>
      </w:r>
      <w:r w:rsidR="00DA7FAD">
        <w:rPr>
          <w:rFonts w:ascii="Arial" w:hAnsi="Arial" w:cs="Arial"/>
        </w:rPr>
        <w:t xml:space="preserve"> </w:t>
      </w:r>
      <w:r w:rsidRPr="002D4703">
        <w:rPr>
          <w:rFonts w:ascii="Arial" w:hAnsi="Arial" w:cs="Arial"/>
        </w:rPr>
        <w:t xml:space="preserve">130 (Statutes of 2021), the </w:t>
      </w:r>
      <w:r w:rsidR="1BFD0F3B" w:rsidRPr="002D4703">
        <w:rPr>
          <w:rFonts w:ascii="Arial" w:hAnsi="Arial" w:cs="Arial"/>
        </w:rPr>
        <w:t>D</w:t>
      </w:r>
      <w:r w:rsidR="1CC78BB3" w:rsidRPr="002D4703">
        <w:rPr>
          <w:rFonts w:ascii="Arial" w:hAnsi="Arial" w:cs="Arial"/>
        </w:rPr>
        <w:t>ual Language Immersion Grant (</w:t>
      </w:r>
      <w:r w:rsidRPr="002D4703">
        <w:rPr>
          <w:rFonts w:ascii="Arial" w:hAnsi="Arial" w:cs="Arial"/>
        </w:rPr>
        <w:t>DLIG</w:t>
      </w:r>
      <w:r w:rsidR="6ED3B148" w:rsidRPr="002D4703">
        <w:rPr>
          <w:rFonts w:ascii="Arial" w:hAnsi="Arial" w:cs="Arial"/>
        </w:rPr>
        <w:t>)</w:t>
      </w:r>
      <w:r w:rsidRPr="002D4703">
        <w:rPr>
          <w:rFonts w:ascii="Arial" w:hAnsi="Arial" w:cs="Arial"/>
        </w:rPr>
        <w:t xml:space="preserve"> provided </w:t>
      </w:r>
      <w:r w:rsidR="001D3101" w:rsidRPr="002D4703">
        <w:rPr>
          <w:rFonts w:ascii="Arial" w:hAnsi="Arial" w:cs="Arial"/>
        </w:rPr>
        <w:t xml:space="preserve">$10 million over </w:t>
      </w:r>
      <w:r w:rsidRPr="002D4703">
        <w:rPr>
          <w:rFonts w:ascii="Arial" w:hAnsi="Arial" w:cs="Arial"/>
        </w:rPr>
        <w:t xml:space="preserve">three years to support the establishment and expansion of dual language immersion (DLI) </w:t>
      </w:r>
      <w:r w:rsidRPr="009C7D0F">
        <w:rPr>
          <w:rFonts w:ascii="Arial" w:hAnsi="Arial" w:cs="Arial"/>
        </w:rPr>
        <w:t xml:space="preserve">programs </w:t>
      </w:r>
      <w:r w:rsidR="0066577E" w:rsidRPr="009C7D0F">
        <w:rPr>
          <w:rFonts w:ascii="Arial" w:hAnsi="Arial" w:cs="Arial"/>
        </w:rPr>
        <w:t>that provide integrated language learning and academic instruction for native speakers of English and native speakers of another language</w:t>
      </w:r>
      <w:r w:rsidRPr="002D4703">
        <w:rPr>
          <w:rFonts w:ascii="Arial" w:hAnsi="Arial" w:cs="Arial"/>
        </w:rPr>
        <w:t>. In November 2022, the California Department of Education</w:t>
      </w:r>
      <w:r w:rsidR="00DE4536" w:rsidRPr="002D4703">
        <w:rPr>
          <w:rFonts w:ascii="Arial" w:hAnsi="Arial" w:cs="Arial"/>
        </w:rPr>
        <w:t xml:space="preserve"> (CDE)</w:t>
      </w:r>
      <w:r w:rsidRPr="002D4703">
        <w:rPr>
          <w:rFonts w:ascii="Arial" w:hAnsi="Arial" w:cs="Arial"/>
        </w:rPr>
        <w:t xml:space="preserve"> awarded DLIG funds to 27 local education</w:t>
      </w:r>
      <w:r w:rsidR="00DA7FAD">
        <w:rPr>
          <w:rFonts w:ascii="Arial" w:hAnsi="Arial" w:cs="Arial"/>
        </w:rPr>
        <w:t>al</w:t>
      </w:r>
      <w:r w:rsidRPr="002D4703">
        <w:rPr>
          <w:rFonts w:ascii="Arial" w:hAnsi="Arial" w:cs="Arial"/>
        </w:rPr>
        <w:t xml:space="preserve"> agencies (LEAs)</w:t>
      </w:r>
      <w:r w:rsidR="00DA7FAD">
        <w:rPr>
          <w:rFonts w:ascii="Arial" w:hAnsi="Arial" w:cs="Arial"/>
        </w:rPr>
        <w:t xml:space="preserve"> </w:t>
      </w:r>
      <w:r w:rsidR="00DA7FAD" w:rsidRPr="00DA7FAD">
        <w:rPr>
          <w:rFonts w:ascii="Arial" w:hAnsi="Arial" w:cs="Arial"/>
          <w:b/>
          <w:bCs/>
        </w:rPr>
        <w:t>to support</w:t>
      </w:r>
      <w:r w:rsidRPr="002D4703">
        <w:rPr>
          <w:rFonts w:ascii="Arial" w:hAnsi="Arial" w:cs="Arial"/>
          <w:b/>
          <w:bCs/>
        </w:rPr>
        <w:t xml:space="preserve"> expansion across 54 school sites and the creation of 291 new DLI classrooms</w:t>
      </w:r>
      <w:r w:rsidRPr="002D4703">
        <w:rPr>
          <w:rFonts w:ascii="Arial" w:hAnsi="Arial" w:cs="Arial"/>
        </w:rPr>
        <w:t xml:space="preserve"> serving students from transitional kindergarten (TK) through high school in Spanish, Vietnamese, Korean, and Mandarin programs.</w:t>
      </w:r>
    </w:p>
    <w:p w14:paraId="4D000132" w14:textId="5A32BB82" w:rsidR="0014089C" w:rsidRPr="002D4703" w:rsidRDefault="0014089C" w:rsidP="0014089C">
      <w:pPr>
        <w:tabs>
          <w:tab w:val="right" w:pos="9360"/>
        </w:tabs>
        <w:autoSpaceDE w:val="0"/>
        <w:autoSpaceDN w:val="0"/>
        <w:adjustRightInd w:val="0"/>
        <w:spacing w:after="240"/>
        <w:rPr>
          <w:rFonts w:ascii="Arial" w:hAnsi="Arial" w:cs="Arial"/>
        </w:rPr>
      </w:pPr>
      <w:r w:rsidRPr="002D4703">
        <w:rPr>
          <w:rFonts w:ascii="Arial" w:hAnsi="Arial" w:cs="Arial"/>
        </w:rPr>
        <w:t xml:space="preserve">DLIG investments resulted in substantial </w:t>
      </w:r>
      <w:r w:rsidR="005920C7" w:rsidRPr="002D4703">
        <w:rPr>
          <w:rFonts w:ascii="Arial" w:hAnsi="Arial" w:cs="Arial"/>
        </w:rPr>
        <w:t xml:space="preserve">gains at the </w:t>
      </w:r>
      <w:r w:rsidRPr="002D4703">
        <w:rPr>
          <w:rFonts w:ascii="Arial" w:hAnsi="Arial" w:cs="Arial"/>
        </w:rPr>
        <w:t>programmatic, instructional, and student</w:t>
      </w:r>
      <w:r w:rsidR="005920C7" w:rsidRPr="002D4703">
        <w:rPr>
          <w:rFonts w:ascii="Arial" w:hAnsi="Arial" w:cs="Arial"/>
        </w:rPr>
        <w:t xml:space="preserve"> </w:t>
      </w:r>
      <w:r w:rsidRPr="002D4703">
        <w:rPr>
          <w:rFonts w:ascii="Arial" w:hAnsi="Arial" w:cs="Arial"/>
        </w:rPr>
        <w:t>level</w:t>
      </w:r>
      <w:r w:rsidR="005920C7" w:rsidRPr="002D4703">
        <w:rPr>
          <w:rFonts w:ascii="Arial" w:hAnsi="Arial" w:cs="Arial"/>
        </w:rPr>
        <w:t>s</w:t>
      </w:r>
      <w:r w:rsidRPr="00A03555">
        <w:rPr>
          <w:rFonts w:ascii="Arial" w:hAnsi="Arial" w:cs="Arial"/>
        </w:rPr>
        <w:t xml:space="preserve">. </w:t>
      </w:r>
      <w:r w:rsidR="0066577E" w:rsidRPr="00A03555">
        <w:rPr>
          <w:rFonts w:ascii="Arial" w:hAnsi="Arial" w:cs="Arial"/>
        </w:rPr>
        <w:t>Grantees</w:t>
      </w:r>
      <w:r w:rsidRPr="002D4703">
        <w:rPr>
          <w:rFonts w:ascii="Arial" w:hAnsi="Arial" w:cs="Arial"/>
        </w:rPr>
        <w:t xml:space="preserve"> expanded access by opening new </w:t>
      </w:r>
      <w:r w:rsidR="00DA7FAD">
        <w:rPr>
          <w:rFonts w:ascii="Arial" w:hAnsi="Arial" w:cs="Arial"/>
        </w:rPr>
        <w:t>DLI</w:t>
      </w:r>
      <w:r w:rsidR="004C441C">
        <w:rPr>
          <w:rFonts w:ascii="Arial" w:hAnsi="Arial" w:cs="Arial"/>
        </w:rPr>
        <w:t xml:space="preserve"> </w:t>
      </w:r>
      <w:r w:rsidRPr="002D4703">
        <w:rPr>
          <w:rFonts w:ascii="Arial" w:hAnsi="Arial" w:cs="Arial"/>
        </w:rPr>
        <w:t>sites</w:t>
      </w:r>
      <w:r w:rsidR="00DA7FAD">
        <w:rPr>
          <w:rFonts w:ascii="Arial" w:hAnsi="Arial" w:cs="Arial"/>
        </w:rPr>
        <w:t>;</w:t>
      </w:r>
      <w:r w:rsidRPr="002D4703">
        <w:rPr>
          <w:rFonts w:ascii="Arial" w:hAnsi="Arial" w:cs="Arial"/>
        </w:rPr>
        <w:t xml:space="preserve"> adding grade levels</w:t>
      </w:r>
      <w:r w:rsidR="00DA7FAD">
        <w:rPr>
          <w:rFonts w:ascii="Arial" w:hAnsi="Arial" w:cs="Arial"/>
        </w:rPr>
        <w:t>;</w:t>
      </w:r>
      <w:r w:rsidRPr="002D4703">
        <w:rPr>
          <w:rFonts w:ascii="Arial" w:hAnsi="Arial" w:cs="Arial"/>
        </w:rPr>
        <w:t xml:space="preserve"> and strengthening TK–</w:t>
      </w:r>
      <w:r w:rsidR="00346117" w:rsidRPr="002D4703">
        <w:rPr>
          <w:rFonts w:ascii="Arial" w:hAnsi="Arial" w:cs="Arial"/>
        </w:rPr>
        <w:t xml:space="preserve">grade </w:t>
      </w:r>
      <w:r w:rsidRPr="002D4703">
        <w:rPr>
          <w:rFonts w:ascii="Arial" w:hAnsi="Arial" w:cs="Arial"/>
        </w:rPr>
        <w:t xml:space="preserve">12 pathways, including secondary content courses taught in </w:t>
      </w:r>
      <w:r w:rsidR="00C0444C">
        <w:rPr>
          <w:rFonts w:ascii="Arial" w:hAnsi="Arial" w:cs="Arial"/>
        </w:rPr>
        <w:t>a</w:t>
      </w:r>
      <w:r w:rsidR="229A36CF" w:rsidRPr="002D4703">
        <w:rPr>
          <w:rFonts w:ascii="Arial" w:hAnsi="Arial" w:cs="Arial"/>
        </w:rPr>
        <w:t xml:space="preserve"> language other than English, also known as the</w:t>
      </w:r>
      <w:r w:rsidRPr="002D4703">
        <w:rPr>
          <w:rFonts w:ascii="Arial" w:hAnsi="Arial" w:cs="Arial"/>
        </w:rPr>
        <w:t xml:space="preserve"> partner language. Strong family demand, reflected in full enrollment and waitlists, supported program sustainability. Instructional quality improved through targeted professional learning for </w:t>
      </w:r>
      <w:r w:rsidR="005D0870" w:rsidRPr="002D4703">
        <w:rPr>
          <w:rFonts w:ascii="Arial" w:hAnsi="Arial" w:cs="Arial"/>
        </w:rPr>
        <w:t>teachers</w:t>
      </w:r>
      <w:r w:rsidRPr="002D4703">
        <w:rPr>
          <w:rFonts w:ascii="Arial" w:hAnsi="Arial" w:cs="Arial"/>
        </w:rPr>
        <w:t xml:space="preserve"> and </w:t>
      </w:r>
      <w:r w:rsidR="005D0870" w:rsidRPr="002D4703">
        <w:rPr>
          <w:rFonts w:ascii="Arial" w:hAnsi="Arial" w:cs="Arial"/>
        </w:rPr>
        <w:t>a</w:t>
      </w:r>
      <w:r w:rsidRPr="002D4703">
        <w:rPr>
          <w:rFonts w:ascii="Arial" w:hAnsi="Arial" w:cs="Arial"/>
        </w:rPr>
        <w:t xml:space="preserve">dministrators, job-embedded coaching, and collaborative curriculum development alongside strengthened systems such as Dual Language Master Plans, biliteracy pathways, aligned </w:t>
      </w:r>
      <w:r w:rsidR="0037701D">
        <w:rPr>
          <w:rFonts w:ascii="Arial" w:hAnsi="Arial" w:cs="Arial"/>
        </w:rPr>
        <w:t>instructional planning</w:t>
      </w:r>
      <w:r w:rsidR="0037701D" w:rsidRPr="002D4703">
        <w:rPr>
          <w:rFonts w:ascii="Arial" w:hAnsi="Arial" w:cs="Arial"/>
        </w:rPr>
        <w:t xml:space="preserve"> </w:t>
      </w:r>
      <w:r w:rsidRPr="002D4703">
        <w:rPr>
          <w:rFonts w:ascii="Arial" w:hAnsi="Arial" w:cs="Arial"/>
        </w:rPr>
        <w:t xml:space="preserve">guides, and language allocation plans. Students benefited from earlier </w:t>
      </w:r>
      <w:r w:rsidR="0037701D">
        <w:rPr>
          <w:rFonts w:ascii="Arial" w:hAnsi="Arial" w:cs="Arial"/>
        </w:rPr>
        <w:t xml:space="preserve">introduction to </w:t>
      </w:r>
      <w:r w:rsidRPr="002D4703">
        <w:rPr>
          <w:rFonts w:ascii="Arial" w:hAnsi="Arial" w:cs="Arial"/>
        </w:rPr>
        <w:t xml:space="preserve">and more </w:t>
      </w:r>
      <w:r w:rsidR="0037701D">
        <w:rPr>
          <w:rFonts w:ascii="Arial" w:hAnsi="Arial" w:cs="Arial"/>
        </w:rPr>
        <w:t>coherence in</w:t>
      </w:r>
      <w:r w:rsidR="0037701D" w:rsidRPr="002D4703">
        <w:rPr>
          <w:rFonts w:ascii="Arial" w:hAnsi="Arial" w:cs="Arial"/>
        </w:rPr>
        <w:t xml:space="preserve"> </w:t>
      </w:r>
      <w:r w:rsidRPr="002D4703">
        <w:rPr>
          <w:rFonts w:ascii="Arial" w:hAnsi="Arial" w:cs="Arial"/>
        </w:rPr>
        <w:t>bilingual instruction</w:t>
      </w:r>
      <w:r w:rsidR="00DA7FAD">
        <w:rPr>
          <w:rFonts w:ascii="Arial" w:hAnsi="Arial" w:cs="Arial"/>
        </w:rPr>
        <w:t xml:space="preserve"> and demonstrated</w:t>
      </w:r>
      <w:r w:rsidRPr="002D4703">
        <w:rPr>
          <w:rFonts w:ascii="Arial" w:hAnsi="Arial" w:cs="Arial"/>
        </w:rPr>
        <w:t xml:space="preserve"> improved </w:t>
      </w:r>
      <w:r w:rsidR="0037701D">
        <w:rPr>
          <w:rFonts w:ascii="Arial" w:hAnsi="Arial" w:cs="Arial"/>
        </w:rPr>
        <w:t>bi</w:t>
      </w:r>
      <w:r w:rsidRPr="002D4703">
        <w:rPr>
          <w:rFonts w:ascii="Arial" w:hAnsi="Arial" w:cs="Arial"/>
        </w:rPr>
        <w:t xml:space="preserve">literacy development in both languages, stronger academic language use, and increased engagement and confidence. Despite challenges related to staffing, curriculum availability, and maintaining </w:t>
      </w:r>
      <w:r w:rsidR="00EB300B">
        <w:rPr>
          <w:rFonts w:ascii="Arial" w:hAnsi="Arial" w:cs="Arial"/>
        </w:rPr>
        <w:t>articulation</w:t>
      </w:r>
      <w:r w:rsidR="00EB300B" w:rsidRPr="002D4703">
        <w:rPr>
          <w:rFonts w:ascii="Arial" w:hAnsi="Arial" w:cs="Arial"/>
        </w:rPr>
        <w:t xml:space="preserve"> </w:t>
      </w:r>
      <w:r w:rsidRPr="002D4703">
        <w:rPr>
          <w:rFonts w:ascii="Arial" w:hAnsi="Arial" w:cs="Arial"/>
        </w:rPr>
        <w:t xml:space="preserve">during rapid expansion, districts emphasized that DLIG funding enabled them to build durable instructional systems and leadership capacity. Collectively, the grant expanded equitable access to multilingual education for students </w:t>
      </w:r>
      <w:r w:rsidR="005D0870" w:rsidRPr="002D4703">
        <w:rPr>
          <w:rFonts w:ascii="Arial" w:hAnsi="Arial" w:cs="Arial"/>
        </w:rPr>
        <w:t>s</w:t>
      </w:r>
      <w:r w:rsidRPr="002D4703">
        <w:rPr>
          <w:rFonts w:ascii="Arial" w:hAnsi="Arial" w:cs="Arial"/>
        </w:rPr>
        <w:t xml:space="preserve">tatewide and positioned </w:t>
      </w:r>
      <w:r w:rsidR="005D0870" w:rsidRPr="002D4703">
        <w:rPr>
          <w:rFonts w:ascii="Arial" w:hAnsi="Arial" w:cs="Arial"/>
        </w:rPr>
        <w:t xml:space="preserve">27 </w:t>
      </w:r>
      <w:r w:rsidR="00F32A96" w:rsidRPr="009C7D0F">
        <w:rPr>
          <w:rFonts w:ascii="Arial" w:hAnsi="Arial" w:cs="Arial"/>
        </w:rPr>
        <w:t>eligible entities</w:t>
      </w:r>
      <w:r w:rsidR="00F32A96" w:rsidRPr="002D4703">
        <w:rPr>
          <w:rFonts w:ascii="Arial" w:hAnsi="Arial" w:cs="Arial"/>
        </w:rPr>
        <w:t xml:space="preserve"> </w:t>
      </w:r>
      <w:r w:rsidRPr="002D4703">
        <w:rPr>
          <w:rFonts w:ascii="Arial" w:hAnsi="Arial" w:cs="Arial"/>
        </w:rPr>
        <w:t>to sustain and grow high-quality DLI programs that support academic achievement, biliteracy, and long-term student success.</w:t>
      </w:r>
    </w:p>
    <w:p w14:paraId="44ECB6C5" w14:textId="74BDB934" w:rsidR="00DA7FAD" w:rsidRDefault="00DA7FAD" w:rsidP="00AB7E50">
      <w:pPr>
        <w:tabs>
          <w:tab w:val="right" w:pos="9360"/>
        </w:tabs>
        <w:autoSpaceDE w:val="0"/>
        <w:autoSpaceDN w:val="0"/>
        <w:adjustRightInd w:val="0"/>
        <w:spacing w:after="240"/>
        <w:rPr>
          <w:rFonts w:ascii="Arial" w:hAnsi="Arial" w:cs="Arial"/>
          <w:bCs/>
        </w:rPr>
      </w:pPr>
      <w:r w:rsidRPr="002D4703">
        <w:rPr>
          <w:rFonts w:ascii="Arial" w:hAnsi="Arial" w:cs="Arial"/>
          <w:bCs/>
        </w:rPr>
        <w:t xml:space="preserve">This report </w:t>
      </w:r>
      <w:r>
        <w:rPr>
          <w:rFonts w:ascii="Arial" w:hAnsi="Arial" w:cs="Arial"/>
          <w:bCs/>
        </w:rPr>
        <w:t>is available on</w:t>
      </w:r>
      <w:r w:rsidRPr="002D4703">
        <w:rPr>
          <w:rFonts w:ascii="Arial" w:hAnsi="Arial" w:cs="Arial"/>
          <w:bCs/>
        </w:rPr>
        <w:t xml:space="preserve"> the </w:t>
      </w:r>
      <w:r>
        <w:rPr>
          <w:rFonts w:ascii="Arial" w:hAnsi="Arial" w:cs="Arial"/>
          <w:bCs/>
        </w:rPr>
        <w:t>CDE</w:t>
      </w:r>
      <w:r w:rsidRPr="002D4703">
        <w:rPr>
          <w:rFonts w:ascii="Arial" w:hAnsi="Arial" w:cs="Arial"/>
          <w:bCs/>
        </w:rPr>
        <w:t xml:space="preserve"> </w:t>
      </w:r>
      <w:r>
        <w:rPr>
          <w:rFonts w:ascii="Arial" w:hAnsi="Arial" w:cs="Arial"/>
          <w:bCs/>
        </w:rPr>
        <w:t>DLIG</w:t>
      </w:r>
      <w:r w:rsidRPr="002D4703">
        <w:rPr>
          <w:rFonts w:ascii="Arial" w:hAnsi="Arial" w:cs="Arial"/>
          <w:bCs/>
        </w:rPr>
        <w:t xml:space="preserve"> web page at</w:t>
      </w:r>
      <w:r w:rsidRPr="002D4703">
        <w:rPr>
          <w:rFonts w:ascii="Arial" w:hAnsi="Arial" w:cs="Arial"/>
          <w:bCs/>
          <w:color w:val="C00000"/>
        </w:rPr>
        <w:t xml:space="preserve"> </w:t>
      </w:r>
      <w:hyperlink r:id="rId11" w:tooltip="CDE DLIG web page" w:history="1">
        <w:r w:rsidRPr="002D4703">
          <w:rPr>
            <w:rStyle w:val="Hyperlink"/>
            <w:rFonts w:ascii="Arial" w:hAnsi="Arial" w:cs="Arial"/>
            <w:bCs/>
          </w:rPr>
          <w:t>https://www.cde.ca.gov/sp/ml/dliginfo.asp</w:t>
        </w:r>
      </w:hyperlink>
      <w:r w:rsidRPr="00DA7FAD">
        <w:rPr>
          <w:rFonts w:ascii="Arial" w:hAnsi="Arial" w:cs="Arial"/>
          <w:bCs/>
        </w:rPr>
        <w:t>.</w:t>
      </w:r>
    </w:p>
    <w:p w14:paraId="00C0E711" w14:textId="7F38E66C" w:rsidR="00906E4B" w:rsidRPr="002D4703" w:rsidRDefault="00DA7FAD" w:rsidP="00AB7E50">
      <w:pPr>
        <w:tabs>
          <w:tab w:val="right" w:pos="9360"/>
        </w:tabs>
        <w:autoSpaceDE w:val="0"/>
        <w:autoSpaceDN w:val="0"/>
        <w:adjustRightInd w:val="0"/>
        <w:spacing w:after="240"/>
        <w:rPr>
          <w:rFonts w:ascii="Arial" w:hAnsi="Arial" w:cs="Arial"/>
          <w:iCs/>
          <w:color w:val="000000"/>
        </w:rPr>
      </w:pPr>
      <w:r>
        <w:rPr>
          <w:rFonts w:ascii="Arial" w:hAnsi="Arial" w:cs="Arial"/>
          <w:iCs/>
          <w:color w:val="000000"/>
        </w:rPr>
        <w:t xml:space="preserve">If you have </w:t>
      </w:r>
      <w:r w:rsidR="00906E4B" w:rsidRPr="002D4703">
        <w:rPr>
          <w:rFonts w:ascii="Arial" w:hAnsi="Arial" w:cs="Arial"/>
          <w:iCs/>
          <w:color w:val="000000"/>
        </w:rPr>
        <w:t>any questions regarding this report</w:t>
      </w:r>
      <w:r>
        <w:rPr>
          <w:rFonts w:ascii="Arial" w:hAnsi="Arial" w:cs="Arial"/>
          <w:iCs/>
          <w:color w:val="000000"/>
        </w:rPr>
        <w:t xml:space="preserve"> or need a copy</w:t>
      </w:r>
      <w:r w:rsidR="00906E4B" w:rsidRPr="002D4703">
        <w:rPr>
          <w:rFonts w:ascii="Arial" w:hAnsi="Arial" w:cs="Arial"/>
          <w:iCs/>
          <w:color w:val="000000"/>
        </w:rPr>
        <w:t xml:space="preserve">, please </w:t>
      </w:r>
      <w:r w:rsidR="00906E4B" w:rsidRPr="002D4703">
        <w:rPr>
          <w:rFonts w:ascii="Arial" w:hAnsi="Arial" w:cs="Arial"/>
          <w:iCs/>
        </w:rPr>
        <w:t xml:space="preserve">contact </w:t>
      </w:r>
      <w:r w:rsidR="00272030" w:rsidRPr="002D4703">
        <w:rPr>
          <w:rFonts w:ascii="Arial" w:hAnsi="Arial" w:cs="Arial"/>
          <w:iCs/>
        </w:rPr>
        <w:t>the Multilingual Support Division</w:t>
      </w:r>
      <w:r>
        <w:rPr>
          <w:rFonts w:ascii="Arial" w:hAnsi="Arial" w:cs="Arial"/>
          <w:iCs/>
        </w:rPr>
        <w:t>’s</w:t>
      </w:r>
      <w:r w:rsidR="00272030" w:rsidRPr="002D4703">
        <w:rPr>
          <w:rFonts w:ascii="Arial" w:hAnsi="Arial" w:cs="Arial"/>
          <w:iCs/>
        </w:rPr>
        <w:t xml:space="preserve"> Language Policy and Leadership Office at 916-319-0845 or </w:t>
      </w:r>
      <w:hyperlink r:id="rId12" w:history="1">
        <w:r w:rsidR="00AB7E50" w:rsidRPr="001A257E">
          <w:rPr>
            <w:rStyle w:val="Hyperlink"/>
            <w:rFonts w:ascii="Arial" w:hAnsi="Arial" w:cs="Arial"/>
            <w:iCs/>
          </w:rPr>
          <w:t>LPLO@cde.ca.gov</w:t>
        </w:r>
      </w:hyperlink>
      <w:r w:rsidR="00906E4B" w:rsidRPr="002D4703">
        <w:rPr>
          <w:rFonts w:ascii="Arial" w:hAnsi="Arial" w:cs="Arial"/>
          <w:iCs/>
          <w:color w:val="000000"/>
        </w:rPr>
        <w:t>.</w:t>
      </w:r>
      <w:r w:rsidR="00AB7E50">
        <w:rPr>
          <w:rFonts w:ascii="Arial" w:hAnsi="Arial" w:cs="Arial"/>
          <w:iCs/>
          <w:color w:val="000000"/>
        </w:rPr>
        <w:t xml:space="preserve"> </w:t>
      </w:r>
    </w:p>
    <w:p w14:paraId="6399AF16" w14:textId="626719EF" w:rsidR="007821DC" w:rsidRPr="002D4703" w:rsidRDefault="007821DC" w:rsidP="009D0E78">
      <w:pPr>
        <w:pStyle w:val="Heading2"/>
      </w:pPr>
      <w:bookmarkStart w:id="3" w:name="_Toc219285934"/>
      <w:bookmarkEnd w:id="2"/>
      <w:r w:rsidRPr="002D4703">
        <w:t>Background</w:t>
      </w:r>
      <w:bookmarkEnd w:id="3"/>
    </w:p>
    <w:p w14:paraId="773B1DF7" w14:textId="57A35192" w:rsidR="00272030" w:rsidRPr="002D4703" w:rsidRDefault="00607179" w:rsidP="00AB7E50">
      <w:pPr>
        <w:spacing w:after="240"/>
        <w:rPr>
          <w:rFonts w:ascii="Arial" w:hAnsi="Arial" w:cs="Arial"/>
        </w:rPr>
      </w:pPr>
      <w:r w:rsidRPr="002D4703">
        <w:rPr>
          <w:rFonts w:ascii="Arial" w:hAnsi="Arial" w:cs="Arial"/>
        </w:rPr>
        <w:t xml:space="preserve">In November 2016, </w:t>
      </w:r>
      <w:r w:rsidR="007821DC" w:rsidRPr="002D4703">
        <w:rPr>
          <w:rFonts w:ascii="Arial" w:hAnsi="Arial" w:cs="Arial"/>
        </w:rPr>
        <w:t>Proposition 58, or the California Education for a Global Economy</w:t>
      </w:r>
      <w:r w:rsidRPr="002D4703">
        <w:rPr>
          <w:rFonts w:ascii="Arial" w:hAnsi="Arial" w:cs="Arial"/>
        </w:rPr>
        <w:t xml:space="preserve"> </w:t>
      </w:r>
      <w:r w:rsidR="007821DC" w:rsidRPr="002D4703">
        <w:rPr>
          <w:rFonts w:ascii="Arial" w:hAnsi="Arial" w:cs="Arial"/>
        </w:rPr>
        <w:t>Initiative</w:t>
      </w:r>
      <w:r w:rsidR="00DA7FAD">
        <w:rPr>
          <w:rFonts w:ascii="Arial" w:hAnsi="Arial" w:cs="Arial"/>
        </w:rPr>
        <w:t>,</w:t>
      </w:r>
      <w:r w:rsidR="007821DC" w:rsidRPr="002D4703">
        <w:rPr>
          <w:rFonts w:ascii="Arial" w:hAnsi="Arial" w:cs="Arial"/>
        </w:rPr>
        <w:t xml:space="preserve"> was approved by 73 percent of California</w:t>
      </w:r>
      <w:r w:rsidRPr="002D4703">
        <w:rPr>
          <w:rFonts w:ascii="Arial" w:hAnsi="Arial" w:cs="Arial"/>
        </w:rPr>
        <w:t xml:space="preserve"> voters, </w:t>
      </w:r>
      <w:r w:rsidR="00DA7FAD">
        <w:rPr>
          <w:rFonts w:ascii="Arial" w:hAnsi="Arial" w:cs="Arial"/>
        </w:rPr>
        <w:t xml:space="preserve">which indicated </w:t>
      </w:r>
      <w:r w:rsidRPr="002D4703">
        <w:rPr>
          <w:rFonts w:ascii="Arial" w:hAnsi="Arial" w:cs="Arial"/>
        </w:rPr>
        <w:lastRenderedPageBreak/>
        <w:t>widespread interest in providing all students</w:t>
      </w:r>
      <w:r w:rsidR="00DA7FAD">
        <w:rPr>
          <w:rFonts w:ascii="Arial" w:hAnsi="Arial" w:cs="Arial"/>
        </w:rPr>
        <w:t>—</w:t>
      </w:r>
      <w:r w:rsidR="00E857D5" w:rsidRPr="002D4703">
        <w:rPr>
          <w:rFonts w:ascii="Arial" w:hAnsi="Arial" w:cs="Arial"/>
        </w:rPr>
        <w:t xml:space="preserve">particularly </w:t>
      </w:r>
      <w:r w:rsidR="6C8A5F77" w:rsidRPr="002D4703">
        <w:rPr>
          <w:rFonts w:ascii="Arial" w:hAnsi="Arial" w:cs="Arial"/>
        </w:rPr>
        <w:t>E</w:t>
      </w:r>
      <w:r w:rsidR="00DA7FAD">
        <w:rPr>
          <w:rFonts w:ascii="Arial" w:hAnsi="Arial" w:cs="Arial"/>
        </w:rPr>
        <w:t>nglish Learner</w:t>
      </w:r>
      <w:r w:rsidR="00272030" w:rsidRPr="002D4703">
        <w:rPr>
          <w:rFonts w:ascii="Arial" w:hAnsi="Arial" w:cs="Arial"/>
        </w:rPr>
        <w:t xml:space="preserve"> </w:t>
      </w:r>
      <w:r w:rsidR="00600B09">
        <w:rPr>
          <w:rFonts w:ascii="Arial" w:hAnsi="Arial" w:cs="Arial"/>
        </w:rPr>
        <w:t xml:space="preserve">(EL) </w:t>
      </w:r>
      <w:r w:rsidR="00E857D5" w:rsidRPr="002D4703">
        <w:rPr>
          <w:rFonts w:ascii="Arial" w:hAnsi="Arial" w:cs="Arial"/>
        </w:rPr>
        <w:t>s</w:t>
      </w:r>
      <w:r w:rsidR="00272030" w:rsidRPr="002D4703">
        <w:rPr>
          <w:rFonts w:ascii="Arial" w:hAnsi="Arial" w:cs="Arial"/>
        </w:rPr>
        <w:t>tudents</w:t>
      </w:r>
      <w:r w:rsidR="00DA7FAD">
        <w:rPr>
          <w:rFonts w:ascii="Arial" w:hAnsi="Arial" w:cs="Arial"/>
        </w:rPr>
        <w:t>—</w:t>
      </w:r>
      <w:r w:rsidRPr="002D4703">
        <w:rPr>
          <w:rFonts w:ascii="Arial" w:hAnsi="Arial" w:cs="Arial"/>
        </w:rPr>
        <w:t>opportunities to participate in multilingual programs</w:t>
      </w:r>
      <w:r w:rsidR="00E01F08" w:rsidRPr="002D4703">
        <w:rPr>
          <w:rFonts w:ascii="Arial" w:hAnsi="Arial" w:cs="Arial"/>
        </w:rPr>
        <w:t xml:space="preserve"> when parents request a program for their child. </w:t>
      </w:r>
    </w:p>
    <w:p w14:paraId="0B24CDBD" w14:textId="681534D8" w:rsidR="007F56D7" w:rsidRPr="002D4703" w:rsidRDefault="5695E863" w:rsidP="00AB7E50">
      <w:pPr>
        <w:spacing w:after="240"/>
        <w:rPr>
          <w:rFonts w:ascii="Arial" w:hAnsi="Arial" w:cs="Arial"/>
        </w:rPr>
      </w:pPr>
      <w:r w:rsidRPr="798854CE">
        <w:rPr>
          <w:rFonts w:ascii="Arial" w:hAnsi="Arial" w:cs="Arial"/>
        </w:rPr>
        <w:t>In July 2017, t</w:t>
      </w:r>
      <w:r w:rsidR="17AA606C" w:rsidRPr="798854CE">
        <w:rPr>
          <w:rFonts w:ascii="Arial" w:hAnsi="Arial" w:cs="Arial"/>
        </w:rPr>
        <w:t>he California State Board of Education unanimously approved the California English Learner Roadmap State Board of Education Policy: Educational Programs and Services for English Learners (EL Roadmap Policy)</w:t>
      </w:r>
      <w:r w:rsidR="458C074F" w:rsidRPr="798854CE">
        <w:rPr>
          <w:rFonts w:ascii="Arial" w:hAnsi="Arial" w:cs="Arial"/>
        </w:rPr>
        <w:t xml:space="preserve">. </w:t>
      </w:r>
      <w:r w:rsidR="17AA606C" w:rsidRPr="798854CE">
        <w:rPr>
          <w:rFonts w:ascii="Arial" w:hAnsi="Arial" w:cs="Arial"/>
        </w:rPr>
        <w:t>This policy is intended to provide guidance to LEAs on welcoming, understanding, and educating the diverse population of students who are E</w:t>
      </w:r>
      <w:r w:rsidR="004B666D" w:rsidRPr="798854CE">
        <w:rPr>
          <w:rFonts w:ascii="Arial" w:hAnsi="Arial" w:cs="Arial"/>
        </w:rPr>
        <w:t>L</w:t>
      </w:r>
      <w:r w:rsidR="17AA606C" w:rsidRPr="798854CE">
        <w:rPr>
          <w:rFonts w:ascii="Arial" w:hAnsi="Arial" w:cs="Arial"/>
        </w:rPr>
        <w:t xml:space="preserve"> </w:t>
      </w:r>
      <w:r w:rsidR="00F32A96" w:rsidRPr="798854CE">
        <w:rPr>
          <w:rFonts w:ascii="Arial" w:hAnsi="Arial" w:cs="Arial"/>
        </w:rPr>
        <w:t xml:space="preserve">students </w:t>
      </w:r>
      <w:r w:rsidR="17AA606C" w:rsidRPr="798854CE">
        <w:rPr>
          <w:rFonts w:ascii="Arial" w:hAnsi="Arial" w:cs="Arial"/>
        </w:rPr>
        <w:t>attending California public schools.</w:t>
      </w:r>
      <w:r w:rsidR="2DBA7039" w:rsidRPr="798854CE">
        <w:rPr>
          <w:rFonts w:ascii="Arial" w:hAnsi="Arial" w:cs="Arial"/>
        </w:rPr>
        <w:t xml:space="preserve"> </w:t>
      </w:r>
      <w:r w:rsidR="0A9D0B47" w:rsidRPr="798854CE">
        <w:rPr>
          <w:rFonts w:ascii="Arial" w:hAnsi="Arial" w:cs="Arial"/>
        </w:rPr>
        <w:t>The EL Roadmap Policy describes California’s vision for EL students</w:t>
      </w:r>
      <w:r w:rsidR="6433303C" w:rsidRPr="798854CE">
        <w:rPr>
          <w:rFonts w:ascii="Arial" w:hAnsi="Arial" w:cs="Arial"/>
        </w:rPr>
        <w:t xml:space="preserve"> that includes the opportunity to develop proficiency in multiple languages.</w:t>
      </w:r>
    </w:p>
    <w:p w14:paraId="41C75142" w14:textId="747EEB45" w:rsidR="007821DC" w:rsidRPr="002D4703" w:rsidRDefault="00607179" w:rsidP="00AB7E50">
      <w:pPr>
        <w:spacing w:after="240"/>
        <w:rPr>
          <w:rFonts w:ascii="Arial" w:hAnsi="Arial" w:cs="Arial"/>
        </w:rPr>
      </w:pPr>
      <w:r w:rsidRPr="19EABF24">
        <w:rPr>
          <w:rFonts w:ascii="Arial" w:hAnsi="Arial" w:cs="Arial"/>
        </w:rPr>
        <w:t>The number of schools with multilingual programs in 2016 was estimated at 4</w:t>
      </w:r>
      <w:r w:rsidR="00534DD4" w:rsidRPr="19EABF24">
        <w:rPr>
          <w:rFonts w:ascii="Arial" w:hAnsi="Arial" w:cs="Arial"/>
        </w:rPr>
        <w:t>16</w:t>
      </w:r>
      <w:r w:rsidR="001A54C8" w:rsidRPr="19EABF24">
        <w:rPr>
          <w:rFonts w:ascii="Arial" w:hAnsi="Arial" w:cs="Arial"/>
        </w:rPr>
        <w:t xml:space="preserve"> (California Association for Bilingual Education, 2016)</w:t>
      </w:r>
      <w:r w:rsidRPr="19EABF24">
        <w:rPr>
          <w:rFonts w:ascii="Arial" w:hAnsi="Arial" w:cs="Arial"/>
        </w:rPr>
        <w:t>; that number has increased</w:t>
      </w:r>
      <w:r w:rsidR="00E01F08" w:rsidRPr="19EABF24">
        <w:rPr>
          <w:rFonts w:ascii="Arial" w:hAnsi="Arial" w:cs="Arial"/>
        </w:rPr>
        <w:t xml:space="preserve"> exponentially</w:t>
      </w:r>
      <w:r w:rsidRPr="19EABF24">
        <w:rPr>
          <w:rFonts w:ascii="Arial" w:hAnsi="Arial" w:cs="Arial"/>
        </w:rPr>
        <w:t xml:space="preserve"> to an estimated </w:t>
      </w:r>
      <w:r w:rsidR="00E857D5" w:rsidRPr="19EABF24">
        <w:rPr>
          <w:rFonts w:ascii="Arial" w:hAnsi="Arial" w:cs="Arial"/>
        </w:rPr>
        <w:t>1,58</w:t>
      </w:r>
      <w:r w:rsidR="7E945021" w:rsidRPr="19EABF24">
        <w:rPr>
          <w:rFonts w:ascii="Arial" w:hAnsi="Arial" w:cs="Arial"/>
        </w:rPr>
        <w:t>4</w:t>
      </w:r>
      <w:r w:rsidR="00E857D5" w:rsidRPr="19EABF24">
        <w:rPr>
          <w:rFonts w:ascii="Arial" w:hAnsi="Arial" w:cs="Arial"/>
        </w:rPr>
        <w:t xml:space="preserve"> programs</w:t>
      </w:r>
      <w:r w:rsidR="001A54C8" w:rsidRPr="19EABF24">
        <w:rPr>
          <w:rFonts w:ascii="Arial" w:hAnsi="Arial" w:cs="Arial"/>
        </w:rPr>
        <w:t xml:space="preserve"> (California Longitudinal Pupil Achievement Data System, 2025) </w:t>
      </w:r>
      <w:r w:rsidR="00E857D5" w:rsidRPr="19EABF24">
        <w:rPr>
          <w:rFonts w:ascii="Arial" w:hAnsi="Arial" w:cs="Arial"/>
        </w:rPr>
        <w:t xml:space="preserve">statewide in 2024–25. Part of this growth is due to </w:t>
      </w:r>
      <w:proofErr w:type="gramStart"/>
      <w:r w:rsidR="00E857D5" w:rsidRPr="19EABF24">
        <w:rPr>
          <w:rFonts w:ascii="Arial" w:hAnsi="Arial" w:cs="Arial"/>
        </w:rPr>
        <w:t>the DLIG</w:t>
      </w:r>
      <w:proofErr w:type="gramEnd"/>
      <w:r w:rsidR="00E857D5" w:rsidRPr="19EABF24">
        <w:rPr>
          <w:rFonts w:ascii="Arial" w:hAnsi="Arial" w:cs="Arial"/>
        </w:rPr>
        <w:t xml:space="preserve">, which provided funds to establish new or expand current DLI programs at schools and districts. </w:t>
      </w:r>
      <w:r w:rsidR="0049328F" w:rsidRPr="19EABF24">
        <w:rPr>
          <w:rFonts w:ascii="Arial" w:hAnsi="Arial" w:cs="Arial"/>
        </w:rPr>
        <w:t xml:space="preserve">The CDE received </w:t>
      </w:r>
      <w:r w:rsidR="44D711F1" w:rsidRPr="19EABF24">
        <w:rPr>
          <w:rFonts w:ascii="Arial" w:hAnsi="Arial" w:cs="Arial"/>
        </w:rPr>
        <w:t>140</w:t>
      </w:r>
      <w:r w:rsidR="0049328F" w:rsidRPr="19EABF24">
        <w:rPr>
          <w:rFonts w:ascii="Arial" w:hAnsi="Arial" w:cs="Arial"/>
        </w:rPr>
        <w:t xml:space="preserve"> applications from LEAs</w:t>
      </w:r>
      <w:r w:rsidR="00897B6D" w:rsidRPr="19EABF24">
        <w:rPr>
          <w:rFonts w:ascii="Arial" w:hAnsi="Arial" w:cs="Arial"/>
        </w:rPr>
        <w:t xml:space="preserve"> and charter schools</w:t>
      </w:r>
      <w:r w:rsidR="0049328F" w:rsidRPr="19EABF24">
        <w:rPr>
          <w:rFonts w:ascii="Arial" w:hAnsi="Arial" w:cs="Arial"/>
        </w:rPr>
        <w:t xml:space="preserve"> </w:t>
      </w:r>
      <w:r w:rsidR="001D3101" w:rsidRPr="19EABF24">
        <w:rPr>
          <w:rFonts w:ascii="Arial" w:hAnsi="Arial" w:cs="Arial"/>
        </w:rPr>
        <w:t>seeking</w:t>
      </w:r>
      <w:r w:rsidR="0049328F" w:rsidRPr="19EABF24">
        <w:rPr>
          <w:rFonts w:ascii="Arial" w:hAnsi="Arial" w:cs="Arial"/>
        </w:rPr>
        <w:t xml:space="preserve"> grant funds. </w:t>
      </w:r>
    </w:p>
    <w:p w14:paraId="1E546C12" w14:textId="23A7489F" w:rsidR="00873A57" w:rsidRPr="002D4703" w:rsidRDefault="00574F4F" w:rsidP="009D0E78">
      <w:pPr>
        <w:pStyle w:val="Heading2"/>
      </w:pPr>
      <w:bookmarkStart w:id="4" w:name="_Toc219285935"/>
      <w:r w:rsidRPr="009D0E78">
        <w:t xml:space="preserve">State Statute </w:t>
      </w:r>
      <w:r w:rsidRPr="002D4703">
        <w:t>and Authority</w:t>
      </w:r>
      <w:bookmarkEnd w:id="4"/>
    </w:p>
    <w:p w14:paraId="59B00D8A" w14:textId="64A1BE34" w:rsidR="00574F4F" w:rsidRDefault="00ED04DA" w:rsidP="00AB7E50">
      <w:pPr>
        <w:spacing w:after="240"/>
        <w:rPr>
          <w:rFonts w:ascii="Arial" w:hAnsi="Arial" w:cs="Arial"/>
        </w:rPr>
      </w:pPr>
      <w:bookmarkStart w:id="5" w:name="_Hlk220057718"/>
      <w:r>
        <w:rPr>
          <w:rFonts w:ascii="Arial" w:hAnsi="Arial" w:cs="Arial"/>
        </w:rPr>
        <w:t>AB</w:t>
      </w:r>
      <w:r w:rsidR="00CC7042" w:rsidRPr="002D4703">
        <w:rPr>
          <w:rFonts w:ascii="Arial" w:hAnsi="Arial" w:cs="Arial"/>
        </w:rPr>
        <w:t xml:space="preserve"> 130, Chapter 44, Section 158, Statues of 2021</w:t>
      </w:r>
      <w:bookmarkEnd w:id="5"/>
      <w:r w:rsidR="00CC7042" w:rsidRPr="002D4703">
        <w:rPr>
          <w:rFonts w:ascii="Arial" w:hAnsi="Arial" w:cs="Arial"/>
        </w:rPr>
        <w:t xml:space="preserve"> provide</w:t>
      </w:r>
      <w:r w:rsidR="0049328F" w:rsidRPr="002D4703">
        <w:rPr>
          <w:rFonts w:ascii="Arial" w:hAnsi="Arial" w:cs="Arial"/>
        </w:rPr>
        <w:t>d</w:t>
      </w:r>
      <w:r w:rsidR="00CC7042" w:rsidRPr="002D4703">
        <w:rPr>
          <w:rFonts w:ascii="Arial" w:hAnsi="Arial" w:cs="Arial"/>
        </w:rPr>
        <w:t xml:space="preserve"> </w:t>
      </w:r>
      <w:r w:rsidR="001D3101" w:rsidRPr="002D4703">
        <w:rPr>
          <w:rFonts w:ascii="Arial" w:hAnsi="Arial" w:cs="Arial"/>
        </w:rPr>
        <w:t xml:space="preserve">$10 million </w:t>
      </w:r>
      <w:r w:rsidR="00CC7042" w:rsidRPr="002D4703">
        <w:rPr>
          <w:rFonts w:ascii="Arial" w:hAnsi="Arial" w:cs="Arial"/>
        </w:rPr>
        <w:t>over a period of three fiscal years for the DLIG program to assist eligible entities to expand current or establish new DLI programs that provide integrated language learning and academic instruction for native speakers of English and native speakers of another language with the goals of high academic achievement, first and second language proficiency, and cross-cultural understanding</w:t>
      </w:r>
      <w:r w:rsidR="00CC7042" w:rsidRPr="009C7D0F">
        <w:rPr>
          <w:rFonts w:ascii="Arial" w:hAnsi="Arial" w:cs="Arial"/>
        </w:rPr>
        <w:t>.</w:t>
      </w:r>
      <w:r w:rsidR="00F32A96" w:rsidRPr="009C7D0F">
        <w:rPr>
          <w:rFonts w:ascii="Arial" w:hAnsi="Arial" w:cs="Arial"/>
        </w:rPr>
        <w:t xml:space="preserve"> Eligible entities included a school, a school district, a county office of education, a charter school, or a consortium composed of any of the entities </w:t>
      </w:r>
      <w:r w:rsidR="00A71BD4">
        <w:rPr>
          <w:rFonts w:ascii="Arial" w:hAnsi="Arial" w:cs="Arial"/>
        </w:rPr>
        <w:t>noted</w:t>
      </w:r>
      <w:r w:rsidR="0066577E" w:rsidRPr="009C7D0F">
        <w:rPr>
          <w:rFonts w:ascii="Arial" w:hAnsi="Arial" w:cs="Arial"/>
        </w:rPr>
        <w:t xml:space="preserve"> here.</w:t>
      </w:r>
      <w:r w:rsidR="00F32A96">
        <w:rPr>
          <w:rFonts w:ascii="Arial" w:hAnsi="Arial" w:cs="Arial"/>
        </w:rPr>
        <w:t xml:space="preserve"> </w:t>
      </w:r>
    </w:p>
    <w:p w14:paraId="46E0BCEB" w14:textId="1FB44E7D" w:rsidR="00574F4F" w:rsidRPr="002D4703" w:rsidRDefault="00574F4F" w:rsidP="009D0E78">
      <w:pPr>
        <w:pStyle w:val="Heading2"/>
      </w:pPr>
      <w:bookmarkStart w:id="6" w:name="_Toc219285936"/>
      <w:r w:rsidRPr="002D4703">
        <w:t>Legislative Reporting Requirements</w:t>
      </w:r>
      <w:bookmarkEnd w:id="6"/>
    </w:p>
    <w:p w14:paraId="6DD9DF0D" w14:textId="03E74FD5" w:rsidR="00574F4F" w:rsidRPr="002D4703" w:rsidRDefault="00242B0A" w:rsidP="00AB7E50">
      <w:pPr>
        <w:spacing w:after="240"/>
        <w:rPr>
          <w:rFonts w:ascii="Arial" w:hAnsi="Arial" w:cs="Arial"/>
        </w:rPr>
      </w:pPr>
      <w:r w:rsidRPr="002D4703">
        <w:rPr>
          <w:rFonts w:ascii="Arial" w:hAnsi="Arial" w:cs="Arial"/>
        </w:rPr>
        <w:t>The CDE is required to report to the</w:t>
      </w:r>
      <w:r w:rsidR="00574F4F" w:rsidRPr="002D4703">
        <w:rPr>
          <w:rFonts w:ascii="Arial" w:hAnsi="Arial" w:cs="Arial"/>
        </w:rPr>
        <w:t xml:space="preserve"> Legislature regarding outcomes resulting from the use of </w:t>
      </w:r>
      <w:r w:rsidRPr="002D4703">
        <w:rPr>
          <w:rFonts w:ascii="Arial" w:hAnsi="Arial" w:cs="Arial"/>
        </w:rPr>
        <w:t>DLIG</w:t>
      </w:r>
      <w:r w:rsidR="00574F4F" w:rsidRPr="002D4703">
        <w:rPr>
          <w:rFonts w:ascii="Arial" w:hAnsi="Arial" w:cs="Arial"/>
        </w:rPr>
        <w:t xml:space="preserve"> funds</w:t>
      </w:r>
      <w:r w:rsidR="00DE4536" w:rsidRPr="002D4703">
        <w:rPr>
          <w:rFonts w:ascii="Arial" w:hAnsi="Arial" w:cs="Arial"/>
        </w:rPr>
        <w:t>,</w:t>
      </w:r>
      <w:r w:rsidR="00574F4F" w:rsidRPr="002D4703">
        <w:rPr>
          <w:rFonts w:ascii="Arial" w:hAnsi="Arial" w:cs="Arial"/>
        </w:rPr>
        <w:t xml:space="preserve"> including </w:t>
      </w:r>
      <w:r w:rsidR="00600B09">
        <w:rPr>
          <w:rFonts w:ascii="Arial" w:hAnsi="Arial" w:cs="Arial"/>
        </w:rPr>
        <w:t>(</w:t>
      </w:r>
      <w:r w:rsidR="00574F4F" w:rsidRPr="002D4703">
        <w:rPr>
          <w:rFonts w:ascii="Arial" w:hAnsi="Arial" w:cs="Arial"/>
        </w:rPr>
        <w:t>but not limited to</w:t>
      </w:r>
      <w:r w:rsidR="00600B09">
        <w:rPr>
          <w:rFonts w:ascii="Arial" w:hAnsi="Arial" w:cs="Arial"/>
        </w:rPr>
        <w:t>)</w:t>
      </w:r>
      <w:r w:rsidR="00574F4F" w:rsidRPr="002D4703">
        <w:rPr>
          <w:rFonts w:ascii="Arial" w:hAnsi="Arial" w:cs="Arial"/>
        </w:rPr>
        <w:t xml:space="preserve"> the number of awards, the award recipients, the amount of each award, and how funds were used.</w:t>
      </w:r>
    </w:p>
    <w:p w14:paraId="3F04DCD6" w14:textId="77777777" w:rsidR="005808B8" w:rsidRDefault="005808B8">
      <w:pPr>
        <w:rPr>
          <w:rFonts w:ascii="Arial" w:hAnsi="Arial" w:cs="Arial"/>
          <w:b/>
          <w:bCs/>
          <w:sz w:val="28"/>
          <w:szCs w:val="28"/>
        </w:rPr>
      </w:pPr>
      <w:bookmarkStart w:id="7" w:name="_Toc219285937"/>
      <w:r>
        <w:rPr>
          <w:szCs w:val="28"/>
        </w:rPr>
        <w:br w:type="page"/>
      </w:r>
    </w:p>
    <w:p w14:paraId="3FA4371B" w14:textId="74CB86F2" w:rsidR="00EF1505" w:rsidRPr="002D4703" w:rsidRDefault="009530D2" w:rsidP="009D0E78">
      <w:pPr>
        <w:pStyle w:val="Heading2"/>
      </w:pPr>
      <w:proofErr w:type="gramStart"/>
      <w:r w:rsidRPr="002D4703">
        <w:lastRenderedPageBreak/>
        <w:t>Grantee</w:t>
      </w:r>
      <w:proofErr w:type="gramEnd"/>
      <w:r w:rsidRPr="002D4703">
        <w:t xml:space="preserve"> Information</w:t>
      </w:r>
      <w:bookmarkEnd w:id="7"/>
    </w:p>
    <w:p w14:paraId="4320D32D" w14:textId="4801C55C" w:rsidR="009530D2" w:rsidRPr="002D4703" w:rsidRDefault="00E56D00" w:rsidP="00E56D00">
      <w:pPr>
        <w:spacing w:after="240"/>
        <w:rPr>
          <w:rFonts w:ascii="Arial" w:hAnsi="Arial" w:cs="Arial"/>
        </w:rPr>
      </w:pPr>
      <w:r w:rsidRPr="002D4703">
        <w:rPr>
          <w:rFonts w:ascii="Arial" w:hAnsi="Arial" w:cs="Arial"/>
        </w:rPr>
        <w:t xml:space="preserve">The following 27 </w:t>
      </w:r>
      <w:r w:rsidR="006D071B">
        <w:rPr>
          <w:rFonts w:ascii="Arial" w:hAnsi="Arial" w:cs="Arial"/>
        </w:rPr>
        <w:t>entities</w:t>
      </w:r>
      <w:r w:rsidR="006D071B" w:rsidRPr="002D4703">
        <w:rPr>
          <w:rFonts w:ascii="Arial" w:hAnsi="Arial" w:cs="Arial"/>
        </w:rPr>
        <w:t xml:space="preserve"> </w:t>
      </w:r>
      <w:r w:rsidRPr="002D4703">
        <w:rPr>
          <w:rFonts w:ascii="Arial" w:hAnsi="Arial" w:cs="Arial"/>
        </w:rPr>
        <w:t xml:space="preserve">were awarded DLIG funds in </w:t>
      </w:r>
      <w:r w:rsidR="00F46499" w:rsidRPr="002D4703">
        <w:rPr>
          <w:rFonts w:ascii="Arial" w:hAnsi="Arial" w:cs="Arial"/>
        </w:rPr>
        <w:t>November of 202</w:t>
      </w:r>
      <w:r w:rsidR="00C7713E" w:rsidRPr="002D4703">
        <w:rPr>
          <w:rFonts w:ascii="Arial" w:hAnsi="Arial" w:cs="Arial"/>
        </w:rPr>
        <w:t>2</w:t>
      </w:r>
      <w:r w:rsidRPr="002D4703">
        <w:rPr>
          <w:rFonts w:ascii="Arial" w:hAnsi="Arial" w:cs="Arial"/>
        </w:rPr>
        <w:t xml:space="preserve">. </w:t>
      </w:r>
    </w:p>
    <w:p w14:paraId="62A1B3D7" w14:textId="7BC96A9B" w:rsidR="00E56D00" w:rsidRPr="002D4703" w:rsidRDefault="00E56D00" w:rsidP="008B626A">
      <w:pPr>
        <w:pStyle w:val="Heading3"/>
      </w:pPr>
      <w:r w:rsidRPr="002D4703">
        <w:t>Table 1</w:t>
      </w:r>
      <w:r w:rsidR="00E92052">
        <w:t>: Entities Awarded DLIG Funds in November 2022</w:t>
      </w:r>
    </w:p>
    <w:tbl>
      <w:tblPr>
        <w:tblW w:w="9090" w:type="dxa"/>
        <w:tblCellMar>
          <w:top w:w="15" w:type="dxa"/>
          <w:bottom w:w="15" w:type="dxa"/>
        </w:tblCellMar>
        <w:tblLook w:val="04A0" w:firstRow="1" w:lastRow="0" w:firstColumn="1" w:lastColumn="0" w:noHBand="0" w:noVBand="1"/>
        <w:tblDescription w:val="Table of Entities Awarded DLIG Funds in November 2022."/>
      </w:tblPr>
      <w:tblGrid>
        <w:gridCol w:w="6120"/>
        <w:gridCol w:w="2970"/>
      </w:tblGrid>
      <w:tr w:rsidR="00EF1505" w:rsidRPr="002D4703" w14:paraId="20A83774" w14:textId="77777777" w:rsidTr="008B626A">
        <w:trPr>
          <w:cantSplit/>
          <w:trHeight w:val="435"/>
          <w:tblHeader/>
        </w:trPr>
        <w:tc>
          <w:tcPr>
            <w:tcW w:w="6120" w:type="dxa"/>
            <w:tcBorders>
              <w:top w:val="single" w:sz="4" w:space="0" w:color="auto"/>
              <w:left w:val="single" w:sz="4" w:space="0" w:color="auto"/>
              <w:bottom w:val="single" w:sz="4" w:space="0" w:color="auto"/>
              <w:right w:val="single" w:sz="4" w:space="0" w:color="auto"/>
            </w:tcBorders>
            <w:vAlign w:val="bottom"/>
            <w:hideMark/>
          </w:tcPr>
          <w:p w14:paraId="19E2CEAB" w14:textId="77777777" w:rsidR="00EF1505" w:rsidRPr="002D4703" w:rsidRDefault="00EF1505" w:rsidP="00EF1505">
            <w:pPr>
              <w:jc w:val="center"/>
              <w:rPr>
                <w:rFonts w:ascii="Arial" w:hAnsi="Arial" w:cs="Arial"/>
                <w:b/>
                <w:bCs/>
                <w:color w:val="000000"/>
              </w:rPr>
            </w:pPr>
            <w:r w:rsidRPr="002D4703">
              <w:rPr>
                <w:rFonts w:ascii="Arial" w:hAnsi="Arial" w:cs="Arial"/>
                <w:b/>
                <w:bCs/>
                <w:color w:val="000000"/>
              </w:rPr>
              <w:t>Grantee</w:t>
            </w:r>
          </w:p>
        </w:tc>
        <w:tc>
          <w:tcPr>
            <w:tcW w:w="2970" w:type="dxa"/>
            <w:tcBorders>
              <w:top w:val="single" w:sz="4" w:space="0" w:color="auto"/>
              <w:left w:val="single" w:sz="4" w:space="0" w:color="auto"/>
              <w:bottom w:val="single" w:sz="4" w:space="0" w:color="auto"/>
              <w:right w:val="single" w:sz="4" w:space="0" w:color="auto"/>
            </w:tcBorders>
            <w:vAlign w:val="bottom"/>
            <w:hideMark/>
          </w:tcPr>
          <w:p w14:paraId="2D1F3104" w14:textId="26CAEF82" w:rsidR="00EF1505" w:rsidRPr="002D4703" w:rsidRDefault="00EF1505" w:rsidP="00EF1505">
            <w:pPr>
              <w:jc w:val="center"/>
              <w:rPr>
                <w:rFonts w:ascii="Arial" w:hAnsi="Arial" w:cs="Arial"/>
                <w:b/>
                <w:bCs/>
                <w:color w:val="000000"/>
              </w:rPr>
            </w:pPr>
            <w:r w:rsidRPr="002D4703">
              <w:rPr>
                <w:rFonts w:ascii="Arial" w:hAnsi="Arial" w:cs="Arial"/>
                <w:b/>
                <w:bCs/>
                <w:color w:val="000000"/>
              </w:rPr>
              <w:t>Grant Award</w:t>
            </w:r>
          </w:p>
        </w:tc>
      </w:tr>
      <w:tr w:rsidR="00EF1505" w:rsidRPr="002D4703" w14:paraId="68551D36"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70641E2D" w14:textId="77777777" w:rsidR="00EF1505" w:rsidRPr="002D4703" w:rsidRDefault="00EF1505">
            <w:pPr>
              <w:rPr>
                <w:rFonts w:ascii="Arial" w:hAnsi="Arial" w:cs="Arial"/>
                <w:color w:val="000000"/>
              </w:rPr>
            </w:pPr>
            <w:r w:rsidRPr="002D4703">
              <w:rPr>
                <w:rFonts w:ascii="Arial" w:hAnsi="Arial" w:cs="Arial"/>
                <w:color w:val="000000"/>
              </w:rPr>
              <w:t>Armona Elementary School</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BE697A9"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0330FD8D"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44E9342" w14:textId="77777777" w:rsidR="00EF1505" w:rsidRPr="002D4703" w:rsidRDefault="00EF1505">
            <w:pPr>
              <w:rPr>
                <w:rFonts w:ascii="Arial" w:hAnsi="Arial" w:cs="Arial"/>
                <w:color w:val="000000"/>
              </w:rPr>
            </w:pPr>
            <w:r w:rsidRPr="002D4703">
              <w:rPr>
                <w:rFonts w:ascii="Arial" w:hAnsi="Arial" w:cs="Arial"/>
                <w:color w:val="000000"/>
              </w:rPr>
              <w:t>Castro Valley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7574215E" w14:textId="77777777" w:rsidR="00EF1505" w:rsidRPr="002D4703" w:rsidRDefault="00EF1505">
            <w:pPr>
              <w:jc w:val="center"/>
              <w:rPr>
                <w:rFonts w:ascii="Arial" w:hAnsi="Arial" w:cs="Arial"/>
              </w:rPr>
            </w:pPr>
            <w:r w:rsidRPr="002D4703">
              <w:rPr>
                <w:rFonts w:ascii="Arial" w:hAnsi="Arial" w:cs="Arial"/>
              </w:rPr>
              <w:t>$350,000</w:t>
            </w:r>
          </w:p>
        </w:tc>
      </w:tr>
      <w:tr w:rsidR="00EF1505" w:rsidRPr="002D4703" w14:paraId="28AFD859"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097BBB01" w14:textId="77777777" w:rsidR="00EF1505" w:rsidRPr="002D4703" w:rsidRDefault="00EF1505">
            <w:pPr>
              <w:rPr>
                <w:rFonts w:ascii="Arial" w:hAnsi="Arial" w:cs="Arial"/>
                <w:color w:val="000000"/>
              </w:rPr>
            </w:pPr>
            <w:r w:rsidRPr="002D4703">
              <w:rPr>
                <w:rFonts w:ascii="Arial" w:hAnsi="Arial" w:cs="Arial"/>
                <w:color w:val="000000"/>
              </w:rPr>
              <w:t>Chino Valley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AC1D25B"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3342DBC1"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7D0B9D14" w14:textId="77777777" w:rsidR="00EF1505" w:rsidRPr="002D4703" w:rsidRDefault="00EF1505">
            <w:pPr>
              <w:rPr>
                <w:rFonts w:ascii="Arial" w:hAnsi="Arial" w:cs="Arial"/>
                <w:color w:val="000000"/>
              </w:rPr>
            </w:pPr>
            <w:r w:rsidRPr="002D4703">
              <w:rPr>
                <w:rFonts w:ascii="Arial" w:hAnsi="Arial" w:cs="Arial"/>
                <w:color w:val="000000"/>
              </w:rPr>
              <w:t>Corona Norco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19604CC"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5608E7FE"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6F54631" w14:textId="77777777" w:rsidR="00EF1505" w:rsidRPr="002D4703" w:rsidRDefault="00EF1505">
            <w:pPr>
              <w:rPr>
                <w:rFonts w:ascii="Arial" w:hAnsi="Arial" w:cs="Arial"/>
                <w:color w:val="000000"/>
              </w:rPr>
            </w:pPr>
            <w:r w:rsidRPr="002D4703">
              <w:rPr>
                <w:rFonts w:ascii="Arial" w:hAnsi="Arial" w:cs="Arial"/>
                <w:color w:val="000000"/>
              </w:rPr>
              <w:t>Cutler-Orosi Joint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A929FCB"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4054E54"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EB8CC6C" w14:textId="77777777" w:rsidR="00EF1505" w:rsidRPr="002D4703" w:rsidRDefault="00EF1505">
            <w:pPr>
              <w:rPr>
                <w:rFonts w:ascii="Arial" w:hAnsi="Arial" w:cs="Arial"/>
                <w:color w:val="000000"/>
              </w:rPr>
            </w:pPr>
            <w:r w:rsidRPr="002D4703">
              <w:rPr>
                <w:rFonts w:ascii="Arial" w:hAnsi="Arial" w:cs="Arial"/>
                <w:color w:val="000000"/>
              </w:rPr>
              <w:t>Firebaugh-Las Deltas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2871A36" w14:textId="77777777" w:rsidR="00EF1505" w:rsidRPr="002D4703" w:rsidRDefault="00EF1505">
            <w:pPr>
              <w:jc w:val="center"/>
              <w:rPr>
                <w:rFonts w:ascii="Arial" w:hAnsi="Arial" w:cs="Arial"/>
              </w:rPr>
            </w:pPr>
            <w:r w:rsidRPr="002D4703">
              <w:rPr>
                <w:rFonts w:ascii="Arial" w:hAnsi="Arial" w:cs="Arial"/>
              </w:rPr>
              <w:t>$300,000</w:t>
            </w:r>
          </w:p>
        </w:tc>
      </w:tr>
      <w:tr w:rsidR="00EF1505" w:rsidRPr="002D4703" w14:paraId="46CCB401" w14:textId="77777777" w:rsidTr="008B626A">
        <w:trPr>
          <w:cantSplit/>
          <w:trHeight w:val="315"/>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A9AB5A6" w14:textId="77777777" w:rsidR="00EF1505" w:rsidRPr="002D4703" w:rsidRDefault="00EF1505">
            <w:pPr>
              <w:rPr>
                <w:rFonts w:ascii="Arial" w:hAnsi="Arial" w:cs="Arial"/>
                <w:color w:val="000000"/>
              </w:rPr>
            </w:pPr>
            <w:r w:rsidRPr="002D4703">
              <w:rPr>
                <w:rFonts w:ascii="Arial" w:hAnsi="Arial" w:cs="Arial"/>
                <w:color w:val="000000"/>
              </w:rPr>
              <w:t>Fullerton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C377694"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46F86965"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36225298" w14:textId="77777777" w:rsidR="00EF1505" w:rsidRPr="002D4703" w:rsidRDefault="00EF1505">
            <w:pPr>
              <w:rPr>
                <w:rFonts w:ascii="Arial" w:hAnsi="Arial" w:cs="Arial"/>
                <w:color w:val="000000"/>
              </w:rPr>
            </w:pPr>
            <w:r w:rsidRPr="002D4703">
              <w:rPr>
                <w:rFonts w:ascii="Arial" w:hAnsi="Arial" w:cs="Arial"/>
                <w:color w:val="000000"/>
              </w:rPr>
              <w:t>Hamilton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5DC76EF4"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6417E22"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42F030F7" w14:textId="77777777" w:rsidR="00EF1505" w:rsidRPr="002D4703" w:rsidRDefault="00EF1505">
            <w:pPr>
              <w:rPr>
                <w:rFonts w:ascii="Arial" w:hAnsi="Arial" w:cs="Arial"/>
                <w:color w:val="000000"/>
              </w:rPr>
            </w:pPr>
            <w:r w:rsidRPr="002D4703">
              <w:rPr>
                <w:rFonts w:ascii="Arial" w:hAnsi="Arial" w:cs="Arial"/>
                <w:color w:val="000000"/>
              </w:rPr>
              <w:t>Kelseyville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3935571"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4304B6A3"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6990AD06" w14:textId="77777777" w:rsidR="00EF1505" w:rsidRPr="002D4703" w:rsidRDefault="00EF1505">
            <w:pPr>
              <w:rPr>
                <w:rFonts w:ascii="Arial" w:hAnsi="Arial" w:cs="Arial"/>
                <w:color w:val="000000"/>
              </w:rPr>
            </w:pPr>
            <w:r w:rsidRPr="002D4703">
              <w:rPr>
                <w:rFonts w:ascii="Arial" w:hAnsi="Arial" w:cs="Arial"/>
                <w:color w:val="000000"/>
              </w:rPr>
              <w:t>La Mesa-Spring Valley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E4AB4BD"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5E63854F"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6DF6E59" w14:textId="77777777" w:rsidR="00EF1505" w:rsidRPr="002D4703" w:rsidRDefault="00EF1505">
            <w:pPr>
              <w:rPr>
                <w:rFonts w:ascii="Arial" w:hAnsi="Arial" w:cs="Arial"/>
                <w:color w:val="000000"/>
              </w:rPr>
            </w:pPr>
            <w:r w:rsidRPr="002D4703">
              <w:rPr>
                <w:rFonts w:ascii="Arial" w:hAnsi="Arial" w:cs="Arial"/>
                <w:color w:val="000000"/>
              </w:rPr>
              <w:t>Lake Tahoe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4990BB8" w14:textId="77777777" w:rsidR="00EF1505" w:rsidRPr="002D4703" w:rsidRDefault="00EF1505">
            <w:pPr>
              <w:jc w:val="center"/>
              <w:rPr>
                <w:rFonts w:ascii="Arial" w:hAnsi="Arial" w:cs="Arial"/>
              </w:rPr>
            </w:pPr>
            <w:r w:rsidRPr="002D4703">
              <w:rPr>
                <w:rFonts w:ascii="Arial" w:hAnsi="Arial" w:cs="Arial"/>
              </w:rPr>
              <w:t>$250,000</w:t>
            </w:r>
          </w:p>
        </w:tc>
      </w:tr>
      <w:tr w:rsidR="00EF1505" w:rsidRPr="002D4703" w14:paraId="376F335D"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AFDFE05" w14:textId="77777777" w:rsidR="00EF1505" w:rsidRPr="002D4703" w:rsidRDefault="00EF1505">
            <w:pPr>
              <w:rPr>
                <w:rFonts w:ascii="Arial" w:hAnsi="Arial" w:cs="Arial"/>
                <w:color w:val="000000"/>
              </w:rPr>
            </w:pPr>
            <w:r w:rsidRPr="002D4703">
              <w:rPr>
                <w:rFonts w:ascii="Arial" w:hAnsi="Arial" w:cs="Arial"/>
                <w:color w:val="000000"/>
              </w:rPr>
              <w:t>Madera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D06C2E1"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5B3744F1"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401259EA" w14:textId="77777777" w:rsidR="00EF1505" w:rsidRPr="002D4703" w:rsidRDefault="00EF1505">
            <w:pPr>
              <w:rPr>
                <w:rFonts w:ascii="Arial" w:hAnsi="Arial" w:cs="Arial"/>
                <w:color w:val="000000"/>
              </w:rPr>
            </w:pPr>
            <w:r w:rsidRPr="002D4703">
              <w:rPr>
                <w:rFonts w:ascii="Arial" w:hAnsi="Arial" w:cs="Arial"/>
                <w:color w:val="000000"/>
              </w:rPr>
              <w:t>New Haven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B104BC3"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FCE819B"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725CA7DE" w14:textId="77777777" w:rsidR="00EF1505" w:rsidRPr="002D4703" w:rsidRDefault="00EF1505">
            <w:pPr>
              <w:rPr>
                <w:rFonts w:ascii="Arial" w:hAnsi="Arial" w:cs="Arial"/>
                <w:color w:val="000000"/>
              </w:rPr>
            </w:pPr>
            <w:r w:rsidRPr="002D4703">
              <w:rPr>
                <w:rFonts w:ascii="Arial" w:hAnsi="Arial" w:cs="Arial"/>
                <w:color w:val="000000"/>
              </w:rPr>
              <w:t>Oakland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7A0D314"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6582182E"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504EDAE5" w14:textId="77777777" w:rsidR="00EF1505" w:rsidRPr="002D4703" w:rsidRDefault="00EF1505">
            <w:pPr>
              <w:rPr>
                <w:rFonts w:ascii="Arial" w:hAnsi="Arial" w:cs="Arial"/>
                <w:color w:val="000000"/>
              </w:rPr>
            </w:pPr>
            <w:r w:rsidRPr="002D4703">
              <w:rPr>
                <w:rFonts w:ascii="Arial" w:hAnsi="Arial" w:cs="Arial"/>
                <w:color w:val="000000"/>
              </w:rPr>
              <w:t>Petaluma City Schools</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7C3056E2" w14:textId="77777777" w:rsidR="00EF1505" w:rsidRPr="002D4703" w:rsidRDefault="00EF1505">
            <w:pPr>
              <w:jc w:val="center"/>
              <w:rPr>
                <w:rFonts w:ascii="Arial" w:hAnsi="Arial" w:cs="Arial"/>
              </w:rPr>
            </w:pPr>
            <w:r w:rsidRPr="002D4703">
              <w:rPr>
                <w:rFonts w:ascii="Arial" w:hAnsi="Arial" w:cs="Arial"/>
              </w:rPr>
              <w:t>$350,000</w:t>
            </w:r>
          </w:p>
        </w:tc>
      </w:tr>
      <w:tr w:rsidR="00EF1505" w:rsidRPr="002D4703" w14:paraId="3EB97DF9"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4AE6951F" w14:textId="77777777" w:rsidR="00EF1505" w:rsidRPr="002D4703" w:rsidRDefault="00EF1505">
            <w:pPr>
              <w:rPr>
                <w:rFonts w:ascii="Arial" w:hAnsi="Arial" w:cs="Arial"/>
                <w:color w:val="000000"/>
              </w:rPr>
            </w:pPr>
            <w:r w:rsidRPr="002D4703">
              <w:rPr>
                <w:rFonts w:ascii="Arial" w:hAnsi="Arial" w:cs="Arial"/>
                <w:color w:val="000000"/>
              </w:rPr>
              <w:t>Placerville Union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AF39C22" w14:textId="77777777" w:rsidR="00EF1505" w:rsidRPr="002D4703" w:rsidRDefault="00EF1505">
            <w:pPr>
              <w:jc w:val="center"/>
              <w:rPr>
                <w:rFonts w:ascii="Arial" w:hAnsi="Arial" w:cs="Arial"/>
              </w:rPr>
            </w:pPr>
            <w:r w:rsidRPr="002D4703">
              <w:rPr>
                <w:rFonts w:ascii="Arial" w:hAnsi="Arial" w:cs="Arial"/>
              </w:rPr>
              <w:t>$250,000</w:t>
            </w:r>
          </w:p>
        </w:tc>
      </w:tr>
      <w:tr w:rsidR="00EF1505" w:rsidRPr="002D4703" w14:paraId="3797E372" w14:textId="77777777" w:rsidTr="008B626A">
        <w:trPr>
          <w:cantSplit/>
          <w:trHeight w:val="345"/>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6D228715" w14:textId="77777777" w:rsidR="00EF1505" w:rsidRPr="002D4703" w:rsidRDefault="00EF1505">
            <w:pPr>
              <w:rPr>
                <w:rFonts w:ascii="Arial" w:hAnsi="Arial" w:cs="Arial"/>
                <w:color w:val="000000"/>
              </w:rPr>
            </w:pPr>
            <w:r w:rsidRPr="002D4703">
              <w:rPr>
                <w:rFonts w:ascii="Arial" w:hAnsi="Arial" w:cs="Arial"/>
                <w:color w:val="000000"/>
              </w:rPr>
              <w:t>Riverbank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0A5115C"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E61D8D2" w14:textId="77777777" w:rsidTr="008B626A">
        <w:trPr>
          <w:cantSplit/>
          <w:trHeight w:val="285"/>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58FD4AE7" w14:textId="77777777" w:rsidR="00EF1505" w:rsidRPr="002D4703" w:rsidRDefault="00EF1505">
            <w:pPr>
              <w:rPr>
                <w:rFonts w:ascii="Arial" w:hAnsi="Arial" w:cs="Arial"/>
                <w:color w:val="000000"/>
              </w:rPr>
            </w:pPr>
            <w:r w:rsidRPr="002D4703">
              <w:rPr>
                <w:rFonts w:ascii="Arial" w:hAnsi="Arial" w:cs="Arial"/>
                <w:color w:val="000000"/>
              </w:rPr>
              <w:t>San Bernardino City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082F6C7E"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E6BF655"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AC7A8DD" w14:textId="77777777" w:rsidR="00EF1505" w:rsidRPr="002D4703" w:rsidRDefault="00EF1505">
            <w:pPr>
              <w:rPr>
                <w:rFonts w:ascii="Arial" w:hAnsi="Arial" w:cs="Arial"/>
                <w:color w:val="000000"/>
              </w:rPr>
            </w:pPr>
            <w:r w:rsidRPr="002D4703">
              <w:rPr>
                <w:rFonts w:ascii="Arial" w:hAnsi="Arial" w:cs="Arial"/>
                <w:color w:val="000000"/>
              </w:rPr>
              <w:t>San Luis Coastal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8A5DF15"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62D44718"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ED5DC38" w14:textId="77777777" w:rsidR="00EF1505" w:rsidRPr="002D4703" w:rsidRDefault="00EF1505">
            <w:pPr>
              <w:rPr>
                <w:rFonts w:ascii="Arial" w:hAnsi="Arial" w:cs="Arial"/>
                <w:color w:val="000000"/>
              </w:rPr>
            </w:pPr>
            <w:r w:rsidRPr="002D4703">
              <w:rPr>
                <w:rFonts w:ascii="Arial" w:hAnsi="Arial" w:cs="Arial"/>
                <w:color w:val="000000"/>
              </w:rPr>
              <w:t>Sanger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5D6E12CE"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6B972CF1"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04B850E5" w14:textId="77777777" w:rsidR="00EF1505" w:rsidRPr="002D4703" w:rsidRDefault="00EF1505">
            <w:pPr>
              <w:rPr>
                <w:rFonts w:ascii="Arial" w:hAnsi="Arial" w:cs="Arial"/>
                <w:color w:val="000000"/>
              </w:rPr>
            </w:pPr>
            <w:r w:rsidRPr="002D4703">
              <w:rPr>
                <w:rFonts w:ascii="Arial" w:hAnsi="Arial" w:cs="Arial"/>
                <w:color w:val="000000"/>
              </w:rPr>
              <w:t>Santa Ana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E040742"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266923FF"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1A3FBB6" w14:textId="77777777" w:rsidR="00EF1505" w:rsidRPr="002D4703" w:rsidRDefault="00EF1505">
            <w:pPr>
              <w:rPr>
                <w:rFonts w:ascii="Arial" w:hAnsi="Arial" w:cs="Arial"/>
                <w:color w:val="000000"/>
              </w:rPr>
            </w:pPr>
            <w:r w:rsidRPr="002D4703">
              <w:rPr>
                <w:rFonts w:ascii="Arial" w:hAnsi="Arial" w:cs="Arial"/>
                <w:color w:val="000000"/>
              </w:rPr>
              <w:t>Santa Rosa City Schools</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2AFC26CC"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2C7269F0"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2A96B6D8" w14:textId="77777777" w:rsidR="00EF1505" w:rsidRPr="002D4703" w:rsidRDefault="00EF1505">
            <w:pPr>
              <w:rPr>
                <w:rFonts w:ascii="Arial" w:hAnsi="Arial" w:cs="Arial"/>
                <w:color w:val="000000"/>
              </w:rPr>
            </w:pPr>
            <w:r w:rsidRPr="002D4703">
              <w:rPr>
                <w:rFonts w:ascii="Arial" w:hAnsi="Arial" w:cs="Arial"/>
                <w:color w:val="000000"/>
              </w:rPr>
              <w:t>Visalia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72F141B3"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39F49D9D"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3C56E40B" w14:textId="77777777" w:rsidR="00EF1505" w:rsidRPr="002D4703" w:rsidRDefault="00EF1505">
            <w:pPr>
              <w:rPr>
                <w:rFonts w:ascii="Arial" w:hAnsi="Arial" w:cs="Arial"/>
                <w:color w:val="000000"/>
              </w:rPr>
            </w:pPr>
            <w:r w:rsidRPr="002D4703">
              <w:rPr>
                <w:rFonts w:ascii="Arial" w:hAnsi="Arial" w:cs="Arial"/>
                <w:color w:val="000000"/>
              </w:rPr>
              <w:t>West Putnam Elementary School</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C775B40"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24B48DD5"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784F5125" w14:textId="77777777" w:rsidR="00EF1505" w:rsidRPr="002D4703" w:rsidRDefault="00EF1505">
            <w:pPr>
              <w:rPr>
                <w:rFonts w:ascii="Arial" w:hAnsi="Arial" w:cs="Arial"/>
                <w:color w:val="000000"/>
              </w:rPr>
            </w:pPr>
            <w:r w:rsidRPr="002D4703">
              <w:rPr>
                <w:rFonts w:ascii="Arial" w:hAnsi="Arial" w:cs="Arial"/>
                <w:color w:val="000000"/>
              </w:rPr>
              <w:t>Westminster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15E8F2BA" w14:textId="77777777" w:rsidR="00EF1505" w:rsidRPr="002D4703" w:rsidRDefault="00EF1505">
            <w:pPr>
              <w:jc w:val="center"/>
              <w:rPr>
                <w:rFonts w:ascii="Arial" w:hAnsi="Arial" w:cs="Arial"/>
              </w:rPr>
            </w:pPr>
            <w:r w:rsidRPr="002D4703">
              <w:rPr>
                <w:rFonts w:ascii="Arial" w:hAnsi="Arial" w:cs="Arial"/>
              </w:rPr>
              <w:t>$380,000</w:t>
            </w:r>
          </w:p>
        </w:tc>
      </w:tr>
      <w:tr w:rsidR="00EF1505" w:rsidRPr="002D4703" w14:paraId="130F3A42"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3DB1EA10" w14:textId="77777777" w:rsidR="00EF1505" w:rsidRPr="002D4703" w:rsidRDefault="00EF1505">
            <w:pPr>
              <w:rPr>
                <w:rFonts w:ascii="Arial" w:hAnsi="Arial" w:cs="Arial"/>
                <w:color w:val="000000"/>
              </w:rPr>
            </w:pPr>
            <w:r w:rsidRPr="002D4703">
              <w:rPr>
                <w:rFonts w:ascii="Arial" w:hAnsi="Arial" w:cs="Arial"/>
                <w:color w:val="000000"/>
              </w:rPr>
              <w:t>Winters Joint Unified School District</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6D6D3ECD" w14:textId="77777777" w:rsidR="00EF1505" w:rsidRPr="002D4703" w:rsidRDefault="00EF1505">
            <w:pPr>
              <w:jc w:val="center"/>
              <w:rPr>
                <w:rFonts w:ascii="Arial" w:hAnsi="Arial" w:cs="Arial"/>
              </w:rPr>
            </w:pPr>
            <w:r w:rsidRPr="002D4703">
              <w:rPr>
                <w:rFonts w:ascii="Arial" w:hAnsi="Arial" w:cs="Arial"/>
              </w:rPr>
              <w:t>$400,000</w:t>
            </w:r>
          </w:p>
        </w:tc>
      </w:tr>
      <w:tr w:rsidR="00EF1505" w:rsidRPr="002D4703" w14:paraId="20712105" w14:textId="77777777" w:rsidTr="008B626A">
        <w:trPr>
          <w:cantSplit/>
          <w:trHeight w:val="300"/>
        </w:trPr>
        <w:tc>
          <w:tcPr>
            <w:tcW w:w="6120" w:type="dxa"/>
            <w:tcBorders>
              <w:top w:val="single" w:sz="4" w:space="0" w:color="auto"/>
              <w:left w:val="single" w:sz="4" w:space="0" w:color="auto"/>
              <w:bottom w:val="single" w:sz="4" w:space="0" w:color="auto"/>
              <w:right w:val="single" w:sz="4" w:space="0" w:color="auto"/>
            </w:tcBorders>
            <w:noWrap/>
            <w:vAlign w:val="bottom"/>
            <w:hideMark/>
          </w:tcPr>
          <w:p w14:paraId="4A3AAC26" w14:textId="77777777" w:rsidR="00EF1505" w:rsidRPr="002D4703" w:rsidRDefault="00EF1505">
            <w:pPr>
              <w:rPr>
                <w:rFonts w:ascii="Arial" w:hAnsi="Arial" w:cs="Arial"/>
                <w:color w:val="000000"/>
              </w:rPr>
            </w:pPr>
            <w:r w:rsidRPr="002D4703">
              <w:rPr>
                <w:rFonts w:ascii="Arial" w:hAnsi="Arial" w:cs="Arial"/>
                <w:color w:val="000000"/>
              </w:rPr>
              <w:t>Yu Ming Charter School</w:t>
            </w:r>
          </w:p>
        </w:tc>
        <w:tc>
          <w:tcPr>
            <w:tcW w:w="2970" w:type="dxa"/>
            <w:tcBorders>
              <w:top w:val="single" w:sz="4" w:space="0" w:color="auto"/>
              <w:left w:val="single" w:sz="4" w:space="0" w:color="auto"/>
              <w:bottom w:val="single" w:sz="4" w:space="0" w:color="auto"/>
              <w:right w:val="single" w:sz="4" w:space="0" w:color="auto"/>
            </w:tcBorders>
            <w:noWrap/>
            <w:vAlign w:val="bottom"/>
            <w:hideMark/>
          </w:tcPr>
          <w:p w14:paraId="47EB1428" w14:textId="77777777" w:rsidR="00EF1505" w:rsidRPr="002D4703" w:rsidRDefault="00EF1505">
            <w:pPr>
              <w:jc w:val="center"/>
              <w:rPr>
                <w:rFonts w:ascii="Arial" w:hAnsi="Arial" w:cs="Arial"/>
              </w:rPr>
            </w:pPr>
            <w:r w:rsidRPr="002D4703">
              <w:rPr>
                <w:rFonts w:ascii="Arial" w:hAnsi="Arial" w:cs="Arial"/>
              </w:rPr>
              <w:t>$380,000</w:t>
            </w:r>
          </w:p>
        </w:tc>
      </w:tr>
    </w:tbl>
    <w:p w14:paraId="5BBE3359" w14:textId="77777777" w:rsidR="005808B8" w:rsidRDefault="005808B8">
      <w:pPr>
        <w:rPr>
          <w:rFonts w:ascii="Arial" w:hAnsi="Arial" w:cs="Arial"/>
          <w:b/>
          <w:bCs/>
          <w:sz w:val="28"/>
        </w:rPr>
      </w:pPr>
      <w:bookmarkStart w:id="8" w:name="_Toc219285938"/>
      <w:r>
        <w:br w:type="page"/>
      </w:r>
    </w:p>
    <w:p w14:paraId="1EA1D419" w14:textId="3898DF60" w:rsidR="00BC78A1" w:rsidRPr="002D4703" w:rsidRDefault="00835F78" w:rsidP="009D0E78">
      <w:pPr>
        <w:pStyle w:val="Heading2"/>
      </w:pPr>
      <w:r w:rsidRPr="002D4703">
        <w:lastRenderedPageBreak/>
        <w:t>Establishment and Expansion of DLI Programs</w:t>
      </w:r>
      <w:bookmarkEnd w:id="8"/>
      <w:r w:rsidRPr="002D4703">
        <w:t xml:space="preserve"> </w:t>
      </w:r>
    </w:p>
    <w:p w14:paraId="5B72982B" w14:textId="67C1B980" w:rsidR="00897B6D" w:rsidRPr="00AB7E50" w:rsidRDefault="003953C4" w:rsidP="00AB7E50">
      <w:pPr>
        <w:spacing w:after="240"/>
        <w:rPr>
          <w:rFonts w:ascii="Arial" w:hAnsi="Arial" w:cs="Arial"/>
        </w:rPr>
      </w:pPr>
      <w:proofErr w:type="gramStart"/>
      <w:r w:rsidRPr="002D4703">
        <w:rPr>
          <w:rFonts w:ascii="Arial" w:hAnsi="Arial" w:cs="Arial"/>
        </w:rPr>
        <w:t>Within</w:t>
      </w:r>
      <w:proofErr w:type="gramEnd"/>
      <w:r w:rsidRPr="002D4703">
        <w:rPr>
          <w:rFonts w:ascii="Arial" w:hAnsi="Arial" w:cs="Arial"/>
        </w:rPr>
        <w:t xml:space="preserve"> the 27 grantees, 54 schools </w:t>
      </w:r>
      <w:r w:rsidR="00A13913" w:rsidRPr="002D4703">
        <w:rPr>
          <w:rFonts w:ascii="Arial" w:hAnsi="Arial" w:cs="Arial"/>
        </w:rPr>
        <w:t xml:space="preserve">participated in </w:t>
      </w:r>
      <w:r w:rsidR="001A54C8" w:rsidRPr="002D4703">
        <w:rPr>
          <w:rFonts w:ascii="Arial" w:hAnsi="Arial" w:cs="Arial"/>
        </w:rPr>
        <w:t xml:space="preserve">expanding or </w:t>
      </w:r>
      <w:r w:rsidR="00DE4536" w:rsidRPr="002D4703">
        <w:rPr>
          <w:rFonts w:ascii="Arial" w:hAnsi="Arial" w:cs="Arial"/>
        </w:rPr>
        <w:t xml:space="preserve">establishing </w:t>
      </w:r>
      <w:r w:rsidR="001A54C8" w:rsidRPr="002D4703">
        <w:rPr>
          <w:rFonts w:ascii="Arial" w:hAnsi="Arial" w:cs="Arial"/>
        </w:rPr>
        <w:t>DLI programs</w:t>
      </w:r>
      <w:r w:rsidR="0044614D" w:rsidRPr="002D4703">
        <w:rPr>
          <w:rFonts w:ascii="Arial" w:hAnsi="Arial" w:cs="Arial"/>
        </w:rPr>
        <w:t xml:space="preserve"> (Table </w:t>
      </w:r>
      <w:r w:rsidR="0035775E" w:rsidRPr="002D4703">
        <w:rPr>
          <w:rFonts w:ascii="Arial" w:hAnsi="Arial" w:cs="Arial"/>
        </w:rPr>
        <w:t>2</w:t>
      </w:r>
      <w:r w:rsidR="0044614D" w:rsidRPr="002D4703">
        <w:rPr>
          <w:rFonts w:ascii="Arial" w:hAnsi="Arial" w:cs="Arial"/>
        </w:rPr>
        <w:t>)</w:t>
      </w:r>
      <w:r w:rsidR="001A54C8" w:rsidRPr="002D4703">
        <w:rPr>
          <w:rFonts w:ascii="Arial" w:hAnsi="Arial" w:cs="Arial"/>
        </w:rPr>
        <w:t>.</w:t>
      </w:r>
      <w:r w:rsidR="0004782E" w:rsidRPr="002D4703">
        <w:rPr>
          <w:rFonts w:ascii="Arial" w:hAnsi="Arial" w:cs="Arial"/>
        </w:rPr>
        <w:t xml:space="preserve"> Of those schools, 32 expanded their current DLI programs into new grades</w:t>
      </w:r>
      <w:r w:rsidR="00DE4536" w:rsidRPr="002D4703">
        <w:rPr>
          <w:rFonts w:ascii="Arial" w:hAnsi="Arial" w:cs="Arial"/>
        </w:rPr>
        <w:t>,</w:t>
      </w:r>
      <w:r w:rsidR="0004782E" w:rsidRPr="002D4703">
        <w:rPr>
          <w:rFonts w:ascii="Arial" w:hAnsi="Arial" w:cs="Arial"/>
        </w:rPr>
        <w:t xml:space="preserve"> and 22 established new DLI programs at their site</w:t>
      </w:r>
      <w:r w:rsidR="007B327F">
        <w:rPr>
          <w:rFonts w:ascii="Arial" w:hAnsi="Arial" w:cs="Arial"/>
        </w:rPr>
        <w:t>s</w:t>
      </w:r>
      <w:r w:rsidR="0004782E" w:rsidRPr="002D4703">
        <w:rPr>
          <w:rFonts w:ascii="Arial" w:hAnsi="Arial" w:cs="Arial"/>
        </w:rPr>
        <w:t xml:space="preserve"> (Table </w:t>
      </w:r>
      <w:r w:rsidR="0035775E" w:rsidRPr="002D4703">
        <w:rPr>
          <w:rFonts w:ascii="Arial" w:hAnsi="Arial" w:cs="Arial"/>
        </w:rPr>
        <w:t>3</w:t>
      </w:r>
      <w:r w:rsidR="0004782E" w:rsidRPr="002D4703">
        <w:rPr>
          <w:rFonts w:ascii="Arial" w:hAnsi="Arial" w:cs="Arial"/>
        </w:rPr>
        <w:t>). The</w:t>
      </w:r>
      <w:r w:rsidR="006F699B" w:rsidRPr="002D4703">
        <w:rPr>
          <w:rFonts w:ascii="Arial" w:hAnsi="Arial" w:cs="Arial"/>
        </w:rPr>
        <w:t xml:space="preserve"> 54</w:t>
      </w:r>
      <w:r w:rsidR="0004782E" w:rsidRPr="002D4703">
        <w:rPr>
          <w:rFonts w:ascii="Arial" w:hAnsi="Arial" w:cs="Arial"/>
        </w:rPr>
        <w:t xml:space="preserve"> school sites </w:t>
      </w:r>
      <w:r w:rsidR="006F699B" w:rsidRPr="002D4703">
        <w:rPr>
          <w:rFonts w:ascii="Arial" w:hAnsi="Arial" w:cs="Arial"/>
        </w:rPr>
        <w:t xml:space="preserve">expanded into or </w:t>
      </w:r>
      <w:r w:rsidR="0004782E" w:rsidRPr="002D4703">
        <w:rPr>
          <w:rFonts w:ascii="Arial" w:hAnsi="Arial" w:cs="Arial"/>
        </w:rPr>
        <w:t>established 291 new DLI classrooms</w:t>
      </w:r>
      <w:r w:rsidR="00A1047A" w:rsidRPr="002D4703">
        <w:rPr>
          <w:rFonts w:ascii="Arial" w:hAnsi="Arial" w:cs="Arial"/>
        </w:rPr>
        <w:t xml:space="preserve"> (Table </w:t>
      </w:r>
      <w:r w:rsidR="0035775E" w:rsidRPr="002D4703">
        <w:rPr>
          <w:rFonts w:ascii="Arial" w:hAnsi="Arial" w:cs="Arial"/>
        </w:rPr>
        <w:t>4</w:t>
      </w:r>
      <w:r w:rsidR="00A1047A" w:rsidRPr="002D4703">
        <w:rPr>
          <w:rFonts w:ascii="Arial" w:hAnsi="Arial" w:cs="Arial"/>
        </w:rPr>
        <w:t xml:space="preserve">). Partner languages included Spanish, Vietnamese, Korean, and Mandarin. </w:t>
      </w:r>
    </w:p>
    <w:p w14:paraId="6A1C39EF" w14:textId="3945A32A" w:rsidR="00E53E71" w:rsidRPr="008B626A" w:rsidRDefault="001A54C8" w:rsidP="008B626A">
      <w:pPr>
        <w:pStyle w:val="Heading3"/>
      </w:pPr>
      <w:r w:rsidRPr="008B626A">
        <w:t xml:space="preserve">Table </w:t>
      </w:r>
      <w:r w:rsidR="00C4089A" w:rsidRPr="008B626A">
        <w:t>2</w:t>
      </w:r>
      <w:r w:rsidR="00E92052" w:rsidRPr="008B626A">
        <w:t>:</w:t>
      </w:r>
      <w:r w:rsidRPr="008B626A">
        <w:t xml:space="preserve"> Number of Schools Participating in DLIG</w:t>
      </w:r>
    </w:p>
    <w:tbl>
      <w:tblPr>
        <w:tblStyle w:val="TableGrid"/>
        <w:tblW w:w="0" w:type="auto"/>
        <w:tblLook w:val="04A0" w:firstRow="1" w:lastRow="0" w:firstColumn="1" w:lastColumn="0" w:noHBand="0" w:noVBand="1"/>
        <w:tblDescription w:val="Number of Schools Participating in DLIG."/>
      </w:tblPr>
      <w:tblGrid>
        <w:gridCol w:w="4495"/>
        <w:gridCol w:w="4495"/>
      </w:tblGrid>
      <w:tr w:rsidR="00530516" w:rsidRPr="002D4703" w14:paraId="4DD162D1" w14:textId="77777777" w:rsidTr="008B626A">
        <w:trPr>
          <w:cantSplit/>
          <w:tblHeader/>
        </w:trPr>
        <w:tc>
          <w:tcPr>
            <w:tcW w:w="4495" w:type="dxa"/>
          </w:tcPr>
          <w:p w14:paraId="2D986AE1" w14:textId="3AA9687A" w:rsidR="00530516" w:rsidRPr="002D4703" w:rsidRDefault="00530516" w:rsidP="00530516">
            <w:pPr>
              <w:jc w:val="center"/>
              <w:rPr>
                <w:rFonts w:ascii="Arial" w:hAnsi="Arial" w:cs="Arial"/>
                <w:b/>
                <w:bCs/>
              </w:rPr>
            </w:pPr>
            <w:r w:rsidRPr="002D4703">
              <w:rPr>
                <w:rFonts w:ascii="Arial" w:hAnsi="Arial" w:cs="Arial"/>
                <w:b/>
                <w:bCs/>
              </w:rPr>
              <w:t>Type of School</w:t>
            </w:r>
          </w:p>
        </w:tc>
        <w:tc>
          <w:tcPr>
            <w:tcW w:w="4495" w:type="dxa"/>
          </w:tcPr>
          <w:p w14:paraId="4B4915AD" w14:textId="2CDA35BE" w:rsidR="00530516" w:rsidRPr="002D4703" w:rsidRDefault="00530516" w:rsidP="00530516">
            <w:pPr>
              <w:jc w:val="center"/>
              <w:rPr>
                <w:rFonts w:ascii="Arial" w:hAnsi="Arial" w:cs="Arial"/>
                <w:b/>
                <w:bCs/>
              </w:rPr>
            </w:pPr>
            <w:r w:rsidRPr="002D4703">
              <w:rPr>
                <w:rFonts w:ascii="Arial" w:hAnsi="Arial" w:cs="Arial"/>
                <w:b/>
                <w:bCs/>
              </w:rPr>
              <w:t>Number of Schools</w:t>
            </w:r>
          </w:p>
        </w:tc>
      </w:tr>
      <w:tr w:rsidR="00530516" w:rsidRPr="002D4703" w14:paraId="53F564DB" w14:textId="77777777" w:rsidTr="008B626A">
        <w:trPr>
          <w:cantSplit/>
        </w:trPr>
        <w:tc>
          <w:tcPr>
            <w:tcW w:w="4495" w:type="dxa"/>
          </w:tcPr>
          <w:p w14:paraId="74C8C503" w14:textId="7591858B" w:rsidR="00530516" w:rsidRPr="002D4703" w:rsidRDefault="00530516" w:rsidP="00530516">
            <w:pPr>
              <w:jc w:val="center"/>
              <w:rPr>
                <w:rFonts w:ascii="Arial" w:hAnsi="Arial" w:cs="Arial"/>
              </w:rPr>
            </w:pPr>
            <w:r w:rsidRPr="002D4703">
              <w:rPr>
                <w:rFonts w:ascii="Arial" w:hAnsi="Arial" w:cs="Arial"/>
              </w:rPr>
              <w:t>Elementary School</w:t>
            </w:r>
          </w:p>
        </w:tc>
        <w:tc>
          <w:tcPr>
            <w:tcW w:w="4495" w:type="dxa"/>
          </w:tcPr>
          <w:p w14:paraId="553B032B" w14:textId="7467C0D7" w:rsidR="00530516" w:rsidRPr="002D4703" w:rsidRDefault="00530516" w:rsidP="00530516">
            <w:pPr>
              <w:jc w:val="center"/>
              <w:rPr>
                <w:rFonts w:ascii="Arial" w:hAnsi="Arial" w:cs="Arial"/>
              </w:rPr>
            </w:pPr>
            <w:r w:rsidRPr="002D4703">
              <w:rPr>
                <w:rFonts w:ascii="Arial" w:hAnsi="Arial" w:cs="Arial"/>
              </w:rPr>
              <w:t>32</w:t>
            </w:r>
          </w:p>
        </w:tc>
      </w:tr>
      <w:tr w:rsidR="00530516" w:rsidRPr="002D4703" w14:paraId="32ABBE9A" w14:textId="77777777" w:rsidTr="008B626A">
        <w:trPr>
          <w:cantSplit/>
        </w:trPr>
        <w:tc>
          <w:tcPr>
            <w:tcW w:w="4495" w:type="dxa"/>
          </w:tcPr>
          <w:p w14:paraId="24FF9836" w14:textId="33029E06" w:rsidR="00530516" w:rsidRPr="002D4703" w:rsidRDefault="00530516" w:rsidP="00530516">
            <w:pPr>
              <w:jc w:val="center"/>
              <w:rPr>
                <w:rFonts w:ascii="Arial" w:hAnsi="Arial" w:cs="Arial"/>
              </w:rPr>
            </w:pPr>
            <w:r w:rsidRPr="002D4703">
              <w:rPr>
                <w:rFonts w:ascii="Arial" w:hAnsi="Arial" w:cs="Arial"/>
              </w:rPr>
              <w:t>TK–Grade 1 School</w:t>
            </w:r>
          </w:p>
        </w:tc>
        <w:tc>
          <w:tcPr>
            <w:tcW w:w="4495" w:type="dxa"/>
          </w:tcPr>
          <w:p w14:paraId="7C7F173F" w14:textId="41FBE31F" w:rsidR="00530516" w:rsidRPr="002D4703" w:rsidRDefault="00530516" w:rsidP="00530516">
            <w:pPr>
              <w:jc w:val="center"/>
              <w:rPr>
                <w:rFonts w:ascii="Arial" w:hAnsi="Arial" w:cs="Arial"/>
              </w:rPr>
            </w:pPr>
            <w:r w:rsidRPr="002D4703">
              <w:rPr>
                <w:rFonts w:ascii="Arial" w:hAnsi="Arial" w:cs="Arial"/>
              </w:rPr>
              <w:t>1</w:t>
            </w:r>
          </w:p>
        </w:tc>
      </w:tr>
      <w:tr w:rsidR="00530516" w:rsidRPr="002D4703" w14:paraId="47B05E65" w14:textId="77777777" w:rsidTr="008B626A">
        <w:trPr>
          <w:cantSplit/>
        </w:trPr>
        <w:tc>
          <w:tcPr>
            <w:tcW w:w="4495" w:type="dxa"/>
          </w:tcPr>
          <w:p w14:paraId="082B1668" w14:textId="0DF65E3C" w:rsidR="00530516" w:rsidRPr="002D4703" w:rsidRDefault="00530516" w:rsidP="00530516">
            <w:pPr>
              <w:jc w:val="center"/>
              <w:rPr>
                <w:rFonts w:ascii="Arial" w:hAnsi="Arial" w:cs="Arial"/>
              </w:rPr>
            </w:pPr>
            <w:r w:rsidRPr="002D4703">
              <w:rPr>
                <w:rFonts w:ascii="Arial" w:hAnsi="Arial" w:cs="Arial"/>
              </w:rPr>
              <w:t>TK–Grade 8 School</w:t>
            </w:r>
          </w:p>
        </w:tc>
        <w:tc>
          <w:tcPr>
            <w:tcW w:w="4495" w:type="dxa"/>
          </w:tcPr>
          <w:p w14:paraId="78073605" w14:textId="32CE8848" w:rsidR="00530516" w:rsidRPr="002D4703" w:rsidRDefault="00530516" w:rsidP="00530516">
            <w:pPr>
              <w:jc w:val="center"/>
              <w:rPr>
                <w:rFonts w:ascii="Arial" w:hAnsi="Arial" w:cs="Arial"/>
              </w:rPr>
            </w:pPr>
            <w:r w:rsidRPr="002D4703">
              <w:rPr>
                <w:rFonts w:ascii="Arial" w:hAnsi="Arial" w:cs="Arial"/>
              </w:rPr>
              <w:t>15</w:t>
            </w:r>
          </w:p>
        </w:tc>
      </w:tr>
      <w:tr w:rsidR="00530516" w:rsidRPr="002D4703" w14:paraId="50AF8AB6" w14:textId="77777777" w:rsidTr="008B626A">
        <w:trPr>
          <w:cantSplit/>
        </w:trPr>
        <w:tc>
          <w:tcPr>
            <w:tcW w:w="4495" w:type="dxa"/>
          </w:tcPr>
          <w:p w14:paraId="542216D7" w14:textId="339CE79C" w:rsidR="00530516" w:rsidRPr="002D4703" w:rsidRDefault="00530516" w:rsidP="00530516">
            <w:pPr>
              <w:jc w:val="center"/>
              <w:rPr>
                <w:rFonts w:ascii="Arial" w:hAnsi="Arial" w:cs="Arial"/>
              </w:rPr>
            </w:pPr>
            <w:r w:rsidRPr="002D4703">
              <w:rPr>
                <w:rFonts w:ascii="Arial" w:hAnsi="Arial" w:cs="Arial"/>
              </w:rPr>
              <w:t>Middle School</w:t>
            </w:r>
          </w:p>
        </w:tc>
        <w:tc>
          <w:tcPr>
            <w:tcW w:w="4495" w:type="dxa"/>
          </w:tcPr>
          <w:p w14:paraId="3AD32141" w14:textId="559299A6" w:rsidR="00530516" w:rsidRPr="002D4703" w:rsidRDefault="00530516" w:rsidP="00530516">
            <w:pPr>
              <w:jc w:val="center"/>
              <w:rPr>
                <w:rFonts w:ascii="Arial" w:hAnsi="Arial" w:cs="Arial"/>
              </w:rPr>
            </w:pPr>
            <w:r w:rsidRPr="002D4703">
              <w:rPr>
                <w:rFonts w:ascii="Arial" w:hAnsi="Arial" w:cs="Arial"/>
              </w:rPr>
              <w:t>5</w:t>
            </w:r>
          </w:p>
        </w:tc>
      </w:tr>
      <w:tr w:rsidR="00530516" w:rsidRPr="002D4703" w14:paraId="34710795" w14:textId="77777777" w:rsidTr="008B626A">
        <w:trPr>
          <w:cantSplit/>
        </w:trPr>
        <w:tc>
          <w:tcPr>
            <w:tcW w:w="4495" w:type="dxa"/>
          </w:tcPr>
          <w:p w14:paraId="7969489F" w14:textId="1DAECA46" w:rsidR="00530516" w:rsidRPr="002D4703" w:rsidRDefault="00530516" w:rsidP="00530516">
            <w:pPr>
              <w:jc w:val="center"/>
              <w:rPr>
                <w:rFonts w:ascii="Arial" w:hAnsi="Arial" w:cs="Arial"/>
              </w:rPr>
            </w:pPr>
            <w:r w:rsidRPr="002D4703">
              <w:rPr>
                <w:rFonts w:ascii="Arial" w:hAnsi="Arial" w:cs="Arial"/>
              </w:rPr>
              <w:t>High School</w:t>
            </w:r>
          </w:p>
        </w:tc>
        <w:tc>
          <w:tcPr>
            <w:tcW w:w="4495" w:type="dxa"/>
          </w:tcPr>
          <w:p w14:paraId="5713FA2A" w14:textId="741D5450" w:rsidR="00530516" w:rsidRPr="002D4703" w:rsidRDefault="00530516" w:rsidP="00530516">
            <w:pPr>
              <w:jc w:val="center"/>
              <w:rPr>
                <w:rFonts w:ascii="Arial" w:hAnsi="Arial" w:cs="Arial"/>
              </w:rPr>
            </w:pPr>
            <w:r w:rsidRPr="002D4703">
              <w:rPr>
                <w:rFonts w:ascii="Arial" w:hAnsi="Arial" w:cs="Arial"/>
              </w:rPr>
              <w:t>1</w:t>
            </w:r>
          </w:p>
        </w:tc>
      </w:tr>
      <w:tr w:rsidR="00530516" w:rsidRPr="002D4703" w14:paraId="489D83C6" w14:textId="77777777" w:rsidTr="008B626A">
        <w:trPr>
          <w:cantSplit/>
        </w:trPr>
        <w:tc>
          <w:tcPr>
            <w:tcW w:w="4495" w:type="dxa"/>
          </w:tcPr>
          <w:p w14:paraId="6F3CAF4D" w14:textId="18AD2ADB" w:rsidR="00530516" w:rsidRPr="002D4703" w:rsidRDefault="00530516" w:rsidP="00530516">
            <w:pPr>
              <w:jc w:val="center"/>
              <w:rPr>
                <w:rFonts w:ascii="Arial" w:hAnsi="Arial" w:cs="Arial"/>
                <w:b/>
                <w:bCs/>
              </w:rPr>
            </w:pPr>
            <w:r w:rsidRPr="002D4703">
              <w:rPr>
                <w:rFonts w:ascii="Arial" w:hAnsi="Arial" w:cs="Arial"/>
                <w:b/>
                <w:bCs/>
              </w:rPr>
              <w:t>Total Number of Schools</w:t>
            </w:r>
          </w:p>
        </w:tc>
        <w:tc>
          <w:tcPr>
            <w:tcW w:w="4495" w:type="dxa"/>
          </w:tcPr>
          <w:p w14:paraId="061E0474" w14:textId="4CC2F99E" w:rsidR="00530516" w:rsidRPr="002D4703" w:rsidRDefault="00530516" w:rsidP="00530516">
            <w:pPr>
              <w:jc w:val="center"/>
              <w:rPr>
                <w:rFonts w:ascii="Arial" w:hAnsi="Arial" w:cs="Arial"/>
                <w:b/>
                <w:bCs/>
              </w:rPr>
            </w:pPr>
            <w:r w:rsidRPr="002D4703">
              <w:rPr>
                <w:rFonts w:ascii="Arial" w:hAnsi="Arial" w:cs="Arial"/>
                <w:b/>
                <w:bCs/>
              </w:rPr>
              <w:t>54</w:t>
            </w:r>
          </w:p>
        </w:tc>
      </w:tr>
    </w:tbl>
    <w:p w14:paraId="33FA3026" w14:textId="3FA22B1D" w:rsidR="00530516" w:rsidRPr="008B626A" w:rsidRDefault="0004782E" w:rsidP="008B626A">
      <w:pPr>
        <w:pStyle w:val="Heading3"/>
      </w:pPr>
      <w:r w:rsidRPr="008B626A">
        <w:t xml:space="preserve">Table </w:t>
      </w:r>
      <w:r w:rsidR="00C4089A" w:rsidRPr="008B626A">
        <w:t>3</w:t>
      </w:r>
      <w:r w:rsidR="007B327F" w:rsidRPr="008B626A">
        <w:t>:</w:t>
      </w:r>
      <w:r w:rsidRPr="008B626A">
        <w:t xml:space="preserve"> Schools Expanding Current</w:t>
      </w:r>
      <w:r w:rsidR="007B327F" w:rsidRPr="008B626A">
        <w:t xml:space="preserve"> Programs</w:t>
      </w:r>
      <w:r w:rsidRPr="008B626A">
        <w:t xml:space="preserve"> or Establishing New Programs</w:t>
      </w:r>
    </w:p>
    <w:tbl>
      <w:tblPr>
        <w:tblStyle w:val="TableGrid"/>
        <w:tblW w:w="0" w:type="auto"/>
        <w:tblLook w:val="04A0" w:firstRow="1" w:lastRow="0" w:firstColumn="1" w:lastColumn="0" w:noHBand="0" w:noVBand="1"/>
        <w:tblDescription w:val="Table of Schools Expanding Current Programs."/>
      </w:tblPr>
      <w:tblGrid>
        <w:gridCol w:w="3415"/>
        <w:gridCol w:w="3240"/>
        <w:gridCol w:w="2335"/>
      </w:tblGrid>
      <w:tr w:rsidR="0004782E" w:rsidRPr="002D4703" w14:paraId="60941937" w14:textId="77777777" w:rsidTr="008B626A">
        <w:trPr>
          <w:cantSplit/>
          <w:tblHeader/>
        </w:trPr>
        <w:tc>
          <w:tcPr>
            <w:tcW w:w="3415" w:type="dxa"/>
          </w:tcPr>
          <w:p w14:paraId="18CC7F08" w14:textId="77777777" w:rsidR="0004782E" w:rsidRPr="002D4703" w:rsidRDefault="0004782E">
            <w:pPr>
              <w:jc w:val="center"/>
              <w:rPr>
                <w:rFonts w:ascii="Arial" w:hAnsi="Arial" w:cs="Arial"/>
                <w:b/>
                <w:bCs/>
              </w:rPr>
            </w:pPr>
            <w:r w:rsidRPr="002D4703">
              <w:rPr>
                <w:rFonts w:ascii="Arial" w:hAnsi="Arial" w:cs="Arial"/>
                <w:b/>
                <w:bCs/>
              </w:rPr>
              <w:t>Expanded Current Program</w:t>
            </w:r>
          </w:p>
        </w:tc>
        <w:tc>
          <w:tcPr>
            <w:tcW w:w="3240" w:type="dxa"/>
          </w:tcPr>
          <w:p w14:paraId="78320290" w14:textId="77777777" w:rsidR="0004782E" w:rsidRPr="002D4703" w:rsidRDefault="0004782E">
            <w:pPr>
              <w:jc w:val="center"/>
              <w:rPr>
                <w:rFonts w:ascii="Arial" w:hAnsi="Arial" w:cs="Arial"/>
                <w:b/>
                <w:bCs/>
              </w:rPr>
            </w:pPr>
            <w:r w:rsidRPr="002D4703">
              <w:rPr>
                <w:rFonts w:ascii="Arial" w:hAnsi="Arial" w:cs="Arial"/>
                <w:b/>
                <w:bCs/>
              </w:rPr>
              <w:t>Established New Program</w:t>
            </w:r>
          </w:p>
        </w:tc>
        <w:tc>
          <w:tcPr>
            <w:tcW w:w="2335" w:type="dxa"/>
          </w:tcPr>
          <w:p w14:paraId="3199490C" w14:textId="77777777" w:rsidR="0004782E" w:rsidRPr="002D4703" w:rsidRDefault="0004782E">
            <w:pPr>
              <w:jc w:val="center"/>
              <w:rPr>
                <w:rFonts w:ascii="Arial" w:hAnsi="Arial" w:cs="Arial"/>
                <w:b/>
                <w:bCs/>
              </w:rPr>
            </w:pPr>
            <w:r w:rsidRPr="002D4703">
              <w:rPr>
                <w:rFonts w:ascii="Arial" w:hAnsi="Arial" w:cs="Arial"/>
                <w:b/>
                <w:bCs/>
              </w:rPr>
              <w:t>Total</w:t>
            </w:r>
          </w:p>
        </w:tc>
      </w:tr>
      <w:tr w:rsidR="0004782E" w:rsidRPr="002D4703" w14:paraId="27C32FC7" w14:textId="77777777" w:rsidTr="008B626A">
        <w:trPr>
          <w:cantSplit/>
        </w:trPr>
        <w:tc>
          <w:tcPr>
            <w:tcW w:w="3415" w:type="dxa"/>
          </w:tcPr>
          <w:p w14:paraId="2C98343D" w14:textId="77777777" w:rsidR="0004782E" w:rsidRPr="002D4703" w:rsidRDefault="0004782E">
            <w:pPr>
              <w:jc w:val="center"/>
              <w:rPr>
                <w:rFonts w:ascii="Arial" w:hAnsi="Arial" w:cs="Arial"/>
              </w:rPr>
            </w:pPr>
            <w:r w:rsidRPr="002D4703">
              <w:rPr>
                <w:rFonts w:ascii="Arial" w:hAnsi="Arial" w:cs="Arial"/>
              </w:rPr>
              <w:t>32 schools</w:t>
            </w:r>
          </w:p>
        </w:tc>
        <w:tc>
          <w:tcPr>
            <w:tcW w:w="3240" w:type="dxa"/>
          </w:tcPr>
          <w:p w14:paraId="6618D928" w14:textId="77777777" w:rsidR="0004782E" w:rsidRPr="002D4703" w:rsidRDefault="0004782E">
            <w:pPr>
              <w:jc w:val="center"/>
              <w:rPr>
                <w:rFonts w:ascii="Arial" w:hAnsi="Arial" w:cs="Arial"/>
              </w:rPr>
            </w:pPr>
            <w:r w:rsidRPr="002D4703">
              <w:rPr>
                <w:rFonts w:ascii="Arial" w:hAnsi="Arial" w:cs="Arial"/>
              </w:rPr>
              <w:t>22 schools</w:t>
            </w:r>
          </w:p>
        </w:tc>
        <w:tc>
          <w:tcPr>
            <w:tcW w:w="2335" w:type="dxa"/>
          </w:tcPr>
          <w:p w14:paraId="624FBAEE" w14:textId="77777777" w:rsidR="0004782E" w:rsidRPr="002D4703" w:rsidRDefault="0004782E">
            <w:pPr>
              <w:jc w:val="center"/>
              <w:rPr>
                <w:rFonts w:ascii="Arial" w:hAnsi="Arial" w:cs="Arial"/>
              </w:rPr>
            </w:pPr>
            <w:r w:rsidRPr="002D4703">
              <w:rPr>
                <w:rFonts w:ascii="Arial" w:hAnsi="Arial" w:cs="Arial"/>
              </w:rPr>
              <w:t>54 schools</w:t>
            </w:r>
          </w:p>
        </w:tc>
      </w:tr>
    </w:tbl>
    <w:p w14:paraId="3FDA3A0F" w14:textId="412FB4B0" w:rsidR="003953C4" w:rsidRPr="002D4703" w:rsidRDefault="007A75BB" w:rsidP="008B626A">
      <w:pPr>
        <w:pStyle w:val="Heading3"/>
      </w:pPr>
      <w:r w:rsidRPr="19EABF24">
        <w:t xml:space="preserve">Table </w:t>
      </w:r>
      <w:r w:rsidR="00C4089A" w:rsidRPr="19EABF24">
        <w:t>4</w:t>
      </w:r>
      <w:r w:rsidR="007B327F">
        <w:t>:</w:t>
      </w:r>
      <w:r w:rsidRPr="19EABF24">
        <w:t xml:space="preserve"> </w:t>
      </w:r>
      <w:r w:rsidR="738A4A09" w:rsidRPr="19EABF24">
        <w:t xml:space="preserve">New </w:t>
      </w:r>
      <w:r w:rsidR="00E53E71" w:rsidRPr="19EABF24">
        <w:t xml:space="preserve">Classrooms Established </w:t>
      </w:r>
      <w:r w:rsidR="008845FC" w:rsidRPr="19EABF24">
        <w:t>w</w:t>
      </w:r>
      <w:r w:rsidR="00E53E71" w:rsidRPr="19EABF24">
        <w:t>ith DLIG Funding</w:t>
      </w:r>
    </w:p>
    <w:tbl>
      <w:tblPr>
        <w:tblStyle w:val="TableGrid"/>
        <w:tblW w:w="0" w:type="auto"/>
        <w:tblLook w:val="04A0" w:firstRow="1" w:lastRow="0" w:firstColumn="1" w:lastColumn="0" w:noHBand="0" w:noVBand="1"/>
        <w:tblDescription w:val="Table of New Classrooms Established with DLIG Funding"/>
      </w:tblPr>
      <w:tblGrid>
        <w:gridCol w:w="2335"/>
        <w:gridCol w:w="3240"/>
      </w:tblGrid>
      <w:tr w:rsidR="007A75BB" w:rsidRPr="002D4703" w14:paraId="54512FC4" w14:textId="77777777" w:rsidTr="008B626A">
        <w:trPr>
          <w:cantSplit/>
          <w:tblHeader/>
        </w:trPr>
        <w:tc>
          <w:tcPr>
            <w:tcW w:w="2335" w:type="dxa"/>
          </w:tcPr>
          <w:p w14:paraId="530FFC83" w14:textId="766E8E8D" w:rsidR="007A75BB" w:rsidRPr="002D4703" w:rsidRDefault="007A75BB" w:rsidP="007A75BB">
            <w:pPr>
              <w:jc w:val="center"/>
              <w:rPr>
                <w:rFonts w:ascii="Arial" w:hAnsi="Arial" w:cs="Arial"/>
                <w:b/>
                <w:bCs/>
              </w:rPr>
            </w:pPr>
            <w:r w:rsidRPr="002D4703">
              <w:rPr>
                <w:rFonts w:ascii="Arial" w:hAnsi="Arial" w:cs="Arial"/>
                <w:b/>
                <w:bCs/>
              </w:rPr>
              <w:t>Grade</w:t>
            </w:r>
          </w:p>
        </w:tc>
        <w:tc>
          <w:tcPr>
            <w:tcW w:w="3240" w:type="dxa"/>
          </w:tcPr>
          <w:p w14:paraId="27571F1C" w14:textId="3852C9E4" w:rsidR="007A75BB" w:rsidRPr="002D4703" w:rsidRDefault="007A75BB" w:rsidP="007A75BB">
            <w:pPr>
              <w:jc w:val="center"/>
              <w:rPr>
                <w:rFonts w:ascii="Arial" w:hAnsi="Arial" w:cs="Arial"/>
                <w:b/>
                <w:bCs/>
              </w:rPr>
            </w:pPr>
            <w:r w:rsidRPr="002D4703">
              <w:rPr>
                <w:rFonts w:ascii="Arial" w:hAnsi="Arial" w:cs="Arial"/>
                <w:b/>
                <w:bCs/>
              </w:rPr>
              <w:t>Number of Classrooms</w:t>
            </w:r>
          </w:p>
        </w:tc>
      </w:tr>
      <w:tr w:rsidR="007A75BB" w:rsidRPr="002D4703" w14:paraId="65A87A1A" w14:textId="77777777" w:rsidTr="008B626A">
        <w:trPr>
          <w:cantSplit/>
        </w:trPr>
        <w:tc>
          <w:tcPr>
            <w:tcW w:w="2335" w:type="dxa"/>
          </w:tcPr>
          <w:p w14:paraId="49A24DB1" w14:textId="2FEE197A" w:rsidR="007A75BB" w:rsidRPr="002D4703" w:rsidRDefault="007A75BB" w:rsidP="007A75BB">
            <w:pPr>
              <w:jc w:val="center"/>
              <w:rPr>
                <w:rFonts w:ascii="Arial" w:hAnsi="Arial" w:cs="Arial"/>
              </w:rPr>
            </w:pPr>
            <w:r w:rsidRPr="002D4703">
              <w:rPr>
                <w:rFonts w:ascii="Arial" w:hAnsi="Arial" w:cs="Arial"/>
              </w:rPr>
              <w:t>TK</w:t>
            </w:r>
          </w:p>
        </w:tc>
        <w:tc>
          <w:tcPr>
            <w:tcW w:w="3240" w:type="dxa"/>
            <w:vAlign w:val="center"/>
          </w:tcPr>
          <w:p w14:paraId="728B50D2" w14:textId="50359BEA" w:rsidR="007A75BB" w:rsidRPr="002D4703" w:rsidRDefault="007A75BB" w:rsidP="007146DA">
            <w:pPr>
              <w:jc w:val="center"/>
              <w:rPr>
                <w:rFonts w:ascii="Arial" w:hAnsi="Arial" w:cs="Arial"/>
              </w:rPr>
            </w:pPr>
            <w:r w:rsidRPr="002D4703">
              <w:rPr>
                <w:rFonts w:ascii="Arial" w:hAnsi="Arial" w:cs="Arial"/>
              </w:rPr>
              <w:t>29</w:t>
            </w:r>
          </w:p>
        </w:tc>
      </w:tr>
      <w:tr w:rsidR="007A75BB" w:rsidRPr="002D4703" w14:paraId="32227890" w14:textId="77777777" w:rsidTr="008B626A">
        <w:trPr>
          <w:cantSplit/>
        </w:trPr>
        <w:tc>
          <w:tcPr>
            <w:tcW w:w="2335" w:type="dxa"/>
          </w:tcPr>
          <w:p w14:paraId="1CC2133B" w14:textId="6F77F298" w:rsidR="007A75BB" w:rsidRPr="002D4703" w:rsidRDefault="007A75BB" w:rsidP="007A75BB">
            <w:pPr>
              <w:jc w:val="center"/>
              <w:rPr>
                <w:rFonts w:ascii="Arial" w:hAnsi="Arial" w:cs="Arial"/>
              </w:rPr>
            </w:pPr>
            <w:r w:rsidRPr="002D4703">
              <w:rPr>
                <w:rFonts w:ascii="Arial" w:hAnsi="Arial" w:cs="Arial"/>
              </w:rPr>
              <w:t>K</w:t>
            </w:r>
          </w:p>
        </w:tc>
        <w:tc>
          <w:tcPr>
            <w:tcW w:w="3240" w:type="dxa"/>
          </w:tcPr>
          <w:p w14:paraId="5C688E28" w14:textId="6447411C" w:rsidR="007A75BB" w:rsidRPr="002D4703" w:rsidRDefault="007A75BB" w:rsidP="007A75BB">
            <w:pPr>
              <w:jc w:val="center"/>
              <w:rPr>
                <w:rFonts w:ascii="Arial" w:hAnsi="Arial" w:cs="Arial"/>
              </w:rPr>
            </w:pPr>
            <w:r w:rsidRPr="002D4703">
              <w:rPr>
                <w:rFonts w:ascii="Arial" w:hAnsi="Arial" w:cs="Arial"/>
              </w:rPr>
              <w:t>40.5</w:t>
            </w:r>
          </w:p>
        </w:tc>
      </w:tr>
      <w:tr w:rsidR="007A75BB" w:rsidRPr="002D4703" w14:paraId="59FE9905" w14:textId="77777777" w:rsidTr="008B626A">
        <w:trPr>
          <w:cantSplit/>
        </w:trPr>
        <w:tc>
          <w:tcPr>
            <w:tcW w:w="2335" w:type="dxa"/>
          </w:tcPr>
          <w:p w14:paraId="0B61345B" w14:textId="0CB3E448" w:rsidR="007A75BB" w:rsidRPr="002D4703" w:rsidRDefault="007A75BB" w:rsidP="007A75BB">
            <w:pPr>
              <w:jc w:val="center"/>
              <w:rPr>
                <w:rFonts w:ascii="Arial" w:hAnsi="Arial" w:cs="Arial"/>
              </w:rPr>
            </w:pPr>
            <w:r w:rsidRPr="002D4703">
              <w:rPr>
                <w:rFonts w:ascii="Arial" w:hAnsi="Arial" w:cs="Arial"/>
              </w:rPr>
              <w:t>1</w:t>
            </w:r>
          </w:p>
        </w:tc>
        <w:tc>
          <w:tcPr>
            <w:tcW w:w="3240" w:type="dxa"/>
          </w:tcPr>
          <w:p w14:paraId="2B2232AB" w14:textId="519BA806" w:rsidR="007A75BB" w:rsidRPr="002D4703" w:rsidRDefault="007A75BB" w:rsidP="007A75BB">
            <w:pPr>
              <w:jc w:val="center"/>
              <w:rPr>
                <w:rFonts w:ascii="Arial" w:hAnsi="Arial" w:cs="Arial"/>
              </w:rPr>
            </w:pPr>
            <w:r w:rsidRPr="002D4703">
              <w:rPr>
                <w:rFonts w:ascii="Arial" w:hAnsi="Arial" w:cs="Arial"/>
              </w:rPr>
              <w:t>41.5</w:t>
            </w:r>
          </w:p>
        </w:tc>
      </w:tr>
      <w:tr w:rsidR="007A75BB" w:rsidRPr="002D4703" w14:paraId="527AE1CD" w14:textId="77777777" w:rsidTr="008B626A">
        <w:trPr>
          <w:cantSplit/>
        </w:trPr>
        <w:tc>
          <w:tcPr>
            <w:tcW w:w="2335" w:type="dxa"/>
          </w:tcPr>
          <w:p w14:paraId="174138EC" w14:textId="6C49645D" w:rsidR="007A75BB" w:rsidRPr="002D4703" w:rsidRDefault="007A75BB" w:rsidP="007A75BB">
            <w:pPr>
              <w:jc w:val="center"/>
              <w:rPr>
                <w:rFonts w:ascii="Arial" w:hAnsi="Arial" w:cs="Arial"/>
              </w:rPr>
            </w:pPr>
            <w:r w:rsidRPr="002D4703">
              <w:rPr>
                <w:rFonts w:ascii="Arial" w:hAnsi="Arial" w:cs="Arial"/>
              </w:rPr>
              <w:t>2</w:t>
            </w:r>
          </w:p>
        </w:tc>
        <w:tc>
          <w:tcPr>
            <w:tcW w:w="3240" w:type="dxa"/>
          </w:tcPr>
          <w:p w14:paraId="3C3182FC" w14:textId="47FED8E2" w:rsidR="007A75BB" w:rsidRPr="002D4703" w:rsidRDefault="007A75BB" w:rsidP="007A75BB">
            <w:pPr>
              <w:jc w:val="center"/>
              <w:rPr>
                <w:rFonts w:ascii="Arial" w:hAnsi="Arial" w:cs="Arial"/>
              </w:rPr>
            </w:pPr>
            <w:r w:rsidRPr="002D4703">
              <w:rPr>
                <w:rFonts w:ascii="Arial" w:hAnsi="Arial" w:cs="Arial"/>
              </w:rPr>
              <w:t>36</w:t>
            </w:r>
          </w:p>
        </w:tc>
      </w:tr>
      <w:tr w:rsidR="007A75BB" w:rsidRPr="002D4703" w14:paraId="5FE154B7" w14:textId="77777777" w:rsidTr="008B626A">
        <w:trPr>
          <w:cantSplit/>
        </w:trPr>
        <w:tc>
          <w:tcPr>
            <w:tcW w:w="2335" w:type="dxa"/>
          </w:tcPr>
          <w:p w14:paraId="4F3550A9" w14:textId="569C2531" w:rsidR="007A75BB" w:rsidRPr="002D4703" w:rsidRDefault="007A75BB" w:rsidP="007A75BB">
            <w:pPr>
              <w:jc w:val="center"/>
              <w:rPr>
                <w:rFonts w:ascii="Arial" w:hAnsi="Arial" w:cs="Arial"/>
              </w:rPr>
            </w:pPr>
            <w:r w:rsidRPr="002D4703">
              <w:rPr>
                <w:rFonts w:ascii="Arial" w:hAnsi="Arial" w:cs="Arial"/>
              </w:rPr>
              <w:t>3</w:t>
            </w:r>
          </w:p>
        </w:tc>
        <w:tc>
          <w:tcPr>
            <w:tcW w:w="3240" w:type="dxa"/>
          </w:tcPr>
          <w:p w14:paraId="4B643F68" w14:textId="704F0472" w:rsidR="007A75BB" w:rsidRPr="002D4703" w:rsidRDefault="007A75BB" w:rsidP="007A75BB">
            <w:pPr>
              <w:jc w:val="center"/>
              <w:rPr>
                <w:rFonts w:ascii="Arial" w:hAnsi="Arial" w:cs="Arial"/>
              </w:rPr>
            </w:pPr>
            <w:r w:rsidRPr="002D4703">
              <w:rPr>
                <w:rFonts w:ascii="Arial" w:hAnsi="Arial" w:cs="Arial"/>
              </w:rPr>
              <w:t>30</w:t>
            </w:r>
          </w:p>
        </w:tc>
      </w:tr>
      <w:tr w:rsidR="007A75BB" w:rsidRPr="002D4703" w14:paraId="2785D663" w14:textId="77777777" w:rsidTr="008B626A">
        <w:trPr>
          <w:cantSplit/>
        </w:trPr>
        <w:tc>
          <w:tcPr>
            <w:tcW w:w="2335" w:type="dxa"/>
          </w:tcPr>
          <w:p w14:paraId="627BEBD0" w14:textId="3F4BA7BC" w:rsidR="007A75BB" w:rsidRPr="002D4703" w:rsidRDefault="007A75BB" w:rsidP="007A75BB">
            <w:pPr>
              <w:jc w:val="center"/>
              <w:rPr>
                <w:rFonts w:ascii="Arial" w:hAnsi="Arial" w:cs="Arial"/>
              </w:rPr>
            </w:pPr>
            <w:r w:rsidRPr="002D4703">
              <w:rPr>
                <w:rFonts w:ascii="Arial" w:hAnsi="Arial" w:cs="Arial"/>
              </w:rPr>
              <w:t>4</w:t>
            </w:r>
          </w:p>
        </w:tc>
        <w:tc>
          <w:tcPr>
            <w:tcW w:w="3240" w:type="dxa"/>
          </w:tcPr>
          <w:p w14:paraId="471263A7" w14:textId="6A0EFCA9" w:rsidR="007A75BB" w:rsidRPr="002D4703" w:rsidRDefault="007A75BB" w:rsidP="007A75BB">
            <w:pPr>
              <w:jc w:val="center"/>
              <w:rPr>
                <w:rFonts w:ascii="Arial" w:hAnsi="Arial" w:cs="Arial"/>
              </w:rPr>
            </w:pPr>
            <w:r w:rsidRPr="002D4703">
              <w:rPr>
                <w:rFonts w:ascii="Arial" w:hAnsi="Arial" w:cs="Arial"/>
              </w:rPr>
              <w:t>31</w:t>
            </w:r>
          </w:p>
        </w:tc>
      </w:tr>
      <w:tr w:rsidR="007A75BB" w:rsidRPr="002D4703" w14:paraId="49FE13C3" w14:textId="77777777" w:rsidTr="008B626A">
        <w:trPr>
          <w:cantSplit/>
        </w:trPr>
        <w:tc>
          <w:tcPr>
            <w:tcW w:w="2335" w:type="dxa"/>
          </w:tcPr>
          <w:p w14:paraId="736BB3A7" w14:textId="3348FD34" w:rsidR="007A75BB" w:rsidRPr="002D4703" w:rsidRDefault="007A75BB" w:rsidP="007A75BB">
            <w:pPr>
              <w:jc w:val="center"/>
              <w:rPr>
                <w:rFonts w:ascii="Arial" w:hAnsi="Arial" w:cs="Arial"/>
              </w:rPr>
            </w:pPr>
            <w:r w:rsidRPr="002D4703">
              <w:rPr>
                <w:rFonts w:ascii="Arial" w:hAnsi="Arial" w:cs="Arial"/>
              </w:rPr>
              <w:t>5</w:t>
            </w:r>
          </w:p>
        </w:tc>
        <w:tc>
          <w:tcPr>
            <w:tcW w:w="3240" w:type="dxa"/>
          </w:tcPr>
          <w:p w14:paraId="05D7FC7E" w14:textId="0034F926" w:rsidR="007A75BB" w:rsidRPr="002D4703" w:rsidRDefault="007A75BB" w:rsidP="007A75BB">
            <w:pPr>
              <w:jc w:val="center"/>
              <w:rPr>
                <w:rFonts w:ascii="Arial" w:hAnsi="Arial" w:cs="Arial"/>
              </w:rPr>
            </w:pPr>
            <w:r w:rsidRPr="002D4703">
              <w:rPr>
                <w:rFonts w:ascii="Arial" w:hAnsi="Arial" w:cs="Arial"/>
              </w:rPr>
              <w:t>33</w:t>
            </w:r>
          </w:p>
        </w:tc>
      </w:tr>
      <w:tr w:rsidR="007A75BB" w:rsidRPr="002D4703" w14:paraId="7E8B0197" w14:textId="77777777" w:rsidTr="008B626A">
        <w:trPr>
          <w:cantSplit/>
        </w:trPr>
        <w:tc>
          <w:tcPr>
            <w:tcW w:w="2335" w:type="dxa"/>
          </w:tcPr>
          <w:p w14:paraId="0E306878" w14:textId="122673CF" w:rsidR="007A75BB" w:rsidRPr="002D4703" w:rsidRDefault="007A75BB" w:rsidP="007A75BB">
            <w:pPr>
              <w:jc w:val="center"/>
              <w:rPr>
                <w:rFonts w:ascii="Arial" w:hAnsi="Arial" w:cs="Arial"/>
              </w:rPr>
            </w:pPr>
            <w:r w:rsidRPr="002D4703">
              <w:rPr>
                <w:rFonts w:ascii="Arial" w:hAnsi="Arial" w:cs="Arial"/>
              </w:rPr>
              <w:t>6</w:t>
            </w:r>
          </w:p>
        </w:tc>
        <w:tc>
          <w:tcPr>
            <w:tcW w:w="3240" w:type="dxa"/>
          </w:tcPr>
          <w:p w14:paraId="7224883A" w14:textId="3833ADB3" w:rsidR="007A75BB" w:rsidRPr="002D4703" w:rsidRDefault="007A75BB" w:rsidP="007A75BB">
            <w:pPr>
              <w:jc w:val="center"/>
              <w:rPr>
                <w:rFonts w:ascii="Arial" w:hAnsi="Arial" w:cs="Arial"/>
              </w:rPr>
            </w:pPr>
            <w:r w:rsidRPr="002D4703">
              <w:rPr>
                <w:rFonts w:ascii="Arial" w:hAnsi="Arial" w:cs="Arial"/>
              </w:rPr>
              <w:t>19</w:t>
            </w:r>
          </w:p>
        </w:tc>
      </w:tr>
      <w:tr w:rsidR="007A75BB" w:rsidRPr="002D4703" w14:paraId="7E57335C" w14:textId="77777777" w:rsidTr="008B626A">
        <w:trPr>
          <w:cantSplit/>
        </w:trPr>
        <w:tc>
          <w:tcPr>
            <w:tcW w:w="2335" w:type="dxa"/>
          </w:tcPr>
          <w:p w14:paraId="42A70FBF" w14:textId="68357D5A" w:rsidR="007A75BB" w:rsidRPr="002D4703" w:rsidRDefault="007A75BB" w:rsidP="007A75BB">
            <w:pPr>
              <w:jc w:val="center"/>
              <w:rPr>
                <w:rFonts w:ascii="Arial" w:hAnsi="Arial" w:cs="Arial"/>
              </w:rPr>
            </w:pPr>
            <w:r w:rsidRPr="002D4703">
              <w:rPr>
                <w:rFonts w:ascii="Arial" w:hAnsi="Arial" w:cs="Arial"/>
              </w:rPr>
              <w:t>7</w:t>
            </w:r>
          </w:p>
        </w:tc>
        <w:tc>
          <w:tcPr>
            <w:tcW w:w="3240" w:type="dxa"/>
          </w:tcPr>
          <w:p w14:paraId="1E13F2D2" w14:textId="37E39A5E" w:rsidR="007A75BB" w:rsidRPr="002D4703" w:rsidRDefault="007A75BB" w:rsidP="007A75BB">
            <w:pPr>
              <w:jc w:val="center"/>
              <w:rPr>
                <w:rFonts w:ascii="Arial" w:hAnsi="Arial" w:cs="Arial"/>
              </w:rPr>
            </w:pPr>
            <w:r w:rsidRPr="002D4703">
              <w:rPr>
                <w:rFonts w:ascii="Arial" w:hAnsi="Arial" w:cs="Arial"/>
              </w:rPr>
              <w:t>14</w:t>
            </w:r>
          </w:p>
        </w:tc>
      </w:tr>
      <w:tr w:rsidR="007A75BB" w:rsidRPr="002D4703" w14:paraId="121BA9B8" w14:textId="77777777" w:rsidTr="008B626A">
        <w:trPr>
          <w:cantSplit/>
        </w:trPr>
        <w:tc>
          <w:tcPr>
            <w:tcW w:w="2335" w:type="dxa"/>
          </w:tcPr>
          <w:p w14:paraId="4207ECF3" w14:textId="6716C587" w:rsidR="007A75BB" w:rsidRPr="002D4703" w:rsidRDefault="007A75BB" w:rsidP="007A75BB">
            <w:pPr>
              <w:jc w:val="center"/>
              <w:rPr>
                <w:rFonts w:ascii="Arial" w:hAnsi="Arial" w:cs="Arial"/>
              </w:rPr>
            </w:pPr>
            <w:r w:rsidRPr="002D4703">
              <w:rPr>
                <w:rFonts w:ascii="Arial" w:hAnsi="Arial" w:cs="Arial"/>
              </w:rPr>
              <w:t>8</w:t>
            </w:r>
          </w:p>
        </w:tc>
        <w:tc>
          <w:tcPr>
            <w:tcW w:w="3240" w:type="dxa"/>
          </w:tcPr>
          <w:p w14:paraId="451A0416" w14:textId="430F61C4" w:rsidR="007A75BB" w:rsidRPr="002D4703" w:rsidRDefault="007A75BB" w:rsidP="007A75BB">
            <w:pPr>
              <w:jc w:val="center"/>
              <w:rPr>
                <w:rFonts w:ascii="Arial" w:hAnsi="Arial" w:cs="Arial"/>
              </w:rPr>
            </w:pPr>
            <w:r w:rsidRPr="002D4703">
              <w:rPr>
                <w:rFonts w:ascii="Arial" w:hAnsi="Arial" w:cs="Arial"/>
              </w:rPr>
              <w:t>14</w:t>
            </w:r>
          </w:p>
        </w:tc>
      </w:tr>
      <w:tr w:rsidR="007A75BB" w:rsidRPr="002D4703" w14:paraId="5EAE1D67" w14:textId="77777777" w:rsidTr="008B626A">
        <w:trPr>
          <w:cantSplit/>
        </w:trPr>
        <w:tc>
          <w:tcPr>
            <w:tcW w:w="2335" w:type="dxa"/>
          </w:tcPr>
          <w:p w14:paraId="0347CAA8" w14:textId="6FA4B218" w:rsidR="007A75BB" w:rsidRPr="002D4703" w:rsidRDefault="007A75BB" w:rsidP="007A75BB">
            <w:pPr>
              <w:jc w:val="center"/>
              <w:rPr>
                <w:rFonts w:ascii="Arial" w:hAnsi="Arial" w:cs="Arial"/>
              </w:rPr>
            </w:pPr>
            <w:r w:rsidRPr="002D4703">
              <w:rPr>
                <w:rFonts w:ascii="Arial" w:hAnsi="Arial" w:cs="Arial"/>
              </w:rPr>
              <w:t>9</w:t>
            </w:r>
          </w:p>
        </w:tc>
        <w:tc>
          <w:tcPr>
            <w:tcW w:w="3240" w:type="dxa"/>
          </w:tcPr>
          <w:p w14:paraId="74363577" w14:textId="40266748" w:rsidR="007A75BB" w:rsidRPr="002D4703" w:rsidRDefault="007A75BB" w:rsidP="007A75BB">
            <w:pPr>
              <w:jc w:val="center"/>
              <w:rPr>
                <w:rFonts w:ascii="Arial" w:hAnsi="Arial" w:cs="Arial"/>
              </w:rPr>
            </w:pPr>
            <w:r w:rsidRPr="002D4703">
              <w:rPr>
                <w:rFonts w:ascii="Arial" w:hAnsi="Arial" w:cs="Arial"/>
              </w:rPr>
              <w:t>1</w:t>
            </w:r>
          </w:p>
        </w:tc>
      </w:tr>
      <w:tr w:rsidR="007A75BB" w:rsidRPr="002D4703" w14:paraId="551D4DCA" w14:textId="77777777" w:rsidTr="008B626A">
        <w:trPr>
          <w:cantSplit/>
        </w:trPr>
        <w:tc>
          <w:tcPr>
            <w:tcW w:w="2335" w:type="dxa"/>
          </w:tcPr>
          <w:p w14:paraId="7C34AF42" w14:textId="71061192" w:rsidR="007A75BB" w:rsidRPr="002D4703" w:rsidRDefault="007A75BB" w:rsidP="007A75BB">
            <w:pPr>
              <w:jc w:val="center"/>
              <w:rPr>
                <w:rFonts w:ascii="Arial" w:hAnsi="Arial" w:cs="Arial"/>
              </w:rPr>
            </w:pPr>
            <w:r w:rsidRPr="002D4703">
              <w:rPr>
                <w:rFonts w:ascii="Arial" w:hAnsi="Arial" w:cs="Arial"/>
              </w:rPr>
              <w:t>10</w:t>
            </w:r>
          </w:p>
        </w:tc>
        <w:tc>
          <w:tcPr>
            <w:tcW w:w="3240" w:type="dxa"/>
          </w:tcPr>
          <w:p w14:paraId="0C347FF3" w14:textId="1C550F26" w:rsidR="007A75BB" w:rsidRPr="002D4703" w:rsidRDefault="007A75BB" w:rsidP="007A75BB">
            <w:pPr>
              <w:jc w:val="center"/>
              <w:rPr>
                <w:rFonts w:ascii="Arial" w:hAnsi="Arial" w:cs="Arial"/>
              </w:rPr>
            </w:pPr>
            <w:r w:rsidRPr="002D4703">
              <w:rPr>
                <w:rFonts w:ascii="Arial" w:hAnsi="Arial" w:cs="Arial"/>
              </w:rPr>
              <w:t>2</w:t>
            </w:r>
          </w:p>
        </w:tc>
      </w:tr>
      <w:tr w:rsidR="007A75BB" w:rsidRPr="002D4703" w14:paraId="32BFA29B" w14:textId="77777777" w:rsidTr="008B626A">
        <w:trPr>
          <w:cantSplit/>
        </w:trPr>
        <w:tc>
          <w:tcPr>
            <w:tcW w:w="2335" w:type="dxa"/>
          </w:tcPr>
          <w:p w14:paraId="5FB1ECEB" w14:textId="086D353F" w:rsidR="007A75BB" w:rsidRPr="002D4703" w:rsidRDefault="007A75BB" w:rsidP="007A75BB">
            <w:pPr>
              <w:jc w:val="center"/>
              <w:rPr>
                <w:rFonts w:ascii="Arial" w:hAnsi="Arial" w:cs="Arial"/>
              </w:rPr>
            </w:pPr>
            <w:r w:rsidRPr="002D4703">
              <w:rPr>
                <w:rFonts w:ascii="Arial" w:hAnsi="Arial" w:cs="Arial"/>
              </w:rPr>
              <w:t>11</w:t>
            </w:r>
          </w:p>
        </w:tc>
        <w:tc>
          <w:tcPr>
            <w:tcW w:w="3240" w:type="dxa"/>
          </w:tcPr>
          <w:p w14:paraId="47DADF91" w14:textId="0632DE0E" w:rsidR="007A75BB" w:rsidRPr="002D4703" w:rsidRDefault="007A75BB" w:rsidP="007A75BB">
            <w:pPr>
              <w:jc w:val="center"/>
              <w:rPr>
                <w:rFonts w:ascii="Arial" w:hAnsi="Arial" w:cs="Arial"/>
              </w:rPr>
            </w:pPr>
            <w:r w:rsidRPr="002D4703">
              <w:rPr>
                <w:rFonts w:ascii="Arial" w:hAnsi="Arial" w:cs="Arial"/>
              </w:rPr>
              <w:t>0</w:t>
            </w:r>
          </w:p>
        </w:tc>
      </w:tr>
      <w:tr w:rsidR="007A75BB" w:rsidRPr="002D4703" w14:paraId="585AA0CC" w14:textId="77777777" w:rsidTr="008B626A">
        <w:trPr>
          <w:cantSplit/>
        </w:trPr>
        <w:tc>
          <w:tcPr>
            <w:tcW w:w="2335" w:type="dxa"/>
          </w:tcPr>
          <w:p w14:paraId="6D8A57AF" w14:textId="04F00BDE" w:rsidR="007A75BB" w:rsidRPr="002D4703" w:rsidRDefault="007A75BB" w:rsidP="007A75BB">
            <w:pPr>
              <w:jc w:val="center"/>
              <w:rPr>
                <w:rFonts w:ascii="Arial" w:hAnsi="Arial" w:cs="Arial"/>
              </w:rPr>
            </w:pPr>
            <w:r w:rsidRPr="002D4703">
              <w:rPr>
                <w:rFonts w:ascii="Arial" w:hAnsi="Arial" w:cs="Arial"/>
              </w:rPr>
              <w:t>12</w:t>
            </w:r>
          </w:p>
        </w:tc>
        <w:tc>
          <w:tcPr>
            <w:tcW w:w="3240" w:type="dxa"/>
          </w:tcPr>
          <w:p w14:paraId="6F52D8F8" w14:textId="687D69DE" w:rsidR="007A75BB" w:rsidRPr="002D4703" w:rsidRDefault="007A75BB" w:rsidP="007A75BB">
            <w:pPr>
              <w:jc w:val="center"/>
              <w:rPr>
                <w:rFonts w:ascii="Arial" w:hAnsi="Arial" w:cs="Arial"/>
              </w:rPr>
            </w:pPr>
            <w:r w:rsidRPr="002D4703">
              <w:rPr>
                <w:rFonts w:ascii="Arial" w:hAnsi="Arial" w:cs="Arial"/>
              </w:rPr>
              <w:t>0</w:t>
            </w:r>
          </w:p>
        </w:tc>
      </w:tr>
      <w:tr w:rsidR="007A75BB" w:rsidRPr="002D4703" w14:paraId="6C73BC78" w14:textId="77777777" w:rsidTr="008B626A">
        <w:trPr>
          <w:cantSplit/>
        </w:trPr>
        <w:tc>
          <w:tcPr>
            <w:tcW w:w="2335" w:type="dxa"/>
          </w:tcPr>
          <w:p w14:paraId="4728D697" w14:textId="384BC648" w:rsidR="007A75BB" w:rsidRPr="002D4703" w:rsidRDefault="007A75BB" w:rsidP="007A75BB">
            <w:pPr>
              <w:jc w:val="center"/>
              <w:rPr>
                <w:rFonts w:ascii="Arial" w:hAnsi="Arial" w:cs="Arial"/>
                <w:b/>
                <w:bCs/>
              </w:rPr>
            </w:pPr>
            <w:r w:rsidRPr="002D4703">
              <w:rPr>
                <w:rFonts w:ascii="Arial" w:hAnsi="Arial" w:cs="Arial"/>
                <w:b/>
                <w:bCs/>
              </w:rPr>
              <w:t>Total</w:t>
            </w:r>
          </w:p>
        </w:tc>
        <w:tc>
          <w:tcPr>
            <w:tcW w:w="3240" w:type="dxa"/>
          </w:tcPr>
          <w:p w14:paraId="04BD47AF" w14:textId="25F8A580" w:rsidR="007A75BB" w:rsidRPr="002D4703" w:rsidRDefault="007A75BB" w:rsidP="007A75BB">
            <w:pPr>
              <w:jc w:val="center"/>
              <w:rPr>
                <w:rFonts w:ascii="Arial" w:hAnsi="Arial" w:cs="Arial"/>
                <w:b/>
                <w:bCs/>
              </w:rPr>
            </w:pPr>
            <w:r w:rsidRPr="002D4703">
              <w:rPr>
                <w:rFonts w:ascii="Arial" w:hAnsi="Arial" w:cs="Arial"/>
                <w:b/>
                <w:bCs/>
              </w:rPr>
              <w:t>291</w:t>
            </w:r>
            <w:r w:rsidR="00530516" w:rsidRPr="002D4703">
              <w:rPr>
                <w:rFonts w:ascii="Arial" w:hAnsi="Arial" w:cs="Arial"/>
                <w:b/>
                <w:bCs/>
              </w:rPr>
              <w:t xml:space="preserve"> classrooms</w:t>
            </w:r>
          </w:p>
        </w:tc>
      </w:tr>
    </w:tbl>
    <w:p w14:paraId="1BC75182" w14:textId="3A50C0B8" w:rsidR="00E554F1" w:rsidRPr="002D4703" w:rsidRDefault="00E554F1" w:rsidP="009D0E78">
      <w:pPr>
        <w:pStyle w:val="Heading2"/>
      </w:pPr>
      <w:bookmarkStart w:id="9" w:name="_Toc219285939"/>
      <w:r w:rsidRPr="002D4703">
        <w:t>Grant Successes</w:t>
      </w:r>
      <w:bookmarkEnd w:id="9"/>
    </w:p>
    <w:p w14:paraId="488E9C3A" w14:textId="711C7E82" w:rsidR="00E554F1" w:rsidRPr="002D4703" w:rsidRDefault="00E554F1" w:rsidP="00E554F1">
      <w:pPr>
        <w:spacing w:after="240"/>
        <w:rPr>
          <w:rFonts w:ascii="Arial" w:hAnsi="Arial" w:cs="Arial"/>
        </w:rPr>
      </w:pPr>
      <w:r w:rsidRPr="002D4703">
        <w:rPr>
          <w:rFonts w:ascii="Arial" w:hAnsi="Arial" w:cs="Arial"/>
        </w:rPr>
        <w:t xml:space="preserve">Grantees expanded access to DLI programs by opening new sites, adding grade levels, and strengthening TK–grade 12 pathways. </w:t>
      </w:r>
      <w:r w:rsidR="57513EAA" w:rsidRPr="002D4703">
        <w:rPr>
          <w:rFonts w:ascii="Arial" w:hAnsi="Arial" w:cs="Arial"/>
        </w:rPr>
        <w:t>LEAs</w:t>
      </w:r>
      <w:r w:rsidRPr="002D4703">
        <w:rPr>
          <w:rFonts w:ascii="Arial" w:hAnsi="Arial" w:cs="Arial"/>
        </w:rPr>
        <w:t xml:space="preserve"> that previously offered DLI </w:t>
      </w:r>
      <w:r w:rsidRPr="002D4703">
        <w:rPr>
          <w:rFonts w:ascii="Arial" w:hAnsi="Arial" w:cs="Arial"/>
        </w:rPr>
        <w:lastRenderedPageBreak/>
        <w:t xml:space="preserve">only in the early grades extended programs into upper elementary and middle school, and several initiated or expanded high school pathways. These expansions included secondary courses such as World History, science, and social studies taught in the partner language, </w:t>
      </w:r>
      <w:r w:rsidR="009329D5">
        <w:rPr>
          <w:rFonts w:ascii="Arial" w:hAnsi="Arial" w:cs="Arial"/>
        </w:rPr>
        <w:t>which allows</w:t>
      </w:r>
      <w:r w:rsidRPr="002D4703">
        <w:rPr>
          <w:rFonts w:ascii="Arial" w:hAnsi="Arial" w:cs="Arial"/>
        </w:rPr>
        <w:t xml:space="preserve"> students to continue developing bilingual academic skills beyond elementary school.</w:t>
      </w:r>
    </w:p>
    <w:p w14:paraId="220C3929" w14:textId="2784DC6B" w:rsidR="00E554F1" w:rsidRPr="002D4703" w:rsidRDefault="00E554F1" w:rsidP="00E554F1">
      <w:pPr>
        <w:spacing w:after="240"/>
        <w:rPr>
          <w:rFonts w:ascii="Arial" w:hAnsi="Arial" w:cs="Arial"/>
        </w:rPr>
      </w:pPr>
      <w:r w:rsidRPr="002D4703">
        <w:rPr>
          <w:rFonts w:ascii="Arial" w:hAnsi="Arial" w:cs="Arial"/>
        </w:rPr>
        <w:t xml:space="preserve">Family demand for DLI programs remained strong throughout the grant period. </w:t>
      </w:r>
      <w:r w:rsidR="5B4D63DB" w:rsidRPr="002D4703">
        <w:rPr>
          <w:rFonts w:ascii="Arial" w:hAnsi="Arial" w:cs="Arial"/>
        </w:rPr>
        <w:t>LEAs</w:t>
      </w:r>
      <w:r w:rsidRPr="002D4703">
        <w:rPr>
          <w:rFonts w:ascii="Arial" w:hAnsi="Arial" w:cs="Arial"/>
        </w:rPr>
        <w:t xml:space="preserve"> reported full classes, waitlists, and increased inquiries from families seeking bilingual educational options. Sustained interest supported stable enrollment and reinforced the long-term viability of expanded program pathways.</w:t>
      </w:r>
    </w:p>
    <w:p w14:paraId="49F99670" w14:textId="65D89278" w:rsidR="00E554F1" w:rsidRPr="002D4703" w:rsidRDefault="05F168AC" w:rsidP="00E554F1">
      <w:pPr>
        <w:spacing w:after="240"/>
        <w:rPr>
          <w:rFonts w:ascii="Arial" w:hAnsi="Arial" w:cs="Arial"/>
        </w:rPr>
      </w:pPr>
      <w:r w:rsidRPr="19EABF24">
        <w:rPr>
          <w:rFonts w:ascii="Arial" w:hAnsi="Arial" w:cs="Arial"/>
        </w:rPr>
        <w:t>LEAs</w:t>
      </w:r>
      <w:r w:rsidR="00E554F1" w:rsidRPr="19EABF24">
        <w:rPr>
          <w:rFonts w:ascii="Arial" w:hAnsi="Arial" w:cs="Arial"/>
        </w:rPr>
        <w:t xml:space="preserve"> invested in professional learning focused on biliteracy development</w:t>
      </w:r>
      <w:r w:rsidR="00974160" w:rsidRPr="19EABF24">
        <w:rPr>
          <w:rFonts w:ascii="Arial" w:hAnsi="Arial" w:cs="Arial"/>
        </w:rPr>
        <w:t xml:space="preserve"> to improve instructional quality</w:t>
      </w:r>
      <w:r w:rsidR="39186B03" w:rsidRPr="19EABF24">
        <w:rPr>
          <w:rFonts w:ascii="Arial" w:hAnsi="Arial" w:cs="Arial"/>
        </w:rPr>
        <w:t xml:space="preserve"> in DLI programs</w:t>
      </w:r>
      <w:r w:rsidR="00E554F1" w:rsidRPr="19EABF24">
        <w:rPr>
          <w:rFonts w:ascii="Arial" w:hAnsi="Arial" w:cs="Arial"/>
        </w:rPr>
        <w:t xml:space="preserve">. Teachers engaged in training </w:t>
      </w:r>
      <w:r w:rsidR="31456D2C" w:rsidRPr="19EABF24">
        <w:rPr>
          <w:rFonts w:ascii="Arial" w:hAnsi="Arial" w:cs="Arial"/>
        </w:rPr>
        <w:t>regarding</w:t>
      </w:r>
      <w:r w:rsidR="00E554F1" w:rsidRPr="19EABF24">
        <w:rPr>
          <w:rFonts w:ascii="Arial" w:hAnsi="Arial" w:cs="Arial"/>
        </w:rPr>
        <w:t xml:space="preserve"> cross-linguistic transfer, structured writing routines, interactive read-</w:t>
      </w:r>
      <w:proofErr w:type="spellStart"/>
      <w:r w:rsidR="00E554F1" w:rsidRPr="19EABF24">
        <w:rPr>
          <w:rFonts w:ascii="Arial" w:hAnsi="Arial" w:cs="Arial"/>
        </w:rPr>
        <w:t>alouds</w:t>
      </w:r>
      <w:proofErr w:type="spellEnd"/>
      <w:r w:rsidR="00E554F1" w:rsidRPr="19EABF24">
        <w:rPr>
          <w:rFonts w:ascii="Arial" w:hAnsi="Arial" w:cs="Arial"/>
        </w:rPr>
        <w:t xml:space="preserve">, vocabulary development, and effective instructional strategies in two languages. Many </w:t>
      </w:r>
      <w:r w:rsidR="0C98D455" w:rsidRPr="19EABF24">
        <w:rPr>
          <w:rFonts w:ascii="Arial" w:hAnsi="Arial" w:cs="Arial"/>
        </w:rPr>
        <w:t>LEAs</w:t>
      </w:r>
      <w:r w:rsidR="00E554F1" w:rsidRPr="19EABF24">
        <w:rPr>
          <w:rFonts w:ascii="Arial" w:hAnsi="Arial" w:cs="Arial"/>
        </w:rPr>
        <w:t xml:space="preserve"> implemented coaching cycles, lesson study, and cross-site walkthroughs to promote consistency and shared expectations across classrooms and schools.</w:t>
      </w:r>
    </w:p>
    <w:p w14:paraId="070D178A" w14:textId="200EFEED" w:rsidR="00E554F1" w:rsidRPr="002D4703" w:rsidRDefault="1E12DA8A" w:rsidP="00E554F1">
      <w:pPr>
        <w:spacing w:after="240"/>
        <w:rPr>
          <w:rFonts w:ascii="Arial" w:hAnsi="Arial" w:cs="Arial"/>
        </w:rPr>
      </w:pPr>
      <w:r w:rsidRPr="002D4703">
        <w:rPr>
          <w:rFonts w:ascii="Arial" w:hAnsi="Arial" w:cs="Arial"/>
        </w:rPr>
        <w:t>LEAs</w:t>
      </w:r>
      <w:r w:rsidR="00E554F1" w:rsidRPr="002D4703">
        <w:rPr>
          <w:rFonts w:ascii="Arial" w:hAnsi="Arial" w:cs="Arial"/>
        </w:rPr>
        <w:t xml:space="preserve"> also strengthened systems and infrastructure to support long-term implementation. Key products included Dual Language Master Plans, TK–8 and TK–12 biliteracy pathway documents, vertically aligned pacing guides, language allocation plans, and assessment tools in both program languages. Investments in bilingual classroom libraries, curriculum materials, and digital platforms further supported instructional coherence and sustainable program growth.</w:t>
      </w:r>
    </w:p>
    <w:p w14:paraId="46DE1EFE" w14:textId="77777777" w:rsidR="00E554F1" w:rsidRPr="002D4703" w:rsidRDefault="00E554F1" w:rsidP="009D0E78">
      <w:pPr>
        <w:pStyle w:val="Heading2"/>
      </w:pPr>
      <w:bookmarkStart w:id="10" w:name="_Toc219285940"/>
      <w:r w:rsidRPr="002D4703">
        <w:t>Student Impact from Grant Implementation</w:t>
      </w:r>
      <w:bookmarkEnd w:id="10"/>
    </w:p>
    <w:p w14:paraId="5196BB92" w14:textId="2F2A0BAA" w:rsidR="00DE4536" w:rsidRPr="002D4703" w:rsidRDefault="00DE4536" w:rsidP="00DE4536">
      <w:pPr>
        <w:spacing w:after="240"/>
        <w:rPr>
          <w:rFonts w:ascii="Arial" w:hAnsi="Arial" w:cs="Arial"/>
        </w:rPr>
      </w:pPr>
      <w:r w:rsidRPr="002D4703">
        <w:rPr>
          <w:rFonts w:ascii="Arial" w:hAnsi="Arial" w:cs="Arial"/>
        </w:rPr>
        <w:t xml:space="preserve">Several </w:t>
      </w:r>
      <w:r w:rsidR="00A03555">
        <w:rPr>
          <w:rFonts w:ascii="Arial" w:hAnsi="Arial" w:cs="Arial"/>
        </w:rPr>
        <w:t>grantees</w:t>
      </w:r>
      <w:r w:rsidRPr="002D4703">
        <w:rPr>
          <w:rFonts w:ascii="Arial" w:hAnsi="Arial" w:cs="Arial"/>
        </w:rPr>
        <w:t xml:space="preserve"> documented improvements in academic outcomes</w:t>
      </w:r>
      <w:r w:rsidR="009329D5">
        <w:rPr>
          <w:rFonts w:ascii="Arial" w:hAnsi="Arial" w:cs="Arial"/>
        </w:rPr>
        <w:t xml:space="preserve"> that include </w:t>
      </w:r>
      <w:r w:rsidRPr="002D4703">
        <w:rPr>
          <w:rFonts w:ascii="Arial" w:hAnsi="Arial" w:cs="Arial"/>
        </w:rPr>
        <w:t>growth in English and partner-language proficiency, higher reclassification rates, and stronger performance in content areas taught in the partner language. Students demonstrated increased confidence, engagement, and ability to express complex ideas across languages—key indicators of biliteracy development.</w:t>
      </w:r>
    </w:p>
    <w:p w14:paraId="5257BDE7" w14:textId="4D2A4468" w:rsidR="00E554F1" w:rsidRPr="002D4703" w:rsidRDefault="00E554F1" w:rsidP="00E554F1">
      <w:pPr>
        <w:spacing w:after="240"/>
        <w:rPr>
          <w:rFonts w:ascii="Arial" w:hAnsi="Arial" w:cs="Arial"/>
        </w:rPr>
      </w:pPr>
      <w:r w:rsidRPr="002D4703">
        <w:rPr>
          <w:rFonts w:ascii="Arial" w:hAnsi="Arial" w:cs="Arial"/>
        </w:rPr>
        <w:t>Students benefited from expanded access to high-quality DLI programs and from earlier, more sustained exposure to bilingual</w:t>
      </w:r>
      <w:r w:rsidR="006D071B">
        <w:rPr>
          <w:rFonts w:ascii="Arial" w:hAnsi="Arial" w:cs="Arial"/>
        </w:rPr>
        <w:t xml:space="preserve"> curriculum,</w:t>
      </w:r>
      <w:r w:rsidRPr="002D4703">
        <w:rPr>
          <w:rFonts w:ascii="Arial" w:hAnsi="Arial" w:cs="Arial"/>
        </w:rPr>
        <w:t xml:space="preserve"> instruction</w:t>
      </w:r>
      <w:r w:rsidR="006D071B">
        <w:rPr>
          <w:rFonts w:ascii="Arial" w:hAnsi="Arial" w:cs="Arial"/>
        </w:rPr>
        <w:t>, and pedagogy</w:t>
      </w:r>
      <w:r w:rsidRPr="002D4703">
        <w:rPr>
          <w:rFonts w:ascii="Arial" w:hAnsi="Arial" w:cs="Arial"/>
        </w:rPr>
        <w:t>. These expanded pathways supported stronger long-term academic and language development and increased continuity across grade spans.</w:t>
      </w:r>
    </w:p>
    <w:p w14:paraId="0B1D39A3" w14:textId="6CAC49F9" w:rsidR="00E554F1" w:rsidRPr="002D4703" w:rsidRDefault="00E554F1" w:rsidP="00E554F1">
      <w:pPr>
        <w:spacing w:after="240"/>
        <w:rPr>
          <w:rFonts w:ascii="Arial" w:hAnsi="Arial" w:cs="Arial"/>
        </w:rPr>
      </w:pPr>
      <w:r w:rsidRPr="002D4703">
        <w:rPr>
          <w:rFonts w:ascii="Arial" w:hAnsi="Arial" w:cs="Arial"/>
        </w:rPr>
        <w:t>Literacy growth in both program languages was a major area of</w:t>
      </w:r>
      <w:r w:rsidR="006D071B">
        <w:rPr>
          <w:rFonts w:ascii="Arial" w:hAnsi="Arial" w:cs="Arial"/>
        </w:rPr>
        <w:t xml:space="preserve"> reported</w:t>
      </w:r>
      <w:r w:rsidRPr="002D4703">
        <w:rPr>
          <w:rFonts w:ascii="Arial" w:hAnsi="Arial" w:cs="Arial"/>
        </w:rPr>
        <w:t xml:space="preserve"> impact. With expanded classroom libraries, leveled readers, foundational skills materials, and digital platforms, students had improved access to developmentally appropriate texts in English, Spanish, Mandarin, Vietnamese, and Korean. Teachers were better able to differentiate instruction, resulting in gains in early </w:t>
      </w:r>
      <w:r w:rsidR="0018455A">
        <w:rPr>
          <w:rFonts w:ascii="Arial" w:hAnsi="Arial" w:cs="Arial"/>
        </w:rPr>
        <w:t>(bi)</w:t>
      </w:r>
      <w:r w:rsidRPr="002D4703">
        <w:rPr>
          <w:rFonts w:ascii="Arial" w:hAnsi="Arial" w:cs="Arial"/>
        </w:rPr>
        <w:t xml:space="preserve">literacy, improved reading levels, and increased confidence as readers and writers. Several </w:t>
      </w:r>
      <w:r w:rsidR="10434C45" w:rsidRPr="002D4703">
        <w:rPr>
          <w:rFonts w:ascii="Arial" w:hAnsi="Arial" w:cs="Arial"/>
        </w:rPr>
        <w:t>LEAs</w:t>
      </w:r>
      <w:r w:rsidRPr="002D4703">
        <w:rPr>
          <w:rFonts w:ascii="Arial" w:hAnsi="Arial" w:cs="Arial"/>
        </w:rPr>
        <w:t xml:space="preserve"> reported strong performance on state assessments, including </w:t>
      </w:r>
      <w:r w:rsidR="00801AD5" w:rsidRPr="002D4703">
        <w:rPr>
          <w:rFonts w:ascii="Arial" w:hAnsi="Arial" w:cs="Arial"/>
        </w:rPr>
        <w:t xml:space="preserve">on the </w:t>
      </w:r>
      <w:r w:rsidRPr="002D4703">
        <w:rPr>
          <w:rFonts w:ascii="Arial" w:hAnsi="Arial" w:cs="Arial"/>
        </w:rPr>
        <w:t xml:space="preserve">California Assessment of Student Performance and Progress, and growth </w:t>
      </w:r>
      <w:r w:rsidR="009329D5">
        <w:rPr>
          <w:rFonts w:ascii="Arial" w:hAnsi="Arial" w:cs="Arial"/>
        </w:rPr>
        <w:t>i</w:t>
      </w:r>
      <w:r w:rsidRPr="002D4703">
        <w:rPr>
          <w:rFonts w:ascii="Arial" w:hAnsi="Arial" w:cs="Arial"/>
        </w:rPr>
        <w:t>n evidence-based literacy measures.</w:t>
      </w:r>
    </w:p>
    <w:p w14:paraId="7B38D935" w14:textId="245F1366" w:rsidR="00E554F1" w:rsidRPr="002D4703" w:rsidRDefault="00E554F1" w:rsidP="00E554F1">
      <w:pPr>
        <w:spacing w:after="240"/>
        <w:rPr>
          <w:rFonts w:ascii="Arial" w:hAnsi="Arial" w:cs="Arial"/>
        </w:rPr>
      </w:pPr>
      <w:r w:rsidRPr="002D4703">
        <w:rPr>
          <w:rFonts w:ascii="Arial" w:hAnsi="Arial" w:cs="Arial"/>
        </w:rPr>
        <w:lastRenderedPageBreak/>
        <w:t xml:space="preserve">Students also experienced more coherent instructional systems. Newly developed biliteracy units and </w:t>
      </w:r>
      <w:r w:rsidR="0039168F">
        <w:rPr>
          <w:rFonts w:ascii="Arial" w:hAnsi="Arial" w:cs="Arial"/>
        </w:rPr>
        <w:t>curricular</w:t>
      </w:r>
      <w:r w:rsidR="0039168F" w:rsidRPr="002D4703">
        <w:rPr>
          <w:rFonts w:ascii="Arial" w:hAnsi="Arial" w:cs="Arial"/>
        </w:rPr>
        <w:t xml:space="preserve"> </w:t>
      </w:r>
      <w:r w:rsidRPr="002D4703">
        <w:rPr>
          <w:rFonts w:ascii="Arial" w:hAnsi="Arial" w:cs="Arial"/>
        </w:rPr>
        <w:t>guides promoted consistent expectations across classrooms and smoother transitions as programs expanded grade by grade.</w:t>
      </w:r>
      <w:r w:rsidR="00BA6DEC">
        <w:rPr>
          <w:rFonts w:ascii="Arial" w:hAnsi="Arial" w:cs="Arial"/>
        </w:rPr>
        <w:t xml:space="preserve"> </w:t>
      </w:r>
      <w:r w:rsidRPr="002D4703">
        <w:rPr>
          <w:rFonts w:ascii="Arial" w:hAnsi="Arial" w:cs="Arial"/>
        </w:rPr>
        <w:t>These structures supported intentional cross-linguistic transfer, stronger academic language routines, and sequenced instruction that built on prior learning in both languages.</w:t>
      </w:r>
    </w:p>
    <w:p w14:paraId="4EF1D2E5" w14:textId="438C3104" w:rsidR="00E554F1" w:rsidRPr="002D4703" w:rsidRDefault="00E554F1" w:rsidP="00E554F1">
      <w:pPr>
        <w:spacing w:after="240"/>
        <w:rPr>
          <w:rFonts w:ascii="Arial" w:hAnsi="Arial" w:cs="Arial"/>
        </w:rPr>
      </w:pPr>
      <w:r w:rsidRPr="002D4703">
        <w:rPr>
          <w:rFonts w:ascii="Arial" w:hAnsi="Arial" w:cs="Arial"/>
        </w:rPr>
        <w:t xml:space="preserve">Equity-focused practices further strengthened outcomes. </w:t>
      </w:r>
      <w:r w:rsidR="08D1CC9F" w:rsidRPr="002D4703">
        <w:rPr>
          <w:rFonts w:ascii="Arial" w:hAnsi="Arial" w:cs="Arial"/>
        </w:rPr>
        <w:t>LEAs</w:t>
      </w:r>
      <w:r w:rsidRPr="002D4703">
        <w:rPr>
          <w:rFonts w:ascii="Arial" w:hAnsi="Arial" w:cs="Arial"/>
        </w:rPr>
        <w:t xml:space="preserve"> prioritized culturally relevant, authentic partner-language texts and trained teachers to leverage students’ linguistic and cultural assets. In some </w:t>
      </w:r>
      <w:r w:rsidR="0C3DD65D" w:rsidRPr="002D4703">
        <w:rPr>
          <w:rFonts w:ascii="Arial" w:hAnsi="Arial" w:cs="Arial"/>
        </w:rPr>
        <w:t>LEAs</w:t>
      </w:r>
      <w:r w:rsidRPr="002D4703">
        <w:rPr>
          <w:rFonts w:ascii="Arial" w:hAnsi="Arial" w:cs="Arial"/>
        </w:rPr>
        <w:t xml:space="preserve">, the development of Spanish </w:t>
      </w:r>
      <w:r w:rsidR="009329D5">
        <w:rPr>
          <w:rFonts w:ascii="Arial" w:hAnsi="Arial" w:cs="Arial"/>
        </w:rPr>
        <w:t>l</w:t>
      </w:r>
      <w:r w:rsidRPr="002D4703">
        <w:rPr>
          <w:rFonts w:ascii="Arial" w:hAnsi="Arial" w:cs="Arial"/>
        </w:rPr>
        <w:t xml:space="preserve">anguage </w:t>
      </w:r>
      <w:r w:rsidR="009329D5">
        <w:rPr>
          <w:rFonts w:ascii="Arial" w:hAnsi="Arial" w:cs="Arial"/>
        </w:rPr>
        <w:t>d</w:t>
      </w:r>
      <w:r w:rsidRPr="002D4703">
        <w:rPr>
          <w:rFonts w:ascii="Arial" w:hAnsi="Arial" w:cs="Arial"/>
        </w:rPr>
        <w:t xml:space="preserve">evelopment curricula aligned to </w:t>
      </w:r>
      <w:r w:rsidR="009329D5">
        <w:rPr>
          <w:rFonts w:ascii="Arial" w:hAnsi="Arial" w:cs="Arial"/>
        </w:rPr>
        <w:t>the California</w:t>
      </w:r>
      <w:r w:rsidRPr="002D4703">
        <w:rPr>
          <w:rFonts w:ascii="Arial" w:hAnsi="Arial" w:cs="Arial"/>
        </w:rPr>
        <w:t xml:space="preserve"> </w:t>
      </w:r>
      <w:r w:rsidR="009329D5" w:rsidRPr="002D4703">
        <w:rPr>
          <w:rFonts w:ascii="Arial" w:hAnsi="Arial" w:cs="Arial"/>
        </w:rPr>
        <w:t>Spanish Language Development</w:t>
      </w:r>
      <w:r w:rsidRPr="002D4703">
        <w:rPr>
          <w:rFonts w:ascii="Arial" w:hAnsi="Arial" w:cs="Arial"/>
        </w:rPr>
        <w:t xml:space="preserve"> </w:t>
      </w:r>
      <w:r w:rsidR="00DE4536" w:rsidRPr="002D4703">
        <w:rPr>
          <w:rFonts w:ascii="Arial" w:hAnsi="Arial" w:cs="Arial"/>
        </w:rPr>
        <w:t>S</w:t>
      </w:r>
      <w:r w:rsidRPr="002D4703">
        <w:rPr>
          <w:rFonts w:ascii="Arial" w:hAnsi="Arial" w:cs="Arial"/>
        </w:rPr>
        <w:t xml:space="preserve">tandards addressed gaps in targeted language instruction. These efforts supported participation, reduced affective barriers, and increased student </w:t>
      </w:r>
      <w:r w:rsidR="0039168F">
        <w:rPr>
          <w:rFonts w:ascii="Arial" w:hAnsi="Arial" w:cs="Arial"/>
        </w:rPr>
        <w:t>capacity</w:t>
      </w:r>
      <w:r w:rsidR="0039168F" w:rsidRPr="002D4703">
        <w:rPr>
          <w:rFonts w:ascii="Arial" w:hAnsi="Arial" w:cs="Arial"/>
        </w:rPr>
        <w:t xml:space="preserve"> </w:t>
      </w:r>
      <w:r w:rsidRPr="002D4703">
        <w:rPr>
          <w:rFonts w:ascii="Arial" w:hAnsi="Arial" w:cs="Arial"/>
        </w:rPr>
        <w:t>in academic discourse.</w:t>
      </w:r>
    </w:p>
    <w:p w14:paraId="2D244976" w14:textId="04C12A32" w:rsidR="00E554F1" w:rsidRPr="002D4703" w:rsidRDefault="00E554F1" w:rsidP="00E554F1">
      <w:pPr>
        <w:spacing w:after="240"/>
        <w:rPr>
          <w:rFonts w:ascii="Arial" w:hAnsi="Arial" w:cs="Arial"/>
        </w:rPr>
      </w:pPr>
      <w:r w:rsidRPr="002D4703">
        <w:rPr>
          <w:rFonts w:ascii="Arial" w:hAnsi="Arial" w:cs="Arial"/>
        </w:rPr>
        <w:t>Beyond academic outcomes, DLI participation positively influenced students’ sense of identity and belonging. Access to culturally affirming texts</w:t>
      </w:r>
      <w:r w:rsidR="009329D5">
        <w:rPr>
          <w:rFonts w:ascii="Arial" w:hAnsi="Arial" w:cs="Arial"/>
        </w:rPr>
        <w:t xml:space="preserve"> and</w:t>
      </w:r>
      <w:r w:rsidRPr="002D4703">
        <w:rPr>
          <w:rFonts w:ascii="Arial" w:hAnsi="Arial" w:cs="Arial"/>
        </w:rPr>
        <w:t xml:space="preserve"> integrated thematic units and multilingual coursework supported pride in linguistic assets and strengthened cross-cultural understanding</w:t>
      </w:r>
      <w:r w:rsidR="009329D5">
        <w:rPr>
          <w:rFonts w:ascii="Arial" w:hAnsi="Arial" w:cs="Arial"/>
        </w:rPr>
        <w:t xml:space="preserve"> to reinforce </w:t>
      </w:r>
      <w:r w:rsidRPr="002D4703">
        <w:rPr>
          <w:rFonts w:ascii="Arial" w:hAnsi="Arial" w:cs="Arial"/>
        </w:rPr>
        <w:t>the broader developmental benefits of dual language education.</w:t>
      </w:r>
    </w:p>
    <w:p w14:paraId="2B485EAD" w14:textId="77777777" w:rsidR="00E554F1" w:rsidRPr="002D4703" w:rsidRDefault="00E554F1" w:rsidP="009D0E78">
      <w:pPr>
        <w:pStyle w:val="Heading2"/>
      </w:pPr>
      <w:bookmarkStart w:id="11" w:name="_Toc219285941"/>
      <w:r w:rsidRPr="002D4703">
        <w:t>Curriculum Purchase, Development, and Alignment</w:t>
      </w:r>
      <w:bookmarkEnd w:id="11"/>
    </w:p>
    <w:p w14:paraId="1264D52A" w14:textId="06AAACE4" w:rsidR="00E554F1" w:rsidRPr="002D4703" w:rsidRDefault="00E554F1" w:rsidP="3D1A22AD">
      <w:pPr>
        <w:spacing w:after="240" w:line="259" w:lineRule="auto"/>
        <w:rPr>
          <w:rFonts w:ascii="Arial" w:hAnsi="Arial" w:cs="Arial"/>
        </w:rPr>
      </w:pPr>
      <w:r w:rsidRPr="002D4703">
        <w:rPr>
          <w:rFonts w:ascii="Arial" w:hAnsi="Arial" w:cs="Arial"/>
        </w:rPr>
        <w:t xml:space="preserve">A major focus of the grant period was the </w:t>
      </w:r>
      <w:r w:rsidR="0039168F">
        <w:rPr>
          <w:rFonts w:ascii="Arial" w:hAnsi="Arial" w:cs="Arial"/>
        </w:rPr>
        <w:t>procurement</w:t>
      </w:r>
      <w:r w:rsidR="0039168F" w:rsidRPr="002D4703">
        <w:rPr>
          <w:rFonts w:ascii="Arial" w:hAnsi="Arial" w:cs="Arial"/>
        </w:rPr>
        <w:t xml:space="preserve"> </w:t>
      </w:r>
      <w:r w:rsidRPr="002D4703">
        <w:rPr>
          <w:rFonts w:ascii="Arial" w:hAnsi="Arial" w:cs="Arial"/>
        </w:rPr>
        <w:t xml:space="preserve">of high-quality instructional materials to support biliteracy in English and the partner language. </w:t>
      </w:r>
      <w:r w:rsidR="79C8E4C1" w:rsidRPr="002D4703">
        <w:rPr>
          <w:rFonts w:ascii="Arial" w:hAnsi="Arial" w:cs="Arial"/>
        </w:rPr>
        <w:t>LEAs</w:t>
      </w:r>
      <w:r w:rsidRPr="002D4703">
        <w:rPr>
          <w:rFonts w:ascii="Arial" w:hAnsi="Arial" w:cs="Arial"/>
        </w:rPr>
        <w:t xml:space="preserve"> invested in supplemental curricula, </w:t>
      </w:r>
      <w:r w:rsidR="0039168F">
        <w:rPr>
          <w:rFonts w:ascii="Arial" w:hAnsi="Arial" w:cs="Arial"/>
        </w:rPr>
        <w:t>differentiated texts</w:t>
      </w:r>
      <w:r w:rsidRPr="002D4703">
        <w:rPr>
          <w:rFonts w:ascii="Arial" w:hAnsi="Arial" w:cs="Arial"/>
        </w:rPr>
        <w:t>, authentic texts</w:t>
      </w:r>
      <w:r w:rsidR="0039168F">
        <w:rPr>
          <w:rFonts w:ascii="Arial" w:hAnsi="Arial" w:cs="Arial"/>
        </w:rPr>
        <w:t xml:space="preserve"> authored in the partner language</w:t>
      </w:r>
      <w:r w:rsidR="000F1179">
        <w:rPr>
          <w:rFonts w:ascii="Arial" w:hAnsi="Arial" w:cs="Arial"/>
        </w:rPr>
        <w:t xml:space="preserve"> through the lens of the partner culture</w:t>
      </w:r>
      <w:r w:rsidRPr="002D4703">
        <w:rPr>
          <w:rFonts w:ascii="Arial" w:hAnsi="Arial" w:cs="Arial"/>
        </w:rPr>
        <w:t>, intervention programs, content-area resources, and digital platforms. These materials ensured students had access to instructionally appropriate resources aligned to their language of instruction and supported consistent implementation across grade levels.</w:t>
      </w:r>
    </w:p>
    <w:p w14:paraId="41525638" w14:textId="1E0F48FB" w:rsidR="00E554F1" w:rsidRPr="002D4703" w:rsidRDefault="5F0CDBD7" w:rsidP="00E554F1">
      <w:pPr>
        <w:spacing w:after="240"/>
        <w:rPr>
          <w:rFonts w:ascii="Arial" w:hAnsi="Arial" w:cs="Arial"/>
        </w:rPr>
      </w:pPr>
      <w:r w:rsidRPr="002D4703">
        <w:rPr>
          <w:rFonts w:ascii="Arial" w:hAnsi="Arial" w:cs="Arial"/>
        </w:rPr>
        <w:t>LEAs</w:t>
      </w:r>
      <w:r w:rsidR="00E554F1" w:rsidRPr="002D4703">
        <w:rPr>
          <w:rFonts w:ascii="Arial" w:hAnsi="Arial" w:cs="Arial"/>
        </w:rPr>
        <w:t xml:space="preserve"> also developed new curriculum materials tailored to DLI programs. Teachers, coaches, and administrators collaborated to create </w:t>
      </w:r>
      <w:r w:rsidR="0039168F">
        <w:rPr>
          <w:rFonts w:ascii="Arial" w:hAnsi="Arial" w:cs="Arial"/>
        </w:rPr>
        <w:t xml:space="preserve">cross-content </w:t>
      </w:r>
      <w:r w:rsidR="00E554F1" w:rsidRPr="002D4703">
        <w:rPr>
          <w:rFonts w:ascii="Arial" w:hAnsi="Arial" w:cs="Arial"/>
        </w:rPr>
        <w:t xml:space="preserve">biliteracy </w:t>
      </w:r>
      <w:r w:rsidR="0039168F">
        <w:rPr>
          <w:rFonts w:ascii="Arial" w:hAnsi="Arial" w:cs="Arial"/>
        </w:rPr>
        <w:t xml:space="preserve">instructional </w:t>
      </w:r>
      <w:r w:rsidR="00E554F1" w:rsidRPr="002D4703">
        <w:rPr>
          <w:rFonts w:ascii="Arial" w:hAnsi="Arial" w:cs="Arial"/>
        </w:rPr>
        <w:t xml:space="preserve">units, exemplar lessons, and assessments aligned to state standards. Examples included TK–grade </w:t>
      </w:r>
      <w:r w:rsidR="009329D5">
        <w:rPr>
          <w:rFonts w:ascii="Arial" w:hAnsi="Arial" w:cs="Arial"/>
        </w:rPr>
        <w:t>eight</w:t>
      </w:r>
      <w:r w:rsidR="00E554F1" w:rsidRPr="002D4703">
        <w:rPr>
          <w:rFonts w:ascii="Arial" w:hAnsi="Arial" w:cs="Arial"/>
        </w:rPr>
        <w:t xml:space="preserve"> biliteracy units in Spanish and Vietnamese, </w:t>
      </w:r>
      <w:r w:rsidR="009920E9" w:rsidRPr="002D4703">
        <w:rPr>
          <w:rFonts w:ascii="Arial" w:hAnsi="Arial" w:cs="Arial"/>
        </w:rPr>
        <w:t>Spanish language development</w:t>
      </w:r>
      <w:r w:rsidR="00E554F1" w:rsidRPr="002D4703">
        <w:rPr>
          <w:rFonts w:ascii="Arial" w:hAnsi="Arial" w:cs="Arial"/>
        </w:rPr>
        <w:t xml:space="preserve"> lessons developed through </w:t>
      </w:r>
      <w:r w:rsidR="006D5CC2" w:rsidRPr="002D4703">
        <w:rPr>
          <w:rFonts w:ascii="Arial" w:hAnsi="Arial" w:cs="Arial"/>
        </w:rPr>
        <w:t>professional learning communities (PLCs)</w:t>
      </w:r>
      <w:r w:rsidR="00E554F1" w:rsidRPr="002D4703">
        <w:rPr>
          <w:rFonts w:ascii="Arial" w:hAnsi="Arial" w:cs="Arial"/>
        </w:rPr>
        <w:t xml:space="preserve">, and Korean Language Arts units aligned to priority standards. DLIG funds provided release time and summer workdays that enabled educators to collaborate, refine language objectives, and establish shared </w:t>
      </w:r>
      <w:r w:rsidR="0039168F">
        <w:rPr>
          <w:rFonts w:ascii="Arial" w:hAnsi="Arial" w:cs="Arial"/>
        </w:rPr>
        <w:t>curricular maps</w:t>
      </w:r>
      <w:r w:rsidR="00E554F1" w:rsidRPr="002D4703">
        <w:rPr>
          <w:rFonts w:ascii="Arial" w:hAnsi="Arial" w:cs="Arial"/>
        </w:rPr>
        <w:t>.</w:t>
      </w:r>
    </w:p>
    <w:p w14:paraId="0EC27165" w14:textId="58E63B56" w:rsidR="00E554F1" w:rsidRPr="002D4703" w:rsidRDefault="00E554F1" w:rsidP="00E554F1">
      <w:pPr>
        <w:spacing w:after="240"/>
        <w:rPr>
          <w:rFonts w:ascii="Arial" w:hAnsi="Arial" w:cs="Arial"/>
        </w:rPr>
      </w:pPr>
      <w:r w:rsidRPr="002D4703">
        <w:rPr>
          <w:rFonts w:ascii="Arial" w:hAnsi="Arial" w:cs="Arial"/>
        </w:rPr>
        <w:t xml:space="preserve">Alignment work was another key accomplishment. </w:t>
      </w:r>
      <w:r w:rsidR="401F2238" w:rsidRPr="002D4703">
        <w:rPr>
          <w:rFonts w:ascii="Arial" w:hAnsi="Arial" w:cs="Arial"/>
        </w:rPr>
        <w:t>LEAs</w:t>
      </w:r>
      <w:r w:rsidRPr="002D4703">
        <w:rPr>
          <w:rFonts w:ascii="Arial" w:hAnsi="Arial" w:cs="Arial"/>
        </w:rPr>
        <w:t xml:space="preserve"> conducted curriculum audits, clarified scope-and-sequence expectations, and strengthened vertical and horizontal articulation</w:t>
      </w:r>
      <w:r w:rsidR="0039168F">
        <w:rPr>
          <w:rFonts w:ascii="Arial" w:hAnsi="Arial" w:cs="Arial"/>
        </w:rPr>
        <w:t xml:space="preserve"> across and within grade levels</w:t>
      </w:r>
      <w:r w:rsidRPr="002D4703">
        <w:rPr>
          <w:rFonts w:ascii="Arial" w:hAnsi="Arial" w:cs="Arial"/>
        </w:rPr>
        <w:t xml:space="preserve">. Many worked with biliteracy experts to align </w:t>
      </w:r>
      <w:r w:rsidR="006D5CC2" w:rsidRPr="002D4703">
        <w:rPr>
          <w:rFonts w:ascii="Arial" w:hAnsi="Arial" w:cs="Arial"/>
        </w:rPr>
        <w:t xml:space="preserve">to the </w:t>
      </w:r>
      <w:r w:rsidRPr="002D4703">
        <w:rPr>
          <w:rFonts w:ascii="Arial" w:hAnsi="Arial" w:cs="Arial"/>
        </w:rPr>
        <w:t xml:space="preserve">Common Core Standards </w:t>
      </w:r>
      <w:proofErr w:type="spellStart"/>
      <w:r w:rsidRPr="002D4703">
        <w:rPr>
          <w:rFonts w:ascii="Arial" w:hAnsi="Arial" w:cs="Arial"/>
        </w:rPr>
        <w:t>en</w:t>
      </w:r>
      <w:proofErr w:type="spellEnd"/>
      <w:r w:rsidRPr="002D4703">
        <w:rPr>
          <w:rFonts w:ascii="Arial" w:hAnsi="Arial" w:cs="Arial"/>
        </w:rPr>
        <w:t xml:space="preserve"> Español, refine </w:t>
      </w:r>
      <w:r w:rsidR="007208A1">
        <w:rPr>
          <w:rFonts w:ascii="Arial" w:hAnsi="Arial" w:cs="Arial"/>
        </w:rPr>
        <w:t>instructional</w:t>
      </w:r>
      <w:r w:rsidR="007208A1" w:rsidRPr="002D4703">
        <w:rPr>
          <w:rFonts w:ascii="Arial" w:hAnsi="Arial" w:cs="Arial"/>
        </w:rPr>
        <w:t xml:space="preserve"> </w:t>
      </w:r>
      <w:r w:rsidRPr="002D4703">
        <w:rPr>
          <w:rFonts w:ascii="Arial" w:hAnsi="Arial" w:cs="Arial"/>
        </w:rPr>
        <w:t>guides, and embed culturally responsive practices. These efforts ensured coherence across classrooms, schools, and grade spans.</w:t>
      </w:r>
    </w:p>
    <w:p w14:paraId="5484FB5E" w14:textId="2000D2E7" w:rsidR="00E554F1" w:rsidRPr="002D4703" w:rsidRDefault="00E554F1" w:rsidP="00E554F1">
      <w:pPr>
        <w:spacing w:after="240"/>
        <w:rPr>
          <w:rFonts w:ascii="Arial" w:hAnsi="Arial" w:cs="Arial"/>
        </w:rPr>
      </w:pPr>
      <w:r w:rsidRPr="002D4703">
        <w:rPr>
          <w:rFonts w:ascii="Arial" w:hAnsi="Arial" w:cs="Arial"/>
        </w:rPr>
        <w:lastRenderedPageBreak/>
        <w:t xml:space="preserve">In addition, </w:t>
      </w:r>
      <w:r w:rsidR="0066577E">
        <w:rPr>
          <w:rFonts w:ascii="Arial" w:hAnsi="Arial" w:cs="Arial"/>
        </w:rPr>
        <w:t>grantees</w:t>
      </w:r>
      <w:r w:rsidR="0066577E" w:rsidRPr="002D4703">
        <w:rPr>
          <w:rFonts w:ascii="Arial" w:hAnsi="Arial" w:cs="Arial"/>
        </w:rPr>
        <w:t xml:space="preserve"> </w:t>
      </w:r>
      <w:r w:rsidRPr="002D4703">
        <w:rPr>
          <w:rFonts w:ascii="Arial" w:hAnsi="Arial" w:cs="Arial"/>
        </w:rPr>
        <w:t>created shared instructional repositories that reduced duplication and strengthened teacher practice. Educators developed collections of lesson plans, biliteracy routines, vocabulary tools, foundational skills resources, and cross-linguistic transfer activities. Digital platforms housed phonics resources, assessments, thematic units, and model lessons</w:t>
      </w:r>
      <w:r w:rsidR="00136458">
        <w:rPr>
          <w:rFonts w:ascii="Arial" w:hAnsi="Arial" w:cs="Arial"/>
        </w:rPr>
        <w:t xml:space="preserve"> to support</w:t>
      </w:r>
      <w:r w:rsidRPr="002D4703">
        <w:rPr>
          <w:rFonts w:ascii="Arial" w:hAnsi="Arial" w:cs="Arial"/>
        </w:rPr>
        <w:t xml:space="preserve"> both new and experienced teachers.</w:t>
      </w:r>
    </w:p>
    <w:p w14:paraId="0CAC3086" w14:textId="5AA7BBD6" w:rsidR="00E554F1" w:rsidRPr="002D4703" w:rsidRDefault="00E554F1" w:rsidP="00E554F1">
      <w:pPr>
        <w:spacing w:after="240"/>
        <w:rPr>
          <w:rFonts w:ascii="Arial" w:hAnsi="Arial" w:cs="Arial"/>
        </w:rPr>
      </w:pPr>
      <w:r w:rsidRPr="002D4703">
        <w:rPr>
          <w:rFonts w:ascii="Arial" w:hAnsi="Arial" w:cs="Arial"/>
        </w:rPr>
        <w:t>Together, these investments resulted in more equitable access to high-quality instruction. Teachers implemented richer, more consistent literacy routines in both languages while students benefited from authentic texts and well-structured units that built language and content knowledge over time.</w:t>
      </w:r>
    </w:p>
    <w:p w14:paraId="37F974EF" w14:textId="77777777" w:rsidR="00E554F1" w:rsidRPr="002D4703" w:rsidRDefault="00E554F1" w:rsidP="009D0E78">
      <w:pPr>
        <w:pStyle w:val="Heading2"/>
      </w:pPr>
      <w:bookmarkStart w:id="12" w:name="_Toc219285942"/>
      <w:r w:rsidRPr="002D4703">
        <w:t>Professional Learning</w:t>
      </w:r>
      <w:bookmarkEnd w:id="12"/>
    </w:p>
    <w:p w14:paraId="7807CDFC" w14:textId="5A94B98B" w:rsidR="00E554F1" w:rsidRPr="002D4703" w:rsidRDefault="00E554F1" w:rsidP="00E554F1">
      <w:pPr>
        <w:spacing w:after="240"/>
        <w:rPr>
          <w:rFonts w:ascii="Arial" w:hAnsi="Arial" w:cs="Arial"/>
        </w:rPr>
      </w:pPr>
      <w:r w:rsidRPr="002D4703">
        <w:rPr>
          <w:rFonts w:ascii="Arial" w:hAnsi="Arial" w:cs="Arial"/>
        </w:rPr>
        <w:t xml:space="preserve">A total of 213 </w:t>
      </w:r>
      <w:r w:rsidR="0039168F">
        <w:rPr>
          <w:rFonts w:ascii="Arial" w:hAnsi="Arial" w:cs="Arial"/>
        </w:rPr>
        <w:t xml:space="preserve">California </w:t>
      </w:r>
      <w:r w:rsidRPr="002D4703">
        <w:rPr>
          <w:rFonts w:ascii="Arial" w:hAnsi="Arial" w:cs="Arial"/>
        </w:rPr>
        <w:t>teachers and 35 administrators participated in professional learning supported by DLIG funds.</w:t>
      </w:r>
    </w:p>
    <w:p w14:paraId="5E764298" w14:textId="755D6208" w:rsidR="00E554F1" w:rsidRPr="002D4703" w:rsidRDefault="009435B2" w:rsidP="00E554F1">
      <w:pPr>
        <w:spacing w:after="240"/>
        <w:rPr>
          <w:rFonts w:ascii="Arial" w:hAnsi="Arial" w:cs="Arial"/>
        </w:rPr>
      </w:pPr>
      <w:r>
        <w:rPr>
          <w:rFonts w:ascii="Arial" w:hAnsi="Arial" w:cs="Arial"/>
        </w:rPr>
        <w:t>Grantees</w:t>
      </w:r>
      <w:r w:rsidR="00E554F1" w:rsidRPr="002D4703">
        <w:rPr>
          <w:rFonts w:ascii="Arial" w:hAnsi="Arial" w:cs="Arial"/>
        </w:rPr>
        <w:t xml:space="preserve"> provided extensive professional learning focused on biliteracy development, language acquisition, foundational literacy, and effective instruction in two languages. Many partnered with biliteracy experts to deliver research-based training on thematic unit design, oral language development, and integrated reading and writing practices</w:t>
      </w:r>
      <w:r w:rsidR="00136458">
        <w:rPr>
          <w:rFonts w:ascii="Arial" w:hAnsi="Arial" w:cs="Arial"/>
        </w:rPr>
        <w:t xml:space="preserve"> to strengthen</w:t>
      </w:r>
      <w:r w:rsidR="00E554F1" w:rsidRPr="002D4703">
        <w:rPr>
          <w:rFonts w:ascii="Arial" w:hAnsi="Arial" w:cs="Arial"/>
        </w:rPr>
        <w:t xml:space="preserve"> instructional routines and teacher capacity.</w:t>
      </w:r>
    </w:p>
    <w:p w14:paraId="79E59968" w14:textId="4285118D" w:rsidR="00E554F1" w:rsidRPr="002D4703" w:rsidRDefault="00E554F1" w:rsidP="00E554F1">
      <w:pPr>
        <w:spacing w:after="240"/>
        <w:rPr>
          <w:rFonts w:ascii="Arial" w:hAnsi="Arial" w:cs="Arial"/>
        </w:rPr>
      </w:pPr>
      <w:r w:rsidRPr="002D4703">
        <w:rPr>
          <w:rFonts w:ascii="Arial" w:hAnsi="Arial" w:cs="Arial"/>
        </w:rPr>
        <w:t xml:space="preserve">Instructional coaching was a central component of professional learning. Biliteracy coaches, </w:t>
      </w:r>
      <w:r w:rsidR="0039168F">
        <w:rPr>
          <w:rFonts w:ascii="Arial" w:hAnsi="Arial" w:cs="Arial"/>
        </w:rPr>
        <w:t xml:space="preserve">bilingual </w:t>
      </w:r>
      <w:r w:rsidRPr="002D4703">
        <w:rPr>
          <w:rFonts w:ascii="Arial" w:hAnsi="Arial" w:cs="Arial"/>
        </w:rPr>
        <w:t xml:space="preserve">Teachers on Special Assignment (TOSAs), and consultants provided job-embedded support through classroom modeling, co-teaching, lesson planning, and feedback cycles. Teacher leaders facilitated PLCs focused on </w:t>
      </w:r>
      <w:r w:rsidR="0001146E" w:rsidRPr="002D4703">
        <w:rPr>
          <w:rFonts w:ascii="Arial" w:hAnsi="Arial" w:cs="Arial"/>
        </w:rPr>
        <w:t>analyzing student work</w:t>
      </w:r>
      <w:r w:rsidR="007208A1">
        <w:rPr>
          <w:rFonts w:ascii="Arial" w:hAnsi="Arial" w:cs="Arial"/>
        </w:rPr>
        <w:t xml:space="preserve"> as part of formative assessment</w:t>
      </w:r>
      <w:r w:rsidR="0001146E" w:rsidRPr="002D4703">
        <w:rPr>
          <w:rFonts w:ascii="Arial" w:hAnsi="Arial" w:cs="Arial"/>
        </w:rPr>
        <w:t xml:space="preserve">, developing </w:t>
      </w:r>
      <w:r w:rsidR="007208A1">
        <w:rPr>
          <w:rFonts w:ascii="Arial" w:hAnsi="Arial" w:cs="Arial"/>
        </w:rPr>
        <w:t xml:space="preserve">responsive </w:t>
      </w:r>
      <w:r w:rsidR="0001146E" w:rsidRPr="002D4703">
        <w:rPr>
          <w:rFonts w:ascii="Arial" w:hAnsi="Arial" w:cs="Arial"/>
        </w:rPr>
        <w:t>curriculum, and aligning instruction</w:t>
      </w:r>
      <w:r w:rsidR="007208A1">
        <w:rPr>
          <w:rFonts w:ascii="Arial" w:hAnsi="Arial" w:cs="Arial"/>
        </w:rPr>
        <w:t xml:space="preserve"> to </w:t>
      </w:r>
      <w:proofErr w:type="gramStart"/>
      <w:r w:rsidR="007208A1">
        <w:rPr>
          <w:rFonts w:ascii="Arial" w:hAnsi="Arial" w:cs="Arial"/>
        </w:rPr>
        <w:t>student</w:t>
      </w:r>
      <w:proofErr w:type="gramEnd"/>
      <w:r w:rsidR="007208A1">
        <w:rPr>
          <w:rFonts w:ascii="Arial" w:hAnsi="Arial" w:cs="Arial"/>
        </w:rPr>
        <w:t xml:space="preserve"> need</w:t>
      </w:r>
      <w:r w:rsidR="00136458">
        <w:rPr>
          <w:rFonts w:ascii="Arial" w:hAnsi="Arial" w:cs="Arial"/>
        </w:rPr>
        <w:t xml:space="preserve"> to build</w:t>
      </w:r>
      <w:r w:rsidRPr="002D4703">
        <w:rPr>
          <w:rFonts w:ascii="Arial" w:hAnsi="Arial" w:cs="Arial"/>
        </w:rPr>
        <w:t xml:space="preserve"> internal expertise and consistency across sites.</w:t>
      </w:r>
      <w:r w:rsidR="007208A1">
        <w:rPr>
          <w:rFonts w:ascii="Arial" w:hAnsi="Arial" w:cs="Arial"/>
        </w:rPr>
        <w:t xml:space="preserve"> This approach helped fortify biliteracy instructional teams.</w:t>
      </w:r>
    </w:p>
    <w:p w14:paraId="783B22F7" w14:textId="7B93E894" w:rsidR="00E554F1" w:rsidRPr="002D4703" w:rsidRDefault="00E554F1" w:rsidP="00E554F1">
      <w:pPr>
        <w:spacing w:after="240"/>
        <w:rPr>
          <w:rFonts w:ascii="Arial" w:hAnsi="Arial" w:cs="Arial"/>
        </w:rPr>
      </w:pPr>
      <w:r w:rsidRPr="002D4703">
        <w:rPr>
          <w:rFonts w:ascii="Arial" w:hAnsi="Arial" w:cs="Arial"/>
        </w:rPr>
        <w:t xml:space="preserve">Grant funds also supported dedicated collaboration time for curriculum development and alignment. Teachers participated in </w:t>
      </w:r>
      <w:r w:rsidR="007208A1">
        <w:rPr>
          <w:rFonts w:ascii="Arial" w:hAnsi="Arial" w:cs="Arial"/>
        </w:rPr>
        <w:t xml:space="preserve">professional </w:t>
      </w:r>
      <w:r w:rsidRPr="002D4703">
        <w:rPr>
          <w:rFonts w:ascii="Arial" w:hAnsi="Arial" w:cs="Arial"/>
        </w:rPr>
        <w:t xml:space="preserve">release days and summer </w:t>
      </w:r>
      <w:r w:rsidR="007208A1">
        <w:rPr>
          <w:rFonts w:ascii="Arial" w:hAnsi="Arial" w:cs="Arial"/>
        </w:rPr>
        <w:t>collaboration</w:t>
      </w:r>
      <w:r w:rsidR="007208A1" w:rsidRPr="002D4703">
        <w:rPr>
          <w:rFonts w:ascii="Arial" w:hAnsi="Arial" w:cs="Arial"/>
        </w:rPr>
        <w:t xml:space="preserve"> </w:t>
      </w:r>
      <w:r w:rsidRPr="002D4703">
        <w:rPr>
          <w:rFonts w:ascii="Arial" w:hAnsi="Arial" w:cs="Arial"/>
        </w:rPr>
        <w:t>sessions to write biliteracy units, refine pacing guides, develop exemplar lessons, and embed language objectives into content instruction. These opportunities ensured that professional learning directly informed curriculum coherence.</w:t>
      </w:r>
    </w:p>
    <w:p w14:paraId="0FB9450F" w14:textId="0AB1B7EF" w:rsidR="00E554F1" w:rsidRPr="002D4703" w:rsidRDefault="00E554F1" w:rsidP="00E554F1">
      <w:pPr>
        <w:spacing w:after="240"/>
        <w:rPr>
          <w:rFonts w:ascii="Arial" w:hAnsi="Arial" w:cs="Arial"/>
        </w:rPr>
      </w:pPr>
      <w:r w:rsidRPr="002D4703">
        <w:rPr>
          <w:rFonts w:ascii="Arial" w:hAnsi="Arial" w:cs="Arial"/>
        </w:rPr>
        <w:t>Professional learning extended beyond classrooms to strengthen systemwide capacity. Administrators and instructional leaders engaged in training on program design, language allocation, and data use</w:t>
      </w:r>
      <w:r w:rsidR="00136458">
        <w:rPr>
          <w:rFonts w:ascii="Arial" w:hAnsi="Arial" w:cs="Arial"/>
        </w:rPr>
        <w:t xml:space="preserve"> to support </w:t>
      </w:r>
      <w:r w:rsidRPr="002D4703">
        <w:rPr>
          <w:rFonts w:ascii="Arial" w:hAnsi="Arial" w:cs="Arial"/>
        </w:rPr>
        <w:t>shared understanding and consistent implementation of DLI models across grade spans and schools.</w:t>
      </w:r>
    </w:p>
    <w:p w14:paraId="45BB4CB2" w14:textId="77777777" w:rsidR="00E554F1" w:rsidRPr="002D4703" w:rsidRDefault="00E554F1" w:rsidP="009D0E78">
      <w:pPr>
        <w:pStyle w:val="Heading2"/>
      </w:pPr>
      <w:bookmarkStart w:id="13" w:name="_Toc219285943"/>
      <w:r w:rsidRPr="002D4703">
        <w:t>Classroom and School Libraries</w:t>
      </w:r>
      <w:bookmarkEnd w:id="13"/>
    </w:p>
    <w:p w14:paraId="3D7A2FD7" w14:textId="7D91BC85" w:rsidR="00E554F1" w:rsidRPr="002D4703" w:rsidRDefault="00E554F1" w:rsidP="00E554F1">
      <w:pPr>
        <w:spacing w:after="240"/>
        <w:rPr>
          <w:rFonts w:ascii="Arial" w:hAnsi="Arial" w:cs="Arial"/>
        </w:rPr>
      </w:pPr>
      <w:r w:rsidRPr="002D4703">
        <w:rPr>
          <w:rFonts w:ascii="Arial" w:hAnsi="Arial" w:cs="Arial"/>
        </w:rPr>
        <w:t>DLIG funds significantly expanded classroom and school libraries</w:t>
      </w:r>
      <w:r w:rsidR="00136458">
        <w:rPr>
          <w:rFonts w:ascii="Arial" w:hAnsi="Arial" w:cs="Arial"/>
        </w:rPr>
        <w:t xml:space="preserve"> and increased</w:t>
      </w:r>
      <w:r w:rsidRPr="002D4703">
        <w:rPr>
          <w:rFonts w:ascii="Arial" w:hAnsi="Arial" w:cs="Arial"/>
        </w:rPr>
        <w:t xml:space="preserve"> access to high-quality books in English and the partner languages. </w:t>
      </w:r>
      <w:r w:rsidR="009435B2">
        <w:rPr>
          <w:rFonts w:ascii="Arial" w:hAnsi="Arial" w:cs="Arial"/>
        </w:rPr>
        <w:t>Grantees</w:t>
      </w:r>
      <w:r w:rsidRPr="002D4703">
        <w:rPr>
          <w:rFonts w:ascii="Arial" w:hAnsi="Arial" w:cs="Arial"/>
        </w:rPr>
        <w:t xml:space="preserve"> </w:t>
      </w:r>
      <w:r w:rsidRPr="002D4703">
        <w:rPr>
          <w:rFonts w:ascii="Arial" w:hAnsi="Arial" w:cs="Arial"/>
        </w:rPr>
        <w:lastRenderedPageBreak/>
        <w:t xml:space="preserve">purchased leveled readers, culturally relevant literature, and authentic texts in Spanish, Mandarin, Vietnamese, and Korean, </w:t>
      </w:r>
      <w:r w:rsidR="00136458">
        <w:rPr>
          <w:rFonts w:ascii="Arial" w:hAnsi="Arial" w:cs="Arial"/>
        </w:rPr>
        <w:t>which created</w:t>
      </w:r>
      <w:r w:rsidRPr="002D4703">
        <w:rPr>
          <w:rFonts w:ascii="Arial" w:hAnsi="Arial" w:cs="Arial"/>
        </w:rPr>
        <w:t xml:space="preserve"> language-rich environments that supported literacy development and cultural connection</w:t>
      </w:r>
      <w:r w:rsidR="007208A1">
        <w:rPr>
          <w:rFonts w:ascii="Arial" w:hAnsi="Arial" w:cs="Arial"/>
        </w:rPr>
        <w:t xml:space="preserve"> across a range of literacy development</w:t>
      </w:r>
      <w:r w:rsidRPr="002D4703">
        <w:rPr>
          <w:rFonts w:ascii="Arial" w:hAnsi="Arial" w:cs="Arial"/>
        </w:rPr>
        <w:t>.</w:t>
      </w:r>
    </w:p>
    <w:p w14:paraId="138A2985" w14:textId="30772D4B" w:rsidR="00E554F1" w:rsidRPr="002D4703" w:rsidRDefault="00E554F1" w:rsidP="00E554F1">
      <w:pPr>
        <w:spacing w:after="240"/>
        <w:rPr>
          <w:rFonts w:ascii="Arial" w:hAnsi="Arial" w:cs="Arial"/>
        </w:rPr>
      </w:pPr>
      <w:r w:rsidRPr="002D4703">
        <w:rPr>
          <w:rFonts w:ascii="Arial" w:hAnsi="Arial" w:cs="Arial"/>
        </w:rPr>
        <w:t xml:space="preserve">Early-grade classroom libraries were a particular focus. </w:t>
      </w:r>
      <w:r w:rsidR="1FE39D7B" w:rsidRPr="002D4703">
        <w:rPr>
          <w:rFonts w:ascii="Arial" w:hAnsi="Arial" w:cs="Arial"/>
        </w:rPr>
        <w:t>LEAs</w:t>
      </w:r>
      <w:r w:rsidRPr="002D4703">
        <w:rPr>
          <w:rFonts w:ascii="Arial" w:hAnsi="Arial" w:cs="Arial"/>
        </w:rPr>
        <w:t xml:space="preserve"> addressed gaps in materials by purchasing guided reading books, foundational skills resources, and multilingual texts aligned </w:t>
      </w:r>
      <w:r w:rsidR="0001146E" w:rsidRPr="002D4703">
        <w:rPr>
          <w:rFonts w:ascii="Arial" w:hAnsi="Arial" w:cs="Arial"/>
        </w:rPr>
        <w:t>with</w:t>
      </w:r>
      <w:r w:rsidRPr="002D4703">
        <w:rPr>
          <w:rFonts w:ascii="Arial" w:hAnsi="Arial" w:cs="Arial"/>
        </w:rPr>
        <w:t xml:space="preserve"> instructional needs. These additions allowed teachers to better match texts to students’ reading levels and language proficiency</w:t>
      </w:r>
      <w:r w:rsidR="00136458">
        <w:rPr>
          <w:rFonts w:ascii="Arial" w:hAnsi="Arial" w:cs="Arial"/>
        </w:rPr>
        <w:t xml:space="preserve"> to strengthen</w:t>
      </w:r>
      <w:r w:rsidRPr="002D4703">
        <w:rPr>
          <w:rFonts w:ascii="Arial" w:hAnsi="Arial" w:cs="Arial"/>
        </w:rPr>
        <w:t xml:space="preserve"> early literacy and independent reading.</w:t>
      </w:r>
    </w:p>
    <w:p w14:paraId="366781B3" w14:textId="01301B7F" w:rsidR="00E554F1" w:rsidRPr="002D4703" w:rsidRDefault="00E554F1" w:rsidP="00E554F1">
      <w:pPr>
        <w:spacing w:after="240"/>
        <w:rPr>
          <w:rFonts w:ascii="Arial" w:hAnsi="Arial" w:cs="Arial"/>
        </w:rPr>
      </w:pPr>
      <w:r w:rsidRPr="002D4703">
        <w:rPr>
          <w:rFonts w:ascii="Arial" w:hAnsi="Arial" w:cs="Arial"/>
        </w:rPr>
        <w:t xml:space="preserve">Schoolwide libraries were expanded to reflect </w:t>
      </w:r>
      <w:proofErr w:type="gramStart"/>
      <w:r w:rsidRPr="002D4703">
        <w:rPr>
          <w:rFonts w:ascii="Arial" w:hAnsi="Arial" w:cs="Arial"/>
        </w:rPr>
        <w:t>program</w:t>
      </w:r>
      <w:proofErr w:type="gramEnd"/>
      <w:r w:rsidRPr="002D4703">
        <w:rPr>
          <w:rFonts w:ascii="Arial" w:hAnsi="Arial" w:cs="Arial"/>
        </w:rPr>
        <w:t xml:space="preserve"> languages across grade levels. </w:t>
      </w:r>
      <w:r w:rsidR="009435B2">
        <w:rPr>
          <w:rFonts w:ascii="Arial" w:hAnsi="Arial" w:cs="Arial"/>
        </w:rPr>
        <w:t>Grantees</w:t>
      </w:r>
      <w:r w:rsidRPr="002D4703">
        <w:rPr>
          <w:rFonts w:ascii="Arial" w:hAnsi="Arial" w:cs="Arial"/>
        </w:rPr>
        <w:t xml:space="preserve"> added multilingual collections across genres, including nonfiction texts to support content learning and literature that reflected students’ cultures. In many cases, collections grew incrementally as DLI cohorts advanced through higher grades.</w:t>
      </w:r>
    </w:p>
    <w:p w14:paraId="3BE77436" w14:textId="2D9B9135" w:rsidR="00E554F1" w:rsidRPr="002D4703" w:rsidRDefault="00E554F1" w:rsidP="00E554F1">
      <w:pPr>
        <w:spacing w:after="240"/>
        <w:rPr>
          <w:rFonts w:ascii="Arial" w:hAnsi="Arial" w:cs="Arial"/>
        </w:rPr>
      </w:pPr>
      <w:r w:rsidRPr="002D4703">
        <w:rPr>
          <w:rFonts w:ascii="Arial" w:hAnsi="Arial" w:cs="Arial"/>
        </w:rPr>
        <w:t xml:space="preserve">Several </w:t>
      </w:r>
      <w:r w:rsidR="009435B2">
        <w:rPr>
          <w:rFonts w:ascii="Arial" w:hAnsi="Arial" w:cs="Arial"/>
        </w:rPr>
        <w:t>grantees</w:t>
      </w:r>
      <w:r w:rsidRPr="002D4703">
        <w:rPr>
          <w:rFonts w:ascii="Arial" w:hAnsi="Arial" w:cs="Arial"/>
        </w:rPr>
        <w:t xml:space="preserve"> also invested in multilingual digital literacy tools to supplement print collections. These platforms provided differentiated reading opportunities and expanded access to texts beyond </w:t>
      </w:r>
      <w:r w:rsidR="0001146E" w:rsidRPr="002D4703">
        <w:rPr>
          <w:rFonts w:ascii="Arial" w:hAnsi="Arial" w:cs="Arial"/>
        </w:rPr>
        <w:t>the limitations of physical libraries</w:t>
      </w:r>
      <w:r w:rsidR="007208A1">
        <w:rPr>
          <w:rFonts w:ascii="Arial" w:hAnsi="Arial" w:cs="Arial"/>
        </w:rPr>
        <w:t xml:space="preserve"> into the digital space to further expand access</w:t>
      </w:r>
      <w:r w:rsidRPr="002D4703">
        <w:rPr>
          <w:rFonts w:ascii="Arial" w:hAnsi="Arial" w:cs="Arial"/>
        </w:rPr>
        <w:t>. Together, these investments created inclusive literacy environments that supported biliteracy and student engagement.</w:t>
      </w:r>
    </w:p>
    <w:p w14:paraId="048D27C8" w14:textId="77777777" w:rsidR="00E554F1" w:rsidRPr="002D4703" w:rsidRDefault="00E554F1" w:rsidP="009D0E78">
      <w:pPr>
        <w:pStyle w:val="Heading2"/>
      </w:pPr>
      <w:bookmarkStart w:id="14" w:name="_Toc219285944"/>
      <w:r w:rsidRPr="002D4703">
        <w:t>Teacher Recruitment</w:t>
      </w:r>
      <w:bookmarkEnd w:id="14"/>
    </w:p>
    <w:p w14:paraId="33681791" w14:textId="2378C87E" w:rsidR="00E554F1" w:rsidRPr="002D4703" w:rsidRDefault="00E554F1" w:rsidP="00E554F1">
      <w:pPr>
        <w:spacing w:after="240"/>
        <w:rPr>
          <w:rFonts w:ascii="Arial" w:hAnsi="Arial" w:cs="Arial"/>
        </w:rPr>
      </w:pPr>
      <w:r w:rsidRPr="002D4703">
        <w:rPr>
          <w:rFonts w:ascii="Arial" w:hAnsi="Arial" w:cs="Arial"/>
        </w:rPr>
        <w:t>Districts recruited 115 teachers using DLIG funds to support bilingual staffing needs.</w:t>
      </w:r>
      <w:r w:rsidR="00136458">
        <w:rPr>
          <w:rFonts w:ascii="Arial" w:hAnsi="Arial" w:cs="Arial"/>
        </w:rPr>
        <w:t xml:space="preserve"> </w:t>
      </w:r>
      <w:r w:rsidRPr="002D4703">
        <w:rPr>
          <w:rFonts w:ascii="Arial" w:hAnsi="Arial" w:cs="Arial"/>
        </w:rPr>
        <w:t>Funds were used to strengthen recruitment and retention through stipends, release time, paid planning days, and leadership opportunities connected to curriculum development and professional learning. These supports increased the viability and appeal of bilingual teaching positions.</w:t>
      </w:r>
      <w:r w:rsidR="0001146E" w:rsidRPr="002D4703">
        <w:rPr>
          <w:rFonts w:ascii="Arial" w:hAnsi="Arial" w:cs="Arial"/>
        </w:rPr>
        <w:t xml:space="preserve"> </w:t>
      </w:r>
      <w:r w:rsidR="009435B2">
        <w:rPr>
          <w:rFonts w:ascii="Arial" w:hAnsi="Arial" w:cs="Arial"/>
        </w:rPr>
        <w:t>Grantees</w:t>
      </w:r>
      <w:r w:rsidR="55EAD06A" w:rsidRPr="002D4703">
        <w:rPr>
          <w:rFonts w:ascii="Arial" w:hAnsi="Arial" w:cs="Arial"/>
        </w:rPr>
        <w:t xml:space="preserve"> </w:t>
      </w:r>
      <w:r w:rsidRPr="002D4703">
        <w:rPr>
          <w:rFonts w:ascii="Arial" w:hAnsi="Arial" w:cs="Arial"/>
        </w:rPr>
        <w:t>also invested in long-term teacher pipelines by partnering with universities, supporting bilingual authorizations, and implementing grow-your-own initiatives. Despite these efforts, staffing shortages—particularly in Mandarin, Vietnamese, and secondary DLI positions—remained an ongoing challenge.</w:t>
      </w:r>
      <w:r w:rsidR="007208A1">
        <w:rPr>
          <w:rFonts w:ascii="Arial" w:hAnsi="Arial" w:cs="Arial"/>
        </w:rPr>
        <w:t xml:space="preserve"> This is an area of ongoing need statewide as dual language programs continue to grow.</w:t>
      </w:r>
    </w:p>
    <w:p w14:paraId="464A5D78" w14:textId="77777777" w:rsidR="00E554F1" w:rsidRPr="002D4703" w:rsidRDefault="00E554F1" w:rsidP="009D0E78">
      <w:pPr>
        <w:pStyle w:val="Heading2"/>
      </w:pPr>
      <w:bookmarkStart w:id="15" w:name="_Toc219285945"/>
      <w:r w:rsidRPr="002D4703">
        <w:t>Family and Student Outreach</w:t>
      </w:r>
      <w:bookmarkEnd w:id="15"/>
    </w:p>
    <w:p w14:paraId="2DF0A0D5" w14:textId="3E4E9121" w:rsidR="00E554F1" w:rsidRPr="002D4703" w:rsidRDefault="00E554F1" w:rsidP="00E554F1">
      <w:pPr>
        <w:spacing w:after="240"/>
        <w:rPr>
          <w:rFonts w:ascii="Arial" w:hAnsi="Arial" w:cs="Arial"/>
        </w:rPr>
      </w:pPr>
      <w:r w:rsidRPr="002D4703">
        <w:rPr>
          <w:rFonts w:ascii="Arial" w:hAnsi="Arial" w:cs="Arial"/>
        </w:rPr>
        <w:t xml:space="preserve">DLIG funding supported expanded outreach to families and students. </w:t>
      </w:r>
      <w:r w:rsidR="009435B2">
        <w:rPr>
          <w:rFonts w:ascii="Arial" w:hAnsi="Arial" w:cs="Arial"/>
        </w:rPr>
        <w:t>Grantees</w:t>
      </w:r>
      <w:r w:rsidRPr="002D4703">
        <w:rPr>
          <w:rFonts w:ascii="Arial" w:hAnsi="Arial" w:cs="Arial"/>
        </w:rPr>
        <w:t xml:space="preserve"> developed multilingual brochures, banners, videos, websites, and informational materials that clarified program design, benefits, and expectations</w:t>
      </w:r>
      <w:r w:rsidR="00136458">
        <w:rPr>
          <w:rFonts w:ascii="Arial" w:hAnsi="Arial" w:cs="Arial"/>
        </w:rPr>
        <w:t xml:space="preserve"> to improve</w:t>
      </w:r>
      <w:r w:rsidRPr="002D4703">
        <w:rPr>
          <w:rFonts w:ascii="Arial" w:hAnsi="Arial" w:cs="Arial"/>
        </w:rPr>
        <w:t xml:space="preserve"> communication and informed participation.</w:t>
      </w:r>
    </w:p>
    <w:p w14:paraId="0356D5DD" w14:textId="5A9F7439" w:rsidR="00E554F1" w:rsidRPr="002D4703" w:rsidRDefault="00E554F1" w:rsidP="00E554F1">
      <w:pPr>
        <w:spacing w:after="240"/>
        <w:rPr>
          <w:rFonts w:ascii="Arial" w:hAnsi="Arial" w:cs="Arial"/>
        </w:rPr>
      </w:pPr>
      <w:r w:rsidRPr="002D4703">
        <w:rPr>
          <w:rFonts w:ascii="Arial" w:hAnsi="Arial" w:cs="Arial"/>
        </w:rPr>
        <w:t xml:space="preserve">Community engagement activities included </w:t>
      </w:r>
      <w:r w:rsidR="007208A1">
        <w:rPr>
          <w:rFonts w:ascii="Arial" w:hAnsi="Arial" w:cs="Arial"/>
        </w:rPr>
        <w:t>family outreach</w:t>
      </w:r>
      <w:r w:rsidR="00136458">
        <w:rPr>
          <w:rFonts w:ascii="Arial" w:hAnsi="Arial" w:cs="Arial"/>
        </w:rPr>
        <w:t>;</w:t>
      </w:r>
      <w:r w:rsidR="007208A1">
        <w:rPr>
          <w:rFonts w:ascii="Arial" w:hAnsi="Arial" w:cs="Arial"/>
        </w:rPr>
        <w:t xml:space="preserve"> </w:t>
      </w:r>
      <w:r w:rsidRPr="002D4703">
        <w:rPr>
          <w:rFonts w:ascii="Arial" w:hAnsi="Arial" w:cs="Arial"/>
        </w:rPr>
        <w:t>parent information nights</w:t>
      </w:r>
      <w:r w:rsidR="00136458">
        <w:rPr>
          <w:rFonts w:ascii="Arial" w:hAnsi="Arial" w:cs="Arial"/>
        </w:rPr>
        <w:t>;</w:t>
      </w:r>
      <w:r w:rsidRPr="002D4703">
        <w:rPr>
          <w:rFonts w:ascii="Arial" w:hAnsi="Arial" w:cs="Arial"/>
        </w:rPr>
        <w:t xml:space="preserve"> literacy and </w:t>
      </w:r>
      <w:r w:rsidR="003E7F3D">
        <w:rPr>
          <w:rFonts w:ascii="Arial" w:hAnsi="Arial" w:cs="Arial"/>
        </w:rPr>
        <w:t>science, technology, engineering</w:t>
      </w:r>
      <w:r w:rsidR="00136458">
        <w:rPr>
          <w:rFonts w:ascii="Arial" w:hAnsi="Arial" w:cs="Arial"/>
        </w:rPr>
        <w:t>,</w:t>
      </w:r>
      <w:r w:rsidR="003E7F3D">
        <w:rPr>
          <w:rFonts w:ascii="Arial" w:hAnsi="Arial" w:cs="Arial"/>
        </w:rPr>
        <w:t xml:space="preserve"> and mathematics</w:t>
      </w:r>
      <w:r w:rsidRPr="002D4703">
        <w:rPr>
          <w:rFonts w:ascii="Arial" w:hAnsi="Arial" w:cs="Arial"/>
        </w:rPr>
        <w:t xml:space="preserve"> events</w:t>
      </w:r>
      <w:r w:rsidR="00136458">
        <w:rPr>
          <w:rFonts w:ascii="Arial" w:hAnsi="Arial" w:cs="Arial"/>
        </w:rPr>
        <w:t>;</w:t>
      </w:r>
      <w:r w:rsidRPr="002D4703">
        <w:rPr>
          <w:rFonts w:ascii="Arial" w:hAnsi="Arial" w:cs="Arial"/>
        </w:rPr>
        <w:t xml:space="preserve"> </w:t>
      </w:r>
      <w:r w:rsidR="007208A1">
        <w:rPr>
          <w:rFonts w:ascii="Arial" w:hAnsi="Arial" w:cs="Arial"/>
        </w:rPr>
        <w:t>cross-</w:t>
      </w:r>
      <w:r w:rsidRPr="002D4703">
        <w:rPr>
          <w:rFonts w:ascii="Arial" w:hAnsi="Arial" w:cs="Arial"/>
        </w:rPr>
        <w:t>cultural celebrations</w:t>
      </w:r>
      <w:r w:rsidR="00136458">
        <w:rPr>
          <w:rFonts w:ascii="Arial" w:hAnsi="Arial" w:cs="Arial"/>
        </w:rPr>
        <w:t>;</w:t>
      </w:r>
      <w:r w:rsidRPr="002D4703">
        <w:rPr>
          <w:rFonts w:ascii="Arial" w:hAnsi="Arial" w:cs="Arial"/>
        </w:rPr>
        <w:t xml:space="preserve"> and recruitment booths at community gatherings. These </w:t>
      </w:r>
      <w:r w:rsidRPr="002D4703">
        <w:rPr>
          <w:rFonts w:ascii="Arial" w:hAnsi="Arial" w:cs="Arial"/>
        </w:rPr>
        <w:lastRenderedPageBreak/>
        <w:t>efforts increased program visibility and strengthened connections with families new to dual language education.</w:t>
      </w:r>
    </w:p>
    <w:p w14:paraId="3C6833EB" w14:textId="7C06939B" w:rsidR="0035775E" w:rsidRPr="002D4703" w:rsidRDefault="00E554F1" w:rsidP="00A03555">
      <w:pPr>
        <w:spacing w:after="240"/>
        <w:rPr>
          <w:rFonts w:ascii="Arial" w:hAnsi="Arial" w:cs="Arial"/>
          <w:b/>
          <w:bCs/>
        </w:rPr>
      </w:pPr>
      <w:r w:rsidRPr="002D4703">
        <w:rPr>
          <w:rFonts w:ascii="Arial" w:hAnsi="Arial" w:cs="Arial"/>
        </w:rPr>
        <w:t xml:space="preserve">Several </w:t>
      </w:r>
      <w:r w:rsidR="009435B2">
        <w:rPr>
          <w:rFonts w:ascii="Arial" w:hAnsi="Arial" w:cs="Arial"/>
        </w:rPr>
        <w:t>grantees</w:t>
      </w:r>
      <w:r w:rsidRPr="002D4703">
        <w:rPr>
          <w:rFonts w:ascii="Arial" w:hAnsi="Arial" w:cs="Arial"/>
        </w:rPr>
        <w:t xml:space="preserve"> implemented targeted outreach to recruit partner-language speakers and support balanced enrollment in two-way programs. Others offered parent workshops to build understanding of bilingual development and expectations across grade spans</w:t>
      </w:r>
      <w:r w:rsidR="00136458">
        <w:rPr>
          <w:rFonts w:ascii="Arial" w:hAnsi="Arial" w:cs="Arial"/>
        </w:rPr>
        <w:t xml:space="preserve"> and strengthen</w:t>
      </w:r>
      <w:r w:rsidRPr="002D4703">
        <w:rPr>
          <w:rFonts w:ascii="Arial" w:hAnsi="Arial" w:cs="Arial"/>
        </w:rPr>
        <w:t xml:space="preserve"> family engagement and long-term program sustainability.</w:t>
      </w:r>
    </w:p>
    <w:p w14:paraId="7678798D" w14:textId="1ACCC32C" w:rsidR="00431ADB" w:rsidRPr="002D4703" w:rsidRDefault="00431ADB" w:rsidP="009D0E78">
      <w:pPr>
        <w:pStyle w:val="Heading2"/>
      </w:pPr>
      <w:bookmarkStart w:id="16" w:name="_Toc219285946"/>
      <w:r w:rsidRPr="002D4703">
        <w:t>Challenges</w:t>
      </w:r>
      <w:bookmarkEnd w:id="16"/>
    </w:p>
    <w:p w14:paraId="0D673771" w14:textId="73249303" w:rsidR="00405981" w:rsidRDefault="00405981" w:rsidP="006D5CC2">
      <w:pPr>
        <w:spacing w:after="240"/>
        <w:rPr>
          <w:rFonts w:ascii="Arial" w:hAnsi="Arial" w:cs="Arial"/>
        </w:rPr>
      </w:pPr>
      <w:r>
        <w:rPr>
          <w:rFonts w:ascii="Arial" w:hAnsi="Arial" w:cs="Arial"/>
        </w:rPr>
        <w:t xml:space="preserve">One challenge noted early on was the </w:t>
      </w:r>
      <w:r w:rsidR="00771C55">
        <w:rPr>
          <w:rFonts w:ascii="Arial" w:hAnsi="Arial" w:cs="Arial"/>
        </w:rPr>
        <w:t>specific</w:t>
      </w:r>
      <w:r>
        <w:rPr>
          <w:rFonts w:ascii="Arial" w:hAnsi="Arial" w:cs="Arial"/>
        </w:rPr>
        <w:t xml:space="preserve"> focus on </w:t>
      </w:r>
      <w:r w:rsidR="00136458">
        <w:rPr>
          <w:rFonts w:ascii="Arial" w:hAnsi="Arial" w:cs="Arial"/>
        </w:rPr>
        <w:t>DLI</w:t>
      </w:r>
      <w:r>
        <w:rPr>
          <w:rFonts w:ascii="Arial" w:hAnsi="Arial" w:cs="Arial"/>
        </w:rPr>
        <w:t xml:space="preserve"> programs, which limited access to th</w:t>
      </w:r>
      <w:r w:rsidR="009C7D0F">
        <w:rPr>
          <w:rFonts w:ascii="Arial" w:hAnsi="Arial" w:cs="Arial"/>
        </w:rPr>
        <w:t>is</w:t>
      </w:r>
      <w:r>
        <w:rPr>
          <w:rFonts w:ascii="Arial" w:hAnsi="Arial" w:cs="Arial"/>
        </w:rPr>
        <w:t xml:space="preserve"> funding opportunity </w:t>
      </w:r>
      <w:r w:rsidR="009C7D0F">
        <w:rPr>
          <w:rFonts w:ascii="Arial" w:hAnsi="Arial" w:cs="Arial"/>
        </w:rPr>
        <w:t>to</w:t>
      </w:r>
      <w:r>
        <w:rPr>
          <w:rFonts w:ascii="Arial" w:hAnsi="Arial" w:cs="Arial"/>
        </w:rPr>
        <w:t xml:space="preserve"> </w:t>
      </w:r>
      <w:r w:rsidR="009C7D0F">
        <w:rPr>
          <w:rFonts w:ascii="Arial" w:hAnsi="Arial" w:cs="Arial"/>
        </w:rPr>
        <w:t>eligible entities</w:t>
      </w:r>
      <w:r w:rsidR="00771C55">
        <w:rPr>
          <w:rFonts w:ascii="Arial" w:hAnsi="Arial" w:cs="Arial"/>
        </w:rPr>
        <w:t xml:space="preserve"> </w:t>
      </w:r>
      <w:r>
        <w:rPr>
          <w:rFonts w:ascii="Arial" w:hAnsi="Arial" w:cs="Arial"/>
        </w:rPr>
        <w:t xml:space="preserve">strictly </w:t>
      </w:r>
      <w:r w:rsidR="00771C55">
        <w:rPr>
          <w:rFonts w:ascii="Arial" w:hAnsi="Arial" w:cs="Arial"/>
        </w:rPr>
        <w:t xml:space="preserve">pursuing the </w:t>
      </w:r>
      <w:r>
        <w:rPr>
          <w:rFonts w:ascii="Arial" w:hAnsi="Arial" w:cs="Arial"/>
        </w:rPr>
        <w:t xml:space="preserve">DLI program structure. </w:t>
      </w:r>
      <w:r w:rsidR="00771C55">
        <w:rPr>
          <w:rFonts w:ascii="Arial" w:hAnsi="Arial" w:cs="Arial"/>
        </w:rPr>
        <w:t xml:space="preserve">While many variations of effective dual language or multilingual programs exist across the state, not </w:t>
      </w:r>
      <w:r>
        <w:rPr>
          <w:rFonts w:ascii="Arial" w:hAnsi="Arial" w:cs="Arial"/>
        </w:rPr>
        <w:t>all LEAs have the student population</w:t>
      </w:r>
      <w:r w:rsidR="00771C55">
        <w:rPr>
          <w:rFonts w:ascii="Arial" w:hAnsi="Arial" w:cs="Arial"/>
        </w:rPr>
        <w:t>s</w:t>
      </w:r>
      <w:r>
        <w:rPr>
          <w:rFonts w:ascii="Arial" w:hAnsi="Arial" w:cs="Arial"/>
        </w:rPr>
        <w:t xml:space="preserve"> to </w:t>
      </w:r>
      <w:r w:rsidR="00771C55">
        <w:rPr>
          <w:rFonts w:ascii="Arial" w:hAnsi="Arial" w:cs="Arial"/>
        </w:rPr>
        <w:t xml:space="preserve">match the tightly defined DLI model. </w:t>
      </w:r>
      <w:r>
        <w:rPr>
          <w:rFonts w:ascii="Arial" w:hAnsi="Arial" w:cs="Arial"/>
        </w:rPr>
        <w:t xml:space="preserve">It was noted by </w:t>
      </w:r>
      <w:r w:rsidR="009C7D0F">
        <w:rPr>
          <w:rFonts w:ascii="Arial" w:hAnsi="Arial" w:cs="Arial"/>
        </w:rPr>
        <w:t xml:space="preserve">education partners and </w:t>
      </w:r>
      <w:r>
        <w:rPr>
          <w:rFonts w:ascii="Arial" w:hAnsi="Arial" w:cs="Arial"/>
        </w:rPr>
        <w:t>applicants</w:t>
      </w:r>
      <w:r w:rsidR="009C7D0F">
        <w:rPr>
          <w:rFonts w:ascii="Arial" w:hAnsi="Arial" w:cs="Arial"/>
        </w:rPr>
        <w:t xml:space="preserve"> alike</w:t>
      </w:r>
      <w:r>
        <w:rPr>
          <w:rFonts w:ascii="Arial" w:hAnsi="Arial" w:cs="Arial"/>
        </w:rPr>
        <w:t xml:space="preserve"> that various models of dual language programs </w:t>
      </w:r>
      <w:proofErr w:type="gramStart"/>
      <w:r>
        <w:rPr>
          <w:rFonts w:ascii="Arial" w:hAnsi="Arial" w:cs="Arial"/>
        </w:rPr>
        <w:t>are in need of</w:t>
      </w:r>
      <w:proofErr w:type="gramEnd"/>
      <w:r>
        <w:rPr>
          <w:rFonts w:ascii="Arial" w:hAnsi="Arial" w:cs="Arial"/>
        </w:rPr>
        <w:t xml:space="preserve"> investment to grow. </w:t>
      </w:r>
      <w:r w:rsidR="00771C55">
        <w:rPr>
          <w:rFonts w:ascii="Arial" w:hAnsi="Arial" w:cs="Arial"/>
        </w:rPr>
        <w:t>This remains an area of opportunity to explore.</w:t>
      </w:r>
    </w:p>
    <w:p w14:paraId="15F409A3" w14:textId="4F6A5D7B" w:rsidR="006D5CC2" w:rsidRPr="002D4703" w:rsidRDefault="006D5CC2" w:rsidP="006D5CC2">
      <w:pPr>
        <w:spacing w:after="240"/>
        <w:rPr>
          <w:rFonts w:ascii="Arial" w:hAnsi="Arial" w:cs="Arial"/>
        </w:rPr>
      </w:pPr>
      <w:r w:rsidRPr="002D4703">
        <w:rPr>
          <w:rFonts w:ascii="Arial" w:hAnsi="Arial" w:cs="Arial"/>
        </w:rPr>
        <w:t xml:space="preserve">Grantees consistently identified the challenge of expanding DLI programs while maintaining coherence across classrooms, grade levels, and school sites. As programs added grades each year, </w:t>
      </w:r>
      <w:r w:rsidR="20D330BC" w:rsidRPr="002D4703">
        <w:rPr>
          <w:rFonts w:ascii="Arial" w:hAnsi="Arial" w:cs="Arial"/>
        </w:rPr>
        <w:t>LEAs</w:t>
      </w:r>
      <w:r w:rsidRPr="002D4703">
        <w:rPr>
          <w:rFonts w:ascii="Arial" w:hAnsi="Arial" w:cs="Arial"/>
        </w:rPr>
        <w:t xml:space="preserve"> simultaneously developed curriculum, pacing guides, and language allocation plans while onboarding new teachers and supporting existing staff. This pace of growth made it </w:t>
      </w:r>
      <w:r w:rsidR="007208A1">
        <w:rPr>
          <w:rFonts w:ascii="Arial" w:hAnsi="Arial" w:cs="Arial"/>
        </w:rPr>
        <w:t>necessary</w:t>
      </w:r>
      <w:r w:rsidR="007208A1" w:rsidRPr="002D4703">
        <w:rPr>
          <w:rFonts w:ascii="Arial" w:hAnsi="Arial" w:cs="Arial"/>
        </w:rPr>
        <w:t xml:space="preserve"> </w:t>
      </w:r>
      <w:r w:rsidRPr="002D4703">
        <w:rPr>
          <w:rFonts w:ascii="Arial" w:hAnsi="Arial" w:cs="Arial"/>
        </w:rPr>
        <w:t xml:space="preserve">to ensure consistent instructional expectations and alignment, particularly in </w:t>
      </w:r>
      <w:r w:rsidR="5A74AC18" w:rsidRPr="002D4703">
        <w:rPr>
          <w:rFonts w:ascii="Arial" w:hAnsi="Arial" w:cs="Arial"/>
        </w:rPr>
        <w:t>LEAs</w:t>
      </w:r>
      <w:r w:rsidRPr="002D4703">
        <w:rPr>
          <w:rFonts w:ascii="Arial" w:hAnsi="Arial" w:cs="Arial"/>
        </w:rPr>
        <w:t xml:space="preserve"> operating multiple schools or partner-language programs. Several grantees noted that establishing strong vertical alignment</w:t>
      </w:r>
      <w:r w:rsidR="007208A1">
        <w:rPr>
          <w:rFonts w:ascii="Arial" w:hAnsi="Arial" w:cs="Arial"/>
        </w:rPr>
        <w:t xml:space="preserve"> across grade levels</w:t>
      </w:r>
      <w:r w:rsidRPr="002D4703">
        <w:rPr>
          <w:rFonts w:ascii="Arial" w:hAnsi="Arial" w:cs="Arial"/>
        </w:rPr>
        <w:t>—especially during early implementation—required sustained collaboration, multiple revisions, and clear communication among teachers, coaches, and administrators.</w:t>
      </w:r>
    </w:p>
    <w:p w14:paraId="1C9D9B32" w14:textId="31DB2310" w:rsidR="006D5CC2" w:rsidRPr="002D4703" w:rsidRDefault="006D5CC2" w:rsidP="006D5CC2">
      <w:pPr>
        <w:spacing w:after="240"/>
        <w:rPr>
          <w:rFonts w:ascii="Arial" w:hAnsi="Arial" w:cs="Arial"/>
        </w:rPr>
      </w:pPr>
      <w:r w:rsidRPr="002D4703">
        <w:rPr>
          <w:rFonts w:ascii="Arial" w:hAnsi="Arial" w:cs="Arial"/>
        </w:rPr>
        <w:t xml:space="preserve">Recruitment and retention of qualified bilingual educators was another significant challenge. </w:t>
      </w:r>
      <w:r w:rsidR="009435B2">
        <w:rPr>
          <w:rFonts w:ascii="Arial" w:hAnsi="Arial" w:cs="Arial"/>
        </w:rPr>
        <w:t>Grantees</w:t>
      </w:r>
      <w:r w:rsidR="009435B2" w:rsidRPr="002D4703">
        <w:rPr>
          <w:rFonts w:ascii="Arial" w:hAnsi="Arial" w:cs="Arial"/>
        </w:rPr>
        <w:t xml:space="preserve"> </w:t>
      </w:r>
      <w:r w:rsidRPr="002D4703">
        <w:rPr>
          <w:rFonts w:ascii="Arial" w:hAnsi="Arial" w:cs="Arial"/>
        </w:rPr>
        <w:t xml:space="preserve">often struggled to find </w:t>
      </w:r>
      <w:r w:rsidR="00576FEE" w:rsidRPr="002D4703">
        <w:rPr>
          <w:rFonts w:ascii="Arial" w:hAnsi="Arial" w:cs="Arial"/>
        </w:rPr>
        <w:t>fully credentialed teachers who were proficient in the partner language</w:t>
      </w:r>
      <w:r w:rsidRPr="002D4703">
        <w:rPr>
          <w:rFonts w:ascii="Arial" w:hAnsi="Arial" w:cs="Arial"/>
        </w:rPr>
        <w:t xml:space="preserve"> and prepared to teach within a dual language model. In some cases, staffing was available for one language strand but not another, </w:t>
      </w:r>
      <w:r w:rsidR="00136458">
        <w:rPr>
          <w:rFonts w:ascii="Arial" w:hAnsi="Arial" w:cs="Arial"/>
        </w:rPr>
        <w:t>which resulted</w:t>
      </w:r>
      <w:r w:rsidRPr="002D4703">
        <w:rPr>
          <w:rFonts w:ascii="Arial" w:hAnsi="Arial" w:cs="Arial"/>
        </w:rPr>
        <w:t xml:space="preserve"> in uneven program capacity. Grantees also described limited internal leadership, including shortages of teacher leaders, instructional coaches, and </w:t>
      </w:r>
      <w:r w:rsidR="71F2E3FA" w:rsidRPr="002D4703">
        <w:rPr>
          <w:rFonts w:ascii="Arial" w:hAnsi="Arial" w:cs="Arial"/>
        </w:rPr>
        <w:t>TOSAs</w:t>
      </w:r>
      <w:r w:rsidRPr="002D4703">
        <w:rPr>
          <w:rFonts w:ascii="Arial" w:hAnsi="Arial" w:cs="Arial"/>
        </w:rPr>
        <w:t xml:space="preserve"> who could support curriculum development and mentor new staff. Where local expertise was still developing, </w:t>
      </w:r>
      <w:r w:rsidR="2FA843D3" w:rsidRPr="002D4703">
        <w:rPr>
          <w:rFonts w:ascii="Arial" w:hAnsi="Arial" w:cs="Arial"/>
        </w:rPr>
        <w:t>LEAs</w:t>
      </w:r>
      <w:r w:rsidRPr="002D4703">
        <w:rPr>
          <w:rFonts w:ascii="Arial" w:hAnsi="Arial" w:cs="Arial"/>
        </w:rPr>
        <w:t xml:space="preserve"> relied on new professional learning structures or external consultants to meet instructional needs.</w:t>
      </w:r>
    </w:p>
    <w:p w14:paraId="68B567D6" w14:textId="3EDCF335" w:rsidR="006D5CC2" w:rsidRPr="002D4703" w:rsidRDefault="006D5CC2" w:rsidP="006D5CC2">
      <w:pPr>
        <w:spacing w:after="240"/>
        <w:rPr>
          <w:rFonts w:ascii="Arial" w:hAnsi="Arial" w:cs="Arial"/>
        </w:rPr>
      </w:pPr>
      <w:r w:rsidRPr="002D4703">
        <w:rPr>
          <w:rFonts w:ascii="Arial" w:hAnsi="Arial" w:cs="Arial"/>
        </w:rPr>
        <w:t>Curriculum development posed additional difficulties</w:t>
      </w:r>
      <w:r w:rsidR="00405981">
        <w:rPr>
          <w:rFonts w:ascii="Arial" w:hAnsi="Arial" w:cs="Arial"/>
        </w:rPr>
        <w:t xml:space="preserve"> for some</w:t>
      </w:r>
      <w:r w:rsidRPr="002D4703">
        <w:rPr>
          <w:rFonts w:ascii="Arial" w:hAnsi="Arial" w:cs="Arial"/>
        </w:rPr>
        <w:t xml:space="preserve">. Many grantees reported limited availability of high-quality, standards-aligned materials in the partner language, particularly at certain grade levels. Spanish programs often encountered materials that were direct translations of English curricula and lacked cultural or linguistic authenticity while programs in Mandarin, Vietnamese, and Korean faced even greater gaps. In these contexts, teachers were required to design units, </w:t>
      </w:r>
      <w:r w:rsidRPr="002D4703">
        <w:rPr>
          <w:rFonts w:ascii="Arial" w:hAnsi="Arial" w:cs="Arial"/>
        </w:rPr>
        <w:lastRenderedPageBreak/>
        <w:t xml:space="preserve">lessons, and assessments, </w:t>
      </w:r>
      <w:r w:rsidR="00576FEE" w:rsidRPr="002D4703">
        <w:rPr>
          <w:rFonts w:ascii="Arial" w:hAnsi="Arial" w:cs="Arial"/>
        </w:rPr>
        <w:t>which increased their workload and necessitated</w:t>
      </w:r>
      <w:r w:rsidRPr="002D4703">
        <w:rPr>
          <w:rFonts w:ascii="Arial" w:hAnsi="Arial" w:cs="Arial"/>
        </w:rPr>
        <w:t xml:space="preserve"> additional collaboration time, coaching, and summer work sessions.</w:t>
      </w:r>
    </w:p>
    <w:p w14:paraId="07291A0D" w14:textId="76B00425" w:rsidR="0035775E" w:rsidRPr="00A03555" w:rsidRDefault="006D5CC2" w:rsidP="004C01EE">
      <w:pPr>
        <w:spacing w:after="240"/>
        <w:rPr>
          <w:rFonts w:ascii="Arial" w:hAnsi="Arial" w:cs="Arial"/>
        </w:rPr>
      </w:pPr>
      <w:r w:rsidRPr="002D4703">
        <w:rPr>
          <w:rFonts w:ascii="Arial" w:hAnsi="Arial" w:cs="Arial"/>
        </w:rPr>
        <w:t>Grantees also faced operational and system-level challenges. Ongoing family communication was needed to explain DLI models, enrollment expectations, and the long-term benefits of bilingualism</w:t>
      </w:r>
      <w:r w:rsidR="004C01EE">
        <w:rPr>
          <w:rFonts w:ascii="Arial" w:hAnsi="Arial" w:cs="Arial"/>
        </w:rPr>
        <w:t>—</w:t>
      </w:r>
      <w:r w:rsidRPr="002D4703">
        <w:rPr>
          <w:rFonts w:ascii="Arial" w:hAnsi="Arial" w:cs="Arial"/>
        </w:rPr>
        <w:t>especially in communities new to dual language education. Some</w:t>
      </w:r>
      <w:r w:rsidR="00A03555">
        <w:rPr>
          <w:rFonts w:ascii="Arial" w:hAnsi="Arial" w:cs="Arial"/>
        </w:rPr>
        <w:t xml:space="preserve"> </w:t>
      </w:r>
      <w:r w:rsidR="009435B2">
        <w:rPr>
          <w:rFonts w:ascii="Arial" w:hAnsi="Arial" w:cs="Arial"/>
        </w:rPr>
        <w:t>grantees</w:t>
      </w:r>
      <w:r w:rsidRPr="002D4703">
        <w:rPr>
          <w:rFonts w:ascii="Arial" w:hAnsi="Arial" w:cs="Arial"/>
        </w:rPr>
        <w:t xml:space="preserve"> worked intentionally to increase enrollment of partner-language speakers to support balanced two-way programs. At the system level, managing new instructional materials, integrating digital tools, coordinating substitute coverage for professional learning, and aligning assessment practices across languages </w:t>
      </w:r>
      <w:proofErr w:type="gramStart"/>
      <w:r w:rsidRPr="002D4703">
        <w:rPr>
          <w:rFonts w:ascii="Arial" w:hAnsi="Arial" w:cs="Arial"/>
        </w:rPr>
        <w:t>placed</w:t>
      </w:r>
      <w:proofErr w:type="gramEnd"/>
      <w:r w:rsidRPr="002D4703">
        <w:rPr>
          <w:rFonts w:ascii="Arial" w:hAnsi="Arial" w:cs="Arial"/>
        </w:rPr>
        <w:t xml:space="preserve"> additional demands on district capacity. Despite these challenges, grantees emphasized that DLIG funding enabled them to address early implementation hurdles, </w:t>
      </w:r>
      <w:r w:rsidR="004C01EE">
        <w:rPr>
          <w:rFonts w:ascii="Arial" w:hAnsi="Arial" w:cs="Arial"/>
        </w:rPr>
        <w:t>which resulted</w:t>
      </w:r>
      <w:r w:rsidRPr="002D4703">
        <w:rPr>
          <w:rFonts w:ascii="Arial" w:hAnsi="Arial" w:cs="Arial"/>
        </w:rPr>
        <w:t xml:space="preserve"> in stronger systems, clearer structures, and improved program coherence over time.</w:t>
      </w:r>
    </w:p>
    <w:p w14:paraId="15318F93" w14:textId="049C9C69" w:rsidR="00431ADB" w:rsidRPr="002D4703" w:rsidRDefault="00CD3DA5" w:rsidP="009D0E78">
      <w:pPr>
        <w:pStyle w:val="Heading2"/>
      </w:pPr>
      <w:bookmarkStart w:id="17" w:name="_Toc219285947"/>
      <w:r w:rsidRPr="002D4703">
        <w:t xml:space="preserve">Grantee </w:t>
      </w:r>
      <w:r w:rsidR="00431ADB" w:rsidRPr="002D4703">
        <w:t>Next Steps</w:t>
      </w:r>
      <w:bookmarkEnd w:id="17"/>
    </w:p>
    <w:p w14:paraId="2E58204B" w14:textId="7DAA7192" w:rsidR="0092152A" w:rsidRPr="002D4703" w:rsidRDefault="0092152A" w:rsidP="00B26642">
      <w:pPr>
        <w:spacing w:after="240"/>
        <w:rPr>
          <w:rFonts w:ascii="Arial" w:hAnsi="Arial" w:cs="Arial"/>
        </w:rPr>
      </w:pPr>
      <w:bookmarkStart w:id="18" w:name="_Toc55478428"/>
      <w:r w:rsidRPr="002D4703">
        <w:rPr>
          <w:rFonts w:ascii="Arial" w:hAnsi="Arial" w:cs="Arial"/>
        </w:rPr>
        <w:t xml:space="preserve">Across </w:t>
      </w:r>
      <w:r w:rsidR="573958E9" w:rsidRPr="002D4703">
        <w:rPr>
          <w:rFonts w:ascii="Arial" w:hAnsi="Arial" w:cs="Arial"/>
        </w:rPr>
        <w:t>LEAs</w:t>
      </w:r>
      <w:r w:rsidRPr="002D4703">
        <w:rPr>
          <w:rFonts w:ascii="Arial" w:hAnsi="Arial" w:cs="Arial"/>
        </w:rPr>
        <w:t>, a major next step is to continue strengthening curriculum and instructional alignment as programs grow. Grantees plan to refine and expand biliteracy units</w:t>
      </w:r>
      <w:r w:rsidR="004C01EE">
        <w:rPr>
          <w:rFonts w:ascii="Arial" w:hAnsi="Arial" w:cs="Arial"/>
        </w:rPr>
        <w:t>;</w:t>
      </w:r>
      <w:r w:rsidRPr="002D4703">
        <w:rPr>
          <w:rFonts w:ascii="Arial" w:hAnsi="Arial" w:cs="Arial"/>
        </w:rPr>
        <w:t xml:space="preserve"> update pacing guides</w:t>
      </w:r>
      <w:r w:rsidR="004C01EE">
        <w:rPr>
          <w:rFonts w:ascii="Arial" w:hAnsi="Arial" w:cs="Arial"/>
        </w:rPr>
        <w:t>;</w:t>
      </w:r>
      <w:r w:rsidRPr="002D4703">
        <w:rPr>
          <w:rFonts w:ascii="Arial" w:hAnsi="Arial" w:cs="Arial"/>
        </w:rPr>
        <w:t xml:space="preserve"> and deepen alignment between curriculum, assessments, and language allocation </w:t>
      </w:r>
      <w:r w:rsidRPr="0011616E">
        <w:rPr>
          <w:rFonts w:ascii="Arial" w:hAnsi="Arial" w:cs="Arial"/>
        </w:rPr>
        <w:t>plans</w:t>
      </w:r>
      <w:r w:rsidR="0071265A" w:rsidRPr="0011616E">
        <w:rPr>
          <w:rFonts w:ascii="Arial" w:hAnsi="Arial" w:cs="Arial"/>
        </w:rPr>
        <w:t xml:space="preserve"> to set the percentage of time dedicated to each language of instruction (i.e.</w:t>
      </w:r>
      <w:r w:rsidR="0011616E" w:rsidRPr="0011616E">
        <w:rPr>
          <w:rFonts w:ascii="Arial" w:hAnsi="Arial" w:cs="Arial"/>
        </w:rPr>
        <w:t>,</w:t>
      </w:r>
      <w:r w:rsidR="0071265A" w:rsidRPr="0011616E">
        <w:rPr>
          <w:rFonts w:ascii="Arial" w:hAnsi="Arial" w:cs="Arial"/>
        </w:rPr>
        <w:t xml:space="preserve"> </w:t>
      </w:r>
      <w:r w:rsidR="0011616E" w:rsidRPr="0011616E">
        <w:rPr>
          <w:rFonts w:ascii="Arial" w:hAnsi="Arial" w:cs="Arial"/>
        </w:rPr>
        <w:t>5</w:t>
      </w:r>
      <w:r w:rsidR="0071265A" w:rsidRPr="0011616E">
        <w:rPr>
          <w:rFonts w:ascii="Arial" w:hAnsi="Arial" w:cs="Arial"/>
        </w:rPr>
        <w:t>0 percent Spanish/</w:t>
      </w:r>
      <w:r w:rsidR="0011616E" w:rsidRPr="0011616E">
        <w:rPr>
          <w:rFonts w:ascii="Arial" w:hAnsi="Arial" w:cs="Arial"/>
        </w:rPr>
        <w:t>5</w:t>
      </w:r>
      <w:r w:rsidR="0071265A" w:rsidRPr="0011616E">
        <w:rPr>
          <w:rFonts w:ascii="Arial" w:hAnsi="Arial" w:cs="Arial"/>
        </w:rPr>
        <w:t>0 percent English)</w:t>
      </w:r>
      <w:r w:rsidRPr="0011616E">
        <w:rPr>
          <w:rFonts w:ascii="Arial" w:hAnsi="Arial" w:cs="Arial"/>
        </w:rPr>
        <w:t>.</w:t>
      </w:r>
      <w:r w:rsidRPr="002D4703">
        <w:rPr>
          <w:rFonts w:ascii="Arial" w:hAnsi="Arial" w:cs="Arial"/>
        </w:rPr>
        <w:t xml:space="preserve"> Many </w:t>
      </w:r>
      <w:r w:rsidR="09280345" w:rsidRPr="002D4703">
        <w:rPr>
          <w:rFonts w:ascii="Arial" w:hAnsi="Arial" w:cs="Arial"/>
        </w:rPr>
        <w:t>LEAs</w:t>
      </w:r>
      <w:r w:rsidRPr="002D4703">
        <w:rPr>
          <w:rFonts w:ascii="Arial" w:hAnsi="Arial" w:cs="Arial"/>
        </w:rPr>
        <w:t xml:space="preserve"> noted that their initial development work laid a strong </w:t>
      </w:r>
      <w:proofErr w:type="gramStart"/>
      <w:r w:rsidRPr="002D4703">
        <w:rPr>
          <w:rFonts w:ascii="Arial" w:hAnsi="Arial" w:cs="Arial"/>
        </w:rPr>
        <w:t>foundation</w:t>
      </w:r>
      <w:proofErr w:type="gramEnd"/>
      <w:r w:rsidRPr="002D4703">
        <w:rPr>
          <w:rFonts w:ascii="Arial" w:hAnsi="Arial" w:cs="Arial"/>
        </w:rPr>
        <w:t xml:space="preserve"> but continued refinement is needed as new grade levels are added or new partner languages expand. Several grantees also intend to increase the use of authentic texts, improve cross-linguistic connections in units of study, and ensure materials are high-quality and appropriate for each language of instruction.</w:t>
      </w:r>
    </w:p>
    <w:p w14:paraId="05DB9CCA" w14:textId="7601BEF8" w:rsidR="0092152A" w:rsidRPr="002D4703" w:rsidRDefault="0092152A" w:rsidP="00B26642">
      <w:pPr>
        <w:spacing w:after="240"/>
        <w:rPr>
          <w:rFonts w:ascii="Arial" w:hAnsi="Arial" w:cs="Arial"/>
        </w:rPr>
      </w:pPr>
      <w:r w:rsidRPr="002D4703">
        <w:rPr>
          <w:rFonts w:ascii="Arial" w:hAnsi="Arial" w:cs="Arial"/>
        </w:rPr>
        <w:t xml:space="preserve">Another priority moving forward is building sustained professional learning and internal leadership capacity. </w:t>
      </w:r>
      <w:r w:rsidR="01739C77" w:rsidRPr="002D4703">
        <w:rPr>
          <w:rFonts w:ascii="Arial" w:hAnsi="Arial" w:cs="Arial"/>
        </w:rPr>
        <w:t>LEAs</w:t>
      </w:r>
      <w:r w:rsidRPr="002D4703">
        <w:rPr>
          <w:rFonts w:ascii="Arial" w:hAnsi="Arial" w:cs="Arial"/>
        </w:rPr>
        <w:t xml:space="preserve"> plan to deepen training in biliteracy strategies, language development, and content instruction delivered through the partner language. Many are working to strengthen teacher leadership pipelines so that instructional coaches, TOSAs, and grade-level leaders can support new teachers as programs grow. Ongoing coaching, professional learning communities, and articulation meetings will continue to be central structures for maintaining program coherence and improving instruction over time.</w:t>
      </w:r>
    </w:p>
    <w:p w14:paraId="551AA60E" w14:textId="4FA24E65" w:rsidR="0092152A" w:rsidRPr="002D4703" w:rsidRDefault="0092152A" w:rsidP="00B26642">
      <w:pPr>
        <w:spacing w:after="240"/>
        <w:rPr>
          <w:rFonts w:ascii="Arial" w:hAnsi="Arial" w:cs="Arial"/>
        </w:rPr>
      </w:pPr>
      <w:r w:rsidRPr="002D4703">
        <w:rPr>
          <w:rFonts w:ascii="Arial" w:hAnsi="Arial" w:cs="Arial"/>
        </w:rPr>
        <w:t xml:space="preserve">Grantees also identified the need to strengthen recruitment and retention of bilingual educators. As many </w:t>
      </w:r>
      <w:r w:rsidR="39BA3B1C" w:rsidRPr="002D4703">
        <w:rPr>
          <w:rFonts w:ascii="Arial" w:hAnsi="Arial" w:cs="Arial"/>
        </w:rPr>
        <w:t>LEAs</w:t>
      </w:r>
      <w:r w:rsidRPr="002D4703">
        <w:rPr>
          <w:rFonts w:ascii="Arial" w:hAnsi="Arial" w:cs="Arial"/>
        </w:rPr>
        <w:t xml:space="preserve"> continue </w:t>
      </w:r>
      <w:r w:rsidR="00576FEE" w:rsidRPr="002D4703">
        <w:rPr>
          <w:rFonts w:ascii="Arial" w:hAnsi="Arial" w:cs="Arial"/>
        </w:rPr>
        <w:t>to expand DLI into upper elementary, middle, and high school</w:t>
      </w:r>
      <w:r w:rsidR="004C01EE">
        <w:rPr>
          <w:rFonts w:ascii="Arial" w:hAnsi="Arial" w:cs="Arial"/>
        </w:rPr>
        <w:t xml:space="preserve"> grades</w:t>
      </w:r>
      <w:r w:rsidR="00576FEE" w:rsidRPr="002D4703">
        <w:rPr>
          <w:rFonts w:ascii="Arial" w:hAnsi="Arial" w:cs="Arial"/>
        </w:rPr>
        <w:t>, they anticipate shortages of</w:t>
      </w:r>
      <w:r w:rsidRPr="002D4703">
        <w:rPr>
          <w:rFonts w:ascii="Arial" w:hAnsi="Arial" w:cs="Arial"/>
        </w:rPr>
        <w:t xml:space="preserve"> qualified bilingual teachers across content areas. Next steps include developing stronger partnerships with teacher preparation programs, improving mentoring structures for new bilingual teachers, creating clearer pathways for paraprofessionals and substitute teachers to enter credentialing programs</w:t>
      </w:r>
      <w:r w:rsidR="00405981">
        <w:rPr>
          <w:rFonts w:ascii="Arial" w:hAnsi="Arial" w:cs="Arial"/>
        </w:rPr>
        <w:t>, and refining grow-your-own efforts to engage graduates who have earned the State Seal of Biliteracy with the possibilit</w:t>
      </w:r>
      <w:r w:rsidR="004C01EE">
        <w:rPr>
          <w:rFonts w:ascii="Arial" w:hAnsi="Arial" w:cs="Arial"/>
        </w:rPr>
        <w:t>y</w:t>
      </w:r>
      <w:r w:rsidR="00405981">
        <w:rPr>
          <w:rFonts w:ascii="Arial" w:hAnsi="Arial" w:cs="Arial"/>
        </w:rPr>
        <w:t xml:space="preserve"> of careers in multilingual education</w:t>
      </w:r>
      <w:r w:rsidRPr="002D4703">
        <w:rPr>
          <w:rFonts w:ascii="Arial" w:hAnsi="Arial" w:cs="Arial"/>
        </w:rPr>
        <w:t xml:space="preserve">. Some </w:t>
      </w:r>
      <w:r w:rsidR="009435B2">
        <w:rPr>
          <w:rFonts w:ascii="Arial" w:hAnsi="Arial" w:cs="Arial"/>
        </w:rPr>
        <w:t>grantees</w:t>
      </w:r>
      <w:r w:rsidR="009435B2" w:rsidRPr="002D4703">
        <w:rPr>
          <w:rFonts w:ascii="Arial" w:hAnsi="Arial" w:cs="Arial"/>
        </w:rPr>
        <w:t xml:space="preserve"> </w:t>
      </w:r>
      <w:r w:rsidRPr="002D4703">
        <w:rPr>
          <w:rFonts w:ascii="Arial" w:hAnsi="Arial" w:cs="Arial"/>
        </w:rPr>
        <w:t xml:space="preserve">also plan to invest in additional training for </w:t>
      </w:r>
      <w:r w:rsidRPr="002D4703">
        <w:rPr>
          <w:rFonts w:ascii="Arial" w:hAnsi="Arial" w:cs="Arial"/>
        </w:rPr>
        <w:lastRenderedPageBreak/>
        <w:t xml:space="preserve">secondary-level teachers, where content knowledge and </w:t>
      </w:r>
      <w:r w:rsidR="00F05218" w:rsidRPr="002D4703">
        <w:rPr>
          <w:rFonts w:ascii="Arial" w:hAnsi="Arial" w:cs="Arial"/>
        </w:rPr>
        <w:t xml:space="preserve">partner </w:t>
      </w:r>
      <w:r w:rsidRPr="002D4703">
        <w:rPr>
          <w:rFonts w:ascii="Arial" w:hAnsi="Arial" w:cs="Arial"/>
        </w:rPr>
        <w:t>language proficiency must be developed simultaneously.</w:t>
      </w:r>
    </w:p>
    <w:p w14:paraId="0AE89849" w14:textId="65B94A17" w:rsidR="00FD73CB" w:rsidRPr="00A03555" w:rsidRDefault="0092152A" w:rsidP="00A03555">
      <w:pPr>
        <w:spacing w:after="240"/>
        <w:rPr>
          <w:rFonts w:ascii="Arial" w:hAnsi="Arial" w:cs="Arial"/>
        </w:rPr>
      </w:pPr>
      <w:r w:rsidRPr="002D4703">
        <w:rPr>
          <w:rFonts w:ascii="Arial" w:hAnsi="Arial" w:cs="Arial"/>
        </w:rPr>
        <w:t xml:space="preserve">Finally, </w:t>
      </w:r>
      <w:r w:rsidR="009435B2">
        <w:rPr>
          <w:rFonts w:ascii="Arial" w:hAnsi="Arial" w:cs="Arial"/>
        </w:rPr>
        <w:t>grantees</w:t>
      </w:r>
      <w:r w:rsidR="009435B2" w:rsidRPr="002D4703">
        <w:rPr>
          <w:rFonts w:ascii="Arial" w:hAnsi="Arial" w:cs="Arial"/>
        </w:rPr>
        <w:t xml:space="preserve"> </w:t>
      </w:r>
      <w:r w:rsidRPr="002D4703">
        <w:rPr>
          <w:rFonts w:ascii="Arial" w:hAnsi="Arial" w:cs="Arial"/>
        </w:rPr>
        <w:t>emphasized the importance of deeper family and community engagement as programs mature. Next steps include improving communication about program goals, expanding outreach to families of partner-language speakers, and developing clearer tools for explaining biliteracy pathways and student progress. Several grantees also plan to strengthen cross-site collaboration, build more sustainable systems for data collection, and continue advocating for resources that support multilingual learners. Together, these next steps reflect a commitment to long-term program quality, stronger instructional systems, and increased access to high-quality dual language education.</w:t>
      </w:r>
    </w:p>
    <w:p w14:paraId="4B9D474A" w14:textId="7C585315" w:rsidR="0092152A" w:rsidRPr="002D4703" w:rsidRDefault="00C878F6" w:rsidP="009D0E78">
      <w:pPr>
        <w:pStyle w:val="Heading2"/>
      </w:pPr>
      <w:bookmarkStart w:id="19" w:name="_Toc219285948"/>
      <w:r>
        <w:t xml:space="preserve">Grantee </w:t>
      </w:r>
      <w:r w:rsidR="0092152A">
        <w:t>Recommendations for LEAs Planning to Implement a DLI Program</w:t>
      </w:r>
      <w:bookmarkEnd w:id="19"/>
    </w:p>
    <w:p w14:paraId="723BB30C" w14:textId="475AAF91" w:rsidR="667DEB64" w:rsidRPr="002D4703" w:rsidRDefault="667DEB64" w:rsidP="002D4703">
      <w:pPr>
        <w:spacing w:after="240"/>
        <w:rPr>
          <w:rFonts w:eastAsia="Arial"/>
        </w:rPr>
      </w:pPr>
      <w:r w:rsidRPr="002D4703">
        <w:rPr>
          <w:rFonts w:ascii="Arial" w:eastAsia="Arial" w:hAnsi="Arial" w:cs="Arial"/>
        </w:rPr>
        <w:t xml:space="preserve">The 27 </w:t>
      </w:r>
      <w:r w:rsidR="57AFFC33" w:rsidRPr="002D4703">
        <w:rPr>
          <w:rFonts w:ascii="Arial" w:eastAsia="Arial" w:hAnsi="Arial" w:cs="Arial"/>
        </w:rPr>
        <w:t xml:space="preserve">DLIG </w:t>
      </w:r>
      <w:r w:rsidRPr="002D4703">
        <w:rPr>
          <w:rFonts w:ascii="Arial" w:eastAsia="Arial" w:hAnsi="Arial" w:cs="Arial"/>
        </w:rPr>
        <w:t>grantees were asked to provide a series of recommendations</w:t>
      </w:r>
      <w:r w:rsidR="1EDF2171" w:rsidRPr="002D4703">
        <w:rPr>
          <w:rFonts w:ascii="Arial" w:eastAsia="Arial" w:hAnsi="Arial" w:cs="Arial"/>
        </w:rPr>
        <w:t xml:space="preserve"> based on their experience with establishing and expanding DLI programs. They recommended the following ac</w:t>
      </w:r>
      <w:r w:rsidR="7102045B" w:rsidRPr="002D4703">
        <w:rPr>
          <w:rFonts w:ascii="Arial" w:eastAsia="Arial" w:hAnsi="Arial" w:cs="Arial"/>
        </w:rPr>
        <w:t>tions:</w:t>
      </w:r>
    </w:p>
    <w:p w14:paraId="66725F51" w14:textId="47CF96B5" w:rsidR="000B4BC0" w:rsidRPr="005808B8" w:rsidRDefault="0092152A" w:rsidP="00F8564E">
      <w:pPr>
        <w:spacing w:after="240"/>
        <w:rPr>
          <w:rFonts w:ascii="Arial" w:hAnsi="Arial" w:cs="Arial"/>
        </w:rPr>
      </w:pPr>
      <w:r w:rsidRPr="00F8564E">
        <w:rPr>
          <w:rFonts w:ascii="Arial" w:hAnsi="Arial" w:cs="Arial"/>
          <w:b/>
          <w:bCs/>
        </w:rPr>
        <w:t>Establish a clear program vision and language allocation plan from the outset</w:t>
      </w:r>
      <w:r w:rsidR="004C01EE">
        <w:rPr>
          <w:rFonts w:ascii="Arial" w:hAnsi="Arial" w:cs="Arial"/>
          <w:b/>
          <w:bCs/>
        </w:rPr>
        <w:t xml:space="preserve">: </w:t>
      </w:r>
      <w:r w:rsidR="25F78D21" w:rsidRPr="005808B8">
        <w:rPr>
          <w:rFonts w:ascii="Arial" w:hAnsi="Arial" w:cs="Arial"/>
        </w:rPr>
        <w:t>LEAs</w:t>
      </w:r>
      <w:r w:rsidRPr="005808B8">
        <w:rPr>
          <w:rFonts w:ascii="Arial" w:hAnsi="Arial" w:cs="Arial"/>
        </w:rPr>
        <w:t xml:space="preserve"> should define the goals, structure, and </w:t>
      </w:r>
      <w:r w:rsidR="11592552" w:rsidRPr="005808B8">
        <w:rPr>
          <w:rFonts w:ascii="Arial" w:hAnsi="Arial" w:cs="Arial"/>
        </w:rPr>
        <w:t xml:space="preserve">the </w:t>
      </w:r>
      <w:r w:rsidRPr="005808B8">
        <w:rPr>
          <w:rFonts w:ascii="Arial" w:hAnsi="Arial" w:cs="Arial"/>
        </w:rPr>
        <w:t>long-term pathway of the DLI program before implementation. Grantees emphasized that early clarity around language allocation</w:t>
      </w:r>
      <w:r w:rsidR="00AD7CF2" w:rsidRPr="005808B8">
        <w:rPr>
          <w:rFonts w:ascii="Arial" w:hAnsi="Arial" w:cs="Arial"/>
        </w:rPr>
        <w:t xml:space="preserve"> for instruction</w:t>
      </w:r>
      <w:r w:rsidRPr="005808B8">
        <w:rPr>
          <w:rFonts w:ascii="Arial" w:hAnsi="Arial" w:cs="Arial"/>
        </w:rPr>
        <w:t>, curriculum expectations, and grade-level expansion helps maintain consistency and prevents confusion as the program grows.</w:t>
      </w:r>
      <w:r w:rsidR="00F8564E">
        <w:rPr>
          <w:rFonts w:ascii="Arial" w:hAnsi="Arial" w:cs="Arial"/>
        </w:rPr>
        <w:t xml:space="preserve"> </w:t>
      </w:r>
      <w:r w:rsidR="000B4BC0" w:rsidRPr="005808B8">
        <w:rPr>
          <w:rFonts w:ascii="Arial" w:hAnsi="Arial" w:cs="Arial"/>
          <w:b/>
          <w:bCs/>
        </w:rPr>
        <w:t>Why this matters:</w:t>
      </w:r>
      <w:r w:rsidR="000B4BC0" w:rsidRPr="005808B8">
        <w:rPr>
          <w:rFonts w:ascii="Arial" w:hAnsi="Arial" w:cs="Arial"/>
        </w:rPr>
        <w:t xml:space="preserve"> A clearly articulated vision and language plan serve as the foundation for all programmatic decisions and protect the integrity of the DLI model over time.</w:t>
      </w:r>
    </w:p>
    <w:p w14:paraId="40D1BD19" w14:textId="35E90DE2" w:rsidR="000B4BC0" w:rsidRPr="00F8564E" w:rsidRDefault="0092152A" w:rsidP="005808B8">
      <w:pPr>
        <w:spacing w:after="240"/>
        <w:rPr>
          <w:rFonts w:ascii="Arial" w:hAnsi="Arial" w:cs="Arial"/>
        </w:rPr>
      </w:pPr>
      <w:r w:rsidRPr="005808B8">
        <w:rPr>
          <w:rFonts w:ascii="Arial" w:hAnsi="Arial" w:cs="Arial"/>
          <w:b/>
          <w:bCs/>
        </w:rPr>
        <w:t>Invest in high-quality instructional materials in both languages—not translations</w:t>
      </w:r>
      <w:r w:rsidR="004C01EE">
        <w:rPr>
          <w:rFonts w:ascii="Arial" w:hAnsi="Arial" w:cs="Arial"/>
          <w:b/>
          <w:bCs/>
        </w:rPr>
        <w:t xml:space="preserve">: </w:t>
      </w:r>
      <w:r w:rsidR="0F8B4E42" w:rsidRPr="00F8564E">
        <w:rPr>
          <w:rFonts w:ascii="Arial" w:hAnsi="Arial" w:cs="Arial"/>
        </w:rPr>
        <w:t>LEAs</w:t>
      </w:r>
      <w:r w:rsidRPr="00F8564E">
        <w:rPr>
          <w:rFonts w:ascii="Arial" w:hAnsi="Arial" w:cs="Arial"/>
        </w:rPr>
        <w:t xml:space="preserve"> consistently noted that authentic partner-language materials are essential for meaningful learning. </w:t>
      </w:r>
      <w:r w:rsidR="251B16F6" w:rsidRPr="00F8564E">
        <w:rPr>
          <w:rFonts w:ascii="Arial" w:hAnsi="Arial" w:cs="Arial"/>
        </w:rPr>
        <w:t>They</w:t>
      </w:r>
      <w:r w:rsidRPr="00F8564E">
        <w:rPr>
          <w:rFonts w:ascii="Arial" w:hAnsi="Arial" w:cs="Arial"/>
        </w:rPr>
        <w:t xml:space="preserve"> should select standards-aligned resources written originally in the partner language and avoid relying solely on English curriculum translated into another language, which often lacks linguistic or cultural appropriateness</w:t>
      </w:r>
      <w:r w:rsidR="00F8564E">
        <w:rPr>
          <w:rFonts w:ascii="Arial" w:hAnsi="Arial" w:cs="Arial"/>
        </w:rPr>
        <w:t xml:space="preserve">. </w:t>
      </w:r>
      <w:r w:rsidR="000B4BC0" w:rsidRPr="00F8564E">
        <w:rPr>
          <w:rFonts w:ascii="Arial" w:hAnsi="Arial" w:cs="Arial"/>
          <w:b/>
          <w:bCs/>
        </w:rPr>
        <w:t>Why this matters:</w:t>
      </w:r>
      <w:r w:rsidR="000B4BC0" w:rsidRPr="00F8564E">
        <w:rPr>
          <w:rFonts w:ascii="Arial" w:hAnsi="Arial" w:cs="Arial"/>
        </w:rPr>
        <w:t xml:space="preserve"> Authentic, standards-aligned materials written in the partner language support deeper language development, cultural relevance, and rigorous academic learning that translations alone cannot provide.</w:t>
      </w:r>
    </w:p>
    <w:p w14:paraId="31BC7B78" w14:textId="6A817501" w:rsidR="000B4BC0" w:rsidRPr="005808B8" w:rsidRDefault="0092152A" w:rsidP="00F8564E">
      <w:pPr>
        <w:spacing w:after="240"/>
        <w:rPr>
          <w:rFonts w:ascii="Arial" w:hAnsi="Arial" w:cs="Arial"/>
        </w:rPr>
      </w:pPr>
      <w:r w:rsidRPr="00F8564E">
        <w:rPr>
          <w:rFonts w:ascii="Arial" w:hAnsi="Arial" w:cs="Arial"/>
          <w:b/>
          <w:bCs/>
        </w:rPr>
        <w:t>Prioritize sustained professional learning and coaching</w:t>
      </w:r>
      <w:r w:rsidR="004C01EE">
        <w:rPr>
          <w:rFonts w:ascii="Arial" w:hAnsi="Arial" w:cs="Arial"/>
          <w:b/>
          <w:bCs/>
        </w:rPr>
        <w:t xml:space="preserve">: </w:t>
      </w:r>
      <w:r w:rsidRPr="00F8564E">
        <w:rPr>
          <w:rFonts w:ascii="Arial" w:hAnsi="Arial" w:cs="Arial"/>
        </w:rPr>
        <w:t xml:space="preserve">DLI programs require specialized knowledge in biliteracy, language development, and cross-linguistic transfer. Successful grantees built strong professional learning systems including coaching, PLCs, and ongoing training through </w:t>
      </w:r>
      <w:r w:rsidR="009F6B10" w:rsidRPr="00F8564E">
        <w:rPr>
          <w:rFonts w:ascii="Arial" w:hAnsi="Arial" w:cs="Arial"/>
        </w:rPr>
        <w:t>bilingual experts</w:t>
      </w:r>
      <w:r w:rsidRPr="00F8564E">
        <w:rPr>
          <w:rFonts w:ascii="Arial" w:hAnsi="Arial" w:cs="Arial"/>
        </w:rPr>
        <w:t xml:space="preserve">. LEAs should plan for multi-year investment in </w:t>
      </w:r>
      <w:r w:rsidR="009F6B10" w:rsidRPr="00F8564E">
        <w:rPr>
          <w:rFonts w:ascii="Arial" w:hAnsi="Arial" w:cs="Arial"/>
        </w:rPr>
        <w:t xml:space="preserve">professional </w:t>
      </w:r>
      <w:r w:rsidRPr="00F8564E">
        <w:rPr>
          <w:rFonts w:ascii="Arial" w:hAnsi="Arial" w:cs="Arial"/>
        </w:rPr>
        <w:t xml:space="preserve">learning, not one-time workshops. </w:t>
      </w:r>
      <w:r w:rsidR="000B4BC0" w:rsidRPr="005808B8">
        <w:rPr>
          <w:rFonts w:ascii="Arial" w:hAnsi="Arial" w:cs="Arial"/>
          <w:b/>
          <w:bCs/>
        </w:rPr>
        <w:t>Why this matters:</w:t>
      </w:r>
      <w:r w:rsidR="000B4BC0" w:rsidRPr="005808B8">
        <w:rPr>
          <w:rFonts w:ascii="Arial" w:hAnsi="Arial" w:cs="Arial"/>
        </w:rPr>
        <w:t xml:space="preserve"> Teachers need ongoing, job-embedded support to effectively teach for biliteracy, language development, and cross-linguistic </w:t>
      </w:r>
      <w:proofErr w:type="gramStart"/>
      <w:r w:rsidR="000B4BC0" w:rsidRPr="005808B8">
        <w:rPr>
          <w:rFonts w:ascii="Arial" w:hAnsi="Arial" w:cs="Arial"/>
        </w:rPr>
        <w:t>transfer—</w:t>
      </w:r>
      <w:proofErr w:type="gramEnd"/>
      <w:r w:rsidR="000B4BC0" w:rsidRPr="005808B8">
        <w:rPr>
          <w:rFonts w:ascii="Arial" w:hAnsi="Arial" w:cs="Arial"/>
        </w:rPr>
        <w:t>skills that are not typically addressed in traditional teacher preparation programs.</w:t>
      </w:r>
    </w:p>
    <w:p w14:paraId="77265C44" w14:textId="75603AD4" w:rsidR="002851FB" w:rsidRPr="00F8564E" w:rsidRDefault="0092152A" w:rsidP="00F8564E">
      <w:pPr>
        <w:spacing w:after="240"/>
        <w:rPr>
          <w:rFonts w:ascii="Arial" w:hAnsi="Arial" w:cs="Arial"/>
        </w:rPr>
      </w:pPr>
      <w:r w:rsidRPr="005808B8">
        <w:rPr>
          <w:rFonts w:ascii="Arial" w:hAnsi="Arial" w:cs="Arial"/>
          <w:b/>
          <w:bCs/>
        </w:rPr>
        <w:lastRenderedPageBreak/>
        <w:t>Build internal leadership capacity to sustain the program</w:t>
      </w:r>
      <w:r w:rsidR="004C01EE">
        <w:rPr>
          <w:rFonts w:ascii="Arial" w:hAnsi="Arial" w:cs="Arial"/>
          <w:b/>
          <w:bCs/>
        </w:rPr>
        <w:t xml:space="preserve">: </w:t>
      </w:r>
      <w:r w:rsidRPr="005808B8">
        <w:rPr>
          <w:rFonts w:ascii="Arial" w:hAnsi="Arial" w:cs="Arial"/>
        </w:rPr>
        <w:t xml:space="preserve">Teacher leaders, instructional coaches, and TOSAs played a critical role in guiding curriculum development, mentoring new teachers, and coordinating implementation across sites. LEAs should create leadership pathways and ensure leaders have time and training to support program coherence. </w:t>
      </w:r>
      <w:r w:rsidR="000B4BC0" w:rsidRPr="005808B8">
        <w:rPr>
          <w:rFonts w:ascii="Arial" w:hAnsi="Arial" w:cs="Arial"/>
          <w:b/>
          <w:bCs/>
        </w:rPr>
        <w:t>Why this matters:</w:t>
      </w:r>
      <w:r w:rsidR="000B4BC0" w:rsidRPr="005808B8">
        <w:rPr>
          <w:rFonts w:ascii="Arial" w:hAnsi="Arial" w:cs="Arial"/>
        </w:rPr>
        <w:t xml:space="preserve"> Internal leaders ensure instructional coherence, continuity, and sustainability, especially during periods of growth, staff turnover, or leadership transitions.</w:t>
      </w:r>
    </w:p>
    <w:p w14:paraId="7BB40832" w14:textId="0A62939F" w:rsidR="009F6B10" w:rsidRPr="005808B8" w:rsidRDefault="0092152A" w:rsidP="00F8564E">
      <w:pPr>
        <w:spacing w:after="240"/>
        <w:rPr>
          <w:rFonts w:ascii="Arial" w:hAnsi="Arial" w:cs="Arial"/>
        </w:rPr>
      </w:pPr>
      <w:proofErr w:type="gramStart"/>
      <w:r w:rsidRPr="005808B8">
        <w:rPr>
          <w:rFonts w:ascii="Arial" w:hAnsi="Arial" w:cs="Arial"/>
          <w:b/>
          <w:bCs/>
        </w:rPr>
        <w:t>Strengthen</w:t>
      </w:r>
      <w:proofErr w:type="gramEnd"/>
      <w:r w:rsidRPr="005808B8">
        <w:rPr>
          <w:rFonts w:ascii="Arial" w:hAnsi="Arial" w:cs="Arial"/>
          <w:b/>
          <w:bCs/>
        </w:rPr>
        <w:t xml:space="preserve"> recruitment pipelines for bilingual educators</w:t>
      </w:r>
      <w:r w:rsidR="004C01EE">
        <w:rPr>
          <w:rFonts w:ascii="Arial" w:hAnsi="Arial" w:cs="Arial"/>
          <w:b/>
          <w:bCs/>
        </w:rPr>
        <w:t xml:space="preserve">: </w:t>
      </w:r>
      <w:r w:rsidRPr="005808B8">
        <w:rPr>
          <w:rFonts w:ascii="Arial" w:hAnsi="Arial" w:cs="Arial"/>
        </w:rPr>
        <w:t xml:space="preserve">A major challenge across grantees was finding fully qualified bilingual teachers, especially as programs expanded. </w:t>
      </w:r>
      <w:r w:rsidR="0468FF0C" w:rsidRPr="005808B8">
        <w:rPr>
          <w:rFonts w:ascii="Arial" w:hAnsi="Arial" w:cs="Arial"/>
        </w:rPr>
        <w:t>LEAs</w:t>
      </w:r>
      <w:r w:rsidRPr="005808B8">
        <w:rPr>
          <w:rFonts w:ascii="Arial" w:hAnsi="Arial" w:cs="Arial"/>
        </w:rPr>
        <w:t xml:space="preserve"> should partner with teacher preparation programs, support paraprofessional pathways, and develop mentoring systems to retain bilingual staff and build long-term stability. </w:t>
      </w:r>
      <w:r w:rsidR="002851FB" w:rsidRPr="005808B8">
        <w:rPr>
          <w:rFonts w:ascii="Arial" w:hAnsi="Arial" w:cs="Arial"/>
          <w:b/>
          <w:bCs/>
        </w:rPr>
        <w:t>Why this matters:</w:t>
      </w:r>
      <w:r w:rsidR="002851FB" w:rsidRPr="005808B8">
        <w:rPr>
          <w:rFonts w:ascii="Arial" w:hAnsi="Arial" w:cs="Arial"/>
        </w:rPr>
        <w:t xml:space="preserve"> A stable, qualified bilingual workforce is essential for program expansion and quality; staffing shortages directly limit access to DLI programs and strain existing teachers.</w:t>
      </w:r>
    </w:p>
    <w:p w14:paraId="73E7DAA6" w14:textId="45D5B2D9" w:rsidR="002851FB" w:rsidRPr="005808B8" w:rsidRDefault="0092152A" w:rsidP="00F8564E">
      <w:pPr>
        <w:spacing w:after="240"/>
        <w:rPr>
          <w:rFonts w:ascii="Segoe UI" w:hAnsi="Segoe UI" w:cs="Segoe UI"/>
          <w:b/>
          <w:bCs/>
          <w:sz w:val="21"/>
          <w:szCs w:val="21"/>
        </w:rPr>
      </w:pPr>
      <w:r w:rsidRPr="005808B8">
        <w:rPr>
          <w:rFonts w:ascii="Arial" w:hAnsi="Arial" w:cs="Arial"/>
          <w:b/>
          <w:bCs/>
        </w:rPr>
        <w:t xml:space="preserve">Engage families early and often </w:t>
      </w:r>
      <w:proofErr w:type="gramStart"/>
      <w:r w:rsidRPr="005808B8">
        <w:rPr>
          <w:rFonts w:ascii="Arial" w:hAnsi="Arial" w:cs="Arial"/>
          <w:b/>
          <w:bCs/>
        </w:rPr>
        <w:t>to build</w:t>
      </w:r>
      <w:proofErr w:type="gramEnd"/>
      <w:r w:rsidRPr="005808B8">
        <w:rPr>
          <w:rFonts w:ascii="Arial" w:hAnsi="Arial" w:cs="Arial"/>
          <w:b/>
          <w:bCs/>
        </w:rPr>
        <w:t xml:space="preserve"> understanding and community support</w:t>
      </w:r>
      <w:r w:rsidR="004C01EE">
        <w:rPr>
          <w:rFonts w:ascii="Arial" w:hAnsi="Arial" w:cs="Arial"/>
          <w:b/>
          <w:bCs/>
        </w:rPr>
        <w:t xml:space="preserve">: </w:t>
      </w:r>
      <w:r w:rsidR="1D1A8347" w:rsidRPr="005808B8">
        <w:rPr>
          <w:rFonts w:ascii="Arial" w:hAnsi="Arial" w:cs="Arial"/>
        </w:rPr>
        <w:t>LEAs</w:t>
      </w:r>
      <w:r w:rsidRPr="005808B8">
        <w:rPr>
          <w:rFonts w:ascii="Arial" w:hAnsi="Arial" w:cs="Arial"/>
        </w:rPr>
        <w:t xml:space="preserve"> found that ongoing communication with </w:t>
      </w:r>
      <w:proofErr w:type="gramStart"/>
      <w:r w:rsidRPr="005808B8">
        <w:rPr>
          <w:rFonts w:ascii="Arial" w:hAnsi="Arial" w:cs="Arial"/>
        </w:rPr>
        <w:t>families—</w:t>
      </w:r>
      <w:proofErr w:type="gramEnd"/>
      <w:r w:rsidRPr="005808B8">
        <w:rPr>
          <w:rFonts w:ascii="Arial" w:hAnsi="Arial" w:cs="Arial"/>
        </w:rPr>
        <w:t>especially families who speak the partner language—is essential. LEAs should provide clear explanations of the model, biliteracy pathways, and student expectations while building programs that value cultural and linguistic assets.</w:t>
      </w:r>
      <w:r w:rsidR="003F6176">
        <w:rPr>
          <w:rFonts w:ascii="Arial" w:hAnsi="Arial" w:cs="Arial"/>
        </w:rPr>
        <w:t xml:space="preserve"> </w:t>
      </w:r>
      <w:r w:rsidR="002851FB" w:rsidRPr="005808B8">
        <w:rPr>
          <w:rFonts w:ascii="Arial" w:hAnsi="Arial" w:cs="Arial"/>
          <w:b/>
          <w:bCs/>
        </w:rPr>
        <w:t>Why this matters:</w:t>
      </w:r>
      <w:r w:rsidR="002851FB" w:rsidRPr="005808B8">
        <w:rPr>
          <w:rFonts w:ascii="Arial" w:hAnsi="Arial" w:cs="Arial"/>
        </w:rPr>
        <w:t xml:space="preserve"> Family understanding and buy-in are critical for student persistence, program stability, and long-term success in DLI pathways.</w:t>
      </w:r>
    </w:p>
    <w:p w14:paraId="433117F0" w14:textId="29564FD4" w:rsidR="003D745D" w:rsidRPr="002D4703" w:rsidRDefault="00C5195C" w:rsidP="19EABF24">
      <w:pPr>
        <w:spacing w:before="240" w:after="240"/>
      </w:pPr>
      <w:r w:rsidRPr="005808B8">
        <w:rPr>
          <w:rFonts w:ascii="Arial" w:hAnsi="Arial" w:cs="Arial"/>
          <w:b/>
          <w:bCs/>
        </w:rPr>
        <w:t>Align curriculum and assessment systems across all grade levels</w:t>
      </w:r>
      <w:r w:rsidR="004C01EE">
        <w:rPr>
          <w:rFonts w:ascii="Arial" w:hAnsi="Arial" w:cs="Arial"/>
          <w:b/>
          <w:bCs/>
        </w:rPr>
        <w:t xml:space="preserve">: </w:t>
      </w:r>
      <w:r w:rsidRPr="005808B8">
        <w:rPr>
          <w:rFonts w:ascii="Arial" w:hAnsi="Arial" w:cs="Arial"/>
        </w:rPr>
        <w:t>Grantees stressed the importance of vertical and horizontal alignment. LEAs should schedule regular articulation meetings, develop shared pacing guides and biliteracy units, and ensure assessments reflect the language of instruction. This alignment promotes coherence, equity, and strong academic outcomes as the program expands.</w:t>
      </w:r>
    </w:p>
    <w:p w14:paraId="31B4AB7B" w14:textId="3E3DCF82" w:rsidR="003D745D" w:rsidRPr="00494FCC" w:rsidRDefault="009C4D2A" w:rsidP="009D0E78">
      <w:pPr>
        <w:pStyle w:val="Heading2"/>
      </w:pPr>
      <w:bookmarkStart w:id="20" w:name="_Toc219285949"/>
      <w:r>
        <w:t>Conclusion</w:t>
      </w:r>
      <w:bookmarkEnd w:id="20"/>
    </w:p>
    <w:bookmarkEnd w:id="18"/>
    <w:p w14:paraId="5621C16C" w14:textId="17CB9A4A" w:rsidR="00D05668" w:rsidRDefault="00D05668" w:rsidP="004C01EE">
      <w:pPr>
        <w:spacing w:after="240"/>
        <w:rPr>
          <w:rFonts w:ascii="Arial" w:hAnsi="Arial" w:cs="Arial"/>
        </w:rPr>
      </w:pPr>
      <w:r w:rsidRPr="19EABF24">
        <w:rPr>
          <w:rFonts w:ascii="Arial" w:hAnsi="Arial" w:cs="Arial"/>
        </w:rPr>
        <w:t xml:space="preserve">The DLIG provided grantees with a critical opportunity to develop and expand high-quality </w:t>
      </w:r>
      <w:r w:rsidR="004C01EE">
        <w:rPr>
          <w:rFonts w:ascii="Arial" w:hAnsi="Arial" w:cs="Arial"/>
        </w:rPr>
        <w:t>DLI</w:t>
      </w:r>
      <w:r w:rsidRPr="19EABF24">
        <w:rPr>
          <w:rFonts w:ascii="Arial" w:hAnsi="Arial" w:cs="Arial"/>
        </w:rPr>
        <w:t xml:space="preserve"> programs, </w:t>
      </w:r>
      <w:proofErr w:type="gramStart"/>
      <w:r w:rsidRPr="19EABF24">
        <w:rPr>
          <w:rFonts w:ascii="Arial" w:hAnsi="Arial" w:cs="Arial"/>
        </w:rPr>
        <w:t>Through</w:t>
      </w:r>
      <w:proofErr w:type="gramEnd"/>
      <w:r w:rsidRPr="19EABF24">
        <w:rPr>
          <w:rFonts w:ascii="Arial" w:hAnsi="Arial" w:cs="Arial"/>
        </w:rPr>
        <w:t xml:space="preserve"> targeted investments in staffing, curriculum development, instructional resources, professional learning, and family outreach, grantees were able to strengthen program quality while expanding access across grade levels and school sites. For many communities, the grant made it possible to establish new DLI pathways or extend existing programs beyond the early grades</w:t>
      </w:r>
      <w:r w:rsidR="004C01EE">
        <w:rPr>
          <w:rFonts w:ascii="Arial" w:hAnsi="Arial" w:cs="Arial"/>
        </w:rPr>
        <w:t xml:space="preserve"> to ensure </w:t>
      </w:r>
      <w:r w:rsidRPr="19EABF24">
        <w:rPr>
          <w:rFonts w:ascii="Arial" w:hAnsi="Arial" w:cs="Arial"/>
        </w:rPr>
        <w:t>greater continuity in students’ bilingual and biliteracy development. Beyond increased participation, the DLIG supported more coherent instructional systems, culturally and linguistically responsive curriculum, and stronger alignment across classrooms and grade spans. Collectively, these efforts expanded equitable access to multilingual education and positi</w:t>
      </w:r>
      <w:r w:rsidR="78513302" w:rsidRPr="19EABF24">
        <w:rPr>
          <w:rFonts w:ascii="Arial" w:hAnsi="Arial" w:cs="Arial"/>
        </w:rPr>
        <w:t>o</w:t>
      </w:r>
      <w:r w:rsidRPr="19EABF24">
        <w:rPr>
          <w:rFonts w:ascii="Arial" w:hAnsi="Arial" w:cs="Arial"/>
        </w:rPr>
        <w:t>ned districts to sustain</w:t>
      </w:r>
      <w:r w:rsidR="2323AA6B" w:rsidRPr="19EABF24">
        <w:rPr>
          <w:rFonts w:ascii="Arial" w:hAnsi="Arial" w:cs="Arial"/>
        </w:rPr>
        <w:t>, enhance,</w:t>
      </w:r>
      <w:r w:rsidRPr="19EABF24">
        <w:rPr>
          <w:rFonts w:ascii="Arial" w:hAnsi="Arial" w:cs="Arial"/>
        </w:rPr>
        <w:t xml:space="preserve"> and grow DLI programs that prepare students </w:t>
      </w:r>
      <w:r w:rsidR="4C05089B" w:rsidRPr="19EABF24">
        <w:rPr>
          <w:rFonts w:ascii="Arial" w:hAnsi="Arial" w:cs="Arial"/>
        </w:rPr>
        <w:t>f</w:t>
      </w:r>
      <w:r w:rsidR="636B7E02" w:rsidRPr="19EABF24">
        <w:rPr>
          <w:rFonts w:ascii="Arial" w:hAnsi="Arial" w:cs="Arial"/>
        </w:rPr>
        <w:t xml:space="preserve">or </w:t>
      </w:r>
      <w:r w:rsidRPr="19EABF24">
        <w:rPr>
          <w:rFonts w:ascii="Arial" w:hAnsi="Arial" w:cs="Arial"/>
        </w:rPr>
        <w:t xml:space="preserve">academic, </w:t>
      </w:r>
      <w:r w:rsidR="501F17DE" w:rsidRPr="19EABF24">
        <w:rPr>
          <w:rFonts w:ascii="Arial" w:hAnsi="Arial" w:cs="Arial"/>
        </w:rPr>
        <w:t>biliterate</w:t>
      </w:r>
      <w:r w:rsidRPr="19EABF24">
        <w:rPr>
          <w:rFonts w:ascii="Arial" w:hAnsi="Arial" w:cs="Arial"/>
        </w:rPr>
        <w:t xml:space="preserve">, and </w:t>
      </w:r>
      <w:r w:rsidR="24640363" w:rsidRPr="19EABF24">
        <w:rPr>
          <w:rFonts w:ascii="Arial" w:hAnsi="Arial" w:cs="Arial"/>
        </w:rPr>
        <w:t>socio</w:t>
      </w:r>
      <w:r w:rsidRPr="19EABF24">
        <w:rPr>
          <w:rFonts w:ascii="Arial" w:hAnsi="Arial" w:cs="Arial"/>
        </w:rPr>
        <w:t>cultural</w:t>
      </w:r>
      <w:r w:rsidR="5D571F60" w:rsidRPr="19EABF24">
        <w:rPr>
          <w:rFonts w:ascii="Arial" w:hAnsi="Arial" w:cs="Arial"/>
        </w:rPr>
        <w:t xml:space="preserve"> </w:t>
      </w:r>
      <w:r w:rsidRPr="19EABF24">
        <w:rPr>
          <w:rFonts w:ascii="Arial" w:hAnsi="Arial" w:cs="Arial"/>
        </w:rPr>
        <w:t xml:space="preserve">success. </w:t>
      </w:r>
    </w:p>
    <w:p w14:paraId="79FA84CE" w14:textId="19699C3A" w:rsidR="00552454" w:rsidRDefault="00755367" w:rsidP="004C01EE">
      <w:pPr>
        <w:spacing w:after="240"/>
        <w:rPr>
          <w:rFonts w:ascii="Arial" w:hAnsi="Arial" w:cs="Arial"/>
        </w:rPr>
      </w:pPr>
      <w:r w:rsidRPr="19EABF24">
        <w:rPr>
          <w:rFonts w:ascii="Arial" w:hAnsi="Arial" w:cs="Arial"/>
        </w:rPr>
        <w:t xml:space="preserve">Multilingual programs play a significant role in the success of EL students as well as non-EL students. This significance is evidenced by their popularity and demand. A </w:t>
      </w:r>
      <w:r w:rsidR="004C01EE" w:rsidRPr="19EABF24">
        <w:rPr>
          <w:rFonts w:ascii="Arial" w:hAnsi="Arial" w:cs="Arial"/>
        </w:rPr>
        <w:lastRenderedPageBreak/>
        <w:t>2025</w:t>
      </w:r>
      <w:r w:rsidR="004C01EE">
        <w:rPr>
          <w:rFonts w:ascii="Arial" w:hAnsi="Arial" w:cs="Arial"/>
        </w:rPr>
        <w:t xml:space="preserve"> </w:t>
      </w:r>
      <w:r w:rsidRPr="19EABF24">
        <w:rPr>
          <w:rFonts w:ascii="Arial" w:hAnsi="Arial" w:cs="Arial"/>
        </w:rPr>
        <w:t>CDE survey of LEAs in California showed that, of 133 LEAs</w:t>
      </w:r>
      <w:r w:rsidR="007A07BF">
        <w:rPr>
          <w:rFonts w:ascii="Arial" w:hAnsi="Arial" w:cs="Arial"/>
        </w:rPr>
        <w:t xml:space="preserve"> </w:t>
      </w:r>
      <w:r w:rsidR="007A07BF" w:rsidRPr="19EABF24">
        <w:rPr>
          <w:rFonts w:ascii="Arial" w:hAnsi="Arial" w:cs="Arial"/>
        </w:rPr>
        <w:t xml:space="preserve">(out of 1,019) </w:t>
      </w:r>
      <w:r w:rsidRPr="19EABF24">
        <w:rPr>
          <w:rFonts w:ascii="Arial" w:hAnsi="Arial" w:cs="Arial"/>
        </w:rPr>
        <w:t>that responded, 8,098 students were on waitlists to enroll in such programs. In addition, t</w:t>
      </w:r>
      <w:r w:rsidR="00CF33F5" w:rsidRPr="19EABF24">
        <w:rPr>
          <w:rFonts w:ascii="Arial" w:hAnsi="Arial" w:cs="Arial"/>
        </w:rPr>
        <w:t>he research demonstrates that multilingual programs, and DLI specifically, provide a proven pathway for EL students to achieve full linguistic and academic proficiency in English and their home language (Thomas and Collier, 2017; National Academies of Sciences, Engineering, and Medicine, 2017).</w:t>
      </w:r>
      <w:r w:rsidRPr="19EABF24">
        <w:rPr>
          <w:rFonts w:ascii="Arial" w:hAnsi="Arial" w:cs="Arial"/>
        </w:rPr>
        <w:t xml:space="preserve"> </w:t>
      </w:r>
      <w:r w:rsidR="00CF33F5" w:rsidRPr="19EABF24">
        <w:rPr>
          <w:rFonts w:ascii="Arial" w:hAnsi="Arial" w:cs="Arial"/>
        </w:rPr>
        <w:t>Multilingual education provides cognitive, educational, economic, and sociocultural benefits to all students (U.S. Department of Education, 2020).</w:t>
      </w:r>
    </w:p>
    <w:p w14:paraId="03E285D0" w14:textId="2B410A28" w:rsidR="00917C52" w:rsidRDefault="00A86998" w:rsidP="004C01EE">
      <w:pPr>
        <w:spacing w:after="240"/>
        <w:rPr>
          <w:rFonts w:ascii="Arial" w:hAnsi="Arial" w:cs="Arial"/>
        </w:rPr>
      </w:pPr>
      <w:r w:rsidRPr="19EABF24">
        <w:rPr>
          <w:rFonts w:ascii="Arial" w:hAnsi="Arial" w:cs="Arial"/>
        </w:rPr>
        <w:t xml:space="preserve">The </w:t>
      </w:r>
      <w:r w:rsidR="00F8564E" w:rsidRPr="19EABF24">
        <w:rPr>
          <w:rFonts w:ascii="Arial" w:hAnsi="Arial" w:cs="Arial"/>
        </w:rPr>
        <w:t xml:space="preserve">$10 million </w:t>
      </w:r>
      <w:r w:rsidRPr="19EABF24">
        <w:rPr>
          <w:rFonts w:ascii="Arial" w:hAnsi="Arial" w:cs="Arial"/>
        </w:rPr>
        <w:t xml:space="preserve">DLIG investment </w:t>
      </w:r>
      <w:r w:rsidR="00F8564E" w:rsidRPr="19EABF24">
        <w:rPr>
          <w:rFonts w:ascii="Arial" w:hAnsi="Arial" w:cs="Arial"/>
        </w:rPr>
        <w:t>i</w:t>
      </w:r>
      <w:r w:rsidR="00494C1D" w:rsidRPr="19EABF24">
        <w:rPr>
          <w:rFonts w:ascii="Arial" w:hAnsi="Arial" w:cs="Arial"/>
        </w:rPr>
        <w:t>s</w:t>
      </w:r>
      <w:r w:rsidRPr="19EABF24">
        <w:rPr>
          <w:rFonts w:ascii="Arial" w:hAnsi="Arial" w:cs="Arial"/>
        </w:rPr>
        <w:t xml:space="preserve"> </w:t>
      </w:r>
      <w:r w:rsidR="0A963DC7" w:rsidRPr="19EABF24">
        <w:rPr>
          <w:rFonts w:ascii="Arial" w:hAnsi="Arial" w:cs="Arial"/>
        </w:rPr>
        <w:t xml:space="preserve">yielding results </w:t>
      </w:r>
      <w:r w:rsidR="530722E8" w:rsidRPr="19EABF24">
        <w:rPr>
          <w:rFonts w:ascii="Arial" w:hAnsi="Arial" w:cs="Arial"/>
        </w:rPr>
        <w:t>through the expansion of</w:t>
      </w:r>
      <w:r w:rsidRPr="19EABF24">
        <w:rPr>
          <w:rFonts w:ascii="Arial" w:hAnsi="Arial" w:cs="Arial"/>
        </w:rPr>
        <w:t xml:space="preserve"> </w:t>
      </w:r>
      <w:r w:rsidR="00CE6805" w:rsidRPr="19EABF24">
        <w:rPr>
          <w:rFonts w:ascii="Arial" w:hAnsi="Arial" w:cs="Arial"/>
        </w:rPr>
        <w:t xml:space="preserve">programs </w:t>
      </w:r>
      <w:r w:rsidR="00175D3B" w:rsidRPr="19EABF24">
        <w:rPr>
          <w:rFonts w:ascii="Arial" w:hAnsi="Arial" w:cs="Arial"/>
        </w:rPr>
        <w:t>in</w:t>
      </w:r>
      <w:r w:rsidR="00CE6805" w:rsidRPr="19EABF24">
        <w:rPr>
          <w:rFonts w:ascii="Arial" w:hAnsi="Arial" w:cs="Arial"/>
        </w:rPr>
        <w:t xml:space="preserve"> </w:t>
      </w:r>
      <w:r w:rsidR="00CE6805" w:rsidRPr="005808B8">
        <w:rPr>
          <w:rFonts w:ascii="Arial" w:hAnsi="Arial" w:cs="Arial"/>
          <w:b/>
          <w:bCs/>
        </w:rPr>
        <w:t>54</w:t>
      </w:r>
      <w:r w:rsidR="00CE6805" w:rsidRPr="19EABF24">
        <w:rPr>
          <w:rFonts w:ascii="Arial" w:hAnsi="Arial" w:cs="Arial"/>
        </w:rPr>
        <w:t xml:space="preserve"> schools and </w:t>
      </w:r>
      <w:r w:rsidR="00CE6805" w:rsidRPr="005808B8">
        <w:rPr>
          <w:rFonts w:ascii="Arial" w:hAnsi="Arial" w:cs="Arial"/>
          <w:b/>
          <w:bCs/>
        </w:rPr>
        <w:t>291</w:t>
      </w:r>
      <w:r w:rsidR="00CE6805" w:rsidRPr="19EABF24">
        <w:rPr>
          <w:rFonts w:ascii="Arial" w:hAnsi="Arial" w:cs="Arial"/>
        </w:rPr>
        <w:t xml:space="preserve"> classrooms</w:t>
      </w:r>
      <w:r w:rsidR="00175D3B" w:rsidRPr="19EABF24">
        <w:rPr>
          <w:rFonts w:ascii="Arial" w:hAnsi="Arial" w:cs="Arial"/>
        </w:rPr>
        <w:t xml:space="preserve">, </w:t>
      </w:r>
      <w:r w:rsidR="003F6176" w:rsidRPr="19EABF24">
        <w:rPr>
          <w:rFonts w:ascii="Arial" w:hAnsi="Arial" w:cs="Arial"/>
        </w:rPr>
        <w:t>providing</w:t>
      </w:r>
      <w:r w:rsidR="00175D3B" w:rsidRPr="19EABF24">
        <w:rPr>
          <w:rFonts w:ascii="Arial" w:hAnsi="Arial" w:cs="Arial"/>
        </w:rPr>
        <w:t xml:space="preserve"> an estimated </w:t>
      </w:r>
      <w:r w:rsidR="00175D3B" w:rsidRPr="19EABF24">
        <w:rPr>
          <w:rFonts w:ascii="Arial" w:hAnsi="Arial" w:cs="Arial"/>
          <w:b/>
          <w:bCs/>
        </w:rPr>
        <w:t>8,000 students</w:t>
      </w:r>
      <w:r w:rsidR="00175D3B" w:rsidRPr="19EABF24">
        <w:rPr>
          <w:rFonts w:ascii="Arial" w:hAnsi="Arial" w:cs="Arial"/>
        </w:rPr>
        <w:t xml:space="preserve"> access to multilingual learning experiences.</w:t>
      </w:r>
      <w:r w:rsidR="00CE6805" w:rsidRPr="19EABF24">
        <w:rPr>
          <w:rFonts w:ascii="Arial" w:hAnsi="Arial" w:cs="Arial"/>
        </w:rPr>
        <w:t xml:space="preserve"> The number of </w:t>
      </w:r>
      <w:r w:rsidR="00175D3B" w:rsidRPr="19EABF24">
        <w:rPr>
          <w:rFonts w:ascii="Arial" w:hAnsi="Arial" w:cs="Arial"/>
        </w:rPr>
        <w:t xml:space="preserve">DLI </w:t>
      </w:r>
      <w:r w:rsidR="00CE6805" w:rsidRPr="19EABF24">
        <w:rPr>
          <w:rFonts w:ascii="Arial" w:hAnsi="Arial" w:cs="Arial"/>
        </w:rPr>
        <w:t xml:space="preserve">classrooms </w:t>
      </w:r>
      <w:r w:rsidR="003F6176" w:rsidRPr="19EABF24">
        <w:rPr>
          <w:rFonts w:ascii="Arial" w:hAnsi="Arial" w:cs="Arial"/>
        </w:rPr>
        <w:t xml:space="preserve">in these programs </w:t>
      </w:r>
      <w:r w:rsidR="00CE6805" w:rsidRPr="19EABF24">
        <w:rPr>
          <w:rFonts w:ascii="Arial" w:hAnsi="Arial" w:cs="Arial"/>
        </w:rPr>
        <w:t xml:space="preserve">will </w:t>
      </w:r>
      <w:r w:rsidRPr="19EABF24">
        <w:rPr>
          <w:rFonts w:ascii="Arial" w:hAnsi="Arial" w:cs="Arial"/>
        </w:rPr>
        <w:t>double or even triple</w:t>
      </w:r>
      <w:r w:rsidR="00CE6805" w:rsidRPr="19EABF24">
        <w:rPr>
          <w:rFonts w:ascii="Arial" w:hAnsi="Arial" w:cs="Arial"/>
        </w:rPr>
        <w:t xml:space="preserve"> </w:t>
      </w:r>
      <w:proofErr w:type="spellStart"/>
      <w:r w:rsidR="00CE6805" w:rsidRPr="19EABF24">
        <w:rPr>
          <w:rFonts w:ascii="Arial" w:hAnsi="Arial" w:cs="Arial"/>
        </w:rPr>
        <w:t>over time</w:t>
      </w:r>
      <w:proofErr w:type="spellEnd"/>
      <w:r w:rsidR="00CE6805" w:rsidRPr="19EABF24">
        <w:rPr>
          <w:rFonts w:ascii="Arial" w:hAnsi="Arial" w:cs="Arial"/>
        </w:rPr>
        <w:t xml:space="preserve"> as the</w:t>
      </w:r>
      <w:r w:rsidR="003F6176" w:rsidRPr="19EABF24">
        <w:rPr>
          <w:rFonts w:ascii="Arial" w:hAnsi="Arial" w:cs="Arial"/>
        </w:rPr>
        <w:t>y</w:t>
      </w:r>
      <w:r w:rsidR="00CE6805" w:rsidRPr="19EABF24">
        <w:rPr>
          <w:rFonts w:ascii="Arial" w:hAnsi="Arial" w:cs="Arial"/>
        </w:rPr>
        <w:t xml:space="preserve"> </w:t>
      </w:r>
      <w:r w:rsidR="5F0C687B" w:rsidRPr="19EABF24">
        <w:rPr>
          <w:rFonts w:ascii="Arial" w:hAnsi="Arial" w:cs="Arial"/>
        </w:rPr>
        <w:t xml:space="preserve">grow </w:t>
      </w:r>
      <w:r w:rsidR="00CE6805" w:rsidRPr="19EABF24">
        <w:rPr>
          <w:rFonts w:ascii="Arial" w:hAnsi="Arial" w:cs="Arial"/>
        </w:rPr>
        <w:t>at each site and</w:t>
      </w:r>
      <w:r w:rsidR="003F6176" w:rsidRPr="19EABF24">
        <w:rPr>
          <w:rFonts w:ascii="Arial" w:hAnsi="Arial" w:cs="Arial"/>
        </w:rPr>
        <w:t xml:space="preserve"> into secondary schools. The programs</w:t>
      </w:r>
      <w:r w:rsidR="00175D3B" w:rsidRPr="19EABF24">
        <w:rPr>
          <w:rFonts w:ascii="Arial" w:hAnsi="Arial" w:cs="Arial"/>
        </w:rPr>
        <w:t xml:space="preserve"> can be featured as bright spots for other schools to study </w:t>
      </w:r>
      <w:r w:rsidR="37A712A6" w:rsidRPr="19EABF24">
        <w:rPr>
          <w:rFonts w:ascii="Arial" w:hAnsi="Arial" w:cs="Arial"/>
        </w:rPr>
        <w:t>as models a</w:t>
      </w:r>
      <w:r w:rsidR="0089B63D" w:rsidRPr="19EABF24">
        <w:rPr>
          <w:rFonts w:ascii="Arial" w:hAnsi="Arial" w:cs="Arial"/>
        </w:rPr>
        <w:t>s they</w:t>
      </w:r>
      <w:r w:rsidR="00175D3B" w:rsidRPr="19EABF24">
        <w:rPr>
          <w:rFonts w:ascii="Arial" w:hAnsi="Arial" w:cs="Arial"/>
        </w:rPr>
        <w:t xml:space="preserve"> move toward DLI implementation.</w:t>
      </w:r>
      <w:r w:rsidR="00494C1D" w:rsidRPr="19EABF24">
        <w:rPr>
          <w:rFonts w:ascii="Arial" w:hAnsi="Arial" w:cs="Arial"/>
        </w:rPr>
        <w:t xml:space="preserve"> With additional funding for multilingual programs, </w:t>
      </w:r>
      <w:r w:rsidR="008D57CA" w:rsidRPr="19EABF24">
        <w:rPr>
          <w:rFonts w:ascii="Arial" w:hAnsi="Arial" w:cs="Arial"/>
        </w:rPr>
        <w:t>a growing number of EL students can benefit from</w:t>
      </w:r>
      <w:r w:rsidR="003F6176" w:rsidRPr="19EABF24">
        <w:rPr>
          <w:rFonts w:ascii="Arial" w:hAnsi="Arial" w:cs="Arial"/>
        </w:rPr>
        <w:t xml:space="preserve"> this same experience</w:t>
      </w:r>
      <w:r w:rsidR="008D57CA" w:rsidRPr="19EABF24">
        <w:rPr>
          <w:rFonts w:ascii="Arial" w:hAnsi="Arial" w:cs="Arial"/>
        </w:rPr>
        <w:t xml:space="preserve"> </w:t>
      </w:r>
      <w:r w:rsidR="007A07BF">
        <w:rPr>
          <w:rFonts w:ascii="Arial" w:hAnsi="Arial" w:cs="Arial"/>
        </w:rPr>
        <w:t>and reach</w:t>
      </w:r>
      <w:r w:rsidR="008D57CA" w:rsidRPr="19EABF24">
        <w:rPr>
          <w:rFonts w:ascii="Arial" w:hAnsi="Arial" w:cs="Arial"/>
        </w:rPr>
        <w:t xml:space="preserve"> full proficiency in English and their home language at</w:t>
      </w:r>
      <w:r w:rsidR="28178B97" w:rsidRPr="19EABF24">
        <w:rPr>
          <w:rFonts w:ascii="Arial" w:hAnsi="Arial" w:cs="Arial"/>
        </w:rPr>
        <w:t xml:space="preserve"> potentially</w:t>
      </w:r>
      <w:r w:rsidR="008D57CA" w:rsidRPr="19EABF24">
        <w:rPr>
          <w:rFonts w:ascii="Arial" w:hAnsi="Arial" w:cs="Arial"/>
        </w:rPr>
        <w:t xml:space="preserve"> higher levels than EL students receiving English-only instruction.</w:t>
      </w:r>
      <w:r w:rsidR="00D05668" w:rsidRPr="19EABF24">
        <w:rPr>
          <w:rFonts w:ascii="Arial" w:hAnsi="Arial" w:cs="Arial"/>
        </w:rPr>
        <w:t xml:space="preserve"> </w:t>
      </w:r>
      <w:r w:rsidR="00755367" w:rsidRPr="19EABF24">
        <w:rPr>
          <w:rFonts w:ascii="Arial" w:hAnsi="Arial" w:cs="Arial"/>
        </w:rPr>
        <w:t xml:space="preserve">These students will </w:t>
      </w:r>
      <w:r w:rsidR="003F6176" w:rsidRPr="19EABF24">
        <w:rPr>
          <w:rFonts w:ascii="Arial" w:hAnsi="Arial" w:cs="Arial"/>
        </w:rPr>
        <w:t>ultimately</w:t>
      </w:r>
      <w:r w:rsidR="00755367" w:rsidRPr="19EABF24">
        <w:rPr>
          <w:rFonts w:ascii="Arial" w:hAnsi="Arial" w:cs="Arial"/>
        </w:rPr>
        <w:t xml:space="preserve"> enter the workforce better equipped to communicate in multiple languages and appreciate</w:t>
      </w:r>
      <w:r w:rsidR="003F6176" w:rsidRPr="19EABF24">
        <w:rPr>
          <w:rFonts w:ascii="Arial" w:hAnsi="Arial" w:cs="Arial"/>
        </w:rPr>
        <w:t xml:space="preserve"> the different cultures they encounter.</w:t>
      </w:r>
    </w:p>
    <w:sectPr w:rsidR="00917C52" w:rsidSect="009D0E78">
      <w:footerReference w:type="default" r:id="rId13"/>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2134" w14:textId="77777777" w:rsidR="00AC7DEB" w:rsidRDefault="00AC7DEB">
      <w:r>
        <w:separator/>
      </w:r>
    </w:p>
  </w:endnote>
  <w:endnote w:type="continuationSeparator" w:id="0">
    <w:p w14:paraId="6E5EF10E" w14:textId="77777777" w:rsidR="00AC7DEB" w:rsidRDefault="00AC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rFonts w:ascii="Arial" w:hAnsi="Arial" w:cs="Arial"/>
        <w:noProof/>
      </w:rPr>
    </w:sdtEndPr>
    <w:sdtContent>
      <w:p w14:paraId="0F946C20" w14:textId="240301E5" w:rsidR="00873A57" w:rsidRPr="00131C7F" w:rsidRDefault="00000000">
        <w:pPr>
          <w:pStyle w:val="Footer"/>
          <w:jc w:val="center"/>
          <w:rPr>
            <w:rFonts w:ascii="Arial" w:hAnsi="Arial" w:cs="Arial"/>
          </w:rPr>
        </w:pPr>
      </w:p>
    </w:sdtContent>
  </w:sdt>
  <w:p w14:paraId="5A7992EC" w14:textId="77777777" w:rsidR="00873A57" w:rsidRDefault="0087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04C29832" w14:textId="77777777" w:rsidR="00873A57" w:rsidRPr="00EA3147" w:rsidRDefault="00873A57">
        <w:pPr>
          <w:pStyle w:val="Footer"/>
          <w:jc w:val="center"/>
          <w:rPr>
            <w:rFonts w:ascii="Arial" w:hAnsi="Arial" w:cs="Arial"/>
          </w:rPr>
        </w:pPr>
        <w:r w:rsidRPr="00EA3147">
          <w:rPr>
            <w:rFonts w:ascii="Arial" w:hAnsi="Arial" w:cs="Arial"/>
          </w:rPr>
          <w:fldChar w:fldCharType="begin"/>
        </w:r>
        <w:r w:rsidRPr="00EA3147">
          <w:rPr>
            <w:rFonts w:ascii="Arial" w:hAnsi="Arial" w:cs="Arial"/>
          </w:rPr>
          <w:instrText xml:space="preserve"> PAGE   \* MERGEFORMAT </w:instrText>
        </w:r>
        <w:r w:rsidRPr="00EA3147">
          <w:rPr>
            <w:rFonts w:ascii="Arial" w:hAnsi="Arial" w:cs="Arial"/>
          </w:rPr>
          <w:fldChar w:fldCharType="separate"/>
        </w:r>
        <w:r w:rsidRPr="00EA3147">
          <w:rPr>
            <w:rFonts w:ascii="Arial" w:hAnsi="Arial" w:cs="Arial"/>
            <w:noProof/>
          </w:rPr>
          <w:t>2</w:t>
        </w:r>
        <w:r w:rsidRPr="00EA3147">
          <w:rPr>
            <w:rFonts w:ascii="Arial" w:hAnsi="Arial" w:cs="Arial"/>
            <w:noProof/>
          </w:rPr>
          <w:fldChar w:fldCharType="end"/>
        </w:r>
      </w:p>
    </w:sdtContent>
  </w:sdt>
  <w:p w14:paraId="38555D21" w14:textId="77777777" w:rsidR="00873A57" w:rsidRDefault="0087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3B32" w14:textId="77777777" w:rsidR="00AC7DEB" w:rsidRDefault="00AC7DEB">
      <w:r>
        <w:separator/>
      </w:r>
    </w:p>
  </w:footnote>
  <w:footnote w:type="continuationSeparator" w:id="0">
    <w:p w14:paraId="27941339" w14:textId="77777777" w:rsidR="00AC7DEB" w:rsidRDefault="00AC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6BBD"/>
    <w:multiLevelType w:val="hybridMultilevel"/>
    <w:tmpl w:val="E41A8046"/>
    <w:lvl w:ilvl="0" w:tplc="675E1FC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B2A08"/>
    <w:multiLevelType w:val="hybridMultilevel"/>
    <w:tmpl w:val="E33ABCDA"/>
    <w:lvl w:ilvl="0" w:tplc="2D7EC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B246E"/>
    <w:multiLevelType w:val="hybridMultilevel"/>
    <w:tmpl w:val="7AD81052"/>
    <w:lvl w:ilvl="0" w:tplc="675E1FC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870C4"/>
    <w:multiLevelType w:val="hybridMultilevel"/>
    <w:tmpl w:val="A0848DA2"/>
    <w:lvl w:ilvl="0" w:tplc="675E1FC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82F3E"/>
    <w:multiLevelType w:val="hybridMultilevel"/>
    <w:tmpl w:val="1ECCDD26"/>
    <w:lvl w:ilvl="0" w:tplc="31B209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772646">
    <w:abstractNumId w:val="5"/>
  </w:num>
  <w:num w:numId="2" w16cid:durableId="1505852286">
    <w:abstractNumId w:val="4"/>
  </w:num>
  <w:num w:numId="3" w16cid:durableId="1980332235">
    <w:abstractNumId w:val="6"/>
  </w:num>
  <w:num w:numId="4" w16cid:durableId="2005039182">
    <w:abstractNumId w:val="7"/>
  </w:num>
  <w:num w:numId="5" w16cid:durableId="430275313">
    <w:abstractNumId w:val="3"/>
  </w:num>
  <w:num w:numId="6" w16cid:durableId="886377330">
    <w:abstractNumId w:val="2"/>
  </w:num>
  <w:num w:numId="7" w16cid:durableId="1469736994">
    <w:abstractNumId w:val="0"/>
  </w:num>
  <w:num w:numId="8" w16cid:durableId="75563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71B8"/>
    <w:rsid w:val="0001146E"/>
    <w:rsid w:val="00012990"/>
    <w:rsid w:val="00017A95"/>
    <w:rsid w:val="000312C5"/>
    <w:rsid w:val="0004782E"/>
    <w:rsid w:val="00047E2C"/>
    <w:rsid w:val="00051C52"/>
    <w:rsid w:val="00072252"/>
    <w:rsid w:val="000738FF"/>
    <w:rsid w:val="0009663A"/>
    <w:rsid w:val="000A2055"/>
    <w:rsid w:val="000A539C"/>
    <w:rsid w:val="000B4BC0"/>
    <w:rsid w:val="000B53D3"/>
    <w:rsid w:val="000B5DE5"/>
    <w:rsid w:val="000C5EB9"/>
    <w:rsid w:val="000D14E3"/>
    <w:rsid w:val="000D5925"/>
    <w:rsid w:val="000E4313"/>
    <w:rsid w:val="000F0CBD"/>
    <w:rsid w:val="000F1179"/>
    <w:rsid w:val="001106A6"/>
    <w:rsid w:val="0011616E"/>
    <w:rsid w:val="00120042"/>
    <w:rsid w:val="001206BF"/>
    <w:rsid w:val="00120E11"/>
    <w:rsid w:val="00126077"/>
    <w:rsid w:val="00130857"/>
    <w:rsid w:val="00131C7F"/>
    <w:rsid w:val="001337F5"/>
    <w:rsid w:val="00136458"/>
    <w:rsid w:val="0014089C"/>
    <w:rsid w:val="001564DF"/>
    <w:rsid w:val="00156903"/>
    <w:rsid w:val="001643F1"/>
    <w:rsid w:val="00175BC6"/>
    <w:rsid w:val="00175D3B"/>
    <w:rsid w:val="0018455A"/>
    <w:rsid w:val="001A47EC"/>
    <w:rsid w:val="001A54C8"/>
    <w:rsid w:val="001B10EA"/>
    <w:rsid w:val="001B6E2E"/>
    <w:rsid w:val="001D0F3A"/>
    <w:rsid w:val="001D1A61"/>
    <w:rsid w:val="001D3101"/>
    <w:rsid w:val="001E4CEA"/>
    <w:rsid w:val="00214500"/>
    <w:rsid w:val="002209B9"/>
    <w:rsid w:val="00231D37"/>
    <w:rsid w:val="00235B32"/>
    <w:rsid w:val="00242B0A"/>
    <w:rsid w:val="002447EB"/>
    <w:rsid w:val="002456C6"/>
    <w:rsid w:val="00261BB4"/>
    <w:rsid w:val="0026353F"/>
    <w:rsid w:val="00272030"/>
    <w:rsid w:val="00272AB6"/>
    <w:rsid w:val="00275553"/>
    <w:rsid w:val="00283238"/>
    <w:rsid w:val="002851FB"/>
    <w:rsid w:val="00290C38"/>
    <w:rsid w:val="0029344F"/>
    <w:rsid w:val="00296427"/>
    <w:rsid w:val="002C4179"/>
    <w:rsid w:val="002D4703"/>
    <w:rsid w:val="002D4B53"/>
    <w:rsid w:val="002E1B90"/>
    <w:rsid w:val="00300558"/>
    <w:rsid w:val="00302514"/>
    <w:rsid w:val="003035E4"/>
    <w:rsid w:val="00304C5A"/>
    <w:rsid w:val="00304F5B"/>
    <w:rsid w:val="003112E2"/>
    <w:rsid w:val="00315109"/>
    <w:rsid w:val="00320F0E"/>
    <w:rsid w:val="0032572B"/>
    <w:rsid w:val="00346117"/>
    <w:rsid w:val="00355B34"/>
    <w:rsid w:val="0035775E"/>
    <w:rsid w:val="003612BA"/>
    <w:rsid w:val="0037701D"/>
    <w:rsid w:val="00377D66"/>
    <w:rsid w:val="00387435"/>
    <w:rsid w:val="0039168F"/>
    <w:rsid w:val="0039506E"/>
    <w:rsid w:val="003953C4"/>
    <w:rsid w:val="003B1A4C"/>
    <w:rsid w:val="003B44A8"/>
    <w:rsid w:val="003B533D"/>
    <w:rsid w:val="003D02A0"/>
    <w:rsid w:val="003D1D63"/>
    <w:rsid w:val="003D31BB"/>
    <w:rsid w:val="003D745D"/>
    <w:rsid w:val="003E7F3D"/>
    <w:rsid w:val="003F6176"/>
    <w:rsid w:val="003F74F8"/>
    <w:rsid w:val="00405981"/>
    <w:rsid w:val="0041626C"/>
    <w:rsid w:val="004237AF"/>
    <w:rsid w:val="00431ADB"/>
    <w:rsid w:val="004335BC"/>
    <w:rsid w:val="00435C9D"/>
    <w:rsid w:val="004422E2"/>
    <w:rsid w:val="0044614D"/>
    <w:rsid w:val="0045760E"/>
    <w:rsid w:val="0046541C"/>
    <w:rsid w:val="00483B49"/>
    <w:rsid w:val="00487A0B"/>
    <w:rsid w:val="00491DAB"/>
    <w:rsid w:val="0049328F"/>
    <w:rsid w:val="00494C1D"/>
    <w:rsid w:val="00494FCC"/>
    <w:rsid w:val="004A1B3F"/>
    <w:rsid w:val="004B1581"/>
    <w:rsid w:val="004B666D"/>
    <w:rsid w:val="004C01EE"/>
    <w:rsid w:val="004C0B59"/>
    <w:rsid w:val="004C21ED"/>
    <w:rsid w:val="004C441C"/>
    <w:rsid w:val="004D4F2B"/>
    <w:rsid w:val="004F0831"/>
    <w:rsid w:val="004F43D1"/>
    <w:rsid w:val="00512289"/>
    <w:rsid w:val="00530516"/>
    <w:rsid w:val="00534DD4"/>
    <w:rsid w:val="00550DA0"/>
    <w:rsid w:val="00552454"/>
    <w:rsid w:val="00560340"/>
    <w:rsid w:val="00561545"/>
    <w:rsid w:val="00574F4F"/>
    <w:rsid w:val="00576FEE"/>
    <w:rsid w:val="005808B8"/>
    <w:rsid w:val="005920C7"/>
    <w:rsid w:val="00594187"/>
    <w:rsid w:val="005A7B79"/>
    <w:rsid w:val="005B20BB"/>
    <w:rsid w:val="005B6623"/>
    <w:rsid w:val="005C51DB"/>
    <w:rsid w:val="005C62B9"/>
    <w:rsid w:val="005C7047"/>
    <w:rsid w:val="005D080F"/>
    <w:rsid w:val="005D0870"/>
    <w:rsid w:val="005E0B3C"/>
    <w:rsid w:val="005E7E5E"/>
    <w:rsid w:val="005F0790"/>
    <w:rsid w:val="00600B09"/>
    <w:rsid w:val="006062A5"/>
    <w:rsid w:val="00607179"/>
    <w:rsid w:val="006111C6"/>
    <w:rsid w:val="006135C3"/>
    <w:rsid w:val="006155B4"/>
    <w:rsid w:val="00621451"/>
    <w:rsid w:val="00631031"/>
    <w:rsid w:val="0063149A"/>
    <w:rsid w:val="0063359E"/>
    <w:rsid w:val="00633B36"/>
    <w:rsid w:val="00643414"/>
    <w:rsid w:val="00652D5C"/>
    <w:rsid w:val="006606F6"/>
    <w:rsid w:val="00664477"/>
    <w:rsid w:val="0066577E"/>
    <w:rsid w:val="00666044"/>
    <w:rsid w:val="0067139D"/>
    <w:rsid w:val="00674E80"/>
    <w:rsid w:val="0068362B"/>
    <w:rsid w:val="006A1802"/>
    <w:rsid w:val="006A5B80"/>
    <w:rsid w:val="006D071B"/>
    <w:rsid w:val="006D093C"/>
    <w:rsid w:val="006D5CC2"/>
    <w:rsid w:val="006F1FCD"/>
    <w:rsid w:val="006F699B"/>
    <w:rsid w:val="00710031"/>
    <w:rsid w:val="0071265A"/>
    <w:rsid w:val="007146DA"/>
    <w:rsid w:val="00714C59"/>
    <w:rsid w:val="0071763E"/>
    <w:rsid w:val="00720475"/>
    <w:rsid w:val="007208A1"/>
    <w:rsid w:val="00721870"/>
    <w:rsid w:val="0072742A"/>
    <w:rsid w:val="00730A57"/>
    <w:rsid w:val="0074058F"/>
    <w:rsid w:val="00747D82"/>
    <w:rsid w:val="00753857"/>
    <w:rsid w:val="00755367"/>
    <w:rsid w:val="007622A0"/>
    <w:rsid w:val="00763CBB"/>
    <w:rsid w:val="00763F3C"/>
    <w:rsid w:val="00771C55"/>
    <w:rsid w:val="00777598"/>
    <w:rsid w:val="00780947"/>
    <w:rsid w:val="007821DC"/>
    <w:rsid w:val="007929A5"/>
    <w:rsid w:val="00792DC6"/>
    <w:rsid w:val="00796322"/>
    <w:rsid w:val="00796C8D"/>
    <w:rsid w:val="007A07BF"/>
    <w:rsid w:val="007A75BB"/>
    <w:rsid w:val="007B327F"/>
    <w:rsid w:val="007C0AE1"/>
    <w:rsid w:val="007C23FC"/>
    <w:rsid w:val="007C4595"/>
    <w:rsid w:val="007D1B7A"/>
    <w:rsid w:val="007F0349"/>
    <w:rsid w:val="007F400C"/>
    <w:rsid w:val="007F56D7"/>
    <w:rsid w:val="00801AD5"/>
    <w:rsid w:val="0080714A"/>
    <w:rsid w:val="00807ADE"/>
    <w:rsid w:val="008134F5"/>
    <w:rsid w:val="0081358A"/>
    <w:rsid w:val="0081446B"/>
    <w:rsid w:val="008206AC"/>
    <w:rsid w:val="008259BC"/>
    <w:rsid w:val="00833E4B"/>
    <w:rsid w:val="00835F78"/>
    <w:rsid w:val="00837E23"/>
    <w:rsid w:val="008501D8"/>
    <w:rsid w:val="008711AB"/>
    <w:rsid w:val="008737BD"/>
    <w:rsid w:val="00873A57"/>
    <w:rsid w:val="008845FC"/>
    <w:rsid w:val="00887676"/>
    <w:rsid w:val="00891A3E"/>
    <w:rsid w:val="00892278"/>
    <w:rsid w:val="00894B45"/>
    <w:rsid w:val="00897B6D"/>
    <w:rsid w:val="0089B63D"/>
    <w:rsid w:val="008A790F"/>
    <w:rsid w:val="008B2DEC"/>
    <w:rsid w:val="008B626A"/>
    <w:rsid w:val="008B703A"/>
    <w:rsid w:val="008B7147"/>
    <w:rsid w:val="008C0338"/>
    <w:rsid w:val="008D0A1B"/>
    <w:rsid w:val="008D36F2"/>
    <w:rsid w:val="008D57CA"/>
    <w:rsid w:val="008E1323"/>
    <w:rsid w:val="008E5DCE"/>
    <w:rsid w:val="008E7A08"/>
    <w:rsid w:val="008F21F9"/>
    <w:rsid w:val="008F74AF"/>
    <w:rsid w:val="00906E4B"/>
    <w:rsid w:val="00906EF7"/>
    <w:rsid w:val="00917C52"/>
    <w:rsid w:val="009211A7"/>
    <w:rsid w:val="0092152A"/>
    <w:rsid w:val="00931486"/>
    <w:rsid w:val="009329D5"/>
    <w:rsid w:val="00941F84"/>
    <w:rsid w:val="009435B2"/>
    <w:rsid w:val="00945C8D"/>
    <w:rsid w:val="00951583"/>
    <w:rsid w:val="009530D2"/>
    <w:rsid w:val="00960062"/>
    <w:rsid w:val="00974160"/>
    <w:rsid w:val="00977B04"/>
    <w:rsid w:val="00980E38"/>
    <w:rsid w:val="00987B44"/>
    <w:rsid w:val="00990EF1"/>
    <w:rsid w:val="009920E9"/>
    <w:rsid w:val="009A1EF8"/>
    <w:rsid w:val="009B5440"/>
    <w:rsid w:val="009B6DEB"/>
    <w:rsid w:val="009C4D2A"/>
    <w:rsid w:val="009C55FA"/>
    <w:rsid w:val="009C5C06"/>
    <w:rsid w:val="009C7D0F"/>
    <w:rsid w:val="009D0E78"/>
    <w:rsid w:val="009E1571"/>
    <w:rsid w:val="009E6005"/>
    <w:rsid w:val="009F0EC0"/>
    <w:rsid w:val="009F2471"/>
    <w:rsid w:val="009F520C"/>
    <w:rsid w:val="009F6B10"/>
    <w:rsid w:val="009F7FFB"/>
    <w:rsid w:val="00A03555"/>
    <w:rsid w:val="00A1047A"/>
    <w:rsid w:val="00A13913"/>
    <w:rsid w:val="00A25DA0"/>
    <w:rsid w:val="00A325B3"/>
    <w:rsid w:val="00A41362"/>
    <w:rsid w:val="00A41FE5"/>
    <w:rsid w:val="00A43998"/>
    <w:rsid w:val="00A46312"/>
    <w:rsid w:val="00A52CA7"/>
    <w:rsid w:val="00A54325"/>
    <w:rsid w:val="00A56C65"/>
    <w:rsid w:val="00A70529"/>
    <w:rsid w:val="00A71481"/>
    <w:rsid w:val="00A71BD4"/>
    <w:rsid w:val="00A80C5D"/>
    <w:rsid w:val="00A80E96"/>
    <w:rsid w:val="00A815DA"/>
    <w:rsid w:val="00A821A3"/>
    <w:rsid w:val="00A86998"/>
    <w:rsid w:val="00A95801"/>
    <w:rsid w:val="00AA256A"/>
    <w:rsid w:val="00AA2641"/>
    <w:rsid w:val="00AA31A7"/>
    <w:rsid w:val="00AA63FC"/>
    <w:rsid w:val="00AB11C4"/>
    <w:rsid w:val="00AB270B"/>
    <w:rsid w:val="00AB4445"/>
    <w:rsid w:val="00AB7E50"/>
    <w:rsid w:val="00AC5C30"/>
    <w:rsid w:val="00AC7DEB"/>
    <w:rsid w:val="00AD1F39"/>
    <w:rsid w:val="00AD7CF2"/>
    <w:rsid w:val="00AE11C1"/>
    <w:rsid w:val="00AE3010"/>
    <w:rsid w:val="00B03AE8"/>
    <w:rsid w:val="00B06B7A"/>
    <w:rsid w:val="00B127B1"/>
    <w:rsid w:val="00B247AA"/>
    <w:rsid w:val="00B26642"/>
    <w:rsid w:val="00B3117C"/>
    <w:rsid w:val="00B32C7D"/>
    <w:rsid w:val="00B34B04"/>
    <w:rsid w:val="00B413A3"/>
    <w:rsid w:val="00B439EF"/>
    <w:rsid w:val="00B46E90"/>
    <w:rsid w:val="00B567A8"/>
    <w:rsid w:val="00B61172"/>
    <w:rsid w:val="00B66A8D"/>
    <w:rsid w:val="00B7215F"/>
    <w:rsid w:val="00B76AAD"/>
    <w:rsid w:val="00BA6DEC"/>
    <w:rsid w:val="00BB73AA"/>
    <w:rsid w:val="00BC78A1"/>
    <w:rsid w:val="00BD0088"/>
    <w:rsid w:val="00BE58C4"/>
    <w:rsid w:val="00BF1A0D"/>
    <w:rsid w:val="00BF1E65"/>
    <w:rsid w:val="00BF53B1"/>
    <w:rsid w:val="00BF66E6"/>
    <w:rsid w:val="00C0444C"/>
    <w:rsid w:val="00C04F54"/>
    <w:rsid w:val="00C106D1"/>
    <w:rsid w:val="00C11A48"/>
    <w:rsid w:val="00C26EE8"/>
    <w:rsid w:val="00C34360"/>
    <w:rsid w:val="00C356FD"/>
    <w:rsid w:val="00C4089A"/>
    <w:rsid w:val="00C5195C"/>
    <w:rsid w:val="00C66A5D"/>
    <w:rsid w:val="00C71652"/>
    <w:rsid w:val="00C7713E"/>
    <w:rsid w:val="00C829EA"/>
    <w:rsid w:val="00C84149"/>
    <w:rsid w:val="00C845E2"/>
    <w:rsid w:val="00C878F6"/>
    <w:rsid w:val="00C931E4"/>
    <w:rsid w:val="00C96DAB"/>
    <w:rsid w:val="00CB3776"/>
    <w:rsid w:val="00CB6C16"/>
    <w:rsid w:val="00CC7042"/>
    <w:rsid w:val="00CD3DA5"/>
    <w:rsid w:val="00CD5721"/>
    <w:rsid w:val="00CE02B1"/>
    <w:rsid w:val="00CE6805"/>
    <w:rsid w:val="00CE7226"/>
    <w:rsid w:val="00CF33F5"/>
    <w:rsid w:val="00D03596"/>
    <w:rsid w:val="00D05668"/>
    <w:rsid w:val="00D24D9B"/>
    <w:rsid w:val="00D62EC8"/>
    <w:rsid w:val="00D66787"/>
    <w:rsid w:val="00D87D89"/>
    <w:rsid w:val="00D91199"/>
    <w:rsid w:val="00D92C9D"/>
    <w:rsid w:val="00DA3BED"/>
    <w:rsid w:val="00DA6F86"/>
    <w:rsid w:val="00DA7FAD"/>
    <w:rsid w:val="00DB0758"/>
    <w:rsid w:val="00DD52F4"/>
    <w:rsid w:val="00DE4536"/>
    <w:rsid w:val="00DE7683"/>
    <w:rsid w:val="00DF256C"/>
    <w:rsid w:val="00E01F08"/>
    <w:rsid w:val="00E15347"/>
    <w:rsid w:val="00E15393"/>
    <w:rsid w:val="00E22030"/>
    <w:rsid w:val="00E222EE"/>
    <w:rsid w:val="00E31573"/>
    <w:rsid w:val="00E32BA9"/>
    <w:rsid w:val="00E3403F"/>
    <w:rsid w:val="00E421E6"/>
    <w:rsid w:val="00E43C6D"/>
    <w:rsid w:val="00E446D8"/>
    <w:rsid w:val="00E53E71"/>
    <w:rsid w:val="00E554F1"/>
    <w:rsid w:val="00E56D00"/>
    <w:rsid w:val="00E570DC"/>
    <w:rsid w:val="00E61CEE"/>
    <w:rsid w:val="00E65874"/>
    <w:rsid w:val="00E738CF"/>
    <w:rsid w:val="00E857D5"/>
    <w:rsid w:val="00E86774"/>
    <w:rsid w:val="00E87C94"/>
    <w:rsid w:val="00E92052"/>
    <w:rsid w:val="00E92E24"/>
    <w:rsid w:val="00E93482"/>
    <w:rsid w:val="00E94C25"/>
    <w:rsid w:val="00EA3147"/>
    <w:rsid w:val="00EA6644"/>
    <w:rsid w:val="00EA691A"/>
    <w:rsid w:val="00EB300B"/>
    <w:rsid w:val="00ED04DA"/>
    <w:rsid w:val="00EE1F98"/>
    <w:rsid w:val="00EE3BB5"/>
    <w:rsid w:val="00EE4283"/>
    <w:rsid w:val="00EF1505"/>
    <w:rsid w:val="00F03BB9"/>
    <w:rsid w:val="00F05218"/>
    <w:rsid w:val="00F07BDC"/>
    <w:rsid w:val="00F20BDC"/>
    <w:rsid w:val="00F22508"/>
    <w:rsid w:val="00F23211"/>
    <w:rsid w:val="00F24684"/>
    <w:rsid w:val="00F31D85"/>
    <w:rsid w:val="00F32A96"/>
    <w:rsid w:val="00F432B7"/>
    <w:rsid w:val="00F46499"/>
    <w:rsid w:val="00F614E3"/>
    <w:rsid w:val="00F633EE"/>
    <w:rsid w:val="00F65FE4"/>
    <w:rsid w:val="00F6612A"/>
    <w:rsid w:val="00F66FA8"/>
    <w:rsid w:val="00F8564E"/>
    <w:rsid w:val="00FA0472"/>
    <w:rsid w:val="00FA0AD0"/>
    <w:rsid w:val="00FC7D1A"/>
    <w:rsid w:val="00FD16DE"/>
    <w:rsid w:val="00FD73CB"/>
    <w:rsid w:val="00FE7BA8"/>
    <w:rsid w:val="01739C77"/>
    <w:rsid w:val="02C98D14"/>
    <w:rsid w:val="03614E23"/>
    <w:rsid w:val="0468FF0C"/>
    <w:rsid w:val="0516DE4E"/>
    <w:rsid w:val="0562C5BA"/>
    <w:rsid w:val="05F168AC"/>
    <w:rsid w:val="0654B801"/>
    <w:rsid w:val="0787A29C"/>
    <w:rsid w:val="08A716AE"/>
    <w:rsid w:val="08D1CC9F"/>
    <w:rsid w:val="09280345"/>
    <w:rsid w:val="0933AF2F"/>
    <w:rsid w:val="09B8DED0"/>
    <w:rsid w:val="0A963DC7"/>
    <w:rsid w:val="0A9D0B47"/>
    <w:rsid w:val="0B91A41A"/>
    <w:rsid w:val="0BC24CA9"/>
    <w:rsid w:val="0C0E2A4A"/>
    <w:rsid w:val="0C3DD65D"/>
    <w:rsid w:val="0C5EA8EE"/>
    <w:rsid w:val="0C98D455"/>
    <w:rsid w:val="0D133C9D"/>
    <w:rsid w:val="0D154BA7"/>
    <w:rsid w:val="0D5F0D18"/>
    <w:rsid w:val="0E800779"/>
    <w:rsid w:val="0E866D01"/>
    <w:rsid w:val="0F8B4E42"/>
    <w:rsid w:val="0F8F74E8"/>
    <w:rsid w:val="0FC2AB21"/>
    <w:rsid w:val="101E621F"/>
    <w:rsid w:val="10434C45"/>
    <w:rsid w:val="10BE2858"/>
    <w:rsid w:val="10F5B3ED"/>
    <w:rsid w:val="11592552"/>
    <w:rsid w:val="123B58AC"/>
    <w:rsid w:val="13D88227"/>
    <w:rsid w:val="15766560"/>
    <w:rsid w:val="167C9598"/>
    <w:rsid w:val="177D4B7D"/>
    <w:rsid w:val="17AA606C"/>
    <w:rsid w:val="17BDB8B2"/>
    <w:rsid w:val="17BFAA6F"/>
    <w:rsid w:val="17FAB225"/>
    <w:rsid w:val="1958477A"/>
    <w:rsid w:val="19EABF24"/>
    <w:rsid w:val="1A0CEC4B"/>
    <w:rsid w:val="1A9B6171"/>
    <w:rsid w:val="1B5A22BD"/>
    <w:rsid w:val="1BBC586D"/>
    <w:rsid w:val="1BFD0F3B"/>
    <w:rsid w:val="1CC78BB3"/>
    <w:rsid w:val="1D1A8347"/>
    <w:rsid w:val="1D3F6DED"/>
    <w:rsid w:val="1DC9DEC9"/>
    <w:rsid w:val="1E12DA8A"/>
    <w:rsid w:val="1E22EC7B"/>
    <w:rsid w:val="1EDF2171"/>
    <w:rsid w:val="1FE39D7B"/>
    <w:rsid w:val="202608A6"/>
    <w:rsid w:val="2063D544"/>
    <w:rsid w:val="20D330BC"/>
    <w:rsid w:val="22120007"/>
    <w:rsid w:val="229A36CF"/>
    <w:rsid w:val="22B206EB"/>
    <w:rsid w:val="2323AA6B"/>
    <w:rsid w:val="232F95ED"/>
    <w:rsid w:val="23381365"/>
    <w:rsid w:val="23F65CEA"/>
    <w:rsid w:val="240307A9"/>
    <w:rsid w:val="245B8116"/>
    <w:rsid w:val="24640363"/>
    <w:rsid w:val="251B16F6"/>
    <w:rsid w:val="25D76E46"/>
    <w:rsid w:val="25F78D21"/>
    <w:rsid w:val="2664A2BF"/>
    <w:rsid w:val="27EC99CE"/>
    <w:rsid w:val="28178B97"/>
    <w:rsid w:val="2817B41E"/>
    <w:rsid w:val="28B5F5C3"/>
    <w:rsid w:val="29EF125E"/>
    <w:rsid w:val="2A7C4E31"/>
    <w:rsid w:val="2B15F080"/>
    <w:rsid w:val="2B79FD8B"/>
    <w:rsid w:val="2D5D5980"/>
    <w:rsid w:val="2DBA7039"/>
    <w:rsid w:val="2DD282E2"/>
    <w:rsid w:val="2EB33E54"/>
    <w:rsid w:val="2F47E60A"/>
    <w:rsid w:val="2FA843D3"/>
    <w:rsid w:val="2FEBB8FC"/>
    <w:rsid w:val="30759420"/>
    <w:rsid w:val="31456D2C"/>
    <w:rsid w:val="321B826D"/>
    <w:rsid w:val="3468F3AF"/>
    <w:rsid w:val="3481DA8C"/>
    <w:rsid w:val="34F8B11C"/>
    <w:rsid w:val="372864FB"/>
    <w:rsid w:val="37A262E7"/>
    <w:rsid w:val="37A712A6"/>
    <w:rsid w:val="37A7D4D9"/>
    <w:rsid w:val="3838D943"/>
    <w:rsid w:val="384634FA"/>
    <w:rsid w:val="38ABA30C"/>
    <w:rsid w:val="39186B03"/>
    <w:rsid w:val="39A2145D"/>
    <w:rsid w:val="39B30B9A"/>
    <w:rsid w:val="39BA3B1C"/>
    <w:rsid w:val="39CC7630"/>
    <w:rsid w:val="3A196DEE"/>
    <w:rsid w:val="3A744CD0"/>
    <w:rsid w:val="3A8F7A30"/>
    <w:rsid w:val="3B5D8E0D"/>
    <w:rsid w:val="3B9A13A8"/>
    <w:rsid w:val="3CB93446"/>
    <w:rsid w:val="3D1A22AD"/>
    <w:rsid w:val="3D26F42E"/>
    <w:rsid w:val="3E8CD6CD"/>
    <w:rsid w:val="3ED31F61"/>
    <w:rsid w:val="401F2238"/>
    <w:rsid w:val="402CABCF"/>
    <w:rsid w:val="413783CC"/>
    <w:rsid w:val="417E0D52"/>
    <w:rsid w:val="42043831"/>
    <w:rsid w:val="422450FF"/>
    <w:rsid w:val="42DCEA2C"/>
    <w:rsid w:val="43148C6C"/>
    <w:rsid w:val="434F57F2"/>
    <w:rsid w:val="436F744F"/>
    <w:rsid w:val="440B9420"/>
    <w:rsid w:val="44D711F1"/>
    <w:rsid w:val="458C074F"/>
    <w:rsid w:val="4A1B25F3"/>
    <w:rsid w:val="4BCF1157"/>
    <w:rsid w:val="4C05089B"/>
    <w:rsid w:val="4C0FB0A4"/>
    <w:rsid w:val="4C9AB9BC"/>
    <w:rsid w:val="4D280B16"/>
    <w:rsid w:val="4E2362CE"/>
    <w:rsid w:val="501F17DE"/>
    <w:rsid w:val="505B6026"/>
    <w:rsid w:val="51E6B765"/>
    <w:rsid w:val="52220BC4"/>
    <w:rsid w:val="52A64A0C"/>
    <w:rsid w:val="530722E8"/>
    <w:rsid w:val="53E0BF3F"/>
    <w:rsid w:val="54713FC4"/>
    <w:rsid w:val="5489C47E"/>
    <w:rsid w:val="54BE97C8"/>
    <w:rsid w:val="55745387"/>
    <w:rsid w:val="55EAD06A"/>
    <w:rsid w:val="565B4D71"/>
    <w:rsid w:val="5695E863"/>
    <w:rsid w:val="573958E9"/>
    <w:rsid w:val="57513EAA"/>
    <w:rsid w:val="577A12C2"/>
    <w:rsid w:val="57AFFC33"/>
    <w:rsid w:val="58369F9A"/>
    <w:rsid w:val="59098C76"/>
    <w:rsid w:val="59B61343"/>
    <w:rsid w:val="5A74AC18"/>
    <w:rsid w:val="5B4D63DB"/>
    <w:rsid w:val="5D571F60"/>
    <w:rsid w:val="5DA02985"/>
    <w:rsid w:val="5F0C687B"/>
    <w:rsid w:val="5F0CDBD7"/>
    <w:rsid w:val="5FEA38B1"/>
    <w:rsid w:val="61F6CFFE"/>
    <w:rsid w:val="636B7E02"/>
    <w:rsid w:val="63B32BB5"/>
    <w:rsid w:val="6433303C"/>
    <w:rsid w:val="6452E3BD"/>
    <w:rsid w:val="652A336F"/>
    <w:rsid w:val="65F9B204"/>
    <w:rsid w:val="667DEB64"/>
    <w:rsid w:val="669F4F2F"/>
    <w:rsid w:val="66EF0AF7"/>
    <w:rsid w:val="67542D0A"/>
    <w:rsid w:val="67C0F2AD"/>
    <w:rsid w:val="6A4CCDC1"/>
    <w:rsid w:val="6AC75239"/>
    <w:rsid w:val="6BA1FC33"/>
    <w:rsid w:val="6BDDA8F3"/>
    <w:rsid w:val="6BE244EF"/>
    <w:rsid w:val="6C8A5F77"/>
    <w:rsid w:val="6CB53982"/>
    <w:rsid w:val="6CD7AAD8"/>
    <w:rsid w:val="6CED7C83"/>
    <w:rsid w:val="6DAE6CE9"/>
    <w:rsid w:val="6E4A2A80"/>
    <w:rsid w:val="6ED3B148"/>
    <w:rsid w:val="703CB226"/>
    <w:rsid w:val="7102045B"/>
    <w:rsid w:val="71CE98FF"/>
    <w:rsid w:val="71D5EFDA"/>
    <w:rsid w:val="71F2E3FA"/>
    <w:rsid w:val="71F73ECF"/>
    <w:rsid w:val="73384551"/>
    <w:rsid w:val="734A37D7"/>
    <w:rsid w:val="738A4A09"/>
    <w:rsid w:val="73DC6560"/>
    <w:rsid w:val="73E70666"/>
    <w:rsid w:val="7459D96A"/>
    <w:rsid w:val="747A9EEE"/>
    <w:rsid w:val="74CF407E"/>
    <w:rsid w:val="750C3C1A"/>
    <w:rsid w:val="757FCAF3"/>
    <w:rsid w:val="7624BE5D"/>
    <w:rsid w:val="77177157"/>
    <w:rsid w:val="772FEEDE"/>
    <w:rsid w:val="77C8BB60"/>
    <w:rsid w:val="78008A88"/>
    <w:rsid w:val="78513302"/>
    <w:rsid w:val="7950D17A"/>
    <w:rsid w:val="798854CE"/>
    <w:rsid w:val="79C8E4C1"/>
    <w:rsid w:val="7AF12F35"/>
    <w:rsid w:val="7B7CDB73"/>
    <w:rsid w:val="7BD537C3"/>
    <w:rsid w:val="7CDBC559"/>
    <w:rsid w:val="7D46E103"/>
    <w:rsid w:val="7DA6F42A"/>
    <w:rsid w:val="7DA97084"/>
    <w:rsid w:val="7DD99930"/>
    <w:rsid w:val="7E945021"/>
    <w:rsid w:val="7EBE54A0"/>
    <w:rsid w:val="7ECE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6A"/>
    <w:rPr>
      <w:sz w:val="24"/>
      <w:szCs w:val="24"/>
    </w:rPr>
  </w:style>
  <w:style w:type="paragraph" w:styleId="Heading1">
    <w:name w:val="heading 1"/>
    <w:basedOn w:val="Normal"/>
    <w:next w:val="Normal"/>
    <w:qFormat/>
    <w:rsid w:val="009F0EC0"/>
    <w:pPr>
      <w:pBdr>
        <w:top w:val="single" w:sz="24" w:space="31" w:color="auto"/>
        <w:left w:val="single" w:sz="24" w:space="4" w:color="auto"/>
        <w:bottom w:val="single" w:sz="24" w:space="1" w:color="auto"/>
        <w:right w:val="single" w:sz="24" w:space="4" w:color="auto"/>
      </w:pBdr>
      <w:spacing w:before="360" w:after="720"/>
      <w:jc w:val="center"/>
      <w:outlineLvl w:val="0"/>
    </w:pPr>
    <w:rPr>
      <w:rFonts w:ascii="Arial" w:hAnsi="Arial" w:cs="Arial"/>
      <w:b/>
      <w:sz w:val="28"/>
      <w:szCs w:val="28"/>
    </w:rPr>
  </w:style>
  <w:style w:type="paragraph" w:styleId="Heading2">
    <w:name w:val="heading 2"/>
    <w:basedOn w:val="Normal"/>
    <w:next w:val="Normal"/>
    <w:link w:val="Heading2Char"/>
    <w:unhideWhenUsed/>
    <w:qFormat/>
    <w:rsid w:val="009D0E78"/>
    <w:pPr>
      <w:keepNext/>
      <w:keepLines/>
      <w:spacing w:before="240" w:after="240"/>
      <w:jc w:val="center"/>
      <w:outlineLvl w:val="1"/>
    </w:pPr>
    <w:rPr>
      <w:rFonts w:ascii="Arial" w:eastAsiaTheme="majorEastAsia" w:hAnsi="Arial" w:cstheme="majorBidi"/>
      <w:b/>
      <w:sz w:val="28"/>
      <w:szCs w:val="26"/>
    </w:rPr>
  </w:style>
  <w:style w:type="paragraph" w:styleId="Heading3">
    <w:name w:val="heading 3"/>
    <w:basedOn w:val="Normal"/>
    <w:next w:val="Normal"/>
    <w:link w:val="Heading3Char"/>
    <w:unhideWhenUsed/>
    <w:qFormat/>
    <w:rsid w:val="008B626A"/>
    <w:pPr>
      <w:spacing w:before="240" w:after="24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941F84"/>
    <w:pPr>
      <w:tabs>
        <w:tab w:val="right" w:leader="dot" w:pos="8990"/>
      </w:tabs>
      <w:spacing w:after="100"/>
    </w:pPr>
    <w:rPr>
      <w:rFonts w:ascii="Arial" w:hAnsi="Arial"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Heading2Char">
    <w:name w:val="Heading 2 Char"/>
    <w:basedOn w:val="DefaultParagraphFont"/>
    <w:link w:val="Heading2"/>
    <w:rsid w:val="009D0E78"/>
    <w:rPr>
      <w:rFonts w:ascii="Arial" w:eastAsiaTheme="majorEastAsia" w:hAnsi="Arial" w:cstheme="majorBidi"/>
      <w:b/>
      <w:sz w:val="28"/>
      <w:szCs w:val="26"/>
    </w:rPr>
  </w:style>
  <w:style w:type="character" w:customStyle="1" w:styleId="Heading3Char">
    <w:name w:val="Heading 3 Char"/>
    <w:basedOn w:val="DefaultParagraphFont"/>
    <w:link w:val="Heading3"/>
    <w:rsid w:val="008B626A"/>
    <w:rPr>
      <w:rFonts w:ascii="Arial" w:hAnsi="Arial" w:cs="Arial"/>
      <w:b/>
      <w:bCs/>
      <w:sz w:val="24"/>
      <w:szCs w:val="24"/>
    </w:rPr>
  </w:style>
  <w:style w:type="paragraph" w:styleId="TOCHeading">
    <w:name w:val="TOC Heading"/>
    <w:basedOn w:val="Heading1"/>
    <w:next w:val="Normal"/>
    <w:uiPriority w:val="39"/>
    <w:unhideWhenUsed/>
    <w:qFormat/>
    <w:rsid w:val="002209B9"/>
    <w:pPr>
      <w:keepLines/>
      <w:spacing w:before="240" w:line="259" w:lineRule="auto"/>
      <w:jc w:val="left"/>
      <w:outlineLvl w:val="9"/>
    </w:pPr>
    <w:rPr>
      <w:rFonts w:asciiTheme="majorHAnsi" w:eastAsiaTheme="majorEastAsia" w:hAnsiTheme="majorHAnsi" w:cstheme="majorBidi"/>
      <w:b w:val="0"/>
      <w:bCs/>
      <w:color w:val="2F5496" w:themeColor="accent1" w:themeShade="BF"/>
      <w:sz w:val="32"/>
      <w:szCs w:val="32"/>
    </w:rPr>
  </w:style>
  <w:style w:type="paragraph" w:styleId="Revision">
    <w:name w:val="Revision"/>
    <w:hidden/>
    <w:uiPriority w:val="99"/>
    <w:semiHidden/>
    <w:rsid w:val="005920C7"/>
    <w:rPr>
      <w:sz w:val="24"/>
      <w:szCs w:val="24"/>
    </w:rPr>
  </w:style>
  <w:style w:type="character" w:styleId="FollowedHyperlink">
    <w:name w:val="FollowedHyperlink"/>
    <w:basedOn w:val="DefaultParagraphFont"/>
    <w:rsid w:val="00DA7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1347100864">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LO@cde.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ml/dliginfo.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DLIG Legislative Report - Multilingual Learners (CA Dept of Education)</dc:title>
  <dc:subject>Dual Language Immersion Grant 2026 Legislative Report.</dc:subject>
  <dc:creator/>
  <cp:keywords/>
  <dc:description/>
  <cp:lastModifiedBy/>
  <cp:revision>1</cp:revision>
  <dcterms:created xsi:type="dcterms:W3CDTF">2026-06-02T16:57:00Z</dcterms:created>
  <dcterms:modified xsi:type="dcterms:W3CDTF">2026-06-02T19:03:00Z</dcterms:modified>
</cp:coreProperties>
</file>