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5.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5D762" w14:textId="2EB38974" w:rsidR="00DA068D" w:rsidRPr="002F0E3F" w:rsidRDefault="00496904" w:rsidP="004C0B0E">
      <w:pPr>
        <w:spacing w:after="240"/>
        <w:rPr>
          <w:rFonts w:cs="Arial"/>
        </w:rPr>
      </w:pPr>
      <w:r w:rsidRPr="002F0E3F">
        <w:rPr>
          <w:noProof/>
        </w:rPr>
        <mc:AlternateContent>
          <mc:Choice Requires="wpg">
            <w:drawing>
              <wp:anchor distT="0" distB="0" distL="114300" distR="114300" simplePos="0" relativeHeight="251662336" behindDoc="0" locked="0" layoutInCell="1" allowOverlap="1" wp14:anchorId="02BD5E86" wp14:editId="7F819CCB">
                <wp:simplePos x="0" y="0"/>
                <wp:positionH relativeFrom="column">
                  <wp:posOffset>-619125</wp:posOffset>
                </wp:positionH>
                <wp:positionV relativeFrom="paragraph">
                  <wp:posOffset>347</wp:posOffset>
                </wp:positionV>
                <wp:extent cx="7294880" cy="1313815"/>
                <wp:effectExtent l="0" t="0" r="1270" b="635"/>
                <wp:wrapTopAndBottom/>
                <wp:docPr id="149" name="Group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94880" cy="1313815"/>
                          <a:chOff x="0" y="-1"/>
                          <a:chExt cx="7315200" cy="1225031"/>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The top border of the front cover has green triangles overlapping at the top of the page." title="Front Cover Border"/>
                        <wps:cNvSpPr/>
                        <wps:spPr>
                          <a:xfrm>
                            <a:off x="0" y="8878"/>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E6967B" id="Group 149" o:spid="_x0000_s1026" alt="&quot;&quot;" style="position:absolute;margin-left:-48.75pt;margin-top:.05pt;width:574.4pt;height:103.45pt;z-index:251662336" coordorigin="" coordsize="73152,1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" path="m,l7312660,r,1129665l3619500,733425,,1091565,,xe" fillcolor="#ed7d31 [3205]" stroked="f">
                  <v:path arrowok="t" o:connecttype="custom" o:connectlocs="0,0;7315200,0;7315200,1130373;3620757,733885;0,1092249;0,0" o:connectangles="0,0,0,0,0,0"/>
                </v:shape>
                <v:rect id="Rectangle 151" o:spid="_x0000_s1028" alt="The top border of the front cover has green triangles overlapping at the top of the page." style="position:absolute;top:88;width:73152;height:12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The top border of the front cover has green triangles overlapping at the top of the page" recolor="t" rotate="t" type="frame"/>
                </v:rect>
                <w10:wrap type="topAndBottom"/>
              </v:group>
            </w:pict>
          </mc:Fallback>
        </mc:AlternateContent>
      </w:r>
      <w:r w:rsidR="00AA221C" w:rsidRPr="002F0E3F">
        <w:rPr>
          <w:noProof/>
        </w:rPr>
        <w:drawing>
          <wp:anchor distT="0" distB="0" distL="114300" distR="114300" simplePos="0" relativeHeight="251659264" behindDoc="0" locked="0" layoutInCell="1" allowOverlap="1" wp14:anchorId="6C5873D7" wp14:editId="38ACF990">
            <wp:simplePos x="0" y="0"/>
            <wp:positionH relativeFrom="margin">
              <wp:align>center</wp:align>
            </wp:positionH>
            <wp:positionV relativeFrom="page">
              <wp:posOffset>2468880</wp:posOffset>
            </wp:positionV>
            <wp:extent cx="2590800" cy="2903855"/>
            <wp:effectExtent l="0" t="0" r="0" b="0"/>
            <wp:wrapTopAndBottom/>
            <wp:docPr id="18" name="Picture 3" descr="The Migrant Education logo has the outline of California with children dancing around a graduation cap enclosed in a circle with the words &quot;Migrant Education Harvests of Hop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descr="The Migrant Education logo has the outline of California with children dancing around a graduation cap enclosed in a circle with the words &quot;Migrant Education Harvests of Hope&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2903855"/>
                    </a:xfrm>
                    <a:prstGeom prst="rect">
                      <a:avLst/>
                    </a:prstGeom>
                    <a:noFill/>
                  </pic:spPr>
                </pic:pic>
              </a:graphicData>
            </a:graphic>
            <wp14:sizeRelH relativeFrom="margin">
              <wp14:pctWidth>0</wp14:pctWidth>
            </wp14:sizeRelH>
            <wp14:sizeRelV relativeFrom="margin">
              <wp14:pctHeight>0</wp14:pctHeight>
            </wp14:sizeRelV>
          </wp:anchor>
        </w:drawing>
      </w:r>
    </w:p>
    <w:p w14:paraId="5B72E642" w14:textId="08375660" w:rsidR="00E13066" w:rsidRDefault="00E13066" w:rsidP="00E13066">
      <w:pPr>
        <w:pStyle w:val="Heading1"/>
        <w:spacing w:before="960"/>
        <w:rPr>
          <w:color w:val="404040"/>
          <w:sz w:val="44"/>
          <w:szCs w:val="44"/>
        </w:rPr>
      </w:pPr>
      <w:r w:rsidRPr="00075236">
        <w:t>C</w:t>
      </w:r>
      <w:r w:rsidRPr="00075236">
        <w:rPr>
          <w:caps w:val="0"/>
        </w:rPr>
        <w:t xml:space="preserve">omprehensive </w:t>
      </w:r>
      <w:r>
        <w:rPr>
          <w:caps w:val="0"/>
        </w:rPr>
        <w:t>N</w:t>
      </w:r>
      <w:r w:rsidRPr="00075236">
        <w:rPr>
          <w:caps w:val="0"/>
        </w:rPr>
        <w:t>eeds Assessment</w:t>
      </w:r>
      <w:r w:rsidRPr="00E13066">
        <w:rPr>
          <w:caps w:val="0"/>
          <w:color w:val="404040"/>
          <w:sz w:val="44"/>
          <w:szCs w:val="44"/>
        </w:rPr>
        <w:t xml:space="preserve"> </w:t>
      </w:r>
    </w:p>
    <w:p w14:paraId="4A7A7F2D" w14:textId="65DFF2CF" w:rsidR="00E13066" w:rsidRDefault="00E13066" w:rsidP="00E13066">
      <w:pPr>
        <w:spacing w:before="120"/>
        <w:jc w:val="center"/>
        <w:rPr>
          <w:rFonts w:cs="Arial"/>
          <w:sz w:val="52"/>
          <w:szCs w:val="52"/>
        </w:rPr>
      </w:pPr>
      <w:r w:rsidRPr="00075236">
        <w:rPr>
          <w:color w:val="404040"/>
          <w:sz w:val="44"/>
          <w:szCs w:val="44"/>
        </w:rPr>
        <w:t xml:space="preserve">Report </w:t>
      </w:r>
      <w:proofErr w:type="gramStart"/>
      <w:r w:rsidRPr="00075236">
        <w:rPr>
          <w:color w:val="404040"/>
          <w:sz w:val="44"/>
          <w:szCs w:val="44"/>
        </w:rPr>
        <w:t>of</w:t>
      </w:r>
      <w:proofErr w:type="gramEnd"/>
      <w:r w:rsidRPr="00075236">
        <w:rPr>
          <w:color w:val="404040"/>
          <w:sz w:val="44"/>
          <w:szCs w:val="44"/>
        </w:rPr>
        <w:t xml:space="preserve"> Initial Findings</w:t>
      </w:r>
    </w:p>
    <w:p w14:paraId="7902B04D" w14:textId="77777777" w:rsidR="00E13066" w:rsidRPr="00E13066" w:rsidRDefault="00E13066" w:rsidP="00E13066">
      <w:pPr>
        <w:spacing w:before="3000"/>
        <w:ind w:firstLine="270"/>
        <w:jc w:val="center"/>
        <w:rPr>
          <w:rFonts w:cs="Arial"/>
        </w:rPr>
      </w:pPr>
      <w:r w:rsidRPr="00E13066">
        <w:rPr>
          <w:rFonts w:cs="Arial"/>
        </w:rPr>
        <w:t>California Department of Education</w:t>
      </w:r>
    </w:p>
    <w:p w14:paraId="773285A3" w14:textId="77777777" w:rsidR="00E13066" w:rsidRPr="00E13066" w:rsidRDefault="00E13066" w:rsidP="00E13066">
      <w:pPr>
        <w:ind w:firstLine="270"/>
        <w:jc w:val="center"/>
        <w:rPr>
          <w:rFonts w:cs="Arial"/>
        </w:rPr>
      </w:pPr>
      <w:r w:rsidRPr="00E13066">
        <w:rPr>
          <w:rFonts w:cs="Arial"/>
        </w:rPr>
        <w:t>Migrant Education Office</w:t>
      </w:r>
    </w:p>
    <w:p w14:paraId="1B0CC3D2" w14:textId="35AFD1EF" w:rsidR="00E13066" w:rsidRPr="00E13066" w:rsidRDefault="00E13066" w:rsidP="00E13066">
      <w:pPr>
        <w:ind w:firstLine="270"/>
        <w:jc w:val="center"/>
        <w:rPr>
          <w:rFonts w:cs="Arial"/>
        </w:rPr>
      </w:pPr>
      <w:r w:rsidRPr="00E13066">
        <w:rPr>
          <w:rFonts w:cs="Arial"/>
        </w:rPr>
        <w:t>2025</w:t>
      </w:r>
      <w:r w:rsidR="00DA068D" w:rsidRPr="002F0E3F">
        <w:rPr>
          <w:rFonts w:cs="Arial"/>
        </w:rPr>
        <w:br w:type="page"/>
      </w:r>
    </w:p>
    <w:p w14:paraId="3EB4B2C1" w14:textId="53C10397" w:rsidR="00DA068D" w:rsidRPr="002F0E3F" w:rsidRDefault="00DA068D" w:rsidP="00CE046D">
      <w:pPr>
        <w:spacing w:after="240"/>
        <w:ind w:left="-540" w:firstLine="6660"/>
        <w:rPr>
          <w:rFonts w:cs="Arial"/>
        </w:rPr>
      </w:pPr>
    </w:p>
    <w:p w14:paraId="353A5C2C" w14:textId="77777777" w:rsidR="00BC5EA2" w:rsidRPr="002F0E3F" w:rsidRDefault="00BC5EA2" w:rsidP="004D2448">
      <w:pPr>
        <w:pStyle w:val="Heading2"/>
        <w:spacing w:after="120"/>
        <w:rPr>
          <w:b/>
        </w:rPr>
      </w:pPr>
      <w:bookmarkStart w:id="0" w:name="_Toc188361301"/>
      <w:bookmarkStart w:id="1" w:name="_Toc496195892"/>
      <w:r w:rsidRPr="002F0E3F">
        <w:rPr>
          <w:b/>
        </w:rPr>
        <w:t>Table of Contents</w:t>
      </w:r>
      <w:bookmarkEnd w:id="0"/>
    </w:p>
    <w:p w14:paraId="24AA8B96" w14:textId="3EE335B5" w:rsidR="00075236" w:rsidRPr="00E13066" w:rsidRDefault="00BC5EA2" w:rsidP="00E13066">
      <w:pPr>
        <w:pStyle w:val="TOC2"/>
        <w:rPr>
          <w:rFonts w:asciiTheme="minorHAnsi" w:eastAsiaTheme="minorEastAsia" w:hAnsiTheme="minorHAnsi" w:cstheme="minorBidi"/>
          <w:kern w:val="2"/>
          <w14:ligatures w14:val="standardContextual"/>
        </w:rPr>
      </w:pPr>
      <w:r w:rsidRPr="00E13066">
        <w:rPr>
          <w:rFonts w:cs="Arial"/>
        </w:rPr>
        <w:fldChar w:fldCharType="begin"/>
      </w:r>
      <w:r w:rsidRPr="00E13066">
        <w:rPr>
          <w:rFonts w:cs="Arial"/>
        </w:rPr>
        <w:instrText xml:space="preserve"> TOC \o "1-3" \h \z \u </w:instrText>
      </w:r>
      <w:r w:rsidRPr="00E13066">
        <w:rPr>
          <w:rFonts w:cs="Arial"/>
        </w:rPr>
        <w:fldChar w:fldCharType="separate"/>
      </w:r>
      <w:hyperlink w:anchor="_Toc188361301" w:history="1">
        <w:r w:rsidR="00075236" w:rsidRPr="00E13066">
          <w:rPr>
            <w:rStyle w:val="Hyperlink"/>
          </w:rPr>
          <w:t>Table of Contents</w:t>
        </w:r>
        <w:r w:rsidR="00075236" w:rsidRPr="00E13066">
          <w:rPr>
            <w:webHidden/>
          </w:rPr>
          <w:tab/>
        </w:r>
        <w:r w:rsidR="00075236" w:rsidRPr="00E13066">
          <w:rPr>
            <w:webHidden/>
          </w:rPr>
          <w:fldChar w:fldCharType="begin"/>
        </w:r>
        <w:r w:rsidR="00075236" w:rsidRPr="00E13066">
          <w:rPr>
            <w:webHidden/>
          </w:rPr>
          <w:instrText xml:space="preserve"> PAGEREF _Toc188361301 \h </w:instrText>
        </w:r>
        <w:r w:rsidR="00075236" w:rsidRPr="00E13066">
          <w:rPr>
            <w:webHidden/>
          </w:rPr>
        </w:r>
        <w:r w:rsidR="00075236" w:rsidRPr="00E13066">
          <w:rPr>
            <w:webHidden/>
          </w:rPr>
          <w:fldChar w:fldCharType="separate"/>
        </w:r>
        <w:r w:rsidR="009D10E5">
          <w:rPr>
            <w:webHidden/>
          </w:rPr>
          <w:t>i</w:t>
        </w:r>
        <w:r w:rsidR="00075236" w:rsidRPr="00E13066">
          <w:rPr>
            <w:webHidden/>
          </w:rPr>
          <w:fldChar w:fldCharType="end"/>
        </w:r>
      </w:hyperlink>
    </w:p>
    <w:p w14:paraId="3DB9BBA8" w14:textId="74337B42"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02" w:history="1">
        <w:r w:rsidRPr="00E13066">
          <w:rPr>
            <w:rStyle w:val="Hyperlink"/>
            <w:noProof/>
            <w:sz w:val="24"/>
            <w:szCs w:val="24"/>
          </w:rPr>
          <w:t>List of Figures</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_Toc188361302 \h </w:instrText>
        </w:r>
        <w:r w:rsidRPr="00E13066">
          <w:rPr>
            <w:noProof/>
            <w:webHidden/>
            <w:sz w:val="24"/>
            <w:szCs w:val="24"/>
          </w:rPr>
        </w:r>
        <w:r w:rsidRPr="00E13066">
          <w:rPr>
            <w:noProof/>
            <w:webHidden/>
            <w:sz w:val="24"/>
            <w:szCs w:val="24"/>
          </w:rPr>
          <w:fldChar w:fldCharType="separate"/>
        </w:r>
        <w:r w:rsidR="009D10E5">
          <w:rPr>
            <w:noProof/>
            <w:webHidden/>
            <w:sz w:val="24"/>
            <w:szCs w:val="24"/>
          </w:rPr>
          <w:t>iii</w:t>
        </w:r>
        <w:r w:rsidRPr="00E13066">
          <w:rPr>
            <w:noProof/>
            <w:webHidden/>
            <w:sz w:val="24"/>
            <w:szCs w:val="24"/>
          </w:rPr>
          <w:fldChar w:fldCharType="end"/>
        </w:r>
      </w:hyperlink>
    </w:p>
    <w:p w14:paraId="1960DE6C" w14:textId="37DEE3C9"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03" w:history="1">
        <w:r w:rsidRPr="00E13066">
          <w:rPr>
            <w:rStyle w:val="Hyperlink"/>
            <w:noProof/>
            <w:sz w:val="24"/>
            <w:szCs w:val="24"/>
          </w:rPr>
          <w:t>List of Tables</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_Toc188361303 \h </w:instrText>
        </w:r>
        <w:r w:rsidRPr="00E13066">
          <w:rPr>
            <w:noProof/>
            <w:webHidden/>
            <w:sz w:val="24"/>
            <w:szCs w:val="24"/>
          </w:rPr>
        </w:r>
        <w:r w:rsidRPr="00E13066">
          <w:rPr>
            <w:noProof/>
            <w:webHidden/>
            <w:sz w:val="24"/>
            <w:szCs w:val="24"/>
          </w:rPr>
          <w:fldChar w:fldCharType="separate"/>
        </w:r>
        <w:r w:rsidR="009D10E5">
          <w:rPr>
            <w:noProof/>
            <w:webHidden/>
            <w:sz w:val="24"/>
            <w:szCs w:val="24"/>
          </w:rPr>
          <w:t>v</w:t>
        </w:r>
        <w:r w:rsidRPr="00E13066">
          <w:rPr>
            <w:noProof/>
            <w:webHidden/>
            <w:sz w:val="24"/>
            <w:szCs w:val="24"/>
          </w:rPr>
          <w:fldChar w:fldCharType="end"/>
        </w:r>
      </w:hyperlink>
    </w:p>
    <w:p w14:paraId="3441862A" w14:textId="17EDA401"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04" w:history="1">
        <w:r w:rsidRPr="00E13066">
          <w:rPr>
            <w:rStyle w:val="Hyperlink"/>
            <w:noProof/>
            <w:sz w:val="24"/>
            <w:szCs w:val="24"/>
          </w:rPr>
          <w:t>Acknowledgments</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_Toc188361304 \h </w:instrText>
        </w:r>
        <w:r w:rsidRPr="00E13066">
          <w:rPr>
            <w:noProof/>
            <w:webHidden/>
            <w:sz w:val="24"/>
            <w:szCs w:val="24"/>
          </w:rPr>
        </w:r>
        <w:r w:rsidRPr="00E13066">
          <w:rPr>
            <w:noProof/>
            <w:webHidden/>
            <w:sz w:val="24"/>
            <w:szCs w:val="24"/>
          </w:rPr>
          <w:fldChar w:fldCharType="separate"/>
        </w:r>
        <w:r w:rsidR="009D10E5">
          <w:rPr>
            <w:noProof/>
            <w:webHidden/>
            <w:sz w:val="24"/>
            <w:szCs w:val="24"/>
          </w:rPr>
          <w:t>vii</w:t>
        </w:r>
        <w:r w:rsidRPr="00E13066">
          <w:rPr>
            <w:noProof/>
            <w:webHidden/>
            <w:sz w:val="24"/>
            <w:szCs w:val="24"/>
          </w:rPr>
          <w:fldChar w:fldCharType="end"/>
        </w:r>
      </w:hyperlink>
    </w:p>
    <w:p w14:paraId="50C4C42F" w14:textId="26E24725"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05" w:history="1">
        <w:r w:rsidRPr="00E13066">
          <w:rPr>
            <w:rStyle w:val="Hyperlink"/>
            <w:noProof/>
            <w:sz w:val="24"/>
            <w:szCs w:val="24"/>
          </w:rPr>
          <w:t>Executive Summary</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_Toc188361305 \h </w:instrText>
        </w:r>
        <w:r w:rsidRPr="00E13066">
          <w:rPr>
            <w:noProof/>
            <w:webHidden/>
            <w:sz w:val="24"/>
            <w:szCs w:val="24"/>
          </w:rPr>
        </w:r>
        <w:r w:rsidRPr="00E13066">
          <w:rPr>
            <w:noProof/>
            <w:webHidden/>
            <w:sz w:val="24"/>
            <w:szCs w:val="24"/>
          </w:rPr>
          <w:fldChar w:fldCharType="separate"/>
        </w:r>
        <w:r w:rsidR="009D10E5">
          <w:rPr>
            <w:noProof/>
            <w:webHidden/>
            <w:sz w:val="24"/>
            <w:szCs w:val="24"/>
          </w:rPr>
          <w:t>x</w:t>
        </w:r>
        <w:r w:rsidRPr="00E13066">
          <w:rPr>
            <w:noProof/>
            <w:webHidden/>
            <w:sz w:val="24"/>
            <w:szCs w:val="24"/>
          </w:rPr>
          <w:fldChar w:fldCharType="end"/>
        </w:r>
      </w:hyperlink>
    </w:p>
    <w:p w14:paraId="27A7317E" w14:textId="2ACF1CBB" w:rsidR="00075236" w:rsidRPr="00E13066" w:rsidRDefault="00075236" w:rsidP="00E13066">
      <w:pPr>
        <w:pStyle w:val="TOC2"/>
        <w:rPr>
          <w:rFonts w:asciiTheme="minorHAnsi" w:eastAsiaTheme="minorEastAsia" w:hAnsiTheme="minorHAnsi" w:cstheme="minorBidi"/>
          <w:kern w:val="2"/>
          <w14:ligatures w14:val="standardContextual"/>
        </w:rPr>
      </w:pPr>
      <w:hyperlink w:anchor="_Toc188361306" w:history="1">
        <w:r w:rsidRPr="00E13066">
          <w:rPr>
            <w:rStyle w:val="Hyperlink"/>
          </w:rPr>
          <w:t>Section I: Overview</w:t>
        </w:r>
        <w:r w:rsidRPr="00E13066">
          <w:rPr>
            <w:webHidden/>
          </w:rPr>
          <w:tab/>
        </w:r>
        <w:r w:rsidRPr="00E13066">
          <w:rPr>
            <w:webHidden/>
          </w:rPr>
          <w:fldChar w:fldCharType="begin"/>
        </w:r>
        <w:r w:rsidRPr="00E13066">
          <w:rPr>
            <w:webHidden/>
          </w:rPr>
          <w:instrText xml:space="preserve"> PAGEREF _Toc188361306 \h </w:instrText>
        </w:r>
        <w:r w:rsidRPr="00E13066">
          <w:rPr>
            <w:webHidden/>
          </w:rPr>
        </w:r>
        <w:r w:rsidRPr="00E13066">
          <w:rPr>
            <w:webHidden/>
          </w:rPr>
          <w:fldChar w:fldCharType="separate"/>
        </w:r>
        <w:r w:rsidR="009D10E5">
          <w:rPr>
            <w:webHidden/>
          </w:rPr>
          <w:t>1</w:t>
        </w:r>
        <w:r w:rsidRPr="00E13066">
          <w:rPr>
            <w:webHidden/>
          </w:rPr>
          <w:fldChar w:fldCharType="end"/>
        </w:r>
      </w:hyperlink>
    </w:p>
    <w:p w14:paraId="54227043" w14:textId="08813AB1"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07" w:history="1">
        <w:r w:rsidRPr="00E13066">
          <w:rPr>
            <w:rStyle w:val="Hyperlink"/>
            <w:noProof/>
            <w:sz w:val="24"/>
            <w:szCs w:val="24"/>
          </w:rPr>
          <w:t>Purpose and Scope</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_Toc188361307 \h </w:instrText>
        </w:r>
        <w:r w:rsidRPr="00E13066">
          <w:rPr>
            <w:noProof/>
            <w:webHidden/>
            <w:sz w:val="24"/>
            <w:szCs w:val="24"/>
          </w:rPr>
        </w:r>
        <w:r w:rsidRPr="00E13066">
          <w:rPr>
            <w:noProof/>
            <w:webHidden/>
            <w:sz w:val="24"/>
            <w:szCs w:val="24"/>
          </w:rPr>
          <w:fldChar w:fldCharType="separate"/>
        </w:r>
        <w:r w:rsidR="009D10E5">
          <w:rPr>
            <w:noProof/>
            <w:webHidden/>
            <w:sz w:val="24"/>
            <w:szCs w:val="24"/>
          </w:rPr>
          <w:t>1</w:t>
        </w:r>
        <w:r w:rsidRPr="00E13066">
          <w:rPr>
            <w:noProof/>
            <w:webHidden/>
            <w:sz w:val="24"/>
            <w:szCs w:val="24"/>
          </w:rPr>
          <w:fldChar w:fldCharType="end"/>
        </w:r>
      </w:hyperlink>
    </w:p>
    <w:p w14:paraId="48398ABD" w14:textId="06D5B430"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08" w:history="1">
        <w:r w:rsidRPr="00E13066">
          <w:rPr>
            <w:rStyle w:val="Hyperlink"/>
            <w:noProof/>
            <w:sz w:val="24"/>
            <w:szCs w:val="24"/>
          </w:rPr>
          <w:t>California Migrant Education Program</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_Toc188361308 \h </w:instrText>
        </w:r>
        <w:r w:rsidRPr="00E13066">
          <w:rPr>
            <w:noProof/>
            <w:webHidden/>
            <w:sz w:val="24"/>
            <w:szCs w:val="24"/>
          </w:rPr>
        </w:r>
        <w:r w:rsidRPr="00E13066">
          <w:rPr>
            <w:noProof/>
            <w:webHidden/>
            <w:sz w:val="24"/>
            <w:szCs w:val="24"/>
          </w:rPr>
          <w:fldChar w:fldCharType="separate"/>
        </w:r>
        <w:r w:rsidR="009D10E5">
          <w:rPr>
            <w:noProof/>
            <w:webHidden/>
            <w:sz w:val="24"/>
            <w:szCs w:val="24"/>
          </w:rPr>
          <w:t>1</w:t>
        </w:r>
        <w:r w:rsidRPr="00E13066">
          <w:rPr>
            <w:noProof/>
            <w:webHidden/>
            <w:sz w:val="24"/>
            <w:szCs w:val="24"/>
          </w:rPr>
          <w:fldChar w:fldCharType="end"/>
        </w:r>
      </w:hyperlink>
    </w:p>
    <w:p w14:paraId="628C4AAD" w14:textId="5D3F1480" w:rsidR="00075236" w:rsidRPr="00E13066" w:rsidRDefault="00075236" w:rsidP="00E13066">
      <w:pPr>
        <w:pStyle w:val="TOC2"/>
        <w:rPr>
          <w:rFonts w:asciiTheme="minorHAnsi" w:eastAsiaTheme="minorEastAsia" w:hAnsiTheme="minorHAnsi" w:cstheme="minorBidi"/>
          <w:kern w:val="2"/>
          <w14:ligatures w14:val="standardContextual"/>
        </w:rPr>
      </w:pPr>
      <w:hyperlink w:anchor="_Toc188361309" w:history="1">
        <w:r w:rsidRPr="00E13066">
          <w:rPr>
            <w:rStyle w:val="Hyperlink"/>
          </w:rPr>
          <w:t>Section II: Methodology</w:t>
        </w:r>
        <w:r w:rsidRPr="00E13066">
          <w:rPr>
            <w:webHidden/>
          </w:rPr>
          <w:tab/>
        </w:r>
        <w:r w:rsidRPr="00E13066">
          <w:rPr>
            <w:webHidden/>
          </w:rPr>
          <w:fldChar w:fldCharType="begin"/>
        </w:r>
        <w:r w:rsidRPr="00E13066">
          <w:rPr>
            <w:webHidden/>
          </w:rPr>
          <w:instrText xml:space="preserve"> PAGEREF _Toc188361309 \h </w:instrText>
        </w:r>
        <w:r w:rsidRPr="00E13066">
          <w:rPr>
            <w:webHidden/>
          </w:rPr>
        </w:r>
        <w:r w:rsidRPr="00E13066">
          <w:rPr>
            <w:webHidden/>
          </w:rPr>
          <w:fldChar w:fldCharType="separate"/>
        </w:r>
        <w:r w:rsidR="009D10E5">
          <w:rPr>
            <w:webHidden/>
          </w:rPr>
          <w:t>5</w:t>
        </w:r>
        <w:r w:rsidRPr="00E13066">
          <w:rPr>
            <w:webHidden/>
          </w:rPr>
          <w:fldChar w:fldCharType="end"/>
        </w:r>
      </w:hyperlink>
    </w:p>
    <w:p w14:paraId="3B19BCC5" w14:textId="648BD90F"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10" w:history="1">
        <w:r w:rsidRPr="00E13066">
          <w:rPr>
            <w:rStyle w:val="Hyperlink"/>
            <w:noProof/>
            <w:sz w:val="24"/>
            <w:szCs w:val="24"/>
          </w:rPr>
          <w:t>Comprehensive Needs Assessment Development</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_Toc188361310 \h </w:instrText>
        </w:r>
        <w:r w:rsidRPr="00E13066">
          <w:rPr>
            <w:noProof/>
            <w:webHidden/>
            <w:sz w:val="24"/>
            <w:szCs w:val="24"/>
          </w:rPr>
        </w:r>
        <w:r w:rsidRPr="00E13066">
          <w:rPr>
            <w:noProof/>
            <w:webHidden/>
            <w:sz w:val="24"/>
            <w:szCs w:val="24"/>
          </w:rPr>
          <w:fldChar w:fldCharType="separate"/>
        </w:r>
        <w:r w:rsidR="009D10E5">
          <w:rPr>
            <w:noProof/>
            <w:webHidden/>
            <w:sz w:val="24"/>
            <w:szCs w:val="24"/>
          </w:rPr>
          <w:t>5</w:t>
        </w:r>
        <w:r w:rsidRPr="00E13066">
          <w:rPr>
            <w:noProof/>
            <w:webHidden/>
            <w:sz w:val="24"/>
            <w:szCs w:val="24"/>
          </w:rPr>
          <w:fldChar w:fldCharType="end"/>
        </w:r>
      </w:hyperlink>
    </w:p>
    <w:p w14:paraId="656B96F3" w14:textId="04060B66"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11" w:history="1">
        <w:r w:rsidRPr="00E13066">
          <w:rPr>
            <w:rStyle w:val="Hyperlink"/>
            <w:noProof/>
            <w:sz w:val="24"/>
            <w:szCs w:val="24"/>
          </w:rPr>
          <w:t>Structure</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_Toc188361311 \h </w:instrText>
        </w:r>
        <w:r w:rsidRPr="00E13066">
          <w:rPr>
            <w:noProof/>
            <w:webHidden/>
            <w:sz w:val="24"/>
            <w:szCs w:val="24"/>
          </w:rPr>
        </w:r>
        <w:r w:rsidRPr="00E13066">
          <w:rPr>
            <w:noProof/>
            <w:webHidden/>
            <w:sz w:val="24"/>
            <w:szCs w:val="24"/>
          </w:rPr>
          <w:fldChar w:fldCharType="separate"/>
        </w:r>
        <w:r w:rsidR="009D10E5">
          <w:rPr>
            <w:noProof/>
            <w:webHidden/>
            <w:sz w:val="24"/>
            <w:szCs w:val="24"/>
          </w:rPr>
          <w:t>5</w:t>
        </w:r>
        <w:r w:rsidRPr="00E13066">
          <w:rPr>
            <w:noProof/>
            <w:webHidden/>
            <w:sz w:val="24"/>
            <w:szCs w:val="24"/>
          </w:rPr>
          <w:fldChar w:fldCharType="end"/>
        </w:r>
      </w:hyperlink>
    </w:p>
    <w:p w14:paraId="6B8AC9C2" w14:textId="3F38DB1F"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12" w:history="1">
        <w:r w:rsidRPr="00E13066">
          <w:rPr>
            <w:rStyle w:val="Hyperlink"/>
            <w:noProof/>
            <w:sz w:val="24"/>
            <w:szCs w:val="24"/>
          </w:rPr>
          <w:t>Process to Develop the Comprehensive Needs Assessment</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_Toc188361312 \h </w:instrText>
        </w:r>
        <w:r w:rsidRPr="00E13066">
          <w:rPr>
            <w:noProof/>
            <w:webHidden/>
            <w:sz w:val="24"/>
            <w:szCs w:val="24"/>
          </w:rPr>
        </w:r>
        <w:r w:rsidRPr="00E13066">
          <w:rPr>
            <w:noProof/>
            <w:webHidden/>
            <w:sz w:val="24"/>
            <w:szCs w:val="24"/>
          </w:rPr>
          <w:fldChar w:fldCharType="separate"/>
        </w:r>
        <w:r w:rsidR="009D10E5">
          <w:rPr>
            <w:noProof/>
            <w:webHidden/>
            <w:sz w:val="24"/>
            <w:szCs w:val="24"/>
          </w:rPr>
          <w:t>6</w:t>
        </w:r>
        <w:r w:rsidRPr="00E13066">
          <w:rPr>
            <w:noProof/>
            <w:webHidden/>
            <w:sz w:val="24"/>
            <w:szCs w:val="24"/>
          </w:rPr>
          <w:fldChar w:fldCharType="end"/>
        </w:r>
      </w:hyperlink>
    </w:p>
    <w:p w14:paraId="466AFD61" w14:textId="59B94973"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13" w:history="1">
        <w:r w:rsidRPr="00E13066">
          <w:rPr>
            <w:rStyle w:val="Hyperlink"/>
            <w:noProof/>
            <w:sz w:val="24"/>
            <w:szCs w:val="24"/>
          </w:rPr>
          <w:t>Data Limitations</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_Toc188361313 \h </w:instrText>
        </w:r>
        <w:r w:rsidRPr="00E13066">
          <w:rPr>
            <w:noProof/>
            <w:webHidden/>
            <w:sz w:val="24"/>
            <w:szCs w:val="24"/>
          </w:rPr>
        </w:r>
        <w:r w:rsidRPr="00E13066">
          <w:rPr>
            <w:noProof/>
            <w:webHidden/>
            <w:sz w:val="24"/>
            <w:szCs w:val="24"/>
          </w:rPr>
          <w:fldChar w:fldCharType="separate"/>
        </w:r>
        <w:r w:rsidR="009D10E5">
          <w:rPr>
            <w:noProof/>
            <w:webHidden/>
            <w:sz w:val="24"/>
            <w:szCs w:val="24"/>
          </w:rPr>
          <w:t>10</w:t>
        </w:r>
        <w:r w:rsidRPr="00E13066">
          <w:rPr>
            <w:noProof/>
            <w:webHidden/>
            <w:sz w:val="24"/>
            <w:szCs w:val="24"/>
          </w:rPr>
          <w:fldChar w:fldCharType="end"/>
        </w:r>
      </w:hyperlink>
    </w:p>
    <w:p w14:paraId="11874D48" w14:textId="47902BE5" w:rsidR="00075236" w:rsidRPr="00E13066" w:rsidRDefault="00075236" w:rsidP="00E13066">
      <w:pPr>
        <w:pStyle w:val="TOC2"/>
        <w:rPr>
          <w:rFonts w:asciiTheme="minorHAnsi" w:eastAsiaTheme="minorEastAsia" w:hAnsiTheme="minorHAnsi" w:cstheme="minorBidi"/>
          <w:kern w:val="2"/>
          <w14:ligatures w14:val="standardContextual"/>
        </w:rPr>
      </w:pPr>
      <w:hyperlink w:anchor="_Toc188361314" w:history="1">
        <w:r w:rsidRPr="00E13066">
          <w:rPr>
            <w:rStyle w:val="Hyperlink"/>
          </w:rPr>
          <w:t>Section III: California’s Migratory Student Profile</w:t>
        </w:r>
        <w:r w:rsidRPr="00E13066">
          <w:rPr>
            <w:webHidden/>
          </w:rPr>
          <w:tab/>
        </w:r>
        <w:r w:rsidRPr="00E13066">
          <w:rPr>
            <w:webHidden/>
          </w:rPr>
          <w:fldChar w:fldCharType="begin"/>
        </w:r>
        <w:r w:rsidRPr="00E13066">
          <w:rPr>
            <w:webHidden/>
          </w:rPr>
          <w:instrText xml:space="preserve"> PAGEREF _Toc188361314 \h </w:instrText>
        </w:r>
        <w:r w:rsidRPr="00E13066">
          <w:rPr>
            <w:webHidden/>
          </w:rPr>
        </w:r>
        <w:r w:rsidRPr="00E13066">
          <w:rPr>
            <w:webHidden/>
          </w:rPr>
          <w:fldChar w:fldCharType="separate"/>
        </w:r>
        <w:r w:rsidR="009D10E5">
          <w:rPr>
            <w:webHidden/>
          </w:rPr>
          <w:t>12</w:t>
        </w:r>
        <w:r w:rsidRPr="00E13066">
          <w:rPr>
            <w:webHidden/>
          </w:rPr>
          <w:fldChar w:fldCharType="end"/>
        </w:r>
      </w:hyperlink>
    </w:p>
    <w:p w14:paraId="0EAC6ADF" w14:textId="7984E3D8"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15" w:history="1">
        <w:r w:rsidRPr="00E13066">
          <w:rPr>
            <w:rStyle w:val="Hyperlink"/>
            <w:noProof/>
            <w:sz w:val="24"/>
            <w:szCs w:val="24"/>
          </w:rPr>
          <w:t>Demographics</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_Toc188361315 \h </w:instrText>
        </w:r>
        <w:r w:rsidRPr="00E13066">
          <w:rPr>
            <w:noProof/>
            <w:webHidden/>
            <w:sz w:val="24"/>
            <w:szCs w:val="24"/>
          </w:rPr>
        </w:r>
        <w:r w:rsidRPr="00E13066">
          <w:rPr>
            <w:noProof/>
            <w:webHidden/>
            <w:sz w:val="24"/>
            <w:szCs w:val="24"/>
          </w:rPr>
          <w:fldChar w:fldCharType="separate"/>
        </w:r>
        <w:r w:rsidR="009D10E5">
          <w:rPr>
            <w:noProof/>
            <w:webHidden/>
            <w:sz w:val="24"/>
            <w:szCs w:val="24"/>
          </w:rPr>
          <w:t>12</w:t>
        </w:r>
        <w:r w:rsidRPr="00E13066">
          <w:rPr>
            <w:noProof/>
            <w:webHidden/>
            <w:sz w:val="24"/>
            <w:szCs w:val="24"/>
          </w:rPr>
          <w:fldChar w:fldCharType="end"/>
        </w:r>
      </w:hyperlink>
    </w:p>
    <w:p w14:paraId="078CAAD5" w14:textId="6C2F3524"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16" w:history="1">
        <w:r w:rsidRPr="00E13066">
          <w:rPr>
            <w:rStyle w:val="Hyperlink"/>
            <w:noProof/>
            <w:sz w:val="24"/>
            <w:szCs w:val="24"/>
          </w:rPr>
          <w:t>Academic Achievement</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_Toc188361316 \h </w:instrText>
        </w:r>
        <w:r w:rsidRPr="00E13066">
          <w:rPr>
            <w:noProof/>
            <w:webHidden/>
            <w:sz w:val="24"/>
            <w:szCs w:val="24"/>
          </w:rPr>
        </w:r>
        <w:r w:rsidRPr="00E13066">
          <w:rPr>
            <w:noProof/>
            <w:webHidden/>
            <w:sz w:val="24"/>
            <w:szCs w:val="24"/>
          </w:rPr>
          <w:fldChar w:fldCharType="separate"/>
        </w:r>
        <w:r w:rsidR="009D10E5">
          <w:rPr>
            <w:noProof/>
            <w:webHidden/>
            <w:sz w:val="24"/>
            <w:szCs w:val="24"/>
          </w:rPr>
          <w:t>23</w:t>
        </w:r>
        <w:r w:rsidRPr="00E13066">
          <w:rPr>
            <w:noProof/>
            <w:webHidden/>
            <w:sz w:val="24"/>
            <w:szCs w:val="24"/>
          </w:rPr>
          <w:fldChar w:fldCharType="end"/>
        </w:r>
      </w:hyperlink>
    </w:p>
    <w:p w14:paraId="3A825B3C" w14:textId="62B1B501"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17" w:history="1">
        <w:r w:rsidRPr="00E13066">
          <w:rPr>
            <w:rStyle w:val="Hyperlink"/>
            <w:noProof/>
            <w:sz w:val="24"/>
            <w:szCs w:val="24"/>
          </w:rPr>
          <w:t>California Assessment of Student Performance and Progress</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_Toc188361317 \h </w:instrText>
        </w:r>
        <w:r w:rsidRPr="00E13066">
          <w:rPr>
            <w:noProof/>
            <w:webHidden/>
            <w:sz w:val="24"/>
            <w:szCs w:val="24"/>
          </w:rPr>
        </w:r>
        <w:r w:rsidRPr="00E13066">
          <w:rPr>
            <w:noProof/>
            <w:webHidden/>
            <w:sz w:val="24"/>
            <w:szCs w:val="24"/>
          </w:rPr>
          <w:fldChar w:fldCharType="separate"/>
        </w:r>
        <w:r w:rsidR="009D10E5">
          <w:rPr>
            <w:noProof/>
            <w:webHidden/>
            <w:sz w:val="24"/>
            <w:szCs w:val="24"/>
          </w:rPr>
          <w:t>24</w:t>
        </w:r>
        <w:r w:rsidRPr="00E13066">
          <w:rPr>
            <w:noProof/>
            <w:webHidden/>
            <w:sz w:val="24"/>
            <w:szCs w:val="24"/>
          </w:rPr>
          <w:fldChar w:fldCharType="end"/>
        </w:r>
      </w:hyperlink>
    </w:p>
    <w:p w14:paraId="35F2ECEE" w14:textId="2C10A5C4"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18" w:history="1">
        <w:r w:rsidRPr="00E13066">
          <w:rPr>
            <w:rStyle w:val="Hyperlink"/>
            <w:noProof/>
            <w:sz w:val="24"/>
            <w:szCs w:val="24"/>
          </w:rPr>
          <w:t>English Language Arts</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_Toc188361318 \h </w:instrText>
        </w:r>
        <w:r w:rsidRPr="00E13066">
          <w:rPr>
            <w:noProof/>
            <w:webHidden/>
            <w:sz w:val="24"/>
            <w:szCs w:val="24"/>
          </w:rPr>
        </w:r>
        <w:r w:rsidRPr="00E13066">
          <w:rPr>
            <w:noProof/>
            <w:webHidden/>
            <w:sz w:val="24"/>
            <w:szCs w:val="24"/>
          </w:rPr>
          <w:fldChar w:fldCharType="separate"/>
        </w:r>
        <w:r w:rsidR="009D10E5">
          <w:rPr>
            <w:noProof/>
            <w:webHidden/>
            <w:sz w:val="24"/>
            <w:szCs w:val="24"/>
          </w:rPr>
          <w:t>25</w:t>
        </w:r>
        <w:r w:rsidRPr="00E13066">
          <w:rPr>
            <w:noProof/>
            <w:webHidden/>
            <w:sz w:val="24"/>
            <w:szCs w:val="24"/>
          </w:rPr>
          <w:fldChar w:fldCharType="end"/>
        </w:r>
      </w:hyperlink>
    </w:p>
    <w:p w14:paraId="43784206" w14:textId="20F565C3"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19" w:history="1">
        <w:r w:rsidRPr="00E13066">
          <w:rPr>
            <w:rStyle w:val="Hyperlink"/>
            <w:noProof/>
            <w:sz w:val="24"/>
            <w:szCs w:val="24"/>
          </w:rPr>
          <w:t>Mathematics</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_Toc188361319 \h </w:instrText>
        </w:r>
        <w:r w:rsidRPr="00E13066">
          <w:rPr>
            <w:noProof/>
            <w:webHidden/>
            <w:sz w:val="24"/>
            <w:szCs w:val="24"/>
          </w:rPr>
        </w:r>
        <w:r w:rsidRPr="00E13066">
          <w:rPr>
            <w:noProof/>
            <w:webHidden/>
            <w:sz w:val="24"/>
            <w:szCs w:val="24"/>
          </w:rPr>
          <w:fldChar w:fldCharType="separate"/>
        </w:r>
        <w:r w:rsidR="009D10E5">
          <w:rPr>
            <w:noProof/>
            <w:webHidden/>
            <w:sz w:val="24"/>
            <w:szCs w:val="24"/>
          </w:rPr>
          <w:t>35</w:t>
        </w:r>
        <w:r w:rsidRPr="00E13066">
          <w:rPr>
            <w:noProof/>
            <w:webHidden/>
            <w:sz w:val="24"/>
            <w:szCs w:val="24"/>
          </w:rPr>
          <w:fldChar w:fldCharType="end"/>
        </w:r>
      </w:hyperlink>
    </w:p>
    <w:p w14:paraId="7789B8AB" w14:textId="05ADFA0A"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20" w:history="1">
        <w:r w:rsidRPr="00E13066">
          <w:rPr>
            <w:rStyle w:val="Hyperlink"/>
            <w:noProof/>
            <w:sz w:val="24"/>
            <w:szCs w:val="24"/>
          </w:rPr>
          <w:t>English Language Proficiency Assessments for California</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_Toc188361320 \h </w:instrText>
        </w:r>
        <w:r w:rsidRPr="00E13066">
          <w:rPr>
            <w:noProof/>
            <w:webHidden/>
            <w:sz w:val="24"/>
            <w:szCs w:val="24"/>
          </w:rPr>
        </w:r>
        <w:r w:rsidRPr="00E13066">
          <w:rPr>
            <w:noProof/>
            <w:webHidden/>
            <w:sz w:val="24"/>
            <w:szCs w:val="24"/>
          </w:rPr>
          <w:fldChar w:fldCharType="separate"/>
        </w:r>
        <w:r w:rsidR="009D10E5">
          <w:rPr>
            <w:noProof/>
            <w:webHidden/>
            <w:sz w:val="24"/>
            <w:szCs w:val="24"/>
          </w:rPr>
          <w:t>43</w:t>
        </w:r>
        <w:r w:rsidRPr="00E13066">
          <w:rPr>
            <w:noProof/>
            <w:webHidden/>
            <w:sz w:val="24"/>
            <w:szCs w:val="24"/>
          </w:rPr>
          <w:fldChar w:fldCharType="end"/>
        </w:r>
      </w:hyperlink>
    </w:p>
    <w:p w14:paraId="797E65D0" w14:textId="1EA3AAF0"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21" w:history="1">
        <w:r w:rsidRPr="00E13066">
          <w:rPr>
            <w:rStyle w:val="Hyperlink"/>
            <w:noProof/>
            <w:sz w:val="24"/>
            <w:szCs w:val="24"/>
          </w:rPr>
          <w:t>High School Graduation and Dropout</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_Toc188361321 \h </w:instrText>
        </w:r>
        <w:r w:rsidRPr="00E13066">
          <w:rPr>
            <w:noProof/>
            <w:webHidden/>
            <w:sz w:val="24"/>
            <w:szCs w:val="24"/>
          </w:rPr>
        </w:r>
        <w:r w:rsidRPr="00E13066">
          <w:rPr>
            <w:noProof/>
            <w:webHidden/>
            <w:sz w:val="24"/>
            <w:szCs w:val="24"/>
          </w:rPr>
          <w:fldChar w:fldCharType="separate"/>
        </w:r>
        <w:r w:rsidR="009D10E5">
          <w:rPr>
            <w:noProof/>
            <w:webHidden/>
            <w:sz w:val="24"/>
            <w:szCs w:val="24"/>
          </w:rPr>
          <w:t>45</w:t>
        </w:r>
        <w:r w:rsidRPr="00E13066">
          <w:rPr>
            <w:noProof/>
            <w:webHidden/>
            <w:sz w:val="24"/>
            <w:szCs w:val="24"/>
          </w:rPr>
          <w:fldChar w:fldCharType="end"/>
        </w:r>
      </w:hyperlink>
    </w:p>
    <w:p w14:paraId="0114D9C6" w14:textId="415B340C"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22" w:history="1">
        <w:r w:rsidRPr="00E13066">
          <w:rPr>
            <w:rStyle w:val="Hyperlink"/>
            <w:noProof/>
            <w:sz w:val="24"/>
            <w:szCs w:val="24"/>
          </w:rPr>
          <w:t>Out-of-School Youth</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_Toc188361322 \h </w:instrText>
        </w:r>
        <w:r w:rsidRPr="00E13066">
          <w:rPr>
            <w:noProof/>
            <w:webHidden/>
            <w:sz w:val="24"/>
            <w:szCs w:val="24"/>
          </w:rPr>
        </w:r>
        <w:r w:rsidRPr="00E13066">
          <w:rPr>
            <w:noProof/>
            <w:webHidden/>
            <w:sz w:val="24"/>
            <w:szCs w:val="24"/>
          </w:rPr>
          <w:fldChar w:fldCharType="separate"/>
        </w:r>
        <w:r w:rsidR="009D10E5">
          <w:rPr>
            <w:noProof/>
            <w:webHidden/>
            <w:sz w:val="24"/>
            <w:szCs w:val="24"/>
          </w:rPr>
          <w:t>48</w:t>
        </w:r>
        <w:r w:rsidRPr="00E13066">
          <w:rPr>
            <w:noProof/>
            <w:webHidden/>
            <w:sz w:val="24"/>
            <w:szCs w:val="24"/>
          </w:rPr>
          <w:fldChar w:fldCharType="end"/>
        </w:r>
      </w:hyperlink>
    </w:p>
    <w:p w14:paraId="17F32220" w14:textId="106D0B7C"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23" w:history="1">
        <w:r w:rsidRPr="00E13066">
          <w:rPr>
            <w:rStyle w:val="Hyperlink"/>
            <w:noProof/>
            <w:sz w:val="24"/>
            <w:szCs w:val="24"/>
          </w:rPr>
          <w:t>Health</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_Toc188361323 \h </w:instrText>
        </w:r>
        <w:r w:rsidRPr="00E13066">
          <w:rPr>
            <w:noProof/>
            <w:webHidden/>
            <w:sz w:val="24"/>
            <w:szCs w:val="24"/>
          </w:rPr>
        </w:r>
        <w:r w:rsidRPr="00E13066">
          <w:rPr>
            <w:noProof/>
            <w:webHidden/>
            <w:sz w:val="24"/>
            <w:szCs w:val="24"/>
          </w:rPr>
          <w:fldChar w:fldCharType="separate"/>
        </w:r>
        <w:r w:rsidR="009D10E5">
          <w:rPr>
            <w:noProof/>
            <w:webHidden/>
            <w:sz w:val="24"/>
            <w:szCs w:val="24"/>
          </w:rPr>
          <w:t>50</w:t>
        </w:r>
        <w:r w:rsidRPr="00E13066">
          <w:rPr>
            <w:noProof/>
            <w:webHidden/>
            <w:sz w:val="24"/>
            <w:szCs w:val="24"/>
          </w:rPr>
          <w:fldChar w:fldCharType="end"/>
        </w:r>
      </w:hyperlink>
    </w:p>
    <w:p w14:paraId="6570EB02" w14:textId="3177D3AC" w:rsidR="00075236" w:rsidRPr="00E13066" w:rsidRDefault="00075236" w:rsidP="00E13066">
      <w:pPr>
        <w:pStyle w:val="TOC2"/>
        <w:rPr>
          <w:rFonts w:asciiTheme="minorHAnsi" w:eastAsiaTheme="minorEastAsia" w:hAnsiTheme="minorHAnsi" w:cstheme="minorBidi"/>
          <w:kern w:val="2"/>
          <w14:ligatures w14:val="standardContextual"/>
        </w:rPr>
      </w:pPr>
      <w:hyperlink w:anchor="_Toc188361324" w:history="1">
        <w:r w:rsidRPr="00E13066">
          <w:rPr>
            <w:rStyle w:val="Hyperlink"/>
          </w:rPr>
          <w:t>Section IV: Results and Findings</w:t>
        </w:r>
        <w:r w:rsidRPr="00E13066">
          <w:rPr>
            <w:webHidden/>
          </w:rPr>
          <w:tab/>
        </w:r>
        <w:r w:rsidRPr="00E13066">
          <w:rPr>
            <w:webHidden/>
          </w:rPr>
          <w:fldChar w:fldCharType="begin"/>
        </w:r>
        <w:r w:rsidRPr="00E13066">
          <w:rPr>
            <w:webHidden/>
          </w:rPr>
          <w:instrText xml:space="preserve"> PAGEREF _Toc188361324 \h </w:instrText>
        </w:r>
        <w:r w:rsidRPr="00E13066">
          <w:rPr>
            <w:webHidden/>
          </w:rPr>
        </w:r>
        <w:r w:rsidRPr="00E13066">
          <w:rPr>
            <w:webHidden/>
          </w:rPr>
          <w:fldChar w:fldCharType="separate"/>
        </w:r>
        <w:r w:rsidR="009D10E5">
          <w:rPr>
            <w:webHidden/>
          </w:rPr>
          <w:t>52</w:t>
        </w:r>
        <w:r w:rsidRPr="00E13066">
          <w:rPr>
            <w:webHidden/>
          </w:rPr>
          <w:fldChar w:fldCharType="end"/>
        </w:r>
      </w:hyperlink>
    </w:p>
    <w:p w14:paraId="37F498B6" w14:textId="4B50DD66"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25" w:history="1">
        <w:r w:rsidRPr="00E13066">
          <w:rPr>
            <w:rStyle w:val="Hyperlink"/>
            <w:noProof/>
            <w:sz w:val="24"/>
            <w:szCs w:val="24"/>
          </w:rPr>
          <w:t>English Language Arts</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_Toc188361325 \h </w:instrText>
        </w:r>
        <w:r w:rsidRPr="00E13066">
          <w:rPr>
            <w:noProof/>
            <w:webHidden/>
            <w:sz w:val="24"/>
            <w:szCs w:val="24"/>
          </w:rPr>
        </w:r>
        <w:r w:rsidRPr="00E13066">
          <w:rPr>
            <w:noProof/>
            <w:webHidden/>
            <w:sz w:val="24"/>
            <w:szCs w:val="24"/>
          </w:rPr>
          <w:fldChar w:fldCharType="separate"/>
        </w:r>
        <w:r w:rsidR="009D10E5">
          <w:rPr>
            <w:noProof/>
            <w:webHidden/>
            <w:sz w:val="24"/>
            <w:szCs w:val="24"/>
          </w:rPr>
          <w:t>52</w:t>
        </w:r>
        <w:r w:rsidRPr="00E13066">
          <w:rPr>
            <w:noProof/>
            <w:webHidden/>
            <w:sz w:val="24"/>
            <w:szCs w:val="24"/>
          </w:rPr>
          <w:fldChar w:fldCharType="end"/>
        </w:r>
      </w:hyperlink>
    </w:p>
    <w:p w14:paraId="3D934C58" w14:textId="57327388"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26" w:history="1">
        <w:r w:rsidRPr="00E13066">
          <w:rPr>
            <w:rStyle w:val="Hyperlink"/>
            <w:noProof/>
            <w:sz w:val="24"/>
            <w:szCs w:val="24"/>
          </w:rPr>
          <w:t>Mathematics</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_Toc188361326 \h </w:instrText>
        </w:r>
        <w:r w:rsidRPr="00E13066">
          <w:rPr>
            <w:noProof/>
            <w:webHidden/>
            <w:sz w:val="24"/>
            <w:szCs w:val="24"/>
          </w:rPr>
        </w:r>
        <w:r w:rsidRPr="00E13066">
          <w:rPr>
            <w:noProof/>
            <w:webHidden/>
            <w:sz w:val="24"/>
            <w:szCs w:val="24"/>
          </w:rPr>
          <w:fldChar w:fldCharType="separate"/>
        </w:r>
        <w:r w:rsidR="009D10E5">
          <w:rPr>
            <w:noProof/>
            <w:webHidden/>
            <w:sz w:val="24"/>
            <w:szCs w:val="24"/>
          </w:rPr>
          <w:t>60</w:t>
        </w:r>
        <w:r w:rsidRPr="00E13066">
          <w:rPr>
            <w:noProof/>
            <w:webHidden/>
            <w:sz w:val="24"/>
            <w:szCs w:val="24"/>
          </w:rPr>
          <w:fldChar w:fldCharType="end"/>
        </w:r>
      </w:hyperlink>
    </w:p>
    <w:p w14:paraId="56E497B8" w14:textId="1B8ED803"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27" w:history="1">
        <w:r w:rsidRPr="00E13066">
          <w:rPr>
            <w:rStyle w:val="Hyperlink"/>
            <w:noProof/>
            <w:sz w:val="24"/>
            <w:szCs w:val="24"/>
          </w:rPr>
          <w:t>English Language Development</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_Toc188361327 \h </w:instrText>
        </w:r>
        <w:r w:rsidRPr="00E13066">
          <w:rPr>
            <w:noProof/>
            <w:webHidden/>
            <w:sz w:val="24"/>
            <w:szCs w:val="24"/>
          </w:rPr>
        </w:r>
        <w:r w:rsidRPr="00E13066">
          <w:rPr>
            <w:noProof/>
            <w:webHidden/>
            <w:sz w:val="24"/>
            <w:szCs w:val="24"/>
          </w:rPr>
          <w:fldChar w:fldCharType="separate"/>
        </w:r>
        <w:r w:rsidR="009D10E5">
          <w:rPr>
            <w:noProof/>
            <w:webHidden/>
            <w:sz w:val="24"/>
            <w:szCs w:val="24"/>
          </w:rPr>
          <w:t>64</w:t>
        </w:r>
        <w:r w:rsidRPr="00E13066">
          <w:rPr>
            <w:noProof/>
            <w:webHidden/>
            <w:sz w:val="24"/>
            <w:szCs w:val="24"/>
          </w:rPr>
          <w:fldChar w:fldCharType="end"/>
        </w:r>
      </w:hyperlink>
    </w:p>
    <w:p w14:paraId="1A9D6030" w14:textId="2411EA4C"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28" w:history="1">
        <w:r w:rsidRPr="00E13066">
          <w:rPr>
            <w:rStyle w:val="Hyperlink"/>
            <w:noProof/>
            <w:sz w:val="24"/>
            <w:szCs w:val="24"/>
          </w:rPr>
          <w:t>High School Graduation and Dropout Prevention</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_Toc188361328 \h </w:instrText>
        </w:r>
        <w:r w:rsidRPr="00E13066">
          <w:rPr>
            <w:noProof/>
            <w:webHidden/>
            <w:sz w:val="24"/>
            <w:szCs w:val="24"/>
          </w:rPr>
        </w:r>
        <w:r w:rsidRPr="00E13066">
          <w:rPr>
            <w:noProof/>
            <w:webHidden/>
            <w:sz w:val="24"/>
            <w:szCs w:val="24"/>
          </w:rPr>
          <w:fldChar w:fldCharType="separate"/>
        </w:r>
        <w:r w:rsidR="009D10E5">
          <w:rPr>
            <w:noProof/>
            <w:webHidden/>
            <w:sz w:val="24"/>
            <w:szCs w:val="24"/>
          </w:rPr>
          <w:t>68</w:t>
        </w:r>
        <w:r w:rsidRPr="00E13066">
          <w:rPr>
            <w:noProof/>
            <w:webHidden/>
            <w:sz w:val="24"/>
            <w:szCs w:val="24"/>
          </w:rPr>
          <w:fldChar w:fldCharType="end"/>
        </w:r>
      </w:hyperlink>
    </w:p>
    <w:p w14:paraId="227FCBF5" w14:textId="2D0450C6"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29" w:history="1">
        <w:r w:rsidRPr="00E13066">
          <w:rPr>
            <w:rStyle w:val="Hyperlink"/>
            <w:noProof/>
            <w:sz w:val="24"/>
            <w:szCs w:val="24"/>
          </w:rPr>
          <w:t>Output-Based Focus Areas</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_Toc188361329 \h </w:instrText>
        </w:r>
        <w:r w:rsidRPr="00E13066">
          <w:rPr>
            <w:noProof/>
            <w:webHidden/>
            <w:sz w:val="24"/>
            <w:szCs w:val="24"/>
          </w:rPr>
        </w:r>
        <w:r w:rsidRPr="00E13066">
          <w:rPr>
            <w:noProof/>
            <w:webHidden/>
            <w:sz w:val="24"/>
            <w:szCs w:val="24"/>
          </w:rPr>
          <w:fldChar w:fldCharType="separate"/>
        </w:r>
        <w:r w:rsidR="009D10E5">
          <w:rPr>
            <w:noProof/>
            <w:webHidden/>
            <w:sz w:val="24"/>
            <w:szCs w:val="24"/>
          </w:rPr>
          <w:t>73</w:t>
        </w:r>
        <w:r w:rsidRPr="00E13066">
          <w:rPr>
            <w:noProof/>
            <w:webHidden/>
            <w:sz w:val="24"/>
            <w:szCs w:val="24"/>
          </w:rPr>
          <w:fldChar w:fldCharType="end"/>
        </w:r>
      </w:hyperlink>
    </w:p>
    <w:p w14:paraId="1BC04A87" w14:textId="31BE6B37"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30" w:history="1">
        <w:r w:rsidRPr="00E13066">
          <w:rPr>
            <w:rStyle w:val="Hyperlink"/>
            <w:noProof/>
            <w:sz w:val="24"/>
            <w:szCs w:val="24"/>
          </w:rPr>
          <w:t>School Readiness</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_Toc188361330 \h </w:instrText>
        </w:r>
        <w:r w:rsidRPr="00E13066">
          <w:rPr>
            <w:noProof/>
            <w:webHidden/>
            <w:sz w:val="24"/>
            <w:szCs w:val="24"/>
          </w:rPr>
        </w:r>
        <w:r w:rsidRPr="00E13066">
          <w:rPr>
            <w:noProof/>
            <w:webHidden/>
            <w:sz w:val="24"/>
            <w:szCs w:val="24"/>
          </w:rPr>
          <w:fldChar w:fldCharType="separate"/>
        </w:r>
        <w:r w:rsidR="009D10E5">
          <w:rPr>
            <w:noProof/>
            <w:webHidden/>
            <w:sz w:val="24"/>
            <w:szCs w:val="24"/>
          </w:rPr>
          <w:t>73</w:t>
        </w:r>
        <w:r w:rsidRPr="00E13066">
          <w:rPr>
            <w:noProof/>
            <w:webHidden/>
            <w:sz w:val="24"/>
            <w:szCs w:val="24"/>
          </w:rPr>
          <w:fldChar w:fldCharType="end"/>
        </w:r>
      </w:hyperlink>
    </w:p>
    <w:p w14:paraId="3AF7CC53" w14:textId="79CAAEF4"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31" w:history="1">
        <w:r w:rsidRPr="00E13066">
          <w:rPr>
            <w:rStyle w:val="Hyperlink"/>
            <w:noProof/>
            <w:sz w:val="24"/>
            <w:szCs w:val="24"/>
          </w:rPr>
          <w:t>Out-of-School Youth</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_Toc188361331 \h </w:instrText>
        </w:r>
        <w:r w:rsidRPr="00E13066">
          <w:rPr>
            <w:noProof/>
            <w:webHidden/>
            <w:sz w:val="24"/>
            <w:szCs w:val="24"/>
          </w:rPr>
        </w:r>
        <w:r w:rsidRPr="00E13066">
          <w:rPr>
            <w:noProof/>
            <w:webHidden/>
            <w:sz w:val="24"/>
            <w:szCs w:val="24"/>
          </w:rPr>
          <w:fldChar w:fldCharType="separate"/>
        </w:r>
        <w:r w:rsidR="009D10E5">
          <w:rPr>
            <w:noProof/>
            <w:webHidden/>
            <w:sz w:val="24"/>
            <w:szCs w:val="24"/>
          </w:rPr>
          <w:t>78</w:t>
        </w:r>
        <w:r w:rsidRPr="00E13066">
          <w:rPr>
            <w:noProof/>
            <w:webHidden/>
            <w:sz w:val="24"/>
            <w:szCs w:val="24"/>
          </w:rPr>
          <w:fldChar w:fldCharType="end"/>
        </w:r>
      </w:hyperlink>
    </w:p>
    <w:p w14:paraId="4F66573B" w14:textId="3D176851"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32" w:history="1">
        <w:r w:rsidRPr="00E13066">
          <w:rPr>
            <w:rStyle w:val="Hyperlink"/>
            <w:noProof/>
            <w:sz w:val="24"/>
            <w:szCs w:val="24"/>
          </w:rPr>
          <w:t>Health</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_Toc188361332 \h </w:instrText>
        </w:r>
        <w:r w:rsidRPr="00E13066">
          <w:rPr>
            <w:noProof/>
            <w:webHidden/>
            <w:sz w:val="24"/>
            <w:szCs w:val="24"/>
          </w:rPr>
        </w:r>
        <w:r w:rsidRPr="00E13066">
          <w:rPr>
            <w:noProof/>
            <w:webHidden/>
            <w:sz w:val="24"/>
            <w:szCs w:val="24"/>
          </w:rPr>
          <w:fldChar w:fldCharType="separate"/>
        </w:r>
        <w:r w:rsidR="009D10E5">
          <w:rPr>
            <w:noProof/>
            <w:webHidden/>
            <w:sz w:val="24"/>
            <w:szCs w:val="24"/>
          </w:rPr>
          <w:t>83</w:t>
        </w:r>
        <w:r w:rsidRPr="00E13066">
          <w:rPr>
            <w:noProof/>
            <w:webHidden/>
            <w:sz w:val="24"/>
            <w:szCs w:val="24"/>
          </w:rPr>
          <w:fldChar w:fldCharType="end"/>
        </w:r>
      </w:hyperlink>
    </w:p>
    <w:p w14:paraId="242D4C6D" w14:textId="465B682E"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33" w:history="1">
        <w:r w:rsidRPr="00E13066">
          <w:rPr>
            <w:rStyle w:val="Hyperlink"/>
            <w:noProof/>
            <w:sz w:val="24"/>
            <w:szCs w:val="24"/>
          </w:rPr>
          <w:t>Parent and Family Engagement</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_Toc188361333 \h </w:instrText>
        </w:r>
        <w:r w:rsidRPr="00E13066">
          <w:rPr>
            <w:noProof/>
            <w:webHidden/>
            <w:sz w:val="24"/>
            <w:szCs w:val="24"/>
          </w:rPr>
        </w:r>
        <w:r w:rsidRPr="00E13066">
          <w:rPr>
            <w:noProof/>
            <w:webHidden/>
            <w:sz w:val="24"/>
            <w:szCs w:val="24"/>
          </w:rPr>
          <w:fldChar w:fldCharType="separate"/>
        </w:r>
        <w:r w:rsidR="009D10E5">
          <w:rPr>
            <w:noProof/>
            <w:webHidden/>
            <w:sz w:val="24"/>
            <w:szCs w:val="24"/>
          </w:rPr>
          <w:t>86</w:t>
        </w:r>
        <w:r w:rsidRPr="00E13066">
          <w:rPr>
            <w:noProof/>
            <w:webHidden/>
            <w:sz w:val="24"/>
            <w:szCs w:val="24"/>
          </w:rPr>
          <w:fldChar w:fldCharType="end"/>
        </w:r>
      </w:hyperlink>
    </w:p>
    <w:p w14:paraId="78D9AAD7" w14:textId="7EBC1215"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34" w:history="1">
        <w:r w:rsidRPr="00E13066">
          <w:rPr>
            <w:rStyle w:val="Hyperlink"/>
            <w:noProof/>
            <w:sz w:val="24"/>
            <w:szCs w:val="24"/>
          </w:rPr>
          <w:t>Student Engagement</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_Toc188361334 \h </w:instrText>
        </w:r>
        <w:r w:rsidRPr="00E13066">
          <w:rPr>
            <w:noProof/>
            <w:webHidden/>
            <w:sz w:val="24"/>
            <w:szCs w:val="24"/>
          </w:rPr>
        </w:r>
        <w:r w:rsidRPr="00E13066">
          <w:rPr>
            <w:noProof/>
            <w:webHidden/>
            <w:sz w:val="24"/>
            <w:szCs w:val="24"/>
          </w:rPr>
          <w:fldChar w:fldCharType="separate"/>
        </w:r>
        <w:r w:rsidR="009D10E5">
          <w:rPr>
            <w:noProof/>
            <w:webHidden/>
            <w:sz w:val="24"/>
            <w:szCs w:val="24"/>
          </w:rPr>
          <w:t>90</w:t>
        </w:r>
        <w:r w:rsidRPr="00E13066">
          <w:rPr>
            <w:noProof/>
            <w:webHidden/>
            <w:sz w:val="24"/>
            <w:szCs w:val="24"/>
          </w:rPr>
          <w:fldChar w:fldCharType="end"/>
        </w:r>
      </w:hyperlink>
    </w:p>
    <w:p w14:paraId="517BF19E" w14:textId="5C4C65BF"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35" w:history="1">
        <w:r w:rsidRPr="00E13066">
          <w:rPr>
            <w:rStyle w:val="Hyperlink"/>
            <w:noProof/>
            <w:sz w:val="24"/>
            <w:szCs w:val="24"/>
          </w:rPr>
          <w:t>Social and Emotional Learning</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_Toc188361335 \h </w:instrText>
        </w:r>
        <w:r w:rsidRPr="00E13066">
          <w:rPr>
            <w:noProof/>
            <w:webHidden/>
            <w:sz w:val="24"/>
            <w:szCs w:val="24"/>
          </w:rPr>
        </w:r>
        <w:r w:rsidRPr="00E13066">
          <w:rPr>
            <w:noProof/>
            <w:webHidden/>
            <w:sz w:val="24"/>
            <w:szCs w:val="24"/>
          </w:rPr>
          <w:fldChar w:fldCharType="separate"/>
        </w:r>
        <w:r w:rsidR="009D10E5">
          <w:rPr>
            <w:noProof/>
            <w:webHidden/>
            <w:sz w:val="24"/>
            <w:szCs w:val="24"/>
          </w:rPr>
          <w:t>96</w:t>
        </w:r>
        <w:r w:rsidRPr="00E13066">
          <w:rPr>
            <w:noProof/>
            <w:webHidden/>
            <w:sz w:val="24"/>
            <w:szCs w:val="24"/>
          </w:rPr>
          <w:fldChar w:fldCharType="end"/>
        </w:r>
      </w:hyperlink>
    </w:p>
    <w:p w14:paraId="1AF10973" w14:textId="31F4CEA0"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36" w:history="1">
        <w:r w:rsidRPr="00E13066">
          <w:rPr>
            <w:rStyle w:val="Hyperlink"/>
            <w:noProof/>
            <w:sz w:val="24"/>
            <w:szCs w:val="24"/>
          </w:rPr>
          <w:t>Next Steps</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_Toc188361336 \h </w:instrText>
        </w:r>
        <w:r w:rsidRPr="00E13066">
          <w:rPr>
            <w:noProof/>
            <w:webHidden/>
            <w:sz w:val="24"/>
            <w:szCs w:val="24"/>
          </w:rPr>
        </w:r>
        <w:r w:rsidRPr="00E13066">
          <w:rPr>
            <w:noProof/>
            <w:webHidden/>
            <w:sz w:val="24"/>
            <w:szCs w:val="24"/>
          </w:rPr>
          <w:fldChar w:fldCharType="separate"/>
        </w:r>
        <w:r w:rsidR="009D10E5">
          <w:rPr>
            <w:noProof/>
            <w:webHidden/>
            <w:sz w:val="24"/>
            <w:szCs w:val="24"/>
          </w:rPr>
          <w:t>99</w:t>
        </w:r>
        <w:r w:rsidRPr="00E13066">
          <w:rPr>
            <w:noProof/>
            <w:webHidden/>
            <w:sz w:val="24"/>
            <w:szCs w:val="24"/>
          </w:rPr>
          <w:fldChar w:fldCharType="end"/>
        </w:r>
      </w:hyperlink>
    </w:p>
    <w:p w14:paraId="2C044C75" w14:textId="6C23ADDD" w:rsidR="00075236" w:rsidRPr="00E13066" w:rsidRDefault="00075236" w:rsidP="00E13066">
      <w:pPr>
        <w:pStyle w:val="TOC2"/>
        <w:rPr>
          <w:rFonts w:asciiTheme="minorHAnsi" w:eastAsiaTheme="minorEastAsia" w:hAnsiTheme="minorHAnsi" w:cstheme="minorBidi"/>
          <w:kern w:val="2"/>
          <w14:ligatures w14:val="standardContextual"/>
        </w:rPr>
      </w:pPr>
      <w:hyperlink w:anchor="_Toc188361337" w:history="1">
        <w:r w:rsidRPr="00E13066">
          <w:rPr>
            <w:rStyle w:val="Hyperlink"/>
          </w:rPr>
          <w:t>Appendix A – Calendar of Activities for Development of the Comprehensive Needs Assessment</w:t>
        </w:r>
        <w:r w:rsidRPr="00E13066">
          <w:rPr>
            <w:webHidden/>
          </w:rPr>
          <w:tab/>
        </w:r>
        <w:r w:rsidRPr="00E13066">
          <w:rPr>
            <w:webHidden/>
          </w:rPr>
          <w:fldChar w:fldCharType="begin"/>
        </w:r>
        <w:r w:rsidRPr="00E13066">
          <w:rPr>
            <w:webHidden/>
          </w:rPr>
          <w:instrText xml:space="preserve"> PAGEREF _Toc188361337 \h </w:instrText>
        </w:r>
        <w:r w:rsidRPr="00E13066">
          <w:rPr>
            <w:webHidden/>
          </w:rPr>
        </w:r>
        <w:r w:rsidRPr="00E13066">
          <w:rPr>
            <w:webHidden/>
          </w:rPr>
          <w:fldChar w:fldCharType="separate"/>
        </w:r>
        <w:r w:rsidR="009D10E5">
          <w:rPr>
            <w:webHidden/>
          </w:rPr>
          <w:t>101</w:t>
        </w:r>
        <w:r w:rsidRPr="00E13066">
          <w:rPr>
            <w:webHidden/>
          </w:rPr>
          <w:fldChar w:fldCharType="end"/>
        </w:r>
      </w:hyperlink>
    </w:p>
    <w:p w14:paraId="3BF5E983" w14:textId="2A23ACA1" w:rsidR="00075236" w:rsidRPr="00E13066" w:rsidRDefault="00075236" w:rsidP="00E13066">
      <w:pPr>
        <w:pStyle w:val="TOC2"/>
        <w:rPr>
          <w:rFonts w:asciiTheme="minorHAnsi" w:eastAsiaTheme="minorEastAsia" w:hAnsiTheme="minorHAnsi" w:cstheme="minorBidi"/>
          <w:kern w:val="2"/>
          <w14:ligatures w14:val="standardContextual"/>
        </w:rPr>
      </w:pPr>
      <w:hyperlink w:anchor="_Toc188361338" w:history="1">
        <w:r w:rsidRPr="00E13066">
          <w:rPr>
            <w:rStyle w:val="Hyperlink"/>
          </w:rPr>
          <w:t>Appendix B – Complete List of Concern Statements</w:t>
        </w:r>
        <w:r w:rsidRPr="00E13066">
          <w:rPr>
            <w:webHidden/>
          </w:rPr>
          <w:tab/>
        </w:r>
        <w:r w:rsidRPr="00E13066">
          <w:rPr>
            <w:webHidden/>
          </w:rPr>
          <w:fldChar w:fldCharType="begin"/>
        </w:r>
        <w:r w:rsidRPr="00E13066">
          <w:rPr>
            <w:webHidden/>
          </w:rPr>
          <w:instrText xml:space="preserve"> PAGEREF _Toc188361338 \h </w:instrText>
        </w:r>
        <w:r w:rsidRPr="00E13066">
          <w:rPr>
            <w:webHidden/>
          </w:rPr>
        </w:r>
        <w:r w:rsidRPr="00E13066">
          <w:rPr>
            <w:webHidden/>
          </w:rPr>
          <w:fldChar w:fldCharType="separate"/>
        </w:r>
        <w:r w:rsidR="009D10E5">
          <w:rPr>
            <w:webHidden/>
          </w:rPr>
          <w:t>103</w:t>
        </w:r>
        <w:r w:rsidRPr="00E13066">
          <w:rPr>
            <w:webHidden/>
          </w:rPr>
          <w:fldChar w:fldCharType="end"/>
        </w:r>
      </w:hyperlink>
    </w:p>
    <w:p w14:paraId="640C2B97" w14:textId="0F618047"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39" w:history="1">
        <w:r w:rsidRPr="00E13066">
          <w:rPr>
            <w:rStyle w:val="Hyperlink"/>
            <w:noProof/>
            <w:sz w:val="24"/>
            <w:szCs w:val="24"/>
          </w:rPr>
          <w:t>English Language Arts</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_Toc188361339 \h </w:instrText>
        </w:r>
        <w:r w:rsidRPr="00E13066">
          <w:rPr>
            <w:noProof/>
            <w:webHidden/>
            <w:sz w:val="24"/>
            <w:szCs w:val="24"/>
          </w:rPr>
        </w:r>
        <w:r w:rsidRPr="00E13066">
          <w:rPr>
            <w:noProof/>
            <w:webHidden/>
            <w:sz w:val="24"/>
            <w:szCs w:val="24"/>
          </w:rPr>
          <w:fldChar w:fldCharType="separate"/>
        </w:r>
        <w:r w:rsidR="009D10E5">
          <w:rPr>
            <w:noProof/>
            <w:webHidden/>
            <w:sz w:val="24"/>
            <w:szCs w:val="24"/>
          </w:rPr>
          <w:t>103</w:t>
        </w:r>
        <w:r w:rsidRPr="00E13066">
          <w:rPr>
            <w:noProof/>
            <w:webHidden/>
            <w:sz w:val="24"/>
            <w:szCs w:val="24"/>
          </w:rPr>
          <w:fldChar w:fldCharType="end"/>
        </w:r>
      </w:hyperlink>
    </w:p>
    <w:p w14:paraId="41F13A5D" w14:textId="01A2F787"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40" w:history="1">
        <w:r w:rsidRPr="00E13066">
          <w:rPr>
            <w:rStyle w:val="Hyperlink"/>
            <w:noProof/>
            <w:sz w:val="24"/>
            <w:szCs w:val="24"/>
          </w:rPr>
          <w:t>English Language Development</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_Toc188361340 \h </w:instrText>
        </w:r>
        <w:r w:rsidRPr="00E13066">
          <w:rPr>
            <w:noProof/>
            <w:webHidden/>
            <w:sz w:val="24"/>
            <w:szCs w:val="24"/>
          </w:rPr>
        </w:r>
        <w:r w:rsidRPr="00E13066">
          <w:rPr>
            <w:noProof/>
            <w:webHidden/>
            <w:sz w:val="24"/>
            <w:szCs w:val="24"/>
          </w:rPr>
          <w:fldChar w:fldCharType="separate"/>
        </w:r>
        <w:r w:rsidR="009D10E5">
          <w:rPr>
            <w:noProof/>
            <w:webHidden/>
            <w:sz w:val="24"/>
            <w:szCs w:val="24"/>
          </w:rPr>
          <w:t>103</w:t>
        </w:r>
        <w:r w:rsidRPr="00E13066">
          <w:rPr>
            <w:noProof/>
            <w:webHidden/>
            <w:sz w:val="24"/>
            <w:szCs w:val="24"/>
          </w:rPr>
          <w:fldChar w:fldCharType="end"/>
        </w:r>
      </w:hyperlink>
    </w:p>
    <w:p w14:paraId="5E58DAF3" w14:textId="285C3682"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41" w:history="1">
        <w:r w:rsidRPr="00E13066">
          <w:rPr>
            <w:rStyle w:val="Hyperlink"/>
            <w:noProof/>
            <w:sz w:val="24"/>
            <w:szCs w:val="24"/>
          </w:rPr>
          <w:t>Mathematics</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_Toc188361341 \h </w:instrText>
        </w:r>
        <w:r w:rsidRPr="00E13066">
          <w:rPr>
            <w:noProof/>
            <w:webHidden/>
            <w:sz w:val="24"/>
            <w:szCs w:val="24"/>
          </w:rPr>
        </w:r>
        <w:r w:rsidRPr="00E13066">
          <w:rPr>
            <w:noProof/>
            <w:webHidden/>
            <w:sz w:val="24"/>
            <w:szCs w:val="24"/>
          </w:rPr>
          <w:fldChar w:fldCharType="separate"/>
        </w:r>
        <w:r w:rsidR="009D10E5">
          <w:rPr>
            <w:noProof/>
            <w:webHidden/>
            <w:sz w:val="24"/>
            <w:szCs w:val="24"/>
          </w:rPr>
          <w:t>104</w:t>
        </w:r>
        <w:r w:rsidRPr="00E13066">
          <w:rPr>
            <w:noProof/>
            <w:webHidden/>
            <w:sz w:val="24"/>
            <w:szCs w:val="24"/>
          </w:rPr>
          <w:fldChar w:fldCharType="end"/>
        </w:r>
      </w:hyperlink>
    </w:p>
    <w:p w14:paraId="11D47BF7" w14:textId="7A5A9D9C"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42" w:history="1">
        <w:r w:rsidRPr="00E13066">
          <w:rPr>
            <w:rStyle w:val="Hyperlink"/>
            <w:noProof/>
            <w:sz w:val="24"/>
            <w:szCs w:val="24"/>
          </w:rPr>
          <w:t>High School Graduation and Dropout Prevention</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_Toc188361342 \h </w:instrText>
        </w:r>
        <w:r w:rsidRPr="00E13066">
          <w:rPr>
            <w:noProof/>
            <w:webHidden/>
            <w:sz w:val="24"/>
            <w:szCs w:val="24"/>
          </w:rPr>
        </w:r>
        <w:r w:rsidRPr="00E13066">
          <w:rPr>
            <w:noProof/>
            <w:webHidden/>
            <w:sz w:val="24"/>
            <w:szCs w:val="24"/>
          </w:rPr>
          <w:fldChar w:fldCharType="separate"/>
        </w:r>
        <w:r w:rsidR="009D10E5">
          <w:rPr>
            <w:noProof/>
            <w:webHidden/>
            <w:sz w:val="24"/>
            <w:szCs w:val="24"/>
          </w:rPr>
          <w:t>104</w:t>
        </w:r>
        <w:r w:rsidRPr="00E13066">
          <w:rPr>
            <w:noProof/>
            <w:webHidden/>
            <w:sz w:val="24"/>
            <w:szCs w:val="24"/>
          </w:rPr>
          <w:fldChar w:fldCharType="end"/>
        </w:r>
      </w:hyperlink>
    </w:p>
    <w:p w14:paraId="1FA4647C" w14:textId="3CF71D2C"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43" w:history="1">
        <w:r w:rsidRPr="00E13066">
          <w:rPr>
            <w:rStyle w:val="Hyperlink"/>
            <w:noProof/>
            <w:sz w:val="24"/>
            <w:szCs w:val="24"/>
          </w:rPr>
          <w:t>School Readiness</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_Toc188361343 \h </w:instrText>
        </w:r>
        <w:r w:rsidRPr="00E13066">
          <w:rPr>
            <w:noProof/>
            <w:webHidden/>
            <w:sz w:val="24"/>
            <w:szCs w:val="24"/>
          </w:rPr>
        </w:r>
        <w:r w:rsidRPr="00E13066">
          <w:rPr>
            <w:noProof/>
            <w:webHidden/>
            <w:sz w:val="24"/>
            <w:szCs w:val="24"/>
          </w:rPr>
          <w:fldChar w:fldCharType="separate"/>
        </w:r>
        <w:r w:rsidR="009D10E5">
          <w:rPr>
            <w:noProof/>
            <w:webHidden/>
            <w:sz w:val="24"/>
            <w:szCs w:val="24"/>
          </w:rPr>
          <w:t>105</w:t>
        </w:r>
        <w:r w:rsidRPr="00E13066">
          <w:rPr>
            <w:noProof/>
            <w:webHidden/>
            <w:sz w:val="24"/>
            <w:szCs w:val="24"/>
          </w:rPr>
          <w:fldChar w:fldCharType="end"/>
        </w:r>
      </w:hyperlink>
    </w:p>
    <w:p w14:paraId="00AFB3E8" w14:textId="4634557B"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44" w:history="1">
        <w:r w:rsidRPr="00E13066">
          <w:rPr>
            <w:rStyle w:val="Hyperlink"/>
            <w:noProof/>
            <w:sz w:val="24"/>
            <w:szCs w:val="24"/>
          </w:rPr>
          <w:t>Out-of-School Youth</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_Toc188361344 \h </w:instrText>
        </w:r>
        <w:r w:rsidRPr="00E13066">
          <w:rPr>
            <w:noProof/>
            <w:webHidden/>
            <w:sz w:val="24"/>
            <w:szCs w:val="24"/>
          </w:rPr>
        </w:r>
        <w:r w:rsidRPr="00E13066">
          <w:rPr>
            <w:noProof/>
            <w:webHidden/>
            <w:sz w:val="24"/>
            <w:szCs w:val="24"/>
          </w:rPr>
          <w:fldChar w:fldCharType="separate"/>
        </w:r>
        <w:r w:rsidR="009D10E5">
          <w:rPr>
            <w:noProof/>
            <w:webHidden/>
            <w:sz w:val="24"/>
            <w:szCs w:val="24"/>
          </w:rPr>
          <w:t>105</w:t>
        </w:r>
        <w:r w:rsidRPr="00E13066">
          <w:rPr>
            <w:noProof/>
            <w:webHidden/>
            <w:sz w:val="24"/>
            <w:szCs w:val="24"/>
          </w:rPr>
          <w:fldChar w:fldCharType="end"/>
        </w:r>
      </w:hyperlink>
    </w:p>
    <w:p w14:paraId="6F956A00" w14:textId="21B38763"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45" w:history="1">
        <w:r w:rsidRPr="00E13066">
          <w:rPr>
            <w:rStyle w:val="Hyperlink"/>
            <w:noProof/>
            <w:sz w:val="24"/>
            <w:szCs w:val="24"/>
          </w:rPr>
          <w:t>Health</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_Toc188361345 \h </w:instrText>
        </w:r>
        <w:r w:rsidRPr="00E13066">
          <w:rPr>
            <w:noProof/>
            <w:webHidden/>
            <w:sz w:val="24"/>
            <w:szCs w:val="24"/>
          </w:rPr>
        </w:r>
        <w:r w:rsidRPr="00E13066">
          <w:rPr>
            <w:noProof/>
            <w:webHidden/>
            <w:sz w:val="24"/>
            <w:szCs w:val="24"/>
          </w:rPr>
          <w:fldChar w:fldCharType="separate"/>
        </w:r>
        <w:r w:rsidR="009D10E5">
          <w:rPr>
            <w:noProof/>
            <w:webHidden/>
            <w:sz w:val="24"/>
            <w:szCs w:val="24"/>
          </w:rPr>
          <w:t>106</w:t>
        </w:r>
        <w:r w:rsidRPr="00E13066">
          <w:rPr>
            <w:noProof/>
            <w:webHidden/>
            <w:sz w:val="24"/>
            <w:szCs w:val="24"/>
          </w:rPr>
          <w:fldChar w:fldCharType="end"/>
        </w:r>
      </w:hyperlink>
    </w:p>
    <w:p w14:paraId="52106DF9" w14:textId="67363686"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46" w:history="1">
        <w:r w:rsidRPr="00E13066">
          <w:rPr>
            <w:rStyle w:val="Hyperlink"/>
            <w:noProof/>
            <w:sz w:val="24"/>
            <w:szCs w:val="24"/>
          </w:rPr>
          <w:t>Parent and Family Engagement</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_Toc188361346 \h </w:instrText>
        </w:r>
        <w:r w:rsidRPr="00E13066">
          <w:rPr>
            <w:noProof/>
            <w:webHidden/>
            <w:sz w:val="24"/>
            <w:szCs w:val="24"/>
          </w:rPr>
        </w:r>
        <w:r w:rsidRPr="00E13066">
          <w:rPr>
            <w:noProof/>
            <w:webHidden/>
            <w:sz w:val="24"/>
            <w:szCs w:val="24"/>
          </w:rPr>
          <w:fldChar w:fldCharType="separate"/>
        </w:r>
        <w:r w:rsidR="009D10E5">
          <w:rPr>
            <w:noProof/>
            <w:webHidden/>
            <w:sz w:val="24"/>
            <w:szCs w:val="24"/>
          </w:rPr>
          <w:t>107</w:t>
        </w:r>
        <w:r w:rsidRPr="00E13066">
          <w:rPr>
            <w:noProof/>
            <w:webHidden/>
            <w:sz w:val="24"/>
            <w:szCs w:val="24"/>
          </w:rPr>
          <w:fldChar w:fldCharType="end"/>
        </w:r>
      </w:hyperlink>
    </w:p>
    <w:p w14:paraId="5B57C518" w14:textId="5A3C9AF9"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47" w:history="1">
        <w:r w:rsidRPr="00E13066">
          <w:rPr>
            <w:rStyle w:val="Hyperlink"/>
            <w:noProof/>
            <w:sz w:val="24"/>
            <w:szCs w:val="24"/>
          </w:rPr>
          <w:t>Student Engagement</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_Toc188361347 \h </w:instrText>
        </w:r>
        <w:r w:rsidRPr="00E13066">
          <w:rPr>
            <w:noProof/>
            <w:webHidden/>
            <w:sz w:val="24"/>
            <w:szCs w:val="24"/>
          </w:rPr>
        </w:r>
        <w:r w:rsidRPr="00E13066">
          <w:rPr>
            <w:noProof/>
            <w:webHidden/>
            <w:sz w:val="24"/>
            <w:szCs w:val="24"/>
          </w:rPr>
          <w:fldChar w:fldCharType="separate"/>
        </w:r>
        <w:r w:rsidR="009D10E5">
          <w:rPr>
            <w:noProof/>
            <w:webHidden/>
            <w:sz w:val="24"/>
            <w:szCs w:val="24"/>
          </w:rPr>
          <w:t>108</w:t>
        </w:r>
        <w:r w:rsidRPr="00E13066">
          <w:rPr>
            <w:noProof/>
            <w:webHidden/>
            <w:sz w:val="24"/>
            <w:szCs w:val="24"/>
          </w:rPr>
          <w:fldChar w:fldCharType="end"/>
        </w:r>
      </w:hyperlink>
    </w:p>
    <w:p w14:paraId="5131092D" w14:textId="528BE1DC" w:rsidR="00075236" w:rsidRPr="00E13066" w:rsidRDefault="0007523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8361348" w:history="1">
        <w:r w:rsidRPr="00E13066">
          <w:rPr>
            <w:rStyle w:val="Hyperlink"/>
            <w:noProof/>
            <w:sz w:val="24"/>
            <w:szCs w:val="24"/>
          </w:rPr>
          <w:t>Social and Emotional Learning</w:t>
        </w:r>
        <w:r w:rsidRPr="00E13066">
          <w:rPr>
            <w:noProof/>
            <w:webHidden/>
            <w:sz w:val="24"/>
            <w:szCs w:val="24"/>
          </w:rPr>
          <w:tab/>
        </w:r>
        <w:r w:rsidRPr="00E13066">
          <w:rPr>
            <w:noProof/>
            <w:webHidden/>
            <w:sz w:val="24"/>
            <w:szCs w:val="24"/>
          </w:rPr>
          <w:fldChar w:fldCharType="begin"/>
        </w:r>
        <w:r w:rsidRPr="00E13066">
          <w:rPr>
            <w:noProof/>
            <w:webHidden/>
            <w:sz w:val="24"/>
            <w:szCs w:val="24"/>
          </w:rPr>
          <w:instrText xml:space="preserve"> PAGEREF _Toc188361348 \h </w:instrText>
        </w:r>
        <w:r w:rsidRPr="00E13066">
          <w:rPr>
            <w:noProof/>
            <w:webHidden/>
            <w:sz w:val="24"/>
            <w:szCs w:val="24"/>
          </w:rPr>
        </w:r>
        <w:r w:rsidRPr="00E13066">
          <w:rPr>
            <w:noProof/>
            <w:webHidden/>
            <w:sz w:val="24"/>
            <w:szCs w:val="24"/>
          </w:rPr>
          <w:fldChar w:fldCharType="separate"/>
        </w:r>
        <w:r w:rsidR="009D10E5">
          <w:rPr>
            <w:noProof/>
            <w:webHidden/>
            <w:sz w:val="24"/>
            <w:szCs w:val="24"/>
          </w:rPr>
          <w:t>109</w:t>
        </w:r>
        <w:r w:rsidRPr="00E13066">
          <w:rPr>
            <w:noProof/>
            <w:webHidden/>
            <w:sz w:val="24"/>
            <w:szCs w:val="24"/>
          </w:rPr>
          <w:fldChar w:fldCharType="end"/>
        </w:r>
      </w:hyperlink>
    </w:p>
    <w:p w14:paraId="1D583B55" w14:textId="6139ECEB" w:rsidR="00BC5EA2" w:rsidRPr="00E13066" w:rsidRDefault="00BC5EA2" w:rsidP="00EE7E92">
      <w:pPr>
        <w:rPr>
          <w:rFonts w:eastAsia="Times New Roman"/>
          <w:color w:val="2F5496"/>
        </w:rPr>
      </w:pPr>
      <w:r w:rsidRPr="00E13066">
        <w:rPr>
          <w:bCs/>
        </w:rPr>
        <w:fldChar w:fldCharType="end"/>
      </w:r>
      <w:r w:rsidRPr="00E13066">
        <w:br w:type="page"/>
      </w:r>
    </w:p>
    <w:p w14:paraId="5CE8DD08" w14:textId="060A4FE3" w:rsidR="001E2594" w:rsidRPr="002F0E3F" w:rsidRDefault="001E2594" w:rsidP="00EA26BE">
      <w:pPr>
        <w:pStyle w:val="Heading3"/>
      </w:pPr>
      <w:bookmarkStart w:id="2" w:name="_Toc188361302"/>
      <w:r w:rsidRPr="002F0E3F">
        <w:lastRenderedPageBreak/>
        <w:t xml:space="preserve">List of </w:t>
      </w:r>
      <w:bookmarkEnd w:id="1"/>
      <w:r w:rsidR="00252151">
        <w:t>Figure</w:t>
      </w:r>
      <w:r w:rsidR="009A6377">
        <w:t>s</w:t>
      </w:r>
      <w:bookmarkEnd w:id="2"/>
    </w:p>
    <w:p w14:paraId="74B88EC1" w14:textId="0B3C86A3" w:rsidR="00631E58" w:rsidRDefault="00631E58" w:rsidP="00D04DC5">
      <w:pPr>
        <w:pStyle w:val="TableofFigures"/>
        <w:tabs>
          <w:tab w:val="right" w:leader="dot" w:pos="9350"/>
        </w:tabs>
        <w:spacing w:after="240"/>
        <w:rPr>
          <w:rFonts w:cs="Arial"/>
        </w:rPr>
      </w:pPr>
      <w:r>
        <w:rPr>
          <w:rFonts w:cs="Arial"/>
        </w:rPr>
        <w:t xml:space="preserve">Much of this data comes from </w:t>
      </w:r>
      <w:hyperlink r:id="rId11" w:history="1">
        <w:r w:rsidRPr="00152822">
          <w:rPr>
            <w:rStyle w:val="Hyperlink"/>
            <w:rFonts w:cs="Arial"/>
          </w:rPr>
          <w:t>California’s Migratory Student Profile</w:t>
        </w:r>
      </w:hyperlink>
      <w:r w:rsidR="00152822">
        <w:rPr>
          <w:rFonts w:cs="Arial"/>
        </w:rPr>
        <w:t xml:space="preserve"> which can be accessed at the California Department of Education’s Migrant Education Office web page for the State Service Delivery Plan. Each figure is followed by a 508 compliant table displaying the data in a more accessible way. </w:t>
      </w:r>
    </w:p>
    <w:p w14:paraId="78715E9C" w14:textId="469479C7" w:rsidR="00465EB5" w:rsidRPr="00465EB5" w:rsidRDefault="00611508"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r>
        <w:rPr>
          <w:rFonts w:cs="Arial"/>
        </w:rPr>
        <w:fldChar w:fldCharType="begin"/>
      </w:r>
      <w:r>
        <w:rPr>
          <w:rFonts w:cs="Arial"/>
        </w:rPr>
        <w:instrText xml:space="preserve"> TOC \h \z \c "Figure" </w:instrText>
      </w:r>
      <w:r>
        <w:rPr>
          <w:rFonts w:cs="Arial"/>
        </w:rPr>
        <w:fldChar w:fldCharType="separate"/>
      </w:r>
      <w:hyperlink w:anchor="_Toc188030500" w:history="1">
        <w:r w:rsidR="00465EB5" w:rsidRPr="00465EB5">
          <w:rPr>
            <w:rStyle w:val="Hyperlink"/>
            <w:noProof/>
            <w:color w:val="auto"/>
          </w:rPr>
          <w:t>Figure 1. Number of Migrant Education Program-Eligible Children and Youths, 2017–18 Through 2022–23</w:t>
        </w:r>
        <w:r w:rsidR="00465EB5" w:rsidRPr="00465EB5">
          <w:rPr>
            <w:noProof/>
            <w:webHidden/>
          </w:rPr>
          <w:tab/>
        </w:r>
        <w:r w:rsidR="00465EB5" w:rsidRPr="00465EB5">
          <w:rPr>
            <w:noProof/>
            <w:webHidden/>
          </w:rPr>
          <w:fldChar w:fldCharType="begin"/>
        </w:r>
        <w:r w:rsidR="00465EB5" w:rsidRPr="00465EB5">
          <w:rPr>
            <w:noProof/>
            <w:webHidden/>
          </w:rPr>
          <w:instrText xml:space="preserve"> PAGEREF _Toc188030500 \h </w:instrText>
        </w:r>
        <w:r w:rsidR="00465EB5" w:rsidRPr="00465EB5">
          <w:rPr>
            <w:noProof/>
            <w:webHidden/>
          </w:rPr>
        </w:r>
        <w:r w:rsidR="00465EB5" w:rsidRPr="00465EB5">
          <w:rPr>
            <w:noProof/>
            <w:webHidden/>
          </w:rPr>
          <w:fldChar w:fldCharType="separate"/>
        </w:r>
        <w:r w:rsidR="009D10E5">
          <w:rPr>
            <w:noProof/>
            <w:webHidden/>
          </w:rPr>
          <w:t>3</w:t>
        </w:r>
        <w:r w:rsidR="00465EB5" w:rsidRPr="00465EB5">
          <w:rPr>
            <w:noProof/>
            <w:webHidden/>
          </w:rPr>
          <w:fldChar w:fldCharType="end"/>
        </w:r>
      </w:hyperlink>
    </w:p>
    <w:p w14:paraId="30478274" w14:textId="63C694EA"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01" w:history="1">
        <w:r w:rsidRPr="00465EB5">
          <w:rPr>
            <w:rStyle w:val="Hyperlink"/>
            <w:noProof/>
            <w:color w:val="auto"/>
          </w:rPr>
          <w:t>Figure 2. Process for Developing the Statewide Comprehensive Needs Assessment and Service Delivery Plan</w:t>
        </w:r>
        <w:r w:rsidRPr="00465EB5">
          <w:rPr>
            <w:noProof/>
            <w:webHidden/>
          </w:rPr>
          <w:tab/>
        </w:r>
        <w:r w:rsidRPr="00465EB5">
          <w:rPr>
            <w:noProof/>
            <w:webHidden/>
          </w:rPr>
          <w:fldChar w:fldCharType="begin"/>
        </w:r>
        <w:r w:rsidRPr="00465EB5">
          <w:rPr>
            <w:noProof/>
            <w:webHidden/>
          </w:rPr>
          <w:instrText xml:space="preserve"> PAGEREF _Toc188030501 \h </w:instrText>
        </w:r>
        <w:r w:rsidRPr="00465EB5">
          <w:rPr>
            <w:noProof/>
            <w:webHidden/>
          </w:rPr>
        </w:r>
        <w:r w:rsidRPr="00465EB5">
          <w:rPr>
            <w:noProof/>
            <w:webHidden/>
          </w:rPr>
          <w:fldChar w:fldCharType="separate"/>
        </w:r>
        <w:r w:rsidR="009D10E5">
          <w:rPr>
            <w:noProof/>
            <w:webHidden/>
          </w:rPr>
          <w:t>9</w:t>
        </w:r>
        <w:r w:rsidRPr="00465EB5">
          <w:rPr>
            <w:noProof/>
            <w:webHidden/>
          </w:rPr>
          <w:fldChar w:fldCharType="end"/>
        </w:r>
      </w:hyperlink>
    </w:p>
    <w:p w14:paraId="426478AD" w14:textId="44210BE3"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02" w:history="1">
        <w:r w:rsidRPr="00465EB5">
          <w:rPr>
            <w:rStyle w:val="Hyperlink"/>
            <w:noProof/>
            <w:color w:val="auto"/>
          </w:rPr>
          <w:t>Figure 3. Number of Migrant Education Program–Eligible Children Aged Three Years Through Twelve Years, by Age Group at the Start of the Performance Period, 2017–18 Through 2022–23</w:t>
        </w:r>
        <w:r w:rsidRPr="00465EB5">
          <w:rPr>
            <w:noProof/>
            <w:webHidden/>
          </w:rPr>
          <w:tab/>
        </w:r>
        <w:r w:rsidRPr="00465EB5">
          <w:rPr>
            <w:noProof/>
            <w:webHidden/>
          </w:rPr>
          <w:fldChar w:fldCharType="begin"/>
        </w:r>
        <w:r w:rsidRPr="00465EB5">
          <w:rPr>
            <w:noProof/>
            <w:webHidden/>
          </w:rPr>
          <w:instrText xml:space="preserve"> PAGEREF _Toc188030502 \h </w:instrText>
        </w:r>
        <w:r w:rsidRPr="00465EB5">
          <w:rPr>
            <w:noProof/>
            <w:webHidden/>
          </w:rPr>
        </w:r>
        <w:r w:rsidRPr="00465EB5">
          <w:rPr>
            <w:noProof/>
            <w:webHidden/>
          </w:rPr>
          <w:fldChar w:fldCharType="separate"/>
        </w:r>
        <w:r w:rsidR="009D10E5">
          <w:rPr>
            <w:noProof/>
            <w:webHidden/>
          </w:rPr>
          <w:t>13</w:t>
        </w:r>
        <w:r w:rsidRPr="00465EB5">
          <w:rPr>
            <w:noProof/>
            <w:webHidden/>
          </w:rPr>
          <w:fldChar w:fldCharType="end"/>
        </w:r>
      </w:hyperlink>
    </w:p>
    <w:p w14:paraId="23766B34" w14:textId="649E9258"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03" w:history="1">
        <w:r w:rsidRPr="00465EB5">
          <w:rPr>
            <w:rStyle w:val="Hyperlink"/>
            <w:noProof/>
            <w:color w:val="auto"/>
          </w:rPr>
          <w:t>Figure 4. Number of Migrant Education Program–Eligible Youths Aged Thirteen Years Through Twenty-One Years, by Age Group at the Start of the Performance Period, 2017–18 Through 2022–23</w:t>
        </w:r>
        <w:r w:rsidRPr="00465EB5">
          <w:rPr>
            <w:noProof/>
            <w:webHidden/>
          </w:rPr>
          <w:tab/>
        </w:r>
        <w:r w:rsidRPr="00465EB5">
          <w:rPr>
            <w:noProof/>
            <w:webHidden/>
          </w:rPr>
          <w:fldChar w:fldCharType="begin"/>
        </w:r>
        <w:r w:rsidRPr="00465EB5">
          <w:rPr>
            <w:noProof/>
            <w:webHidden/>
          </w:rPr>
          <w:instrText xml:space="preserve"> PAGEREF _Toc188030503 \h </w:instrText>
        </w:r>
        <w:r w:rsidRPr="00465EB5">
          <w:rPr>
            <w:noProof/>
            <w:webHidden/>
          </w:rPr>
        </w:r>
        <w:r w:rsidRPr="00465EB5">
          <w:rPr>
            <w:noProof/>
            <w:webHidden/>
          </w:rPr>
          <w:fldChar w:fldCharType="separate"/>
        </w:r>
        <w:r w:rsidR="009D10E5">
          <w:rPr>
            <w:noProof/>
            <w:webHidden/>
          </w:rPr>
          <w:t>14</w:t>
        </w:r>
        <w:r w:rsidRPr="00465EB5">
          <w:rPr>
            <w:noProof/>
            <w:webHidden/>
          </w:rPr>
          <w:fldChar w:fldCharType="end"/>
        </w:r>
      </w:hyperlink>
    </w:p>
    <w:p w14:paraId="10FB6204" w14:textId="120EDC58"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04" w:history="1">
        <w:r w:rsidRPr="00465EB5">
          <w:rPr>
            <w:rStyle w:val="Hyperlink"/>
            <w:noProof/>
            <w:color w:val="auto"/>
          </w:rPr>
          <w:t>Figure 5. Percentage of Migratory Students and All Students Who Were Classified as English Learner Students in School Year 2022–23, by Grade</w:t>
        </w:r>
        <w:r w:rsidRPr="00465EB5">
          <w:rPr>
            <w:noProof/>
            <w:webHidden/>
          </w:rPr>
          <w:tab/>
        </w:r>
        <w:r w:rsidRPr="00465EB5">
          <w:rPr>
            <w:noProof/>
            <w:webHidden/>
          </w:rPr>
          <w:fldChar w:fldCharType="begin"/>
        </w:r>
        <w:r w:rsidRPr="00465EB5">
          <w:rPr>
            <w:noProof/>
            <w:webHidden/>
          </w:rPr>
          <w:instrText xml:space="preserve"> PAGEREF _Toc188030504 \h </w:instrText>
        </w:r>
        <w:r w:rsidRPr="00465EB5">
          <w:rPr>
            <w:noProof/>
            <w:webHidden/>
          </w:rPr>
        </w:r>
        <w:r w:rsidRPr="00465EB5">
          <w:rPr>
            <w:noProof/>
            <w:webHidden/>
          </w:rPr>
          <w:fldChar w:fldCharType="separate"/>
        </w:r>
        <w:r w:rsidR="009D10E5">
          <w:rPr>
            <w:noProof/>
            <w:webHidden/>
          </w:rPr>
          <w:t>16</w:t>
        </w:r>
        <w:r w:rsidRPr="00465EB5">
          <w:rPr>
            <w:noProof/>
            <w:webHidden/>
          </w:rPr>
          <w:fldChar w:fldCharType="end"/>
        </w:r>
      </w:hyperlink>
    </w:p>
    <w:p w14:paraId="16EBE8CE" w14:textId="625D455C"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05" w:history="1">
        <w:r w:rsidRPr="00465EB5">
          <w:rPr>
            <w:rStyle w:val="Hyperlink"/>
            <w:noProof/>
            <w:color w:val="auto"/>
          </w:rPr>
          <w:t>Figure 6. Percentage of Migratory and All Students Who Were Classified as Long-Term English Learner Students, School Year 2022–23</w:t>
        </w:r>
        <w:r w:rsidRPr="00465EB5">
          <w:rPr>
            <w:noProof/>
            <w:webHidden/>
          </w:rPr>
          <w:tab/>
        </w:r>
        <w:r w:rsidRPr="00465EB5">
          <w:rPr>
            <w:noProof/>
            <w:webHidden/>
          </w:rPr>
          <w:fldChar w:fldCharType="begin"/>
        </w:r>
        <w:r w:rsidRPr="00465EB5">
          <w:rPr>
            <w:noProof/>
            <w:webHidden/>
          </w:rPr>
          <w:instrText xml:space="preserve"> PAGEREF _Toc188030505 \h </w:instrText>
        </w:r>
        <w:r w:rsidRPr="00465EB5">
          <w:rPr>
            <w:noProof/>
            <w:webHidden/>
          </w:rPr>
        </w:r>
        <w:r w:rsidRPr="00465EB5">
          <w:rPr>
            <w:noProof/>
            <w:webHidden/>
          </w:rPr>
          <w:fldChar w:fldCharType="separate"/>
        </w:r>
        <w:r w:rsidR="009D10E5">
          <w:rPr>
            <w:noProof/>
            <w:webHidden/>
          </w:rPr>
          <w:t>19</w:t>
        </w:r>
        <w:r w:rsidRPr="00465EB5">
          <w:rPr>
            <w:noProof/>
            <w:webHidden/>
          </w:rPr>
          <w:fldChar w:fldCharType="end"/>
        </w:r>
      </w:hyperlink>
    </w:p>
    <w:p w14:paraId="734EE6E6" w14:textId="46578737"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06" w:history="1">
        <w:r w:rsidRPr="00465EB5">
          <w:rPr>
            <w:rStyle w:val="Hyperlink"/>
            <w:noProof/>
            <w:color w:val="auto"/>
          </w:rPr>
          <w:t>Figure 7. Percentage of Migratory Students and All Students Who Have a Disability, by Grade Span, School Year 2022–23</w:t>
        </w:r>
        <w:r w:rsidRPr="00465EB5">
          <w:rPr>
            <w:noProof/>
            <w:webHidden/>
          </w:rPr>
          <w:tab/>
        </w:r>
        <w:r w:rsidRPr="00465EB5">
          <w:rPr>
            <w:noProof/>
            <w:webHidden/>
          </w:rPr>
          <w:fldChar w:fldCharType="begin"/>
        </w:r>
        <w:r w:rsidRPr="00465EB5">
          <w:rPr>
            <w:noProof/>
            <w:webHidden/>
          </w:rPr>
          <w:instrText xml:space="preserve"> PAGEREF _Toc188030506 \h </w:instrText>
        </w:r>
        <w:r w:rsidRPr="00465EB5">
          <w:rPr>
            <w:noProof/>
            <w:webHidden/>
          </w:rPr>
        </w:r>
        <w:r w:rsidRPr="00465EB5">
          <w:rPr>
            <w:noProof/>
            <w:webHidden/>
          </w:rPr>
          <w:fldChar w:fldCharType="separate"/>
        </w:r>
        <w:r w:rsidR="009D10E5">
          <w:rPr>
            <w:noProof/>
            <w:webHidden/>
          </w:rPr>
          <w:t>22</w:t>
        </w:r>
        <w:r w:rsidRPr="00465EB5">
          <w:rPr>
            <w:noProof/>
            <w:webHidden/>
          </w:rPr>
          <w:fldChar w:fldCharType="end"/>
        </w:r>
      </w:hyperlink>
    </w:p>
    <w:p w14:paraId="34FCEB02" w14:textId="14787DBE"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07" w:history="1">
        <w:r w:rsidRPr="00465EB5">
          <w:rPr>
            <w:rStyle w:val="Hyperlink"/>
            <w:noProof/>
            <w:color w:val="auto"/>
          </w:rPr>
          <w:t>Figure 8. Percentage of All Students, Migratory Students, and Migratory Priority-for-Service Students Scoring at Standard Met or Exceeded for Overall Achievement on California’s English Language Arts Assessment for All Grades, School Years 2017–18, 2018–19, 2021–22, and 2022–23</w:t>
        </w:r>
        <w:r w:rsidRPr="00465EB5">
          <w:rPr>
            <w:noProof/>
            <w:webHidden/>
          </w:rPr>
          <w:tab/>
        </w:r>
        <w:r w:rsidRPr="00465EB5">
          <w:rPr>
            <w:noProof/>
            <w:webHidden/>
          </w:rPr>
          <w:fldChar w:fldCharType="begin"/>
        </w:r>
        <w:r w:rsidRPr="00465EB5">
          <w:rPr>
            <w:noProof/>
            <w:webHidden/>
          </w:rPr>
          <w:instrText xml:space="preserve"> PAGEREF _Toc188030507 \h </w:instrText>
        </w:r>
        <w:r w:rsidRPr="00465EB5">
          <w:rPr>
            <w:noProof/>
            <w:webHidden/>
          </w:rPr>
        </w:r>
        <w:r w:rsidRPr="00465EB5">
          <w:rPr>
            <w:noProof/>
            <w:webHidden/>
          </w:rPr>
          <w:fldChar w:fldCharType="separate"/>
        </w:r>
        <w:r w:rsidR="009D10E5">
          <w:rPr>
            <w:noProof/>
            <w:webHidden/>
          </w:rPr>
          <w:t>26</w:t>
        </w:r>
        <w:r w:rsidRPr="00465EB5">
          <w:rPr>
            <w:noProof/>
            <w:webHidden/>
          </w:rPr>
          <w:fldChar w:fldCharType="end"/>
        </w:r>
      </w:hyperlink>
    </w:p>
    <w:p w14:paraId="65D08377" w14:textId="595EDC0A"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08" w:history="1">
        <w:r w:rsidRPr="00465EB5">
          <w:rPr>
            <w:rStyle w:val="Hyperlink"/>
            <w:noProof/>
            <w:color w:val="auto"/>
          </w:rPr>
          <w:t xml:space="preserve">Figure 9. Percentage of All Students, Migratory Students, and Migratory Priority-for-Service Students Scoring Above Standard on the California Assessment of Student Performance and Progress English Language Arts Reading Claim for All Grades, School Years 2017–18, </w:t>
        </w:r>
        <w:r w:rsidRPr="00465EB5">
          <w:rPr>
            <w:rStyle w:val="Hyperlink"/>
            <w:rFonts w:eastAsia="SimSun" w:cs="Arial"/>
            <w:noProof/>
            <w:color w:val="auto"/>
            <w:lang w:eastAsia="zh-CN"/>
          </w:rPr>
          <w:t>2021–22, and 2022–23</w:t>
        </w:r>
        <w:r w:rsidRPr="00465EB5">
          <w:rPr>
            <w:noProof/>
            <w:webHidden/>
          </w:rPr>
          <w:tab/>
        </w:r>
        <w:r w:rsidRPr="00465EB5">
          <w:rPr>
            <w:noProof/>
            <w:webHidden/>
          </w:rPr>
          <w:fldChar w:fldCharType="begin"/>
        </w:r>
        <w:r w:rsidRPr="00465EB5">
          <w:rPr>
            <w:noProof/>
            <w:webHidden/>
          </w:rPr>
          <w:instrText xml:space="preserve"> PAGEREF _Toc188030508 \h </w:instrText>
        </w:r>
        <w:r w:rsidRPr="00465EB5">
          <w:rPr>
            <w:noProof/>
            <w:webHidden/>
          </w:rPr>
        </w:r>
        <w:r w:rsidRPr="00465EB5">
          <w:rPr>
            <w:noProof/>
            <w:webHidden/>
          </w:rPr>
          <w:fldChar w:fldCharType="separate"/>
        </w:r>
        <w:r w:rsidR="009D10E5">
          <w:rPr>
            <w:noProof/>
            <w:webHidden/>
          </w:rPr>
          <w:t>28</w:t>
        </w:r>
        <w:r w:rsidRPr="00465EB5">
          <w:rPr>
            <w:noProof/>
            <w:webHidden/>
          </w:rPr>
          <w:fldChar w:fldCharType="end"/>
        </w:r>
      </w:hyperlink>
    </w:p>
    <w:p w14:paraId="0B5060F9" w14:textId="243916E4"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09" w:history="1">
        <w:r w:rsidRPr="00465EB5">
          <w:rPr>
            <w:rStyle w:val="Hyperlink"/>
            <w:noProof/>
            <w:color w:val="auto"/>
          </w:rPr>
          <w:t>Figure 10. Percentage of All Students, Migratory Students, and Migratory Priority-for-Service Students Scoring Above Standard on the English Language Arts Writing Claim for All Grades, School Years 2017–18, 2018–19, 2021–22, and 2022– 23</w:t>
        </w:r>
        <w:r w:rsidRPr="00465EB5">
          <w:rPr>
            <w:noProof/>
            <w:webHidden/>
          </w:rPr>
          <w:tab/>
        </w:r>
        <w:r w:rsidRPr="00465EB5">
          <w:rPr>
            <w:noProof/>
            <w:webHidden/>
          </w:rPr>
          <w:fldChar w:fldCharType="begin"/>
        </w:r>
        <w:r w:rsidRPr="00465EB5">
          <w:rPr>
            <w:noProof/>
            <w:webHidden/>
          </w:rPr>
          <w:instrText xml:space="preserve"> PAGEREF _Toc188030509 \h </w:instrText>
        </w:r>
        <w:r w:rsidRPr="00465EB5">
          <w:rPr>
            <w:noProof/>
            <w:webHidden/>
          </w:rPr>
        </w:r>
        <w:r w:rsidRPr="00465EB5">
          <w:rPr>
            <w:noProof/>
            <w:webHidden/>
          </w:rPr>
          <w:fldChar w:fldCharType="separate"/>
        </w:r>
        <w:r w:rsidR="009D10E5">
          <w:rPr>
            <w:noProof/>
            <w:webHidden/>
          </w:rPr>
          <w:t>30</w:t>
        </w:r>
        <w:r w:rsidRPr="00465EB5">
          <w:rPr>
            <w:noProof/>
            <w:webHidden/>
          </w:rPr>
          <w:fldChar w:fldCharType="end"/>
        </w:r>
      </w:hyperlink>
    </w:p>
    <w:p w14:paraId="25A4E3C9" w14:textId="70BBEC55"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10" w:history="1">
        <w:r w:rsidRPr="00465EB5">
          <w:rPr>
            <w:rStyle w:val="Hyperlink"/>
            <w:noProof/>
            <w:color w:val="auto"/>
          </w:rPr>
          <w:t>Figure 11. Percentage of All Students, Migratory Students, and Migratory Priority-for-Service Students Scoring Above Standard on the English Language Arts Listening Claim for All Grades, School Years 2017–18, 2018–19, 2021–22, and 2022–23.</w:t>
        </w:r>
        <w:r w:rsidRPr="00465EB5">
          <w:rPr>
            <w:noProof/>
            <w:webHidden/>
          </w:rPr>
          <w:tab/>
        </w:r>
        <w:r w:rsidRPr="00465EB5">
          <w:rPr>
            <w:noProof/>
            <w:webHidden/>
          </w:rPr>
          <w:fldChar w:fldCharType="begin"/>
        </w:r>
        <w:r w:rsidRPr="00465EB5">
          <w:rPr>
            <w:noProof/>
            <w:webHidden/>
          </w:rPr>
          <w:instrText xml:space="preserve"> PAGEREF _Toc188030510 \h </w:instrText>
        </w:r>
        <w:r w:rsidRPr="00465EB5">
          <w:rPr>
            <w:noProof/>
            <w:webHidden/>
          </w:rPr>
        </w:r>
        <w:r w:rsidRPr="00465EB5">
          <w:rPr>
            <w:noProof/>
            <w:webHidden/>
          </w:rPr>
          <w:fldChar w:fldCharType="separate"/>
        </w:r>
        <w:r w:rsidR="009D10E5">
          <w:rPr>
            <w:noProof/>
            <w:webHidden/>
          </w:rPr>
          <w:t>32</w:t>
        </w:r>
        <w:r w:rsidRPr="00465EB5">
          <w:rPr>
            <w:noProof/>
            <w:webHidden/>
          </w:rPr>
          <w:fldChar w:fldCharType="end"/>
        </w:r>
      </w:hyperlink>
    </w:p>
    <w:p w14:paraId="41C359C1" w14:textId="6324CF4C"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11" w:history="1">
        <w:r w:rsidRPr="00465EB5">
          <w:rPr>
            <w:rStyle w:val="Hyperlink"/>
            <w:noProof/>
            <w:color w:val="auto"/>
          </w:rPr>
          <w:t>Figure 12. Percentage of All Students, Migratory Students, and Migratory Priority-for-Service Students Scoring above standard on the English Language Arts Research/Inquiry Claim for All Grades, School Years 2017–18, 2018–19, 2021–22, and 2022–23</w:t>
        </w:r>
        <w:r w:rsidRPr="00465EB5">
          <w:rPr>
            <w:noProof/>
            <w:webHidden/>
          </w:rPr>
          <w:tab/>
        </w:r>
        <w:r w:rsidRPr="00465EB5">
          <w:rPr>
            <w:noProof/>
            <w:webHidden/>
          </w:rPr>
          <w:fldChar w:fldCharType="begin"/>
        </w:r>
        <w:r w:rsidRPr="00465EB5">
          <w:rPr>
            <w:noProof/>
            <w:webHidden/>
          </w:rPr>
          <w:instrText xml:space="preserve"> PAGEREF _Toc188030511 \h </w:instrText>
        </w:r>
        <w:r w:rsidRPr="00465EB5">
          <w:rPr>
            <w:noProof/>
            <w:webHidden/>
          </w:rPr>
        </w:r>
        <w:r w:rsidRPr="00465EB5">
          <w:rPr>
            <w:noProof/>
            <w:webHidden/>
          </w:rPr>
          <w:fldChar w:fldCharType="separate"/>
        </w:r>
        <w:r w:rsidR="009D10E5">
          <w:rPr>
            <w:noProof/>
            <w:webHidden/>
          </w:rPr>
          <w:t>34</w:t>
        </w:r>
        <w:r w:rsidRPr="00465EB5">
          <w:rPr>
            <w:noProof/>
            <w:webHidden/>
          </w:rPr>
          <w:fldChar w:fldCharType="end"/>
        </w:r>
      </w:hyperlink>
    </w:p>
    <w:p w14:paraId="7E5722BE" w14:textId="3AFDF9B8"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12" w:history="1">
        <w:r w:rsidRPr="00465EB5">
          <w:rPr>
            <w:rStyle w:val="Hyperlink"/>
            <w:noProof/>
            <w:color w:val="auto"/>
          </w:rPr>
          <w:t>Figure 13. Figure 13. Percentage of All Students, Migratory Students, and Migratory Priority-for-Service Students Scoring at Standard Met or Exceeded for Overall Achievement on California’s Mathematics Assessment for All Grades, School Years 2017–18, 2018–19, 2021–22, and 2022–23</w:t>
        </w:r>
        <w:r w:rsidRPr="00465EB5">
          <w:rPr>
            <w:noProof/>
            <w:webHidden/>
          </w:rPr>
          <w:tab/>
        </w:r>
        <w:r w:rsidRPr="00465EB5">
          <w:rPr>
            <w:noProof/>
            <w:webHidden/>
          </w:rPr>
          <w:fldChar w:fldCharType="begin"/>
        </w:r>
        <w:r w:rsidRPr="00465EB5">
          <w:rPr>
            <w:noProof/>
            <w:webHidden/>
          </w:rPr>
          <w:instrText xml:space="preserve"> PAGEREF _Toc188030512 \h </w:instrText>
        </w:r>
        <w:r w:rsidRPr="00465EB5">
          <w:rPr>
            <w:noProof/>
            <w:webHidden/>
          </w:rPr>
        </w:r>
        <w:r w:rsidRPr="00465EB5">
          <w:rPr>
            <w:noProof/>
            <w:webHidden/>
          </w:rPr>
          <w:fldChar w:fldCharType="separate"/>
        </w:r>
        <w:r w:rsidR="009D10E5">
          <w:rPr>
            <w:noProof/>
            <w:webHidden/>
          </w:rPr>
          <w:t>36</w:t>
        </w:r>
        <w:r w:rsidRPr="00465EB5">
          <w:rPr>
            <w:noProof/>
            <w:webHidden/>
          </w:rPr>
          <w:fldChar w:fldCharType="end"/>
        </w:r>
      </w:hyperlink>
    </w:p>
    <w:p w14:paraId="6FDCC6DC" w14:textId="42B6448E"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13" w:history="1">
        <w:r w:rsidRPr="00465EB5">
          <w:rPr>
            <w:rStyle w:val="Hyperlink"/>
            <w:noProof/>
            <w:color w:val="auto"/>
          </w:rPr>
          <w:t>Figure 14. Percentage of All Students, Migratory Students, and Migratory Priority-for-Service Students Scoring Above Standard on the Mathematics Concepts and Procedures Claim for All Grades, School Years 2017–18, 2018–19, 2021–22, and 2022–23</w:t>
        </w:r>
        <w:r w:rsidRPr="00465EB5">
          <w:rPr>
            <w:noProof/>
            <w:webHidden/>
          </w:rPr>
          <w:tab/>
        </w:r>
        <w:r w:rsidRPr="00465EB5">
          <w:rPr>
            <w:noProof/>
            <w:webHidden/>
          </w:rPr>
          <w:fldChar w:fldCharType="begin"/>
        </w:r>
        <w:r w:rsidRPr="00465EB5">
          <w:rPr>
            <w:noProof/>
            <w:webHidden/>
          </w:rPr>
          <w:instrText xml:space="preserve"> PAGEREF _Toc188030513 \h </w:instrText>
        </w:r>
        <w:r w:rsidRPr="00465EB5">
          <w:rPr>
            <w:noProof/>
            <w:webHidden/>
          </w:rPr>
        </w:r>
        <w:r w:rsidRPr="00465EB5">
          <w:rPr>
            <w:noProof/>
            <w:webHidden/>
          </w:rPr>
          <w:fldChar w:fldCharType="separate"/>
        </w:r>
        <w:r w:rsidR="009D10E5">
          <w:rPr>
            <w:noProof/>
            <w:webHidden/>
          </w:rPr>
          <w:t>38</w:t>
        </w:r>
        <w:r w:rsidRPr="00465EB5">
          <w:rPr>
            <w:noProof/>
            <w:webHidden/>
          </w:rPr>
          <w:fldChar w:fldCharType="end"/>
        </w:r>
      </w:hyperlink>
    </w:p>
    <w:p w14:paraId="03C5DF3C" w14:textId="5ED1BDA8"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14" w:history="1">
        <w:r w:rsidRPr="00465EB5">
          <w:rPr>
            <w:rStyle w:val="Hyperlink"/>
            <w:noProof/>
            <w:color w:val="auto"/>
          </w:rPr>
          <w:t>Figure 15. Percentage of All Students, Migratory Students, and Migratory Priority-for-Service Students Scoring Above Standard on the Mathematics Problem Solving/Modeling and Data Analysis Claim for All Grades, School Years 2017–18, 2018–19, 2021–22, and 2022–23</w:t>
        </w:r>
        <w:r w:rsidRPr="00465EB5">
          <w:rPr>
            <w:noProof/>
            <w:webHidden/>
          </w:rPr>
          <w:tab/>
        </w:r>
        <w:r w:rsidRPr="00465EB5">
          <w:rPr>
            <w:noProof/>
            <w:webHidden/>
          </w:rPr>
          <w:fldChar w:fldCharType="begin"/>
        </w:r>
        <w:r w:rsidRPr="00465EB5">
          <w:rPr>
            <w:noProof/>
            <w:webHidden/>
          </w:rPr>
          <w:instrText xml:space="preserve"> PAGEREF _Toc188030514 \h </w:instrText>
        </w:r>
        <w:r w:rsidRPr="00465EB5">
          <w:rPr>
            <w:noProof/>
            <w:webHidden/>
          </w:rPr>
        </w:r>
        <w:r w:rsidRPr="00465EB5">
          <w:rPr>
            <w:noProof/>
            <w:webHidden/>
          </w:rPr>
          <w:fldChar w:fldCharType="separate"/>
        </w:r>
        <w:r w:rsidR="009D10E5">
          <w:rPr>
            <w:noProof/>
            <w:webHidden/>
          </w:rPr>
          <w:t>40</w:t>
        </w:r>
        <w:r w:rsidRPr="00465EB5">
          <w:rPr>
            <w:noProof/>
            <w:webHidden/>
          </w:rPr>
          <w:fldChar w:fldCharType="end"/>
        </w:r>
      </w:hyperlink>
    </w:p>
    <w:p w14:paraId="5911B745" w14:textId="34BCDB08"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15" w:history="1">
        <w:r w:rsidRPr="00465EB5">
          <w:rPr>
            <w:rStyle w:val="Hyperlink"/>
            <w:noProof/>
            <w:color w:val="auto"/>
          </w:rPr>
          <w:t>Figure 16. Percentage of All Students, Migratory Students, and Migratory Priority-for-Service Students Scoring Above Standard on the Mathematics Communicating Reasoning Claim for All Grades, School Years 2017–18, 2018–19, 2021–22, and 2022– 23</w:t>
        </w:r>
        <w:r w:rsidRPr="00465EB5">
          <w:rPr>
            <w:noProof/>
            <w:webHidden/>
          </w:rPr>
          <w:tab/>
        </w:r>
        <w:r w:rsidRPr="00465EB5">
          <w:rPr>
            <w:noProof/>
            <w:webHidden/>
          </w:rPr>
          <w:fldChar w:fldCharType="begin"/>
        </w:r>
        <w:r w:rsidRPr="00465EB5">
          <w:rPr>
            <w:noProof/>
            <w:webHidden/>
          </w:rPr>
          <w:instrText xml:space="preserve"> PAGEREF _Toc188030515 \h </w:instrText>
        </w:r>
        <w:r w:rsidRPr="00465EB5">
          <w:rPr>
            <w:noProof/>
            <w:webHidden/>
          </w:rPr>
        </w:r>
        <w:r w:rsidRPr="00465EB5">
          <w:rPr>
            <w:noProof/>
            <w:webHidden/>
          </w:rPr>
          <w:fldChar w:fldCharType="separate"/>
        </w:r>
        <w:r w:rsidR="009D10E5">
          <w:rPr>
            <w:noProof/>
            <w:webHidden/>
          </w:rPr>
          <w:t>42</w:t>
        </w:r>
        <w:r w:rsidRPr="00465EB5">
          <w:rPr>
            <w:noProof/>
            <w:webHidden/>
          </w:rPr>
          <w:fldChar w:fldCharType="end"/>
        </w:r>
      </w:hyperlink>
    </w:p>
    <w:p w14:paraId="17B0ADEE" w14:textId="0C416BB3"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16" w:history="1">
        <w:r w:rsidRPr="00465EB5">
          <w:rPr>
            <w:rStyle w:val="Hyperlink"/>
            <w:noProof/>
            <w:color w:val="auto"/>
          </w:rPr>
          <w:t>Figure 17 (and in a different format, table 19) illustrates the percentage of all students, migratory students, and migratory PFS students who scored at level 4 for overall performance for SYs 2017–18, 2018–19, 2020–21, 2021–22, and 2022–23.Figure 17. Percentage of All Students, Migratory Students, and Migratory Priority-for-Service Students Scoring at Level 4 for Overall Performance on the Summative English Language Proficiency Assessments for California for All Grades, by Student Population, School Years 2017–18, 2018–19, and 2020–21 Through 2022–23</w:t>
        </w:r>
        <w:r w:rsidRPr="00465EB5">
          <w:rPr>
            <w:noProof/>
            <w:webHidden/>
          </w:rPr>
          <w:tab/>
        </w:r>
        <w:r w:rsidRPr="00465EB5">
          <w:rPr>
            <w:noProof/>
            <w:webHidden/>
          </w:rPr>
          <w:fldChar w:fldCharType="begin"/>
        </w:r>
        <w:r w:rsidRPr="00465EB5">
          <w:rPr>
            <w:noProof/>
            <w:webHidden/>
          </w:rPr>
          <w:instrText xml:space="preserve"> PAGEREF _Toc188030516 \h </w:instrText>
        </w:r>
        <w:r w:rsidRPr="00465EB5">
          <w:rPr>
            <w:noProof/>
            <w:webHidden/>
          </w:rPr>
        </w:r>
        <w:r w:rsidRPr="00465EB5">
          <w:rPr>
            <w:noProof/>
            <w:webHidden/>
          </w:rPr>
          <w:fldChar w:fldCharType="separate"/>
        </w:r>
        <w:r w:rsidR="009D10E5">
          <w:rPr>
            <w:noProof/>
            <w:webHidden/>
          </w:rPr>
          <w:t>43</w:t>
        </w:r>
        <w:r w:rsidRPr="00465EB5">
          <w:rPr>
            <w:noProof/>
            <w:webHidden/>
          </w:rPr>
          <w:fldChar w:fldCharType="end"/>
        </w:r>
      </w:hyperlink>
    </w:p>
    <w:p w14:paraId="700D5175" w14:textId="35481D13"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17" w:history="1">
        <w:r w:rsidRPr="00465EB5">
          <w:rPr>
            <w:rStyle w:val="Hyperlink"/>
            <w:noProof/>
            <w:color w:val="auto"/>
          </w:rPr>
          <w:t>Figure 18. Four-Year Cohort Graduation Rates for Migratory and All Students, School Years 2017–18 Through 2022–23</w:t>
        </w:r>
        <w:r w:rsidRPr="00465EB5">
          <w:rPr>
            <w:noProof/>
            <w:webHidden/>
          </w:rPr>
          <w:tab/>
        </w:r>
        <w:r w:rsidRPr="00465EB5">
          <w:rPr>
            <w:noProof/>
            <w:webHidden/>
          </w:rPr>
          <w:fldChar w:fldCharType="begin"/>
        </w:r>
        <w:r w:rsidRPr="00465EB5">
          <w:rPr>
            <w:noProof/>
            <w:webHidden/>
          </w:rPr>
          <w:instrText xml:space="preserve"> PAGEREF _Toc188030517 \h </w:instrText>
        </w:r>
        <w:r w:rsidRPr="00465EB5">
          <w:rPr>
            <w:noProof/>
            <w:webHidden/>
          </w:rPr>
        </w:r>
        <w:r w:rsidRPr="00465EB5">
          <w:rPr>
            <w:noProof/>
            <w:webHidden/>
          </w:rPr>
          <w:fldChar w:fldCharType="separate"/>
        </w:r>
        <w:r w:rsidR="009D10E5">
          <w:rPr>
            <w:noProof/>
            <w:webHidden/>
          </w:rPr>
          <w:t>46</w:t>
        </w:r>
        <w:r w:rsidRPr="00465EB5">
          <w:rPr>
            <w:noProof/>
            <w:webHidden/>
          </w:rPr>
          <w:fldChar w:fldCharType="end"/>
        </w:r>
      </w:hyperlink>
    </w:p>
    <w:p w14:paraId="49FAF914" w14:textId="322931D5"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18" w:history="1">
        <w:r w:rsidRPr="00465EB5">
          <w:rPr>
            <w:rStyle w:val="Hyperlink"/>
            <w:noProof/>
            <w:color w:val="auto"/>
          </w:rPr>
          <w:t>Figure 19. Dropout Rates for Migratory and All Students, School Years 2017–18 Through 2022–23</w:t>
        </w:r>
        <w:r w:rsidRPr="00465EB5">
          <w:rPr>
            <w:noProof/>
            <w:webHidden/>
          </w:rPr>
          <w:tab/>
        </w:r>
        <w:r w:rsidRPr="00465EB5">
          <w:rPr>
            <w:noProof/>
            <w:webHidden/>
          </w:rPr>
          <w:fldChar w:fldCharType="begin"/>
        </w:r>
        <w:r w:rsidRPr="00465EB5">
          <w:rPr>
            <w:noProof/>
            <w:webHidden/>
          </w:rPr>
          <w:instrText xml:space="preserve"> PAGEREF _Toc188030518 \h </w:instrText>
        </w:r>
        <w:r w:rsidRPr="00465EB5">
          <w:rPr>
            <w:noProof/>
            <w:webHidden/>
          </w:rPr>
        </w:r>
        <w:r w:rsidRPr="00465EB5">
          <w:rPr>
            <w:noProof/>
            <w:webHidden/>
          </w:rPr>
          <w:fldChar w:fldCharType="separate"/>
        </w:r>
        <w:r w:rsidR="009D10E5">
          <w:rPr>
            <w:noProof/>
            <w:webHidden/>
          </w:rPr>
          <w:t>47</w:t>
        </w:r>
        <w:r w:rsidRPr="00465EB5">
          <w:rPr>
            <w:noProof/>
            <w:webHidden/>
          </w:rPr>
          <w:fldChar w:fldCharType="end"/>
        </w:r>
      </w:hyperlink>
    </w:p>
    <w:p w14:paraId="3C324C9B" w14:textId="0A085CB5"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19" w:history="1">
        <w:r w:rsidRPr="00465EB5">
          <w:rPr>
            <w:rStyle w:val="Hyperlink"/>
            <w:noProof/>
            <w:color w:val="auto"/>
          </w:rPr>
          <w:t>Figure 20. Percentage of Out-of-School Youths Indicating an Interest in an Educational Service, by Service Type, 2020–21 Through 2022–23 Performance Periods</w:t>
        </w:r>
        <w:r w:rsidRPr="00465EB5">
          <w:rPr>
            <w:noProof/>
            <w:webHidden/>
          </w:rPr>
          <w:tab/>
        </w:r>
        <w:r w:rsidRPr="00465EB5">
          <w:rPr>
            <w:noProof/>
            <w:webHidden/>
          </w:rPr>
          <w:fldChar w:fldCharType="begin"/>
        </w:r>
        <w:r w:rsidRPr="00465EB5">
          <w:rPr>
            <w:noProof/>
            <w:webHidden/>
          </w:rPr>
          <w:instrText xml:space="preserve"> PAGEREF _Toc188030519 \h </w:instrText>
        </w:r>
        <w:r w:rsidRPr="00465EB5">
          <w:rPr>
            <w:noProof/>
            <w:webHidden/>
          </w:rPr>
        </w:r>
        <w:r w:rsidRPr="00465EB5">
          <w:rPr>
            <w:noProof/>
            <w:webHidden/>
          </w:rPr>
          <w:fldChar w:fldCharType="separate"/>
        </w:r>
        <w:r w:rsidR="009D10E5">
          <w:rPr>
            <w:noProof/>
            <w:webHidden/>
          </w:rPr>
          <w:t>49</w:t>
        </w:r>
        <w:r w:rsidRPr="00465EB5">
          <w:rPr>
            <w:noProof/>
            <w:webHidden/>
          </w:rPr>
          <w:fldChar w:fldCharType="end"/>
        </w:r>
      </w:hyperlink>
    </w:p>
    <w:p w14:paraId="70B1B610" w14:textId="40C254EA" w:rsid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20" w:history="1">
        <w:r w:rsidRPr="00465EB5">
          <w:rPr>
            <w:rStyle w:val="Hyperlink"/>
            <w:noProof/>
            <w:color w:val="auto"/>
          </w:rPr>
          <w:t>Figure 21. Prevalence of Health Needs Among Migratory Children and Youths with an Indicated Health Need on an Individual Needs Assessment and Learning Plan, by Need Type, 2020–21 Through 2022–23 Performance Periods</w:t>
        </w:r>
        <w:r w:rsidRPr="00465EB5">
          <w:rPr>
            <w:noProof/>
            <w:webHidden/>
          </w:rPr>
          <w:tab/>
        </w:r>
        <w:r w:rsidRPr="00465EB5">
          <w:rPr>
            <w:noProof/>
            <w:webHidden/>
          </w:rPr>
          <w:fldChar w:fldCharType="begin"/>
        </w:r>
        <w:r w:rsidRPr="00465EB5">
          <w:rPr>
            <w:noProof/>
            <w:webHidden/>
          </w:rPr>
          <w:instrText xml:space="preserve"> PAGEREF _Toc188030520 \h </w:instrText>
        </w:r>
        <w:r w:rsidRPr="00465EB5">
          <w:rPr>
            <w:noProof/>
            <w:webHidden/>
          </w:rPr>
        </w:r>
        <w:r w:rsidRPr="00465EB5">
          <w:rPr>
            <w:noProof/>
            <w:webHidden/>
          </w:rPr>
          <w:fldChar w:fldCharType="separate"/>
        </w:r>
        <w:r w:rsidR="009D10E5">
          <w:rPr>
            <w:noProof/>
            <w:webHidden/>
          </w:rPr>
          <w:t>51</w:t>
        </w:r>
        <w:r w:rsidRPr="00465EB5">
          <w:rPr>
            <w:noProof/>
            <w:webHidden/>
          </w:rPr>
          <w:fldChar w:fldCharType="end"/>
        </w:r>
      </w:hyperlink>
    </w:p>
    <w:p w14:paraId="26BF96CC" w14:textId="6CA28942" w:rsidR="0021247C" w:rsidRDefault="00611508" w:rsidP="0040184E">
      <w:pPr>
        <w:spacing w:after="240"/>
        <w:rPr>
          <w:rFonts w:cs="Arial"/>
        </w:rPr>
      </w:pPr>
      <w:r>
        <w:rPr>
          <w:rFonts w:cs="Arial"/>
        </w:rPr>
        <w:fldChar w:fldCharType="end"/>
      </w:r>
      <w:r w:rsidR="0021247C" w:rsidRPr="009A6377">
        <w:rPr>
          <w:rFonts w:cs="Arial"/>
        </w:rPr>
        <w:br w:type="page"/>
      </w:r>
    </w:p>
    <w:p w14:paraId="08244FFB" w14:textId="6B8BDFB5" w:rsidR="00874EC3" w:rsidRDefault="00874EC3" w:rsidP="00874EC3">
      <w:pPr>
        <w:pStyle w:val="Heading3"/>
      </w:pPr>
      <w:bookmarkStart w:id="3" w:name="_Toc188361303"/>
      <w:r>
        <w:lastRenderedPageBreak/>
        <w:t>List of Tables</w:t>
      </w:r>
      <w:bookmarkEnd w:id="3"/>
    </w:p>
    <w:p w14:paraId="25CA0F64" w14:textId="5999C214" w:rsidR="00465EB5" w:rsidRPr="00465EB5" w:rsidRDefault="00611508"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r w:rsidRPr="00D04DC5">
        <w:rPr>
          <w:rFonts w:cs="Arial"/>
        </w:rPr>
        <w:fldChar w:fldCharType="begin"/>
      </w:r>
      <w:r w:rsidRPr="00D04DC5">
        <w:rPr>
          <w:rFonts w:cs="Arial"/>
        </w:rPr>
        <w:instrText xml:space="preserve"> TOC \h \z \c "Table" </w:instrText>
      </w:r>
      <w:r w:rsidRPr="00D04DC5">
        <w:rPr>
          <w:rFonts w:cs="Arial"/>
        </w:rPr>
        <w:fldChar w:fldCharType="separate"/>
      </w:r>
      <w:hyperlink w:anchor="_Toc188030566" w:history="1">
        <w:r w:rsidR="00465EB5" w:rsidRPr="00465EB5">
          <w:rPr>
            <w:rStyle w:val="Hyperlink"/>
            <w:noProof/>
            <w:color w:val="auto"/>
          </w:rPr>
          <w:t>Table 1. Number of Migrant Education Program-Eligible Children and Youths 2017–18 Through 2022–23</w:t>
        </w:r>
        <w:r w:rsidR="00465EB5" w:rsidRPr="00465EB5">
          <w:rPr>
            <w:noProof/>
            <w:webHidden/>
          </w:rPr>
          <w:tab/>
        </w:r>
        <w:r w:rsidR="00465EB5" w:rsidRPr="00465EB5">
          <w:rPr>
            <w:noProof/>
            <w:webHidden/>
          </w:rPr>
          <w:fldChar w:fldCharType="begin"/>
        </w:r>
        <w:r w:rsidR="00465EB5" w:rsidRPr="00465EB5">
          <w:rPr>
            <w:noProof/>
            <w:webHidden/>
          </w:rPr>
          <w:instrText xml:space="preserve"> PAGEREF _Toc188030566 \h </w:instrText>
        </w:r>
        <w:r w:rsidR="00465EB5" w:rsidRPr="00465EB5">
          <w:rPr>
            <w:noProof/>
            <w:webHidden/>
          </w:rPr>
        </w:r>
        <w:r w:rsidR="00465EB5" w:rsidRPr="00465EB5">
          <w:rPr>
            <w:noProof/>
            <w:webHidden/>
          </w:rPr>
          <w:fldChar w:fldCharType="separate"/>
        </w:r>
        <w:r w:rsidR="009D10E5">
          <w:rPr>
            <w:noProof/>
            <w:webHidden/>
          </w:rPr>
          <w:t>3</w:t>
        </w:r>
        <w:r w:rsidR="00465EB5" w:rsidRPr="00465EB5">
          <w:rPr>
            <w:noProof/>
            <w:webHidden/>
          </w:rPr>
          <w:fldChar w:fldCharType="end"/>
        </w:r>
      </w:hyperlink>
    </w:p>
    <w:p w14:paraId="53BD3F33" w14:textId="6F610EAA"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67" w:history="1">
        <w:r w:rsidRPr="00465EB5">
          <w:rPr>
            <w:rStyle w:val="Hyperlink"/>
            <w:noProof/>
            <w:color w:val="auto"/>
          </w:rPr>
          <w:t>Table 2. Number of Migratory Student Classified as Priority for Service, 2017–18 to 2022–23</w:t>
        </w:r>
        <w:r w:rsidRPr="00465EB5">
          <w:rPr>
            <w:noProof/>
            <w:webHidden/>
          </w:rPr>
          <w:tab/>
        </w:r>
        <w:r w:rsidRPr="00465EB5">
          <w:rPr>
            <w:noProof/>
            <w:webHidden/>
          </w:rPr>
          <w:fldChar w:fldCharType="begin"/>
        </w:r>
        <w:r w:rsidRPr="00465EB5">
          <w:rPr>
            <w:noProof/>
            <w:webHidden/>
          </w:rPr>
          <w:instrText xml:space="preserve"> PAGEREF _Toc188030567 \h </w:instrText>
        </w:r>
        <w:r w:rsidRPr="00465EB5">
          <w:rPr>
            <w:noProof/>
            <w:webHidden/>
          </w:rPr>
        </w:r>
        <w:r w:rsidRPr="00465EB5">
          <w:rPr>
            <w:noProof/>
            <w:webHidden/>
          </w:rPr>
          <w:fldChar w:fldCharType="separate"/>
        </w:r>
        <w:r w:rsidR="009D10E5">
          <w:rPr>
            <w:noProof/>
            <w:webHidden/>
          </w:rPr>
          <w:t>4</w:t>
        </w:r>
        <w:r w:rsidRPr="00465EB5">
          <w:rPr>
            <w:noProof/>
            <w:webHidden/>
          </w:rPr>
          <w:fldChar w:fldCharType="end"/>
        </w:r>
      </w:hyperlink>
    </w:p>
    <w:p w14:paraId="1E2E797F" w14:textId="590FC113"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68" w:history="1">
        <w:r w:rsidRPr="00465EB5">
          <w:rPr>
            <w:rStyle w:val="Hyperlink"/>
            <w:noProof/>
            <w:color w:val="auto"/>
          </w:rPr>
          <w:t>Table 3. Number of Migrant Education Program-Eligible Children Aged Three Years Through Twelve Years, by Age Group at the Start of the Performance Period, 2017–18 Through 2022–23</w:t>
        </w:r>
        <w:r w:rsidRPr="00465EB5">
          <w:rPr>
            <w:noProof/>
            <w:webHidden/>
          </w:rPr>
          <w:tab/>
        </w:r>
        <w:r w:rsidRPr="00465EB5">
          <w:rPr>
            <w:noProof/>
            <w:webHidden/>
          </w:rPr>
          <w:fldChar w:fldCharType="begin"/>
        </w:r>
        <w:r w:rsidRPr="00465EB5">
          <w:rPr>
            <w:noProof/>
            <w:webHidden/>
          </w:rPr>
          <w:instrText xml:space="preserve"> PAGEREF _Toc188030568 \h </w:instrText>
        </w:r>
        <w:r w:rsidRPr="00465EB5">
          <w:rPr>
            <w:noProof/>
            <w:webHidden/>
          </w:rPr>
        </w:r>
        <w:r w:rsidRPr="00465EB5">
          <w:rPr>
            <w:noProof/>
            <w:webHidden/>
          </w:rPr>
          <w:fldChar w:fldCharType="separate"/>
        </w:r>
        <w:r w:rsidR="009D10E5">
          <w:rPr>
            <w:noProof/>
            <w:webHidden/>
          </w:rPr>
          <w:t>13</w:t>
        </w:r>
        <w:r w:rsidRPr="00465EB5">
          <w:rPr>
            <w:noProof/>
            <w:webHidden/>
          </w:rPr>
          <w:fldChar w:fldCharType="end"/>
        </w:r>
      </w:hyperlink>
    </w:p>
    <w:p w14:paraId="77F7BB2D" w14:textId="3529AD56"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69" w:history="1">
        <w:r w:rsidRPr="00465EB5">
          <w:rPr>
            <w:rStyle w:val="Hyperlink"/>
            <w:noProof/>
            <w:color w:val="auto"/>
          </w:rPr>
          <w:t>Table 4. Number of Migrant Education Program-Eligible Youths Aged Thirteen Years Through Twenty-One Years, by Age Group at the Start of the Performance Period, 2017–18 Through 2022–23</w:t>
        </w:r>
        <w:r w:rsidRPr="00465EB5">
          <w:rPr>
            <w:noProof/>
            <w:webHidden/>
          </w:rPr>
          <w:tab/>
        </w:r>
        <w:r w:rsidRPr="00465EB5">
          <w:rPr>
            <w:noProof/>
            <w:webHidden/>
          </w:rPr>
          <w:fldChar w:fldCharType="begin"/>
        </w:r>
        <w:r w:rsidRPr="00465EB5">
          <w:rPr>
            <w:noProof/>
            <w:webHidden/>
          </w:rPr>
          <w:instrText xml:space="preserve"> PAGEREF _Toc188030569 \h </w:instrText>
        </w:r>
        <w:r w:rsidRPr="00465EB5">
          <w:rPr>
            <w:noProof/>
            <w:webHidden/>
          </w:rPr>
        </w:r>
        <w:r w:rsidRPr="00465EB5">
          <w:rPr>
            <w:noProof/>
            <w:webHidden/>
          </w:rPr>
          <w:fldChar w:fldCharType="separate"/>
        </w:r>
        <w:r w:rsidR="009D10E5">
          <w:rPr>
            <w:noProof/>
            <w:webHidden/>
          </w:rPr>
          <w:t>14</w:t>
        </w:r>
        <w:r w:rsidRPr="00465EB5">
          <w:rPr>
            <w:noProof/>
            <w:webHidden/>
          </w:rPr>
          <w:fldChar w:fldCharType="end"/>
        </w:r>
      </w:hyperlink>
    </w:p>
    <w:p w14:paraId="75D49678" w14:textId="5A379EE9"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70" w:history="1">
        <w:r w:rsidRPr="00465EB5">
          <w:rPr>
            <w:rStyle w:val="Hyperlink"/>
            <w:noProof/>
            <w:color w:val="auto"/>
          </w:rPr>
          <w:t>Table 5. Distribution of Migratory Students by Grade Group and Out-of-School Youth Status at the Start of the Performance Period, 2017–18 Through 2022–23</w:t>
        </w:r>
        <w:r w:rsidRPr="00465EB5">
          <w:rPr>
            <w:noProof/>
            <w:webHidden/>
          </w:rPr>
          <w:tab/>
        </w:r>
        <w:r w:rsidRPr="00465EB5">
          <w:rPr>
            <w:noProof/>
            <w:webHidden/>
          </w:rPr>
          <w:fldChar w:fldCharType="begin"/>
        </w:r>
        <w:r w:rsidRPr="00465EB5">
          <w:rPr>
            <w:noProof/>
            <w:webHidden/>
          </w:rPr>
          <w:instrText xml:space="preserve"> PAGEREF _Toc188030570 \h </w:instrText>
        </w:r>
        <w:r w:rsidRPr="00465EB5">
          <w:rPr>
            <w:noProof/>
            <w:webHidden/>
          </w:rPr>
        </w:r>
        <w:r w:rsidRPr="00465EB5">
          <w:rPr>
            <w:noProof/>
            <w:webHidden/>
          </w:rPr>
          <w:fldChar w:fldCharType="separate"/>
        </w:r>
        <w:r w:rsidR="009D10E5">
          <w:rPr>
            <w:noProof/>
            <w:webHidden/>
          </w:rPr>
          <w:t>15</w:t>
        </w:r>
        <w:r w:rsidRPr="00465EB5">
          <w:rPr>
            <w:noProof/>
            <w:webHidden/>
          </w:rPr>
          <w:fldChar w:fldCharType="end"/>
        </w:r>
      </w:hyperlink>
    </w:p>
    <w:p w14:paraId="779D73CC" w14:textId="46A5BF82"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71" w:history="1">
        <w:r w:rsidRPr="00465EB5">
          <w:rPr>
            <w:rStyle w:val="Hyperlink"/>
            <w:noProof/>
            <w:color w:val="auto"/>
          </w:rPr>
          <w:t>Table 6. Percentage of Migratory and All Students Who Were Classified Long-Term English Language Students, School Year 2022–23</w:t>
        </w:r>
        <w:r w:rsidRPr="00465EB5">
          <w:rPr>
            <w:noProof/>
            <w:webHidden/>
          </w:rPr>
          <w:tab/>
        </w:r>
        <w:r w:rsidRPr="00465EB5">
          <w:rPr>
            <w:noProof/>
            <w:webHidden/>
          </w:rPr>
          <w:fldChar w:fldCharType="begin"/>
        </w:r>
        <w:r w:rsidRPr="00465EB5">
          <w:rPr>
            <w:noProof/>
            <w:webHidden/>
          </w:rPr>
          <w:instrText xml:space="preserve"> PAGEREF _Toc188030571 \h </w:instrText>
        </w:r>
        <w:r w:rsidRPr="00465EB5">
          <w:rPr>
            <w:noProof/>
            <w:webHidden/>
          </w:rPr>
        </w:r>
        <w:r w:rsidRPr="00465EB5">
          <w:rPr>
            <w:noProof/>
            <w:webHidden/>
          </w:rPr>
          <w:fldChar w:fldCharType="separate"/>
        </w:r>
        <w:r w:rsidR="009D10E5">
          <w:rPr>
            <w:noProof/>
            <w:webHidden/>
          </w:rPr>
          <w:t>18</w:t>
        </w:r>
        <w:r w:rsidRPr="00465EB5">
          <w:rPr>
            <w:noProof/>
            <w:webHidden/>
          </w:rPr>
          <w:fldChar w:fldCharType="end"/>
        </w:r>
      </w:hyperlink>
    </w:p>
    <w:p w14:paraId="6E706333" w14:textId="74C8B76E"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72" w:history="1">
        <w:r w:rsidRPr="00465EB5">
          <w:rPr>
            <w:rStyle w:val="Hyperlink"/>
            <w:noProof/>
            <w:color w:val="auto"/>
          </w:rPr>
          <w:t>Table 7. Percentage of Migratory and All Students Who Were Classified Long-Term English Language Students, School Year 2022–23</w:t>
        </w:r>
        <w:r w:rsidRPr="00465EB5">
          <w:rPr>
            <w:noProof/>
            <w:webHidden/>
          </w:rPr>
          <w:tab/>
        </w:r>
        <w:r w:rsidRPr="00465EB5">
          <w:rPr>
            <w:noProof/>
            <w:webHidden/>
          </w:rPr>
          <w:fldChar w:fldCharType="begin"/>
        </w:r>
        <w:r w:rsidRPr="00465EB5">
          <w:rPr>
            <w:noProof/>
            <w:webHidden/>
          </w:rPr>
          <w:instrText xml:space="preserve"> PAGEREF _Toc188030572 \h </w:instrText>
        </w:r>
        <w:r w:rsidRPr="00465EB5">
          <w:rPr>
            <w:noProof/>
            <w:webHidden/>
          </w:rPr>
        </w:r>
        <w:r w:rsidRPr="00465EB5">
          <w:rPr>
            <w:noProof/>
            <w:webHidden/>
          </w:rPr>
          <w:fldChar w:fldCharType="separate"/>
        </w:r>
        <w:r w:rsidR="009D10E5">
          <w:rPr>
            <w:noProof/>
            <w:webHidden/>
          </w:rPr>
          <w:t>20</w:t>
        </w:r>
        <w:r w:rsidRPr="00465EB5">
          <w:rPr>
            <w:noProof/>
            <w:webHidden/>
          </w:rPr>
          <w:fldChar w:fldCharType="end"/>
        </w:r>
      </w:hyperlink>
    </w:p>
    <w:p w14:paraId="689A92BC" w14:textId="24FD5989"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73" w:history="1">
        <w:r w:rsidRPr="00465EB5">
          <w:rPr>
            <w:rStyle w:val="Hyperlink"/>
            <w:noProof/>
            <w:color w:val="auto"/>
          </w:rPr>
          <w:t>Table 8. Home Languages for California’s Migratory English Learners, School Years 2018–19 Through 2022–23</w:t>
        </w:r>
        <w:r w:rsidRPr="00465EB5">
          <w:rPr>
            <w:noProof/>
            <w:webHidden/>
          </w:rPr>
          <w:tab/>
        </w:r>
        <w:r w:rsidRPr="00465EB5">
          <w:rPr>
            <w:noProof/>
            <w:webHidden/>
          </w:rPr>
          <w:fldChar w:fldCharType="begin"/>
        </w:r>
        <w:r w:rsidRPr="00465EB5">
          <w:rPr>
            <w:noProof/>
            <w:webHidden/>
          </w:rPr>
          <w:instrText xml:space="preserve"> PAGEREF _Toc188030573 \h </w:instrText>
        </w:r>
        <w:r w:rsidRPr="00465EB5">
          <w:rPr>
            <w:noProof/>
            <w:webHidden/>
          </w:rPr>
        </w:r>
        <w:r w:rsidRPr="00465EB5">
          <w:rPr>
            <w:noProof/>
            <w:webHidden/>
          </w:rPr>
          <w:fldChar w:fldCharType="separate"/>
        </w:r>
        <w:r w:rsidR="009D10E5">
          <w:rPr>
            <w:noProof/>
            <w:webHidden/>
          </w:rPr>
          <w:t>21</w:t>
        </w:r>
        <w:r w:rsidRPr="00465EB5">
          <w:rPr>
            <w:noProof/>
            <w:webHidden/>
          </w:rPr>
          <w:fldChar w:fldCharType="end"/>
        </w:r>
      </w:hyperlink>
    </w:p>
    <w:p w14:paraId="0CFC3634" w14:textId="574A33DA"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74" w:history="1">
        <w:r w:rsidRPr="00465EB5">
          <w:rPr>
            <w:rStyle w:val="Hyperlink"/>
            <w:noProof/>
            <w:color w:val="auto"/>
          </w:rPr>
          <w:t>Table 9. Percentage of Migratory Students and All Students Who Have a Disability, by Grade Span, School Year 2022–23</w:t>
        </w:r>
        <w:r w:rsidRPr="00465EB5">
          <w:rPr>
            <w:noProof/>
            <w:webHidden/>
          </w:rPr>
          <w:tab/>
        </w:r>
        <w:r w:rsidRPr="00465EB5">
          <w:rPr>
            <w:noProof/>
            <w:webHidden/>
          </w:rPr>
          <w:fldChar w:fldCharType="begin"/>
        </w:r>
        <w:r w:rsidRPr="00465EB5">
          <w:rPr>
            <w:noProof/>
            <w:webHidden/>
          </w:rPr>
          <w:instrText xml:space="preserve"> PAGEREF _Toc188030574 \h </w:instrText>
        </w:r>
        <w:r w:rsidRPr="00465EB5">
          <w:rPr>
            <w:noProof/>
            <w:webHidden/>
          </w:rPr>
        </w:r>
        <w:r w:rsidRPr="00465EB5">
          <w:rPr>
            <w:noProof/>
            <w:webHidden/>
          </w:rPr>
          <w:fldChar w:fldCharType="separate"/>
        </w:r>
        <w:r w:rsidR="009D10E5">
          <w:rPr>
            <w:noProof/>
            <w:webHidden/>
          </w:rPr>
          <w:t>23</w:t>
        </w:r>
        <w:r w:rsidRPr="00465EB5">
          <w:rPr>
            <w:noProof/>
            <w:webHidden/>
          </w:rPr>
          <w:fldChar w:fldCharType="end"/>
        </w:r>
      </w:hyperlink>
    </w:p>
    <w:p w14:paraId="42B81EB0" w14:textId="5F3DCCCF"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75" w:history="1">
        <w:r w:rsidRPr="00465EB5">
          <w:rPr>
            <w:rStyle w:val="Hyperlink"/>
            <w:noProof/>
            <w:color w:val="auto"/>
          </w:rPr>
          <w:t>Table 10. Percentage of All Students, Migratory Students, and Migratory Priority-for-Service Students Scoring at Standard Met or Exceeded for Overall Achievement on California’s English Language Arts Assessment for All Grades, School Years 2017–18, 2018–19, 2021</w:t>
        </w:r>
        <w:r w:rsidRPr="00465EB5">
          <w:rPr>
            <w:rStyle w:val="Hyperlink"/>
            <w:rFonts w:cs="Arial"/>
            <w:noProof/>
            <w:color w:val="auto"/>
          </w:rPr>
          <w:t>–22, and 2022–23</w:t>
        </w:r>
        <w:r w:rsidRPr="00465EB5">
          <w:rPr>
            <w:noProof/>
            <w:webHidden/>
          </w:rPr>
          <w:tab/>
        </w:r>
        <w:r w:rsidRPr="00465EB5">
          <w:rPr>
            <w:noProof/>
            <w:webHidden/>
          </w:rPr>
          <w:fldChar w:fldCharType="begin"/>
        </w:r>
        <w:r w:rsidRPr="00465EB5">
          <w:rPr>
            <w:noProof/>
            <w:webHidden/>
          </w:rPr>
          <w:instrText xml:space="preserve"> PAGEREF _Toc188030575 \h </w:instrText>
        </w:r>
        <w:r w:rsidRPr="00465EB5">
          <w:rPr>
            <w:noProof/>
            <w:webHidden/>
          </w:rPr>
        </w:r>
        <w:r w:rsidRPr="00465EB5">
          <w:rPr>
            <w:noProof/>
            <w:webHidden/>
          </w:rPr>
          <w:fldChar w:fldCharType="separate"/>
        </w:r>
        <w:r w:rsidR="009D10E5">
          <w:rPr>
            <w:noProof/>
            <w:webHidden/>
          </w:rPr>
          <w:t>26</w:t>
        </w:r>
        <w:r w:rsidRPr="00465EB5">
          <w:rPr>
            <w:noProof/>
            <w:webHidden/>
          </w:rPr>
          <w:fldChar w:fldCharType="end"/>
        </w:r>
      </w:hyperlink>
    </w:p>
    <w:p w14:paraId="2C7E2FD0" w14:textId="135A4300"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76" w:history="1">
        <w:r w:rsidRPr="00465EB5">
          <w:rPr>
            <w:rStyle w:val="Hyperlink"/>
            <w:noProof/>
            <w:color w:val="auto"/>
          </w:rPr>
          <w:t>Table 11. Percentage of All Students, Migratory Students, and Migratory Priority-for-Service Students Scoring Above Standard on the English Language Arts Reading Claim for All Grades, School Years 2017–18, 2018–19, 2021–22, and 2022–23</w:t>
        </w:r>
        <w:r w:rsidRPr="00465EB5">
          <w:rPr>
            <w:noProof/>
            <w:webHidden/>
          </w:rPr>
          <w:tab/>
        </w:r>
        <w:r w:rsidRPr="00465EB5">
          <w:rPr>
            <w:noProof/>
            <w:webHidden/>
          </w:rPr>
          <w:fldChar w:fldCharType="begin"/>
        </w:r>
        <w:r w:rsidRPr="00465EB5">
          <w:rPr>
            <w:noProof/>
            <w:webHidden/>
          </w:rPr>
          <w:instrText xml:space="preserve"> PAGEREF _Toc188030576 \h </w:instrText>
        </w:r>
        <w:r w:rsidRPr="00465EB5">
          <w:rPr>
            <w:noProof/>
            <w:webHidden/>
          </w:rPr>
        </w:r>
        <w:r w:rsidRPr="00465EB5">
          <w:rPr>
            <w:noProof/>
            <w:webHidden/>
          </w:rPr>
          <w:fldChar w:fldCharType="separate"/>
        </w:r>
        <w:r w:rsidR="009D10E5">
          <w:rPr>
            <w:noProof/>
            <w:webHidden/>
          </w:rPr>
          <w:t>28</w:t>
        </w:r>
        <w:r w:rsidRPr="00465EB5">
          <w:rPr>
            <w:noProof/>
            <w:webHidden/>
          </w:rPr>
          <w:fldChar w:fldCharType="end"/>
        </w:r>
      </w:hyperlink>
    </w:p>
    <w:p w14:paraId="7FFD0B49" w14:textId="7E6A8825"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77" w:history="1">
        <w:r w:rsidRPr="00465EB5">
          <w:rPr>
            <w:rStyle w:val="Hyperlink"/>
            <w:noProof/>
            <w:color w:val="auto"/>
          </w:rPr>
          <w:t>Table 12. Percentage of All Students, Migratory Students, and Migratory Priority-for-Service Students Scoring Above Standard on the English Language Arts Writing Claim for All Grades, School Years 2017–18, 2018–19, 2021–22, and 2022– 23</w:t>
        </w:r>
        <w:r w:rsidRPr="00465EB5">
          <w:rPr>
            <w:noProof/>
            <w:webHidden/>
          </w:rPr>
          <w:tab/>
        </w:r>
        <w:r w:rsidRPr="00465EB5">
          <w:rPr>
            <w:noProof/>
            <w:webHidden/>
          </w:rPr>
          <w:fldChar w:fldCharType="begin"/>
        </w:r>
        <w:r w:rsidRPr="00465EB5">
          <w:rPr>
            <w:noProof/>
            <w:webHidden/>
          </w:rPr>
          <w:instrText xml:space="preserve"> PAGEREF _Toc188030577 \h </w:instrText>
        </w:r>
        <w:r w:rsidRPr="00465EB5">
          <w:rPr>
            <w:noProof/>
            <w:webHidden/>
          </w:rPr>
        </w:r>
        <w:r w:rsidRPr="00465EB5">
          <w:rPr>
            <w:noProof/>
            <w:webHidden/>
          </w:rPr>
          <w:fldChar w:fldCharType="separate"/>
        </w:r>
        <w:r w:rsidR="009D10E5">
          <w:rPr>
            <w:noProof/>
            <w:webHidden/>
          </w:rPr>
          <w:t>30</w:t>
        </w:r>
        <w:r w:rsidRPr="00465EB5">
          <w:rPr>
            <w:noProof/>
            <w:webHidden/>
          </w:rPr>
          <w:fldChar w:fldCharType="end"/>
        </w:r>
      </w:hyperlink>
    </w:p>
    <w:p w14:paraId="29A6EFB9" w14:textId="1B9FCB1E"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78" w:history="1">
        <w:r w:rsidRPr="00465EB5">
          <w:rPr>
            <w:rStyle w:val="Hyperlink"/>
            <w:noProof/>
            <w:color w:val="auto"/>
          </w:rPr>
          <w:t>Table 13. Percentage of All Students, Migratory Students, and Migratory Priority-for-Service Students Scoring Above Standard on the English Language Arts Listening Claim for All Grades, School Years 2017–18, 2018–19, 2021–22, and 2022–23</w:t>
        </w:r>
        <w:r w:rsidRPr="00465EB5">
          <w:rPr>
            <w:noProof/>
            <w:webHidden/>
          </w:rPr>
          <w:tab/>
        </w:r>
        <w:r w:rsidRPr="00465EB5">
          <w:rPr>
            <w:noProof/>
            <w:webHidden/>
          </w:rPr>
          <w:fldChar w:fldCharType="begin"/>
        </w:r>
        <w:r w:rsidRPr="00465EB5">
          <w:rPr>
            <w:noProof/>
            <w:webHidden/>
          </w:rPr>
          <w:instrText xml:space="preserve"> PAGEREF _Toc188030578 \h </w:instrText>
        </w:r>
        <w:r w:rsidRPr="00465EB5">
          <w:rPr>
            <w:noProof/>
            <w:webHidden/>
          </w:rPr>
        </w:r>
        <w:r w:rsidRPr="00465EB5">
          <w:rPr>
            <w:noProof/>
            <w:webHidden/>
          </w:rPr>
          <w:fldChar w:fldCharType="separate"/>
        </w:r>
        <w:r w:rsidR="009D10E5">
          <w:rPr>
            <w:noProof/>
            <w:webHidden/>
          </w:rPr>
          <w:t>32</w:t>
        </w:r>
        <w:r w:rsidRPr="00465EB5">
          <w:rPr>
            <w:noProof/>
            <w:webHidden/>
          </w:rPr>
          <w:fldChar w:fldCharType="end"/>
        </w:r>
      </w:hyperlink>
    </w:p>
    <w:p w14:paraId="04475DF5" w14:textId="003B01DF"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79" w:history="1">
        <w:r w:rsidRPr="00465EB5">
          <w:rPr>
            <w:rStyle w:val="Hyperlink"/>
            <w:noProof/>
            <w:color w:val="auto"/>
          </w:rPr>
          <w:t>Table 14. Percentage of All Students, Migratory Students, and Migratory Priority-for-Service Students Scoring above standard on the Research/Inquiry Claim for All Grades, School Years 2017–18, 2018–19, 2021–22, and 2022–23</w:t>
        </w:r>
        <w:r w:rsidRPr="00465EB5">
          <w:rPr>
            <w:noProof/>
            <w:webHidden/>
          </w:rPr>
          <w:tab/>
        </w:r>
        <w:r w:rsidRPr="00465EB5">
          <w:rPr>
            <w:noProof/>
            <w:webHidden/>
          </w:rPr>
          <w:fldChar w:fldCharType="begin"/>
        </w:r>
        <w:r w:rsidRPr="00465EB5">
          <w:rPr>
            <w:noProof/>
            <w:webHidden/>
          </w:rPr>
          <w:instrText xml:space="preserve"> PAGEREF _Toc188030579 \h </w:instrText>
        </w:r>
        <w:r w:rsidRPr="00465EB5">
          <w:rPr>
            <w:noProof/>
            <w:webHidden/>
          </w:rPr>
        </w:r>
        <w:r w:rsidRPr="00465EB5">
          <w:rPr>
            <w:noProof/>
            <w:webHidden/>
          </w:rPr>
          <w:fldChar w:fldCharType="separate"/>
        </w:r>
        <w:r w:rsidR="009D10E5">
          <w:rPr>
            <w:noProof/>
            <w:webHidden/>
          </w:rPr>
          <w:t>34</w:t>
        </w:r>
        <w:r w:rsidRPr="00465EB5">
          <w:rPr>
            <w:noProof/>
            <w:webHidden/>
          </w:rPr>
          <w:fldChar w:fldCharType="end"/>
        </w:r>
      </w:hyperlink>
    </w:p>
    <w:p w14:paraId="40EC3A00" w14:textId="57A75A8D"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80" w:history="1">
        <w:r w:rsidRPr="00465EB5">
          <w:rPr>
            <w:rStyle w:val="Hyperlink"/>
            <w:noProof/>
            <w:color w:val="auto"/>
          </w:rPr>
          <w:t xml:space="preserve">Table 15. Percentage of All Students, Migratory Students, and Migratory Priority-for-Service Students Scoring at Standard Met or Exceeded for Overall Achievement on </w:t>
        </w:r>
        <w:r w:rsidRPr="00465EB5">
          <w:rPr>
            <w:rStyle w:val="Hyperlink"/>
            <w:noProof/>
            <w:color w:val="auto"/>
          </w:rPr>
          <w:lastRenderedPageBreak/>
          <w:t>California’s Mathematics Assessment for All Grades, School Years 2017–18, 2018–19, 2021–22, and 2022–23</w:t>
        </w:r>
        <w:r w:rsidRPr="00465EB5">
          <w:rPr>
            <w:noProof/>
            <w:webHidden/>
          </w:rPr>
          <w:tab/>
        </w:r>
        <w:r w:rsidRPr="00465EB5">
          <w:rPr>
            <w:noProof/>
            <w:webHidden/>
          </w:rPr>
          <w:fldChar w:fldCharType="begin"/>
        </w:r>
        <w:r w:rsidRPr="00465EB5">
          <w:rPr>
            <w:noProof/>
            <w:webHidden/>
          </w:rPr>
          <w:instrText xml:space="preserve"> PAGEREF _Toc188030580 \h </w:instrText>
        </w:r>
        <w:r w:rsidRPr="00465EB5">
          <w:rPr>
            <w:noProof/>
            <w:webHidden/>
          </w:rPr>
        </w:r>
        <w:r w:rsidRPr="00465EB5">
          <w:rPr>
            <w:noProof/>
            <w:webHidden/>
          </w:rPr>
          <w:fldChar w:fldCharType="separate"/>
        </w:r>
        <w:r w:rsidR="009D10E5">
          <w:rPr>
            <w:noProof/>
            <w:webHidden/>
          </w:rPr>
          <w:t>36</w:t>
        </w:r>
        <w:r w:rsidRPr="00465EB5">
          <w:rPr>
            <w:noProof/>
            <w:webHidden/>
          </w:rPr>
          <w:fldChar w:fldCharType="end"/>
        </w:r>
      </w:hyperlink>
    </w:p>
    <w:p w14:paraId="4179DC1B" w14:textId="27CC9338"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81" w:history="1">
        <w:r w:rsidRPr="00465EB5">
          <w:rPr>
            <w:rStyle w:val="Hyperlink"/>
            <w:noProof/>
            <w:color w:val="auto"/>
          </w:rPr>
          <w:t>Table 16. Percentage of All Students, Migratory Students, and Migratory Priority-for-Service Students Scoring Above Standard on the Mathematics Concepts and Procedures Claim for All Grades, School Years 2017–18, 2018–19, 2021–22, and 2022–23</w:t>
        </w:r>
        <w:r w:rsidRPr="00465EB5">
          <w:rPr>
            <w:noProof/>
            <w:webHidden/>
          </w:rPr>
          <w:tab/>
        </w:r>
        <w:r w:rsidRPr="00465EB5">
          <w:rPr>
            <w:noProof/>
            <w:webHidden/>
          </w:rPr>
          <w:fldChar w:fldCharType="begin"/>
        </w:r>
        <w:r w:rsidRPr="00465EB5">
          <w:rPr>
            <w:noProof/>
            <w:webHidden/>
          </w:rPr>
          <w:instrText xml:space="preserve"> PAGEREF _Toc188030581 \h </w:instrText>
        </w:r>
        <w:r w:rsidRPr="00465EB5">
          <w:rPr>
            <w:noProof/>
            <w:webHidden/>
          </w:rPr>
        </w:r>
        <w:r w:rsidRPr="00465EB5">
          <w:rPr>
            <w:noProof/>
            <w:webHidden/>
          </w:rPr>
          <w:fldChar w:fldCharType="separate"/>
        </w:r>
        <w:r w:rsidR="009D10E5">
          <w:rPr>
            <w:noProof/>
            <w:webHidden/>
          </w:rPr>
          <w:t>38</w:t>
        </w:r>
        <w:r w:rsidRPr="00465EB5">
          <w:rPr>
            <w:noProof/>
            <w:webHidden/>
          </w:rPr>
          <w:fldChar w:fldCharType="end"/>
        </w:r>
      </w:hyperlink>
    </w:p>
    <w:p w14:paraId="7AFDC3EF" w14:textId="071F9D43"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82" w:history="1">
        <w:r w:rsidRPr="00465EB5">
          <w:rPr>
            <w:rStyle w:val="Hyperlink"/>
            <w:noProof/>
            <w:color w:val="auto"/>
          </w:rPr>
          <w:t>Table 17. Percentage of All Students, Migratory Students, and Migratory Priority-for-Service Students Scoring above standard on the Mathematics Problem Solving/Modeling and Data Analysis Claim for All Grades, School Years 2017–18, 2018–19, 2021–22, and 2022–23</w:t>
        </w:r>
        <w:r w:rsidRPr="00465EB5">
          <w:rPr>
            <w:noProof/>
            <w:webHidden/>
          </w:rPr>
          <w:tab/>
        </w:r>
        <w:r w:rsidRPr="00465EB5">
          <w:rPr>
            <w:noProof/>
            <w:webHidden/>
          </w:rPr>
          <w:fldChar w:fldCharType="begin"/>
        </w:r>
        <w:r w:rsidRPr="00465EB5">
          <w:rPr>
            <w:noProof/>
            <w:webHidden/>
          </w:rPr>
          <w:instrText xml:space="preserve"> PAGEREF _Toc188030582 \h </w:instrText>
        </w:r>
        <w:r w:rsidRPr="00465EB5">
          <w:rPr>
            <w:noProof/>
            <w:webHidden/>
          </w:rPr>
        </w:r>
        <w:r w:rsidRPr="00465EB5">
          <w:rPr>
            <w:noProof/>
            <w:webHidden/>
          </w:rPr>
          <w:fldChar w:fldCharType="separate"/>
        </w:r>
        <w:r w:rsidR="009D10E5">
          <w:rPr>
            <w:noProof/>
            <w:webHidden/>
          </w:rPr>
          <w:t>40</w:t>
        </w:r>
        <w:r w:rsidRPr="00465EB5">
          <w:rPr>
            <w:noProof/>
            <w:webHidden/>
          </w:rPr>
          <w:fldChar w:fldCharType="end"/>
        </w:r>
      </w:hyperlink>
    </w:p>
    <w:p w14:paraId="745296A4" w14:textId="357C7790"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83" w:history="1">
        <w:r w:rsidRPr="00465EB5">
          <w:rPr>
            <w:rStyle w:val="Hyperlink"/>
            <w:noProof/>
            <w:color w:val="auto"/>
          </w:rPr>
          <w:t>Table 18. Percentage of All Students, Migratory Students, and Migratory Priority-for-Service Students Scoring Above Standard on the Mathematics Communicating Reasoning for All Grades, School Years 2017–18, 2018–19, 2021–22, and 2022–23</w:t>
        </w:r>
        <w:r w:rsidRPr="00465EB5">
          <w:rPr>
            <w:noProof/>
            <w:webHidden/>
          </w:rPr>
          <w:tab/>
        </w:r>
        <w:r w:rsidRPr="00465EB5">
          <w:rPr>
            <w:noProof/>
            <w:webHidden/>
          </w:rPr>
          <w:fldChar w:fldCharType="begin"/>
        </w:r>
        <w:r w:rsidRPr="00465EB5">
          <w:rPr>
            <w:noProof/>
            <w:webHidden/>
          </w:rPr>
          <w:instrText xml:space="preserve"> PAGEREF _Toc188030583 \h </w:instrText>
        </w:r>
        <w:r w:rsidRPr="00465EB5">
          <w:rPr>
            <w:noProof/>
            <w:webHidden/>
          </w:rPr>
        </w:r>
        <w:r w:rsidRPr="00465EB5">
          <w:rPr>
            <w:noProof/>
            <w:webHidden/>
          </w:rPr>
          <w:fldChar w:fldCharType="separate"/>
        </w:r>
        <w:r w:rsidR="009D10E5">
          <w:rPr>
            <w:noProof/>
            <w:webHidden/>
          </w:rPr>
          <w:t>42</w:t>
        </w:r>
        <w:r w:rsidRPr="00465EB5">
          <w:rPr>
            <w:noProof/>
            <w:webHidden/>
          </w:rPr>
          <w:fldChar w:fldCharType="end"/>
        </w:r>
      </w:hyperlink>
    </w:p>
    <w:p w14:paraId="1F6A044C" w14:textId="564B3DA3"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84" w:history="1">
        <w:r w:rsidRPr="00465EB5">
          <w:rPr>
            <w:rStyle w:val="Hyperlink"/>
            <w:noProof/>
            <w:color w:val="auto"/>
          </w:rPr>
          <w:t>Table 19. Percentage of All Students, Migratory Students, and Migratory Priority-for-Service Students Scoring at Level 4 for Overall Performance on the Summative English Language Proficiency Assessments for California for All Grades, by Student Population, School Years 2017–18, 2018–19, and 2020–21 Through 2022–23</w:t>
        </w:r>
        <w:r w:rsidRPr="00465EB5">
          <w:rPr>
            <w:noProof/>
            <w:webHidden/>
          </w:rPr>
          <w:tab/>
        </w:r>
        <w:r w:rsidRPr="00465EB5">
          <w:rPr>
            <w:noProof/>
            <w:webHidden/>
          </w:rPr>
          <w:fldChar w:fldCharType="begin"/>
        </w:r>
        <w:r w:rsidRPr="00465EB5">
          <w:rPr>
            <w:noProof/>
            <w:webHidden/>
          </w:rPr>
          <w:instrText xml:space="preserve"> PAGEREF _Toc188030584 \h </w:instrText>
        </w:r>
        <w:r w:rsidRPr="00465EB5">
          <w:rPr>
            <w:noProof/>
            <w:webHidden/>
          </w:rPr>
        </w:r>
        <w:r w:rsidRPr="00465EB5">
          <w:rPr>
            <w:noProof/>
            <w:webHidden/>
          </w:rPr>
          <w:fldChar w:fldCharType="separate"/>
        </w:r>
        <w:r w:rsidR="009D10E5">
          <w:rPr>
            <w:noProof/>
            <w:webHidden/>
          </w:rPr>
          <w:t>44</w:t>
        </w:r>
        <w:r w:rsidRPr="00465EB5">
          <w:rPr>
            <w:noProof/>
            <w:webHidden/>
          </w:rPr>
          <w:fldChar w:fldCharType="end"/>
        </w:r>
      </w:hyperlink>
    </w:p>
    <w:p w14:paraId="41338EAF" w14:textId="1F69ECE4"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85" w:history="1">
        <w:r w:rsidRPr="00465EB5">
          <w:rPr>
            <w:rStyle w:val="Hyperlink"/>
            <w:noProof/>
            <w:color w:val="auto"/>
          </w:rPr>
          <w:t>Table 20. Four-Year Cohort Graduation Rates for Migratory and All Students, School Year 2017–18 Through School Year 2022–23</w:t>
        </w:r>
        <w:r w:rsidRPr="00465EB5">
          <w:rPr>
            <w:noProof/>
            <w:webHidden/>
          </w:rPr>
          <w:tab/>
        </w:r>
        <w:r w:rsidRPr="00465EB5">
          <w:rPr>
            <w:noProof/>
            <w:webHidden/>
          </w:rPr>
          <w:fldChar w:fldCharType="begin"/>
        </w:r>
        <w:r w:rsidRPr="00465EB5">
          <w:rPr>
            <w:noProof/>
            <w:webHidden/>
          </w:rPr>
          <w:instrText xml:space="preserve"> PAGEREF _Toc188030585 \h </w:instrText>
        </w:r>
        <w:r w:rsidRPr="00465EB5">
          <w:rPr>
            <w:noProof/>
            <w:webHidden/>
          </w:rPr>
        </w:r>
        <w:r w:rsidRPr="00465EB5">
          <w:rPr>
            <w:noProof/>
            <w:webHidden/>
          </w:rPr>
          <w:fldChar w:fldCharType="separate"/>
        </w:r>
        <w:r w:rsidR="009D10E5">
          <w:rPr>
            <w:noProof/>
            <w:webHidden/>
          </w:rPr>
          <w:t>46</w:t>
        </w:r>
        <w:r w:rsidRPr="00465EB5">
          <w:rPr>
            <w:noProof/>
            <w:webHidden/>
          </w:rPr>
          <w:fldChar w:fldCharType="end"/>
        </w:r>
      </w:hyperlink>
    </w:p>
    <w:p w14:paraId="71F59674" w14:textId="4704112B"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86" w:history="1">
        <w:r w:rsidRPr="00465EB5">
          <w:rPr>
            <w:rStyle w:val="Hyperlink"/>
            <w:noProof/>
            <w:color w:val="auto"/>
          </w:rPr>
          <w:t>Table 21. Dropout Rates for Migratory and All Students, School Year 2017–18 Through School Year 2022–23</w:t>
        </w:r>
        <w:r w:rsidRPr="00465EB5">
          <w:rPr>
            <w:noProof/>
            <w:webHidden/>
          </w:rPr>
          <w:tab/>
        </w:r>
        <w:r w:rsidRPr="00465EB5">
          <w:rPr>
            <w:noProof/>
            <w:webHidden/>
          </w:rPr>
          <w:fldChar w:fldCharType="begin"/>
        </w:r>
        <w:r w:rsidRPr="00465EB5">
          <w:rPr>
            <w:noProof/>
            <w:webHidden/>
          </w:rPr>
          <w:instrText xml:space="preserve"> PAGEREF _Toc188030586 \h </w:instrText>
        </w:r>
        <w:r w:rsidRPr="00465EB5">
          <w:rPr>
            <w:noProof/>
            <w:webHidden/>
          </w:rPr>
        </w:r>
        <w:r w:rsidRPr="00465EB5">
          <w:rPr>
            <w:noProof/>
            <w:webHidden/>
          </w:rPr>
          <w:fldChar w:fldCharType="separate"/>
        </w:r>
        <w:r w:rsidR="009D10E5">
          <w:rPr>
            <w:noProof/>
            <w:webHidden/>
          </w:rPr>
          <w:t>47</w:t>
        </w:r>
        <w:r w:rsidRPr="00465EB5">
          <w:rPr>
            <w:noProof/>
            <w:webHidden/>
          </w:rPr>
          <w:fldChar w:fldCharType="end"/>
        </w:r>
      </w:hyperlink>
    </w:p>
    <w:p w14:paraId="7599D9E5" w14:textId="75931CF6"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87" w:history="1">
        <w:r w:rsidRPr="00465EB5">
          <w:rPr>
            <w:rStyle w:val="Hyperlink"/>
            <w:noProof/>
            <w:color w:val="auto"/>
          </w:rPr>
          <w:t>Table 22. Number and Percentage of Out-of-School Youths Indicating an Interest in an Educational Service, 2020–21 Through 2022–23 Performance Periods</w:t>
        </w:r>
        <w:r w:rsidRPr="00465EB5">
          <w:rPr>
            <w:noProof/>
            <w:webHidden/>
          </w:rPr>
          <w:tab/>
        </w:r>
        <w:r w:rsidRPr="00465EB5">
          <w:rPr>
            <w:noProof/>
            <w:webHidden/>
          </w:rPr>
          <w:fldChar w:fldCharType="begin"/>
        </w:r>
        <w:r w:rsidRPr="00465EB5">
          <w:rPr>
            <w:noProof/>
            <w:webHidden/>
          </w:rPr>
          <w:instrText xml:space="preserve"> PAGEREF _Toc188030587 \h </w:instrText>
        </w:r>
        <w:r w:rsidRPr="00465EB5">
          <w:rPr>
            <w:noProof/>
            <w:webHidden/>
          </w:rPr>
        </w:r>
        <w:r w:rsidRPr="00465EB5">
          <w:rPr>
            <w:noProof/>
            <w:webHidden/>
          </w:rPr>
          <w:fldChar w:fldCharType="separate"/>
        </w:r>
        <w:r w:rsidR="009D10E5">
          <w:rPr>
            <w:noProof/>
            <w:webHidden/>
          </w:rPr>
          <w:t>49</w:t>
        </w:r>
        <w:r w:rsidRPr="00465EB5">
          <w:rPr>
            <w:noProof/>
            <w:webHidden/>
          </w:rPr>
          <w:fldChar w:fldCharType="end"/>
        </w:r>
      </w:hyperlink>
    </w:p>
    <w:p w14:paraId="2A492CD7" w14:textId="0761400A"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88" w:history="1">
        <w:r w:rsidRPr="00465EB5">
          <w:rPr>
            <w:rStyle w:val="Hyperlink"/>
            <w:noProof/>
            <w:color w:val="auto"/>
          </w:rPr>
          <w:t>Table 23. Percentage of Out-of-School Youths Indicating an Interest in an Educational Service, by Service Type, 2020–21 Through 2022–23 Performance Periods</w:t>
        </w:r>
        <w:r w:rsidRPr="00465EB5">
          <w:rPr>
            <w:noProof/>
            <w:webHidden/>
          </w:rPr>
          <w:tab/>
        </w:r>
        <w:r w:rsidRPr="00465EB5">
          <w:rPr>
            <w:noProof/>
            <w:webHidden/>
          </w:rPr>
          <w:fldChar w:fldCharType="begin"/>
        </w:r>
        <w:r w:rsidRPr="00465EB5">
          <w:rPr>
            <w:noProof/>
            <w:webHidden/>
          </w:rPr>
          <w:instrText xml:space="preserve"> PAGEREF _Toc188030588 \h </w:instrText>
        </w:r>
        <w:r w:rsidRPr="00465EB5">
          <w:rPr>
            <w:noProof/>
            <w:webHidden/>
          </w:rPr>
        </w:r>
        <w:r w:rsidRPr="00465EB5">
          <w:rPr>
            <w:noProof/>
            <w:webHidden/>
          </w:rPr>
          <w:fldChar w:fldCharType="separate"/>
        </w:r>
        <w:r w:rsidR="009D10E5">
          <w:rPr>
            <w:noProof/>
            <w:webHidden/>
          </w:rPr>
          <w:t>50</w:t>
        </w:r>
        <w:r w:rsidRPr="00465EB5">
          <w:rPr>
            <w:noProof/>
            <w:webHidden/>
          </w:rPr>
          <w:fldChar w:fldCharType="end"/>
        </w:r>
      </w:hyperlink>
    </w:p>
    <w:p w14:paraId="5449F751" w14:textId="785C7AAF"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89" w:history="1">
        <w:r w:rsidRPr="00465EB5">
          <w:rPr>
            <w:rStyle w:val="Hyperlink"/>
            <w:noProof/>
            <w:color w:val="auto"/>
          </w:rPr>
          <w:t>Table 24. Prevalence of Health Needs Among Migratory Children with an Indicated Health Need on an Individual Needs Assessment and Learning Plan, by Need Type, 2020–21 Through 2022–23 Performance Periods</w:t>
        </w:r>
        <w:r w:rsidRPr="00465EB5">
          <w:rPr>
            <w:noProof/>
            <w:webHidden/>
          </w:rPr>
          <w:tab/>
        </w:r>
        <w:r w:rsidRPr="00465EB5">
          <w:rPr>
            <w:noProof/>
            <w:webHidden/>
          </w:rPr>
          <w:fldChar w:fldCharType="begin"/>
        </w:r>
        <w:r w:rsidRPr="00465EB5">
          <w:rPr>
            <w:noProof/>
            <w:webHidden/>
          </w:rPr>
          <w:instrText xml:space="preserve"> PAGEREF _Toc188030589 \h </w:instrText>
        </w:r>
        <w:r w:rsidRPr="00465EB5">
          <w:rPr>
            <w:noProof/>
            <w:webHidden/>
          </w:rPr>
        </w:r>
        <w:r w:rsidRPr="00465EB5">
          <w:rPr>
            <w:noProof/>
            <w:webHidden/>
          </w:rPr>
          <w:fldChar w:fldCharType="separate"/>
        </w:r>
        <w:r w:rsidR="009D10E5">
          <w:rPr>
            <w:noProof/>
            <w:webHidden/>
          </w:rPr>
          <w:t>51</w:t>
        </w:r>
        <w:r w:rsidRPr="00465EB5">
          <w:rPr>
            <w:noProof/>
            <w:webHidden/>
          </w:rPr>
          <w:fldChar w:fldCharType="end"/>
        </w:r>
      </w:hyperlink>
    </w:p>
    <w:p w14:paraId="34A1B5A5" w14:textId="5C66D214" w:rsidR="00465EB5" w:rsidRPr="00465EB5" w:rsidRDefault="00465EB5" w:rsidP="00465EB5">
      <w:pPr>
        <w:pStyle w:val="TableofFigures"/>
        <w:tabs>
          <w:tab w:val="right" w:leader="dot" w:pos="9350"/>
        </w:tabs>
        <w:spacing w:after="120"/>
        <w:rPr>
          <w:rFonts w:asciiTheme="minorHAnsi" w:eastAsiaTheme="minorEastAsia" w:hAnsiTheme="minorHAnsi" w:cstheme="minorBidi"/>
          <w:noProof/>
          <w:kern w:val="2"/>
          <w:lang w:val="es-MX" w:eastAsia="es-MX"/>
          <w14:ligatures w14:val="standardContextual"/>
        </w:rPr>
      </w:pPr>
      <w:hyperlink w:anchor="_Toc188030590" w:history="1">
        <w:r w:rsidRPr="00465EB5">
          <w:rPr>
            <w:rStyle w:val="Hyperlink"/>
            <w:noProof/>
            <w:color w:val="auto"/>
          </w:rPr>
          <w:t>Table 25. Percentage of Migratory and All Students Meeting High School Graduation Requirements for Various Achievements in the 2022–23 Four-Year Adjusted Cohort Graduation Rate Report</w:t>
        </w:r>
        <w:r w:rsidRPr="00465EB5">
          <w:rPr>
            <w:noProof/>
            <w:webHidden/>
          </w:rPr>
          <w:tab/>
        </w:r>
        <w:r w:rsidRPr="00465EB5">
          <w:rPr>
            <w:noProof/>
            <w:webHidden/>
          </w:rPr>
          <w:fldChar w:fldCharType="begin"/>
        </w:r>
        <w:r w:rsidRPr="00465EB5">
          <w:rPr>
            <w:noProof/>
            <w:webHidden/>
          </w:rPr>
          <w:instrText xml:space="preserve"> PAGEREF _Toc188030590 \h </w:instrText>
        </w:r>
        <w:r w:rsidRPr="00465EB5">
          <w:rPr>
            <w:noProof/>
            <w:webHidden/>
          </w:rPr>
        </w:r>
        <w:r w:rsidRPr="00465EB5">
          <w:rPr>
            <w:noProof/>
            <w:webHidden/>
          </w:rPr>
          <w:fldChar w:fldCharType="separate"/>
        </w:r>
        <w:r w:rsidR="009D10E5">
          <w:rPr>
            <w:noProof/>
            <w:webHidden/>
          </w:rPr>
          <w:t>70</w:t>
        </w:r>
        <w:r w:rsidRPr="00465EB5">
          <w:rPr>
            <w:noProof/>
            <w:webHidden/>
          </w:rPr>
          <w:fldChar w:fldCharType="end"/>
        </w:r>
      </w:hyperlink>
    </w:p>
    <w:p w14:paraId="0ACA1775" w14:textId="3AC23EE7" w:rsidR="00D3534A" w:rsidRDefault="00611508" w:rsidP="00152822">
      <w:pPr>
        <w:pStyle w:val="TableofFigures"/>
        <w:tabs>
          <w:tab w:val="right" w:leader="dot" w:pos="9350"/>
        </w:tabs>
        <w:spacing w:after="240"/>
        <w:rPr>
          <w:rFonts w:cs="Arial"/>
        </w:rPr>
      </w:pPr>
      <w:r w:rsidRPr="00D04DC5">
        <w:rPr>
          <w:rFonts w:cs="Arial"/>
        </w:rPr>
        <w:fldChar w:fldCharType="end"/>
      </w:r>
      <w:r w:rsidR="00D3534A" w:rsidRPr="00D04DC5">
        <w:rPr>
          <w:rFonts w:cs="Arial"/>
        </w:rPr>
        <w:br w:type="page"/>
      </w:r>
    </w:p>
    <w:p w14:paraId="5114E82F" w14:textId="63C70E23" w:rsidR="0033179C" w:rsidRPr="002F0E3F" w:rsidRDefault="00DA068D" w:rsidP="00EA26BE">
      <w:pPr>
        <w:pStyle w:val="Heading3"/>
      </w:pPr>
      <w:bookmarkStart w:id="4" w:name="_Toc496195894"/>
      <w:bookmarkStart w:id="5" w:name="_Toc188361304"/>
      <w:r w:rsidRPr="002F0E3F">
        <w:lastRenderedPageBreak/>
        <w:t>Acknowledgments</w:t>
      </w:r>
      <w:bookmarkEnd w:id="4"/>
      <w:bookmarkEnd w:id="5"/>
    </w:p>
    <w:p w14:paraId="2A1C348F" w14:textId="51890D5F" w:rsidR="001B1B8D" w:rsidRPr="002F0E3F" w:rsidRDefault="00DA068D" w:rsidP="00043BAC">
      <w:pPr>
        <w:pStyle w:val="BodyText2"/>
        <w:spacing w:after="240"/>
        <w:rPr>
          <w:rFonts w:cs="Arial"/>
          <w:sz w:val="24"/>
          <w:szCs w:val="24"/>
        </w:rPr>
      </w:pPr>
      <w:r w:rsidRPr="002F0E3F">
        <w:rPr>
          <w:rFonts w:cs="Arial"/>
          <w:sz w:val="24"/>
          <w:szCs w:val="24"/>
        </w:rPr>
        <w:t xml:space="preserve">Preparation for the development of this statewide Comprehensive Needs Assessment </w:t>
      </w:r>
      <w:r w:rsidR="001B1B8D" w:rsidRPr="002F0E3F">
        <w:rPr>
          <w:rFonts w:cs="Arial"/>
          <w:sz w:val="24"/>
          <w:szCs w:val="24"/>
        </w:rPr>
        <w:t xml:space="preserve">(CNA) </w:t>
      </w:r>
      <w:r w:rsidRPr="002F0E3F">
        <w:rPr>
          <w:rFonts w:cs="Arial"/>
          <w:sz w:val="24"/>
          <w:szCs w:val="24"/>
        </w:rPr>
        <w:t xml:space="preserve">began in </w:t>
      </w:r>
      <w:r w:rsidR="004828DE">
        <w:rPr>
          <w:rFonts w:cs="Arial"/>
          <w:sz w:val="24"/>
          <w:szCs w:val="24"/>
        </w:rPr>
        <w:t>July 2023</w:t>
      </w:r>
      <w:r w:rsidR="001B1B8D" w:rsidRPr="002F0E3F">
        <w:rPr>
          <w:rFonts w:cs="Arial"/>
          <w:sz w:val="24"/>
          <w:szCs w:val="24"/>
        </w:rPr>
        <w:t>. Many dedicated individuals assisted the California Department of Education (CDE) Migrant Education Office (MEO) at different phases throughout th</w:t>
      </w:r>
      <w:r w:rsidR="00FD7D3C">
        <w:rPr>
          <w:rFonts w:cs="Arial"/>
          <w:sz w:val="24"/>
          <w:szCs w:val="24"/>
        </w:rPr>
        <w:t>e</w:t>
      </w:r>
      <w:r w:rsidR="001B1B8D" w:rsidRPr="002F0E3F">
        <w:rPr>
          <w:rFonts w:cs="Arial"/>
          <w:sz w:val="24"/>
          <w:szCs w:val="24"/>
        </w:rPr>
        <w:t xml:space="preserve"> process.</w:t>
      </w:r>
    </w:p>
    <w:p w14:paraId="1719117E" w14:textId="34A28F2E" w:rsidR="001B1B8D" w:rsidRPr="002F0E3F" w:rsidRDefault="001B1B8D" w:rsidP="00043BAC">
      <w:pPr>
        <w:spacing w:after="240"/>
        <w:rPr>
          <w:rFonts w:cs="Arial"/>
        </w:rPr>
      </w:pPr>
      <w:r w:rsidRPr="002F0E3F">
        <w:rPr>
          <w:rFonts w:cs="Arial"/>
        </w:rPr>
        <w:t xml:space="preserve">We are indebted to the members of the </w:t>
      </w:r>
      <w:r w:rsidR="00FD61A8">
        <w:rPr>
          <w:rFonts w:cs="Arial"/>
        </w:rPr>
        <w:t xml:space="preserve">CDE </w:t>
      </w:r>
      <w:r w:rsidRPr="002F0E3F">
        <w:rPr>
          <w:rFonts w:cs="Arial"/>
        </w:rPr>
        <w:t>Management and Data T</w:t>
      </w:r>
      <w:r w:rsidR="00FD61A8">
        <w:rPr>
          <w:rFonts w:cs="Arial"/>
        </w:rPr>
        <w:t xml:space="preserve">eam </w:t>
      </w:r>
      <w:r w:rsidRPr="002F0E3F">
        <w:rPr>
          <w:rFonts w:cs="Arial"/>
        </w:rPr>
        <w:t>for designing, implementing</w:t>
      </w:r>
      <w:r w:rsidR="00FD7D3C">
        <w:rPr>
          <w:rFonts w:cs="Arial"/>
        </w:rPr>
        <w:t>,</w:t>
      </w:r>
      <w:r w:rsidRPr="002F0E3F">
        <w:rPr>
          <w:rFonts w:cs="Arial"/>
        </w:rPr>
        <w:t xml:space="preserve"> and coordinating the development of the 20</w:t>
      </w:r>
      <w:r w:rsidR="002F0E3F" w:rsidRPr="002F0E3F">
        <w:rPr>
          <w:rFonts w:cs="Arial"/>
        </w:rPr>
        <w:t>2</w:t>
      </w:r>
      <w:r w:rsidR="003356DD">
        <w:rPr>
          <w:rFonts w:cs="Arial"/>
        </w:rPr>
        <w:t>5</w:t>
      </w:r>
      <w:r w:rsidRPr="002F0E3F">
        <w:rPr>
          <w:rFonts w:cs="Arial"/>
        </w:rPr>
        <w:t xml:space="preserve"> CNA. </w:t>
      </w:r>
      <w:r w:rsidR="00EF3F24" w:rsidRPr="002F0E3F">
        <w:rPr>
          <w:rFonts w:cs="Arial"/>
        </w:rPr>
        <w:t>Team members</w:t>
      </w:r>
      <w:r w:rsidRPr="002F0E3F">
        <w:rPr>
          <w:rFonts w:cs="Arial"/>
        </w:rPr>
        <w:t xml:space="preserve"> include</w:t>
      </w:r>
      <w:r w:rsidR="009A6377">
        <w:rPr>
          <w:rFonts w:cs="Arial"/>
        </w:rPr>
        <w:t>d</w:t>
      </w:r>
      <w:r w:rsidRPr="002F0E3F">
        <w:rPr>
          <w:rFonts w:cs="Arial"/>
        </w:rPr>
        <w:t>:</w:t>
      </w:r>
    </w:p>
    <w:p w14:paraId="1C7AF2FD" w14:textId="2EAE1695" w:rsidR="002F0E3F" w:rsidRPr="002F0E3F" w:rsidRDefault="002F0E3F" w:rsidP="002F0E3F">
      <w:pPr>
        <w:spacing w:after="240"/>
        <w:contextualSpacing/>
        <w:rPr>
          <w:rFonts w:cs="Arial"/>
        </w:rPr>
      </w:pPr>
      <w:r w:rsidRPr="002F0E3F">
        <w:rPr>
          <w:rFonts w:cs="Arial"/>
          <w:b/>
        </w:rPr>
        <w:t>Juli Auld,</w:t>
      </w:r>
      <w:r w:rsidRPr="002F0E3F">
        <w:rPr>
          <w:rFonts w:cs="Arial"/>
        </w:rPr>
        <w:t xml:space="preserve"> Administrator, MEO, CDE</w:t>
      </w:r>
    </w:p>
    <w:p w14:paraId="6BFD04E1" w14:textId="04CEBA67" w:rsidR="002F0E3F" w:rsidRDefault="003D3A16" w:rsidP="002F0E3F">
      <w:pPr>
        <w:spacing w:after="240"/>
        <w:contextualSpacing/>
        <w:rPr>
          <w:rFonts w:cs="Arial"/>
        </w:rPr>
      </w:pPr>
      <w:r w:rsidRPr="002F0E3F">
        <w:rPr>
          <w:rFonts w:cs="Arial"/>
          <w:b/>
        </w:rPr>
        <w:t>Melissa Mallory,</w:t>
      </w:r>
      <w:r w:rsidR="002F0E3F" w:rsidRPr="002F0E3F">
        <w:rPr>
          <w:rFonts w:cs="Arial"/>
          <w:b/>
        </w:rPr>
        <w:t xml:space="preserve"> </w:t>
      </w:r>
      <w:r w:rsidR="002F0E3F" w:rsidRPr="002F0E3F">
        <w:rPr>
          <w:rFonts w:cs="Arial"/>
          <w:bCs/>
        </w:rPr>
        <w:t>CNA</w:t>
      </w:r>
      <w:r w:rsidRPr="002F0E3F">
        <w:rPr>
          <w:rFonts w:cs="Arial"/>
          <w:bCs/>
        </w:rPr>
        <w:t xml:space="preserve"> </w:t>
      </w:r>
      <w:r w:rsidRPr="002F0E3F">
        <w:rPr>
          <w:rFonts w:cs="Arial"/>
        </w:rPr>
        <w:t>Project Lead</w:t>
      </w:r>
      <w:r w:rsidR="002F0E3F" w:rsidRPr="002F0E3F">
        <w:rPr>
          <w:rFonts w:cs="Arial"/>
        </w:rPr>
        <w:t xml:space="preserve"> and Principal Writer</w:t>
      </w:r>
      <w:r w:rsidRPr="002F0E3F">
        <w:rPr>
          <w:rFonts w:cs="Arial"/>
        </w:rPr>
        <w:t>, Education Programs Consultant</w:t>
      </w:r>
      <w:r w:rsidR="008E0D06">
        <w:rPr>
          <w:rFonts w:cs="Arial"/>
        </w:rPr>
        <w:t xml:space="preserve"> (EPC)</w:t>
      </w:r>
      <w:r w:rsidRPr="002F0E3F">
        <w:rPr>
          <w:rFonts w:cs="Arial"/>
        </w:rPr>
        <w:t xml:space="preserve">, </w:t>
      </w:r>
      <w:r w:rsidR="002F0E3F" w:rsidRPr="002F0E3F">
        <w:rPr>
          <w:rFonts w:cs="Arial"/>
        </w:rPr>
        <w:t>MEO, CDE</w:t>
      </w:r>
    </w:p>
    <w:p w14:paraId="54009A7D" w14:textId="77777777" w:rsidR="00FD61A8" w:rsidRPr="002F0E3F" w:rsidRDefault="00FD61A8" w:rsidP="00FD61A8">
      <w:pPr>
        <w:spacing w:after="240"/>
        <w:contextualSpacing/>
        <w:rPr>
          <w:rFonts w:cs="Arial"/>
        </w:rPr>
      </w:pPr>
      <w:r w:rsidRPr="002F0E3F">
        <w:rPr>
          <w:rFonts w:cs="Arial"/>
          <w:b/>
        </w:rPr>
        <w:t>Alesha Moreno-Ramirez,</w:t>
      </w:r>
      <w:r w:rsidRPr="002F0E3F">
        <w:rPr>
          <w:rFonts w:cs="Arial"/>
        </w:rPr>
        <w:t xml:space="preserve"> Director, Multilingual Support Division (MSD), CDE</w:t>
      </w:r>
    </w:p>
    <w:p w14:paraId="7DBCEF5F" w14:textId="051EAAC0" w:rsidR="003D3A16" w:rsidRPr="002F0E3F" w:rsidRDefault="00FD61A8" w:rsidP="00EC58A5">
      <w:pPr>
        <w:spacing w:after="240"/>
        <w:rPr>
          <w:rFonts w:cs="Arial"/>
        </w:rPr>
      </w:pPr>
      <w:r>
        <w:rPr>
          <w:rFonts w:cs="Arial"/>
          <w:b/>
        </w:rPr>
        <w:t>Jennifer Quezada</w:t>
      </w:r>
      <w:r w:rsidR="002F0E3F" w:rsidRPr="002F0E3F">
        <w:rPr>
          <w:rFonts w:cs="Arial"/>
          <w:b/>
        </w:rPr>
        <w:t>,</w:t>
      </w:r>
      <w:r w:rsidR="002F0E3F" w:rsidRPr="002F0E3F">
        <w:rPr>
          <w:rFonts w:cs="Arial"/>
        </w:rPr>
        <w:t xml:space="preserve"> Education </w:t>
      </w:r>
      <w:r>
        <w:rPr>
          <w:rFonts w:cs="Arial"/>
        </w:rPr>
        <w:t>Programs Assistant</w:t>
      </w:r>
      <w:r w:rsidR="002F0E3F" w:rsidRPr="002F0E3F">
        <w:rPr>
          <w:rFonts w:cs="Arial"/>
        </w:rPr>
        <w:t>, MEO, CDE</w:t>
      </w:r>
    </w:p>
    <w:p w14:paraId="13389AEC" w14:textId="1E58C89F" w:rsidR="00394F2C" w:rsidRPr="002F0E3F" w:rsidRDefault="00394F2C" w:rsidP="002F0E3F">
      <w:pPr>
        <w:spacing w:after="120"/>
        <w:rPr>
          <w:rFonts w:cs="Arial"/>
        </w:rPr>
      </w:pPr>
      <w:r w:rsidRPr="002F0E3F">
        <w:rPr>
          <w:rFonts w:cs="Arial"/>
        </w:rPr>
        <w:t xml:space="preserve">To ensure the statewide CNA provided meaningful information as a basis for program development for the </w:t>
      </w:r>
      <w:r w:rsidR="002F0E3F" w:rsidRPr="002F0E3F">
        <w:rPr>
          <w:rFonts w:cs="Arial"/>
        </w:rPr>
        <w:t>s</w:t>
      </w:r>
      <w:r w:rsidRPr="002F0E3F">
        <w:rPr>
          <w:rFonts w:cs="Arial"/>
        </w:rPr>
        <w:t xml:space="preserve">tate Service Delivery Plan (SDP), </w:t>
      </w:r>
      <w:r w:rsidR="00EF3F24" w:rsidRPr="002F0E3F">
        <w:rPr>
          <w:rFonts w:cs="Arial"/>
        </w:rPr>
        <w:t xml:space="preserve">collecting </w:t>
      </w:r>
      <w:r w:rsidR="00303934">
        <w:rPr>
          <w:rFonts w:cs="Arial"/>
        </w:rPr>
        <w:t>committee</w:t>
      </w:r>
      <w:r w:rsidRPr="002F0E3F">
        <w:rPr>
          <w:rFonts w:cs="Arial"/>
        </w:rPr>
        <w:t xml:space="preserve"> </w:t>
      </w:r>
      <w:r w:rsidR="00FD7D3C">
        <w:rPr>
          <w:rFonts w:cs="Arial"/>
        </w:rPr>
        <w:t>feedback</w:t>
      </w:r>
      <w:r w:rsidR="00FD7D3C" w:rsidRPr="002F0E3F">
        <w:rPr>
          <w:rFonts w:cs="Arial"/>
        </w:rPr>
        <w:t xml:space="preserve"> </w:t>
      </w:r>
      <w:r w:rsidR="00EF3F24" w:rsidRPr="002F0E3F">
        <w:rPr>
          <w:rFonts w:cs="Arial"/>
        </w:rPr>
        <w:t>was essential</w:t>
      </w:r>
      <w:r w:rsidRPr="002F0E3F">
        <w:rPr>
          <w:rFonts w:cs="Arial"/>
        </w:rPr>
        <w:t>. The CNA</w:t>
      </w:r>
      <w:r w:rsidR="002F0E3F" w:rsidRPr="002F0E3F">
        <w:rPr>
          <w:rFonts w:cs="Arial"/>
        </w:rPr>
        <w:t xml:space="preserve"> </w:t>
      </w:r>
      <w:r w:rsidRPr="002F0E3F">
        <w:rPr>
          <w:rFonts w:cs="Arial"/>
        </w:rPr>
        <w:t xml:space="preserve">SDP Committee utilized small and large group settings to analyze data, develop </w:t>
      </w:r>
      <w:r w:rsidR="006A0535" w:rsidRPr="002F0E3F">
        <w:rPr>
          <w:rFonts w:cs="Arial"/>
        </w:rPr>
        <w:t>concerns,</w:t>
      </w:r>
      <w:r w:rsidRPr="002F0E3F">
        <w:rPr>
          <w:rFonts w:cs="Arial"/>
        </w:rPr>
        <w:t xml:space="preserve"> and identify migratory student needs. </w:t>
      </w:r>
      <w:r w:rsidR="00997BB4">
        <w:rPr>
          <w:rFonts w:cs="Arial"/>
        </w:rPr>
        <w:t>Committee m</w:t>
      </w:r>
      <w:r w:rsidRPr="002F0E3F">
        <w:rPr>
          <w:rFonts w:cs="Arial"/>
        </w:rPr>
        <w:t>embers include</w:t>
      </w:r>
      <w:r w:rsidR="00997BB4">
        <w:rPr>
          <w:rFonts w:cs="Arial"/>
        </w:rPr>
        <w:t>d</w:t>
      </w:r>
      <w:r w:rsidRPr="002F0E3F">
        <w:rPr>
          <w:rFonts w:cs="Arial"/>
        </w:rPr>
        <w:t>:</w:t>
      </w:r>
    </w:p>
    <w:p w14:paraId="7D9C0D9F" w14:textId="1F0BBD54" w:rsidR="00394F2C" w:rsidRPr="002F0E3F" w:rsidRDefault="002F0E3F" w:rsidP="006E2205">
      <w:pPr>
        <w:rPr>
          <w:rFonts w:cs="Arial"/>
        </w:rPr>
      </w:pPr>
      <w:r w:rsidRPr="002F0E3F">
        <w:rPr>
          <w:rFonts w:cs="Arial"/>
          <w:b/>
        </w:rPr>
        <w:t>Elisa Ayala</w:t>
      </w:r>
      <w:r w:rsidR="00394F2C" w:rsidRPr="002F0E3F">
        <w:rPr>
          <w:rFonts w:cs="Arial"/>
          <w:b/>
        </w:rPr>
        <w:t>,</w:t>
      </w:r>
      <w:r w:rsidR="00394F2C" w:rsidRPr="002F0E3F">
        <w:rPr>
          <w:rFonts w:cs="Arial"/>
        </w:rPr>
        <w:t xml:space="preserve"> </w:t>
      </w:r>
      <w:r w:rsidRPr="002F0E3F">
        <w:rPr>
          <w:rFonts w:cs="Arial"/>
        </w:rPr>
        <w:t>Director</w:t>
      </w:r>
      <w:r w:rsidR="00394F2C" w:rsidRPr="002F0E3F">
        <w:rPr>
          <w:rFonts w:cs="Arial"/>
        </w:rPr>
        <w:t>,</w:t>
      </w:r>
      <w:r w:rsidR="003E63C0">
        <w:rPr>
          <w:rFonts w:cs="Arial"/>
        </w:rPr>
        <w:t xml:space="preserve"> </w:t>
      </w:r>
      <w:r w:rsidR="003E63C0" w:rsidRPr="002F0E3F">
        <w:rPr>
          <w:rFonts w:cs="Arial"/>
        </w:rPr>
        <w:t>Migrant Education Program (MEP)</w:t>
      </w:r>
      <w:r w:rsidR="003E63C0">
        <w:rPr>
          <w:rFonts w:cs="Arial"/>
        </w:rPr>
        <w:t xml:space="preserve"> Region 9</w:t>
      </w:r>
      <w:r w:rsidR="00FD7D3C">
        <w:rPr>
          <w:rFonts w:cs="Arial"/>
        </w:rPr>
        <w:t>,</w:t>
      </w:r>
      <w:r w:rsidR="00394F2C" w:rsidRPr="002F0E3F">
        <w:rPr>
          <w:rFonts w:cs="Arial"/>
        </w:rPr>
        <w:t xml:space="preserve"> </w:t>
      </w:r>
      <w:r w:rsidR="00B10E20" w:rsidRPr="002F0E3F">
        <w:rPr>
          <w:rFonts w:cs="Arial"/>
        </w:rPr>
        <w:t>San Diego County Office of Education</w:t>
      </w:r>
      <w:r w:rsidRPr="002F0E3F">
        <w:rPr>
          <w:rFonts w:cs="Arial"/>
        </w:rPr>
        <w:t xml:space="preserve"> </w:t>
      </w:r>
    </w:p>
    <w:p w14:paraId="67DF8168" w14:textId="4B0FE88B" w:rsidR="006A4954" w:rsidRPr="002F0E3F" w:rsidRDefault="006A4954" w:rsidP="006A4954">
      <w:pPr>
        <w:rPr>
          <w:rFonts w:cs="Arial"/>
        </w:rPr>
      </w:pPr>
      <w:r>
        <w:rPr>
          <w:rFonts w:cs="Arial"/>
          <w:b/>
        </w:rPr>
        <w:t>Christian Becerra</w:t>
      </w:r>
      <w:r w:rsidRPr="002F0E3F">
        <w:rPr>
          <w:rFonts w:cs="Arial"/>
          <w:b/>
        </w:rPr>
        <w:t>,</w:t>
      </w:r>
      <w:r w:rsidRPr="002F0E3F">
        <w:rPr>
          <w:rFonts w:cs="Arial"/>
        </w:rPr>
        <w:t xml:space="preserve"> </w:t>
      </w:r>
      <w:r w:rsidRPr="006A4954">
        <w:rPr>
          <w:rFonts w:cs="Arial"/>
        </w:rPr>
        <w:t>Program Specialist/</w:t>
      </w:r>
      <w:r w:rsidR="00096ECB">
        <w:rPr>
          <w:rFonts w:cs="Arial"/>
        </w:rPr>
        <w:t>F</w:t>
      </w:r>
      <w:r w:rsidRPr="006A4954">
        <w:rPr>
          <w:rFonts w:cs="Arial"/>
        </w:rPr>
        <w:t xml:space="preserve">ormer </w:t>
      </w:r>
      <w:r w:rsidR="00096ECB">
        <w:rPr>
          <w:rFonts w:cs="Arial"/>
        </w:rPr>
        <w:t>M</w:t>
      </w:r>
      <w:r w:rsidRPr="006A4954">
        <w:rPr>
          <w:rFonts w:cs="Arial"/>
        </w:rPr>
        <w:t xml:space="preserve">igratory </w:t>
      </w:r>
      <w:r w:rsidR="00E85469">
        <w:rPr>
          <w:rFonts w:cs="Arial"/>
        </w:rPr>
        <w:t>Out-of-School Youth</w:t>
      </w:r>
      <w:r w:rsidRPr="006A4954">
        <w:rPr>
          <w:rFonts w:cs="Arial"/>
        </w:rPr>
        <w:t>,</w:t>
      </w:r>
      <w:r w:rsidRPr="002F0E3F">
        <w:rPr>
          <w:rFonts w:cs="Arial"/>
        </w:rPr>
        <w:t xml:space="preserve"> </w:t>
      </w:r>
      <w:r w:rsidR="003E63C0">
        <w:rPr>
          <w:rFonts w:cs="Arial"/>
        </w:rPr>
        <w:t xml:space="preserve">MEP Region 4 </w:t>
      </w:r>
      <w:r>
        <w:rPr>
          <w:rFonts w:cs="Arial"/>
        </w:rPr>
        <w:t>Fresno County Superintendent of</w:t>
      </w:r>
      <w:r w:rsidRPr="002F0E3F">
        <w:rPr>
          <w:rFonts w:cs="Arial"/>
        </w:rPr>
        <w:t xml:space="preserve"> </w:t>
      </w:r>
      <w:r>
        <w:rPr>
          <w:rFonts w:cs="Arial"/>
        </w:rPr>
        <w:t>Schoo</w:t>
      </w:r>
      <w:r w:rsidR="003E63C0">
        <w:rPr>
          <w:rFonts w:cs="Arial"/>
        </w:rPr>
        <w:t>ls</w:t>
      </w:r>
      <w:r w:rsidR="00864519">
        <w:rPr>
          <w:rFonts w:cs="Arial"/>
        </w:rPr>
        <w:t xml:space="preserve"> (FCCSS)</w:t>
      </w:r>
    </w:p>
    <w:p w14:paraId="7E27B05C" w14:textId="005E2249" w:rsidR="006A4954" w:rsidRPr="002F0E3F" w:rsidRDefault="006A4954" w:rsidP="006A4954">
      <w:pPr>
        <w:rPr>
          <w:rFonts w:cs="Arial"/>
        </w:rPr>
      </w:pPr>
      <w:r>
        <w:rPr>
          <w:rFonts w:cs="Arial"/>
          <w:b/>
        </w:rPr>
        <w:t>Ruben Castillo</w:t>
      </w:r>
      <w:r w:rsidRPr="002F0E3F">
        <w:rPr>
          <w:rFonts w:cs="Arial"/>
          <w:b/>
        </w:rPr>
        <w:t>,</w:t>
      </w:r>
      <w:r w:rsidRPr="002F0E3F">
        <w:rPr>
          <w:rFonts w:cs="Arial"/>
        </w:rPr>
        <w:t xml:space="preserve"> </w:t>
      </w:r>
      <w:r>
        <w:rPr>
          <w:rFonts w:cs="Arial"/>
        </w:rPr>
        <w:t>Executive Director</w:t>
      </w:r>
      <w:r w:rsidR="00891393">
        <w:rPr>
          <w:rFonts w:cs="Arial"/>
        </w:rPr>
        <w:t>/</w:t>
      </w:r>
      <w:r w:rsidR="00096ECB">
        <w:rPr>
          <w:rFonts w:cs="Arial"/>
        </w:rPr>
        <w:t>F</w:t>
      </w:r>
      <w:r w:rsidR="00891393">
        <w:rPr>
          <w:rFonts w:cs="Arial"/>
        </w:rPr>
        <w:t xml:space="preserve">ormer </w:t>
      </w:r>
      <w:r w:rsidR="00096ECB">
        <w:rPr>
          <w:rFonts w:cs="Arial"/>
        </w:rPr>
        <w:t>M</w:t>
      </w:r>
      <w:r w:rsidR="00891393">
        <w:rPr>
          <w:rFonts w:cs="Arial"/>
        </w:rPr>
        <w:t xml:space="preserve">igratory </w:t>
      </w:r>
      <w:r w:rsidR="00096ECB">
        <w:rPr>
          <w:rFonts w:cs="Arial"/>
        </w:rPr>
        <w:t>S</w:t>
      </w:r>
      <w:r w:rsidR="00891393">
        <w:rPr>
          <w:rFonts w:cs="Arial"/>
        </w:rPr>
        <w:t>tudent</w:t>
      </w:r>
      <w:r w:rsidRPr="002F0E3F">
        <w:rPr>
          <w:rFonts w:cs="Arial"/>
        </w:rPr>
        <w:t xml:space="preserve">, </w:t>
      </w:r>
      <w:r w:rsidR="003E63C0">
        <w:rPr>
          <w:rFonts w:cs="Arial"/>
        </w:rPr>
        <w:t>MEP Region 4</w:t>
      </w:r>
      <w:r w:rsidR="00096ECB">
        <w:rPr>
          <w:rFonts w:cs="Arial"/>
        </w:rPr>
        <w:t>,</w:t>
      </w:r>
      <w:r w:rsidR="003E63C0">
        <w:rPr>
          <w:rFonts w:cs="Arial"/>
        </w:rPr>
        <w:t xml:space="preserve"> </w:t>
      </w:r>
      <w:r w:rsidR="00864519">
        <w:rPr>
          <w:rFonts w:cs="Arial"/>
        </w:rPr>
        <w:t>FCCSS</w:t>
      </w:r>
    </w:p>
    <w:p w14:paraId="1C599703" w14:textId="0E4199B3" w:rsidR="006A4954" w:rsidRPr="002F0E3F" w:rsidRDefault="006A4954" w:rsidP="006A4954">
      <w:pPr>
        <w:rPr>
          <w:rFonts w:cs="Arial"/>
          <w:highlight w:val="yellow"/>
        </w:rPr>
      </w:pPr>
      <w:r>
        <w:rPr>
          <w:rFonts w:cs="Arial"/>
          <w:b/>
        </w:rPr>
        <w:t>David Cruz Duran</w:t>
      </w:r>
      <w:r w:rsidRPr="002F0E3F">
        <w:rPr>
          <w:rFonts w:cs="Arial"/>
          <w:b/>
        </w:rPr>
        <w:t>,</w:t>
      </w:r>
      <w:r w:rsidRPr="002F0E3F">
        <w:rPr>
          <w:rFonts w:cs="Arial"/>
        </w:rPr>
        <w:t xml:space="preserve"> </w:t>
      </w:r>
      <w:r>
        <w:rPr>
          <w:rFonts w:cs="Arial"/>
        </w:rPr>
        <w:t>Recruiter/</w:t>
      </w:r>
      <w:r w:rsidR="00096ECB">
        <w:rPr>
          <w:rFonts w:cs="Arial"/>
        </w:rPr>
        <w:t>F</w:t>
      </w:r>
      <w:r>
        <w:rPr>
          <w:rFonts w:cs="Arial"/>
        </w:rPr>
        <w:t xml:space="preserve">ormer </w:t>
      </w:r>
      <w:r w:rsidR="00096ECB">
        <w:rPr>
          <w:rFonts w:cs="Arial"/>
        </w:rPr>
        <w:t>M</w:t>
      </w:r>
      <w:r>
        <w:rPr>
          <w:rFonts w:cs="Arial"/>
        </w:rPr>
        <w:t xml:space="preserve">igratory </w:t>
      </w:r>
      <w:r w:rsidR="00096ECB">
        <w:rPr>
          <w:rFonts w:cs="Arial"/>
        </w:rPr>
        <w:t>S</w:t>
      </w:r>
      <w:r>
        <w:rPr>
          <w:rFonts w:cs="Arial"/>
        </w:rPr>
        <w:t>tudent</w:t>
      </w:r>
      <w:r w:rsidRPr="002F0E3F">
        <w:rPr>
          <w:rFonts w:cs="Arial"/>
        </w:rPr>
        <w:t xml:space="preserve">, </w:t>
      </w:r>
      <w:r w:rsidR="003E63C0">
        <w:rPr>
          <w:rFonts w:cs="Arial"/>
        </w:rPr>
        <w:t>MEP Region</w:t>
      </w:r>
      <w:r w:rsidR="003E63C0" w:rsidRPr="002F0E3F">
        <w:rPr>
          <w:rFonts w:cs="Arial"/>
        </w:rPr>
        <w:t xml:space="preserve"> </w:t>
      </w:r>
      <w:r w:rsidR="003E63C0">
        <w:rPr>
          <w:rFonts w:cs="Arial"/>
        </w:rPr>
        <w:t>23</w:t>
      </w:r>
      <w:r w:rsidR="00096ECB">
        <w:rPr>
          <w:rFonts w:cs="Arial"/>
        </w:rPr>
        <w:t>,</w:t>
      </w:r>
      <w:r w:rsidR="003E63C0">
        <w:rPr>
          <w:rFonts w:cs="Arial"/>
        </w:rPr>
        <w:t xml:space="preserve"> </w:t>
      </w:r>
      <w:r w:rsidRPr="002F0E3F">
        <w:rPr>
          <w:rFonts w:cs="Arial"/>
        </w:rPr>
        <w:t>San Joaquin County Office of Education</w:t>
      </w:r>
    </w:p>
    <w:p w14:paraId="156F58FE" w14:textId="00FA76F4" w:rsidR="006A4954" w:rsidRPr="004828DE" w:rsidRDefault="006A4954" w:rsidP="006E2205">
      <w:pPr>
        <w:rPr>
          <w:rFonts w:cs="Arial"/>
          <w:bCs/>
        </w:rPr>
      </w:pPr>
      <w:r>
        <w:rPr>
          <w:rFonts w:cs="Arial"/>
          <w:b/>
        </w:rPr>
        <w:t xml:space="preserve">Sandra Espinoza, </w:t>
      </w:r>
      <w:r w:rsidRPr="004828DE">
        <w:rPr>
          <w:rFonts w:cs="Arial"/>
          <w:bCs/>
        </w:rPr>
        <w:t xml:space="preserve">Director, </w:t>
      </w:r>
      <w:r w:rsidR="003E63C0" w:rsidRPr="004828DE">
        <w:rPr>
          <w:rFonts w:cs="Arial"/>
          <w:bCs/>
        </w:rPr>
        <w:t>MEP Direct-</w:t>
      </w:r>
      <w:r w:rsidR="00096ECB">
        <w:rPr>
          <w:rFonts w:cs="Arial"/>
          <w:bCs/>
        </w:rPr>
        <w:t>F</w:t>
      </w:r>
      <w:r w:rsidR="003E63C0" w:rsidRPr="004828DE">
        <w:rPr>
          <w:rFonts w:cs="Arial"/>
          <w:bCs/>
        </w:rPr>
        <w:t>unded District (DFD) 24</w:t>
      </w:r>
      <w:r w:rsidR="003E63C0">
        <w:rPr>
          <w:rFonts w:cs="Arial"/>
          <w:bCs/>
        </w:rPr>
        <w:t xml:space="preserve">, </w:t>
      </w:r>
      <w:r w:rsidRPr="004828DE">
        <w:rPr>
          <w:rFonts w:cs="Arial"/>
          <w:bCs/>
        </w:rPr>
        <w:t>Lindsay Un</w:t>
      </w:r>
      <w:r w:rsidR="004828DE" w:rsidRPr="004828DE">
        <w:rPr>
          <w:rFonts w:cs="Arial"/>
          <w:bCs/>
        </w:rPr>
        <w:t>i</w:t>
      </w:r>
      <w:r w:rsidRPr="004828DE">
        <w:rPr>
          <w:rFonts w:cs="Arial"/>
          <w:bCs/>
        </w:rPr>
        <w:t xml:space="preserve">fied School District </w:t>
      </w:r>
    </w:p>
    <w:p w14:paraId="66C38E50" w14:textId="05AF1938" w:rsidR="00394F2C" w:rsidRPr="002F0E3F" w:rsidRDefault="002F0E3F" w:rsidP="006E2205">
      <w:pPr>
        <w:rPr>
          <w:rFonts w:cs="Arial"/>
        </w:rPr>
      </w:pPr>
      <w:r w:rsidRPr="002F0E3F">
        <w:rPr>
          <w:rFonts w:cs="Arial"/>
          <w:b/>
        </w:rPr>
        <w:t>Maria Jose Flockhart</w:t>
      </w:r>
      <w:r w:rsidR="00394F2C" w:rsidRPr="002F0E3F">
        <w:rPr>
          <w:rFonts w:cs="Arial"/>
          <w:b/>
        </w:rPr>
        <w:t>,</w:t>
      </w:r>
      <w:r w:rsidR="00394F2C" w:rsidRPr="002F0E3F">
        <w:rPr>
          <w:rFonts w:cs="Arial"/>
        </w:rPr>
        <w:t xml:space="preserve"> </w:t>
      </w:r>
      <w:r w:rsidRPr="002F0E3F">
        <w:rPr>
          <w:rFonts w:cs="Arial"/>
        </w:rPr>
        <w:t>Social Worker</w:t>
      </w:r>
      <w:r w:rsidR="00394F2C" w:rsidRPr="002F0E3F">
        <w:rPr>
          <w:rFonts w:cs="Arial"/>
        </w:rPr>
        <w:t>,</w:t>
      </w:r>
      <w:r w:rsidRPr="002F0E3F">
        <w:rPr>
          <w:rFonts w:cs="Arial"/>
        </w:rPr>
        <w:t xml:space="preserve"> MEP Region 9</w:t>
      </w:r>
      <w:r w:rsidR="000A3054">
        <w:rPr>
          <w:rFonts w:cs="Arial"/>
        </w:rPr>
        <w:t>,</w:t>
      </w:r>
      <w:r w:rsidR="003E63C0">
        <w:rPr>
          <w:rFonts w:cs="Arial"/>
        </w:rPr>
        <w:t xml:space="preserve"> San Diego County Office of Education</w:t>
      </w:r>
    </w:p>
    <w:p w14:paraId="70AD3A31" w14:textId="0A26FB13" w:rsidR="00B10E20" w:rsidRPr="00240785" w:rsidRDefault="00240785" w:rsidP="006E2205">
      <w:pPr>
        <w:rPr>
          <w:rFonts w:cs="Arial"/>
          <w:bCs/>
        </w:rPr>
      </w:pPr>
      <w:r w:rsidRPr="003E63C0">
        <w:rPr>
          <w:rFonts w:cs="Arial"/>
          <w:b/>
        </w:rPr>
        <w:t>Deisy Galvan</w:t>
      </w:r>
      <w:r w:rsidR="00394F2C" w:rsidRPr="003E63C0">
        <w:rPr>
          <w:rFonts w:cs="Arial"/>
          <w:b/>
        </w:rPr>
        <w:t>,</w:t>
      </w:r>
      <w:r w:rsidR="00394F2C" w:rsidRPr="003E63C0">
        <w:rPr>
          <w:rFonts w:cs="Arial"/>
        </w:rPr>
        <w:t xml:space="preserve"> </w:t>
      </w:r>
      <w:r w:rsidRPr="003E63C0">
        <w:rPr>
          <w:rFonts w:cs="Arial"/>
        </w:rPr>
        <w:t>Director</w:t>
      </w:r>
      <w:r w:rsidR="00394F2C" w:rsidRPr="003E63C0">
        <w:rPr>
          <w:rFonts w:cs="Arial"/>
        </w:rPr>
        <w:t xml:space="preserve">, </w:t>
      </w:r>
      <w:r w:rsidR="003E63C0" w:rsidRPr="003E63C0">
        <w:rPr>
          <w:rFonts w:cs="Arial"/>
          <w:bCs/>
        </w:rPr>
        <w:t>MEP DFD 21</w:t>
      </w:r>
      <w:r w:rsidR="000A3054">
        <w:rPr>
          <w:rFonts w:cs="Arial"/>
          <w:bCs/>
        </w:rPr>
        <w:t>,</w:t>
      </w:r>
      <w:r w:rsidR="003E63C0" w:rsidRPr="003E63C0">
        <w:rPr>
          <w:rFonts w:cs="Arial"/>
          <w:bCs/>
        </w:rPr>
        <w:t xml:space="preserve"> </w:t>
      </w:r>
      <w:r w:rsidR="00B10E20" w:rsidRPr="002F0E3F">
        <w:rPr>
          <w:rFonts w:cs="Arial"/>
        </w:rPr>
        <w:t>Bakersfield C</w:t>
      </w:r>
      <w:r w:rsidR="00A21E22">
        <w:rPr>
          <w:rFonts w:cs="Arial"/>
        </w:rPr>
        <w:t>ity School District</w:t>
      </w:r>
      <w:r w:rsidR="00B10E20" w:rsidRPr="002F0E3F">
        <w:rPr>
          <w:rFonts w:cs="Arial"/>
          <w:b/>
        </w:rPr>
        <w:t xml:space="preserve"> </w:t>
      </w:r>
    </w:p>
    <w:p w14:paraId="160A185E" w14:textId="0179D811" w:rsidR="006A4954" w:rsidRPr="007B61FB" w:rsidRDefault="006A4954" w:rsidP="006A4954">
      <w:pPr>
        <w:rPr>
          <w:rFonts w:cs="Arial"/>
        </w:rPr>
      </w:pPr>
      <w:r w:rsidRPr="007B61FB">
        <w:rPr>
          <w:rFonts w:cs="Arial"/>
          <w:b/>
        </w:rPr>
        <w:t>Michelle Manriquez,</w:t>
      </w:r>
      <w:r w:rsidRPr="007B61FB">
        <w:rPr>
          <w:rFonts w:cs="Arial"/>
        </w:rPr>
        <w:t xml:space="preserve"> Coordinator, </w:t>
      </w:r>
      <w:r w:rsidR="003E63C0">
        <w:rPr>
          <w:rFonts w:cs="Arial"/>
        </w:rPr>
        <w:t xml:space="preserve">MEP Region 1 </w:t>
      </w:r>
      <w:r w:rsidRPr="007B61FB">
        <w:rPr>
          <w:rFonts w:cs="Arial"/>
        </w:rPr>
        <w:t>Santa Clara County Offic</w:t>
      </w:r>
      <w:r>
        <w:rPr>
          <w:rFonts w:cs="Arial"/>
        </w:rPr>
        <w:t>e of Education</w:t>
      </w:r>
    </w:p>
    <w:p w14:paraId="2E23BF1E" w14:textId="51307AA6" w:rsidR="006A4954" w:rsidRDefault="006A4954" w:rsidP="006A4954">
      <w:pPr>
        <w:rPr>
          <w:rFonts w:cs="Arial"/>
        </w:rPr>
      </w:pPr>
      <w:r>
        <w:rPr>
          <w:rFonts w:cs="Arial"/>
          <w:b/>
        </w:rPr>
        <w:t>Elizabeth Mora</w:t>
      </w:r>
      <w:r w:rsidRPr="002F0E3F">
        <w:rPr>
          <w:rFonts w:cs="Arial"/>
          <w:b/>
        </w:rPr>
        <w:t>,</w:t>
      </w:r>
      <w:r w:rsidRPr="002F0E3F">
        <w:rPr>
          <w:rFonts w:cs="Arial"/>
        </w:rPr>
        <w:t xml:space="preserve"> </w:t>
      </w:r>
      <w:r>
        <w:rPr>
          <w:rFonts w:cs="Arial"/>
        </w:rPr>
        <w:t>Former State Parent Advisory Committee (SPAC) President/MEP parent</w:t>
      </w:r>
      <w:r w:rsidRPr="002F0E3F">
        <w:rPr>
          <w:rFonts w:cs="Arial"/>
        </w:rPr>
        <w:t xml:space="preserve">, </w:t>
      </w:r>
      <w:r w:rsidR="003E63C0">
        <w:rPr>
          <w:rFonts w:cs="Arial"/>
        </w:rPr>
        <w:t>MEP Region</w:t>
      </w:r>
      <w:r w:rsidR="000A3054">
        <w:rPr>
          <w:rFonts w:cs="Arial"/>
        </w:rPr>
        <w:t xml:space="preserve">, </w:t>
      </w:r>
      <w:r w:rsidR="003E63C0">
        <w:rPr>
          <w:rFonts w:cs="Arial"/>
        </w:rPr>
        <w:t xml:space="preserve">2 </w:t>
      </w:r>
      <w:r>
        <w:rPr>
          <w:rFonts w:cs="Arial"/>
        </w:rPr>
        <w:t>Butte</w:t>
      </w:r>
      <w:r w:rsidRPr="002F0E3F">
        <w:rPr>
          <w:rFonts w:cs="Arial"/>
        </w:rPr>
        <w:t xml:space="preserve"> County Office of Education</w:t>
      </w:r>
      <w:r>
        <w:rPr>
          <w:rFonts w:cs="Arial"/>
        </w:rPr>
        <w:t xml:space="preserve"> </w:t>
      </w:r>
    </w:p>
    <w:p w14:paraId="1C5588AC" w14:textId="4C1783DB" w:rsidR="006A4954" w:rsidRDefault="006A4954" w:rsidP="006A4954">
      <w:pPr>
        <w:rPr>
          <w:rFonts w:cs="Arial"/>
        </w:rPr>
      </w:pPr>
      <w:r>
        <w:rPr>
          <w:rFonts w:cs="Arial"/>
          <w:b/>
        </w:rPr>
        <w:t>Sarah Norrbom</w:t>
      </w:r>
      <w:r w:rsidRPr="002F0E3F">
        <w:rPr>
          <w:rFonts w:cs="Arial"/>
          <w:b/>
        </w:rPr>
        <w:t>,</w:t>
      </w:r>
      <w:r w:rsidRPr="002F0E3F">
        <w:rPr>
          <w:rFonts w:cs="Arial"/>
        </w:rPr>
        <w:t xml:space="preserve"> </w:t>
      </w:r>
      <w:r>
        <w:rPr>
          <w:rFonts w:cs="Arial"/>
        </w:rPr>
        <w:t>Director</w:t>
      </w:r>
      <w:r w:rsidR="003E63C0">
        <w:rPr>
          <w:rFonts w:cs="Arial"/>
        </w:rPr>
        <w:t xml:space="preserve"> MEP Region 2</w:t>
      </w:r>
      <w:r w:rsidRPr="002F0E3F">
        <w:rPr>
          <w:rFonts w:cs="Arial"/>
        </w:rPr>
        <w:t xml:space="preserve">, </w:t>
      </w:r>
      <w:r>
        <w:rPr>
          <w:rFonts w:cs="Arial"/>
        </w:rPr>
        <w:t>Butte</w:t>
      </w:r>
      <w:r w:rsidRPr="002F0E3F">
        <w:rPr>
          <w:rFonts w:cs="Arial"/>
        </w:rPr>
        <w:t xml:space="preserve"> County Office of Education</w:t>
      </w:r>
    </w:p>
    <w:p w14:paraId="66730A46" w14:textId="04CE34BB" w:rsidR="006A4954" w:rsidRDefault="006A4954" w:rsidP="006A4954">
      <w:pPr>
        <w:rPr>
          <w:rFonts w:cs="Arial"/>
          <w:b/>
        </w:rPr>
      </w:pPr>
      <w:r>
        <w:rPr>
          <w:rFonts w:cs="Arial"/>
          <w:b/>
        </w:rPr>
        <w:t xml:space="preserve">Maria Ponce, </w:t>
      </w:r>
      <w:r>
        <w:rPr>
          <w:rFonts w:cs="Arial"/>
        </w:rPr>
        <w:t>Coordinator</w:t>
      </w:r>
      <w:r w:rsidRPr="002F0E3F">
        <w:rPr>
          <w:rFonts w:cs="Arial"/>
        </w:rPr>
        <w:t xml:space="preserve">, </w:t>
      </w:r>
      <w:r w:rsidR="003E63C0">
        <w:rPr>
          <w:rFonts w:cs="Arial"/>
        </w:rPr>
        <w:t>MEP Region 7</w:t>
      </w:r>
      <w:r w:rsidR="00096ECB">
        <w:rPr>
          <w:rFonts w:cs="Arial"/>
        </w:rPr>
        <w:t>,</w:t>
      </w:r>
      <w:r w:rsidR="003E63C0">
        <w:rPr>
          <w:rFonts w:cs="Arial"/>
        </w:rPr>
        <w:t xml:space="preserve"> </w:t>
      </w:r>
      <w:r>
        <w:rPr>
          <w:rFonts w:cs="Arial"/>
        </w:rPr>
        <w:t>Riverside</w:t>
      </w:r>
      <w:r w:rsidRPr="002F0E3F">
        <w:rPr>
          <w:rFonts w:cs="Arial"/>
        </w:rPr>
        <w:t xml:space="preserve"> County Office of Education</w:t>
      </w:r>
    </w:p>
    <w:p w14:paraId="0204B1A2" w14:textId="65758FE8" w:rsidR="006A4954" w:rsidRDefault="006A4954" w:rsidP="006A4954">
      <w:pPr>
        <w:rPr>
          <w:rFonts w:cs="Arial"/>
        </w:rPr>
      </w:pPr>
      <w:r w:rsidRPr="00D37962">
        <w:rPr>
          <w:rFonts w:cs="Arial"/>
          <w:b/>
        </w:rPr>
        <w:t>Kimberly Rosa Briones,</w:t>
      </w:r>
      <w:r w:rsidRPr="00D37962">
        <w:rPr>
          <w:rFonts w:cs="Arial"/>
        </w:rPr>
        <w:t xml:space="preserve"> Teacher,</w:t>
      </w:r>
      <w:r w:rsidRPr="00D37962">
        <w:rPr>
          <w:rFonts w:ascii="Aptos" w:eastAsia="Times New Roman" w:hAnsi="Aptos" w:cs="Aptos"/>
          <w:color w:val="000000"/>
          <w:lang w:eastAsia="es-MX"/>
        </w:rPr>
        <w:t xml:space="preserve"> </w:t>
      </w:r>
      <w:r w:rsidRPr="00D37962">
        <w:rPr>
          <w:rFonts w:cs="Arial"/>
        </w:rPr>
        <w:t>Norwalk-La Mirada Unified S</w:t>
      </w:r>
      <w:r>
        <w:rPr>
          <w:rFonts w:cs="Arial"/>
        </w:rPr>
        <w:t>chool District (part of MEP Region 10</w:t>
      </w:r>
      <w:r w:rsidR="00096ECB">
        <w:rPr>
          <w:rFonts w:cs="Arial"/>
        </w:rPr>
        <w:t>, Los Angeles County Office of Education</w:t>
      </w:r>
      <w:r>
        <w:rPr>
          <w:rFonts w:cs="Arial"/>
        </w:rPr>
        <w:t>)</w:t>
      </w:r>
    </w:p>
    <w:p w14:paraId="7D66046B" w14:textId="78776314" w:rsidR="004828DE" w:rsidRPr="002F0E3F" w:rsidRDefault="004828DE" w:rsidP="004828DE">
      <w:pPr>
        <w:rPr>
          <w:rFonts w:cs="Arial"/>
        </w:rPr>
      </w:pPr>
      <w:r>
        <w:rPr>
          <w:rFonts w:cs="Arial"/>
          <w:b/>
        </w:rPr>
        <w:t>Brandon Sant’Agata</w:t>
      </w:r>
      <w:r w:rsidRPr="002F0E3F">
        <w:rPr>
          <w:rFonts w:cs="Arial"/>
          <w:b/>
        </w:rPr>
        <w:t>,</w:t>
      </w:r>
      <w:r w:rsidRPr="002F0E3F">
        <w:rPr>
          <w:rFonts w:cs="Arial"/>
        </w:rPr>
        <w:t xml:space="preserve"> Program </w:t>
      </w:r>
      <w:r>
        <w:rPr>
          <w:rFonts w:cs="Arial"/>
        </w:rPr>
        <w:t>Coordinator</w:t>
      </w:r>
      <w:r w:rsidRPr="002F0E3F">
        <w:rPr>
          <w:rFonts w:cs="Arial"/>
        </w:rPr>
        <w:t xml:space="preserve">, </w:t>
      </w:r>
      <w:r w:rsidR="003E63C0">
        <w:rPr>
          <w:rFonts w:cs="Arial"/>
        </w:rPr>
        <w:t>MEP Region 4</w:t>
      </w:r>
      <w:r w:rsidR="00096ECB">
        <w:rPr>
          <w:rFonts w:cs="Arial"/>
        </w:rPr>
        <w:t>,</w:t>
      </w:r>
      <w:r w:rsidR="00864519">
        <w:rPr>
          <w:rFonts w:cs="Arial"/>
        </w:rPr>
        <w:t xml:space="preserve"> FCSS</w:t>
      </w:r>
    </w:p>
    <w:p w14:paraId="0CF3920F" w14:textId="39781FC6" w:rsidR="00240785" w:rsidRPr="002F0E3F" w:rsidRDefault="00240785" w:rsidP="00240785">
      <w:pPr>
        <w:rPr>
          <w:rFonts w:cs="Arial"/>
        </w:rPr>
      </w:pPr>
      <w:r>
        <w:rPr>
          <w:rFonts w:cs="Arial"/>
          <w:b/>
        </w:rPr>
        <w:t>Espi Sandoval</w:t>
      </w:r>
      <w:r w:rsidR="00394F2C" w:rsidRPr="002F0E3F">
        <w:rPr>
          <w:rFonts w:cs="Arial"/>
          <w:b/>
        </w:rPr>
        <w:t>,</w:t>
      </w:r>
      <w:r w:rsidR="00394F2C" w:rsidRPr="002F0E3F">
        <w:rPr>
          <w:rFonts w:cs="Arial"/>
        </w:rPr>
        <w:t xml:space="preserve"> </w:t>
      </w:r>
      <w:r w:rsidR="00B10E20" w:rsidRPr="002F0E3F">
        <w:rPr>
          <w:rFonts w:cs="Arial"/>
        </w:rPr>
        <w:t>Program Specialist</w:t>
      </w:r>
      <w:r w:rsidR="00394F2C" w:rsidRPr="002F0E3F">
        <w:rPr>
          <w:rFonts w:cs="Arial"/>
        </w:rPr>
        <w:t>,</w:t>
      </w:r>
      <w:r w:rsidR="003E63C0">
        <w:rPr>
          <w:rFonts w:cs="Arial"/>
        </w:rPr>
        <w:t xml:space="preserve"> MEP Region 4</w:t>
      </w:r>
      <w:r w:rsidR="00096ECB">
        <w:rPr>
          <w:rFonts w:cs="Arial"/>
        </w:rPr>
        <w:t>,</w:t>
      </w:r>
      <w:r w:rsidR="00394F2C" w:rsidRPr="002F0E3F">
        <w:rPr>
          <w:rFonts w:cs="Arial"/>
        </w:rPr>
        <w:t xml:space="preserve"> </w:t>
      </w:r>
      <w:r w:rsidR="00864519">
        <w:rPr>
          <w:rFonts w:cs="Arial"/>
        </w:rPr>
        <w:t>FCSS</w:t>
      </w:r>
    </w:p>
    <w:p w14:paraId="516A56F8" w14:textId="4206A540" w:rsidR="00B10E20" w:rsidRPr="002F0E3F" w:rsidRDefault="00A21E22" w:rsidP="006E2205">
      <w:pPr>
        <w:rPr>
          <w:rFonts w:cs="Arial"/>
          <w:b/>
        </w:rPr>
      </w:pPr>
      <w:r>
        <w:rPr>
          <w:rFonts w:cs="Arial"/>
          <w:b/>
        </w:rPr>
        <w:t>Jesus Torres</w:t>
      </w:r>
      <w:r w:rsidR="00394F2C" w:rsidRPr="002F0E3F">
        <w:rPr>
          <w:rFonts w:cs="Arial"/>
          <w:b/>
        </w:rPr>
        <w:t>,</w:t>
      </w:r>
      <w:r w:rsidR="004828DE">
        <w:rPr>
          <w:rFonts w:cs="Arial"/>
          <w:b/>
        </w:rPr>
        <w:t xml:space="preserve"> </w:t>
      </w:r>
      <w:r w:rsidR="004828DE" w:rsidRPr="004828DE">
        <w:rPr>
          <w:rFonts w:cs="Arial"/>
          <w:bCs/>
        </w:rPr>
        <w:t>Migrant</w:t>
      </w:r>
      <w:r w:rsidR="00394F2C" w:rsidRPr="004828DE">
        <w:rPr>
          <w:rFonts w:cs="Arial"/>
          <w:bCs/>
        </w:rPr>
        <w:t xml:space="preserve"> </w:t>
      </w:r>
      <w:r w:rsidRPr="004828DE">
        <w:rPr>
          <w:rFonts w:cs="Arial"/>
          <w:bCs/>
        </w:rPr>
        <w:t>P</w:t>
      </w:r>
      <w:r>
        <w:rPr>
          <w:rFonts w:cs="Arial"/>
        </w:rPr>
        <w:t>rogram Specialist</w:t>
      </w:r>
      <w:r w:rsidR="00D37962">
        <w:rPr>
          <w:rFonts w:cs="Arial"/>
        </w:rPr>
        <w:t>/</w:t>
      </w:r>
      <w:r w:rsidR="00096ECB">
        <w:rPr>
          <w:rFonts w:cs="Arial"/>
        </w:rPr>
        <w:t>F</w:t>
      </w:r>
      <w:r w:rsidR="00D37962">
        <w:rPr>
          <w:rFonts w:cs="Arial"/>
        </w:rPr>
        <w:t xml:space="preserve">ormer </w:t>
      </w:r>
      <w:r w:rsidR="00096ECB">
        <w:rPr>
          <w:rFonts w:cs="Arial"/>
        </w:rPr>
        <w:t>M</w:t>
      </w:r>
      <w:r w:rsidR="00D37962">
        <w:rPr>
          <w:rFonts w:cs="Arial"/>
        </w:rPr>
        <w:t xml:space="preserve">igratory </w:t>
      </w:r>
      <w:r w:rsidR="00096ECB">
        <w:rPr>
          <w:rFonts w:cs="Arial"/>
        </w:rPr>
        <w:t>S</w:t>
      </w:r>
      <w:r w:rsidR="00D37962">
        <w:rPr>
          <w:rFonts w:cs="Arial"/>
        </w:rPr>
        <w:t>tudent</w:t>
      </w:r>
      <w:r w:rsidR="00394F2C" w:rsidRPr="002F0E3F">
        <w:rPr>
          <w:rFonts w:cs="Arial"/>
        </w:rPr>
        <w:t xml:space="preserve">, </w:t>
      </w:r>
      <w:r w:rsidR="003E63C0">
        <w:rPr>
          <w:rFonts w:cs="Arial"/>
        </w:rPr>
        <w:t>MEP DFD 21</w:t>
      </w:r>
      <w:r w:rsidR="00096ECB">
        <w:rPr>
          <w:rFonts w:cs="Arial"/>
        </w:rPr>
        <w:t>,</w:t>
      </w:r>
      <w:r w:rsidR="003E63C0" w:rsidRPr="002F0E3F">
        <w:rPr>
          <w:rFonts w:cs="Arial"/>
          <w:b/>
        </w:rPr>
        <w:t xml:space="preserve"> </w:t>
      </w:r>
      <w:r>
        <w:rPr>
          <w:rFonts w:cs="Arial"/>
        </w:rPr>
        <w:t xml:space="preserve">Bakersfield City School District </w:t>
      </w:r>
    </w:p>
    <w:p w14:paraId="2E2FFD31" w14:textId="78AD57F3" w:rsidR="006A4954" w:rsidRPr="002F0E3F" w:rsidRDefault="006A4954" w:rsidP="004828DE">
      <w:pPr>
        <w:spacing w:after="240"/>
        <w:rPr>
          <w:rFonts w:cs="Arial"/>
        </w:rPr>
      </w:pPr>
      <w:r>
        <w:rPr>
          <w:rFonts w:cs="Arial"/>
          <w:b/>
        </w:rPr>
        <w:t>Sarah Yerman</w:t>
      </w:r>
      <w:r w:rsidRPr="002F0E3F">
        <w:rPr>
          <w:rFonts w:cs="Arial"/>
          <w:b/>
        </w:rPr>
        <w:t>,</w:t>
      </w:r>
      <w:r w:rsidRPr="002F0E3F">
        <w:rPr>
          <w:rFonts w:cs="Arial"/>
        </w:rPr>
        <w:t xml:space="preserve"> </w:t>
      </w:r>
      <w:r>
        <w:rPr>
          <w:rFonts w:cs="Arial"/>
        </w:rPr>
        <w:t>Coordinator</w:t>
      </w:r>
      <w:r w:rsidRPr="002F0E3F">
        <w:rPr>
          <w:rFonts w:cs="Arial"/>
        </w:rPr>
        <w:t xml:space="preserve">, </w:t>
      </w:r>
      <w:r w:rsidR="003E63C0">
        <w:rPr>
          <w:rFonts w:cs="Arial"/>
        </w:rPr>
        <w:t xml:space="preserve">MEP </w:t>
      </w:r>
      <w:r w:rsidR="00EC58A5">
        <w:rPr>
          <w:rFonts w:cs="Arial"/>
        </w:rPr>
        <w:t>Region 2</w:t>
      </w:r>
      <w:r w:rsidR="000A3054">
        <w:rPr>
          <w:rFonts w:cs="Arial"/>
        </w:rPr>
        <w:t>,</w:t>
      </w:r>
      <w:r w:rsidR="003E63C0" w:rsidRPr="000A3054">
        <w:rPr>
          <w:rFonts w:cs="Arial"/>
          <w:bCs/>
        </w:rPr>
        <w:t xml:space="preserve"> </w:t>
      </w:r>
      <w:r>
        <w:rPr>
          <w:rFonts w:cs="Arial"/>
        </w:rPr>
        <w:t>Butte</w:t>
      </w:r>
      <w:r w:rsidRPr="002F0E3F">
        <w:rPr>
          <w:rFonts w:cs="Arial"/>
        </w:rPr>
        <w:t xml:space="preserve"> County Office of Education</w:t>
      </w:r>
    </w:p>
    <w:p w14:paraId="4D2A6B53" w14:textId="763BC16D" w:rsidR="00303934" w:rsidRDefault="00303934" w:rsidP="00240785">
      <w:pPr>
        <w:spacing w:after="240"/>
        <w:rPr>
          <w:rFonts w:cs="Arial"/>
        </w:rPr>
      </w:pPr>
      <w:r>
        <w:rPr>
          <w:rFonts w:cs="Arial"/>
        </w:rPr>
        <w:lastRenderedPageBreak/>
        <w:t xml:space="preserve">The SPAC worked as an extension of the CNA SDP Committee to ensure the CDE had meaningful parent participation and consultation on the development of both the CNA and SDP. SPAC </w:t>
      </w:r>
      <w:r w:rsidR="008A0DF9">
        <w:rPr>
          <w:rFonts w:cs="Arial"/>
        </w:rPr>
        <w:t>participants</w:t>
      </w:r>
      <w:r>
        <w:rPr>
          <w:rFonts w:cs="Arial"/>
        </w:rPr>
        <w:t xml:space="preserve"> included:</w:t>
      </w:r>
    </w:p>
    <w:p w14:paraId="3DE3C65E" w14:textId="5ADF734C" w:rsidR="00864519" w:rsidRPr="00303934" w:rsidRDefault="00864519" w:rsidP="00864519">
      <w:pPr>
        <w:rPr>
          <w:rFonts w:cs="Arial"/>
        </w:rPr>
      </w:pPr>
      <w:bookmarkStart w:id="6" w:name="_Hlk186443021"/>
      <w:r>
        <w:rPr>
          <w:rFonts w:cs="Arial"/>
          <w:b/>
          <w:bCs/>
        </w:rPr>
        <w:t>Daisy Aguilar</w:t>
      </w:r>
      <w:r>
        <w:rPr>
          <w:rFonts w:cs="Arial"/>
        </w:rPr>
        <w:t xml:space="preserve">, MEP </w:t>
      </w:r>
      <w:r w:rsidRPr="00303934">
        <w:rPr>
          <w:rFonts w:cs="Arial"/>
        </w:rPr>
        <w:t xml:space="preserve">Region </w:t>
      </w:r>
      <w:r>
        <w:rPr>
          <w:rFonts w:cs="Arial"/>
        </w:rPr>
        <w:t>6</w:t>
      </w:r>
      <w:r w:rsidR="00096ECB">
        <w:rPr>
          <w:rFonts w:cs="Arial"/>
        </w:rPr>
        <w:t>,</w:t>
      </w:r>
      <w:r>
        <w:rPr>
          <w:rFonts w:cs="Arial"/>
        </w:rPr>
        <w:t xml:space="preserve"> Imperial County Office of Education</w:t>
      </w:r>
      <w:r w:rsidRPr="00303934">
        <w:rPr>
          <w:rFonts w:cs="Arial"/>
        </w:rPr>
        <w:t xml:space="preserve"> </w:t>
      </w:r>
    </w:p>
    <w:p w14:paraId="1C4E3413" w14:textId="1E57289F" w:rsidR="00303934" w:rsidRPr="00303934" w:rsidRDefault="00303934" w:rsidP="003E63C0">
      <w:pPr>
        <w:rPr>
          <w:rFonts w:cs="Arial"/>
        </w:rPr>
      </w:pPr>
      <w:r w:rsidRPr="00303934">
        <w:rPr>
          <w:rFonts w:cs="Arial"/>
          <w:b/>
          <w:bCs/>
        </w:rPr>
        <w:t>Claudia</w:t>
      </w:r>
      <w:r w:rsidRPr="00303934">
        <w:rPr>
          <w:rFonts w:cs="Arial"/>
        </w:rPr>
        <w:t xml:space="preserve"> </w:t>
      </w:r>
      <w:r w:rsidRPr="00303934">
        <w:rPr>
          <w:rFonts w:cs="Arial"/>
          <w:b/>
          <w:bCs/>
        </w:rPr>
        <w:t>Covarrubia</w:t>
      </w:r>
      <w:r w:rsidR="006E039D">
        <w:rPr>
          <w:rFonts w:cs="Arial"/>
          <w:b/>
          <w:bCs/>
        </w:rPr>
        <w:t>s</w:t>
      </w:r>
      <w:r w:rsidR="003E63C0">
        <w:rPr>
          <w:rFonts w:cs="Arial"/>
        </w:rPr>
        <w:t xml:space="preserve">, MEP </w:t>
      </w:r>
      <w:r w:rsidRPr="00303934">
        <w:rPr>
          <w:rFonts w:cs="Arial"/>
        </w:rPr>
        <w:t>Region 2</w:t>
      </w:r>
      <w:r w:rsidR="003E63C0">
        <w:rPr>
          <w:rFonts w:cs="Arial"/>
        </w:rPr>
        <w:t>, Butte County Office of Education</w:t>
      </w:r>
      <w:r w:rsidRPr="00303934">
        <w:rPr>
          <w:rFonts w:cs="Arial"/>
        </w:rPr>
        <w:t xml:space="preserve"> </w:t>
      </w:r>
    </w:p>
    <w:p w14:paraId="77BC3179" w14:textId="6000230A" w:rsidR="00864519" w:rsidRDefault="00864519" w:rsidP="00864519">
      <w:pPr>
        <w:rPr>
          <w:rFonts w:cs="Arial"/>
          <w:b/>
          <w:bCs/>
        </w:rPr>
      </w:pPr>
      <w:r>
        <w:rPr>
          <w:rFonts w:cs="Arial"/>
          <w:b/>
          <w:bCs/>
        </w:rPr>
        <w:t>Frank Davila</w:t>
      </w:r>
      <w:r>
        <w:rPr>
          <w:rFonts w:cs="Arial"/>
        </w:rPr>
        <w:t xml:space="preserve">, MEP </w:t>
      </w:r>
      <w:r w:rsidRPr="00303934">
        <w:rPr>
          <w:rFonts w:cs="Arial"/>
        </w:rPr>
        <w:t xml:space="preserve">Region </w:t>
      </w:r>
      <w:r>
        <w:rPr>
          <w:rFonts w:cs="Arial"/>
        </w:rPr>
        <w:t>5</w:t>
      </w:r>
      <w:r w:rsidR="00096ECB">
        <w:rPr>
          <w:rFonts w:cs="Arial"/>
        </w:rPr>
        <w:t>,</w:t>
      </w:r>
      <w:r>
        <w:rPr>
          <w:rFonts w:cs="Arial"/>
        </w:rPr>
        <w:t xml:space="preserve"> Kern County Office of Education</w:t>
      </w:r>
      <w:r w:rsidRPr="00EC58A5">
        <w:rPr>
          <w:rFonts w:cs="Arial"/>
          <w:b/>
          <w:bCs/>
        </w:rPr>
        <w:t xml:space="preserve"> </w:t>
      </w:r>
    </w:p>
    <w:p w14:paraId="2FBB46C7" w14:textId="59157D5B" w:rsidR="00864519" w:rsidRDefault="00864519" w:rsidP="003E63C0">
      <w:pPr>
        <w:rPr>
          <w:rFonts w:cs="Arial"/>
          <w:b/>
          <w:bCs/>
        </w:rPr>
      </w:pPr>
      <w:r>
        <w:rPr>
          <w:rFonts w:cs="Arial"/>
          <w:b/>
          <w:bCs/>
        </w:rPr>
        <w:t>Cintia Flores</w:t>
      </w:r>
      <w:r>
        <w:rPr>
          <w:rFonts w:cs="Arial"/>
        </w:rPr>
        <w:t xml:space="preserve">, MEP </w:t>
      </w:r>
      <w:r w:rsidRPr="00303934">
        <w:rPr>
          <w:rFonts w:cs="Arial"/>
        </w:rPr>
        <w:t xml:space="preserve">Region </w:t>
      </w:r>
      <w:r>
        <w:rPr>
          <w:rFonts w:cs="Arial"/>
        </w:rPr>
        <w:t>3</w:t>
      </w:r>
      <w:r w:rsidR="00096ECB">
        <w:rPr>
          <w:rFonts w:cs="Arial"/>
        </w:rPr>
        <w:t>,</w:t>
      </w:r>
      <w:r>
        <w:rPr>
          <w:rFonts w:cs="Arial"/>
        </w:rPr>
        <w:t xml:space="preserve"> Merced County Office of Education</w:t>
      </w:r>
      <w:r w:rsidRPr="00303934">
        <w:rPr>
          <w:rFonts w:cs="Arial"/>
          <w:b/>
          <w:bCs/>
        </w:rPr>
        <w:t xml:space="preserve"> </w:t>
      </w:r>
    </w:p>
    <w:p w14:paraId="6E5A6A58" w14:textId="77777777" w:rsidR="00EA23C9" w:rsidRPr="006E039D" w:rsidRDefault="00EA23C9" w:rsidP="00EA23C9">
      <w:pPr>
        <w:rPr>
          <w:rFonts w:cs="Arial"/>
        </w:rPr>
      </w:pPr>
      <w:r w:rsidRPr="006E039D">
        <w:rPr>
          <w:rFonts w:cs="Arial"/>
          <w:b/>
          <w:bCs/>
        </w:rPr>
        <w:t>Gildardo Flores</w:t>
      </w:r>
      <w:r w:rsidRPr="006E039D">
        <w:rPr>
          <w:rFonts w:cs="Arial"/>
        </w:rPr>
        <w:t>, MEP DFD 19</w:t>
      </w:r>
      <w:r>
        <w:rPr>
          <w:rFonts w:cs="Arial"/>
        </w:rPr>
        <w:t>,</w:t>
      </w:r>
      <w:r w:rsidRPr="006E039D">
        <w:rPr>
          <w:rFonts w:cs="Arial"/>
        </w:rPr>
        <w:t xml:space="preserve"> Lost Hills Union School District</w:t>
      </w:r>
    </w:p>
    <w:p w14:paraId="172140DA" w14:textId="0043101D" w:rsidR="00864519" w:rsidRDefault="00864519" w:rsidP="00864519">
      <w:pPr>
        <w:rPr>
          <w:rFonts w:cs="Arial"/>
        </w:rPr>
      </w:pPr>
      <w:r>
        <w:rPr>
          <w:rFonts w:cs="Arial"/>
          <w:b/>
          <w:bCs/>
        </w:rPr>
        <w:t>Jose Flores</w:t>
      </w:r>
      <w:r>
        <w:rPr>
          <w:rFonts w:cs="Arial"/>
        </w:rPr>
        <w:t xml:space="preserve">, MEP </w:t>
      </w:r>
      <w:r w:rsidRPr="00303934">
        <w:rPr>
          <w:rFonts w:cs="Arial"/>
        </w:rPr>
        <w:t xml:space="preserve">Region </w:t>
      </w:r>
      <w:r>
        <w:rPr>
          <w:rFonts w:cs="Arial"/>
        </w:rPr>
        <w:t>16</w:t>
      </w:r>
      <w:r w:rsidR="00096ECB">
        <w:rPr>
          <w:rFonts w:cs="Arial"/>
        </w:rPr>
        <w:t>,</w:t>
      </w:r>
      <w:r>
        <w:rPr>
          <w:rFonts w:cs="Arial"/>
        </w:rPr>
        <w:t xml:space="preserve"> Monterey County Office of Education</w:t>
      </w:r>
    </w:p>
    <w:p w14:paraId="67CE1508" w14:textId="286D2970" w:rsidR="003E63C0" w:rsidRPr="000A3054" w:rsidRDefault="009F01F1" w:rsidP="003E63C0">
      <w:pPr>
        <w:rPr>
          <w:rFonts w:cs="Arial"/>
        </w:rPr>
      </w:pPr>
      <w:r w:rsidRPr="000A3054">
        <w:rPr>
          <w:rFonts w:cs="Arial"/>
          <w:b/>
          <w:bCs/>
        </w:rPr>
        <w:t>Marcelino</w:t>
      </w:r>
      <w:r w:rsidR="003E63C0" w:rsidRPr="000A3054">
        <w:rPr>
          <w:rFonts w:cs="Arial"/>
          <w:b/>
          <w:bCs/>
        </w:rPr>
        <w:t xml:space="preserve"> Franco</w:t>
      </w:r>
      <w:r w:rsidR="003E63C0" w:rsidRPr="000A3054">
        <w:rPr>
          <w:rFonts w:cs="Arial"/>
        </w:rPr>
        <w:t>, MEP Region 7</w:t>
      </w:r>
      <w:r w:rsidR="00096ECB" w:rsidRPr="000A3054">
        <w:rPr>
          <w:rFonts w:cs="Arial"/>
        </w:rPr>
        <w:t>,</w:t>
      </w:r>
      <w:r w:rsidR="003E63C0" w:rsidRPr="000A3054">
        <w:rPr>
          <w:rFonts w:cs="Arial"/>
        </w:rPr>
        <w:t xml:space="preserve"> Riverside County Office of Education</w:t>
      </w:r>
    </w:p>
    <w:p w14:paraId="077FBA81" w14:textId="5D4BA8D3" w:rsidR="00EC58A5" w:rsidRPr="000A3054" w:rsidRDefault="00EC58A5" w:rsidP="003E63C0">
      <w:pPr>
        <w:rPr>
          <w:rFonts w:cs="Arial"/>
        </w:rPr>
      </w:pPr>
      <w:r w:rsidRPr="000A3054">
        <w:rPr>
          <w:rFonts w:cs="Arial"/>
          <w:b/>
          <w:bCs/>
        </w:rPr>
        <w:t xml:space="preserve">Francisca Galindo, </w:t>
      </w:r>
      <w:r w:rsidRPr="000A3054">
        <w:rPr>
          <w:rFonts w:cs="Arial"/>
        </w:rPr>
        <w:t>MEP Region 1</w:t>
      </w:r>
      <w:r w:rsidR="00096ECB" w:rsidRPr="000A3054">
        <w:rPr>
          <w:rFonts w:cs="Arial"/>
        </w:rPr>
        <w:t>,</w:t>
      </w:r>
      <w:r w:rsidRPr="000A3054">
        <w:rPr>
          <w:rFonts w:cs="Arial"/>
        </w:rPr>
        <w:t xml:space="preserve"> Santa Clara County Office of Education</w:t>
      </w:r>
    </w:p>
    <w:p w14:paraId="711ECFFC" w14:textId="4479DB21" w:rsidR="00303934" w:rsidRPr="00303934" w:rsidRDefault="00303934" w:rsidP="003E63C0">
      <w:pPr>
        <w:rPr>
          <w:rFonts w:cs="Arial"/>
        </w:rPr>
      </w:pPr>
      <w:r w:rsidRPr="00303934">
        <w:rPr>
          <w:rFonts w:cs="Arial"/>
          <w:b/>
          <w:bCs/>
        </w:rPr>
        <w:t>Gabriela Gomez</w:t>
      </w:r>
      <w:r w:rsidRPr="00303934">
        <w:rPr>
          <w:rFonts w:cs="Arial"/>
        </w:rPr>
        <w:t>, MEP Region 9</w:t>
      </w:r>
      <w:r w:rsidR="00096ECB">
        <w:rPr>
          <w:rFonts w:cs="Arial"/>
        </w:rPr>
        <w:t>,</w:t>
      </w:r>
      <w:r w:rsidRPr="00303934">
        <w:rPr>
          <w:rFonts w:cs="Arial"/>
        </w:rPr>
        <w:t xml:space="preserve"> San Diego County Of</w:t>
      </w:r>
      <w:r>
        <w:rPr>
          <w:rFonts w:cs="Arial"/>
        </w:rPr>
        <w:t>fice of Education</w:t>
      </w:r>
    </w:p>
    <w:p w14:paraId="363D557C" w14:textId="5B373CA1" w:rsidR="003E63C0" w:rsidRPr="00303934" w:rsidRDefault="003E63C0" w:rsidP="003E63C0">
      <w:pPr>
        <w:rPr>
          <w:rFonts w:cs="Arial"/>
        </w:rPr>
      </w:pPr>
      <w:r w:rsidRPr="00303934">
        <w:rPr>
          <w:rFonts w:cs="Arial"/>
          <w:b/>
          <w:bCs/>
        </w:rPr>
        <w:t>Rafael Guillen</w:t>
      </w:r>
      <w:r>
        <w:rPr>
          <w:rFonts w:cs="Arial"/>
        </w:rPr>
        <w:t xml:space="preserve">, MEP </w:t>
      </w:r>
      <w:r w:rsidRPr="00303934">
        <w:rPr>
          <w:rFonts w:cs="Arial"/>
        </w:rPr>
        <w:t>Region 17</w:t>
      </w:r>
      <w:r w:rsidR="00096ECB">
        <w:rPr>
          <w:rFonts w:cs="Arial"/>
        </w:rPr>
        <w:t>,</w:t>
      </w:r>
      <w:r>
        <w:rPr>
          <w:rFonts w:cs="Arial"/>
        </w:rPr>
        <w:t xml:space="preserve"> Ventura County Office of Education </w:t>
      </w:r>
    </w:p>
    <w:p w14:paraId="4653DE44" w14:textId="01707513" w:rsidR="00303934" w:rsidRDefault="00303934" w:rsidP="003E63C0">
      <w:pPr>
        <w:rPr>
          <w:rFonts w:cs="Arial"/>
        </w:rPr>
      </w:pPr>
      <w:r w:rsidRPr="003E63C0">
        <w:rPr>
          <w:rFonts w:cs="Arial"/>
          <w:b/>
          <w:bCs/>
        </w:rPr>
        <w:t>Hugo Medez Rosales</w:t>
      </w:r>
      <w:r w:rsidRPr="00303934">
        <w:rPr>
          <w:rFonts w:cs="Arial"/>
        </w:rPr>
        <w:t>, MEP Region 8</w:t>
      </w:r>
      <w:r w:rsidR="00096ECB">
        <w:rPr>
          <w:rFonts w:cs="Arial"/>
        </w:rPr>
        <w:t>,</w:t>
      </w:r>
      <w:r w:rsidRPr="00303934">
        <w:rPr>
          <w:rFonts w:cs="Arial"/>
        </w:rPr>
        <w:t xml:space="preserve"> Tulare County</w:t>
      </w:r>
      <w:r>
        <w:rPr>
          <w:rFonts w:cs="Arial"/>
        </w:rPr>
        <w:t xml:space="preserve"> Office of Education</w:t>
      </w:r>
    </w:p>
    <w:p w14:paraId="2D0E67DF" w14:textId="4F63A8B0" w:rsidR="00864519" w:rsidRDefault="00864519" w:rsidP="00864519">
      <w:pPr>
        <w:rPr>
          <w:rFonts w:cs="Arial"/>
        </w:rPr>
      </w:pPr>
      <w:r>
        <w:rPr>
          <w:rFonts w:cs="Arial"/>
          <w:b/>
          <w:bCs/>
        </w:rPr>
        <w:t>Areli Mendoza</w:t>
      </w:r>
      <w:r>
        <w:rPr>
          <w:rFonts w:cs="Arial"/>
        </w:rPr>
        <w:t xml:space="preserve">, MEP </w:t>
      </w:r>
      <w:r w:rsidRPr="00303934">
        <w:rPr>
          <w:rFonts w:cs="Arial"/>
        </w:rPr>
        <w:t xml:space="preserve">Region </w:t>
      </w:r>
      <w:r>
        <w:rPr>
          <w:rFonts w:cs="Arial"/>
        </w:rPr>
        <w:t>10</w:t>
      </w:r>
      <w:r w:rsidR="00096ECB">
        <w:rPr>
          <w:rFonts w:cs="Arial"/>
        </w:rPr>
        <w:t>,</w:t>
      </w:r>
      <w:r>
        <w:rPr>
          <w:rFonts w:cs="Arial"/>
        </w:rPr>
        <w:t xml:space="preserve"> Los Angeles County Office of Education</w:t>
      </w:r>
    </w:p>
    <w:p w14:paraId="6F147EC7" w14:textId="7A21307C" w:rsidR="00864519" w:rsidRPr="00303934" w:rsidRDefault="00864519" w:rsidP="00864519">
      <w:pPr>
        <w:rPr>
          <w:rFonts w:cs="Arial"/>
        </w:rPr>
      </w:pPr>
      <w:r>
        <w:rPr>
          <w:rFonts w:cs="Arial"/>
          <w:b/>
          <w:bCs/>
        </w:rPr>
        <w:t>Javier Morales</w:t>
      </w:r>
      <w:r>
        <w:rPr>
          <w:rFonts w:cs="Arial"/>
        </w:rPr>
        <w:t xml:space="preserve">, MEP </w:t>
      </w:r>
      <w:r w:rsidRPr="00303934">
        <w:rPr>
          <w:rFonts w:cs="Arial"/>
        </w:rPr>
        <w:t xml:space="preserve">Region </w:t>
      </w:r>
      <w:r>
        <w:rPr>
          <w:rFonts w:cs="Arial"/>
        </w:rPr>
        <w:t>14</w:t>
      </w:r>
      <w:r w:rsidR="00096ECB">
        <w:rPr>
          <w:rFonts w:cs="Arial"/>
        </w:rPr>
        <w:t>,</w:t>
      </w:r>
      <w:r>
        <w:rPr>
          <w:rFonts w:cs="Arial"/>
        </w:rPr>
        <w:t xml:space="preserve"> Delano Unified School District</w:t>
      </w:r>
      <w:r w:rsidRPr="00303934">
        <w:rPr>
          <w:rFonts w:cs="Arial"/>
        </w:rPr>
        <w:t xml:space="preserve"> </w:t>
      </w:r>
    </w:p>
    <w:p w14:paraId="716952E5" w14:textId="3CFADF7D" w:rsidR="00864519" w:rsidRPr="000A3054" w:rsidRDefault="00864519" w:rsidP="00EC58A5">
      <w:pPr>
        <w:rPr>
          <w:rFonts w:cs="Arial"/>
          <w:b/>
          <w:bCs/>
        </w:rPr>
      </w:pPr>
      <w:r w:rsidRPr="000A3054">
        <w:rPr>
          <w:rFonts w:cs="Arial"/>
          <w:b/>
          <w:bCs/>
        </w:rPr>
        <w:t>Bertha Sierra</w:t>
      </w:r>
      <w:r w:rsidRPr="000A3054">
        <w:rPr>
          <w:rFonts w:cs="Arial"/>
        </w:rPr>
        <w:t>, MEP Region 23</w:t>
      </w:r>
      <w:r w:rsidR="00096ECB" w:rsidRPr="000A3054">
        <w:rPr>
          <w:rFonts w:cs="Arial"/>
        </w:rPr>
        <w:t>,</w:t>
      </w:r>
      <w:r w:rsidRPr="000A3054">
        <w:rPr>
          <w:rFonts w:cs="Arial"/>
        </w:rPr>
        <w:t xml:space="preserve"> San Joaquin County Office of Education</w:t>
      </w:r>
      <w:r w:rsidRPr="000A3054">
        <w:rPr>
          <w:rFonts w:cs="Arial"/>
          <w:b/>
          <w:bCs/>
        </w:rPr>
        <w:t xml:space="preserve"> </w:t>
      </w:r>
    </w:p>
    <w:p w14:paraId="1B5A7ECF" w14:textId="2AB95769" w:rsidR="00EC58A5" w:rsidRPr="006E039D" w:rsidRDefault="003E63C0" w:rsidP="00EC58A5">
      <w:pPr>
        <w:rPr>
          <w:rFonts w:cs="Arial"/>
        </w:rPr>
      </w:pPr>
      <w:r w:rsidRPr="006E039D">
        <w:rPr>
          <w:rFonts w:cs="Arial"/>
          <w:b/>
          <w:bCs/>
        </w:rPr>
        <w:t>Isaura Varela</w:t>
      </w:r>
      <w:r w:rsidRPr="006E039D">
        <w:rPr>
          <w:rFonts w:cs="Arial"/>
        </w:rPr>
        <w:t>, MEP Region 4</w:t>
      </w:r>
      <w:r w:rsidR="00096ECB">
        <w:rPr>
          <w:rFonts w:cs="Arial"/>
        </w:rPr>
        <w:t>,</w:t>
      </w:r>
      <w:r w:rsidRPr="006E039D">
        <w:rPr>
          <w:rFonts w:cs="Arial"/>
        </w:rPr>
        <w:t xml:space="preserve"> F</w:t>
      </w:r>
      <w:r w:rsidR="00864519" w:rsidRPr="006E039D">
        <w:rPr>
          <w:rFonts w:cs="Arial"/>
        </w:rPr>
        <w:t>CSS</w:t>
      </w:r>
      <w:r w:rsidRPr="006E039D">
        <w:rPr>
          <w:rFonts w:cs="Arial"/>
        </w:rPr>
        <w:t xml:space="preserve"> </w:t>
      </w:r>
    </w:p>
    <w:p w14:paraId="2B40C63F" w14:textId="43C075C2" w:rsidR="007B711B" w:rsidRPr="002A03D7" w:rsidRDefault="009F01F1" w:rsidP="00EC58A5">
      <w:pPr>
        <w:rPr>
          <w:rFonts w:cs="Arial"/>
        </w:rPr>
      </w:pPr>
      <w:r w:rsidRPr="002A03D7">
        <w:rPr>
          <w:rFonts w:cs="Arial"/>
          <w:b/>
          <w:bCs/>
        </w:rPr>
        <w:t xml:space="preserve">Jacinta </w:t>
      </w:r>
      <w:r w:rsidR="006E039D" w:rsidRPr="002A03D7">
        <w:rPr>
          <w:rFonts w:cs="Arial"/>
          <w:b/>
          <w:bCs/>
        </w:rPr>
        <w:t>Velasco</w:t>
      </w:r>
      <w:r w:rsidR="007B711B" w:rsidRPr="002A03D7">
        <w:rPr>
          <w:rFonts w:cs="Arial"/>
        </w:rPr>
        <w:t>, MEP DFD 22</w:t>
      </w:r>
      <w:r w:rsidR="00096ECB" w:rsidRPr="002A03D7">
        <w:rPr>
          <w:rFonts w:cs="Arial"/>
        </w:rPr>
        <w:t>,</w:t>
      </w:r>
      <w:r w:rsidRPr="002A03D7">
        <w:rPr>
          <w:rFonts w:cs="Arial"/>
        </w:rPr>
        <w:t xml:space="preserve"> Santa Maria-Bonita School District</w:t>
      </w:r>
    </w:p>
    <w:p w14:paraId="222D4E5B" w14:textId="53B200D4" w:rsidR="00731A21" w:rsidRPr="00303934" w:rsidRDefault="00864519" w:rsidP="00864519">
      <w:pPr>
        <w:spacing w:after="240"/>
        <w:rPr>
          <w:rFonts w:cs="Arial"/>
        </w:rPr>
      </w:pPr>
      <w:r w:rsidRPr="003E63C0">
        <w:rPr>
          <w:rFonts w:cs="Arial"/>
          <w:b/>
          <w:bCs/>
        </w:rPr>
        <w:t>Lus Enriquez</w:t>
      </w:r>
      <w:r>
        <w:rPr>
          <w:rFonts w:cs="Arial"/>
          <w:b/>
          <w:bCs/>
        </w:rPr>
        <w:t xml:space="preserve"> Villalva</w:t>
      </w:r>
      <w:r w:rsidRPr="003E63C0">
        <w:rPr>
          <w:rFonts w:cs="Arial"/>
          <w:b/>
          <w:bCs/>
        </w:rPr>
        <w:t>,</w:t>
      </w:r>
      <w:r w:rsidRPr="003E63C0">
        <w:rPr>
          <w:rFonts w:cs="Arial"/>
        </w:rPr>
        <w:t xml:space="preserve"> MEP Region 18, San Luis Obispo County Office of</w:t>
      </w:r>
      <w:r>
        <w:rPr>
          <w:rFonts w:cs="Arial"/>
        </w:rPr>
        <w:t xml:space="preserve"> Education</w:t>
      </w:r>
      <w:r>
        <w:rPr>
          <w:rFonts w:cs="Arial"/>
          <w:b/>
          <w:bCs/>
        </w:rPr>
        <w:t xml:space="preserve"> </w:t>
      </w:r>
    </w:p>
    <w:bookmarkEnd w:id="6"/>
    <w:p w14:paraId="0454B680" w14:textId="46A14192" w:rsidR="00394F2C" w:rsidRPr="002F0E3F" w:rsidRDefault="00181049" w:rsidP="00240785">
      <w:pPr>
        <w:spacing w:after="240"/>
        <w:rPr>
          <w:rFonts w:cs="Arial"/>
        </w:rPr>
      </w:pPr>
      <w:r>
        <w:rPr>
          <w:rFonts w:cs="Arial"/>
        </w:rPr>
        <w:t>The CDE also</w:t>
      </w:r>
      <w:r w:rsidR="00303934">
        <w:rPr>
          <w:rFonts w:cs="Arial"/>
        </w:rPr>
        <w:t xml:space="preserve"> </w:t>
      </w:r>
      <w:r w:rsidR="00864519">
        <w:rPr>
          <w:rFonts w:cs="Arial"/>
        </w:rPr>
        <w:t>extended</w:t>
      </w:r>
      <w:r>
        <w:rPr>
          <w:rFonts w:cs="Arial"/>
        </w:rPr>
        <w:t xml:space="preserve"> our gratitude</w:t>
      </w:r>
      <w:r w:rsidR="00240785">
        <w:rPr>
          <w:rFonts w:cs="Arial"/>
        </w:rPr>
        <w:t xml:space="preserve"> to the CNA SDP</w:t>
      </w:r>
      <w:r w:rsidR="00D823FE" w:rsidRPr="002F0E3F">
        <w:rPr>
          <w:rFonts w:cs="Arial"/>
        </w:rPr>
        <w:t xml:space="preserve"> facilitation</w:t>
      </w:r>
      <w:r w:rsidR="00240785">
        <w:rPr>
          <w:rFonts w:cs="Arial"/>
        </w:rPr>
        <w:t xml:space="preserve"> team </w:t>
      </w:r>
      <w:r w:rsidR="009A6377">
        <w:rPr>
          <w:rFonts w:cs="Arial"/>
        </w:rPr>
        <w:t>for guiding the subcommittees through t</w:t>
      </w:r>
      <w:r w:rsidR="008A0DF9">
        <w:rPr>
          <w:rFonts w:cs="Arial"/>
        </w:rPr>
        <w:t>he CNA development</w:t>
      </w:r>
      <w:r w:rsidR="009A6377">
        <w:rPr>
          <w:rFonts w:cs="Arial"/>
        </w:rPr>
        <w:t xml:space="preserve"> process</w:t>
      </w:r>
      <w:r w:rsidR="00CC23E0" w:rsidRPr="002F0E3F">
        <w:rPr>
          <w:rFonts w:cs="Arial"/>
        </w:rPr>
        <w:t>:</w:t>
      </w:r>
    </w:p>
    <w:p w14:paraId="06C29730" w14:textId="77777777" w:rsidR="00997BB4" w:rsidRDefault="00997BB4" w:rsidP="00997BB4">
      <w:pPr>
        <w:rPr>
          <w:rFonts w:cs="Arial"/>
        </w:rPr>
      </w:pPr>
      <w:r>
        <w:rPr>
          <w:rFonts w:cs="Arial"/>
          <w:b/>
        </w:rPr>
        <w:t>Juli Auld</w:t>
      </w:r>
      <w:r w:rsidRPr="002F0E3F">
        <w:rPr>
          <w:rFonts w:cs="Arial"/>
          <w:b/>
        </w:rPr>
        <w:t>,</w:t>
      </w:r>
      <w:r w:rsidRPr="002F0E3F">
        <w:rPr>
          <w:rFonts w:cs="Arial"/>
        </w:rPr>
        <w:t xml:space="preserve"> </w:t>
      </w:r>
      <w:r>
        <w:rPr>
          <w:rFonts w:cs="Arial"/>
        </w:rPr>
        <w:t>Administrator</w:t>
      </w:r>
      <w:r w:rsidRPr="002F0E3F">
        <w:rPr>
          <w:rFonts w:cs="Arial"/>
        </w:rPr>
        <w:t>, MEO, CDE</w:t>
      </w:r>
    </w:p>
    <w:p w14:paraId="722EB2CC" w14:textId="000A0445" w:rsidR="00997BB4" w:rsidRPr="00A21E22" w:rsidRDefault="00997BB4" w:rsidP="00997BB4">
      <w:pPr>
        <w:rPr>
          <w:rFonts w:cs="Arial"/>
        </w:rPr>
      </w:pPr>
      <w:r w:rsidRPr="002F0E3F">
        <w:rPr>
          <w:rFonts w:eastAsia="Times New Roman" w:cs="Arial"/>
          <w:b/>
          <w:color w:val="000000"/>
        </w:rPr>
        <w:t>Debra Benitez,</w:t>
      </w:r>
      <w:r w:rsidRPr="002F0E3F">
        <w:rPr>
          <w:rFonts w:eastAsia="Times New Roman" w:cs="Arial"/>
          <w:color w:val="000000"/>
        </w:rPr>
        <w:t xml:space="preserve"> </w:t>
      </w:r>
      <w:r w:rsidR="000F3746">
        <w:rPr>
          <w:rFonts w:eastAsia="Times New Roman" w:cs="Arial"/>
          <w:color w:val="000000"/>
        </w:rPr>
        <w:t xml:space="preserve">Research </w:t>
      </w:r>
      <w:r w:rsidRPr="002F0E3F">
        <w:rPr>
          <w:rFonts w:eastAsia="Times New Roman" w:cs="Arial"/>
          <w:color w:val="000000"/>
        </w:rPr>
        <w:t>Director</w:t>
      </w:r>
      <w:r>
        <w:rPr>
          <w:rFonts w:eastAsia="Times New Roman" w:cs="Arial"/>
          <w:color w:val="000000"/>
        </w:rPr>
        <w:t>,</w:t>
      </w:r>
      <w:r w:rsidRPr="002F0E3F">
        <w:rPr>
          <w:rFonts w:eastAsia="Times New Roman" w:cs="Arial"/>
          <w:color w:val="000000"/>
        </w:rPr>
        <w:t xml:space="preserve"> WestEd</w:t>
      </w:r>
    </w:p>
    <w:p w14:paraId="7049530D" w14:textId="77777777" w:rsidR="00997BB4" w:rsidRPr="002F0E3F" w:rsidRDefault="00997BB4" w:rsidP="00997BB4">
      <w:pPr>
        <w:rPr>
          <w:rFonts w:cs="Arial"/>
        </w:rPr>
      </w:pPr>
      <w:r w:rsidRPr="002F0E3F">
        <w:rPr>
          <w:rFonts w:cs="Arial"/>
          <w:b/>
          <w:bCs/>
        </w:rPr>
        <w:t>Edith Gurrola,</w:t>
      </w:r>
      <w:r w:rsidRPr="002F0E3F">
        <w:rPr>
          <w:rFonts w:cs="Arial"/>
        </w:rPr>
        <w:t xml:space="preserve"> Research Associate, WestEd</w:t>
      </w:r>
    </w:p>
    <w:p w14:paraId="6B92510D" w14:textId="754BCCA1" w:rsidR="00CC23E0" w:rsidRDefault="002F0E3F" w:rsidP="006E2205">
      <w:pPr>
        <w:rPr>
          <w:rFonts w:cs="Arial"/>
        </w:rPr>
      </w:pPr>
      <w:r>
        <w:rPr>
          <w:rFonts w:cs="Arial"/>
          <w:b/>
        </w:rPr>
        <w:t>Melissa Mallory</w:t>
      </w:r>
      <w:r w:rsidR="00CC23E0" w:rsidRPr="002F0E3F">
        <w:rPr>
          <w:rFonts w:cs="Arial"/>
          <w:b/>
        </w:rPr>
        <w:t>,</w:t>
      </w:r>
      <w:r w:rsidR="00CC23E0" w:rsidRPr="002F0E3F">
        <w:rPr>
          <w:rFonts w:cs="Arial"/>
        </w:rPr>
        <w:t xml:space="preserve"> </w:t>
      </w:r>
      <w:r w:rsidR="00A21E22">
        <w:rPr>
          <w:rFonts w:cs="Arial"/>
        </w:rPr>
        <w:t xml:space="preserve">Education </w:t>
      </w:r>
      <w:r w:rsidR="00CC23E0" w:rsidRPr="002F0E3F">
        <w:rPr>
          <w:rFonts w:cs="Arial"/>
        </w:rPr>
        <w:t xml:space="preserve">Programs Consultant, </w:t>
      </w:r>
      <w:r w:rsidR="008E66B3" w:rsidRPr="002F0E3F">
        <w:rPr>
          <w:rFonts w:cs="Arial"/>
        </w:rPr>
        <w:t>MEO, CDE</w:t>
      </w:r>
    </w:p>
    <w:p w14:paraId="19B4514C" w14:textId="7C2DDA8E" w:rsidR="00A21E22" w:rsidRPr="002F0E3F" w:rsidRDefault="00A21E22" w:rsidP="006E2205">
      <w:pPr>
        <w:rPr>
          <w:rFonts w:cs="Arial"/>
        </w:rPr>
      </w:pPr>
      <w:r w:rsidRPr="00997BB4">
        <w:rPr>
          <w:rFonts w:cs="Arial"/>
          <w:b/>
          <w:bCs/>
        </w:rPr>
        <w:t>Monica Nepomuceno</w:t>
      </w:r>
      <w:r>
        <w:rPr>
          <w:rFonts w:cs="Arial"/>
        </w:rPr>
        <w:t>, Education Programs Consultant, MEO, CDE</w:t>
      </w:r>
    </w:p>
    <w:p w14:paraId="06DED7B9" w14:textId="77777777" w:rsidR="00997BB4" w:rsidRDefault="00997BB4" w:rsidP="00997BB4">
      <w:pPr>
        <w:rPr>
          <w:rFonts w:cs="Arial"/>
        </w:rPr>
      </w:pPr>
      <w:r w:rsidRPr="002F0E3F">
        <w:rPr>
          <w:rFonts w:cs="Arial"/>
          <w:b/>
          <w:bCs/>
        </w:rPr>
        <w:t>Zujaila Ornelas,</w:t>
      </w:r>
      <w:r w:rsidRPr="002F0E3F">
        <w:rPr>
          <w:rFonts w:cs="Arial"/>
        </w:rPr>
        <w:t xml:space="preserve"> Program Manager, WestEd</w:t>
      </w:r>
    </w:p>
    <w:p w14:paraId="2072C9A8" w14:textId="77777777" w:rsidR="00997BB4" w:rsidRPr="00A21E22" w:rsidRDefault="00997BB4" w:rsidP="00997BB4">
      <w:pPr>
        <w:rPr>
          <w:rFonts w:cs="Arial"/>
          <w:bCs/>
        </w:rPr>
      </w:pPr>
      <w:r>
        <w:rPr>
          <w:rFonts w:cs="Arial"/>
          <w:b/>
        </w:rPr>
        <w:t xml:space="preserve">Jennifer Quezada, </w:t>
      </w:r>
      <w:r w:rsidRPr="00A21E22">
        <w:rPr>
          <w:rFonts w:cs="Arial"/>
          <w:bCs/>
        </w:rPr>
        <w:t>Education Programs Assistant, MEO, CDE</w:t>
      </w:r>
    </w:p>
    <w:p w14:paraId="1F9F4BCA" w14:textId="0D4C6054" w:rsidR="00A21E22" w:rsidRPr="002F0E3F" w:rsidRDefault="00A21E22" w:rsidP="00A21E22">
      <w:pPr>
        <w:rPr>
          <w:rFonts w:cs="Arial"/>
        </w:rPr>
      </w:pPr>
      <w:r w:rsidRPr="002F0E3F">
        <w:rPr>
          <w:rFonts w:cs="Arial"/>
          <w:b/>
        </w:rPr>
        <w:t>Lisa Severino,</w:t>
      </w:r>
      <w:r w:rsidR="000F3746">
        <w:rPr>
          <w:rFonts w:cs="Arial"/>
          <w:b/>
        </w:rPr>
        <w:t xml:space="preserve"> </w:t>
      </w:r>
      <w:r w:rsidR="000F3746" w:rsidRPr="000A3054">
        <w:rPr>
          <w:rFonts w:cs="Arial"/>
          <w:bCs/>
        </w:rPr>
        <w:t>Program</w:t>
      </w:r>
      <w:r w:rsidRPr="002F0E3F">
        <w:rPr>
          <w:rFonts w:cs="Arial"/>
        </w:rPr>
        <w:t xml:space="preserve"> </w:t>
      </w:r>
      <w:r>
        <w:rPr>
          <w:rFonts w:cs="Arial"/>
        </w:rPr>
        <w:t>Manager</w:t>
      </w:r>
      <w:r w:rsidRPr="002F0E3F">
        <w:rPr>
          <w:rFonts w:cs="Arial"/>
        </w:rPr>
        <w:t>, WestEd</w:t>
      </w:r>
    </w:p>
    <w:p w14:paraId="5E584261" w14:textId="77777777" w:rsidR="00997BB4" w:rsidRPr="002F0E3F" w:rsidRDefault="00997BB4" w:rsidP="00997BB4">
      <w:pPr>
        <w:rPr>
          <w:rFonts w:cs="Arial"/>
        </w:rPr>
      </w:pPr>
      <w:r>
        <w:rPr>
          <w:rFonts w:cs="Arial"/>
          <w:b/>
        </w:rPr>
        <w:t>Emily Smith</w:t>
      </w:r>
      <w:r w:rsidRPr="002F0E3F">
        <w:rPr>
          <w:rFonts w:cs="Arial"/>
          <w:b/>
        </w:rPr>
        <w:t>,</w:t>
      </w:r>
      <w:r w:rsidRPr="002F0E3F">
        <w:rPr>
          <w:rFonts w:cs="Arial"/>
        </w:rPr>
        <w:t xml:space="preserve"> Education Programs Consultant, MEO, CDE</w:t>
      </w:r>
    </w:p>
    <w:p w14:paraId="5FAC9ACF" w14:textId="77777777" w:rsidR="00997BB4" w:rsidRPr="002F0E3F" w:rsidRDefault="00997BB4" w:rsidP="00997BB4">
      <w:pPr>
        <w:spacing w:after="240"/>
        <w:rPr>
          <w:rFonts w:cs="Arial"/>
        </w:rPr>
      </w:pPr>
      <w:r>
        <w:rPr>
          <w:rFonts w:cs="Arial"/>
          <w:b/>
        </w:rPr>
        <w:t>Loan Tran</w:t>
      </w:r>
      <w:r w:rsidRPr="002F0E3F">
        <w:rPr>
          <w:rFonts w:cs="Arial"/>
          <w:b/>
        </w:rPr>
        <w:t>,</w:t>
      </w:r>
      <w:r w:rsidRPr="002F0E3F">
        <w:rPr>
          <w:rFonts w:cs="Arial"/>
        </w:rPr>
        <w:t xml:space="preserve"> Education </w:t>
      </w:r>
      <w:r>
        <w:rPr>
          <w:rFonts w:cs="Arial"/>
        </w:rPr>
        <w:t>Research and Evaluation</w:t>
      </w:r>
      <w:r w:rsidRPr="002F0E3F">
        <w:rPr>
          <w:rFonts w:cs="Arial"/>
        </w:rPr>
        <w:t xml:space="preserve"> Consultant, MEO, CDE</w:t>
      </w:r>
    </w:p>
    <w:p w14:paraId="47B4CAB2" w14:textId="044822FB" w:rsidR="00EC58A5" w:rsidRPr="002F0E3F" w:rsidRDefault="006A6367" w:rsidP="00EC58A5">
      <w:pPr>
        <w:pStyle w:val="BodyText2"/>
        <w:spacing w:after="240"/>
        <w:rPr>
          <w:rFonts w:cs="Arial"/>
          <w:sz w:val="24"/>
          <w:szCs w:val="24"/>
        </w:rPr>
      </w:pPr>
      <w:r>
        <w:rPr>
          <w:rFonts w:cs="Arial"/>
          <w:sz w:val="24"/>
          <w:szCs w:val="24"/>
        </w:rPr>
        <w:t xml:space="preserve">With guidance and direction for the project provided by the CDE, </w:t>
      </w:r>
      <w:r w:rsidR="00EC58A5" w:rsidRPr="002F0E3F">
        <w:rPr>
          <w:rFonts w:cs="Arial"/>
          <w:sz w:val="24"/>
          <w:szCs w:val="24"/>
        </w:rPr>
        <w:t xml:space="preserve">WestEd </w:t>
      </w:r>
      <w:r>
        <w:rPr>
          <w:rFonts w:cs="Arial"/>
          <w:sz w:val="24"/>
          <w:szCs w:val="24"/>
        </w:rPr>
        <w:t>developed</w:t>
      </w:r>
      <w:r w:rsidR="00EC58A5">
        <w:rPr>
          <w:rFonts w:cs="Arial"/>
          <w:sz w:val="24"/>
          <w:szCs w:val="24"/>
        </w:rPr>
        <w:t xml:space="preserve"> California’s Migratory Student Profile, the</w:t>
      </w:r>
      <w:r w:rsidR="00731A21">
        <w:rPr>
          <w:rFonts w:cs="Arial"/>
          <w:sz w:val="24"/>
          <w:szCs w:val="24"/>
        </w:rPr>
        <w:t xml:space="preserve"> CNA SDP</w:t>
      </w:r>
      <w:r w:rsidR="00EC58A5">
        <w:rPr>
          <w:rFonts w:cs="Arial"/>
          <w:sz w:val="24"/>
          <w:szCs w:val="24"/>
        </w:rPr>
        <w:t xml:space="preserve"> Committee’s primary source for student achievement and programmatic data</w:t>
      </w:r>
      <w:r w:rsidR="008A0DF9">
        <w:rPr>
          <w:rFonts w:cs="Arial"/>
          <w:sz w:val="24"/>
          <w:szCs w:val="24"/>
        </w:rPr>
        <w:t>, and best practices guides</w:t>
      </w:r>
      <w:r w:rsidR="00EC58A5" w:rsidRPr="002F0E3F">
        <w:rPr>
          <w:rFonts w:cs="Arial"/>
          <w:sz w:val="24"/>
          <w:szCs w:val="24"/>
        </w:rPr>
        <w:t xml:space="preserve">. </w:t>
      </w:r>
      <w:r w:rsidR="008A0DF9">
        <w:rPr>
          <w:rFonts w:cs="Arial"/>
          <w:sz w:val="24"/>
          <w:szCs w:val="24"/>
        </w:rPr>
        <w:t xml:space="preserve">The </w:t>
      </w:r>
      <w:r w:rsidR="00EC58A5" w:rsidRPr="002F0E3F">
        <w:rPr>
          <w:rFonts w:cs="Arial"/>
          <w:sz w:val="24"/>
          <w:szCs w:val="24"/>
        </w:rPr>
        <w:t>C</w:t>
      </w:r>
      <w:r w:rsidR="008A0DF9">
        <w:rPr>
          <w:rFonts w:cs="Arial"/>
          <w:sz w:val="24"/>
          <w:szCs w:val="24"/>
        </w:rPr>
        <w:t>DE appreciates the support provided by our WestEd c</w:t>
      </w:r>
      <w:r w:rsidR="00EC58A5" w:rsidRPr="002F0E3F">
        <w:rPr>
          <w:rFonts w:cs="Arial"/>
          <w:sz w:val="24"/>
          <w:szCs w:val="24"/>
        </w:rPr>
        <w:t>olleagues:</w:t>
      </w:r>
    </w:p>
    <w:p w14:paraId="7DD0F6D0" w14:textId="1744E372" w:rsidR="00EC58A5" w:rsidRPr="002F0E3F" w:rsidRDefault="00EC58A5" w:rsidP="00EC58A5">
      <w:pPr>
        <w:rPr>
          <w:rFonts w:eastAsia="Times New Roman" w:cs="Arial"/>
          <w:color w:val="000000"/>
        </w:rPr>
      </w:pPr>
      <w:r w:rsidRPr="002F0E3F">
        <w:rPr>
          <w:rFonts w:eastAsia="Times New Roman" w:cs="Arial"/>
          <w:b/>
          <w:color w:val="000000"/>
        </w:rPr>
        <w:t>Debra Benitez,</w:t>
      </w:r>
      <w:r w:rsidRPr="002F0E3F">
        <w:rPr>
          <w:rFonts w:eastAsia="Times New Roman" w:cs="Arial"/>
          <w:color w:val="000000"/>
        </w:rPr>
        <w:t xml:space="preserve"> </w:t>
      </w:r>
      <w:r w:rsidR="008A0DF9">
        <w:rPr>
          <w:rFonts w:eastAsia="Times New Roman" w:cs="Arial"/>
          <w:color w:val="000000"/>
        </w:rPr>
        <w:t xml:space="preserve">Research </w:t>
      </w:r>
      <w:r w:rsidRPr="002F0E3F">
        <w:rPr>
          <w:rFonts w:eastAsia="Times New Roman" w:cs="Arial"/>
          <w:color w:val="000000"/>
        </w:rPr>
        <w:t>Director</w:t>
      </w:r>
      <w:r>
        <w:rPr>
          <w:rFonts w:eastAsia="Times New Roman" w:cs="Arial"/>
          <w:color w:val="000000"/>
        </w:rPr>
        <w:t>,</w:t>
      </w:r>
      <w:r w:rsidRPr="002F0E3F">
        <w:rPr>
          <w:rFonts w:eastAsia="Times New Roman" w:cs="Arial"/>
          <w:color w:val="000000"/>
        </w:rPr>
        <w:t xml:space="preserve"> WestEd</w:t>
      </w:r>
    </w:p>
    <w:p w14:paraId="549975D5" w14:textId="77777777" w:rsidR="00EC58A5" w:rsidRDefault="00EC58A5" w:rsidP="00EC58A5">
      <w:pPr>
        <w:rPr>
          <w:rFonts w:cs="Arial"/>
        </w:rPr>
      </w:pPr>
      <w:r>
        <w:rPr>
          <w:rFonts w:cs="Arial"/>
          <w:b/>
          <w:bCs/>
        </w:rPr>
        <w:t>Jocelyn Cardona</w:t>
      </w:r>
      <w:r w:rsidRPr="002F0E3F">
        <w:rPr>
          <w:rFonts w:cs="Arial"/>
          <w:b/>
          <w:bCs/>
        </w:rPr>
        <w:t>,</w:t>
      </w:r>
      <w:r w:rsidRPr="002F0E3F">
        <w:rPr>
          <w:rFonts w:cs="Arial"/>
        </w:rPr>
        <w:t xml:space="preserve"> </w:t>
      </w:r>
      <w:r>
        <w:rPr>
          <w:rFonts w:cs="Arial"/>
        </w:rPr>
        <w:t>Research Associate</w:t>
      </w:r>
      <w:r w:rsidRPr="002F0E3F">
        <w:rPr>
          <w:rFonts w:cs="Arial"/>
        </w:rPr>
        <w:t>, WestEd</w:t>
      </w:r>
    </w:p>
    <w:p w14:paraId="7E83574C" w14:textId="77777777" w:rsidR="008A0DF9" w:rsidRPr="00F046C3" w:rsidRDefault="008A0DF9" w:rsidP="00EC58A5">
      <w:pPr>
        <w:rPr>
          <w:rFonts w:cs="Arial"/>
        </w:rPr>
      </w:pPr>
      <w:r w:rsidRPr="008A0DF9">
        <w:rPr>
          <w:rFonts w:cs="Arial"/>
          <w:b/>
          <w:bCs/>
        </w:rPr>
        <w:t xml:space="preserve">Haiwen Chu, </w:t>
      </w:r>
      <w:r w:rsidRPr="00F046C3">
        <w:rPr>
          <w:rFonts w:cs="Arial"/>
        </w:rPr>
        <w:t>Research Director</w:t>
      </w:r>
    </w:p>
    <w:p w14:paraId="5174F7C2" w14:textId="77777777" w:rsidR="008A0DF9" w:rsidRDefault="008A0DF9" w:rsidP="00EC58A5">
      <w:pPr>
        <w:rPr>
          <w:rFonts w:cs="Arial"/>
          <w:b/>
          <w:bCs/>
        </w:rPr>
      </w:pPr>
      <w:r w:rsidRPr="008A0DF9">
        <w:rPr>
          <w:rFonts w:cs="Arial"/>
          <w:b/>
          <w:bCs/>
        </w:rPr>
        <w:t xml:space="preserve">Monique Evans, </w:t>
      </w:r>
      <w:r w:rsidRPr="00F046C3">
        <w:rPr>
          <w:rFonts w:cs="Arial"/>
        </w:rPr>
        <w:t xml:space="preserve">Program Associate </w:t>
      </w:r>
    </w:p>
    <w:p w14:paraId="1E4A585A" w14:textId="5D925287" w:rsidR="00EC58A5" w:rsidRPr="002F0E3F" w:rsidRDefault="00EC58A5" w:rsidP="00EC58A5">
      <w:pPr>
        <w:rPr>
          <w:rFonts w:cs="Arial"/>
        </w:rPr>
      </w:pPr>
      <w:r w:rsidRPr="002F0E3F">
        <w:rPr>
          <w:rFonts w:cs="Arial"/>
          <w:b/>
          <w:bCs/>
        </w:rPr>
        <w:t>Edith Gurrola,</w:t>
      </w:r>
      <w:r w:rsidRPr="002F0E3F">
        <w:rPr>
          <w:rFonts w:cs="Arial"/>
        </w:rPr>
        <w:t xml:space="preserve"> Research Associate, WestEd</w:t>
      </w:r>
    </w:p>
    <w:p w14:paraId="252C44B8" w14:textId="77777777" w:rsidR="00EC58A5" w:rsidRPr="002F0E3F" w:rsidRDefault="00EC58A5" w:rsidP="00EC58A5">
      <w:pPr>
        <w:rPr>
          <w:rStyle w:val="u-smo-texttruncate"/>
          <w:rFonts w:eastAsia="Times New Roman" w:cs="Arial"/>
          <w:color w:val="000000"/>
        </w:rPr>
      </w:pPr>
      <w:r w:rsidRPr="002F0E3F">
        <w:rPr>
          <w:rFonts w:eastAsia="Times New Roman" w:cs="Arial"/>
          <w:b/>
          <w:color w:val="000000"/>
        </w:rPr>
        <w:t>Meena Kaur,</w:t>
      </w:r>
      <w:r w:rsidRPr="002F0E3F">
        <w:rPr>
          <w:rFonts w:eastAsia="Times New Roman" w:cs="Arial"/>
          <w:color w:val="000000"/>
        </w:rPr>
        <w:t xml:space="preserve"> </w:t>
      </w:r>
      <w:r w:rsidRPr="002F0E3F">
        <w:rPr>
          <w:rStyle w:val="u-smo-texttruncate"/>
          <w:rFonts w:eastAsia="Times New Roman" w:cs="Arial"/>
          <w:color w:val="000000"/>
        </w:rPr>
        <w:t>Data Analyst, WestEd</w:t>
      </w:r>
    </w:p>
    <w:p w14:paraId="18CBB4BF" w14:textId="368376DC" w:rsidR="008A0DF9" w:rsidRDefault="008A0DF9" w:rsidP="00EC58A5">
      <w:pPr>
        <w:rPr>
          <w:rFonts w:cs="Arial"/>
          <w:b/>
        </w:rPr>
      </w:pPr>
      <w:r w:rsidRPr="008A0DF9">
        <w:rPr>
          <w:rFonts w:cs="Arial"/>
          <w:b/>
        </w:rPr>
        <w:lastRenderedPageBreak/>
        <w:t>Melanie Packham,</w:t>
      </w:r>
      <w:r w:rsidR="003D1ADA">
        <w:rPr>
          <w:rFonts w:cs="Arial"/>
          <w:bCs/>
        </w:rPr>
        <w:t xml:space="preserve"> </w:t>
      </w:r>
      <w:r w:rsidRPr="003D1ADA">
        <w:rPr>
          <w:rFonts w:cs="Arial"/>
          <w:bCs/>
        </w:rPr>
        <w:t>Program Manager</w:t>
      </w:r>
    </w:p>
    <w:p w14:paraId="2E552062" w14:textId="70AA6AE2" w:rsidR="00EC58A5" w:rsidRPr="002F0E3F" w:rsidRDefault="00EC58A5" w:rsidP="00EC58A5">
      <w:pPr>
        <w:rPr>
          <w:rFonts w:cs="Arial"/>
        </w:rPr>
      </w:pPr>
      <w:r w:rsidRPr="002F0E3F">
        <w:rPr>
          <w:rFonts w:cs="Arial"/>
          <w:b/>
        </w:rPr>
        <w:t>Lisa Severino,</w:t>
      </w:r>
      <w:r w:rsidRPr="002F0E3F">
        <w:rPr>
          <w:rFonts w:cs="Arial"/>
        </w:rPr>
        <w:t xml:space="preserve"> </w:t>
      </w:r>
      <w:r w:rsidR="008A0DF9">
        <w:rPr>
          <w:rFonts w:cs="Arial"/>
        </w:rPr>
        <w:t xml:space="preserve">Program </w:t>
      </w:r>
      <w:r>
        <w:rPr>
          <w:rFonts w:cs="Arial"/>
        </w:rPr>
        <w:t>Manager</w:t>
      </w:r>
      <w:r w:rsidRPr="002F0E3F">
        <w:rPr>
          <w:rFonts w:cs="Arial"/>
        </w:rPr>
        <w:t>, WestEd</w:t>
      </w:r>
    </w:p>
    <w:p w14:paraId="12C82BC4" w14:textId="77777777" w:rsidR="00EC58A5" w:rsidRPr="002F0E3F" w:rsidRDefault="00EC58A5" w:rsidP="00EC58A5">
      <w:pPr>
        <w:spacing w:after="240"/>
        <w:rPr>
          <w:rFonts w:cs="Arial"/>
        </w:rPr>
      </w:pPr>
      <w:r w:rsidRPr="002F0E3F">
        <w:rPr>
          <w:rFonts w:cs="Arial"/>
          <w:b/>
          <w:bCs/>
        </w:rPr>
        <w:t>Tuyet</w:t>
      </w:r>
      <w:r>
        <w:rPr>
          <w:rFonts w:cs="Arial"/>
          <w:b/>
          <w:bCs/>
        </w:rPr>
        <w:t xml:space="preserve"> Tran</w:t>
      </w:r>
      <w:r w:rsidRPr="002F0E3F">
        <w:rPr>
          <w:rFonts w:cs="Arial"/>
          <w:b/>
          <w:bCs/>
        </w:rPr>
        <w:t>,</w:t>
      </w:r>
      <w:r>
        <w:rPr>
          <w:rFonts w:cs="Arial"/>
        </w:rPr>
        <w:t xml:space="preserve"> Research Associate, WestEd</w:t>
      </w:r>
    </w:p>
    <w:p w14:paraId="31A6816D" w14:textId="5B95E383" w:rsidR="00DA068D" w:rsidRPr="002F0E3F" w:rsidRDefault="00D15727" w:rsidP="00A21E22">
      <w:pPr>
        <w:spacing w:after="240"/>
        <w:rPr>
          <w:rFonts w:cs="Arial"/>
        </w:rPr>
      </w:pPr>
      <w:r w:rsidRPr="002F0E3F">
        <w:rPr>
          <w:rFonts w:cs="Arial"/>
        </w:rPr>
        <w:t>Finally, s</w:t>
      </w:r>
      <w:r w:rsidR="00CC23E0" w:rsidRPr="002F0E3F">
        <w:rPr>
          <w:rFonts w:cs="Arial"/>
        </w:rPr>
        <w:t>pecial appreciation is due to</w:t>
      </w:r>
      <w:r w:rsidRPr="002F0E3F">
        <w:rPr>
          <w:rFonts w:cs="Arial"/>
        </w:rPr>
        <w:t xml:space="preserve"> </w:t>
      </w:r>
      <w:r w:rsidR="006A6367">
        <w:rPr>
          <w:rFonts w:cs="Arial"/>
        </w:rPr>
        <w:t xml:space="preserve">CDE </w:t>
      </w:r>
      <w:r w:rsidR="00997BB4">
        <w:rPr>
          <w:rFonts w:cs="Arial"/>
        </w:rPr>
        <w:t>colleagues</w:t>
      </w:r>
      <w:r w:rsidRPr="002F0E3F">
        <w:rPr>
          <w:rFonts w:cs="Arial"/>
        </w:rPr>
        <w:t xml:space="preserve"> who </w:t>
      </w:r>
      <w:r w:rsidR="00EF3F24" w:rsidRPr="002F0E3F">
        <w:rPr>
          <w:rFonts w:cs="Arial"/>
        </w:rPr>
        <w:t xml:space="preserve">assisted </w:t>
      </w:r>
      <w:r w:rsidR="00A21E22">
        <w:rPr>
          <w:rFonts w:cs="Arial"/>
        </w:rPr>
        <w:t xml:space="preserve">in various ways </w:t>
      </w:r>
      <w:r w:rsidR="003D1ADA">
        <w:rPr>
          <w:rFonts w:cs="Arial"/>
        </w:rPr>
        <w:t xml:space="preserve">(e.g., translation, editing, meeting resource preparations) </w:t>
      </w:r>
      <w:r w:rsidR="00A21E22">
        <w:rPr>
          <w:rFonts w:cs="Arial"/>
        </w:rPr>
        <w:t>w</w:t>
      </w:r>
      <w:r w:rsidR="00A21E22" w:rsidRPr="002F0E3F">
        <w:rPr>
          <w:rFonts w:cs="Arial"/>
        </w:rPr>
        <w:t>ith</w:t>
      </w:r>
      <w:r w:rsidR="00EF3F24" w:rsidRPr="002F0E3F">
        <w:rPr>
          <w:rFonts w:cs="Arial"/>
        </w:rPr>
        <w:t xml:space="preserve"> the </w:t>
      </w:r>
      <w:r w:rsidR="003E63C0">
        <w:rPr>
          <w:rFonts w:cs="Arial"/>
        </w:rPr>
        <w:t xml:space="preserve">CNA </w:t>
      </w:r>
      <w:r w:rsidR="00EF3F24" w:rsidRPr="002F0E3F">
        <w:rPr>
          <w:rFonts w:cs="Arial"/>
        </w:rPr>
        <w:t>development</w:t>
      </w:r>
      <w:r w:rsidRPr="002F0E3F">
        <w:rPr>
          <w:rFonts w:cs="Arial"/>
        </w:rPr>
        <w:t>:</w:t>
      </w:r>
    </w:p>
    <w:p w14:paraId="03557E06" w14:textId="77777777" w:rsidR="003D1ADA" w:rsidRPr="002F0E3F" w:rsidRDefault="003D1ADA" w:rsidP="003D1ADA">
      <w:pPr>
        <w:spacing w:after="240"/>
        <w:contextualSpacing/>
        <w:rPr>
          <w:rFonts w:cs="Arial"/>
        </w:rPr>
      </w:pPr>
      <w:r w:rsidRPr="002F0E3F">
        <w:rPr>
          <w:rFonts w:cs="Arial"/>
          <w:b/>
        </w:rPr>
        <w:t>Juli Auld,</w:t>
      </w:r>
      <w:r w:rsidRPr="002F0E3F">
        <w:rPr>
          <w:rFonts w:cs="Arial"/>
        </w:rPr>
        <w:t xml:space="preserve"> Administrator, MEO, CDE</w:t>
      </w:r>
    </w:p>
    <w:p w14:paraId="4B63AF62" w14:textId="451C22F9" w:rsidR="00997BB4" w:rsidRDefault="00997BB4" w:rsidP="00997BB4">
      <w:pPr>
        <w:rPr>
          <w:rFonts w:cs="Arial"/>
        </w:rPr>
      </w:pPr>
      <w:r w:rsidRPr="00FD61A8">
        <w:rPr>
          <w:rFonts w:cs="Arial"/>
          <w:b/>
          <w:bCs/>
        </w:rPr>
        <w:t>Salvador Arriag</w:t>
      </w:r>
      <w:r w:rsidRPr="00864519">
        <w:rPr>
          <w:rFonts w:cs="Arial"/>
          <w:b/>
          <w:bCs/>
        </w:rPr>
        <w:t>a</w:t>
      </w:r>
      <w:r>
        <w:rPr>
          <w:rFonts w:cs="Arial"/>
        </w:rPr>
        <w:t xml:space="preserve">, </w:t>
      </w:r>
      <w:r w:rsidR="008E0D06">
        <w:rPr>
          <w:rFonts w:cs="Arial"/>
        </w:rPr>
        <w:t xml:space="preserve">EPC </w:t>
      </w:r>
      <w:r>
        <w:rPr>
          <w:rFonts w:cs="Arial"/>
        </w:rPr>
        <w:t>Retired Annuitant, MEO, CDE</w:t>
      </w:r>
    </w:p>
    <w:p w14:paraId="42A138A2" w14:textId="7BCB4439" w:rsidR="00997BB4" w:rsidRDefault="00997BB4" w:rsidP="00997BB4">
      <w:pPr>
        <w:rPr>
          <w:rFonts w:cs="Arial"/>
          <w:b/>
        </w:rPr>
      </w:pPr>
      <w:r>
        <w:rPr>
          <w:rFonts w:cs="Arial"/>
          <w:b/>
        </w:rPr>
        <w:t>Kyl</w:t>
      </w:r>
      <w:r w:rsidR="001E7855">
        <w:rPr>
          <w:rFonts w:cs="Arial"/>
          <w:b/>
        </w:rPr>
        <w:t>a</w:t>
      </w:r>
      <w:r>
        <w:rPr>
          <w:rFonts w:cs="Arial"/>
          <w:b/>
        </w:rPr>
        <w:t xml:space="preserve"> Asbell,</w:t>
      </w:r>
      <w:r w:rsidR="006A4954">
        <w:rPr>
          <w:rFonts w:cs="Arial"/>
          <w:b/>
        </w:rPr>
        <w:t xml:space="preserve"> </w:t>
      </w:r>
      <w:r w:rsidR="006A4954">
        <w:rPr>
          <w:rFonts w:cs="Arial"/>
        </w:rPr>
        <w:t>Associate Government Program Analyst (AGPA)</w:t>
      </w:r>
      <w:r w:rsidR="006A4954" w:rsidRPr="002F0E3F">
        <w:rPr>
          <w:rFonts w:cs="Arial"/>
        </w:rPr>
        <w:t xml:space="preserve">, </w:t>
      </w:r>
      <w:r w:rsidR="006A4954">
        <w:rPr>
          <w:rFonts w:cs="Arial"/>
        </w:rPr>
        <w:t xml:space="preserve">Division Support Office (DSO), </w:t>
      </w:r>
      <w:r w:rsidR="006A4954" w:rsidRPr="002F0E3F">
        <w:rPr>
          <w:rFonts w:cs="Arial"/>
        </w:rPr>
        <w:t>CDE</w:t>
      </w:r>
    </w:p>
    <w:p w14:paraId="4A4C15C6" w14:textId="34E2CA07" w:rsidR="00997BB4" w:rsidRPr="00F046C3" w:rsidRDefault="00997BB4" w:rsidP="00997BB4">
      <w:pPr>
        <w:rPr>
          <w:rFonts w:cs="Arial"/>
          <w:lang w:val="es-MX"/>
        </w:rPr>
      </w:pPr>
      <w:r w:rsidRPr="00F046C3">
        <w:rPr>
          <w:rFonts w:cs="Arial"/>
          <w:b/>
          <w:lang w:val="es-MX"/>
        </w:rPr>
        <w:t>Natalie Boyer,</w:t>
      </w:r>
      <w:r w:rsidRPr="00F046C3">
        <w:rPr>
          <w:rFonts w:cs="Arial"/>
          <w:lang w:val="es-MX"/>
        </w:rPr>
        <w:t xml:space="preserve"> A</w:t>
      </w:r>
      <w:r w:rsidR="006A4954" w:rsidRPr="00F046C3">
        <w:rPr>
          <w:rFonts w:cs="Arial"/>
          <w:lang w:val="es-MX"/>
        </w:rPr>
        <w:t>GPA, DSO</w:t>
      </w:r>
      <w:r w:rsidRPr="00F046C3">
        <w:rPr>
          <w:rFonts w:cs="Arial"/>
          <w:lang w:val="es-MX"/>
        </w:rPr>
        <w:t>, CDE</w:t>
      </w:r>
    </w:p>
    <w:p w14:paraId="63EC183B" w14:textId="20306BD8" w:rsidR="00997BB4" w:rsidRPr="00F046C3" w:rsidRDefault="00997BB4" w:rsidP="00997BB4">
      <w:pPr>
        <w:rPr>
          <w:rFonts w:cs="Arial"/>
          <w:lang w:val="es-MX"/>
        </w:rPr>
      </w:pPr>
      <w:r w:rsidRPr="00F046C3">
        <w:rPr>
          <w:rFonts w:cs="Arial"/>
          <w:b/>
          <w:lang w:val="es-MX"/>
        </w:rPr>
        <w:t xml:space="preserve">Jamie Contreras, </w:t>
      </w:r>
      <w:r w:rsidR="008E0D06" w:rsidRPr="00F046C3">
        <w:rPr>
          <w:rFonts w:cs="Arial"/>
          <w:lang w:val="es-MX"/>
        </w:rPr>
        <w:t>EPC,</w:t>
      </w:r>
      <w:r w:rsidRPr="00F046C3">
        <w:rPr>
          <w:rFonts w:cs="Arial"/>
          <w:lang w:val="es-MX"/>
        </w:rPr>
        <w:t xml:space="preserve"> MEO, CDE</w:t>
      </w:r>
    </w:p>
    <w:p w14:paraId="736A7E53" w14:textId="23FF8E99" w:rsidR="00997BB4" w:rsidRPr="00F046C3" w:rsidRDefault="00997BB4" w:rsidP="00997BB4">
      <w:pPr>
        <w:rPr>
          <w:rFonts w:cs="Arial"/>
          <w:lang w:val="es-MX"/>
        </w:rPr>
      </w:pPr>
      <w:r w:rsidRPr="00F046C3">
        <w:rPr>
          <w:rFonts w:cs="Arial"/>
          <w:b/>
          <w:lang w:val="es-MX"/>
        </w:rPr>
        <w:t>Jennifer Cordova,</w:t>
      </w:r>
      <w:r w:rsidRPr="00F046C3">
        <w:rPr>
          <w:rFonts w:cs="Arial"/>
          <w:lang w:val="es-MX"/>
        </w:rPr>
        <w:t xml:space="preserve"> AGPA, D</w:t>
      </w:r>
      <w:r w:rsidR="008A0DF9" w:rsidRPr="00F046C3">
        <w:rPr>
          <w:rFonts w:cs="Arial"/>
          <w:lang w:val="es-MX"/>
        </w:rPr>
        <w:t>SO</w:t>
      </w:r>
      <w:r w:rsidRPr="00F046C3">
        <w:rPr>
          <w:rFonts w:cs="Arial"/>
          <w:lang w:val="es-MX"/>
        </w:rPr>
        <w:t>, CDE</w:t>
      </w:r>
    </w:p>
    <w:p w14:paraId="789E1E2F" w14:textId="26CFA880" w:rsidR="00997BB4" w:rsidRPr="00F046C3" w:rsidRDefault="00997BB4" w:rsidP="00997BB4">
      <w:pPr>
        <w:rPr>
          <w:rFonts w:cs="Arial"/>
          <w:lang w:val="es-MX"/>
        </w:rPr>
      </w:pPr>
      <w:r w:rsidRPr="00F046C3">
        <w:rPr>
          <w:rFonts w:cs="Arial"/>
          <w:b/>
          <w:lang w:val="es-MX"/>
        </w:rPr>
        <w:t>Alejandro Leguizamo,</w:t>
      </w:r>
      <w:r w:rsidRPr="00F046C3">
        <w:rPr>
          <w:rFonts w:cs="Arial"/>
          <w:lang w:val="es-MX"/>
        </w:rPr>
        <w:t xml:space="preserve"> </w:t>
      </w:r>
      <w:r w:rsidR="008E0D06" w:rsidRPr="00F046C3">
        <w:rPr>
          <w:rFonts w:cs="Arial"/>
          <w:lang w:val="es-MX"/>
        </w:rPr>
        <w:t>EPC</w:t>
      </w:r>
      <w:r w:rsidRPr="00F046C3">
        <w:rPr>
          <w:rFonts w:cs="Arial"/>
          <w:lang w:val="es-MX"/>
        </w:rPr>
        <w:t>, MEO, CDE</w:t>
      </w:r>
    </w:p>
    <w:p w14:paraId="44F8F001" w14:textId="77777777" w:rsidR="003D1ADA" w:rsidRDefault="003D1ADA" w:rsidP="003D1ADA">
      <w:pPr>
        <w:spacing w:after="240"/>
        <w:contextualSpacing/>
        <w:rPr>
          <w:rFonts w:cs="Arial"/>
        </w:rPr>
      </w:pPr>
      <w:r w:rsidRPr="002F0E3F">
        <w:rPr>
          <w:rFonts w:cs="Arial"/>
          <w:b/>
        </w:rPr>
        <w:t xml:space="preserve">Melissa Mallory, </w:t>
      </w:r>
      <w:r>
        <w:rPr>
          <w:rFonts w:cs="Arial"/>
          <w:bCs/>
        </w:rPr>
        <w:t>EPC, MEO</w:t>
      </w:r>
    </w:p>
    <w:p w14:paraId="26F836F2" w14:textId="1DAEA7FC" w:rsidR="006A4954" w:rsidRDefault="006A4954" w:rsidP="00A21E22">
      <w:pPr>
        <w:rPr>
          <w:rFonts w:cs="Arial"/>
          <w:b/>
        </w:rPr>
      </w:pPr>
      <w:r>
        <w:rPr>
          <w:rFonts w:cs="Arial"/>
          <w:b/>
        </w:rPr>
        <w:t>Cristopher Martinez</w:t>
      </w:r>
      <w:r w:rsidRPr="002F0E3F">
        <w:rPr>
          <w:rFonts w:cs="Arial"/>
          <w:b/>
        </w:rPr>
        <w:t>,</w:t>
      </w:r>
      <w:r w:rsidRPr="002F0E3F">
        <w:rPr>
          <w:rFonts w:cs="Arial"/>
        </w:rPr>
        <w:t xml:space="preserve"> </w:t>
      </w:r>
      <w:r>
        <w:rPr>
          <w:rFonts w:cs="Arial"/>
        </w:rPr>
        <w:t>AGPA</w:t>
      </w:r>
      <w:r w:rsidRPr="002F0E3F">
        <w:rPr>
          <w:rFonts w:cs="Arial"/>
        </w:rPr>
        <w:t>, MEO, CDE</w:t>
      </w:r>
      <w:r>
        <w:rPr>
          <w:rFonts w:cs="Arial"/>
          <w:b/>
        </w:rPr>
        <w:t xml:space="preserve"> </w:t>
      </w:r>
    </w:p>
    <w:p w14:paraId="582F0A8A" w14:textId="477A4BD3" w:rsidR="00A21E22" w:rsidRPr="002F0E3F" w:rsidRDefault="00A21E22" w:rsidP="00A21E22">
      <w:pPr>
        <w:rPr>
          <w:rFonts w:cs="Arial"/>
        </w:rPr>
      </w:pPr>
      <w:r>
        <w:rPr>
          <w:rFonts w:cs="Arial"/>
          <w:b/>
        </w:rPr>
        <w:t>Lizette Rocha</w:t>
      </w:r>
      <w:r w:rsidRPr="002F0E3F">
        <w:rPr>
          <w:rFonts w:cs="Arial"/>
          <w:b/>
        </w:rPr>
        <w:t>,</w:t>
      </w:r>
      <w:r w:rsidRPr="002F0E3F">
        <w:rPr>
          <w:rFonts w:cs="Arial"/>
        </w:rPr>
        <w:t xml:space="preserve"> </w:t>
      </w:r>
      <w:r w:rsidR="008E0D06">
        <w:rPr>
          <w:rFonts w:cs="Arial"/>
        </w:rPr>
        <w:t>EPC</w:t>
      </w:r>
      <w:r w:rsidRPr="002F0E3F">
        <w:rPr>
          <w:rFonts w:cs="Arial"/>
        </w:rPr>
        <w:t>, MEO, CDE</w:t>
      </w:r>
    </w:p>
    <w:p w14:paraId="582F8354" w14:textId="67B7B4BD" w:rsidR="00EA06F6" w:rsidRPr="00EA06F6" w:rsidRDefault="00EA06F6" w:rsidP="00A21E22">
      <w:pPr>
        <w:rPr>
          <w:rFonts w:cs="Arial"/>
          <w:bCs/>
        </w:rPr>
      </w:pPr>
      <w:r>
        <w:rPr>
          <w:rFonts w:cs="Arial"/>
          <w:b/>
        </w:rPr>
        <w:t>V</w:t>
      </w:r>
      <w:r w:rsidRPr="00EA06F6">
        <w:rPr>
          <w:rFonts w:cs="Arial"/>
          <w:b/>
        </w:rPr>
        <w:t>ictor-James Orcino</w:t>
      </w:r>
      <w:r>
        <w:rPr>
          <w:rFonts w:cs="Arial"/>
          <w:b/>
        </w:rPr>
        <w:t xml:space="preserve">, </w:t>
      </w:r>
      <w:r w:rsidRPr="00EA06F6">
        <w:rPr>
          <w:rFonts w:cs="Arial"/>
          <w:bCs/>
        </w:rPr>
        <w:t>Business Service</w:t>
      </w:r>
      <w:r>
        <w:rPr>
          <w:rFonts w:cs="Arial"/>
          <w:bCs/>
        </w:rPr>
        <w:t>s</w:t>
      </w:r>
      <w:r w:rsidRPr="00EA06F6">
        <w:rPr>
          <w:rFonts w:cs="Arial"/>
          <w:bCs/>
        </w:rPr>
        <w:t xml:space="preserve"> Assistant, Facilities Management, CDE</w:t>
      </w:r>
    </w:p>
    <w:p w14:paraId="1FB42F5E" w14:textId="09C987DC" w:rsidR="00A21E22" w:rsidRPr="00A21E22" w:rsidRDefault="00A21E22" w:rsidP="00A21E22">
      <w:pPr>
        <w:rPr>
          <w:rFonts w:cs="Arial"/>
          <w:bCs/>
        </w:rPr>
      </w:pPr>
      <w:r>
        <w:rPr>
          <w:rFonts w:cs="Arial"/>
          <w:b/>
        </w:rPr>
        <w:t xml:space="preserve">Teresa Palomino, </w:t>
      </w:r>
      <w:r w:rsidR="008E0D06">
        <w:rPr>
          <w:rFonts w:cs="Arial"/>
          <w:bCs/>
        </w:rPr>
        <w:t>EPC</w:t>
      </w:r>
      <w:r w:rsidRPr="00A21E22">
        <w:rPr>
          <w:rFonts w:cs="Arial"/>
          <w:bCs/>
        </w:rPr>
        <w:t>, MEO, CDE</w:t>
      </w:r>
    </w:p>
    <w:p w14:paraId="4A8D09BC" w14:textId="0D9DA9C1" w:rsidR="00FD61A8" w:rsidRPr="002F0E3F" w:rsidRDefault="00FD61A8" w:rsidP="006A4954">
      <w:pPr>
        <w:spacing w:after="240"/>
        <w:rPr>
          <w:rFonts w:cs="Arial"/>
        </w:rPr>
      </w:pPr>
      <w:r w:rsidRPr="00997BB4">
        <w:rPr>
          <w:rFonts w:cs="Arial"/>
          <w:b/>
          <w:bCs/>
        </w:rPr>
        <w:t>David Stoffle</w:t>
      </w:r>
      <w:r>
        <w:rPr>
          <w:rFonts w:cs="Arial"/>
        </w:rPr>
        <w:t>, Business Service</w:t>
      </w:r>
      <w:r w:rsidR="00EA06F6">
        <w:rPr>
          <w:rFonts w:cs="Arial"/>
        </w:rPr>
        <w:t>s</w:t>
      </w:r>
      <w:r>
        <w:rPr>
          <w:rFonts w:cs="Arial"/>
        </w:rPr>
        <w:t xml:space="preserve"> Officer I, Facilities Management, CDE</w:t>
      </w:r>
    </w:p>
    <w:p w14:paraId="4EA6034F" w14:textId="3D2320D8" w:rsidR="00DA068D" w:rsidRPr="002F0E3F" w:rsidRDefault="00D15727" w:rsidP="00043BAC">
      <w:pPr>
        <w:spacing w:after="240"/>
        <w:rPr>
          <w:rFonts w:cs="Arial"/>
        </w:rPr>
      </w:pPr>
      <w:r w:rsidRPr="002F0E3F">
        <w:rPr>
          <w:rFonts w:cs="Arial"/>
        </w:rPr>
        <w:t xml:space="preserve">Thank you to </w:t>
      </w:r>
      <w:r w:rsidR="005C0666" w:rsidRPr="002F0E3F">
        <w:rPr>
          <w:rFonts w:cs="Arial"/>
        </w:rPr>
        <w:t>these</w:t>
      </w:r>
      <w:r w:rsidRPr="002F0E3F">
        <w:rPr>
          <w:rFonts w:cs="Arial"/>
        </w:rPr>
        <w:t xml:space="preserve"> individuals for their </w:t>
      </w:r>
      <w:r w:rsidR="005C0666" w:rsidRPr="002F0E3F">
        <w:rPr>
          <w:rFonts w:cs="Arial"/>
        </w:rPr>
        <w:t xml:space="preserve">vital </w:t>
      </w:r>
      <w:r w:rsidRPr="002F0E3F">
        <w:rPr>
          <w:rFonts w:cs="Arial"/>
        </w:rPr>
        <w:t>contributions to this</w:t>
      </w:r>
      <w:r w:rsidR="00001CCF" w:rsidRPr="002F0E3F">
        <w:rPr>
          <w:rFonts w:cs="Arial"/>
        </w:rPr>
        <w:t xml:space="preserve"> project and</w:t>
      </w:r>
      <w:r w:rsidR="00043BAC" w:rsidRPr="002F0E3F">
        <w:rPr>
          <w:rFonts w:cs="Arial"/>
        </w:rPr>
        <w:t xml:space="preserve"> report.</w:t>
      </w:r>
    </w:p>
    <w:p w14:paraId="51D9BAA6" w14:textId="77777777" w:rsidR="00D15727" w:rsidRPr="002F0E3F" w:rsidRDefault="00D15727" w:rsidP="00043BAC">
      <w:pPr>
        <w:spacing w:after="240"/>
        <w:rPr>
          <w:rFonts w:cs="Arial"/>
        </w:rPr>
      </w:pPr>
      <w:r w:rsidRPr="002F0E3F">
        <w:rPr>
          <w:rFonts w:cs="Arial"/>
        </w:rPr>
        <w:br w:type="page"/>
      </w:r>
    </w:p>
    <w:p w14:paraId="28DA610D" w14:textId="0A885E38" w:rsidR="00DA068D" w:rsidRPr="002F0E3F" w:rsidRDefault="00D15727" w:rsidP="00EA26BE">
      <w:pPr>
        <w:pStyle w:val="Heading3"/>
      </w:pPr>
      <w:bookmarkStart w:id="7" w:name="_Toc496195895"/>
      <w:bookmarkStart w:id="8" w:name="_Toc188361305"/>
      <w:r w:rsidRPr="002F0E3F">
        <w:lastRenderedPageBreak/>
        <w:t>Executive Summary</w:t>
      </w:r>
      <w:bookmarkEnd w:id="7"/>
      <w:bookmarkEnd w:id="8"/>
    </w:p>
    <w:p w14:paraId="5CC9F508" w14:textId="56D340D8" w:rsidR="00981BE2" w:rsidRPr="002F0E3F" w:rsidRDefault="00771561" w:rsidP="00043BAC">
      <w:pPr>
        <w:spacing w:after="240"/>
        <w:rPr>
          <w:rFonts w:cs="Arial"/>
        </w:rPr>
      </w:pPr>
      <w:r w:rsidRPr="002F0E3F">
        <w:rPr>
          <w:rFonts w:cs="Arial"/>
        </w:rPr>
        <w:t xml:space="preserve">The </w:t>
      </w:r>
      <w:r w:rsidR="00731A21">
        <w:rPr>
          <w:rFonts w:cs="Arial"/>
        </w:rPr>
        <w:t>CDE</w:t>
      </w:r>
      <w:r w:rsidR="002327A9">
        <w:rPr>
          <w:rFonts w:cs="Arial"/>
        </w:rPr>
        <w:t>, in partnership with local educational agencies</w:t>
      </w:r>
      <w:r w:rsidR="001D0688">
        <w:rPr>
          <w:rFonts w:cs="Arial"/>
        </w:rPr>
        <w:t xml:space="preserve"> (LEA)</w:t>
      </w:r>
      <w:r w:rsidR="002327A9">
        <w:rPr>
          <w:rFonts w:cs="Arial"/>
        </w:rPr>
        <w:t>,</w:t>
      </w:r>
      <w:r w:rsidR="00981BE2" w:rsidRPr="002F0E3F">
        <w:rPr>
          <w:rFonts w:cs="Arial"/>
        </w:rPr>
        <w:t xml:space="preserve"> </w:t>
      </w:r>
      <w:r w:rsidR="00890720" w:rsidRPr="002F0E3F">
        <w:rPr>
          <w:rFonts w:cs="Arial"/>
        </w:rPr>
        <w:t>strives</w:t>
      </w:r>
      <w:r w:rsidR="00981BE2" w:rsidRPr="002F0E3F">
        <w:rPr>
          <w:rFonts w:cs="Arial"/>
        </w:rPr>
        <w:t xml:space="preserve"> to provide the best possible education for all students within California. Through </w:t>
      </w:r>
      <w:r w:rsidR="001938EE" w:rsidRPr="002F0E3F">
        <w:rPr>
          <w:rFonts w:cs="Arial"/>
        </w:rPr>
        <w:t>policy and programmatic activities, the</w:t>
      </w:r>
      <w:r w:rsidR="00981BE2" w:rsidRPr="002F0E3F">
        <w:rPr>
          <w:rFonts w:cs="Arial"/>
        </w:rPr>
        <w:t xml:space="preserve"> </w:t>
      </w:r>
      <w:r w:rsidR="00731A21">
        <w:rPr>
          <w:rFonts w:cs="Arial"/>
        </w:rPr>
        <w:t>CDE</w:t>
      </w:r>
      <w:r w:rsidR="00981BE2" w:rsidRPr="002F0E3F">
        <w:rPr>
          <w:rFonts w:cs="Arial"/>
        </w:rPr>
        <w:t xml:space="preserve"> employs a continuous improvement model to refine</w:t>
      </w:r>
      <w:r w:rsidR="00731A21">
        <w:rPr>
          <w:rFonts w:cs="Arial"/>
        </w:rPr>
        <w:t xml:space="preserve"> and improve</w:t>
      </w:r>
      <w:r w:rsidR="00981BE2" w:rsidRPr="002F0E3F">
        <w:rPr>
          <w:rFonts w:cs="Arial"/>
        </w:rPr>
        <w:t xml:space="preserve"> various aspects of the </w:t>
      </w:r>
      <w:r w:rsidR="00731A21">
        <w:rPr>
          <w:rFonts w:cs="Arial"/>
        </w:rPr>
        <w:t xml:space="preserve">MEP’s outcomes for student </w:t>
      </w:r>
      <w:r w:rsidR="00981BE2" w:rsidRPr="002F0E3F">
        <w:rPr>
          <w:rFonts w:cs="Arial"/>
        </w:rPr>
        <w:t>academic</w:t>
      </w:r>
      <w:r w:rsidR="00731A21">
        <w:rPr>
          <w:rFonts w:cs="Arial"/>
        </w:rPr>
        <w:t xml:space="preserve"> achievement </w:t>
      </w:r>
      <w:r w:rsidR="008E0D06">
        <w:rPr>
          <w:rFonts w:cs="Arial"/>
        </w:rPr>
        <w:t>and</w:t>
      </w:r>
      <w:r w:rsidR="00731A21">
        <w:rPr>
          <w:rFonts w:cs="Arial"/>
        </w:rPr>
        <w:t xml:space="preserve"> student</w:t>
      </w:r>
      <w:r w:rsidR="00981BE2" w:rsidRPr="002F0E3F">
        <w:rPr>
          <w:rFonts w:cs="Arial"/>
        </w:rPr>
        <w:t xml:space="preserve"> emotional, </w:t>
      </w:r>
      <w:r w:rsidR="002327A9">
        <w:rPr>
          <w:rFonts w:cs="Arial"/>
        </w:rPr>
        <w:t xml:space="preserve">mental, </w:t>
      </w:r>
      <w:r w:rsidR="00981BE2" w:rsidRPr="002F0E3F">
        <w:rPr>
          <w:rFonts w:cs="Arial"/>
        </w:rPr>
        <w:t xml:space="preserve">physical and social </w:t>
      </w:r>
      <w:r w:rsidR="00731A21">
        <w:rPr>
          <w:rFonts w:cs="Arial"/>
        </w:rPr>
        <w:t>well-being</w:t>
      </w:r>
      <w:r w:rsidR="00981BE2" w:rsidRPr="002F0E3F">
        <w:rPr>
          <w:rFonts w:cs="Arial"/>
        </w:rPr>
        <w:t xml:space="preserve">. </w:t>
      </w:r>
      <w:r w:rsidR="00731A21">
        <w:rPr>
          <w:rFonts w:cs="Arial"/>
        </w:rPr>
        <w:t>Routine data analys</w:t>
      </w:r>
      <w:r w:rsidR="008E0D06">
        <w:rPr>
          <w:rFonts w:cs="Arial"/>
        </w:rPr>
        <w:t>e</w:t>
      </w:r>
      <w:r w:rsidR="00731A21">
        <w:rPr>
          <w:rFonts w:cs="Arial"/>
        </w:rPr>
        <w:t xml:space="preserve">s on achievement </w:t>
      </w:r>
      <w:r w:rsidR="00F523D1">
        <w:rPr>
          <w:rFonts w:cs="Arial"/>
        </w:rPr>
        <w:t xml:space="preserve">and programmatic </w:t>
      </w:r>
      <w:r w:rsidR="00731A21">
        <w:rPr>
          <w:rFonts w:cs="Arial"/>
        </w:rPr>
        <w:t xml:space="preserve">data </w:t>
      </w:r>
      <w:r w:rsidR="009E352E">
        <w:rPr>
          <w:rFonts w:cs="Arial"/>
        </w:rPr>
        <w:t>allow</w:t>
      </w:r>
      <w:r w:rsidR="00731A21">
        <w:rPr>
          <w:rFonts w:cs="Arial"/>
        </w:rPr>
        <w:t xml:space="preserve"> </w:t>
      </w:r>
      <w:r w:rsidR="00F523D1">
        <w:rPr>
          <w:rFonts w:cs="Arial"/>
        </w:rPr>
        <w:t>the California MEP</w:t>
      </w:r>
      <w:r w:rsidR="00731A21">
        <w:rPr>
          <w:rFonts w:cs="Arial"/>
        </w:rPr>
        <w:t xml:space="preserve"> to constantly focus on the needs of migratory students and families. </w:t>
      </w:r>
      <w:r w:rsidR="001938EE" w:rsidRPr="002F0E3F">
        <w:rPr>
          <w:rFonts w:cs="Arial"/>
        </w:rPr>
        <w:t>D</w:t>
      </w:r>
      <w:r w:rsidR="00981BE2" w:rsidRPr="002F0E3F">
        <w:rPr>
          <w:rFonts w:cs="Arial"/>
        </w:rPr>
        <w:t>evelop</w:t>
      </w:r>
      <w:r w:rsidR="00731A21">
        <w:rPr>
          <w:rFonts w:cs="Arial"/>
        </w:rPr>
        <w:t>ing the</w:t>
      </w:r>
      <w:r w:rsidR="00981BE2" w:rsidRPr="002F0E3F">
        <w:rPr>
          <w:rFonts w:cs="Arial"/>
        </w:rPr>
        <w:t xml:space="preserve"> statewide </w:t>
      </w:r>
      <w:r w:rsidR="00731A21">
        <w:rPr>
          <w:rFonts w:cs="Arial"/>
        </w:rPr>
        <w:t>CNA every f</w:t>
      </w:r>
      <w:r w:rsidR="000A75CB">
        <w:rPr>
          <w:rFonts w:cs="Arial"/>
        </w:rPr>
        <w:t>ive</w:t>
      </w:r>
      <w:r w:rsidR="00731A21">
        <w:rPr>
          <w:rFonts w:cs="Arial"/>
        </w:rPr>
        <w:t xml:space="preserve"> years</w:t>
      </w:r>
      <w:r w:rsidR="00F523D1">
        <w:rPr>
          <w:rFonts w:cs="Arial"/>
        </w:rPr>
        <w:t xml:space="preserve"> </w:t>
      </w:r>
      <w:proofErr w:type="gramStart"/>
      <w:r w:rsidR="008E0D06">
        <w:rPr>
          <w:rFonts w:cs="Arial"/>
        </w:rPr>
        <w:t>on the basis of</w:t>
      </w:r>
      <w:proofErr w:type="gramEnd"/>
      <w:r w:rsidR="00F523D1">
        <w:rPr>
          <w:rFonts w:cs="Arial"/>
        </w:rPr>
        <w:t xml:space="preserve"> the most recent data</w:t>
      </w:r>
      <w:r w:rsidR="00981BE2" w:rsidRPr="002F0E3F">
        <w:rPr>
          <w:rFonts w:cs="Arial"/>
        </w:rPr>
        <w:t xml:space="preserve"> is a necessary step in the continuous</w:t>
      </w:r>
      <w:r w:rsidRPr="002F0E3F">
        <w:rPr>
          <w:rFonts w:cs="Arial"/>
        </w:rPr>
        <w:t xml:space="preserve"> improvement </w:t>
      </w:r>
      <w:r w:rsidR="00731A21">
        <w:rPr>
          <w:rFonts w:cs="Arial"/>
        </w:rPr>
        <w:t xml:space="preserve">cycle </w:t>
      </w:r>
      <w:r w:rsidRPr="002F0E3F">
        <w:rPr>
          <w:rFonts w:cs="Arial"/>
        </w:rPr>
        <w:t xml:space="preserve">of California’s </w:t>
      </w:r>
      <w:r w:rsidR="00731A21">
        <w:rPr>
          <w:rFonts w:cs="Arial"/>
        </w:rPr>
        <w:t>MEP</w:t>
      </w:r>
      <w:r w:rsidR="00981BE2" w:rsidRPr="002F0E3F">
        <w:rPr>
          <w:rFonts w:cs="Arial"/>
        </w:rPr>
        <w:t xml:space="preserve">. The statewide </w:t>
      </w:r>
      <w:r w:rsidR="00731A21">
        <w:rPr>
          <w:rFonts w:cs="Arial"/>
        </w:rPr>
        <w:t>CNA</w:t>
      </w:r>
      <w:r w:rsidR="00981BE2" w:rsidRPr="002F0E3F">
        <w:rPr>
          <w:rFonts w:cs="Arial"/>
        </w:rPr>
        <w:t xml:space="preserve"> provides </w:t>
      </w:r>
      <w:r w:rsidR="00890720" w:rsidRPr="002F0E3F">
        <w:rPr>
          <w:rFonts w:cs="Arial"/>
        </w:rPr>
        <w:t xml:space="preserve">insight into the academic, </w:t>
      </w:r>
      <w:r w:rsidR="006A0535" w:rsidRPr="002F0E3F">
        <w:rPr>
          <w:rFonts w:cs="Arial"/>
        </w:rPr>
        <w:t>health,</w:t>
      </w:r>
      <w:r w:rsidR="00890720" w:rsidRPr="002F0E3F">
        <w:rPr>
          <w:rFonts w:cs="Arial"/>
        </w:rPr>
        <w:t xml:space="preserve"> and social-</w:t>
      </w:r>
      <w:r w:rsidR="00981BE2" w:rsidRPr="002F0E3F">
        <w:rPr>
          <w:rFonts w:cs="Arial"/>
        </w:rPr>
        <w:t>emotional needs of migratory children enrolled</w:t>
      </w:r>
      <w:r w:rsidR="00890720" w:rsidRPr="002F0E3F">
        <w:rPr>
          <w:rFonts w:cs="Arial"/>
        </w:rPr>
        <w:t xml:space="preserve"> in the California MEP. By</w:t>
      </w:r>
      <w:r w:rsidR="00981BE2" w:rsidRPr="002F0E3F">
        <w:rPr>
          <w:rFonts w:cs="Arial"/>
        </w:rPr>
        <w:t xml:space="preserve"> assessing the needs of migratory children, the </w:t>
      </w:r>
      <w:r w:rsidRPr="002F0E3F">
        <w:rPr>
          <w:rFonts w:cs="Arial"/>
        </w:rPr>
        <w:t>M</w:t>
      </w:r>
      <w:r w:rsidR="00731A21">
        <w:rPr>
          <w:rFonts w:cs="Arial"/>
        </w:rPr>
        <w:t>EP</w:t>
      </w:r>
      <w:r w:rsidR="00981BE2" w:rsidRPr="002F0E3F">
        <w:rPr>
          <w:rFonts w:cs="Arial"/>
        </w:rPr>
        <w:t xml:space="preserve"> </w:t>
      </w:r>
      <w:r w:rsidR="00F523D1">
        <w:rPr>
          <w:rFonts w:cs="Arial"/>
        </w:rPr>
        <w:t>is</w:t>
      </w:r>
      <w:r w:rsidR="00981BE2" w:rsidRPr="002F0E3F">
        <w:rPr>
          <w:rFonts w:cs="Arial"/>
        </w:rPr>
        <w:t xml:space="preserve"> better prepared to </w:t>
      </w:r>
      <w:r w:rsidR="006A6367">
        <w:rPr>
          <w:rFonts w:cs="Arial"/>
        </w:rPr>
        <w:t xml:space="preserve">purposefully </w:t>
      </w:r>
      <w:r w:rsidR="00981BE2" w:rsidRPr="002F0E3F">
        <w:rPr>
          <w:rFonts w:cs="Arial"/>
        </w:rPr>
        <w:t xml:space="preserve">target services to address the </w:t>
      </w:r>
      <w:r w:rsidR="00731A21">
        <w:rPr>
          <w:rFonts w:cs="Arial"/>
        </w:rPr>
        <w:t xml:space="preserve">specific and </w:t>
      </w:r>
      <w:r w:rsidR="00981BE2" w:rsidRPr="002F0E3F">
        <w:rPr>
          <w:rFonts w:cs="Arial"/>
        </w:rPr>
        <w:t xml:space="preserve">unique educational needs </w:t>
      </w:r>
      <w:r w:rsidR="006A6367">
        <w:rPr>
          <w:rFonts w:cs="Arial"/>
        </w:rPr>
        <w:t xml:space="preserve">of migratory </w:t>
      </w:r>
      <w:r w:rsidR="00F523D1">
        <w:rPr>
          <w:rFonts w:cs="Arial"/>
        </w:rPr>
        <w:t xml:space="preserve">children, youth, and </w:t>
      </w:r>
      <w:r w:rsidR="006A6367">
        <w:rPr>
          <w:rFonts w:cs="Arial"/>
        </w:rPr>
        <w:t>families</w:t>
      </w:r>
      <w:r w:rsidR="00981BE2" w:rsidRPr="002F0E3F">
        <w:rPr>
          <w:rFonts w:cs="Arial"/>
        </w:rPr>
        <w:t xml:space="preserve">. </w:t>
      </w:r>
    </w:p>
    <w:p w14:paraId="449808E5" w14:textId="147C42AC" w:rsidR="001938EE" w:rsidRPr="002F0E3F" w:rsidRDefault="00981BE2" w:rsidP="00043BAC">
      <w:pPr>
        <w:spacing w:after="240"/>
        <w:rPr>
          <w:rFonts w:cs="Arial"/>
        </w:rPr>
      </w:pPr>
      <w:r w:rsidRPr="002F0E3F">
        <w:rPr>
          <w:rFonts w:cs="Arial"/>
        </w:rPr>
        <w:t xml:space="preserve">Preparation </w:t>
      </w:r>
      <w:r w:rsidR="00F046C3" w:rsidRPr="002F0E3F">
        <w:rPr>
          <w:rFonts w:cs="Arial"/>
        </w:rPr>
        <w:t>for th</w:t>
      </w:r>
      <w:r w:rsidR="00F046C3">
        <w:rPr>
          <w:rFonts w:cs="Arial"/>
        </w:rPr>
        <w:t>e</w:t>
      </w:r>
      <w:r w:rsidRPr="002F0E3F">
        <w:rPr>
          <w:rFonts w:cs="Arial"/>
        </w:rPr>
        <w:t xml:space="preserve"> statewide </w:t>
      </w:r>
      <w:r w:rsidR="00F523D1">
        <w:rPr>
          <w:rFonts w:cs="Arial"/>
        </w:rPr>
        <w:t>CNA</w:t>
      </w:r>
      <w:r w:rsidRPr="002F0E3F">
        <w:rPr>
          <w:rFonts w:cs="Arial"/>
        </w:rPr>
        <w:t xml:space="preserve"> began in </w:t>
      </w:r>
      <w:r w:rsidR="00731A21">
        <w:rPr>
          <w:rFonts w:cs="Arial"/>
        </w:rPr>
        <w:t>July 2023</w:t>
      </w:r>
      <w:r w:rsidRPr="002F0E3F">
        <w:rPr>
          <w:rFonts w:cs="Arial"/>
        </w:rPr>
        <w:t xml:space="preserve">. </w:t>
      </w:r>
      <w:r w:rsidR="00731A21">
        <w:rPr>
          <w:rFonts w:cs="Arial"/>
        </w:rPr>
        <w:t>In addition to the federal requirements outlined in</w:t>
      </w:r>
      <w:r w:rsidR="008472C5" w:rsidRPr="002F0E3F">
        <w:rPr>
          <w:rFonts w:cs="Arial"/>
        </w:rPr>
        <w:t xml:space="preserve"> </w:t>
      </w:r>
      <w:proofErr w:type="gramStart"/>
      <w:r w:rsidR="008472C5" w:rsidRPr="002F0E3F">
        <w:rPr>
          <w:rFonts w:cs="Arial"/>
        </w:rPr>
        <w:t>the Every</w:t>
      </w:r>
      <w:proofErr w:type="gramEnd"/>
      <w:r w:rsidR="008472C5" w:rsidRPr="002F0E3F">
        <w:rPr>
          <w:rFonts w:cs="Arial"/>
        </w:rPr>
        <w:t xml:space="preserve"> Student Succeeds Act</w:t>
      </w:r>
      <w:r w:rsidR="00771561" w:rsidRPr="002F0E3F">
        <w:rPr>
          <w:rFonts w:cs="Arial"/>
        </w:rPr>
        <w:t xml:space="preserve"> </w:t>
      </w:r>
      <w:r w:rsidR="00731A21">
        <w:rPr>
          <w:rFonts w:cs="Arial"/>
        </w:rPr>
        <w:t xml:space="preserve">and </w:t>
      </w:r>
      <w:r w:rsidR="0042562F">
        <w:rPr>
          <w:rFonts w:cs="Arial"/>
        </w:rPr>
        <w:t xml:space="preserve">MEP guidance, survey data from MEP staff, parents, and out-of-school youth clearly identified </w:t>
      </w:r>
      <w:r w:rsidR="001938EE" w:rsidRPr="002F0E3F">
        <w:rPr>
          <w:rFonts w:cs="Arial"/>
        </w:rPr>
        <w:t>the focus areas that</w:t>
      </w:r>
      <w:r w:rsidR="00771561" w:rsidRPr="002F0E3F">
        <w:rPr>
          <w:rFonts w:cs="Arial"/>
        </w:rPr>
        <w:t xml:space="preserve"> need</w:t>
      </w:r>
      <w:r w:rsidR="001938EE" w:rsidRPr="002F0E3F">
        <w:rPr>
          <w:rFonts w:cs="Arial"/>
        </w:rPr>
        <w:t xml:space="preserve"> to be address</w:t>
      </w:r>
      <w:r w:rsidR="0042562F">
        <w:rPr>
          <w:rFonts w:cs="Arial"/>
        </w:rPr>
        <w:t>ed</w:t>
      </w:r>
      <w:r w:rsidR="001938EE" w:rsidRPr="002F0E3F">
        <w:rPr>
          <w:rFonts w:cs="Arial"/>
        </w:rPr>
        <w:t xml:space="preserve"> to increas</w:t>
      </w:r>
      <w:r w:rsidR="0042562F">
        <w:rPr>
          <w:rFonts w:cs="Arial"/>
        </w:rPr>
        <w:t>e</w:t>
      </w:r>
      <w:r w:rsidR="001938EE" w:rsidRPr="002F0E3F">
        <w:rPr>
          <w:rFonts w:cs="Arial"/>
        </w:rPr>
        <w:t xml:space="preserve"> migratory students’ academic</w:t>
      </w:r>
      <w:r w:rsidR="00F046C3">
        <w:rPr>
          <w:rFonts w:cs="Arial"/>
        </w:rPr>
        <w:t xml:space="preserve"> success and</w:t>
      </w:r>
      <w:r w:rsidR="001938EE" w:rsidRPr="002F0E3F">
        <w:rPr>
          <w:rFonts w:cs="Arial"/>
        </w:rPr>
        <w:t xml:space="preserve"> emotional, physical</w:t>
      </w:r>
      <w:r w:rsidR="00771561" w:rsidRPr="002F0E3F">
        <w:rPr>
          <w:rFonts w:cs="Arial"/>
        </w:rPr>
        <w:t>,</w:t>
      </w:r>
      <w:r w:rsidR="001938EE" w:rsidRPr="002F0E3F">
        <w:rPr>
          <w:rFonts w:cs="Arial"/>
        </w:rPr>
        <w:t xml:space="preserve"> and social </w:t>
      </w:r>
      <w:r w:rsidR="00F046C3">
        <w:rPr>
          <w:rFonts w:cs="Arial"/>
        </w:rPr>
        <w:t>well-being</w:t>
      </w:r>
      <w:r w:rsidR="001938EE" w:rsidRPr="002F0E3F">
        <w:rPr>
          <w:rFonts w:cs="Arial"/>
        </w:rPr>
        <w:t xml:space="preserve">. The </w:t>
      </w:r>
      <w:r w:rsidR="0042562F">
        <w:rPr>
          <w:rFonts w:cs="Arial"/>
        </w:rPr>
        <w:t>ten</w:t>
      </w:r>
      <w:r w:rsidR="001938EE" w:rsidRPr="002F0E3F">
        <w:rPr>
          <w:rFonts w:cs="Arial"/>
        </w:rPr>
        <w:t xml:space="preserve"> focus areas d</w:t>
      </w:r>
      <w:r w:rsidR="00EF3F24" w:rsidRPr="002F0E3F">
        <w:rPr>
          <w:rFonts w:cs="Arial"/>
        </w:rPr>
        <w:t>iscussed</w:t>
      </w:r>
      <w:r w:rsidR="001938EE" w:rsidRPr="002F0E3F">
        <w:rPr>
          <w:rFonts w:cs="Arial"/>
        </w:rPr>
        <w:t xml:space="preserve"> in th</w:t>
      </w:r>
      <w:r w:rsidR="00016BF7" w:rsidRPr="002F0E3F">
        <w:rPr>
          <w:rFonts w:cs="Arial"/>
        </w:rPr>
        <w:t>is report include</w:t>
      </w:r>
      <w:r w:rsidR="001938EE" w:rsidRPr="002F0E3F">
        <w:rPr>
          <w:rFonts w:cs="Arial"/>
        </w:rPr>
        <w:t>:</w:t>
      </w:r>
    </w:p>
    <w:p w14:paraId="179A13DC" w14:textId="249798B3" w:rsidR="001938EE" w:rsidRPr="002F0E3F" w:rsidRDefault="001938EE" w:rsidP="009670FC">
      <w:pPr>
        <w:pStyle w:val="ListParagraph"/>
        <w:numPr>
          <w:ilvl w:val="0"/>
          <w:numId w:val="15"/>
        </w:numPr>
        <w:contextualSpacing w:val="0"/>
        <w:rPr>
          <w:rFonts w:cs="Arial"/>
        </w:rPr>
      </w:pPr>
      <w:r w:rsidRPr="002F0E3F">
        <w:rPr>
          <w:rFonts w:cs="Arial"/>
        </w:rPr>
        <w:t>English Language Arts</w:t>
      </w:r>
      <w:r w:rsidR="0042562F">
        <w:rPr>
          <w:rFonts w:cs="Arial"/>
        </w:rPr>
        <w:t xml:space="preserve"> (ELA)</w:t>
      </w:r>
    </w:p>
    <w:p w14:paraId="35D8F2F4" w14:textId="77777777" w:rsidR="001938EE" w:rsidRPr="002F0E3F" w:rsidRDefault="001938EE" w:rsidP="009670FC">
      <w:pPr>
        <w:pStyle w:val="ListParagraph"/>
        <w:numPr>
          <w:ilvl w:val="0"/>
          <w:numId w:val="15"/>
        </w:numPr>
        <w:contextualSpacing w:val="0"/>
        <w:rPr>
          <w:rFonts w:cs="Arial"/>
        </w:rPr>
      </w:pPr>
      <w:r w:rsidRPr="002F0E3F">
        <w:rPr>
          <w:rFonts w:cs="Arial"/>
        </w:rPr>
        <w:t>Mathematics</w:t>
      </w:r>
    </w:p>
    <w:p w14:paraId="2591F2F3" w14:textId="77777777" w:rsidR="008A5FBF" w:rsidRPr="002F0E3F" w:rsidRDefault="008A5FBF" w:rsidP="009670FC">
      <w:pPr>
        <w:pStyle w:val="ListParagraph"/>
        <w:numPr>
          <w:ilvl w:val="0"/>
          <w:numId w:val="15"/>
        </w:numPr>
        <w:contextualSpacing w:val="0"/>
        <w:rPr>
          <w:rFonts w:cs="Arial"/>
        </w:rPr>
      </w:pPr>
      <w:r w:rsidRPr="002F0E3F">
        <w:rPr>
          <w:rFonts w:cs="Arial"/>
        </w:rPr>
        <w:t>English Language Development</w:t>
      </w:r>
      <w:r>
        <w:rPr>
          <w:rFonts w:cs="Arial"/>
        </w:rPr>
        <w:t xml:space="preserve"> (ELD)</w:t>
      </w:r>
    </w:p>
    <w:p w14:paraId="1678C74B" w14:textId="77777777" w:rsidR="008A5FBF" w:rsidRPr="002F0E3F" w:rsidRDefault="008A5FBF" w:rsidP="009670FC">
      <w:pPr>
        <w:pStyle w:val="ListParagraph"/>
        <w:numPr>
          <w:ilvl w:val="0"/>
          <w:numId w:val="15"/>
        </w:numPr>
        <w:contextualSpacing w:val="0"/>
        <w:rPr>
          <w:rFonts w:cs="Arial"/>
        </w:rPr>
      </w:pPr>
      <w:r w:rsidRPr="002F0E3F">
        <w:rPr>
          <w:rFonts w:cs="Arial"/>
        </w:rPr>
        <w:t>High School Graduation and Dropout Prevention</w:t>
      </w:r>
    </w:p>
    <w:p w14:paraId="5EED4CFC" w14:textId="77777777" w:rsidR="001938EE" w:rsidRPr="002F0E3F" w:rsidRDefault="001938EE" w:rsidP="009670FC">
      <w:pPr>
        <w:pStyle w:val="ListParagraph"/>
        <w:numPr>
          <w:ilvl w:val="0"/>
          <w:numId w:val="15"/>
        </w:numPr>
        <w:contextualSpacing w:val="0"/>
        <w:rPr>
          <w:rFonts w:cs="Arial"/>
        </w:rPr>
      </w:pPr>
      <w:r w:rsidRPr="002F0E3F">
        <w:rPr>
          <w:rFonts w:cs="Arial"/>
        </w:rPr>
        <w:t>School Readiness</w:t>
      </w:r>
    </w:p>
    <w:p w14:paraId="70CE5361" w14:textId="7B670D15" w:rsidR="001938EE" w:rsidRPr="002F0E3F" w:rsidRDefault="001938EE" w:rsidP="009670FC">
      <w:pPr>
        <w:pStyle w:val="ListParagraph"/>
        <w:numPr>
          <w:ilvl w:val="0"/>
          <w:numId w:val="15"/>
        </w:numPr>
        <w:contextualSpacing w:val="0"/>
        <w:rPr>
          <w:rFonts w:cs="Arial"/>
        </w:rPr>
      </w:pPr>
      <w:r w:rsidRPr="002F0E3F">
        <w:rPr>
          <w:rFonts w:cs="Arial"/>
        </w:rPr>
        <w:t>Out-of-School Youth</w:t>
      </w:r>
    </w:p>
    <w:p w14:paraId="3661A5BA" w14:textId="77777777" w:rsidR="001938EE" w:rsidRDefault="001938EE" w:rsidP="009670FC">
      <w:pPr>
        <w:pStyle w:val="ListParagraph"/>
        <w:numPr>
          <w:ilvl w:val="0"/>
          <w:numId w:val="15"/>
        </w:numPr>
        <w:contextualSpacing w:val="0"/>
        <w:rPr>
          <w:rFonts w:cs="Arial"/>
        </w:rPr>
      </w:pPr>
      <w:r w:rsidRPr="002F0E3F">
        <w:rPr>
          <w:rFonts w:cs="Arial"/>
        </w:rPr>
        <w:t>Health</w:t>
      </w:r>
    </w:p>
    <w:p w14:paraId="5B1FA337" w14:textId="77777777" w:rsidR="001938EE" w:rsidRPr="002F0E3F" w:rsidRDefault="001938EE" w:rsidP="009670FC">
      <w:pPr>
        <w:pStyle w:val="ListParagraph"/>
        <w:numPr>
          <w:ilvl w:val="0"/>
          <w:numId w:val="15"/>
        </w:numPr>
        <w:contextualSpacing w:val="0"/>
        <w:rPr>
          <w:rFonts w:cs="Arial"/>
        </w:rPr>
      </w:pPr>
      <w:r w:rsidRPr="002F0E3F">
        <w:rPr>
          <w:rFonts w:cs="Arial"/>
        </w:rPr>
        <w:t>Parent and Family Engagement</w:t>
      </w:r>
    </w:p>
    <w:p w14:paraId="67C55C3B" w14:textId="77777777" w:rsidR="001938EE" w:rsidRDefault="001938EE" w:rsidP="009670FC">
      <w:pPr>
        <w:pStyle w:val="ListParagraph"/>
        <w:numPr>
          <w:ilvl w:val="0"/>
          <w:numId w:val="15"/>
        </w:numPr>
        <w:contextualSpacing w:val="0"/>
        <w:rPr>
          <w:rFonts w:cs="Arial"/>
        </w:rPr>
      </w:pPr>
      <w:r w:rsidRPr="002F0E3F">
        <w:rPr>
          <w:rFonts w:cs="Arial"/>
        </w:rPr>
        <w:t>Students Engagement</w:t>
      </w:r>
    </w:p>
    <w:p w14:paraId="5BDB98B9" w14:textId="55561D9B" w:rsidR="008A5FBF" w:rsidRPr="008A5FBF" w:rsidRDefault="008A5FBF" w:rsidP="009670FC">
      <w:pPr>
        <w:pStyle w:val="ListParagraph"/>
        <w:numPr>
          <w:ilvl w:val="0"/>
          <w:numId w:val="15"/>
        </w:numPr>
        <w:spacing w:after="240"/>
        <w:contextualSpacing w:val="0"/>
        <w:rPr>
          <w:rFonts w:cs="Arial"/>
        </w:rPr>
      </w:pPr>
      <w:r>
        <w:rPr>
          <w:rFonts w:cs="Arial"/>
        </w:rPr>
        <w:t>Social and Emotional Learning</w:t>
      </w:r>
    </w:p>
    <w:p w14:paraId="197028D0" w14:textId="35CE18B8" w:rsidR="00981BE2" w:rsidRPr="002F0E3F" w:rsidRDefault="001938EE" w:rsidP="00043BAC">
      <w:pPr>
        <w:spacing w:after="240"/>
        <w:rPr>
          <w:rFonts w:cs="Arial"/>
        </w:rPr>
      </w:pPr>
      <w:r w:rsidRPr="002F0E3F">
        <w:rPr>
          <w:rFonts w:cs="Arial"/>
        </w:rPr>
        <w:t xml:space="preserve">The </w:t>
      </w:r>
      <w:r w:rsidR="0042562F">
        <w:rPr>
          <w:rFonts w:cs="Arial"/>
        </w:rPr>
        <w:t>CNA SDP C</w:t>
      </w:r>
      <w:r w:rsidR="00981BE2" w:rsidRPr="002F0E3F">
        <w:rPr>
          <w:rFonts w:cs="Arial"/>
        </w:rPr>
        <w:t xml:space="preserve">ommittee </w:t>
      </w:r>
      <w:r w:rsidR="007E4EA1" w:rsidRPr="002F0E3F">
        <w:rPr>
          <w:rFonts w:cs="Arial"/>
        </w:rPr>
        <w:t>reviewed the data to develop</w:t>
      </w:r>
      <w:r w:rsidR="00981BE2" w:rsidRPr="002F0E3F">
        <w:rPr>
          <w:rFonts w:cs="Arial"/>
        </w:rPr>
        <w:t xml:space="preserve"> the</w:t>
      </w:r>
      <w:r w:rsidR="007E4EA1" w:rsidRPr="002F0E3F">
        <w:rPr>
          <w:rFonts w:cs="Arial"/>
        </w:rPr>
        <w:t xml:space="preserve"> </w:t>
      </w:r>
      <w:r w:rsidRPr="002F0E3F">
        <w:rPr>
          <w:rFonts w:cs="Arial"/>
        </w:rPr>
        <w:t>key decision points</w:t>
      </w:r>
      <w:r w:rsidR="009F191D" w:rsidRPr="002F0E3F">
        <w:rPr>
          <w:rFonts w:cs="Arial"/>
        </w:rPr>
        <w:t xml:space="preserve"> for each focus area</w:t>
      </w:r>
      <w:r w:rsidRPr="002F0E3F">
        <w:rPr>
          <w:rFonts w:cs="Arial"/>
        </w:rPr>
        <w:t xml:space="preserve"> identified </w:t>
      </w:r>
      <w:r w:rsidR="009F191D" w:rsidRPr="002F0E3F">
        <w:rPr>
          <w:rFonts w:cs="Arial"/>
        </w:rPr>
        <w:t xml:space="preserve">within </w:t>
      </w:r>
      <w:r w:rsidR="008A5FBF">
        <w:rPr>
          <w:rFonts w:cs="Arial"/>
          <w:i/>
          <w:iCs/>
        </w:rPr>
        <w:t>Section IV: R</w:t>
      </w:r>
      <w:r w:rsidR="009F191D" w:rsidRPr="0042562F">
        <w:rPr>
          <w:rFonts w:cs="Arial"/>
          <w:i/>
          <w:iCs/>
        </w:rPr>
        <w:t>esults and Findings</w:t>
      </w:r>
      <w:r w:rsidR="00016BF7" w:rsidRPr="002F0E3F">
        <w:rPr>
          <w:rFonts w:cs="Arial"/>
        </w:rPr>
        <w:t xml:space="preserve"> of this</w:t>
      </w:r>
      <w:r w:rsidRPr="002F0E3F">
        <w:rPr>
          <w:rFonts w:cs="Arial"/>
        </w:rPr>
        <w:t xml:space="preserve"> report</w:t>
      </w:r>
      <w:r w:rsidR="0042562F">
        <w:rPr>
          <w:rFonts w:cs="Arial"/>
        </w:rPr>
        <w:t>. These decision points include</w:t>
      </w:r>
      <w:r w:rsidR="00981BE2" w:rsidRPr="002F0E3F">
        <w:rPr>
          <w:rFonts w:cs="Arial"/>
        </w:rPr>
        <w:t xml:space="preserve"> conc</w:t>
      </w:r>
      <w:r w:rsidR="00527BBA" w:rsidRPr="002F0E3F">
        <w:rPr>
          <w:rFonts w:cs="Arial"/>
        </w:rPr>
        <w:t>ern statements</w:t>
      </w:r>
      <w:r w:rsidR="0042562F">
        <w:rPr>
          <w:rFonts w:cs="Arial"/>
        </w:rPr>
        <w:t xml:space="preserve"> based on the analyzed data</w:t>
      </w:r>
      <w:r w:rsidR="00527BBA" w:rsidRPr="002F0E3F">
        <w:rPr>
          <w:rFonts w:cs="Arial"/>
        </w:rPr>
        <w:t>, need statements</w:t>
      </w:r>
      <w:r w:rsidR="00771561" w:rsidRPr="002F0E3F">
        <w:rPr>
          <w:rFonts w:cs="Arial"/>
        </w:rPr>
        <w:t>,</w:t>
      </w:r>
      <w:r w:rsidR="00981BE2" w:rsidRPr="002F0E3F">
        <w:rPr>
          <w:rFonts w:cs="Arial"/>
        </w:rPr>
        <w:t xml:space="preserve"> and initial strategies </w:t>
      </w:r>
      <w:r w:rsidR="008A5FBF">
        <w:rPr>
          <w:rFonts w:cs="Arial"/>
        </w:rPr>
        <w:t xml:space="preserve">recommended </w:t>
      </w:r>
      <w:r w:rsidR="00981BE2" w:rsidRPr="002F0E3F">
        <w:rPr>
          <w:rFonts w:cs="Arial"/>
        </w:rPr>
        <w:t xml:space="preserve">to address the unique educational needs of migratory children. </w:t>
      </w:r>
      <w:r w:rsidR="00E6714A">
        <w:rPr>
          <w:rFonts w:cs="Arial"/>
        </w:rPr>
        <w:t>In addition, t</w:t>
      </w:r>
      <w:r w:rsidR="0042562F">
        <w:rPr>
          <w:rFonts w:cs="Arial"/>
        </w:rPr>
        <w:t xml:space="preserve">he CNA SDP Committee </w:t>
      </w:r>
      <w:r w:rsidR="00E6714A">
        <w:rPr>
          <w:rFonts w:cs="Arial"/>
        </w:rPr>
        <w:t>discussed factors</w:t>
      </w:r>
      <w:r w:rsidR="0042562F">
        <w:rPr>
          <w:rFonts w:cs="Arial"/>
        </w:rPr>
        <w:t xml:space="preserve"> </w:t>
      </w:r>
      <w:r w:rsidR="00E6714A">
        <w:rPr>
          <w:rFonts w:cs="Arial"/>
        </w:rPr>
        <w:t xml:space="preserve">the CDE should consider when developing </w:t>
      </w:r>
      <w:r w:rsidR="0042562F">
        <w:rPr>
          <w:rFonts w:cs="Arial"/>
        </w:rPr>
        <w:t>the</w:t>
      </w:r>
      <w:r w:rsidR="00E6714A">
        <w:rPr>
          <w:rFonts w:cs="Arial"/>
        </w:rPr>
        <w:t xml:space="preserve"> SDP</w:t>
      </w:r>
      <w:r w:rsidR="0042562F">
        <w:rPr>
          <w:rFonts w:cs="Arial"/>
        </w:rPr>
        <w:t xml:space="preserve"> strategies’ aligning measurable program objectives </w:t>
      </w:r>
      <w:r w:rsidR="00E6714A">
        <w:rPr>
          <w:rFonts w:cs="Arial"/>
        </w:rPr>
        <w:t>(MPOs) which</w:t>
      </w:r>
      <w:r w:rsidR="0042562F">
        <w:rPr>
          <w:rFonts w:cs="Arial"/>
        </w:rPr>
        <w:t xml:space="preserve"> measure </w:t>
      </w:r>
      <w:r w:rsidR="00E6714A">
        <w:rPr>
          <w:rFonts w:cs="Arial"/>
        </w:rPr>
        <w:t xml:space="preserve">annual </w:t>
      </w:r>
      <w:r w:rsidR="0042562F">
        <w:rPr>
          <w:rFonts w:cs="Arial"/>
        </w:rPr>
        <w:t xml:space="preserve">strategy implementation. </w:t>
      </w:r>
      <w:r w:rsidR="00E6714A">
        <w:rPr>
          <w:rFonts w:cs="Arial"/>
        </w:rPr>
        <w:t>These MPO considerations were based on the field’s experience with the past MPOs, specifically how students are identified for inclusion for individual MPOs. Recognizing that the purpose of the CNA is to identify the unique needs of migratory children and youth, t</w:t>
      </w:r>
      <w:r w:rsidR="00016BF7" w:rsidRPr="002F0E3F">
        <w:rPr>
          <w:rFonts w:cs="Arial"/>
        </w:rPr>
        <w:t xml:space="preserve">his executive summary highlights </w:t>
      </w:r>
      <w:r w:rsidR="00E6714A">
        <w:rPr>
          <w:rFonts w:cs="Arial"/>
        </w:rPr>
        <w:t>several</w:t>
      </w:r>
      <w:r w:rsidR="00016BF7" w:rsidRPr="002F0E3F">
        <w:rPr>
          <w:rFonts w:cs="Arial"/>
        </w:rPr>
        <w:t xml:space="preserve"> needs identified by the </w:t>
      </w:r>
      <w:r w:rsidR="0042562F">
        <w:rPr>
          <w:rFonts w:cs="Arial"/>
        </w:rPr>
        <w:t>CNA SDP C</w:t>
      </w:r>
      <w:r w:rsidR="00016BF7" w:rsidRPr="002F0E3F">
        <w:rPr>
          <w:rFonts w:cs="Arial"/>
        </w:rPr>
        <w:t>ommittee</w:t>
      </w:r>
      <w:r w:rsidR="000A75CB">
        <w:rPr>
          <w:rFonts w:cs="Arial"/>
        </w:rPr>
        <w:t xml:space="preserve"> in relation to their non-regulatory peers</w:t>
      </w:r>
      <w:r w:rsidR="00FA6D34" w:rsidRPr="002F0E3F">
        <w:rPr>
          <w:rFonts w:cs="Arial"/>
        </w:rPr>
        <w:t xml:space="preserve"> in key focus areas</w:t>
      </w:r>
      <w:r w:rsidR="00E6714A">
        <w:rPr>
          <w:rFonts w:cs="Arial"/>
        </w:rPr>
        <w:t xml:space="preserve"> below</w:t>
      </w:r>
      <w:r w:rsidR="00016BF7" w:rsidRPr="002F0E3F">
        <w:rPr>
          <w:rFonts w:cs="Arial"/>
        </w:rPr>
        <w:t>:</w:t>
      </w:r>
    </w:p>
    <w:p w14:paraId="7EDA842F" w14:textId="77777777" w:rsidR="00016BF7" w:rsidRPr="002F0E3F" w:rsidRDefault="00016BF7" w:rsidP="00043BAC">
      <w:pPr>
        <w:spacing w:after="240"/>
        <w:rPr>
          <w:rFonts w:cs="Arial"/>
        </w:rPr>
      </w:pPr>
      <w:r w:rsidRPr="002F0E3F">
        <w:rPr>
          <w:rFonts w:cs="Arial"/>
        </w:rPr>
        <w:lastRenderedPageBreak/>
        <w:t>English Language Arts</w:t>
      </w:r>
    </w:p>
    <w:p w14:paraId="200DEA00" w14:textId="029393F9" w:rsidR="00016BF7" w:rsidRPr="002F0E3F" w:rsidRDefault="0042562F" w:rsidP="009670FC">
      <w:pPr>
        <w:pStyle w:val="ListParagraph"/>
        <w:numPr>
          <w:ilvl w:val="0"/>
          <w:numId w:val="20"/>
        </w:numPr>
        <w:spacing w:after="240"/>
        <w:ind w:right="720"/>
        <w:contextualSpacing w:val="0"/>
        <w:rPr>
          <w:rFonts w:cs="Arial"/>
        </w:rPr>
      </w:pPr>
      <w:r w:rsidRPr="00963D4A">
        <w:rPr>
          <w:rFonts w:cs="Arial"/>
        </w:rPr>
        <w:t>Migratory students need to improve their proficiency on the overall ELA standards by an additional 23.2</w:t>
      </w:r>
      <w:r w:rsidR="00EA754F">
        <w:t> percent</w:t>
      </w:r>
      <w:r w:rsidRPr="00963D4A">
        <w:rPr>
          <w:rFonts w:cs="Arial"/>
        </w:rPr>
        <w:t>.</w:t>
      </w:r>
    </w:p>
    <w:p w14:paraId="50D6BD45" w14:textId="52F9DD0A" w:rsidR="00016BF7" w:rsidRPr="002F0E3F" w:rsidRDefault="008433DB" w:rsidP="009670FC">
      <w:pPr>
        <w:pStyle w:val="ListParagraph"/>
        <w:numPr>
          <w:ilvl w:val="0"/>
          <w:numId w:val="20"/>
        </w:numPr>
        <w:spacing w:after="240"/>
        <w:ind w:right="720"/>
        <w:contextualSpacing w:val="0"/>
        <w:rPr>
          <w:rFonts w:cs="Arial"/>
        </w:rPr>
      </w:pPr>
      <w:r>
        <w:rPr>
          <w:rFonts w:cs="Arial"/>
        </w:rPr>
        <w:t>Approximately 19</w:t>
      </w:r>
      <w:r w:rsidR="00EA754F">
        <w:t> percent</w:t>
      </w:r>
      <w:r w:rsidR="0042562F">
        <w:rPr>
          <w:rFonts w:cs="Arial"/>
        </w:rPr>
        <w:t xml:space="preserve"> of </w:t>
      </w:r>
      <w:r w:rsidR="0042562F" w:rsidRPr="00963D4A">
        <w:rPr>
          <w:rFonts w:cs="Arial"/>
        </w:rPr>
        <w:t xml:space="preserve">MEP students need to increase their proficiency on the </w:t>
      </w:r>
      <w:r w:rsidR="0042562F">
        <w:rPr>
          <w:rFonts w:cs="Arial"/>
        </w:rPr>
        <w:t>California Assessment</w:t>
      </w:r>
      <w:r w:rsidR="006C6A92">
        <w:rPr>
          <w:rFonts w:cs="Arial"/>
        </w:rPr>
        <w:t xml:space="preserve"> of Student</w:t>
      </w:r>
      <w:r w:rsidR="0042562F">
        <w:rPr>
          <w:rFonts w:cs="Arial"/>
        </w:rPr>
        <w:t xml:space="preserve"> Performance</w:t>
      </w:r>
      <w:r w:rsidR="006C6A92">
        <w:rPr>
          <w:rFonts w:cs="Arial"/>
        </w:rPr>
        <w:t xml:space="preserve"> and</w:t>
      </w:r>
      <w:r w:rsidR="0042562F">
        <w:rPr>
          <w:rFonts w:cs="Arial"/>
        </w:rPr>
        <w:t xml:space="preserve"> Progress (</w:t>
      </w:r>
      <w:r w:rsidR="0042562F" w:rsidRPr="00963D4A">
        <w:rPr>
          <w:rFonts w:cs="Arial"/>
        </w:rPr>
        <w:t>CAASPP</w:t>
      </w:r>
      <w:r w:rsidR="0042562F">
        <w:rPr>
          <w:rFonts w:cs="Arial"/>
        </w:rPr>
        <w:t>)</w:t>
      </w:r>
      <w:r w:rsidR="0042562F" w:rsidRPr="00963D4A">
        <w:rPr>
          <w:rFonts w:cs="Arial"/>
        </w:rPr>
        <w:t xml:space="preserve"> ELA Reading </w:t>
      </w:r>
      <w:r w:rsidR="0042562F">
        <w:rPr>
          <w:rFonts w:cs="Arial"/>
        </w:rPr>
        <w:t>c</w:t>
      </w:r>
      <w:r w:rsidR="0042562F" w:rsidRPr="00963D4A">
        <w:rPr>
          <w:rFonts w:cs="Arial"/>
        </w:rPr>
        <w:t>laim</w:t>
      </w:r>
      <w:r w:rsidR="0042562F">
        <w:rPr>
          <w:rFonts w:cs="Arial"/>
        </w:rPr>
        <w:t>.</w:t>
      </w:r>
    </w:p>
    <w:p w14:paraId="5927CD8B" w14:textId="77777777" w:rsidR="00016BF7" w:rsidRPr="002F0E3F" w:rsidRDefault="00016BF7" w:rsidP="00043BAC">
      <w:pPr>
        <w:spacing w:after="240"/>
        <w:rPr>
          <w:rFonts w:cs="Arial"/>
        </w:rPr>
      </w:pPr>
      <w:r w:rsidRPr="002F0E3F">
        <w:rPr>
          <w:rFonts w:cs="Arial"/>
        </w:rPr>
        <w:t>English Language Development</w:t>
      </w:r>
    </w:p>
    <w:p w14:paraId="6705204A" w14:textId="18C3F336" w:rsidR="00016BF7" w:rsidRDefault="0042562F" w:rsidP="009670FC">
      <w:pPr>
        <w:pStyle w:val="ListParagraph"/>
        <w:numPr>
          <w:ilvl w:val="0"/>
          <w:numId w:val="21"/>
        </w:numPr>
        <w:spacing w:after="240"/>
        <w:contextualSpacing w:val="0"/>
        <w:rPr>
          <w:rFonts w:cs="Arial"/>
        </w:rPr>
      </w:pPr>
      <w:r>
        <w:rPr>
          <w:rFonts w:cs="Arial"/>
        </w:rPr>
        <w:t>An additional 3.2</w:t>
      </w:r>
      <w:r w:rsidR="00EA754F">
        <w:t> </w:t>
      </w:r>
      <w:r>
        <w:rPr>
          <w:rFonts w:cs="Arial"/>
        </w:rPr>
        <w:t>percent of migratory students need to be proficient on the reading domain of the English Language Proficiency Assessment for California (ELPAC).</w:t>
      </w:r>
    </w:p>
    <w:p w14:paraId="18E5D695" w14:textId="7147827B" w:rsidR="006C6A92" w:rsidRPr="002F0E3F" w:rsidRDefault="006C6A92" w:rsidP="009670FC">
      <w:pPr>
        <w:pStyle w:val="ListParagraph"/>
        <w:numPr>
          <w:ilvl w:val="0"/>
          <w:numId w:val="21"/>
        </w:numPr>
        <w:spacing w:after="240"/>
        <w:contextualSpacing w:val="0"/>
        <w:rPr>
          <w:rFonts w:cs="Arial"/>
        </w:rPr>
      </w:pPr>
      <w:r>
        <w:rPr>
          <w:rFonts w:cs="Arial"/>
        </w:rPr>
        <w:t>An additional 4.7</w:t>
      </w:r>
      <w:r w:rsidR="00EA754F">
        <w:t> </w:t>
      </w:r>
      <w:r>
        <w:rPr>
          <w:rFonts w:cs="Arial"/>
        </w:rPr>
        <w:t xml:space="preserve">percent of migratory students need to score at </w:t>
      </w:r>
      <w:r w:rsidR="0022001E">
        <w:rPr>
          <w:rFonts w:cs="Arial"/>
        </w:rPr>
        <w:t>l</w:t>
      </w:r>
      <w:r>
        <w:rPr>
          <w:rFonts w:cs="Arial"/>
        </w:rPr>
        <w:t>evel 4 on the overall ELPAC.</w:t>
      </w:r>
    </w:p>
    <w:p w14:paraId="4AB4AC12" w14:textId="77777777" w:rsidR="00016BF7" w:rsidRPr="002F0E3F" w:rsidRDefault="00016BF7" w:rsidP="00043BAC">
      <w:pPr>
        <w:spacing w:after="240"/>
        <w:rPr>
          <w:rFonts w:cs="Arial"/>
        </w:rPr>
      </w:pPr>
      <w:r w:rsidRPr="002F0E3F">
        <w:rPr>
          <w:rFonts w:cs="Arial"/>
        </w:rPr>
        <w:t>Mathematics</w:t>
      </w:r>
    </w:p>
    <w:p w14:paraId="103A0BAE" w14:textId="6FA6F67C" w:rsidR="00016BF7" w:rsidRDefault="006C6A92" w:rsidP="009670FC">
      <w:pPr>
        <w:pStyle w:val="ListParagraph"/>
        <w:numPr>
          <w:ilvl w:val="0"/>
          <w:numId w:val="21"/>
        </w:numPr>
        <w:spacing w:after="240"/>
        <w:contextualSpacing w:val="0"/>
        <w:rPr>
          <w:rFonts w:cs="Arial"/>
        </w:rPr>
      </w:pPr>
      <w:r w:rsidRPr="006C6A92">
        <w:rPr>
          <w:rFonts w:cs="Arial"/>
        </w:rPr>
        <w:t>An additional 20.3</w:t>
      </w:r>
      <w:r w:rsidR="00EA754F">
        <w:t> </w:t>
      </w:r>
      <w:r w:rsidRPr="006C6A92">
        <w:rPr>
          <w:rFonts w:cs="Arial"/>
        </w:rPr>
        <w:t>percent of migratory students need to be proficient in mathematics as measured by the CAASPP Math assessment</w:t>
      </w:r>
      <w:r w:rsidR="00016BF7" w:rsidRPr="006C6A92">
        <w:rPr>
          <w:rFonts w:cs="Arial"/>
        </w:rPr>
        <w:t xml:space="preserve"> to close the overall mathematics achievement gap.</w:t>
      </w:r>
    </w:p>
    <w:p w14:paraId="66A1676D" w14:textId="7B937051" w:rsidR="006C6A92" w:rsidRPr="006C6A92" w:rsidRDefault="006C6A92" w:rsidP="009670FC">
      <w:pPr>
        <w:pStyle w:val="ListParagraph"/>
        <w:numPr>
          <w:ilvl w:val="0"/>
          <w:numId w:val="21"/>
        </w:numPr>
        <w:spacing w:after="240"/>
        <w:contextualSpacing w:val="0"/>
        <w:rPr>
          <w:rFonts w:cs="Arial"/>
        </w:rPr>
      </w:pPr>
      <w:r w:rsidRPr="006C6A92">
        <w:rPr>
          <w:rFonts w:cs="Arial"/>
        </w:rPr>
        <w:t>An additional 13.5</w:t>
      </w:r>
      <w:r w:rsidR="00EA754F">
        <w:t> </w:t>
      </w:r>
      <w:r w:rsidRPr="006C6A92">
        <w:rPr>
          <w:rFonts w:cs="Arial"/>
        </w:rPr>
        <w:t>percent of migratory students need to score abo</w:t>
      </w:r>
      <w:r w:rsidR="000B6E4E">
        <w:rPr>
          <w:rFonts w:cs="Arial"/>
        </w:rPr>
        <w:t>ve</w:t>
      </w:r>
      <w:r w:rsidRPr="006C6A92">
        <w:rPr>
          <w:rFonts w:cs="Arial"/>
        </w:rPr>
        <w:t xml:space="preserve"> standard on the CAASPP Math Concepts and Procedures</w:t>
      </w:r>
      <w:r>
        <w:rPr>
          <w:rFonts w:cs="Arial"/>
        </w:rPr>
        <w:t>.</w:t>
      </w:r>
      <w:r w:rsidRPr="006C6A92">
        <w:rPr>
          <w:rFonts w:cs="Arial"/>
        </w:rPr>
        <w:t xml:space="preserve"> </w:t>
      </w:r>
    </w:p>
    <w:p w14:paraId="1DDEBD39" w14:textId="77777777" w:rsidR="00016BF7" w:rsidRPr="002F0E3F" w:rsidRDefault="00016BF7" w:rsidP="00043BAC">
      <w:pPr>
        <w:spacing w:after="240"/>
        <w:rPr>
          <w:rFonts w:cs="Arial"/>
        </w:rPr>
      </w:pPr>
      <w:r w:rsidRPr="002F0E3F">
        <w:rPr>
          <w:rFonts w:cs="Arial"/>
        </w:rPr>
        <w:t>High School Graduation and Dropout Prevention</w:t>
      </w:r>
    </w:p>
    <w:p w14:paraId="50F8AAE0" w14:textId="5B4A0186" w:rsidR="006C6A92" w:rsidRPr="008A5FBF" w:rsidRDefault="008A5FBF" w:rsidP="009670FC">
      <w:pPr>
        <w:pStyle w:val="ListParagraph"/>
        <w:numPr>
          <w:ilvl w:val="0"/>
          <w:numId w:val="63"/>
        </w:numPr>
        <w:spacing w:after="240"/>
        <w:ind w:right="720"/>
        <w:contextualSpacing w:val="0"/>
        <w:rPr>
          <w:rFonts w:cs="Arial"/>
        </w:rPr>
      </w:pPr>
      <w:r w:rsidRPr="008A5FBF">
        <w:rPr>
          <w:rFonts w:cs="Arial"/>
        </w:rPr>
        <w:t>Compared to 52.4</w:t>
      </w:r>
      <w:r>
        <w:t> </w:t>
      </w:r>
      <w:r w:rsidRPr="008A5FBF">
        <w:rPr>
          <w:rFonts w:cs="Arial"/>
        </w:rPr>
        <w:t>percent of all students, o</w:t>
      </w:r>
      <w:r w:rsidR="006C6A92" w:rsidRPr="008A5FBF">
        <w:rPr>
          <w:rFonts w:cs="Arial"/>
        </w:rPr>
        <w:t>nly 31.1</w:t>
      </w:r>
      <w:r w:rsidR="00EA754F">
        <w:t> </w:t>
      </w:r>
      <w:r w:rsidR="006C6A92" w:rsidRPr="008A5FBF">
        <w:rPr>
          <w:rFonts w:cs="Arial"/>
        </w:rPr>
        <w:t>percent of migratory students met the U</w:t>
      </w:r>
      <w:r w:rsidR="0022001E">
        <w:rPr>
          <w:rFonts w:cs="Arial"/>
        </w:rPr>
        <w:t>niversity of California (UC)</w:t>
      </w:r>
      <w:r w:rsidR="006C6A92" w:rsidRPr="008A5FBF">
        <w:rPr>
          <w:rFonts w:cs="Arial"/>
        </w:rPr>
        <w:t>/C</w:t>
      </w:r>
      <w:r w:rsidR="0022001E">
        <w:rPr>
          <w:rFonts w:cs="Arial"/>
        </w:rPr>
        <w:t xml:space="preserve">alifornia </w:t>
      </w:r>
      <w:r w:rsidR="006C6A92" w:rsidRPr="008A5FBF">
        <w:rPr>
          <w:rFonts w:cs="Arial"/>
        </w:rPr>
        <w:t>S</w:t>
      </w:r>
      <w:r w:rsidR="0022001E">
        <w:rPr>
          <w:rFonts w:cs="Arial"/>
        </w:rPr>
        <w:t xml:space="preserve">tate </w:t>
      </w:r>
      <w:r w:rsidR="006C6A92" w:rsidRPr="008A5FBF">
        <w:rPr>
          <w:rFonts w:cs="Arial"/>
        </w:rPr>
        <w:t>U</w:t>
      </w:r>
      <w:r w:rsidR="0022001E">
        <w:rPr>
          <w:rFonts w:cs="Arial"/>
        </w:rPr>
        <w:t xml:space="preserve">niversity (CSU) </w:t>
      </w:r>
      <w:r w:rsidR="006C6A92" w:rsidRPr="008A5FBF">
        <w:rPr>
          <w:rFonts w:cs="Arial"/>
        </w:rPr>
        <w:t>requirements in</w:t>
      </w:r>
      <w:r w:rsidR="00F7314C">
        <w:rPr>
          <w:rFonts w:cs="Arial"/>
        </w:rPr>
        <w:t xml:space="preserve"> the</w:t>
      </w:r>
      <w:r w:rsidR="006C6A92" w:rsidRPr="008A5FBF">
        <w:rPr>
          <w:rFonts w:cs="Arial"/>
        </w:rPr>
        <w:t xml:space="preserve"> 2022–23</w:t>
      </w:r>
      <w:r w:rsidR="00F7314C">
        <w:rPr>
          <w:rFonts w:cs="Arial"/>
        </w:rPr>
        <w:t xml:space="preserve"> school year</w:t>
      </w:r>
      <w:r w:rsidR="006C6A92" w:rsidRPr="008A5FBF">
        <w:rPr>
          <w:rFonts w:cs="Arial"/>
        </w:rPr>
        <w:t xml:space="preserve">. </w:t>
      </w:r>
      <w:r w:rsidRPr="008A5FBF">
        <w:rPr>
          <w:rFonts w:cs="Arial"/>
        </w:rPr>
        <w:t>An additional 21.3</w:t>
      </w:r>
      <w:r>
        <w:t> </w:t>
      </w:r>
      <w:r w:rsidRPr="008A5FBF">
        <w:rPr>
          <w:rFonts w:cs="Arial"/>
        </w:rPr>
        <w:t>percent of migratory students need to meet the UC/CSU requirements.</w:t>
      </w:r>
    </w:p>
    <w:p w14:paraId="050DF13A" w14:textId="55BE2D5F" w:rsidR="00016BF7" w:rsidRDefault="006C6A92" w:rsidP="009670FC">
      <w:pPr>
        <w:pStyle w:val="ListParagraph"/>
        <w:numPr>
          <w:ilvl w:val="0"/>
          <w:numId w:val="21"/>
        </w:numPr>
        <w:spacing w:after="240"/>
        <w:rPr>
          <w:rFonts w:cs="Arial"/>
        </w:rPr>
      </w:pPr>
      <w:r w:rsidRPr="006C6A92">
        <w:rPr>
          <w:rFonts w:cs="Arial"/>
        </w:rPr>
        <w:t>The percentage of migratory students dropping out needs to be reduced by at least 1.9</w:t>
      </w:r>
      <w:r w:rsidR="00EA754F">
        <w:t> </w:t>
      </w:r>
      <w:r w:rsidRPr="006C6A92">
        <w:rPr>
          <w:rFonts w:cs="Arial"/>
        </w:rPr>
        <w:t>percent.</w:t>
      </w:r>
    </w:p>
    <w:p w14:paraId="45F8A767" w14:textId="0F9E8DA8" w:rsidR="00D12F98" w:rsidRPr="00D12F98" w:rsidRDefault="00D12F98" w:rsidP="00D12F98">
      <w:pPr>
        <w:spacing w:after="240"/>
        <w:rPr>
          <w:rFonts w:cs="Arial"/>
        </w:rPr>
      </w:pPr>
      <w:r>
        <w:rPr>
          <w:rFonts w:cs="Arial"/>
        </w:rPr>
        <w:t>School Readiness</w:t>
      </w:r>
    </w:p>
    <w:p w14:paraId="1D758D1F" w14:textId="0506DF0D" w:rsidR="00D12F98" w:rsidRDefault="00D12F98" w:rsidP="009670FC">
      <w:pPr>
        <w:pStyle w:val="ListParagraph"/>
        <w:numPr>
          <w:ilvl w:val="0"/>
          <w:numId w:val="21"/>
        </w:numPr>
        <w:spacing w:after="240"/>
        <w:contextualSpacing w:val="0"/>
        <w:rPr>
          <w:rFonts w:cs="Arial"/>
        </w:rPr>
      </w:pPr>
      <w:r>
        <w:rPr>
          <w:rFonts w:cs="Arial"/>
        </w:rPr>
        <w:t>An additional 25.9</w:t>
      </w:r>
      <w:r>
        <w:t> </w:t>
      </w:r>
      <w:r>
        <w:rPr>
          <w:rFonts w:cs="Arial"/>
        </w:rPr>
        <w:t xml:space="preserve">percent of third grade migratory students need to score proficient on the CAASPP ELA Smarter Balanced </w:t>
      </w:r>
      <w:r w:rsidR="00F7314C">
        <w:rPr>
          <w:rFonts w:cs="Arial"/>
        </w:rPr>
        <w:t>S</w:t>
      </w:r>
      <w:r>
        <w:rPr>
          <w:rFonts w:cs="Arial"/>
        </w:rPr>
        <w:t xml:space="preserve">ummative </w:t>
      </w:r>
      <w:r w:rsidR="00F7314C">
        <w:rPr>
          <w:rFonts w:cs="Arial"/>
        </w:rPr>
        <w:t>A</w:t>
      </w:r>
      <w:r>
        <w:rPr>
          <w:rFonts w:cs="Arial"/>
        </w:rPr>
        <w:t>ssessment</w:t>
      </w:r>
      <w:r w:rsidR="00F86313">
        <w:rPr>
          <w:rFonts w:cs="Arial"/>
        </w:rPr>
        <w:t>.</w:t>
      </w:r>
      <w:r w:rsidRPr="00D12F98">
        <w:rPr>
          <w:rFonts w:cs="Arial"/>
        </w:rPr>
        <w:t xml:space="preserve"> </w:t>
      </w:r>
    </w:p>
    <w:p w14:paraId="7B457514" w14:textId="00AD8FE2" w:rsidR="00D12F98" w:rsidRPr="00D12F98" w:rsidRDefault="00D12F98" w:rsidP="009670FC">
      <w:pPr>
        <w:pStyle w:val="ListParagraph"/>
        <w:numPr>
          <w:ilvl w:val="0"/>
          <w:numId w:val="21"/>
        </w:numPr>
        <w:spacing w:after="240"/>
        <w:contextualSpacing w:val="0"/>
        <w:rPr>
          <w:rFonts w:cs="Arial"/>
        </w:rPr>
      </w:pPr>
      <w:r w:rsidRPr="00D12F98">
        <w:rPr>
          <w:rFonts w:cs="Arial"/>
        </w:rPr>
        <w:t>An additional 24.1</w:t>
      </w:r>
      <w:r>
        <w:t> </w:t>
      </w:r>
      <w:r w:rsidRPr="00D12F98">
        <w:rPr>
          <w:rFonts w:cs="Arial"/>
        </w:rPr>
        <w:t>percent of migratory students need to score proficient on the math Smarter Balanced summative assessment by the end of third grade.</w:t>
      </w:r>
    </w:p>
    <w:p w14:paraId="02EBF66C" w14:textId="45DDBB00" w:rsidR="00981BE2" w:rsidRPr="002F0E3F" w:rsidRDefault="009F191D" w:rsidP="00043BAC">
      <w:pPr>
        <w:spacing w:after="240"/>
        <w:rPr>
          <w:rFonts w:cs="Arial"/>
        </w:rPr>
      </w:pPr>
      <w:r w:rsidRPr="002F0E3F">
        <w:rPr>
          <w:rFonts w:cs="Arial"/>
        </w:rPr>
        <w:t xml:space="preserve">The last </w:t>
      </w:r>
      <w:r w:rsidR="006A6367">
        <w:rPr>
          <w:rFonts w:cs="Arial"/>
        </w:rPr>
        <w:t>section</w:t>
      </w:r>
      <w:r w:rsidRPr="002F0E3F">
        <w:rPr>
          <w:rFonts w:cs="Arial"/>
        </w:rPr>
        <w:t xml:space="preserve"> of this report</w:t>
      </w:r>
      <w:r w:rsidR="0039066D" w:rsidRPr="002F0E3F">
        <w:rPr>
          <w:rFonts w:cs="Arial"/>
        </w:rPr>
        <w:t xml:space="preserve"> </w:t>
      </w:r>
      <w:r w:rsidRPr="002F0E3F">
        <w:rPr>
          <w:rFonts w:cs="Arial"/>
        </w:rPr>
        <w:t xml:space="preserve">addresses </w:t>
      </w:r>
      <w:r w:rsidR="00F8556E" w:rsidRPr="002F0E3F">
        <w:rPr>
          <w:rFonts w:cs="Arial"/>
        </w:rPr>
        <w:t>the next</w:t>
      </w:r>
      <w:r w:rsidRPr="002F0E3F">
        <w:rPr>
          <w:rFonts w:cs="Arial"/>
        </w:rPr>
        <w:t xml:space="preserve"> steps in th</w:t>
      </w:r>
      <w:r w:rsidR="00527BBA" w:rsidRPr="002F0E3F">
        <w:rPr>
          <w:rFonts w:cs="Arial"/>
        </w:rPr>
        <w:t xml:space="preserve">e continuous improvement cycle for the next </w:t>
      </w:r>
      <w:r w:rsidR="00FA6D34" w:rsidRPr="002F0E3F">
        <w:rPr>
          <w:rFonts w:cs="Arial"/>
        </w:rPr>
        <w:t>iteration</w:t>
      </w:r>
      <w:r w:rsidR="00527BBA" w:rsidRPr="002F0E3F">
        <w:rPr>
          <w:rFonts w:cs="Arial"/>
        </w:rPr>
        <w:t xml:space="preserve"> of the </w:t>
      </w:r>
      <w:r w:rsidR="006C6A92">
        <w:rPr>
          <w:rFonts w:cs="Arial"/>
        </w:rPr>
        <w:t>CNA</w:t>
      </w:r>
      <w:r w:rsidR="00527BBA" w:rsidRPr="002F0E3F">
        <w:rPr>
          <w:rFonts w:cs="Arial"/>
        </w:rPr>
        <w:t xml:space="preserve"> and </w:t>
      </w:r>
      <w:r w:rsidR="006A0535" w:rsidRPr="002F0E3F">
        <w:rPr>
          <w:rFonts w:cs="Arial"/>
        </w:rPr>
        <w:t xml:space="preserve">the </w:t>
      </w:r>
      <w:r w:rsidR="00771561" w:rsidRPr="002F0E3F">
        <w:rPr>
          <w:rFonts w:cs="Arial"/>
        </w:rPr>
        <w:t xml:space="preserve">state </w:t>
      </w:r>
      <w:r w:rsidR="006C6A92">
        <w:rPr>
          <w:rFonts w:cs="Arial"/>
        </w:rPr>
        <w:t>SDP</w:t>
      </w:r>
      <w:r w:rsidR="00527BBA" w:rsidRPr="002F0E3F">
        <w:rPr>
          <w:rFonts w:cs="Arial"/>
        </w:rPr>
        <w:t xml:space="preserve"> process.</w:t>
      </w:r>
      <w:r w:rsidRPr="002F0E3F">
        <w:rPr>
          <w:rFonts w:cs="Arial"/>
        </w:rPr>
        <w:t xml:space="preserve"> </w:t>
      </w:r>
      <w:r w:rsidR="00527BBA" w:rsidRPr="002F0E3F">
        <w:rPr>
          <w:rFonts w:cs="Arial"/>
        </w:rPr>
        <w:t xml:space="preserve">Improving data </w:t>
      </w:r>
      <w:r w:rsidR="00527BBA" w:rsidRPr="002F0E3F">
        <w:rPr>
          <w:rFonts w:cs="Arial"/>
        </w:rPr>
        <w:lastRenderedPageBreak/>
        <w:t>collection processes and procedures will further assist the MEP in providing tailored, high-quality services to address the unique educational needs of California’s migratory children</w:t>
      </w:r>
      <w:r w:rsidR="006C6A92">
        <w:rPr>
          <w:rFonts w:cs="Arial"/>
        </w:rPr>
        <w:t>, youths, and families.</w:t>
      </w:r>
    </w:p>
    <w:p w14:paraId="31593120" w14:textId="77777777" w:rsidR="00202BCD" w:rsidRPr="002F0E3F" w:rsidRDefault="000E60AA" w:rsidP="00043BAC">
      <w:pPr>
        <w:spacing w:after="240"/>
        <w:rPr>
          <w:rFonts w:cs="Arial"/>
        </w:rPr>
        <w:sectPr w:rsidR="00202BCD" w:rsidRPr="002F0E3F" w:rsidSect="0035740C">
          <w:headerReference w:type="default" r:id="rId12"/>
          <w:footerReference w:type="default" r:id="rId13"/>
          <w:pgSz w:w="12240" w:h="15840"/>
          <w:pgMar w:top="1440" w:right="1440" w:bottom="1440" w:left="1440" w:header="720" w:footer="720" w:gutter="0"/>
          <w:pgNumType w:fmt="lowerRoman" w:start="0"/>
          <w:cols w:space="720"/>
          <w:titlePg/>
          <w:docGrid w:linePitch="326"/>
        </w:sectPr>
      </w:pPr>
      <w:r w:rsidRPr="002F0E3F">
        <w:rPr>
          <w:rFonts w:cs="Arial"/>
        </w:rPr>
        <w:br w:type="page"/>
      </w:r>
    </w:p>
    <w:p w14:paraId="45BE72B1" w14:textId="77777777" w:rsidR="000E60AA" w:rsidRPr="002F0E3F" w:rsidRDefault="00B46E1D" w:rsidP="00EA26BE">
      <w:pPr>
        <w:pStyle w:val="Heading2"/>
      </w:pPr>
      <w:bookmarkStart w:id="9" w:name="_Toc496195896"/>
      <w:bookmarkStart w:id="10" w:name="_Toc188361306"/>
      <w:r w:rsidRPr="002F0E3F">
        <w:lastRenderedPageBreak/>
        <w:t xml:space="preserve">Section I: </w:t>
      </w:r>
      <w:r w:rsidR="000E60AA" w:rsidRPr="002F0E3F">
        <w:t>Overview</w:t>
      </w:r>
      <w:bookmarkEnd w:id="9"/>
      <w:bookmarkEnd w:id="10"/>
    </w:p>
    <w:p w14:paraId="3642C785" w14:textId="77777777" w:rsidR="00357EC7" w:rsidRPr="002F0E3F" w:rsidRDefault="00357EC7" w:rsidP="00EA26BE">
      <w:pPr>
        <w:pStyle w:val="Heading3"/>
      </w:pPr>
      <w:bookmarkStart w:id="11" w:name="_Toc496195897"/>
      <w:bookmarkStart w:id="12" w:name="_Toc188361307"/>
      <w:r w:rsidRPr="002F0E3F">
        <w:t>Purpose and Scope</w:t>
      </w:r>
      <w:bookmarkEnd w:id="11"/>
      <w:bookmarkEnd w:id="12"/>
    </w:p>
    <w:p w14:paraId="3AECFD47" w14:textId="1BC78D89" w:rsidR="00D6567A" w:rsidRPr="002F0E3F" w:rsidRDefault="009F7613" w:rsidP="00EA26BE">
      <w:pPr>
        <w:spacing w:after="240"/>
        <w:rPr>
          <w:rFonts w:cs="Arial"/>
        </w:rPr>
      </w:pPr>
      <w:r w:rsidRPr="002F0E3F">
        <w:rPr>
          <w:rFonts w:cs="Arial"/>
        </w:rPr>
        <w:t>The Elementary and Secondary Education Act, as reauthorized by the Every Student Succeeds Act (</w:t>
      </w:r>
      <w:r w:rsidR="00096A2A">
        <w:rPr>
          <w:rFonts w:cs="Arial"/>
        </w:rPr>
        <w:t>United States Code, Title 20,</w:t>
      </w:r>
      <w:r w:rsidRPr="002F0E3F">
        <w:rPr>
          <w:rFonts w:cs="Arial"/>
        </w:rPr>
        <w:t xml:space="preserve"> </w:t>
      </w:r>
      <w:r w:rsidR="00096A2A">
        <w:rPr>
          <w:rFonts w:cs="Arial"/>
        </w:rPr>
        <w:t xml:space="preserve">Section </w:t>
      </w:r>
      <w:r w:rsidRPr="002F0E3F">
        <w:rPr>
          <w:rFonts w:cs="Arial"/>
        </w:rPr>
        <w:t>6396</w:t>
      </w:r>
      <w:r w:rsidR="006025F2" w:rsidRPr="002F0E3F">
        <w:rPr>
          <w:rFonts w:cs="Arial"/>
        </w:rPr>
        <w:t xml:space="preserve">, </w:t>
      </w:r>
      <w:r w:rsidR="00096A2A" w:rsidRPr="008D2E91">
        <w:rPr>
          <w:rFonts w:cs="Arial"/>
          <w:i/>
          <w:iCs/>
        </w:rPr>
        <w:t>Code of Federal Regulations</w:t>
      </w:r>
      <w:r w:rsidR="006025F2" w:rsidRPr="002F0E3F">
        <w:rPr>
          <w:rFonts w:cs="Arial"/>
        </w:rPr>
        <w:t xml:space="preserve"> </w:t>
      </w:r>
      <w:r w:rsidR="00096A2A">
        <w:rPr>
          <w:rFonts w:cs="Arial"/>
        </w:rPr>
        <w:t>[</w:t>
      </w:r>
      <w:r w:rsidR="006025F2" w:rsidRPr="009A1ED0">
        <w:rPr>
          <w:rFonts w:cs="Arial"/>
          <w:i/>
          <w:iCs/>
        </w:rPr>
        <w:t>CFR</w:t>
      </w:r>
      <w:r w:rsidR="00096A2A">
        <w:rPr>
          <w:rFonts w:cs="Arial"/>
        </w:rPr>
        <w:t>], Title 34, Section</w:t>
      </w:r>
      <w:r w:rsidR="006025F2" w:rsidRPr="002F0E3F">
        <w:rPr>
          <w:rFonts w:cs="Arial"/>
          <w:bCs/>
        </w:rPr>
        <w:t xml:space="preserve"> 299.19)</w:t>
      </w:r>
      <w:r w:rsidR="006025F2" w:rsidRPr="002F0E3F">
        <w:rPr>
          <w:rFonts w:cs="Arial"/>
          <w:b/>
          <w:bCs/>
        </w:rPr>
        <w:t xml:space="preserve"> </w:t>
      </w:r>
      <w:r w:rsidRPr="002F0E3F">
        <w:rPr>
          <w:rFonts w:cs="Arial"/>
        </w:rPr>
        <w:t xml:space="preserve">requires each </w:t>
      </w:r>
      <w:r w:rsidR="00771561" w:rsidRPr="002F0E3F">
        <w:rPr>
          <w:rFonts w:cs="Arial"/>
        </w:rPr>
        <w:t>state education agency</w:t>
      </w:r>
      <w:r w:rsidRPr="002F0E3F">
        <w:rPr>
          <w:rFonts w:cs="Arial"/>
        </w:rPr>
        <w:t xml:space="preserve"> MEP receiving Title I, Part C federal funds to ensure that the state</w:t>
      </w:r>
      <w:r w:rsidR="00771561" w:rsidRPr="002F0E3F">
        <w:rPr>
          <w:rFonts w:cs="Arial"/>
        </w:rPr>
        <w:t xml:space="preserve"> and local operating agencies</w:t>
      </w:r>
      <w:r w:rsidRPr="002F0E3F">
        <w:rPr>
          <w:rFonts w:cs="Arial"/>
        </w:rPr>
        <w:t xml:space="preserve"> identify and address the unique educational needs of migratory children</w:t>
      </w:r>
      <w:r w:rsidR="00447B9F" w:rsidRPr="002F0E3F">
        <w:rPr>
          <w:rFonts w:cs="Arial"/>
        </w:rPr>
        <w:t xml:space="preserve"> through the development of a statewide </w:t>
      </w:r>
      <w:r w:rsidR="00771561" w:rsidRPr="002F0E3F">
        <w:rPr>
          <w:rFonts w:cs="Arial"/>
        </w:rPr>
        <w:t>CNA</w:t>
      </w:r>
      <w:r w:rsidR="00447B9F" w:rsidRPr="002F0E3F">
        <w:rPr>
          <w:rFonts w:cs="Arial"/>
        </w:rPr>
        <w:t xml:space="preserve"> and </w:t>
      </w:r>
      <w:r w:rsidR="00771561" w:rsidRPr="002F0E3F">
        <w:rPr>
          <w:rFonts w:cs="Arial"/>
        </w:rPr>
        <w:t>SDP</w:t>
      </w:r>
      <w:r w:rsidRPr="002F0E3F">
        <w:rPr>
          <w:rFonts w:cs="Arial"/>
        </w:rPr>
        <w:t xml:space="preserve">. </w:t>
      </w:r>
      <w:r w:rsidR="00D31DDF" w:rsidRPr="002F0E3F">
        <w:rPr>
          <w:rFonts w:cs="Arial"/>
        </w:rPr>
        <w:t xml:space="preserve">Every </w:t>
      </w:r>
      <w:r w:rsidR="006C6A92">
        <w:rPr>
          <w:rFonts w:cs="Arial"/>
        </w:rPr>
        <w:t>five</w:t>
      </w:r>
      <w:r w:rsidR="00D31DDF" w:rsidRPr="002F0E3F">
        <w:rPr>
          <w:rFonts w:cs="Arial"/>
        </w:rPr>
        <w:t xml:space="preserve"> years, the CDE </w:t>
      </w:r>
      <w:r w:rsidR="00F7314C">
        <w:rPr>
          <w:rFonts w:cs="Arial"/>
        </w:rPr>
        <w:t xml:space="preserve">initiates the </w:t>
      </w:r>
      <w:r w:rsidR="00D31DDF" w:rsidRPr="002F0E3F">
        <w:rPr>
          <w:rFonts w:cs="Arial"/>
        </w:rPr>
        <w:t>develop</w:t>
      </w:r>
      <w:r w:rsidR="00F7314C">
        <w:rPr>
          <w:rFonts w:cs="Arial"/>
        </w:rPr>
        <w:t>ment</w:t>
      </w:r>
      <w:r w:rsidR="00D31DDF" w:rsidRPr="002F0E3F">
        <w:rPr>
          <w:rFonts w:cs="Arial"/>
        </w:rPr>
        <w:t xml:space="preserve"> </w:t>
      </w:r>
      <w:proofErr w:type="gramStart"/>
      <w:r w:rsidR="00D31DDF" w:rsidRPr="002F0E3F">
        <w:rPr>
          <w:rFonts w:cs="Arial"/>
        </w:rPr>
        <w:t>a</w:t>
      </w:r>
      <w:r w:rsidRPr="002F0E3F">
        <w:rPr>
          <w:rFonts w:cs="Arial"/>
        </w:rPr>
        <w:t xml:space="preserve"> statewide</w:t>
      </w:r>
      <w:proofErr w:type="gramEnd"/>
      <w:r w:rsidRPr="002F0E3F">
        <w:rPr>
          <w:rFonts w:cs="Arial"/>
        </w:rPr>
        <w:t xml:space="preserve"> </w:t>
      </w:r>
      <w:r w:rsidR="006A0535" w:rsidRPr="002F0E3F">
        <w:rPr>
          <w:rFonts w:cs="Arial"/>
        </w:rPr>
        <w:t xml:space="preserve">CNA </w:t>
      </w:r>
      <w:r w:rsidR="00CC0AAD">
        <w:rPr>
          <w:rFonts w:cs="Arial"/>
        </w:rPr>
        <w:t xml:space="preserve">through a collaborative process </w:t>
      </w:r>
      <w:r w:rsidR="006A0535" w:rsidRPr="002F0E3F">
        <w:rPr>
          <w:rFonts w:cs="Arial"/>
        </w:rPr>
        <w:t>that</w:t>
      </w:r>
      <w:r w:rsidRPr="002F0E3F">
        <w:rPr>
          <w:rFonts w:cs="Arial"/>
        </w:rPr>
        <w:t xml:space="preserve"> identifies the needs of California’s migratory children</w:t>
      </w:r>
      <w:r w:rsidR="006C6A92">
        <w:rPr>
          <w:rFonts w:cs="Arial"/>
        </w:rPr>
        <w:t xml:space="preserve"> and strategies to address those needs.</w:t>
      </w:r>
      <w:r w:rsidRPr="002F0E3F">
        <w:rPr>
          <w:rFonts w:cs="Arial"/>
        </w:rPr>
        <w:t xml:space="preserve"> The CNA is the foundation for the </w:t>
      </w:r>
      <w:r w:rsidR="006A0535" w:rsidRPr="002F0E3F">
        <w:rPr>
          <w:rFonts w:cs="Arial"/>
        </w:rPr>
        <w:t>SDP, which</w:t>
      </w:r>
      <w:r w:rsidR="00895E2A" w:rsidRPr="002F0E3F">
        <w:rPr>
          <w:rFonts w:cs="Arial"/>
        </w:rPr>
        <w:t xml:space="preserve"> guides the MEP in planning service delivery at the state, regional, and </w:t>
      </w:r>
      <w:r w:rsidR="000E4055">
        <w:rPr>
          <w:rFonts w:cs="Arial"/>
        </w:rPr>
        <w:t>district</w:t>
      </w:r>
      <w:r w:rsidR="00895E2A" w:rsidRPr="002F0E3F">
        <w:rPr>
          <w:rFonts w:cs="Arial"/>
        </w:rPr>
        <w:t xml:space="preserve"> levels.</w:t>
      </w:r>
    </w:p>
    <w:p w14:paraId="6BA45734" w14:textId="74E926C3" w:rsidR="00783E1A" w:rsidRPr="002F0E3F" w:rsidRDefault="00924D97" w:rsidP="00EA26BE">
      <w:pPr>
        <w:spacing w:after="240"/>
        <w:rPr>
          <w:rFonts w:cs="Arial"/>
        </w:rPr>
      </w:pPr>
      <w:r>
        <w:rPr>
          <w:rFonts w:cs="Arial"/>
        </w:rPr>
        <w:t xml:space="preserve">During </w:t>
      </w:r>
      <w:r w:rsidR="00EA06F6">
        <w:rPr>
          <w:rFonts w:cs="Arial"/>
        </w:rPr>
        <w:t xml:space="preserve">the </w:t>
      </w:r>
      <w:r w:rsidR="006C6A92">
        <w:rPr>
          <w:rFonts w:cs="Arial"/>
        </w:rPr>
        <w:t>2022–23</w:t>
      </w:r>
      <w:r w:rsidR="00EA06F6">
        <w:rPr>
          <w:rFonts w:cs="Arial"/>
        </w:rPr>
        <w:t xml:space="preserve"> grant year</w:t>
      </w:r>
      <w:r w:rsidR="00C36D46">
        <w:rPr>
          <w:rFonts w:cs="Arial"/>
        </w:rPr>
        <w:t xml:space="preserve">, the CDE began developing resources for the CNA and SDP project. </w:t>
      </w:r>
      <w:r w:rsidR="0097260F">
        <w:rPr>
          <w:rFonts w:cs="Arial"/>
        </w:rPr>
        <w:t xml:space="preserve">First, </w:t>
      </w:r>
      <w:r w:rsidR="006C6A92">
        <w:rPr>
          <w:rFonts w:cs="Arial"/>
        </w:rPr>
        <w:t>California’s Migratory Student Profile</w:t>
      </w:r>
      <w:r w:rsidR="00C36D46">
        <w:rPr>
          <w:rFonts w:cs="Arial"/>
        </w:rPr>
        <w:t xml:space="preserve"> was</w:t>
      </w:r>
      <w:r w:rsidR="0097260F">
        <w:rPr>
          <w:rFonts w:cs="Arial"/>
        </w:rPr>
        <w:t xml:space="preserve"> </w:t>
      </w:r>
      <w:r w:rsidR="00C36D46">
        <w:rPr>
          <w:rFonts w:cs="Arial"/>
        </w:rPr>
        <w:t>develop</w:t>
      </w:r>
      <w:r w:rsidR="0097260F">
        <w:rPr>
          <w:rFonts w:cs="Arial"/>
        </w:rPr>
        <w:t>ed to display</w:t>
      </w:r>
      <w:r w:rsidR="00C36D46">
        <w:rPr>
          <w:rFonts w:cs="Arial"/>
        </w:rPr>
        <w:t xml:space="preserve"> all </w:t>
      </w:r>
      <w:r w:rsidR="00CC0AAD">
        <w:rPr>
          <w:rFonts w:cs="Arial"/>
        </w:rPr>
        <w:t xml:space="preserve">available </w:t>
      </w:r>
      <w:r w:rsidR="00C36D46">
        <w:rPr>
          <w:rFonts w:cs="Arial"/>
        </w:rPr>
        <w:t xml:space="preserve">student achievement and programmatic data </w:t>
      </w:r>
      <w:r w:rsidR="000E4055">
        <w:rPr>
          <w:rFonts w:cs="Arial"/>
        </w:rPr>
        <w:t xml:space="preserve">for the past five years </w:t>
      </w:r>
      <w:r w:rsidR="00C36D46">
        <w:rPr>
          <w:rFonts w:cs="Arial"/>
        </w:rPr>
        <w:t>associated with migratory children, youths, and parents</w:t>
      </w:r>
      <w:r w:rsidR="006C6A92">
        <w:rPr>
          <w:rFonts w:cs="Arial"/>
        </w:rPr>
        <w:t xml:space="preserve">. This profile </w:t>
      </w:r>
      <w:r w:rsidR="00C36D46">
        <w:rPr>
          <w:rFonts w:cs="Arial"/>
        </w:rPr>
        <w:t xml:space="preserve">serves as the primary </w:t>
      </w:r>
      <w:r w:rsidR="00CC0AAD">
        <w:rPr>
          <w:rFonts w:cs="Arial"/>
        </w:rPr>
        <w:t>resource</w:t>
      </w:r>
      <w:r w:rsidR="00C36D46">
        <w:rPr>
          <w:rFonts w:cs="Arial"/>
        </w:rPr>
        <w:t xml:space="preserve"> for the CNA SDP Committee to analyze data to interpret the needs of migratory children and youths. Using the </w:t>
      </w:r>
      <w:proofErr w:type="gramStart"/>
      <w:r w:rsidR="00C36D46">
        <w:rPr>
          <w:rFonts w:cs="Arial"/>
        </w:rPr>
        <w:t>profile</w:t>
      </w:r>
      <w:proofErr w:type="gramEnd"/>
      <w:r w:rsidR="00C36D46">
        <w:rPr>
          <w:rFonts w:cs="Arial"/>
        </w:rPr>
        <w:t xml:space="preserve"> the CNA SDP Committee</w:t>
      </w:r>
      <w:r w:rsidR="00A53DAE" w:rsidRPr="002F0E3F">
        <w:rPr>
          <w:rFonts w:cs="Arial"/>
        </w:rPr>
        <w:t>:</w:t>
      </w:r>
    </w:p>
    <w:p w14:paraId="1AB2602D" w14:textId="78A24503" w:rsidR="00A53DAE" w:rsidRPr="002F0E3F" w:rsidRDefault="00A53DAE" w:rsidP="009670FC">
      <w:pPr>
        <w:pStyle w:val="ListParagraph"/>
        <w:numPr>
          <w:ilvl w:val="0"/>
          <w:numId w:val="22"/>
        </w:numPr>
        <w:spacing w:after="240"/>
        <w:contextualSpacing w:val="0"/>
        <w:rPr>
          <w:rFonts w:cs="Arial"/>
        </w:rPr>
      </w:pPr>
      <w:r w:rsidRPr="002F0E3F">
        <w:rPr>
          <w:rFonts w:cs="Arial"/>
        </w:rPr>
        <w:t>Evaluat</w:t>
      </w:r>
      <w:r w:rsidR="00C36D46">
        <w:rPr>
          <w:rFonts w:cs="Arial"/>
        </w:rPr>
        <w:t>ed</w:t>
      </w:r>
      <w:r w:rsidRPr="002F0E3F">
        <w:rPr>
          <w:rFonts w:cs="Arial"/>
        </w:rPr>
        <w:t xml:space="preserve"> migratory </w:t>
      </w:r>
      <w:r w:rsidR="00CC0AAD">
        <w:rPr>
          <w:rFonts w:cs="Arial"/>
        </w:rPr>
        <w:t>children and youth</w:t>
      </w:r>
      <w:r w:rsidRPr="002F0E3F">
        <w:rPr>
          <w:rFonts w:cs="Arial"/>
        </w:rPr>
        <w:t xml:space="preserve"> data to guide key decision-making points in the development of the CNA.</w:t>
      </w:r>
    </w:p>
    <w:p w14:paraId="4820629B" w14:textId="18ADF156" w:rsidR="00A53DAE" w:rsidRPr="002F0E3F" w:rsidRDefault="00A53DAE" w:rsidP="009670FC">
      <w:pPr>
        <w:pStyle w:val="ListParagraph"/>
        <w:numPr>
          <w:ilvl w:val="0"/>
          <w:numId w:val="22"/>
        </w:numPr>
        <w:spacing w:after="240"/>
        <w:contextualSpacing w:val="0"/>
        <w:rPr>
          <w:rFonts w:cs="Arial"/>
        </w:rPr>
      </w:pPr>
      <w:proofErr w:type="gramStart"/>
      <w:r w:rsidRPr="002F0E3F">
        <w:rPr>
          <w:rFonts w:cs="Arial"/>
        </w:rPr>
        <w:t>Identif</w:t>
      </w:r>
      <w:r w:rsidR="00C36D46">
        <w:rPr>
          <w:rFonts w:cs="Arial"/>
        </w:rPr>
        <w:t>ied</w:t>
      </w:r>
      <w:proofErr w:type="gramEnd"/>
      <w:r w:rsidRPr="002F0E3F">
        <w:rPr>
          <w:rFonts w:cs="Arial"/>
        </w:rPr>
        <w:t xml:space="preserve"> and examin</w:t>
      </w:r>
      <w:r w:rsidR="00C36D46">
        <w:rPr>
          <w:rFonts w:cs="Arial"/>
        </w:rPr>
        <w:t>ed</w:t>
      </w:r>
      <w:r w:rsidRPr="002F0E3F">
        <w:rPr>
          <w:rFonts w:cs="Arial"/>
        </w:rPr>
        <w:t xml:space="preserve"> the unique educational needs of California’s migratory children given the distinctive barriers that the migratory population faces.</w:t>
      </w:r>
    </w:p>
    <w:p w14:paraId="1D73C05C" w14:textId="5F8817FE" w:rsidR="00783E1A" w:rsidRPr="002F0E3F" w:rsidRDefault="005B7EB3" w:rsidP="009670FC">
      <w:pPr>
        <w:pStyle w:val="ListParagraph"/>
        <w:numPr>
          <w:ilvl w:val="0"/>
          <w:numId w:val="22"/>
        </w:numPr>
        <w:spacing w:after="240"/>
        <w:contextualSpacing w:val="0"/>
        <w:rPr>
          <w:rFonts w:cs="Arial"/>
        </w:rPr>
      </w:pPr>
      <w:r w:rsidRPr="002F0E3F">
        <w:rPr>
          <w:rFonts w:cs="Arial"/>
        </w:rPr>
        <w:t>Propos</w:t>
      </w:r>
      <w:r w:rsidR="00C36D46">
        <w:rPr>
          <w:rFonts w:cs="Arial"/>
        </w:rPr>
        <w:t>ed</w:t>
      </w:r>
      <w:r w:rsidR="00A53DAE" w:rsidRPr="002F0E3F">
        <w:rPr>
          <w:rFonts w:cs="Arial"/>
        </w:rPr>
        <w:t xml:space="preserve"> initial, evidence-based strategies to address </w:t>
      </w:r>
      <w:r w:rsidR="00201DA4" w:rsidRPr="002F0E3F">
        <w:rPr>
          <w:rFonts w:cs="Arial"/>
        </w:rPr>
        <w:t>the needs of migratory children</w:t>
      </w:r>
      <w:r w:rsidR="00924D97">
        <w:rPr>
          <w:rFonts w:cs="Arial"/>
        </w:rPr>
        <w:t xml:space="preserve"> with the support of best practice guides for each focus area</w:t>
      </w:r>
      <w:r w:rsidR="00201DA4" w:rsidRPr="002F0E3F">
        <w:rPr>
          <w:rFonts w:cs="Arial"/>
        </w:rPr>
        <w:t>.</w:t>
      </w:r>
    </w:p>
    <w:p w14:paraId="7CA73A0C" w14:textId="3136BC73" w:rsidR="005B7EB3" w:rsidRPr="002F0E3F" w:rsidRDefault="0097260F" w:rsidP="00D12F98">
      <w:pPr>
        <w:spacing w:after="240"/>
        <w:rPr>
          <w:rFonts w:cs="Arial"/>
        </w:rPr>
      </w:pPr>
      <w:r>
        <w:rPr>
          <w:rFonts w:cs="Arial"/>
        </w:rPr>
        <w:t>T</w:t>
      </w:r>
      <w:r w:rsidR="005B7EB3" w:rsidRPr="008A5FBF">
        <w:rPr>
          <w:rFonts w:cs="Arial"/>
        </w:rPr>
        <w:t>he CDE Management and Data Team and CNA</w:t>
      </w:r>
      <w:r w:rsidR="00C36D46" w:rsidRPr="008A5FBF">
        <w:rPr>
          <w:rFonts w:cs="Arial"/>
        </w:rPr>
        <w:t xml:space="preserve"> </w:t>
      </w:r>
      <w:r w:rsidR="005B7EB3" w:rsidRPr="008A5FBF">
        <w:rPr>
          <w:rFonts w:cs="Arial"/>
        </w:rPr>
        <w:t xml:space="preserve">SDP </w:t>
      </w:r>
      <w:r w:rsidR="00C36D46" w:rsidRPr="008A5FBF">
        <w:rPr>
          <w:rFonts w:cs="Arial"/>
        </w:rPr>
        <w:t>C</w:t>
      </w:r>
      <w:r w:rsidR="005B7EB3" w:rsidRPr="008A5FBF">
        <w:rPr>
          <w:rFonts w:cs="Arial"/>
        </w:rPr>
        <w:t>ommittee focuse</w:t>
      </w:r>
      <w:r w:rsidR="00C36D46" w:rsidRPr="008A5FBF">
        <w:rPr>
          <w:rFonts w:cs="Arial"/>
        </w:rPr>
        <w:t>d</w:t>
      </w:r>
      <w:r w:rsidR="005B7EB3" w:rsidRPr="008A5FBF">
        <w:rPr>
          <w:rFonts w:cs="Arial"/>
        </w:rPr>
        <w:t xml:space="preserve"> on the following migratory populations: pre</w:t>
      </w:r>
      <w:r w:rsidR="00E8700C">
        <w:rPr>
          <w:rFonts w:cs="Arial"/>
        </w:rPr>
        <w:t>kindergarten</w:t>
      </w:r>
      <w:r w:rsidR="005B7EB3" w:rsidRPr="008A5FBF">
        <w:rPr>
          <w:rFonts w:cs="Arial"/>
        </w:rPr>
        <w:t xml:space="preserve"> children (ages </w:t>
      </w:r>
      <w:r w:rsidR="00404E8D">
        <w:rPr>
          <w:rFonts w:cs="Arial"/>
        </w:rPr>
        <w:t>three to four</w:t>
      </w:r>
      <w:r w:rsidR="005B7EB3" w:rsidRPr="008A5FBF">
        <w:rPr>
          <w:rFonts w:cs="Arial"/>
        </w:rPr>
        <w:t>),</w:t>
      </w:r>
      <w:r w:rsidR="00404E8D">
        <w:rPr>
          <w:rFonts w:cs="Arial"/>
        </w:rPr>
        <w:t xml:space="preserve"> transitional kindergarten through</w:t>
      </w:r>
      <w:r w:rsidR="005B7EB3" w:rsidRPr="008A5FBF">
        <w:rPr>
          <w:rFonts w:cs="Arial"/>
        </w:rPr>
        <w:t xml:space="preserve"> </w:t>
      </w:r>
      <w:r w:rsidR="00924D97" w:rsidRPr="008A5FBF">
        <w:rPr>
          <w:rFonts w:cs="Arial"/>
        </w:rPr>
        <w:t>grade</w:t>
      </w:r>
      <w:r w:rsidR="00404E8D">
        <w:rPr>
          <w:rFonts w:cs="Arial"/>
        </w:rPr>
        <w:t xml:space="preserve"> twelve</w:t>
      </w:r>
      <w:r w:rsidR="00E8700C">
        <w:rPr>
          <w:rFonts w:cs="Arial"/>
        </w:rPr>
        <w:t xml:space="preserve"> </w:t>
      </w:r>
      <w:r w:rsidR="005B7EB3" w:rsidRPr="008A5FBF">
        <w:rPr>
          <w:rFonts w:cs="Arial"/>
        </w:rPr>
        <w:t xml:space="preserve">students, </w:t>
      </w:r>
      <w:r w:rsidR="008A5FBF" w:rsidRPr="008A5FBF">
        <w:rPr>
          <w:rFonts w:cs="Arial"/>
        </w:rPr>
        <w:t>Out-of-School Youth</w:t>
      </w:r>
      <w:r w:rsidR="008A5FBF">
        <w:rPr>
          <w:rFonts w:cs="Arial"/>
        </w:rPr>
        <w:t xml:space="preserve"> (</w:t>
      </w:r>
      <w:r w:rsidR="00201DA4" w:rsidRPr="002F0E3F">
        <w:rPr>
          <w:rFonts w:cs="Arial"/>
        </w:rPr>
        <w:t>OSY</w:t>
      </w:r>
      <w:r w:rsidR="008A5FBF">
        <w:rPr>
          <w:rFonts w:cs="Arial"/>
        </w:rPr>
        <w:t>)</w:t>
      </w:r>
      <w:r w:rsidR="00201DA4" w:rsidRPr="002F0E3F">
        <w:rPr>
          <w:rFonts w:cs="Arial"/>
        </w:rPr>
        <w:t>,</w:t>
      </w:r>
      <w:r w:rsidR="005B7EB3" w:rsidRPr="002F0E3F">
        <w:rPr>
          <w:rFonts w:cs="Arial"/>
        </w:rPr>
        <w:t xml:space="preserve"> and migratory parents. This report summarizes the </w:t>
      </w:r>
      <w:r w:rsidR="00924D97" w:rsidRPr="002F0E3F">
        <w:rPr>
          <w:rFonts w:cs="Arial"/>
        </w:rPr>
        <w:t>methodology,</w:t>
      </w:r>
      <w:r w:rsidR="005B7EB3" w:rsidRPr="002F0E3F">
        <w:rPr>
          <w:rFonts w:cs="Arial"/>
        </w:rPr>
        <w:t xml:space="preserve"> and key decisions </w:t>
      </w:r>
      <w:r w:rsidR="00924D97">
        <w:rPr>
          <w:rFonts w:cs="Arial"/>
        </w:rPr>
        <w:t>included in</w:t>
      </w:r>
      <w:r w:rsidR="005B7EB3" w:rsidRPr="002F0E3F">
        <w:rPr>
          <w:rFonts w:cs="Arial"/>
        </w:rPr>
        <w:t xml:space="preserve"> the CNA </w:t>
      </w:r>
      <w:r w:rsidR="008E0D06">
        <w:rPr>
          <w:rFonts w:cs="Arial"/>
        </w:rPr>
        <w:t>and</w:t>
      </w:r>
      <w:r w:rsidR="005B7EB3" w:rsidRPr="002F0E3F">
        <w:rPr>
          <w:rFonts w:cs="Arial"/>
        </w:rPr>
        <w:t xml:space="preserve"> the initial action steps to assist in the development of the SDP. The following section provides more detail on the California MEP.</w:t>
      </w:r>
    </w:p>
    <w:p w14:paraId="366ADA24" w14:textId="77777777" w:rsidR="000E60AA" w:rsidRPr="002F0E3F" w:rsidRDefault="000412AE" w:rsidP="00EA26BE">
      <w:pPr>
        <w:pStyle w:val="Heading3"/>
      </w:pPr>
      <w:bookmarkStart w:id="13" w:name="_Toc496195898"/>
      <w:bookmarkStart w:id="14" w:name="_Toc188361308"/>
      <w:r w:rsidRPr="002F0E3F">
        <w:t>California Migrant Education Program</w:t>
      </w:r>
      <w:bookmarkEnd w:id="13"/>
      <w:bookmarkEnd w:id="14"/>
    </w:p>
    <w:p w14:paraId="3C3F739D" w14:textId="20CD113C" w:rsidR="00090238" w:rsidRPr="00775BC6" w:rsidRDefault="00090238" w:rsidP="00EA26BE">
      <w:pPr>
        <w:pStyle w:val="NormalWeb"/>
        <w:spacing w:before="0" w:beforeAutospacing="0" w:after="240" w:afterAutospacing="0"/>
        <w:rPr>
          <w:rFonts w:ascii="Arial" w:hAnsi="Arial" w:cs="Arial"/>
        </w:rPr>
      </w:pPr>
      <w:r w:rsidRPr="002F0E3F">
        <w:rPr>
          <w:rFonts w:ascii="Arial" w:hAnsi="Arial" w:cs="Arial"/>
        </w:rPr>
        <w:t xml:space="preserve">The California </w:t>
      </w:r>
      <w:r w:rsidR="00FC6B8C" w:rsidRPr="002F0E3F">
        <w:rPr>
          <w:rFonts w:ascii="Arial" w:hAnsi="Arial" w:cs="Arial"/>
        </w:rPr>
        <w:t>MEP</w:t>
      </w:r>
      <w:r w:rsidRPr="002F0E3F">
        <w:rPr>
          <w:rFonts w:ascii="Arial" w:hAnsi="Arial" w:cs="Arial"/>
        </w:rPr>
        <w:t xml:space="preserve"> is a federally funded program authorized under Title I, Part C</w:t>
      </w:r>
      <w:r w:rsidR="00201DA4" w:rsidRPr="002F0E3F">
        <w:rPr>
          <w:rFonts w:ascii="Arial" w:hAnsi="Arial" w:cs="Arial"/>
        </w:rPr>
        <w:t>,</w:t>
      </w:r>
      <w:r w:rsidRPr="002F0E3F">
        <w:rPr>
          <w:rFonts w:ascii="Arial" w:hAnsi="Arial" w:cs="Arial"/>
        </w:rPr>
        <w:t xml:space="preserve"> of the Elementary and Secondary Education Act. </w:t>
      </w:r>
      <w:r w:rsidR="00D86337" w:rsidRPr="002F0E3F">
        <w:rPr>
          <w:rFonts w:ascii="Arial" w:hAnsi="Arial" w:cs="Arial"/>
        </w:rPr>
        <w:t>Th</w:t>
      </w:r>
      <w:r w:rsidRPr="002F0E3F">
        <w:rPr>
          <w:rFonts w:ascii="Arial" w:hAnsi="Arial" w:cs="Arial"/>
        </w:rPr>
        <w:t xml:space="preserve">e MEP is designed to support high-quality supplemental and comprehensive educational programs for migrant children to help reduce educational disruption and other problems that result from </w:t>
      </w:r>
      <w:r w:rsidR="008E0D06">
        <w:rPr>
          <w:rFonts w:ascii="Arial" w:hAnsi="Arial" w:cs="Arial"/>
        </w:rPr>
        <w:t>moving frequently</w:t>
      </w:r>
      <w:r w:rsidRPr="002F0E3F">
        <w:rPr>
          <w:rFonts w:ascii="Arial" w:hAnsi="Arial" w:cs="Arial"/>
        </w:rPr>
        <w:t xml:space="preserve">. </w:t>
      </w:r>
      <w:r w:rsidR="00775BC6">
        <w:rPr>
          <w:rFonts w:ascii="Arial" w:hAnsi="Arial" w:cs="Arial"/>
        </w:rPr>
        <w:t>To meet federal reporting requirements and to focus continuous improvement efforts, the California MEP built t</w:t>
      </w:r>
      <w:r w:rsidR="00775BC6" w:rsidRPr="00775BC6">
        <w:rPr>
          <w:rFonts w:ascii="Arial" w:hAnsi="Arial" w:cs="Arial"/>
        </w:rPr>
        <w:t xml:space="preserve">he </w:t>
      </w:r>
      <w:r w:rsidR="00775BC6">
        <w:rPr>
          <w:rFonts w:ascii="Arial" w:hAnsi="Arial" w:cs="Arial"/>
        </w:rPr>
        <w:t>Migrant Student Information Network (</w:t>
      </w:r>
      <w:r w:rsidR="00775BC6" w:rsidRPr="00775BC6">
        <w:rPr>
          <w:rFonts w:ascii="Arial" w:hAnsi="Arial" w:cs="Arial"/>
        </w:rPr>
        <w:t>MSIN</w:t>
      </w:r>
      <w:r w:rsidR="00775BC6">
        <w:rPr>
          <w:rFonts w:ascii="Arial" w:hAnsi="Arial" w:cs="Arial"/>
        </w:rPr>
        <w:t>)</w:t>
      </w:r>
      <w:r w:rsidR="00A14A40">
        <w:rPr>
          <w:rFonts w:ascii="Arial" w:hAnsi="Arial" w:cs="Arial"/>
        </w:rPr>
        <w:t xml:space="preserve"> system</w:t>
      </w:r>
      <w:r w:rsidR="00775BC6">
        <w:rPr>
          <w:rFonts w:ascii="Arial" w:hAnsi="Arial" w:cs="Arial"/>
        </w:rPr>
        <w:t>. The MSIN</w:t>
      </w:r>
      <w:r w:rsidR="00775BC6" w:rsidRPr="00775BC6">
        <w:rPr>
          <w:rFonts w:ascii="Arial" w:hAnsi="Arial" w:cs="Arial"/>
        </w:rPr>
        <w:t xml:space="preserve"> </w:t>
      </w:r>
      <w:r w:rsidR="00A14A40">
        <w:rPr>
          <w:rFonts w:ascii="Arial" w:hAnsi="Arial" w:cs="Arial"/>
        </w:rPr>
        <w:t xml:space="preserve">system </w:t>
      </w:r>
      <w:r w:rsidR="00775BC6" w:rsidRPr="00775BC6">
        <w:rPr>
          <w:rFonts w:ascii="Arial" w:hAnsi="Arial" w:cs="Arial"/>
        </w:rPr>
        <w:t>is a central student information system for California’s migratory child and youth population.</w:t>
      </w:r>
    </w:p>
    <w:p w14:paraId="69433463" w14:textId="6B95A08C" w:rsidR="00883BEF" w:rsidRPr="002F0E3F" w:rsidRDefault="00552F01" w:rsidP="00EA26BE">
      <w:pPr>
        <w:spacing w:after="240"/>
        <w:rPr>
          <w:rFonts w:cs="Arial"/>
        </w:rPr>
      </w:pPr>
      <w:r w:rsidRPr="00DA4E47">
        <w:rPr>
          <w:rFonts w:cs="Arial"/>
        </w:rPr>
        <w:lastRenderedPageBreak/>
        <w:t xml:space="preserve">California continues to have the largest migratory student </w:t>
      </w:r>
      <w:r w:rsidR="006A0535" w:rsidRPr="00DA4E47">
        <w:rPr>
          <w:rFonts w:cs="Arial"/>
        </w:rPr>
        <w:t>population,</w:t>
      </w:r>
      <w:r w:rsidRPr="00DA4E47">
        <w:rPr>
          <w:rFonts w:cs="Arial"/>
        </w:rPr>
        <w:t xml:space="preserve"> </w:t>
      </w:r>
      <w:r w:rsidR="00F86313">
        <w:rPr>
          <w:rFonts w:cs="Arial"/>
        </w:rPr>
        <w:t>because</w:t>
      </w:r>
      <w:r w:rsidR="00F86313" w:rsidRPr="00DA4E47">
        <w:rPr>
          <w:rFonts w:cs="Arial"/>
        </w:rPr>
        <w:t xml:space="preserve"> </w:t>
      </w:r>
      <w:r w:rsidR="006445DD" w:rsidRPr="00DA4E47">
        <w:rPr>
          <w:rFonts w:cs="Arial"/>
        </w:rPr>
        <w:t>it is</w:t>
      </w:r>
      <w:r w:rsidR="003D16CA" w:rsidRPr="00DA4E47">
        <w:rPr>
          <w:rFonts w:cs="Arial"/>
        </w:rPr>
        <w:t xml:space="preserve"> the </w:t>
      </w:r>
      <w:r w:rsidR="00C43889" w:rsidRPr="00DA4E47">
        <w:rPr>
          <w:rFonts w:cs="Arial"/>
        </w:rPr>
        <w:t>leading state in cash farm receipts</w:t>
      </w:r>
      <w:r w:rsidR="006445DD" w:rsidRPr="00DA4E47">
        <w:rPr>
          <w:rFonts w:cs="Arial"/>
        </w:rPr>
        <w:t xml:space="preserve"> in the country</w:t>
      </w:r>
      <w:r w:rsidRPr="00DA4E47">
        <w:rPr>
          <w:rFonts w:cs="Arial"/>
        </w:rPr>
        <w:t>.</w:t>
      </w:r>
      <w:r w:rsidR="00C43889" w:rsidRPr="00DA4E47">
        <w:rPr>
          <w:rStyle w:val="FootnoteReference"/>
          <w:rFonts w:cs="Arial"/>
        </w:rPr>
        <w:footnoteReference w:id="1"/>
      </w:r>
      <w:r w:rsidRPr="00DA4E47">
        <w:rPr>
          <w:rFonts w:cs="Arial"/>
        </w:rPr>
        <w:t xml:space="preserve"> </w:t>
      </w:r>
      <w:r w:rsidR="003D16CA" w:rsidRPr="00DA4E47">
        <w:rPr>
          <w:rFonts w:cs="Arial"/>
        </w:rPr>
        <w:t xml:space="preserve">California provides over a third of the country’s vegetables and approximately </w:t>
      </w:r>
      <w:r w:rsidR="00AA561D" w:rsidRPr="00DA4E47">
        <w:rPr>
          <w:rFonts w:cs="Arial"/>
        </w:rPr>
        <w:t>three quarters</w:t>
      </w:r>
      <w:r w:rsidR="003D16CA" w:rsidRPr="00DA4E47">
        <w:rPr>
          <w:rFonts w:cs="Arial"/>
        </w:rPr>
        <w:t xml:space="preserve"> of the </w:t>
      </w:r>
      <w:r w:rsidR="00AA561D" w:rsidRPr="00DA4E47">
        <w:rPr>
          <w:rFonts w:cs="Arial"/>
        </w:rPr>
        <w:t>United State</w:t>
      </w:r>
      <w:r w:rsidR="003D16CA" w:rsidRPr="00DA4E47">
        <w:rPr>
          <w:rFonts w:cs="Arial"/>
        </w:rPr>
        <w:t>s</w:t>
      </w:r>
      <w:r w:rsidR="00AA561D" w:rsidRPr="00DA4E47">
        <w:rPr>
          <w:rFonts w:cs="Arial"/>
        </w:rPr>
        <w:t>’</w:t>
      </w:r>
      <w:r w:rsidR="003D16CA" w:rsidRPr="00DA4E47">
        <w:rPr>
          <w:rFonts w:cs="Arial"/>
        </w:rPr>
        <w:t xml:space="preserve"> fruits and nuts. </w:t>
      </w:r>
      <w:r w:rsidR="00C43889" w:rsidRPr="00F155A9">
        <w:rPr>
          <w:rFonts w:cs="Arial"/>
        </w:rPr>
        <w:t xml:space="preserve">The California Department of Food </w:t>
      </w:r>
      <w:r w:rsidR="00F86313">
        <w:rPr>
          <w:rFonts w:cs="Arial"/>
        </w:rPr>
        <w:t>and</w:t>
      </w:r>
      <w:r w:rsidR="00C43889" w:rsidRPr="00F155A9">
        <w:rPr>
          <w:rFonts w:cs="Arial"/>
        </w:rPr>
        <w:t xml:space="preserve"> Agriculture notes that California’s leading </w:t>
      </w:r>
      <w:r w:rsidR="00DA4E47" w:rsidRPr="00F155A9">
        <w:rPr>
          <w:rFonts w:cs="Arial"/>
        </w:rPr>
        <w:t xml:space="preserve">top ten </w:t>
      </w:r>
      <w:r w:rsidR="00C43889" w:rsidRPr="00F155A9">
        <w:rPr>
          <w:rFonts w:cs="Arial"/>
        </w:rPr>
        <w:t>exports in 20</w:t>
      </w:r>
      <w:r w:rsidR="00DA4E47" w:rsidRPr="00F155A9">
        <w:rPr>
          <w:rFonts w:cs="Arial"/>
        </w:rPr>
        <w:t>22</w:t>
      </w:r>
      <w:r w:rsidR="006445DD" w:rsidRPr="00F155A9">
        <w:rPr>
          <w:rFonts w:cs="Arial"/>
        </w:rPr>
        <w:t>,</w:t>
      </w:r>
      <w:r w:rsidR="00C43889" w:rsidRPr="00F155A9">
        <w:rPr>
          <w:rFonts w:cs="Arial"/>
        </w:rPr>
        <w:t xml:space="preserve"> by value</w:t>
      </w:r>
      <w:r w:rsidR="006445DD" w:rsidRPr="00F155A9">
        <w:rPr>
          <w:rFonts w:cs="Arial"/>
        </w:rPr>
        <w:t>,</w:t>
      </w:r>
      <w:r w:rsidR="00C43889" w:rsidRPr="00F155A9">
        <w:rPr>
          <w:rFonts w:cs="Arial"/>
        </w:rPr>
        <w:t xml:space="preserve"> were</w:t>
      </w:r>
      <w:r w:rsidR="00DA4E47" w:rsidRPr="00F155A9">
        <w:rPr>
          <w:rFonts w:cs="Arial"/>
        </w:rPr>
        <w:t xml:space="preserve"> </w:t>
      </w:r>
      <w:r w:rsidR="00C43889" w:rsidRPr="00F155A9">
        <w:rPr>
          <w:rFonts w:cs="Arial"/>
        </w:rPr>
        <w:t>dairy products,</w:t>
      </w:r>
      <w:r w:rsidR="00DA4E47" w:rsidRPr="00F155A9">
        <w:rPr>
          <w:rFonts w:cs="Arial"/>
        </w:rPr>
        <w:t xml:space="preserve"> grapes, cattle and calves, almonds,</w:t>
      </w:r>
      <w:r w:rsidR="00C43889" w:rsidRPr="00F155A9">
        <w:rPr>
          <w:rFonts w:cs="Arial"/>
        </w:rPr>
        <w:t xml:space="preserve"> </w:t>
      </w:r>
      <w:r w:rsidR="00DA4E47" w:rsidRPr="00F155A9">
        <w:rPr>
          <w:rFonts w:cs="Arial"/>
        </w:rPr>
        <w:t xml:space="preserve">lettuce, strawberries, </w:t>
      </w:r>
      <w:r w:rsidR="00C43889" w:rsidRPr="00F155A9">
        <w:rPr>
          <w:rFonts w:cs="Arial"/>
        </w:rPr>
        <w:t>pistachios</w:t>
      </w:r>
      <w:r w:rsidR="00DA4E47" w:rsidRPr="00F155A9">
        <w:rPr>
          <w:rFonts w:cs="Arial"/>
        </w:rPr>
        <w:t>, broilers, tomatoes, and carrots</w:t>
      </w:r>
      <w:r w:rsidR="00C43889" w:rsidRPr="00F155A9">
        <w:rPr>
          <w:rFonts w:cs="Arial"/>
        </w:rPr>
        <w:t xml:space="preserve">. </w:t>
      </w:r>
      <w:r w:rsidR="006445DD" w:rsidRPr="00F155A9">
        <w:rPr>
          <w:rFonts w:cs="Arial"/>
        </w:rPr>
        <w:t>Due to the high need for agricultural labor,</w:t>
      </w:r>
      <w:r w:rsidRPr="00F155A9">
        <w:rPr>
          <w:rFonts w:cs="Arial"/>
        </w:rPr>
        <w:t xml:space="preserve"> </w:t>
      </w:r>
      <w:r w:rsidR="00E53755" w:rsidRPr="00F155A9">
        <w:rPr>
          <w:rFonts w:cs="Arial"/>
        </w:rPr>
        <w:t xml:space="preserve">the </w:t>
      </w:r>
      <w:r w:rsidRPr="00F155A9">
        <w:rPr>
          <w:rFonts w:cs="Arial"/>
        </w:rPr>
        <w:t xml:space="preserve">state’s migratory population is more than twice that of </w:t>
      </w:r>
      <w:r w:rsidR="001E7D53" w:rsidRPr="00F155A9">
        <w:rPr>
          <w:rFonts w:cs="Arial"/>
        </w:rPr>
        <w:t>Washington</w:t>
      </w:r>
      <w:r w:rsidRPr="00F155A9">
        <w:rPr>
          <w:rFonts w:cs="Arial"/>
        </w:rPr>
        <w:t xml:space="preserve">, which is home to the second largest migratory population in the country. </w:t>
      </w:r>
      <w:r w:rsidR="00883BEF" w:rsidRPr="00F155A9">
        <w:rPr>
          <w:rFonts w:cs="Arial"/>
        </w:rPr>
        <w:t>In 20</w:t>
      </w:r>
      <w:r w:rsidR="001E7D53" w:rsidRPr="00F155A9">
        <w:rPr>
          <w:rFonts w:cs="Arial"/>
        </w:rPr>
        <w:t>22</w:t>
      </w:r>
      <w:r w:rsidR="00883BEF" w:rsidRPr="00F155A9">
        <w:rPr>
          <w:rFonts w:cs="Arial"/>
        </w:rPr>
        <w:t>–</w:t>
      </w:r>
      <w:r w:rsidR="001E7D53" w:rsidRPr="00F155A9">
        <w:rPr>
          <w:rFonts w:cs="Arial"/>
        </w:rPr>
        <w:t>23</w:t>
      </w:r>
      <w:r w:rsidR="00883BEF" w:rsidRPr="00F155A9">
        <w:rPr>
          <w:rFonts w:cs="Arial"/>
        </w:rPr>
        <w:t>, the U.S. Department of Education (ED) reported</w:t>
      </w:r>
      <w:r w:rsidR="00AB0CC7">
        <w:rPr>
          <w:rFonts w:cs="Arial"/>
        </w:rPr>
        <w:t xml:space="preserve"> a total of 260,710 eligible migratory children and youth</w:t>
      </w:r>
      <w:r w:rsidR="008E0D06">
        <w:rPr>
          <w:rFonts w:cs="Arial"/>
        </w:rPr>
        <w:t>s</w:t>
      </w:r>
      <w:r w:rsidR="00AB0CC7">
        <w:rPr>
          <w:rFonts w:cs="Arial"/>
        </w:rPr>
        <w:t xml:space="preserve"> of which</w:t>
      </w:r>
      <w:r w:rsidR="00883BEF" w:rsidRPr="00F155A9">
        <w:rPr>
          <w:rFonts w:cs="Arial"/>
        </w:rPr>
        <w:t xml:space="preserve"> </w:t>
      </w:r>
      <w:r w:rsidR="001E7D53" w:rsidRPr="00F155A9">
        <w:rPr>
          <w:rFonts w:cs="Arial"/>
        </w:rPr>
        <w:t>75,647</w:t>
      </w:r>
      <w:r w:rsidR="001E7D53" w:rsidRPr="00F155A9">
        <w:rPr>
          <w:rStyle w:val="FootnoteReference"/>
          <w:rFonts w:cs="Arial"/>
        </w:rPr>
        <w:footnoteReference w:id="2"/>
      </w:r>
      <w:r w:rsidR="00883BEF" w:rsidRPr="00F155A9">
        <w:rPr>
          <w:rFonts w:cs="Arial"/>
        </w:rPr>
        <w:t xml:space="preserve"> migratory children eligible for services </w:t>
      </w:r>
      <w:r w:rsidR="00AB0CC7">
        <w:rPr>
          <w:rFonts w:cs="Arial"/>
        </w:rPr>
        <w:t xml:space="preserve">resided in California </w:t>
      </w:r>
      <w:r w:rsidR="00883BEF" w:rsidRPr="00F155A9">
        <w:rPr>
          <w:rFonts w:cs="Arial"/>
        </w:rPr>
        <w:t>(</w:t>
      </w:r>
      <w:r w:rsidR="00AB0CC7">
        <w:rPr>
          <w:rFonts w:cs="Arial"/>
        </w:rPr>
        <w:t>29</w:t>
      </w:r>
      <w:r w:rsidR="00EA754F">
        <w:t> </w:t>
      </w:r>
      <w:r w:rsidR="00883BEF" w:rsidRPr="00F155A9">
        <w:rPr>
          <w:rFonts w:cs="Arial"/>
        </w:rPr>
        <w:t>percent of the national total)</w:t>
      </w:r>
      <w:r w:rsidR="00AB0CC7">
        <w:rPr>
          <w:rFonts w:cs="Arial"/>
        </w:rPr>
        <w:t>. The second largest migratory population resided in</w:t>
      </w:r>
      <w:r w:rsidR="00883BEF" w:rsidRPr="00F155A9">
        <w:rPr>
          <w:rFonts w:cs="Arial"/>
        </w:rPr>
        <w:t xml:space="preserve"> </w:t>
      </w:r>
      <w:r w:rsidR="001E7D53" w:rsidRPr="00F155A9">
        <w:rPr>
          <w:rFonts w:cs="Arial"/>
        </w:rPr>
        <w:t>Washington</w:t>
      </w:r>
      <w:r w:rsidR="00883BEF" w:rsidRPr="00F155A9">
        <w:rPr>
          <w:rFonts w:cs="Arial"/>
        </w:rPr>
        <w:t xml:space="preserve"> </w:t>
      </w:r>
      <w:r w:rsidR="00AB0CC7">
        <w:rPr>
          <w:rFonts w:cs="Arial"/>
        </w:rPr>
        <w:t>with</w:t>
      </w:r>
      <w:r w:rsidR="001E7D53" w:rsidRPr="00F155A9">
        <w:rPr>
          <w:rFonts w:cs="Arial"/>
        </w:rPr>
        <w:t xml:space="preserve"> 29,619</w:t>
      </w:r>
      <w:r w:rsidR="00883BEF" w:rsidRPr="00F155A9">
        <w:rPr>
          <w:rFonts w:cs="Arial"/>
        </w:rPr>
        <w:t xml:space="preserve"> migratory children eligible for service</w:t>
      </w:r>
      <w:r w:rsidR="00883BEF" w:rsidRPr="00AB0CC7">
        <w:rPr>
          <w:rFonts w:cs="Arial"/>
        </w:rPr>
        <w:t>s (1</w:t>
      </w:r>
      <w:r w:rsidR="00AB0CC7" w:rsidRPr="00AB0CC7">
        <w:rPr>
          <w:rFonts w:cs="Arial"/>
        </w:rPr>
        <w:t>1</w:t>
      </w:r>
      <w:r w:rsidR="003B1A44">
        <w:t> </w:t>
      </w:r>
      <w:r w:rsidR="00883BEF" w:rsidRPr="00AB0CC7">
        <w:rPr>
          <w:rFonts w:cs="Arial"/>
        </w:rPr>
        <w:t xml:space="preserve">percent of the national total). </w:t>
      </w:r>
      <w:r w:rsidR="001E7D53" w:rsidRPr="00AB0CC7">
        <w:rPr>
          <w:rFonts w:cs="Arial"/>
        </w:rPr>
        <w:t>Although the last two performance period</w:t>
      </w:r>
      <w:r w:rsidR="00F155A9" w:rsidRPr="00AB0CC7">
        <w:rPr>
          <w:rFonts w:cs="Arial"/>
        </w:rPr>
        <w:t>s</w:t>
      </w:r>
      <w:r w:rsidR="001E7D53" w:rsidRPr="00AB0CC7">
        <w:rPr>
          <w:rFonts w:cs="Arial"/>
        </w:rPr>
        <w:t xml:space="preserve"> showed sli</w:t>
      </w:r>
      <w:r w:rsidR="001E7D53" w:rsidRPr="00F155A9">
        <w:rPr>
          <w:rFonts w:cs="Arial"/>
        </w:rPr>
        <w:t>ght increases</w:t>
      </w:r>
      <w:r w:rsidR="00883BEF" w:rsidRPr="00F155A9">
        <w:rPr>
          <w:rFonts w:cs="Arial"/>
        </w:rPr>
        <w:t xml:space="preserve">, California’s migratory population </w:t>
      </w:r>
      <w:r w:rsidR="00D53A76">
        <w:rPr>
          <w:rFonts w:cs="Arial"/>
        </w:rPr>
        <w:t xml:space="preserve">was steadily declining prior to </w:t>
      </w:r>
      <w:r w:rsidR="008D2E91">
        <w:rPr>
          <w:rFonts w:cs="Arial"/>
        </w:rPr>
        <w:t xml:space="preserve">    </w:t>
      </w:r>
      <w:r w:rsidR="00D53A76">
        <w:rPr>
          <w:rFonts w:cs="Arial"/>
        </w:rPr>
        <w:t>2021</w:t>
      </w:r>
      <w:r w:rsidR="005D504C">
        <w:rPr>
          <w:rFonts w:cs="Arial"/>
        </w:rPr>
        <w:t>–</w:t>
      </w:r>
      <w:r w:rsidR="00D53A76">
        <w:rPr>
          <w:rFonts w:cs="Arial"/>
        </w:rPr>
        <w:t xml:space="preserve">22, </w:t>
      </w:r>
      <w:proofErr w:type="gramStart"/>
      <w:r w:rsidR="001E7D53" w:rsidRPr="00F155A9">
        <w:rPr>
          <w:rFonts w:cs="Arial"/>
        </w:rPr>
        <w:t>similar to</w:t>
      </w:r>
      <w:proofErr w:type="gramEnd"/>
      <w:r w:rsidR="001E7D53" w:rsidRPr="00F155A9">
        <w:rPr>
          <w:rFonts w:cs="Arial"/>
        </w:rPr>
        <w:t xml:space="preserve"> other </w:t>
      </w:r>
      <w:r w:rsidR="00210628">
        <w:rPr>
          <w:rFonts w:cs="Arial"/>
        </w:rPr>
        <w:t>states with MEP-</w:t>
      </w:r>
      <w:r w:rsidR="001E7D53" w:rsidRPr="00F155A9">
        <w:rPr>
          <w:rFonts w:cs="Arial"/>
        </w:rPr>
        <w:t>funded programs</w:t>
      </w:r>
      <w:r w:rsidR="004C2742" w:rsidRPr="00F155A9">
        <w:rPr>
          <w:rFonts w:cs="Arial"/>
        </w:rPr>
        <w:t>.</w:t>
      </w:r>
      <w:r w:rsidR="004C2742" w:rsidRPr="002F0E3F">
        <w:rPr>
          <w:rFonts w:cs="Arial"/>
        </w:rPr>
        <w:t xml:space="preserve"> </w:t>
      </w:r>
    </w:p>
    <w:p w14:paraId="523D9873" w14:textId="41E9AF44" w:rsidR="00883BEF" w:rsidRPr="002F0E3F" w:rsidRDefault="00883BEF" w:rsidP="00EA26BE">
      <w:pPr>
        <w:spacing w:after="240"/>
        <w:rPr>
          <w:rFonts w:cs="Arial"/>
        </w:rPr>
      </w:pPr>
      <w:r w:rsidRPr="002F0E3F">
        <w:rPr>
          <w:rFonts w:cs="Arial"/>
        </w:rPr>
        <w:t xml:space="preserve">While California’s migratory population remains the largest in the nation, California’s </w:t>
      </w:r>
      <w:r w:rsidR="009F09AB">
        <w:rPr>
          <w:rFonts w:cs="Arial"/>
        </w:rPr>
        <w:t xml:space="preserve">MSIN </w:t>
      </w:r>
      <w:r w:rsidRPr="002F0E3F">
        <w:rPr>
          <w:rFonts w:cs="Arial"/>
        </w:rPr>
        <w:t xml:space="preserve">migratory child count decreased to </w:t>
      </w:r>
      <w:r w:rsidR="006D7FF6">
        <w:rPr>
          <w:rFonts w:cs="Arial"/>
        </w:rPr>
        <w:t>74,655</w:t>
      </w:r>
      <w:r w:rsidRPr="002F0E3F">
        <w:rPr>
          <w:rFonts w:cs="Arial"/>
        </w:rPr>
        <w:t xml:space="preserve"> in 20</w:t>
      </w:r>
      <w:r w:rsidR="006D7FF6">
        <w:rPr>
          <w:rFonts w:cs="Arial"/>
        </w:rPr>
        <w:t>22</w:t>
      </w:r>
      <w:r w:rsidRPr="002F0E3F">
        <w:rPr>
          <w:rFonts w:cs="Arial"/>
        </w:rPr>
        <w:t>–</w:t>
      </w:r>
      <w:r w:rsidR="006D7FF6">
        <w:rPr>
          <w:rFonts w:cs="Arial"/>
        </w:rPr>
        <w:t>23</w:t>
      </w:r>
      <w:r w:rsidRPr="002F0E3F">
        <w:rPr>
          <w:rFonts w:cs="Arial"/>
        </w:rPr>
        <w:t xml:space="preserve">, a decrease of nearly </w:t>
      </w:r>
      <w:r w:rsidR="006D7FF6">
        <w:rPr>
          <w:rFonts w:cs="Arial"/>
        </w:rPr>
        <w:t>12</w:t>
      </w:r>
      <w:r w:rsidR="00EA754F">
        <w:t> </w:t>
      </w:r>
      <w:r w:rsidRPr="002F0E3F">
        <w:rPr>
          <w:rFonts w:cs="Arial"/>
        </w:rPr>
        <w:t xml:space="preserve">percent compared to </w:t>
      </w:r>
      <w:r w:rsidR="0022001E">
        <w:rPr>
          <w:rFonts w:cs="Arial"/>
        </w:rPr>
        <w:t xml:space="preserve">the </w:t>
      </w:r>
      <w:r w:rsidRPr="002F0E3F">
        <w:rPr>
          <w:rFonts w:cs="Arial"/>
        </w:rPr>
        <w:t>201</w:t>
      </w:r>
      <w:r w:rsidR="006D7FF6">
        <w:rPr>
          <w:rFonts w:cs="Arial"/>
        </w:rPr>
        <w:t>7</w:t>
      </w:r>
      <w:r w:rsidRPr="002F0E3F">
        <w:rPr>
          <w:rFonts w:cs="Arial"/>
        </w:rPr>
        <w:t>–1</w:t>
      </w:r>
      <w:r w:rsidR="006D7FF6">
        <w:rPr>
          <w:rFonts w:cs="Arial"/>
        </w:rPr>
        <w:t>8</w:t>
      </w:r>
      <w:r w:rsidR="0022001E">
        <w:rPr>
          <w:rFonts w:cs="Arial"/>
        </w:rPr>
        <w:t xml:space="preserve"> population count.</w:t>
      </w:r>
      <w:r w:rsidR="006D7FF6">
        <w:rPr>
          <w:rFonts w:cs="Arial"/>
        </w:rPr>
        <w:t xml:space="preserve"> </w:t>
      </w:r>
      <w:r w:rsidR="0022001E">
        <w:rPr>
          <w:rFonts w:cs="Arial"/>
        </w:rPr>
        <w:t>H</w:t>
      </w:r>
      <w:r w:rsidR="006D7FF6">
        <w:rPr>
          <w:rFonts w:cs="Arial"/>
        </w:rPr>
        <w:t>owever, there was a slight increase between 2021–22 and 2022–23 of about 1,000 children and youths</w:t>
      </w:r>
      <w:r w:rsidRPr="002F0E3F">
        <w:rPr>
          <w:rFonts w:cs="Arial"/>
        </w:rPr>
        <w:t xml:space="preserve">. </w:t>
      </w:r>
      <w:r w:rsidR="0033751A">
        <w:rPr>
          <w:rFonts w:cs="Arial"/>
        </w:rPr>
        <w:t>When reviewing specific age spans for 2022–23, we see increases in preschool aged children, high school youth</w:t>
      </w:r>
      <w:r w:rsidR="00374B62">
        <w:rPr>
          <w:rFonts w:cs="Arial"/>
        </w:rPr>
        <w:t>s</w:t>
      </w:r>
      <w:r w:rsidR="0033751A">
        <w:rPr>
          <w:rFonts w:cs="Arial"/>
        </w:rPr>
        <w:t xml:space="preserve"> between the ages of </w:t>
      </w:r>
      <w:r w:rsidR="00EA1BAD">
        <w:rPr>
          <w:rFonts w:cs="Arial"/>
        </w:rPr>
        <w:t xml:space="preserve">sixteen </w:t>
      </w:r>
      <w:r w:rsidR="0033751A">
        <w:rPr>
          <w:rFonts w:cs="Arial"/>
        </w:rPr>
        <w:t xml:space="preserve">and </w:t>
      </w:r>
      <w:r w:rsidR="00EA1BAD">
        <w:rPr>
          <w:rFonts w:cs="Arial"/>
        </w:rPr>
        <w:t xml:space="preserve">eighteen </w:t>
      </w:r>
      <w:r w:rsidR="0033751A">
        <w:rPr>
          <w:rFonts w:cs="Arial"/>
        </w:rPr>
        <w:t>years</w:t>
      </w:r>
      <w:r w:rsidR="00374B62">
        <w:rPr>
          <w:rFonts w:cs="Arial"/>
        </w:rPr>
        <w:t>,</w:t>
      </w:r>
      <w:r w:rsidR="0033751A">
        <w:rPr>
          <w:rFonts w:cs="Arial"/>
        </w:rPr>
        <w:t xml:space="preserve"> and OSY</w:t>
      </w:r>
      <w:r w:rsidR="00374B62">
        <w:rPr>
          <w:rFonts w:cs="Arial"/>
        </w:rPr>
        <w:t>s</w:t>
      </w:r>
      <w:r w:rsidR="0033751A">
        <w:rPr>
          <w:rFonts w:cs="Arial"/>
        </w:rPr>
        <w:t xml:space="preserve"> ages </w:t>
      </w:r>
      <w:r w:rsidR="00EA1BAD">
        <w:rPr>
          <w:rFonts w:cs="Arial"/>
        </w:rPr>
        <w:t xml:space="preserve">nineteen </w:t>
      </w:r>
      <w:r w:rsidR="0033751A">
        <w:rPr>
          <w:rFonts w:cs="Arial"/>
        </w:rPr>
        <w:t xml:space="preserve">to </w:t>
      </w:r>
      <w:r w:rsidR="00EA1BAD">
        <w:rPr>
          <w:rFonts w:cs="Arial"/>
        </w:rPr>
        <w:t xml:space="preserve">twenty-one </w:t>
      </w:r>
      <w:r w:rsidR="0033751A">
        <w:rPr>
          <w:rFonts w:cs="Arial"/>
        </w:rPr>
        <w:t xml:space="preserve">years old. Decreases in the number of students for ages six through </w:t>
      </w:r>
      <w:r w:rsidR="00EA1BAD">
        <w:rPr>
          <w:rFonts w:cs="Arial"/>
        </w:rPr>
        <w:t xml:space="preserve">fifteen </w:t>
      </w:r>
      <w:r w:rsidR="0033751A">
        <w:rPr>
          <w:rFonts w:cs="Arial"/>
        </w:rPr>
        <w:t xml:space="preserve">occurred in 2022–23 although the data illustrates that the decreases were minimal. </w:t>
      </w:r>
      <w:r w:rsidR="00194648">
        <w:rPr>
          <w:rFonts w:cs="Arial"/>
        </w:rPr>
        <w:t>Figure</w:t>
      </w:r>
      <w:r w:rsidRPr="002F0E3F">
        <w:rPr>
          <w:rFonts w:cs="Arial"/>
        </w:rPr>
        <w:t xml:space="preserve"> 1 shows the </w:t>
      </w:r>
      <w:r w:rsidR="0022001E">
        <w:rPr>
          <w:rFonts w:cs="Arial"/>
        </w:rPr>
        <w:t>overall</w:t>
      </w:r>
      <w:r w:rsidR="00D53A76">
        <w:rPr>
          <w:rFonts w:cs="Arial"/>
        </w:rPr>
        <w:t xml:space="preserve"> </w:t>
      </w:r>
      <w:r w:rsidRPr="002F0E3F">
        <w:rPr>
          <w:rFonts w:cs="Arial"/>
        </w:rPr>
        <w:t xml:space="preserve">trend in </w:t>
      </w:r>
      <w:r w:rsidR="00D53A76">
        <w:rPr>
          <w:rFonts w:cs="Arial"/>
        </w:rPr>
        <w:t xml:space="preserve">the </w:t>
      </w:r>
      <w:r w:rsidRPr="002F0E3F">
        <w:rPr>
          <w:rFonts w:cs="Arial"/>
        </w:rPr>
        <w:t>migratory children population between 201</w:t>
      </w:r>
      <w:r w:rsidR="006D7FF6">
        <w:rPr>
          <w:rFonts w:cs="Arial"/>
        </w:rPr>
        <w:t>7</w:t>
      </w:r>
      <w:r w:rsidRPr="002F0E3F">
        <w:rPr>
          <w:rFonts w:cs="Arial"/>
        </w:rPr>
        <w:t>–1</w:t>
      </w:r>
      <w:r w:rsidR="006D7FF6">
        <w:rPr>
          <w:rFonts w:cs="Arial"/>
        </w:rPr>
        <w:t>8</w:t>
      </w:r>
      <w:r w:rsidRPr="002F0E3F">
        <w:rPr>
          <w:rFonts w:cs="Arial"/>
        </w:rPr>
        <w:t xml:space="preserve"> and 20</w:t>
      </w:r>
      <w:r w:rsidR="006D7FF6">
        <w:rPr>
          <w:rFonts w:cs="Arial"/>
        </w:rPr>
        <w:t>22</w:t>
      </w:r>
      <w:r w:rsidRPr="002F0E3F">
        <w:rPr>
          <w:rFonts w:cs="Arial"/>
        </w:rPr>
        <w:t>–</w:t>
      </w:r>
      <w:r w:rsidR="006D7FF6">
        <w:rPr>
          <w:rFonts w:cs="Arial"/>
        </w:rPr>
        <w:t>23</w:t>
      </w:r>
      <w:r w:rsidRPr="002F0E3F">
        <w:rPr>
          <w:rFonts w:cs="Arial"/>
        </w:rPr>
        <w:t xml:space="preserve">. </w:t>
      </w:r>
    </w:p>
    <w:p w14:paraId="2B841DBA" w14:textId="77777777" w:rsidR="00CF280A" w:rsidRDefault="00CF280A">
      <w:pPr>
        <w:rPr>
          <w:rStyle w:val="Heading5Char"/>
          <w:rFonts w:eastAsia="Calibri"/>
          <w:bCs/>
        </w:rPr>
      </w:pPr>
      <w:r>
        <w:rPr>
          <w:rStyle w:val="Heading5Char"/>
          <w:rFonts w:eastAsia="Calibri"/>
          <w:bCs/>
        </w:rPr>
        <w:br w:type="page"/>
      </w:r>
    </w:p>
    <w:p w14:paraId="5E6C05E7" w14:textId="3C88319D" w:rsidR="00611508" w:rsidRPr="00611508" w:rsidRDefault="00611508" w:rsidP="00066268">
      <w:pPr>
        <w:pStyle w:val="Heading5"/>
      </w:pPr>
      <w:bookmarkStart w:id="15" w:name="_Toc188030500"/>
      <w:bookmarkStart w:id="16" w:name="_Toc188016086"/>
      <w:r w:rsidRPr="00611508">
        <w:lastRenderedPageBreak/>
        <w:t xml:space="preserve">Figure </w:t>
      </w:r>
      <w:fldSimple w:instr=" SEQ Figure \* ARABIC ">
        <w:r w:rsidR="00AB15FE">
          <w:rPr>
            <w:noProof/>
          </w:rPr>
          <w:t>1</w:t>
        </w:r>
      </w:fldSimple>
      <w:r w:rsidRPr="00611508">
        <w:t>. Number of Migrant Education Program-Eligible Children and Youths, 2017–18 Through 2022–23</w:t>
      </w:r>
      <w:bookmarkEnd w:id="15"/>
    </w:p>
    <w:bookmarkEnd w:id="16"/>
    <w:p w14:paraId="600C54D6" w14:textId="77777777" w:rsidR="00447B9F" w:rsidRPr="002F0E3F" w:rsidRDefault="00645CF0" w:rsidP="00EA26BE">
      <w:pPr>
        <w:pStyle w:val="FigureCaption"/>
        <w:rPr>
          <w:sz w:val="24"/>
          <w:szCs w:val="24"/>
        </w:rPr>
      </w:pPr>
      <w:r w:rsidRPr="002F0E3F">
        <w:rPr>
          <w:noProof/>
          <w:sz w:val="24"/>
          <w:szCs w:val="24"/>
          <w:lang w:eastAsia="en-US"/>
        </w:rPr>
        <w:drawing>
          <wp:inline distT="0" distB="0" distL="0" distR="0" wp14:anchorId="5E62E4C8" wp14:editId="2908B732">
            <wp:extent cx="5211472" cy="2738637"/>
            <wp:effectExtent l="0" t="0" r="8255" b="5080"/>
            <wp:docPr id="1" name="Picture 9" descr="Number of Migrant Education Program-Eligible Children and Youths, 2017–18 Through 2022–23. Table 1 shows all the data from figure 1 in table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Number of Migrant Education Program-Eligible Children and Youths, 2017–18 Through 2022–23. Table 1 shows all the data from figure 1 in table format."/>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315324" cy="2793211"/>
                    </a:xfrm>
                    <a:prstGeom prst="rect">
                      <a:avLst/>
                    </a:prstGeom>
                    <a:noFill/>
                    <a:ln>
                      <a:noFill/>
                    </a:ln>
                  </pic:spPr>
                </pic:pic>
              </a:graphicData>
            </a:graphic>
          </wp:inline>
        </w:drawing>
      </w:r>
    </w:p>
    <w:p w14:paraId="471984B7" w14:textId="0B004F0E" w:rsidR="006D7FF6" w:rsidRPr="006D7FF6" w:rsidRDefault="006D7FF6" w:rsidP="00EA26BE">
      <w:pPr>
        <w:pStyle w:val="TableorFiguresNotesSources"/>
        <w:rPr>
          <w:color w:val="auto"/>
        </w:rPr>
      </w:pPr>
      <w:r w:rsidRPr="006D7FF6">
        <w:rPr>
          <w:color w:val="auto"/>
        </w:rPr>
        <w:t xml:space="preserve">Source: The </w:t>
      </w:r>
      <w:bookmarkStart w:id="17" w:name="_Hlk158743482"/>
      <w:r w:rsidRPr="006D7FF6">
        <w:rPr>
          <w:color w:val="auto"/>
        </w:rPr>
        <w:t xml:space="preserve">MSIN </w:t>
      </w:r>
      <w:r w:rsidR="0022001E">
        <w:rPr>
          <w:color w:val="auto"/>
        </w:rPr>
        <w:t>d</w:t>
      </w:r>
      <w:r w:rsidRPr="006D7FF6">
        <w:rPr>
          <w:color w:val="auto"/>
        </w:rPr>
        <w:t>atabases for the MEP</w:t>
      </w:r>
      <w:bookmarkEnd w:id="17"/>
      <w:r w:rsidRPr="006D7FF6">
        <w:rPr>
          <w:color w:val="auto"/>
        </w:rPr>
        <w:t>, 2017–18 through 2022–23.</w:t>
      </w:r>
    </w:p>
    <w:p w14:paraId="607A30B6" w14:textId="7A5EFA32" w:rsidR="00874EC3" w:rsidRPr="00611508" w:rsidRDefault="00611508" w:rsidP="00066268">
      <w:pPr>
        <w:pStyle w:val="Heading5"/>
        <w:rPr>
          <w:color w:val="002060"/>
        </w:rPr>
      </w:pPr>
      <w:bookmarkStart w:id="18" w:name="_Toc188030566"/>
      <w:bookmarkStart w:id="19" w:name="_Hlk188016901"/>
      <w:r w:rsidRPr="00611508">
        <w:t xml:space="preserve">Table </w:t>
      </w:r>
      <w:fldSimple w:instr=" SEQ Table \* ARABIC ">
        <w:r w:rsidR="00D04DC5">
          <w:rPr>
            <w:noProof/>
          </w:rPr>
          <w:t>1</w:t>
        </w:r>
      </w:fldSimple>
      <w:r w:rsidRPr="00611508">
        <w:t>. Number of Migrant Education Program-Eligible Children and Youths 2017–18 Through 2022–23</w:t>
      </w:r>
      <w:bookmarkEnd w:id="18"/>
    </w:p>
    <w:tbl>
      <w:tblPr>
        <w:tblStyle w:val="ListTable3-Accent5"/>
        <w:tblW w:w="9216" w:type="dxa"/>
        <w:tblLayout w:type="fixed"/>
        <w:tblCellMar>
          <w:right w:w="108" w:type="dxa"/>
        </w:tblCellMar>
        <w:tblLook w:val="04A0" w:firstRow="1" w:lastRow="0" w:firstColumn="1" w:lastColumn="0" w:noHBand="0" w:noVBand="1"/>
      </w:tblPr>
      <w:tblGrid>
        <w:gridCol w:w="1872"/>
        <w:gridCol w:w="1224"/>
        <w:gridCol w:w="1224"/>
        <w:gridCol w:w="1224"/>
        <w:gridCol w:w="1224"/>
        <w:gridCol w:w="1224"/>
        <w:gridCol w:w="1224"/>
      </w:tblGrid>
      <w:tr w:rsidR="000878A8" w:rsidRPr="00426A87" w14:paraId="02FF5E59" w14:textId="77777777" w:rsidTr="009E56F2">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872" w:type="dxa"/>
            <w:noWrap/>
            <w:hideMark/>
          </w:tcPr>
          <w:bookmarkEnd w:id="19"/>
          <w:p w14:paraId="5116F7AD" w14:textId="77777777" w:rsidR="000878A8" w:rsidRPr="00426A87" w:rsidRDefault="000878A8" w:rsidP="009E56F2">
            <w:pPr>
              <w:pStyle w:val="TableHeaderRow"/>
            </w:pPr>
            <w:r w:rsidRPr="00426A87">
              <w:t>Performance Period</w:t>
            </w:r>
          </w:p>
        </w:tc>
        <w:tc>
          <w:tcPr>
            <w:tcW w:w="1224" w:type="dxa"/>
            <w:hideMark/>
          </w:tcPr>
          <w:p w14:paraId="79288BA6" w14:textId="77777777" w:rsidR="000878A8" w:rsidRPr="00426A87" w:rsidRDefault="000878A8" w:rsidP="009E56F2">
            <w:pPr>
              <w:pStyle w:val="TableHeaderRow"/>
              <w:cnfStyle w:val="100000000000" w:firstRow="1" w:lastRow="0" w:firstColumn="0" w:lastColumn="0" w:oddVBand="0" w:evenVBand="0" w:oddHBand="0" w:evenHBand="0" w:firstRowFirstColumn="0" w:firstRowLastColumn="0" w:lastRowFirstColumn="0" w:lastRowLastColumn="0"/>
            </w:pPr>
            <w:r w:rsidRPr="00426A87">
              <w:t>2017–18</w:t>
            </w:r>
          </w:p>
        </w:tc>
        <w:tc>
          <w:tcPr>
            <w:tcW w:w="1224" w:type="dxa"/>
            <w:hideMark/>
          </w:tcPr>
          <w:p w14:paraId="23825D69" w14:textId="77777777" w:rsidR="000878A8" w:rsidRPr="00426A87" w:rsidRDefault="000878A8" w:rsidP="009E56F2">
            <w:pPr>
              <w:pStyle w:val="TableHeaderRow"/>
              <w:cnfStyle w:val="100000000000" w:firstRow="1" w:lastRow="0" w:firstColumn="0" w:lastColumn="0" w:oddVBand="0" w:evenVBand="0" w:oddHBand="0" w:evenHBand="0" w:firstRowFirstColumn="0" w:firstRowLastColumn="0" w:lastRowFirstColumn="0" w:lastRowLastColumn="0"/>
            </w:pPr>
            <w:r w:rsidRPr="00426A87">
              <w:t>2018–19</w:t>
            </w:r>
          </w:p>
        </w:tc>
        <w:tc>
          <w:tcPr>
            <w:tcW w:w="1224" w:type="dxa"/>
            <w:hideMark/>
          </w:tcPr>
          <w:p w14:paraId="5B465398" w14:textId="77777777" w:rsidR="000878A8" w:rsidRPr="00426A87" w:rsidRDefault="000878A8" w:rsidP="009E56F2">
            <w:pPr>
              <w:pStyle w:val="TableHeaderRow"/>
              <w:cnfStyle w:val="100000000000" w:firstRow="1" w:lastRow="0" w:firstColumn="0" w:lastColumn="0" w:oddVBand="0" w:evenVBand="0" w:oddHBand="0" w:evenHBand="0" w:firstRowFirstColumn="0" w:firstRowLastColumn="0" w:lastRowFirstColumn="0" w:lastRowLastColumn="0"/>
            </w:pPr>
            <w:r w:rsidRPr="00426A87">
              <w:t>2019–20</w:t>
            </w:r>
          </w:p>
        </w:tc>
        <w:tc>
          <w:tcPr>
            <w:tcW w:w="1224" w:type="dxa"/>
            <w:hideMark/>
          </w:tcPr>
          <w:p w14:paraId="3401CEE1" w14:textId="77777777" w:rsidR="000878A8" w:rsidRPr="00426A87" w:rsidRDefault="000878A8" w:rsidP="009E56F2">
            <w:pPr>
              <w:pStyle w:val="TableHeaderRow"/>
              <w:cnfStyle w:val="100000000000" w:firstRow="1" w:lastRow="0" w:firstColumn="0" w:lastColumn="0" w:oddVBand="0" w:evenVBand="0" w:oddHBand="0" w:evenHBand="0" w:firstRowFirstColumn="0" w:firstRowLastColumn="0" w:lastRowFirstColumn="0" w:lastRowLastColumn="0"/>
            </w:pPr>
            <w:r w:rsidRPr="00426A87">
              <w:t>2020–21</w:t>
            </w:r>
          </w:p>
        </w:tc>
        <w:tc>
          <w:tcPr>
            <w:tcW w:w="1224" w:type="dxa"/>
            <w:hideMark/>
          </w:tcPr>
          <w:p w14:paraId="446A4D5A" w14:textId="77777777" w:rsidR="000878A8" w:rsidRPr="00426A87" w:rsidRDefault="000878A8" w:rsidP="009E56F2">
            <w:pPr>
              <w:pStyle w:val="TableHeaderRow"/>
              <w:cnfStyle w:val="100000000000" w:firstRow="1" w:lastRow="0" w:firstColumn="0" w:lastColumn="0" w:oddVBand="0" w:evenVBand="0" w:oddHBand="0" w:evenHBand="0" w:firstRowFirstColumn="0" w:firstRowLastColumn="0" w:lastRowFirstColumn="0" w:lastRowLastColumn="0"/>
            </w:pPr>
            <w:r w:rsidRPr="00426A87">
              <w:t xml:space="preserve">2021–22 </w:t>
            </w:r>
          </w:p>
        </w:tc>
        <w:tc>
          <w:tcPr>
            <w:tcW w:w="1224" w:type="dxa"/>
          </w:tcPr>
          <w:p w14:paraId="3D2657B4" w14:textId="77777777" w:rsidR="000878A8" w:rsidRPr="00426A87" w:rsidRDefault="000878A8" w:rsidP="009E56F2">
            <w:pPr>
              <w:pStyle w:val="TableHeaderRow"/>
              <w:cnfStyle w:val="100000000000" w:firstRow="1" w:lastRow="0" w:firstColumn="0" w:lastColumn="0" w:oddVBand="0" w:evenVBand="0" w:oddHBand="0" w:evenHBand="0" w:firstRowFirstColumn="0" w:firstRowLastColumn="0" w:lastRowFirstColumn="0" w:lastRowLastColumn="0"/>
            </w:pPr>
            <w:r>
              <w:t>2022–23</w:t>
            </w:r>
          </w:p>
        </w:tc>
      </w:tr>
      <w:tr w:rsidR="000878A8" w:rsidRPr="00426A87" w14:paraId="72E7CEAA" w14:textId="77777777" w:rsidTr="000878A8">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872" w:type="dxa"/>
            <w:shd w:val="clear" w:color="auto" w:fill="BDD6EE" w:themeFill="accent1" w:themeFillTint="66"/>
            <w:noWrap/>
            <w:hideMark/>
          </w:tcPr>
          <w:p w14:paraId="19D33A86" w14:textId="77777777" w:rsidR="000878A8" w:rsidRPr="00426A87" w:rsidRDefault="000878A8" w:rsidP="0041205C">
            <w:pPr>
              <w:pStyle w:val="TableCategoryText"/>
            </w:pPr>
            <w:r>
              <w:t>Number of MEP-eligible children and youths</w:t>
            </w:r>
          </w:p>
        </w:tc>
        <w:tc>
          <w:tcPr>
            <w:tcW w:w="1224" w:type="dxa"/>
            <w:shd w:val="clear" w:color="auto" w:fill="D9E2F3" w:themeFill="accent5" w:themeFillTint="33"/>
            <w:hideMark/>
          </w:tcPr>
          <w:p w14:paraId="5778F761" w14:textId="77777777" w:rsidR="000878A8" w:rsidRPr="0041205C" w:rsidRDefault="000878A8"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85,198</w:t>
            </w:r>
          </w:p>
        </w:tc>
        <w:tc>
          <w:tcPr>
            <w:tcW w:w="1224" w:type="dxa"/>
            <w:shd w:val="clear" w:color="auto" w:fill="D9E2F3" w:themeFill="accent5" w:themeFillTint="33"/>
            <w:hideMark/>
          </w:tcPr>
          <w:p w14:paraId="56B726C5" w14:textId="77777777" w:rsidR="000878A8" w:rsidRPr="0041205C" w:rsidRDefault="000878A8"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82,171</w:t>
            </w:r>
          </w:p>
        </w:tc>
        <w:tc>
          <w:tcPr>
            <w:tcW w:w="1224" w:type="dxa"/>
            <w:shd w:val="clear" w:color="auto" w:fill="D9E2F3" w:themeFill="accent5" w:themeFillTint="33"/>
            <w:hideMark/>
          </w:tcPr>
          <w:p w14:paraId="4B5727EF" w14:textId="77777777" w:rsidR="000878A8" w:rsidRPr="0041205C" w:rsidRDefault="000878A8"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75,631</w:t>
            </w:r>
          </w:p>
        </w:tc>
        <w:tc>
          <w:tcPr>
            <w:tcW w:w="1224" w:type="dxa"/>
            <w:shd w:val="clear" w:color="auto" w:fill="D9E2F3" w:themeFill="accent5" w:themeFillTint="33"/>
            <w:hideMark/>
          </w:tcPr>
          <w:p w14:paraId="69A3E9E4" w14:textId="77777777" w:rsidR="000878A8" w:rsidRPr="0041205C" w:rsidRDefault="000878A8"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73,078</w:t>
            </w:r>
          </w:p>
        </w:tc>
        <w:tc>
          <w:tcPr>
            <w:tcW w:w="1224" w:type="dxa"/>
            <w:shd w:val="clear" w:color="auto" w:fill="D9E2F3" w:themeFill="accent5" w:themeFillTint="33"/>
            <w:hideMark/>
          </w:tcPr>
          <w:p w14:paraId="5050C983" w14:textId="77777777" w:rsidR="000878A8" w:rsidRPr="0041205C" w:rsidRDefault="000878A8"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73,698</w:t>
            </w:r>
          </w:p>
        </w:tc>
        <w:tc>
          <w:tcPr>
            <w:tcW w:w="1224" w:type="dxa"/>
            <w:shd w:val="clear" w:color="auto" w:fill="D9E2F3" w:themeFill="accent5" w:themeFillTint="33"/>
          </w:tcPr>
          <w:p w14:paraId="464F7FD4" w14:textId="77777777" w:rsidR="000878A8" w:rsidRPr="0041205C" w:rsidRDefault="000878A8"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74,655</w:t>
            </w:r>
          </w:p>
        </w:tc>
      </w:tr>
    </w:tbl>
    <w:p w14:paraId="3A582C34" w14:textId="52DFD23D" w:rsidR="000878A8" w:rsidRPr="003273F8" w:rsidRDefault="000878A8" w:rsidP="000878A8">
      <w:pPr>
        <w:pStyle w:val="TableorFiguresNotesSources"/>
        <w:rPr>
          <w:color w:val="auto"/>
          <w:szCs w:val="24"/>
        </w:rPr>
      </w:pPr>
      <w:r w:rsidRPr="003273F8">
        <w:rPr>
          <w:color w:val="auto"/>
          <w:szCs w:val="24"/>
        </w:rPr>
        <w:t xml:space="preserve">Source: The MSIN </w:t>
      </w:r>
      <w:r w:rsidR="00210628">
        <w:rPr>
          <w:color w:val="auto"/>
          <w:szCs w:val="24"/>
        </w:rPr>
        <w:t>d</w:t>
      </w:r>
      <w:r w:rsidRPr="003273F8">
        <w:rPr>
          <w:color w:val="auto"/>
          <w:szCs w:val="24"/>
        </w:rPr>
        <w:t>atabases for the MEP, 2017–18 through 2022–23</w:t>
      </w:r>
      <w:r w:rsidR="00210628">
        <w:rPr>
          <w:color w:val="auto"/>
          <w:szCs w:val="24"/>
        </w:rPr>
        <w:t xml:space="preserve"> performance periods</w:t>
      </w:r>
      <w:r w:rsidRPr="003273F8">
        <w:rPr>
          <w:color w:val="auto"/>
          <w:szCs w:val="24"/>
        </w:rPr>
        <w:t>.</w:t>
      </w:r>
    </w:p>
    <w:p w14:paraId="2C65C08A" w14:textId="5FF34E74" w:rsidR="0021247C" w:rsidRPr="002F0E3F" w:rsidRDefault="00430F93" w:rsidP="00EA26BE">
      <w:pPr>
        <w:pStyle w:val="NormalWeb"/>
        <w:spacing w:before="0" w:beforeAutospacing="0" w:after="240" w:afterAutospacing="0"/>
        <w:rPr>
          <w:rFonts w:ascii="Arial" w:hAnsi="Arial" w:cs="Arial"/>
        </w:rPr>
      </w:pPr>
      <w:r w:rsidRPr="002F0E3F">
        <w:rPr>
          <w:rFonts w:ascii="Arial" w:hAnsi="Arial" w:cs="Arial"/>
        </w:rPr>
        <w:t>The California MEP recruits migratory students who come primarily from different pa</w:t>
      </w:r>
      <w:r w:rsidR="00827C3C" w:rsidRPr="002F0E3F">
        <w:rPr>
          <w:rFonts w:ascii="Arial" w:hAnsi="Arial" w:cs="Arial"/>
        </w:rPr>
        <w:t>rts of California,</w:t>
      </w:r>
      <w:r w:rsidR="00717FD4" w:rsidRPr="002F0E3F">
        <w:rPr>
          <w:rFonts w:ascii="Arial" w:hAnsi="Arial" w:cs="Arial"/>
        </w:rPr>
        <w:t xml:space="preserve"> Mexico</w:t>
      </w:r>
      <w:r w:rsidR="008E66B3" w:rsidRPr="002F0E3F">
        <w:rPr>
          <w:rFonts w:ascii="Arial" w:hAnsi="Arial" w:cs="Arial"/>
        </w:rPr>
        <w:t>,</w:t>
      </w:r>
      <w:r w:rsidR="00717FD4" w:rsidRPr="002F0E3F">
        <w:rPr>
          <w:rFonts w:ascii="Arial" w:hAnsi="Arial" w:cs="Arial"/>
        </w:rPr>
        <w:t xml:space="preserve"> a</w:t>
      </w:r>
      <w:r w:rsidR="008E66B3" w:rsidRPr="002F0E3F">
        <w:rPr>
          <w:rFonts w:ascii="Arial" w:hAnsi="Arial" w:cs="Arial"/>
        </w:rPr>
        <w:t>nd several states within the United States.</w:t>
      </w:r>
      <w:r w:rsidR="00717FD4" w:rsidRPr="002F0E3F">
        <w:rPr>
          <w:rFonts w:ascii="Arial" w:hAnsi="Arial" w:cs="Arial"/>
        </w:rPr>
        <w:t xml:space="preserve"> </w:t>
      </w:r>
      <w:r w:rsidR="00223CB1" w:rsidRPr="002F0E3F">
        <w:rPr>
          <w:rFonts w:ascii="Arial" w:hAnsi="Arial" w:cs="Arial"/>
        </w:rPr>
        <w:t>Most of California’s migratory children make intrastate qualifying moves.</w:t>
      </w:r>
      <w:r w:rsidR="00827C3C" w:rsidRPr="002F0E3F">
        <w:rPr>
          <w:rFonts w:ascii="Arial" w:hAnsi="Arial" w:cs="Arial"/>
        </w:rPr>
        <w:t xml:space="preserve"> </w:t>
      </w:r>
    </w:p>
    <w:p w14:paraId="56983098" w14:textId="12CB5828" w:rsidR="00831BC3" w:rsidRPr="002F0E3F" w:rsidRDefault="00201DA4" w:rsidP="00EA26BE">
      <w:pPr>
        <w:pStyle w:val="NormalWeb"/>
        <w:spacing w:before="120" w:beforeAutospacing="0" w:after="240" w:afterAutospacing="0"/>
        <w:rPr>
          <w:rFonts w:ascii="Arial" w:hAnsi="Arial" w:cs="Arial"/>
        </w:rPr>
      </w:pPr>
      <w:r w:rsidRPr="002F0E3F">
        <w:rPr>
          <w:rFonts w:ascii="Arial" w:hAnsi="Arial" w:cs="Arial"/>
        </w:rPr>
        <w:t xml:space="preserve">Migratory students who </w:t>
      </w:r>
      <w:r w:rsidR="002A1C40" w:rsidRPr="002F0E3F">
        <w:rPr>
          <w:rFonts w:ascii="Arial" w:hAnsi="Arial" w:cs="Arial"/>
        </w:rPr>
        <w:t xml:space="preserve">made a qualifying move within the previous year and who are failing, or most at risk of failing, to meet the </w:t>
      </w:r>
      <w:r w:rsidR="00EA1BAD">
        <w:rPr>
          <w:rFonts w:ascii="Arial" w:hAnsi="Arial" w:cs="Arial"/>
        </w:rPr>
        <w:t>s</w:t>
      </w:r>
      <w:r w:rsidR="00EA1BAD" w:rsidRPr="002F0E3F">
        <w:rPr>
          <w:rFonts w:ascii="Arial" w:hAnsi="Arial" w:cs="Arial"/>
        </w:rPr>
        <w:t xml:space="preserve">tate’s </w:t>
      </w:r>
      <w:r w:rsidR="002A1C40" w:rsidRPr="002F0E3F">
        <w:rPr>
          <w:rFonts w:ascii="Arial" w:hAnsi="Arial" w:cs="Arial"/>
        </w:rPr>
        <w:t>challenging academic standards, or who have dropped out of school, are classified as priority</w:t>
      </w:r>
      <w:r w:rsidR="00BF7C78">
        <w:rPr>
          <w:rFonts w:ascii="Arial" w:hAnsi="Arial" w:cs="Arial"/>
        </w:rPr>
        <w:t>-</w:t>
      </w:r>
      <w:r w:rsidR="002A1C40" w:rsidRPr="002F0E3F">
        <w:rPr>
          <w:rFonts w:ascii="Arial" w:hAnsi="Arial" w:cs="Arial"/>
        </w:rPr>
        <w:t>for</w:t>
      </w:r>
      <w:r w:rsidR="00BF7C78">
        <w:rPr>
          <w:rFonts w:ascii="Arial" w:hAnsi="Arial" w:cs="Arial"/>
        </w:rPr>
        <w:t>-</w:t>
      </w:r>
      <w:r w:rsidR="002A1C40" w:rsidRPr="002F0E3F">
        <w:rPr>
          <w:rFonts w:ascii="Arial" w:hAnsi="Arial" w:cs="Arial"/>
        </w:rPr>
        <w:t xml:space="preserve">service (PFS). Local MEPs have the responsibility to ensure that these students </w:t>
      </w:r>
      <w:r w:rsidR="00E53755" w:rsidRPr="002F0E3F">
        <w:rPr>
          <w:rFonts w:ascii="Arial" w:hAnsi="Arial" w:cs="Arial"/>
        </w:rPr>
        <w:t>are prioritized for MEP services</w:t>
      </w:r>
      <w:r w:rsidR="002A1C40" w:rsidRPr="002F0E3F">
        <w:rPr>
          <w:rFonts w:ascii="Arial" w:hAnsi="Arial" w:cs="Arial"/>
        </w:rPr>
        <w:t>. In 20</w:t>
      </w:r>
      <w:r w:rsidR="00BF7C78">
        <w:rPr>
          <w:rFonts w:ascii="Arial" w:hAnsi="Arial" w:cs="Arial"/>
        </w:rPr>
        <w:t>22</w:t>
      </w:r>
      <w:r w:rsidR="002A1C40" w:rsidRPr="002F0E3F">
        <w:rPr>
          <w:rFonts w:ascii="Arial" w:hAnsi="Arial" w:cs="Arial"/>
        </w:rPr>
        <w:t>–</w:t>
      </w:r>
      <w:r w:rsidR="00BF7C78">
        <w:rPr>
          <w:rFonts w:ascii="Arial" w:hAnsi="Arial" w:cs="Arial"/>
        </w:rPr>
        <w:t>23</w:t>
      </w:r>
      <w:r w:rsidR="002A1C40" w:rsidRPr="002F0E3F">
        <w:rPr>
          <w:rFonts w:ascii="Arial" w:hAnsi="Arial" w:cs="Arial"/>
        </w:rPr>
        <w:t xml:space="preserve">, </w:t>
      </w:r>
      <w:r w:rsidR="00E53755" w:rsidRPr="002F0E3F">
        <w:rPr>
          <w:rFonts w:ascii="Arial" w:hAnsi="Arial" w:cs="Arial"/>
        </w:rPr>
        <w:t xml:space="preserve">the </w:t>
      </w:r>
      <w:r w:rsidR="002A1C40" w:rsidRPr="002F0E3F">
        <w:rPr>
          <w:rFonts w:ascii="Arial" w:hAnsi="Arial" w:cs="Arial"/>
        </w:rPr>
        <w:t xml:space="preserve">California MEP had a total of </w:t>
      </w:r>
      <w:r w:rsidR="00205909">
        <w:rPr>
          <w:rFonts w:ascii="Arial" w:hAnsi="Arial" w:cs="Arial"/>
        </w:rPr>
        <w:t>10,564</w:t>
      </w:r>
      <w:r w:rsidR="002A1C40" w:rsidRPr="002F0E3F">
        <w:rPr>
          <w:rFonts w:ascii="Arial" w:hAnsi="Arial" w:cs="Arial"/>
        </w:rPr>
        <w:t xml:space="preserve"> PFS students</w:t>
      </w:r>
      <w:r w:rsidR="00136561" w:rsidRPr="002F0E3F">
        <w:rPr>
          <w:rFonts w:ascii="Arial" w:hAnsi="Arial" w:cs="Arial"/>
        </w:rPr>
        <w:t xml:space="preserve">, which is an increase </w:t>
      </w:r>
      <w:r w:rsidR="00136561" w:rsidRPr="002F0E3F">
        <w:rPr>
          <w:rFonts w:ascii="Arial" w:hAnsi="Arial" w:cs="Arial"/>
        </w:rPr>
        <w:lastRenderedPageBreak/>
        <w:t xml:space="preserve">of </w:t>
      </w:r>
      <w:r w:rsidR="00205909">
        <w:rPr>
          <w:rFonts w:ascii="Arial" w:hAnsi="Arial" w:cs="Arial"/>
        </w:rPr>
        <w:t>81</w:t>
      </w:r>
      <w:r w:rsidR="00136561" w:rsidRPr="002F0E3F">
        <w:rPr>
          <w:rFonts w:ascii="Arial" w:hAnsi="Arial" w:cs="Arial"/>
        </w:rPr>
        <w:t xml:space="preserve"> students from 20</w:t>
      </w:r>
      <w:r w:rsidR="00BF7C78">
        <w:rPr>
          <w:rFonts w:ascii="Arial" w:hAnsi="Arial" w:cs="Arial"/>
        </w:rPr>
        <w:t>17</w:t>
      </w:r>
      <w:r w:rsidR="00136561" w:rsidRPr="002F0E3F">
        <w:rPr>
          <w:rFonts w:ascii="Arial" w:hAnsi="Arial" w:cs="Arial"/>
        </w:rPr>
        <w:t>–1</w:t>
      </w:r>
      <w:r w:rsidR="00BF7C78">
        <w:rPr>
          <w:rFonts w:ascii="Arial" w:hAnsi="Arial" w:cs="Arial"/>
        </w:rPr>
        <w:t>8</w:t>
      </w:r>
      <w:r w:rsidR="00136561" w:rsidRPr="002F0E3F">
        <w:rPr>
          <w:rFonts w:ascii="Arial" w:hAnsi="Arial" w:cs="Arial"/>
        </w:rPr>
        <w:t>.</w:t>
      </w:r>
      <w:r w:rsidR="00611508">
        <w:rPr>
          <w:rFonts w:ascii="Arial" w:hAnsi="Arial" w:cs="Arial"/>
        </w:rPr>
        <w:t xml:space="preserve"> Table</w:t>
      </w:r>
      <w:r w:rsidR="005D504C">
        <w:rPr>
          <w:rFonts w:ascii="Arial" w:hAnsi="Arial" w:cs="Arial"/>
        </w:rPr>
        <w:t xml:space="preserve"> 2</w:t>
      </w:r>
      <w:r w:rsidR="00136561" w:rsidRPr="002F0E3F">
        <w:rPr>
          <w:rFonts w:ascii="Arial" w:hAnsi="Arial" w:cs="Arial"/>
        </w:rPr>
        <w:t xml:space="preserve"> identifies the number of eligible migratory students classified as PFS for </w:t>
      </w:r>
      <w:r w:rsidR="00F8556E" w:rsidRPr="002F0E3F">
        <w:rPr>
          <w:rFonts w:ascii="Arial" w:hAnsi="Arial" w:cs="Arial"/>
        </w:rPr>
        <w:t>the years</w:t>
      </w:r>
      <w:r w:rsidR="00136561" w:rsidRPr="002F0E3F">
        <w:rPr>
          <w:rFonts w:ascii="Arial" w:hAnsi="Arial" w:cs="Arial"/>
        </w:rPr>
        <w:t xml:space="preserve"> 201</w:t>
      </w:r>
      <w:r w:rsidR="00BF7C78">
        <w:rPr>
          <w:rFonts w:ascii="Arial" w:hAnsi="Arial" w:cs="Arial"/>
        </w:rPr>
        <w:t>7</w:t>
      </w:r>
      <w:r w:rsidR="00136561" w:rsidRPr="002F0E3F">
        <w:rPr>
          <w:rFonts w:ascii="Arial" w:hAnsi="Arial" w:cs="Arial"/>
        </w:rPr>
        <w:t>–1</w:t>
      </w:r>
      <w:r w:rsidR="00BF7C78">
        <w:rPr>
          <w:rFonts w:ascii="Arial" w:hAnsi="Arial" w:cs="Arial"/>
        </w:rPr>
        <w:t>8</w:t>
      </w:r>
      <w:r w:rsidR="00136561" w:rsidRPr="002F0E3F">
        <w:rPr>
          <w:rFonts w:ascii="Arial" w:hAnsi="Arial" w:cs="Arial"/>
        </w:rPr>
        <w:t xml:space="preserve"> through 20</w:t>
      </w:r>
      <w:r w:rsidR="00BF7C78">
        <w:rPr>
          <w:rFonts w:ascii="Arial" w:hAnsi="Arial" w:cs="Arial"/>
        </w:rPr>
        <w:t>22</w:t>
      </w:r>
      <w:r w:rsidR="00136561" w:rsidRPr="002F0E3F">
        <w:rPr>
          <w:rFonts w:ascii="Arial" w:hAnsi="Arial" w:cs="Arial"/>
        </w:rPr>
        <w:t>–</w:t>
      </w:r>
      <w:r w:rsidR="00BF7C78">
        <w:rPr>
          <w:rFonts w:ascii="Arial" w:hAnsi="Arial" w:cs="Arial"/>
        </w:rPr>
        <w:t>23</w:t>
      </w:r>
      <w:r w:rsidR="00136561" w:rsidRPr="002F0E3F">
        <w:rPr>
          <w:rFonts w:ascii="Arial" w:hAnsi="Arial" w:cs="Arial"/>
        </w:rPr>
        <w:t xml:space="preserve">. </w:t>
      </w:r>
    </w:p>
    <w:p w14:paraId="2280EF60" w14:textId="0A445FC4" w:rsidR="00CF280A" w:rsidRPr="00066268" w:rsidRDefault="00611508" w:rsidP="00066268">
      <w:pPr>
        <w:pStyle w:val="Heading5"/>
      </w:pPr>
      <w:bookmarkStart w:id="20" w:name="_Toc188030567"/>
      <w:r w:rsidRPr="00066268">
        <w:t xml:space="preserve">Table </w:t>
      </w:r>
      <w:fldSimple w:instr=" SEQ Table \* ARABIC ">
        <w:r w:rsidR="00D04DC5" w:rsidRPr="00066268">
          <w:t>2</w:t>
        </w:r>
      </w:fldSimple>
      <w:r w:rsidRPr="00066268">
        <w:t>. Number of Migratory Student Classified as Priority for Service, 2017–18 to 2022–23</w:t>
      </w:r>
      <w:bookmarkEnd w:id="20"/>
    </w:p>
    <w:tbl>
      <w:tblPr>
        <w:tblStyle w:val="GridTable1Light"/>
        <w:tblW w:w="0" w:type="auto"/>
        <w:tblLook w:val="0420" w:firstRow="1" w:lastRow="0" w:firstColumn="0" w:lastColumn="0" w:noHBand="0" w:noVBand="1"/>
        <w:tblDescription w:val="Table of the number of migratory students classified as Priority for Service from 10/11 to 14/15."/>
      </w:tblPr>
      <w:tblGrid>
        <w:gridCol w:w="1684"/>
        <w:gridCol w:w="1280"/>
        <w:gridCol w:w="1268"/>
        <w:gridCol w:w="1269"/>
        <w:gridCol w:w="1283"/>
        <w:gridCol w:w="1283"/>
        <w:gridCol w:w="1283"/>
      </w:tblGrid>
      <w:tr w:rsidR="003639FB" w:rsidRPr="002F0E3F" w14:paraId="434F95B7" w14:textId="00ED7EF9" w:rsidTr="003639FB">
        <w:trPr>
          <w:cnfStyle w:val="100000000000" w:firstRow="1" w:lastRow="0" w:firstColumn="0" w:lastColumn="0" w:oddVBand="0" w:evenVBand="0" w:oddHBand="0" w:evenHBand="0" w:firstRowFirstColumn="0" w:firstRowLastColumn="0" w:lastRowFirstColumn="0" w:lastRowLastColumn="0"/>
          <w:cantSplit/>
          <w:trHeight w:val="557"/>
          <w:tblHeader/>
        </w:trPr>
        <w:tc>
          <w:tcPr>
            <w:tcW w:w="1170" w:type="dxa"/>
            <w:shd w:val="clear" w:color="auto" w:fill="1F4E79" w:themeFill="accent1" w:themeFillShade="80"/>
          </w:tcPr>
          <w:p w14:paraId="62899A7B" w14:textId="06B82F9C" w:rsidR="003639FB" w:rsidRPr="002F0E3F" w:rsidRDefault="003639FB" w:rsidP="003639FB">
            <w:pPr>
              <w:pStyle w:val="NormalWeb"/>
              <w:spacing w:before="0" w:beforeAutospacing="0" w:after="0" w:afterAutospacing="0"/>
              <w:jc w:val="center"/>
              <w:rPr>
                <w:rFonts w:ascii="Arial" w:hAnsi="Arial" w:cs="Arial"/>
                <w:color w:val="FFFFFF" w:themeColor="background1"/>
              </w:rPr>
            </w:pPr>
            <w:r>
              <w:rPr>
                <w:rFonts w:ascii="Arial" w:hAnsi="Arial" w:cs="Arial"/>
                <w:color w:val="FFFFFF" w:themeColor="background1"/>
              </w:rPr>
              <w:t>Performance Period</w:t>
            </w:r>
          </w:p>
        </w:tc>
        <w:tc>
          <w:tcPr>
            <w:tcW w:w="1362" w:type="dxa"/>
            <w:shd w:val="clear" w:color="auto" w:fill="1F4E79" w:themeFill="accent1" w:themeFillShade="80"/>
          </w:tcPr>
          <w:p w14:paraId="6A7DD67D" w14:textId="1A199584" w:rsidR="003639FB" w:rsidRPr="002F0E3F" w:rsidRDefault="003639FB" w:rsidP="00066C5B">
            <w:pPr>
              <w:pStyle w:val="NormalWeb"/>
              <w:spacing w:before="0" w:beforeAutospacing="0" w:after="240" w:afterAutospacing="0"/>
              <w:jc w:val="center"/>
              <w:rPr>
                <w:rFonts w:ascii="Arial" w:hAnsi="Arial" w:cs="Arial"/>
                <w:bCs w:val="0"/>
                <w:color w:val="FFFFFF" w:themeColor="background1"/>
              </w:rPr>
            </w:pPr>
            <w:r w:rsidRPr="002F0E3F">
              <w:rPr>
                <w:rFonts w:ascii="Arial" w:hAnsi="Arial" w:cs="Arial"/>
                <w:b w:val="0"/>
                <w:bCs w:val="0"/>
                <w:color w:val="FFFFFF" w:themeColor="background1"/>
              </w:rPr>
              <w:t>20</w:t>
            </w:r>
            <w:r>
              <w:rPr>
                <w:rFonts w:ascii="Arial" w:hAnsi="Arial" w:cs="Arial"/>
                <w:b w:val="0"/>
                <w:bCs w:val="0"/>
                <w:color w:val="FFFFFF" w:themeColor="background1"/>
              </w:rPr>
              <w:t>17</w:t>
            </w:r>
            <w:r w:rsidRPr="002F0E3F">
              <w:rPr>
                <w:rFonts w:ascii="Arial" w:hAnsi="Arial" w:cs="Arial"/>
                <w:b w:val="0"/>
                <w:bCs w:val="0"/>
                <w:color w:val="FFFFFF" w:themeColor="background1"/>
              </w:rPr>
              <w:t>–1</w:t>
            </w:r>
            <w:r>
              <w:rPr>
                <w:rFonts w:ascii="Arial" w:hAnsi="Arial" w:cs="Arial"/>
                <w:b w:val="0"/>
                <w:bCs w:val="0"/>
                <w:color w:val="FFFFFF" w:themeColor="background1"/>
              </w:rPr>
              <w:t>8</w:t>
            </w:r>
          </w:p>
        </w:tc>
        <w:tc>
          <w:tcPr>
            <w:tcW w:w="1363" w:type="dxa"/>
            <w:shd w:val="clear" w:color="auto" w:fill="1F4E79" w:themeFill="accent1" w:themeFillShade="80"/>
          </w:tcPr>
          <w:p w14:paraId="789A6C32" w14:textId="1D2518AB" w:rsidR="003639FB" w:rsidRPr="002F0E3F" w:rsidRDefault="003639FB" w:rsidP="00066C5B">
            <w:pPr>
              <w:pStyle w:val="NormalWeb"/>
              <w:spacing w:before="0" w:beforeAutospacing="0" w:after="240" w:afterAutospacing="0"/>
              <w:jc w:val="center"/>
              <w:rPr>
                <w:rFonts w:ascii="Arial" w:hAnsi="Arial" w:cs="Arial"/>
                <w:bCs w:val="0"/>
                <w:color w:val="FFFFFF" w:themeColor="background1"/>
              </w:rPr>
            </w:pPr>
            <w:r w:rsidRPr="002F0E3F">
              <w:rPr>
                <w:rFonts w:ascii="Arial" w:hAnsi="Arial" w:cs="Arial"/>
                <w:b w:val="0"/>
                <w:bCs w:val="0"/>
                <w:color w:val="FFFFFF" w:themeColor="background1"/>
              </w:rPr>
              <w:t>201</w:t>
            </w:r>
            <w:r>
              <w:rPr>
                <w:rFonts w:ascii="Arial" w:hAnsi="Arial" w:cs="Arial"/>
                <w:b w:val="0"/>
                <w:bCs w:val="0"/>
                <w:color w:val="FFFFFF" w:themeColor="background1"/>
              </w:rPr>
              <w:t>8</w:t>
            </w:r>
            <w:r w:rsidRPr="002F0E3F">
              <w:rPr>
                <w:rFonts w:ascii="Arial" w:hAnsi="Arial" w:cs="Arial"/>
                <w:b w:val="0"/>
                <w:bCs w:val="0"/>
                <w:color w:val="FFFFFF" w:themeColor="background1"/>
              </w:rPr>
              <w:t>–1</w:t>
            </w:r>
            <w:r>
              <w:rPr>
                <w:rFonts w:ascii="Arial" w:hAnsi="Arial" w:cs="Arial"/>
                <w:b w:val="0"/>
                <w:bCs w:val="0"/>
                <w:color w:val="FFFFFF" w:themeColor="background1"/>
              </w:rPr>
              <w:t>9</w:t>
            </w:r>
          </w:p>
        </w:tc>
        <w:tc>
          <w:tcPr>
            <w:tcW w:w="1363" w:type="dxa"/>
            <w:shd w:val="clear" w:color="auto" w:fill="1F4E79" w:themeFill="accent1" w:themeFillShade="80"/>
          </w:tcPr>
          <w:p w14:paraId="5735C4DB" w14:textId="376452B4" w:rsidR="003639FB" w:rsidRPr="002F0E3F" w:rsidRDefault="003639FB" w:rsidP="00066C5B">
            <w:pPr>
              <w:pStyle w:val="NormalWeb"/>
              <w:spacing w:before="0" w:beforeAutospacing="0" w:after="240" w:afterAutospacing="0"/>
              <w:jc w:val="center"/>
              <w:rPr>
                <w:rFonts w:ascii="Arial" w:hAnsi="Arial" w:cs="Arial"/>
                <w:bCs w:val="0"/>
                <w:color w:val="FFFFFF" w:themeColor="background1"/>
              </w:rPr>
            </w:pPr>
            <w:r w:rsidRPr="002F0E3F">
              <w:rPr>
                <w:rFonts w:ascii="Arial" w:hAnsi="Arial" w:cs="Arial"/>
                <w:b w:val="0"/>
                <w:bCs w:val="0"/>
                <w:color w:val="FFFFFF" w:themeColor="background1"/>
              </w:rPr>
              <w:t>201</w:t>
            </w:r>
            <w:r>
              <w:rPr>
                <w:rFonts w:ascii="Arial" w:hAnsi="Arial" w:cs="Arial"/>
                <w:b w:val="0"/>
                <w:bCs w:val="0"/>
                <w:color w:val="FFFFFF" w:themeColor="background1"/>
              </w:rPr>
              <w:t>9</w:t>
            </w:r>
            <w:r w:rsidRPr="002F0E3F">
              <w:rPr>
                <w:rFonts w:ascii="Arial" w:hAnsi="Arial" w:cs="Arial"/>
                <w:b w:val="0"/>
                <w:bCs w:val="0"/>
                <w:color w:val="FFFFFF" w:themeColor="background1"/>
              </w:rPr>
              <w:t>–</w:t>
            </w:r>
            <w:r>
              <w:rPr>
                <w:rFonts w:ascii="Arial" w:hAnsi="Arial" w:cs="Arial"/>
                <w:b w:val="0"/>
                <w:bCs w:val="0"/>
                <w:color w:val="FFFFFF" w:themeColor="background1"/>
              </w:rPr>
              <w:t>20</w:t>
            </w:r>
          </w:p>
        </w:tc>
        <w:tc>
          <w:tcPr>
            <w:tcW w:w="1364" w:type="dxa"/>
            <w:shd w:val="clear" w:color="auto" w:fill="1F4E79" w:themeFill="accent1" w:themeFillShade="80"/>
          </w:tcPr>
          <w:p w14:paraId="44CDE7CA" w14:textId="5DE264A1" w:rsidR="003639FB" w:rsidRPr="002F0E3F" w:rsidRDefault="003639FB" w:rsidP="00066C5B">
            <w:pPr>
              <w:pStyle w:val="NormalWeb"/>
              <w:spacing w:before="0" w:beforeAutospacing="0" w:after="240" w:afterAutospacing="0"/>
              <w:jc w:val="center"/>
              <w:rPr>
                <w:rFonts w:ascii="Arial" w:hAnsi="Arial" w:cs="Arial"/>
                <w:bCs w:val="0"/>
                <w:color w:val="FFFFFF" w:themeColor="background1"/>
              </w:rPr>
            </w:pPr>
            <w:r w:rsidRPr="002F0E3F">
              <w:rPr>
                <w:rFonts w:ascii="Arial" w:hAnsi="Arial" w:cs="Arial"/>
                <w:b w:val="0"/>
                <w:bCs w:val="0"/>
                <w:color w:val="FFFFFF" w:themeColor="background1"/>
              </w:rPr>
              <w:t>20</w:t>
            </w:r>
            <w:r>
              <w:rPr>
                <w:rFonts w:ascii="Arial" w:hAnsi="Arial" w:cs="Arial"/>
                <w:b w:val="0"/>
                <w:bCs w:val="0"/>
                <w:color w:val="FFFFFF" w:themeColor="background1"/>
              </w:rPr>
              <w:t>20</w:t>
            </w:r>
            <w:r w:rsidRPr="002F0E3F">
              <w:rPr>
                <w:rFonts w:ascii="Arial" w:hAnsi="Arial" w:cs="Arial"/>
                <w:b w:val="0"/>
                <w:bCs w:val="0"/>
                <w:color w:val="FFFFFF" w:themeColor="background1"/>
              </w:rPr>
              <w:t>–</w:t>
            </w:r>
            <w:r>
              <w:rPr>
                <w:rFonts w:ascii="Arial" w:hAnsi="Arial" w:cs="Arial"/>
                <w:b w:val="0"/>
                <w:bCs w:val="0"/>
                <w:color w:val="FFFFFF" w:themeColor="background1"/>
              </w:rPr>
              <w:t>21</w:t>
            </w:r>
          </w:p>
        </w:tc>
        <w:tc>
          <w:tcPr>
            <w:tcW w:w="1364" w:type="dxa"/>
            <w:shd w:val="clear" w:color="auto" w:fill="1F4E79" w:themeFill="accent1" w:themeFillShade="80"/>
          </w:tcPr>
          <w:p w14:paraId="2A420F3E" w14:textId="05B65201" w:rsidR="003639FB" w:rsidRPr="002F0E3F" w:rsidRDefault="003639FB" w:rsidP="00066C5B">
            <w:pPr>
              <w:pStyle w:val="NormalWeb"/>
              <w:spacing w:before="0" w:beforeAutospacing="0" w:after="240" w:afterAutospacing="0"/>
              <w:jc w:val="center"/>
              <w:rPr>
                <w:rFonts w:ascii="Arial" w:hAnsi="Arial" w:cs="Arial"/>
                <w:bCs w:val="0"/>
                <w:color w:val="FFFFFF" w:themeColor="background1"/>
              </w:rPr>
            </w:pPr>
            <w:r w:rsidRPr="002F0E3F">
              <w:rPr>
                <w:rFonts w:ascii="Arial" w:hAnsi="Arial" w:cs="Arial"/>
                <w:b w:val="0"/>
                <w:bCs w:val="0"/>
                <w:color w:val="FFFFFF" w:themeColor="background1"/>
              </w:rPr>
              <w:t>20</w:t>
            </w:r>
            <w:r>
              <w:rPr>
                <w:rFonts w:ascii="Arial" w:hAnsi="Arial" w:cs="Arial"/>
                <w:b w:val="0"/>
                <w:bCs w:val="0"/>
                <w:color w:val="FFFFFF" w:themeColor="background1"/>
              </w:rPr>
              <w:t>21</w:t>
            </w:r>
            <w:r w:rsidRPr="002F0E3F">
              <w:rPr>
                <w:rFonts w:ascii="Arial" w:hAnsi="Arial" w:cs="Arial"/>
                <w:b w:val="0"/>
                <w:bCs w:val="0"/>
                <w:color w:val="FFFFFF" w:themeColor="background1"/>
              </w:rPr>
              <w:t>–</w:t>
            </w:r>
            <w:r>
              <w:rPr>
                <w:rFonts w:ascii="Arial" w:hAnsi="Arial" w:cs="Arial"/>
                <w:b w:val="0"/>
                <w:bCs w:val="0"/>
                <w:color w:val="FFFFFF" w:themeColor="background1"/>
              </w:rPr>
              <w:t>22</w:t>
            </w:r>
          </w:p>
        </w:tc>
        <w:tc>
          <w:tcPr>
            <w:tcW w:w="1364" w:type="dxa"/>
            <w:shd w:val="clear" w:color="auto" w:fill="1F4E79" w:themeFill="accent1" w:themeFillShade="80"/>
          </w:tcPr>
          <w:p w14:paraId="322CD267" w14:textId="1DD4340D" w:rsidR="003639FB" w:rsidRPr="002F0E3F" w:rsidRDefault="003639FB" w:rsidP="00066C5B">
            <w:pPr>
              <w:pStyle w:val="NormalWeb"/>
              <w:spacing w:before="0" w:beforeAutospacing="0" w:after="240" w:afterAutospacing="0"/>
              <w:jc w:val="center"/>
              <w:rPr>
                <w:rFonts w:ascii="Arial" w:hAnsi="Arial" w:cs="Arial"/>
                <w:color w:val="FFFFFF" w:themeColor="background1"/>
              </w:rPr>
            </w:pPr>
            <w:r w:rsidRPr="002F0E3F">
              <w:rPr>
                <w:rFonts w:ascii="Arial" w:hAnsi="Arial" w:cs="Arial"/>
                <w:b w:val="0"/>
                <w:bCs w:val="0"/>
                <w:color w:val="FFFFFF" w:themeColor="background1"/>
              </w:rPr>
              <w:t>20</w:t>
            </w:r>
            <w:r>
              <w:rPr>
                <w:rFonts w:ascii="Arial" w:hAnsi="Arial" w:cs="Arial"/>
                <w:b w:val="0"/>
                <w:bCs w:val="0"/>
                <w:color w:val="FFFFFF" w:themeColor="background1"/>
              </w:rPr>
              <w:t>22</w:t>
            </w:r>
            <w:r w:rsidRPr="002F0E3F">
              <w:rPr>
                <w:rFonts w:ascii="Arial" w:hAnsi="Arial" w:cs="Arial"/>
                <w:b w:val="0"/>
                <w:bCs w:val="0"/>
                <w:color w:val="FFFFFF" w:themeColor="background1"/>
              </w:rPr>
              <w:t>–</w:t>
            </w:r>
            <w:r>
              <w:rPr>
                <w:rFonts w:ascii="Arial" w:hAnsi="Arial" w:cs="Arial"/>
                <w:b w:val="0"/>
                <w:bCs w:val="0"/>
                <w:color w:val="FFFFFF" w:themeColor="background1"/>
              </w:rPr>
              <w:t>23</w:t>
            </w:r>
          </w:p>
        </w:tc>
      </w:tr>
      <w:tr w:rsidR="003639FB" w:rsidRPr="002F0E3F" w14:paraId="151CDCEF" w14:textId="7C9078E1" w:rsidTr="003273F8">
        <w:tc>
          <w:tcPr>
            <w:tcW w:w="1170" w:type="dxa"/>
            <w:shd w:val="clear" w:color="auto" w:fill="BDD6EE" w:themeFill="accent1" w:themeFillTint="66"/>
          </w:tcPr>
          <w:p w14:paraId="7548D415" w14:textId="03359968" w:rsidR="003639FB" w:rsidRPr="002F0E3F" w:rsidRDefault="003639FB" w:rsidP="003639FB">
            <w:pPr>
              <w:pStyle w:val="NormalWeb"/>
              <w:spacing w:before="0" w:beforeAutospacing="0" w:after="0" w:afterAutospacing="0"/>
              <w:jc w:val="center"/>
              <w:rPr>
                <w:rFonts w:ascii="Arial" w:hAnsi="Arial" w:cs="Arial"/>
                <w:bCs/>
              </w:rPr>
            </w:pPr>
            <w:r>
              <w:rPr>
                <w:rFonts w:ascii="Arial" w:hAnsi="Arial" w:cs="Arial"/>
                <w:bCs/>
              </w:rPr>
              <w:t>Total Number of PFS students</w:t>
            </w:r>
          </w:p>
        </w:tc>
        <w:tc>
          <w:tcPr>
            <w:tcW w:w="1362" w:type="dxa"/>
            <w:shd w:val="clear" w:color="auto" w:fill="D9E2F3" w:themeFill="accent5" w:themeFillTint="33"/>
          </w:tcPr>
          <w:p w14:paraId="5F2F5F4D" w14:textId="4A144A27" w:rsidR="003639FB" w:rsidRPr="002F0E3F" w:rsidRDefault="00205909" w:rsidP="00066C5B">
            <w:pPr>
              <w:pStyle w:val="NormalWeb"/>
              <w:spacing w:before="0" w:beforeAutospacing="0" w:after="240" w:afterAutospacing="0"/>
              <w:jc w:val="center"/>
              <w:rPr>
                <w:rFonts w:ascii="Arial" w:hAnsi="Arial" w:cs="Arial"/>
                <w:bCs/>
              </w:rPr>
            </w:pPr>
            <w:r>
              <w:rPr>
                <w:rFonts w:ascii="Arial" w:hAnsi="Arial" w:cs="Arial"/>
                <w:bCs/>
              </w:rPr>
              <w:t>10,483</w:t>
            </w:r>
          </w:p>
        </w:tc>
        <w:tc>
          <w:tcPr>
            <w:tcW w:w="1363" w:type="dxa"/>
            <w:shd w:val="clear" w:color="auto" w:fill="D9E2F3" w:themeFill="accent5" w:themeFillTint="33"/>
          </w:tcPr>
          <w:p w14:paraId="3767F44D" w14:textId="1ED9B602" w:rsidR="003639FB" w:rsidRPr="002F0E3F" w:rsidRDefault="00205909" w:rsidP="00066C5B">
            <w:pPr>
              <w:pStyle w:val="NormalWeb"/>
              <w:spacing w:before="0" w:beforeAutospacing="0" w:after="240" w:afterAutospacing="0"/>
              <w:jc w:val="center"/>
              <w:rPr>
                <w:rFonts w:ascii="Arial" w:hAnsi="Arial" w:cs="Arial"/>
              </w:rPr>
            </w:pPr>
            <w:r>
              <w:rPr>
                <w:rFonts w:ascii="Arial" w:hAnsi="Arial" w:cs="Arial"/>
              </w:rPr>
              <w:t>9,218</w:t>
            </w:r>
          </w:p>
        </w:tc>
        <w:tc>
          <w:tcPr>
            <w:tcW w:w="1363" w:type="dxa"/>
            <w:shd w:val="clear" w:color="auto" w:fill="D9E2F3" w:themeFill="accent5" w:themeFillTint="33"/>
          </w:tcPr>
          <w:p w14:paraId="2A13F3F5" w14:textId="7D8BA33B" w:rsidR="003639FB" w:rsidRPr="002F0E3F" w:rsidRDefault="00205909" w:rsidP="00066C5B">
            <w:pPr>
              <w:pStyle w:val="NormalWeb"/>
              <w:spacing w:before="0" w:beforeAutospacing="0" w:after="240" w:afterAutospacing="0"/>
              <w:jc w:val="center"/>
              <w:rPr>
                <w:rFonts w:ascii="Arial" w:hAnsi="Arial" w:cs="Arial"/>
              </w:rPr>
            </w:pPr>
            <w:r>
              <w:rPr>
                <w:rFonts w:ascii="Arial" w:hAnsi="Arial" w:cs="Arial"/>
              </w:rPr>
              <w:t>7,713</w:t>
            </w:r>
          </w:p>
        </w:tc>
        <w:tc>
          <w:tcPr>
            <w:tcW w:w="1364" w:type="dxa"/>
            <w:shd w:val="clear" w:color="auto" w:fill="D9E2F3" w:themeFill="accent5" w:themeFillTint="33"/>
          </w:tcPr>
          <w:p w14:paraId="5A82CA81" w14:textId="2ABE57E2" w:rsidR="003639FB" w:rsidRPr="002F0E3F" w:rsidRDefault="00205909" w:rsidP="00066C5B">
            <w:pPr>
              <w:pStyle w:val="NormalWeb"/>
              <w:spacing w:before="0" w:beforeAutospacing="0" w:after="240" w:afterAutospacing="0"/>
              <w:jc w:val="center"/>
              <w:rPr>
                <w:rFonts w:ascii="Arial" w:hAnsi="Arial" w:cs="Arial"/>
              </w:rPr>
            </w:pPr>
            <w:r>
              <w:rPr>
                <w:rFonts w:ascii="Arial" w:hAnsi="Arial" w:cs="Arial"/>
              </w:rPr>
              <w:t>10,870</w:t>
            </w:r>
          </w:p>
        </w:tc>
        <w:tc>
          <w:tcPr>
            <w:tcW w:w="1364" w:type="dxa"/>
            <w:shd w:val="clear" w:color="auto" w:fill="D9E2F3" w:themeFill="accent5" w:themeFillTint="33"/>
          </w:tcPr>
          <w:p w14:paraId="669FA229" w14:textId="47780289" w:rsidR="003639FB" w:rsidRPr="002F0E3F" w:rsidRDefault="00205909" w:rsidP="00066C5B">
            <w:pPr>
              <w:pStyle w:val="NormalWeb"/>
              <w:spacing w:before="0" w:beforeAutospacing="0" w:after="240" w:afterAutospacing="0"/>
              <w:jc w:val="center"/>
              <w:rPr>
                <w:rFonts w:ascii="Arial" w:hAnsi="Arial" w:cs="Arial"/>
              </w:rPr>
            </w:pPr>
            <w:r>
              <w:rPr>
                <w:rFonts w:ascii="Arial" w:hAnsi="Arial" w:cs="Arial"/>
              </w:rPr>
              <w:t>10,320</w:t>
            </w:r>
          </w:p>
        </w:tc>
        <w:tc>
          <w:tcPr>
            <w:tcW w:w="1364" w:type="dxa"/>
            <w:shd w:val="clear" w:color="auto" w:fill="D9E2F3" w:themeFill="accent5" w:themeFillTint="33"/>
          </w:tcPr>
          <w:p w14:paraId="4D7A55AC" w14:textId="3DC77C29" w:rsidR="003639FB" w:rsidRPr="002F0E3F" w:rsidRDefault="00205909" w:rsidP="00066C5B">
            <w:pPr>
              <w:pStyle w:val="NormalWeb"/>
              <w:spacing w:before="0" w:beforeAutospacing="0" w:after="240" w:afterAutospacing="0"/>
              <w:jc w:val="center"/>
              <w:rPr>
                <w:rFonts w:ascii="Arial" w:hAnsi="Arial" w:cs="Arial"/>
              </w:rPr>
            </w:pPr>
            <w:r>
              <w:rPr>
                <w:rFonts w:ascii="Arial" w:hAnsi="Arial" w:cs="Arial"/>
              </w:rPr>
              <w:t>10,564</w:t>
            </w:r>
          </w:p>
        </w:tc>
      </w:tr>
    </w:tbl>
    <w:p w14:paraId="0F546EBB" w14:textId="4EE68105" w:rsidR="00136561" w:rsidRPr="002F0E3F" w:rsidRDefault="00136561" w:rsidP="003639FB">
      <w:pPr>
        <w:pStyle w:val="NormalWeb"/>
        <w:spacing w:before="240" w:beforeAutospacing="0" w:after="240" w:afterAutospacing="0"/>
        <w:rPr>
          <w:rFonts w:ascii="Arial" w:hAnsi="Arial" w:cs="Arial"/>
        </w:rPr>
      </w:pPr>
      <w:r w:rsidRPr="002F0E3F">
        <w:rPr>
          <w:rFonts w:ascii="Arial" w:hAnsi="Arial" w:cs="Arial"/>
        </w:rPr>
        <w:t>Source: Ed Data Express, 201</w:t>
      </w:r>
      <w:r w:rsidR="00BF7C78">
        <w:rPr>
          <w:rFonts w:ascii="Arial" w:hAnsi="Arial" w:cs="Arial"/>
        </w:rPr>
        <w:t>7</w:t>
      </w:r>
      <w:r w:rsidRPr="002F0E3F">
        <w:rPr>
          <w:rFonts w:ascii="Arial" w:hAnsi="Arial" w:cs="Arial"/>
        </w:rPr>
        <w:t>–1</w:t>
      </w:r>
      <w:r w:rsidR="00BF7C78">
        <w:rPr>
          <w:rFonts w:ascii="Arial" w:hAnsi="Arial" w:cs="Arial"/>
        </w:rPr>
        <w:t>8</w:t>
      </w:r>
      <w:r w:rsidRPr="002F0E3F">
        <w:rPr>
          <w:rFonts w:ascii="Arial" w:hAnsi="Arial" w:cs="Arial"/>
        </w:rPr>
        <w:t xml:space="preserve"> to 20</w:t>
      </w:r>
      <w:r w:rsidR="00BF7C78">
        <w:rPr>
          <w:rFonts w:ascii="Arial" w:hAnsi="Arial" w:cs="Arial"/>
        </w:rPr>
        <w:t>22</w:t>
      </w:r>
      <w:r w:rsidRPr="002F0E3F">
        <w:rPr>
          <w:rFonts w:ascii="Arial" w:hAnsi="Arial" w:cs="Arial"/>
        </w:rPr>
        <w:t>–</w:t>
      </w:r>
      <w:r w:rsidR="00BF7C78">
        <w:rPr>
          <w:rFonts w:ascii="Arial" w:hAnsi="Arial" w:cs="Arial"/>
        </w:rPr>
        <w:t>23</w:t>
      </w:r>
      <w:r w:rsidR="005D504C">
        <w:rPr>
          <w:rFonts w:ascii="Arial" w:hAnsi="Arial" w:cs="Arial"/>
        </w:rPr>
        <w:t xml:space="preserve"> performance periods</w:t>
      </w:r>
      <w:r w:rsidR="005C537D" w:rsidRPr="002F0E3F">
        <w:rPr>
          <w:rFonts w:ascii="Arial" w:hAnsi="Arial" w:cs="Arial"/>
        </w:rPr>
        <w:t>.</w:t>
      </w:r>
      <w:r w:rsidRPr="002F0E3F">
        <w:rPr>
          <w:rFonts w:ascii="Arial" w:hAnsi="Arial" w:cs="Arial"/>
        </w:rPr>
        <w:t xml:space="preserve"> </w:t>
      </w:r>
    </w:p>
    <w:p w14:paraId="3528AE5C" w14:textId="6C626685" w:rsidR="00090238" w:rsidRPr="002F0E3F" w:rsidRDefault="00527BBA" w:rsidP="00043BAC">
      <w:pPr>
        <w:pStyle w:val="NormalWeb"/>
        <w:spacing w:before="0" w:beforeAutospacing="0" w:after="240" w:afterAutospacing="0"/>
        <w:rPr>
          <w:rFonts w:ascii="Arial" w:hAnsi="Arial" w:cs="Arial"/>
        </w:rPr>
      </w:pPr>
      <w:r w:rsidRPr="002F0E3F">
        <w:rPr>
          <w:rFonts w:ascii="Arial" w:hAnsi="Arial" w:cs="Arial"/>
        </w:rPr>
        <w:t xml:space="preserve">In </w:t>
      </w:r>
      <w:r w:rsidR="00090238" w:rsidRPr="002F0E3F">
        <w:rPr>
          <w:rFonts w:ascii="Arial" w:hAnsi="Arial" w:cs="Arial"/>
        </w:rPr>
        <w:t>California</w:t>
      </w:r>
      <w:r w:rsidR="00E53755" w:rsidRPr="002F0E3F">
        <w:rPr>
          <w:rFonts w:ascii="Arial" w:hAnsi="Arial" w:cs="Arial"/>
        </w:rPr>
        <w:t>, the</w:t>
      </w:r>
      <w:r w:rsidR="00090238" w:rsidRPr="002F0E3F">
        <w:rPr>
          <w:rFonts w:ascii="Arial" w:hAnsi="Arial" w:cs="Arial"/>
        </w:rPr>
        <w:t xml:space="preserve"> MEP is</w:t>
      </w:r>
      <w:r w:rsidR="00E53755" w:rsidRPr="002F0E3F">
        <w:rPr>
          <w:rFonts w:ascii="Arial" w:hAnsi="Arial" w:cs="Arial"/>
        </w:rPr>
        <w:t xml:space="preserve"> primarily</w:t>
      </w:r>
      <w:r w:rsidR="00090238" w:rsidRPr="002F0E3F">
        <w:rPr>
          <w:rFonts w:ascii="Arial" w:hAnsi="Arial" w:cs="Arial"/>
        </w:rPr>
        <w:t xml:space="preserve"> operated based on a regional structure</w:t>
      </w:r>
      <w:r w:rsidR="00E53755" w:rsidRPr="002F0E3F">
        <w:rPr>
          <w:rFonts w:ascii="Arial" w:hAnsi="Arial" w:cs="Arial"/>
        </w:rPr>
        <w:t xml:space="preserve"> where </w:t>
      </w:r>
      <w:r w:rsidR="00AD7D16">
        <w:rPr>
          <w:rFonts w:ascii="Arial" w:hAnsi="Arial" w:cs="Arial"/>
        </w:rPr>
        <w:t xml:space="preserve">federal </w:t>
      </w:r>
      <w:r w:rsidR="00E53755" w:rsidRPr="002F0E3F">
        <w:rPr>
          <w:rFonts w:ascii="Arial" w:hAnsi="Arial" w:cs="Arial"/>
        </w:rPr>
        <w:t xml:space="preserve">funding flows </w:t>
      </w:r>
      <w:r w:rsidR="00AD7D16">
        <w:rPr>
          <w:rFonts w:ascii="Arial" w:hAnsi="Arial" w:cs="Arial"/>
        </w:rPr>
        <w:t xml:space="preserve">through the CDE in the form of grants </w:t>
      </w:r>
      <w:r w:rsidR="00E53755" w:rsidRPr="002F0E3F">
        <w:rPr>
          <w:rFonts w:ascii="Arial" w:hAnsi="Arial" w:cs="Arial"/>
        </w:rPr>
        <w:t>directly to county offices of education where large concentration</w:t>
      </w:r>
      <w:r w:rsidR="00AD7D16">
        <w:rPr>
          <w:rFonts w:ascii="Arial" w:hAnsi="Arial" w:cs="Arial"/>
        </w:rPr>
        <w:t>s</w:t>
      </w:r>
      <w:r w:rsidR="00E53755" w:rsidRPr="002F0E3F">
        <w:rPr>
          <w:rFonts w:ascii="Arial" w:hAnsi="Arial" w:cs="Arial"/>
        </w:rPr>
        <w:t xml:space="preserve"> of migratory workers are found; however, the CDE does fund a few districts directly</w:t>
      </w:r>
      <w:r w:rsidR="00090238" w:rsidRPr="002F0E3F">
        <w:rPr>
          <w:rFonts w:ascii="Arial" w:hAnsi="Arial" w:cs="Arial"/>
        </w:rPr>
        <w:t xml:space="preserve">. </w:t>
      </w:r>
      <w:r w:rsidR="00E53755" w:rsidRPr="002F0E3F">
        <w:rPr>
          <w:rFonts w:ascii="Arial" w:hAnsi="Arial" w:cs="Arial"/>
        </w:rPr>
        <w:t>In 20</w:t>
      </w:r>
      <w:r w:rsidR="00BF7C78">
        <w:rPr>
          <w:rFonts w:ascii="Arial" w:hAnsi="Arial" w:cs="Arial"/>
        </w:rPr>
        <w:t>22</w:t>
      </w:r>
      <w:r w:rsidR="00E53755" w:rsidRPr="002F0E3F">
        <w:rPr>
          <w:rFonts w:ascii="Arial" w:hAnsi="Arial" w:cs="Arial"/>
        </w:rPr>
        <w:t>–</w:t>
      </w:r>
      <w:r w:rsidR="00BF7C78">
        <w:rPr>
          <w:rFonts w:ascii="Arial" w:hAnsi="Arial" w:cs="Arial"/>
        </w:rPr>
        <w:t>23</w:t>
      </w:r>
      <w:r w:rsidR="00090238" w:rsidRPr="002F0E3F">
        <w:rPr>
          <w:rFonts w:ascii="Arial" w:hAnsi="Arial" w:cs="Arial"/>
        </w:rPr>
        <w:t xml:space="preserve">, </w:t>
      </w:r>
      <w:r w:rsidR="00E53755" w:rsidRPr="002F0E3F">
        <w:rPr>
          <w:rFonts w:ascii="Arial" w:hAnsi="Arial" w:cs="Arial"/>
        </w:rPr>
        <w:t>the CDE funded</w:t>
      </w:r>
      <w:r w:rsidR="00090238" w:rsidRPr="002F0E3F">
        <w:rPr>
          <w:rFonts w:ascii="Arial" w:hAnsi="Arial" w:cs="Arial"/>
        </w:rPr>
        <w:t xml:space="preserve"> 15 multidistrict regional subgrantees and </w:t>
      </w:r>
      <w:r w:rsidRPr="002F0E3F">
        <w:rPr>
          <w:rFonts w:ascii="Arial" w:hAnsi="Arial" w:cs="Arial"/>
        </w:rPr>
        <w:t>5</w:t>
      </w:r>
      <w:r w:rsidR="00090238" w:rsidRPr="002F0E3F">
        <w:rPr>
          <w:rFonts w:ascii="Arial" w:hAnsi="Arial" w:cs="Arial"/>
        </w:rPr>
        <w:t xml:space="preserve"> direct-fund</w:t>
      </w:r>
      <w:r w:rsidR="00552F01" w:rsidRPr="002F0E3F">
        <w:rPr>
          <w:rFonts w:ascii="Arial" w:hAnsi="Arial" w:cs="Arial"/>
        </w:rPr>
        <w:t>ed single-district subgrantees. Th</w:t>
      </w:r>
      <w:r w:rsidR="00090238" w:rsidRPr="002F0E3F">
        <w:rPr>
          <w:rFonts w:ascii="Arial" w:hAnsi="Arial" w:cs="Arial"/>
        </w:rPr>
        <w:t xml:space="preserve">e 15 regional subgrantees work directly with approximately </w:t>
      </w:r>
      <w:r w:rsidR="00A6598A">
        <w:rPr>
          <w:rFonts w:ascii="Arial" w:hAnsi="Arial" w:cs="Arial"/>
        </w:rPr>
        <w:t>122</w:t>
      </w:r>
      <w:r w:rsidR="00090238" w:rsidRPr="002F0E3F">
        <w:rPr>
          <w:rFonts w:ascii="Arial" w:hAnsi="Arial" w:cs="Arial"/>
        </w:rPr>
        <w:t xml:space="preserve"> school districts through mutually agreed-on service agreements or Memoranda of Understanding. </w:t>
      </w:r>
      <w:r w:rsidR="00BA216E" w:rsidRPr="002F0E3F">
        <w:rPr>
          <w:rFonts w:ascii="Arial" w:hAnsi="Arial" w:cs="Arial"/>
        </w:rPr>
        <w:t xml:space="preserve">The California MEP focuses primarily on the following service and assistance </w:t>
      </w:r>
      <w:r w:rsidR="006A0535" w:rsidRPr="002F0E3F">
        <w:rPr>
          <w:rFonts w:ascii="Arial" w:hAnsi="Arial" w:cs="Arial"/>
        </w:rPr>
        <w:t>areas that</w:t>
      </w:r>
      <w:r w:rsidR="00534171" w:rsidRPr="002F0E3F">
        <w:rPr>
          <w:rFonts w:ascii="Arial" w:hAnsi="Arial" w:cs="Arial"/>
        </w:rPr>
        <w:t xml:space="preserve"> are aligned with the</w:t>
      </w:r>
      <w:r w:rsidR="00615C76" w:rsidRPr="002F0E3F">
        <w:rPr>
          <w:rFonts w:ascii="Arial" w:hAnsi="Arial" w:cs="Arial"/>
        </w:rPr>
        <w:t xml:space="preserve"> </w:t>
      </w:r>
      <w:r w:rsidR="00DF4CCA">
        <w:rPr>
          <w:rFonts w:ascii="Arial" w:hAnsi="Arial" w:cs="Arial"/>
        </w:rPr>
        <w:t>g</w:t>
      </w:r>
      <w:r w:rsidR="00615C76" w:rsidRPr="002F0E3F">
        <w:rPr>
          <w:rFonts w:ascii="Arial" w:hAnsi="Arial" w:cs="Arial"/>
        </w:rPr>
        <w:t xml:space="preserve">oal </w:t>
      </w:r>
      <w:r w:rsidR="00DF4CCA">
        <w:rPr>
          <w:rFonts w:ascii="Arial" w:hAnsi="Arial" w:cs="Arial"/>
        </w:rPr>
        <w:t>a</w:t>
      </w:r>
      <w:r w:rsidR="00615C76" w:rsidRPr="002F0E3F">
        <w:rPr>
          <w:rFonts w:ascii="Arial" w:hAnsi="Arial" w:cs="Arial"/>
        </w:rPr>
        <w:t>reas identified by the Office of Migrant Education</w:t>
      </w:r>
      <w:r w:rsidRPr="002F0E3F">
        <w:rPr>
          <w:rFonts w:ascii="Arial" w:hAnsi="Arial" w:cs="Arial"/>
        </w:rPr>
        <w:t xml:space="preserve"> (OME)</w:t>
      </w:r>
      <w:r w:rsidR="00615C76" w:rsidRPr="002F0E3F">
        <w:rPr>
          <w:rFonts w:ascii="Arial" w:hAnsi="Arial" w:cs="Arial"/>
        </w:rPr>
        <w:t xml:space="preserve"> at ED:</w:t>
      </w:r>
      <w:r w:rsidR="008F576B" w:rsidRPr="002F0E3F">
        <w:rPr>
          <w:rStyle w:val="FootnoteReference"/>
          <w:rFonts w:ascii="Arial" w:hAnsi="Arial" w:cs="Arial"/>
        </w:rPr>
        <w:t xml:space="preserve"> </w:t>
      </w:r>
      <w:r w:rsidR="008F576B" w:rsidRPr="002F0E3F">
        <w:rPr>
          <w:rStyle w:val="FootnoteReference"/>
          <w:rFonts w:ascii="Arial" w:hAnsi="Arial" w:cs="Arial"/>
        </w:rPr>
        <w:footnoteReference w:id="3"/>
      </w:r>
    </w:p>
    <w:p w14:paraId="74B5E2A0" w14:textId="77777777" w:rsidR="00615C76" w:rsidRPr="002F0E3F" w:rsidRDefault="00AE7A60" w:rsidP="00E62308">
      <w:pPr>
        <w:pStyle w:val="NormalWeb"/>
        <w:numPr>
          <w:ilvl w:val="0"/>
          <w:numId w:val="1"/>
        </w:numPr>
        <w:spacing w:before="0" w:beforeAutospacing="0" w:after="0" w:afterAutospacing="0"/>
        <w:rPr>
          <w:rFonts w:ascii="Arial" w:hAnsi="Arial" w:cs="Arial"/>
        </w:rPr>
      </w:pPr>
      <w:r w:rsidRPr="002F0E3F">
        <w:rPr>
          <w:rFonts w:ascii="Arial" w:hAnsi="Arial" w:cs="Arial"/>
        </w:rPr>
        <w:t>English Language Arts</w:t>
      </w:r>
    </w:p>
    <w:p w14:paraId="00C400DA" w14:textId="77777777" w:rsidR="00527BBA" w:rsidRPr="002F0E3F" w:rsidRDefault="00527BBA" w:rsidP="00E62308">
      <w:pPr>
        <w:pStyle w:val="NormalWeb"/>
        <w:numPr>
          <w:ilvl w:val="0"/>
          <w:numId w:val="1"/>
        </w:numPr>
        <w:spacing w:before="0" w:beforeAutospacing="0" w:after="0" w:afterAutospacing="0"/>
        <w:rPr>
          <w:rFonts w:ascii="Arial" w:hAnsi="Arial" w:cs="Arial"/>
        </w:rPr>
      </w:pPr>
      <w:r w:rsidRPr="002F0E3F">
        <w:rPr>
          <w:rFonts w:ascii="Arial" w:hAnsi="Arial" w:cs="Arial"/>
        </w:rPr>
        <w:t>English Language Development</w:t>
      </w:r>
    </w:p>
    <w:p w14:paraId="7A614DE2" w14:textId="77777777" w:rsidR="00AE7A60" w:rsidRPr="002F0E3F" w:rsidRDefault="00AE7A60" w:rsidP="00E62308">
      <w:pPr>
        <w:pStyle w:val="NormalWeb"/>
        <w:numPr>
          <w:ilvl w:val="0"/>
          <w:numId w:val="1"/>
        </w:numPr>
        <w:spacing w:before="0" w:beforeAutospacing="0" w:after="0" w:afterAutospacing="0"/>
        <w:rPr>
          <w:rFonts w:ascii="Arial" w:hAnsi="Arial" w:cs="Arial"/>
        </w:rPr>
      </w:pPr>
      <w:r w:rsidRPr="002F0E3F">
        <w:rPr>
          <w:rFonts w:ascii="Arial" w:hAnsi="Arial" w:cs="Arial"/>
        </w:rPr>
        <w:t>Mathematics</w:t>
      </w:r>
    </w:p>
    <w:p w14:paraId="01F5DB21" w14:textId="77777777" w:rsidR="00AE7A60" w:rsidRPr="002F0E3F" w:rsidRDefault="00AE7A60" w:rsidP="00E62308">
      <w:pPr>
        <w:pStyle w:val="NormalWeb"/>
        <w:numPr>
          <w:ilvl w:val="0"/>
          <w:numId w:val="1"/>
        </w:numPr>
        <w:spacing w:before="0" w:beforeAutospacing="0" w:after="0" w:afterAutospacing="0"/>
        <w:rPr>
          <w:rFonts w:ascii="Arial" w:hAnsi="Arial" w:cs="Arial"/>
        </w:rPr>
      </w:pPr>
      <w:r w:rsidRPr="002F0E3F">
        <w:rPr>
          <w:rFonts w:ascii="Arial" w:hAnsi="Arial" w:cs="Arial"/>
        </w:rPr>
        <w:t>High School Graduation/Dropout</w:t>
      </w:r>
    </w:p>
    <w:p w14:paraId="4FE441F3" w14:textId="77777777" w:rsidR="00AE7A60" w:rsidRPr="002F0E3F" w:rsidRDefault="00AE7A60" w:rsidP="00E62308">
      <w:pPr>
        <w:pStyle w:val="NormalWeb"/>
        <w:numPr>
          <w:ilvl w:val="0"/>
          <w:numId w:val="1"/>
        </w:numPr>
        <w:spacing w:before="0" w:beforeAutospacing="0" w:after="0" w:afterAutospacing="0"/>
        <w:rPr>
          <w:rFonts w:ascii="Arial" w:hAnsi="Arial" w:cs="Arial"/>
        </w:rPr>
      </w:pPr>
      <w:r w:rsidRPr="002F0E3F">
        <w:rPr>
          <w:rFonts w:ascii="Arial" w:hAnsi="Arial" w:cs="Arial"/>
        </w:rPr>
        <w:t>School Readiness</w:t>
      </w:r>
    </w:p>
    <w:p w14:paraId="02C2F3A1" w14:textId="77777777" w:rsidR="00AE7A60" w:rsidRPr="002F0E3F" w:rsidRDefault="00AE7A60" w:rsidP="00E62308">
      <w:pPr>
        <w:pStyle w:val="NormalWeb"/>
        <w:numPr>
          <w:ilvl w:val="0"/>
          <w:numId w:val="1"/>
        </w:numPr>
        <w:spacing w:before="0" w:beforeAutospacing="0" w:after="0" w:afterAutospacing="0"/>
        <w:rPr>
          <w:rFonts w:ascii="Arial" w:hAnsi="Arial" w:cs="Arial"/>
        </w:rPr>
      </w:pPr>
      <w:r w:rsidRPr="002F0E3F">
        <w:rPr>
          <w:rFonts w:ascii="Arial" w:hAnsi="Arial" w:cs="Arial"/>
        </w:rPr>
        <w:t>Parent and Family Engagement</w:t>
      </w:r>
    </w:p>
    <w:p w14:paraId="0C0924A2" w14:textId="77777777" w:rsidR="00AE7A60" w:rsidRPr="002F0E3F" w:rsidRDefault="00AE7A60" w:rsidP="00043BAC">
      <w:pPr>
        <w:pStyle w:val="NormalWeb"/>
        <w:numPr>
          <w:ilvl w:val="0"/>
          <w:numId w:val="1"/>
        </w:numPr>
        <w:spacing w:before="0" w:beforeAutospacing="0" w:after="240" w:afterAutospacing="0"/>
        <w:rPr>
          <w:rFonts w:ascii="Arial" w:hAnsi="Arial" w:cs="Arial"/>
        </w:rPr>
      </w:pPr>
      <w:r w:rsidRPr="002F0E3F">
        <w:rPr>
          <w:rFonts w:ascii="Arial" w:hAnsi="Arial" w:cs="Arial"/>
        </w:rPr>
        <w:t>Out-of-School Youth</w:t>
      </w:r>
    </w:p>
    <w:p w14:paraId="55CF16B8" w14:textId="163F8093" w:rsidR="00AE7A60" w:rsidRPr="002F0E3F" w:rsidRDefault="00AE7A60" w:rsidP="00043BAC">
      <w:pPr>
        <w:pStyle w:val="NormalWeb"/>
        <w:spacing w:before="0" w:beforeAutospacing="0" w:after="240" w:afterAutospacing="0"/>
        <w:rPr>
          <w:rFonts w:ascii="Arial" w:hAnsi="Arial" w:cs="Arial"/>
        </w:rPr>
      </w:pPr>
      <w:r w:rsidRPr="002F0E3F">
        <w:rPr>
          <w:rFonts w:ascii="Arial" w:hAnsi="Arial" w:cs="Arial"/>
        </w:rPr>
        <w:t xml:space="preserve">California’s </w:t>
      </w:r>
      <w:r w:rsidR="005C0666" w:rsidRPr="002F0E3F">
        <w:rPr>
          <w:rFonts w:ascii="Arial" w:hAnsi="Arial" w:cs="Arial"/>
        </w:rPr>
        <w:t>MEP</w:t>
      </w:r>
      <w:r w:rsidR="00DF4CCA">
        <w:rPr>
          <w:rFonts w:ascii="Arial" w:hAnsi="Arial" w:cs="Arial"/>
        </w:rPr>
        <w:t xml:space="preserve"> su</w:t>
      </w:r>
      <w:r w:rsidR="006C3A26">
        <w:rPr>
          <w:rFonts w:ascii="Arial" w:hAnsi="Arial" w:cs="Arial"/>
        </w:rPr>
        <w:t>b</w:t>
      </w:r>
      <w:r w:rsidR="00DF4CCA">
        <w:rPr>
          <w:rFonts w:ascii="Arial" w:hAnsi="Arial" w:cs="Arial"/>
        </w:rPr>
        <w:t>grantees</w:t>
      </w:r>
      <w:r w:rsidRPr="002F0E3F">
        <w:rPr>
          <w:rFonts w:ascii="Arial" w:hAnsi="Arial" w:cs="Arial"/>
        </w:rPr>
        <w:t xml:space="preserve"> have a range of </w:t>
      </w:r>
      <w:r w:rsidR="00DF4CCA">
        <w:rPr>
          <w:rFonts w:ascii="Arial" w:hAnsi="Arial" w:cs="Arial"/>
        </w:rPr>
        <w:t xml:space="preserve">instructional and support </w:t>
      </w:r>
      <w:r w:rsidRPr="002F0E3F">
        <w:rPr>
          <w:rFonts w:ascii="Arial" w:hAnsi="Arial" w:cs="Arial"/>
        </w:rPr>
        <w:t>services during the regular school year and intersession periods dedicated to improving migratory s</w:t>
      </w:r>
      <w:r w:rsidR="006E2205" w:rsidRPr="002F0E3F">
        <w:rPr>
          <w:rFonts w:ascii="Arial" w:hAnsi="Arial" w:cs="Arial"/>
        </w:rPr>
        <w:t>tudents’ academic achievement</w:t>
      </w:r>
      <w:r w:rsidR="00DF4CCA">
        <w:rPr>
          <w:rFonts w:ascii="Arial" w:hAnsi="Arial" w:cs="Arial"/>
        </w:rPr>
        <w:t xml:space="preserve"> and overall well-being.</w:t>
      </w:r>
      <w:r w:rsidR="006E2205" w:rsidRPr="002F0E3F">
        <w:rPr>
          <w:rFonts w:ascii="Arial" w:hAnsi="Arial" w:cs="Arial"/>
        </w:rPr>
        <w:t xml:space="preserve"> </w:t>
      </w:r>
    </w:p>
    <w:p w14:paraId="04A786B3" w14:textId="77777777" w:rsidR="00FA1C4D" w:rsidRPr="002F0E3F" w:rsidRDefault="00947133" w:rsidP="00043BAC">
      <w:pPr>
        <w:spacing w:after="240"/>
        <w:rPr>
          <w:rFonts w:cs="Arial"/>
        </w:rPr>
      </w:pPr>
      <w:r w:rsidRPr="002F0E3F">
        <w:rPr>
          <w:rFonts w:cs="Arial"/>
        </w:rPr>
        <w:br w:type="page"/>
      </w:r>
    </w:p>
    <w:p w14:paraId="29E740DE" w14:textId="77777777" w:rsidR="005D6DD8" w:rsidRPr="002F0E3F" w:rsidRDefault="00B46E1D" w:rsidP="00CF280A">
      <w:pPr>
        <w:pStyle w:val="Heading2"/>
      </w:pPr>
      <w:bookmarkStart w:id="21" w:name="_Toc496195899"/>
      <w:bookmarkStart w:id="22" w:name="_Toc188361309"/>
      <w:r w:rsidRPr="002F0E3F">
        <w:lastRenderedPageBreak/>
        <w:t xml:space="preserve">Section II: </w:t>
      </w:r>
      <w:r w:rsidR="005D6DD8" w:rsidRPr="002F0E3F">
        <w:t>Methodology</w:t>
      </w:r>
      <w:bookmarkEnd w:id="21"/>
      <w:bookmarkEnd w:id="22"/>
    </w:p>
    <w:p w14:paraId="27B05533" w14:textId="007BFCC5" w:rsidR="005C0666" w:rsidRPr="00CF280A" w:rsidRDefault="005C0666" w:rsidP="00CF280A">
      <w:pPr>
        <w:pStyle w:val="Heading3"/>
      </w:pPr>
      <w:bookmarkStart w:id="23" w:name="_Toc496195900"/>
      <w:bookmarkStart w:id="24" w:name="_Toc188361310"/>
      <w:r w:rsidRPr="00CF280A">
        <w:t xml:space="preserve">Comprehensive Needs Assessment </w:t>
      </w:r>
      <w:bookmarkEnd w:id="23"/>
      <w:r w:rsidR="00181049">
        <w:t>Development</w:t>
      </w:r>
      <w:bookmarkEnd w:id="24"/>
    </w:p>
    <w:p w14:paraId="32C1431F" w14:textId="5083281B" w:rsidR="00F9610C" w:rsidRPr="002F0E3F" w:rsidRDefault="00AE7258" w:rsidP="00CF280A">
      <w:pPr>
        <w:spacing w:after="240"/>
        <w:rPr>
          <w:rFonts w:cs="Arial"/>
        </w:rPr>
      </w:pPr>
      <w:r w:rsidRPr="002F0E3F">
        <w:rPr>
          <w:rFonts w:cs="Arial"/>
        </w:rPr>
        <w:t>T</w:t>
      </w:r>
      <w:r w:rsidR="00F9610C" w:rsidRPr="002F0E3F">
        <w:rPr>
          <w:rFonts w:cs="Arial"/>
        </w:rPr>
        <w:t xml:space="preserve">he complete CNA </w:t>
      </w:r>
      <w:r w:rsidRPr="002F0E3F">
        <w:rPr>
          <w:rFonts w:cs="Arial"/>
        </w:rPr>
        <w:t>process is broadly documented</w:t>
      </w:r>
      <w:r w:rsidR="00F9610C" w:rsidRPr="002F0E3F">
        <w:rPr>
          <w:rFonts w:cs="Arial"/>
        </w:rPr>
        <w:t xml:space="preserve"> in this section. </w:t>
      </w:r>
      <w:r w:rsidR="006A0535" w:rsidRPr="002F0E3F">
        <w:rPr>
          <w:rFonts w:cs="Arial"/>
        </w:rPr>
        <w:t>High-level</w:t>
      </w:r>
      <w:r w:rsidRPr="002F0E3F">
        <w:rPr>
          <w:rFonts w:cs="Arial"/>
        </w:rPr>
        <w:t xml:space="preserve"> CNA activities are noted as well as the structure, planning process</w:t>
      </w:r>
      <w:r w:rsidR="008F62F6">
        <w:rPr>
          <w:rFonts w:cs="Arial"/>
        </w:rPr>
        <w:t>,</w:t>
      </w:r>
      <w:r w:rsidRPr="002F0E3F">
        <w:rPr>
          <w:rFonts w:cs="Arial"/>
        </w:rPr>
        <w:t xml:space="preserve"> and activities utilized in developing the statewide CNA</w:t>
      </w:r>
      <w:r w:rsidR="0031379D" w:rsidRPr="002F0E3F">
        <w:rPr>
          <w:rFonts w:cs="Arial"/>
        </w:rPr>
        <w:t xml:space="preserve"> (see Appendix A for a timeline of major activities)</w:t>
      </w:r>
      <w:r w:rsidRPr="002F0E3F">
        <w:rPr>
          <w:rFonts w:cs="Arial"/>
        </w:rPr>
        <w:t xml:space="preserve">. </w:t>
      </w:r>
      <w:r w:rsidR="00F9610C" w:rsidRPr="002F0E3F">
        <w:rPr>
          <w:rFonts w:cs="Arial"/>
        </w:rPr>
        <w:t>The roles of the Management and Data Team, CNA</w:t>
      </w:r>
      <w:r w:rsidR="00CF280A">
        <w:rPr>
          <w:rFonts w:cs="Arial"/>
        </w:rPr>
        <w:t xml:space="preserve"> </w:t>
      </w:r>
      <w:r w:rsidR="00F9610C" w:rsidRPr="002F0E3F">
        <w:rPr>
          <w:rFonts w:cs="Arial"/>
        </w:rPr>
        <w:t>SDP Committee</w:t>
      </w:r>
      <w:r w:rsidR="008F62F6">
        <w:rPr>
          <w:rFonts w:cs="Arial"/>
        </w:rPr>
        <w:t>,</w:t>
      </w:r>
      <w:r w:rsidR="00F9610C" w:rsidRPr="002F0E3F">
        <w:rPr>
          <w:rFonts w:cs="Arial"/>
        </w:rPr>
        <w:t xml:space="preserve"> and </w:t>
      </w:r>
      <w:r w:rsidR="00CF280A">
        <w:rPr>
          <w:rFonts w:cs="Arial"/>
        </w:rPr>
        <w:t xml:space="preserve">CNA </w:t>
      </w:r>
      <w:r w:rsidR="00F9610C" w:rsidRPr="002F0E3F">
        <w:rPr>
          <w:rFonts w:cs="Arial"/>
        </w:rPr>
        <w:t xml:space="preserve">SDP </w:t>
      </w:r>
      <w:r w:rsidR="008E4DAC">
        <w:rPr>
          <w:rFonts w:cs="Arial"/>
        </w:rPr>
        <w:t>subcommittee</w:t>
      </w:r>
      <w:r w:rsidR="00F9610C" w:rsidRPr="002F0E3F">
        <w:rPr>
          <w:rFonts w:cs="Arial"/>
        </w:rPr>
        <w:t>s are discussed next.</w:t>
      </w:r>
    </w:p>
    <w:p w14:paraId="3B38BB94" w14:textId="77777777" w:rsidR="00F9610C" w:rsidRPr="002F0E3F" w:rsidRDefault="00F9610C" w:rsidP="00CF280A">
      <w:pPr>
        <w:pStyle w:val="Heading3"/>
      </w:pPr>
      <w:bookmarkStart w:id="25" w:name="_Toc496195901"/>
      <w:bookmarkStart w:id="26" w:name="_Toc188361311"/>
      <w:r w:rsidRPr="002F0E3F">
        <w:t>Structure</w:t>
      </w:r>
      <w:bookmarkEnd w:id="25"/>
      <w:bookmarkEnd w:id="26"/>
    </w:p>
    <w:p w14:paraId="0A80E2E7" w14:textId="77777777" w:rsidR="00F9610C" w:rsidRPr="002F0E3F" w:rsidRDefault="00F9610C" w:rsidP="00CF280A">
      <w:pPr>
        <w:pStyle w:val="Heading4"/>
      </w:pPr>
      <w:r w:rsidRPr="002F0E3F">
        <w:t>Management and Data Team</w:t>
      </w:r>
    </w:p>
    <w:p w14:paraId="0D8D6BFF" w14:textId="7C006AF2" w:rsidR="00F9610C" w:rsidRPr="002F0E3F" w:rsidRDefault="00F9610C" w:rsidP="00CF280A">
      <w:pPr>
        <w:spacing w:after="240"/>
        <w:rPr>
          <w:rFonts w:cs="Arial"/>
        </w:rPr>
      </w:pPr>
      <w:r w:rsidRPr="002F0E3F">
        <w:rPr>
          <w:rFonts w:cs="Arial"/>
        </w:rPr>
        <w:t>The primary group responsible for developing, implementing</w:t>
      </w:r>
      <w:r w:rsidR="0033751A">
        <w:rPr>
          <w:rFonts w:cs="Arial"/>
        </w:rPr>
        <w:t>,</w:t>
      </w:r>
      <w:r w:rsidRPr="002F0E3F">
        <w:rPr>
          <w:rFonts w:cs="Arial"/>
        </w:rPr>
        <w:t xml:space="preserve"> and reporting on the CNA is the</w:t>
      </w:r>
      <w:r w:rsidR="0033751A">
        <w:rPr>
          <w:rFonts w:cs="Arial"/>
        </w:rPr>
        <w:t xml:space="preserve"> CDE</w:t>
      </w:r>
      <w:r w:rsidRPr="002F0E3F">
        <w:rPr>
          <w:rFonts w:cs="Arial"/>
        </w:rPr>
        <w:t xml:space="preserve"> Management and Data Team. </w:t>
      </w:r>
      <w:r w:rsidR="000B67F5">
        <w:rPr>
          <w:rFonts w:cs="Arial"/>
        </w:rPr>
        <w:t>The CNA Project Lead developed the process</w:t>
      </w:r>
      <w:r w:rsidR="009A576D">
        <w:rPr>
          <w:rFonts w:cs="Arial"/>
        </w:rPr>
        <w:t>es</w:t>
      </w:r>
      <w:r w:rsidR="000B67F5">
        <w:rPr>
          <w:rFonts w:cs="Arial"/>
        </w:rPr>
        <w:t xml:space="preserve"> </w:t>
      </w:r>
      <w:r w:rsidR="009A576D">
        <w:rPr>
          <w:rFonts w:cs="Arial"/>
        </w:rPr>
        <w:t xml:space="preserve">of selecting the CNA SDP Committee members and by which the committee worked to develop the CNA. </w:t>
      </w:r>
      <w:r w:rsidRPr="002F0E3F">
        <w:rPr>
          <w:rFonts w:cs="Arial"/>
        </w:rPr>
        <w:t>Th</w:t>
      </w:r>
      <w:r w:rsidR="009A576D">
        <w:rPr>
          <w:rFonts w:cs="Arial"/>
        </w:rPr>
        <w:t>e CDE team</w:t>
      </w:r>
      <w:r w:rsidRPr="002F0E3F">
        <w:rPr>
          <w:rFonts w:cs="Arial"/>
        </w:rPr>
        <w:t xml:space="preserve"> </w:t>
      </w:r>
      <w:r w:rsidR="008F62F6">
        <w:rPr>
          <w:rFonts w:cs="Arial"/>
        </w:rPr>
        <w:t>develop</w:t>
      </w:r>
      <w:r w:rsidR="00DF2116">
        <w:rPr>
          <w:rFonts w:cs="Arial"/>
        </w:rPr>
        <w:t>ed</w:t>
      </w:r>
      <w:r w:rsidR="008F62F6">
        <w:rPr>
          <w:rFonts w:cs="Arial"/>
        </w:rPr>
        <w:t xml:space="preserve"> </w:t>
      </w:r>
      <w:r w:rsidR="00DF2116">
        <w:rPr>
          <w:rFonts w:cs="Arial"/>
        </w:rPr>
        <w:t xml:space="preserve">bilingual </w:t>
      </w:r>
      <w:r w:rsidR="008F62F6">
        <w:rPr>
          <w:rFonts w:cs="Arial"/>
        </w:rPr>
        <w:t>resources</w:t>
      </w:r>
      <w:r w:rsidRPr="002F0E3F">
        <w:rPr>
          <w:rFonts w:cs="Arial"/>
        </w:rPr>
        <w:t xml:space="preserve"> </w:t>
      </w:r>
      <w:r w:rsidR="000B67F5">
        <w:rPr>
          <w:rFonts w:cs="Arial"/>
        </w:rPr>
        <w:t>for</w:t>
      </w:r>
      <w:r w:rsidR="008F62F6">
        <w:rPr>
          <w:rFonts w:cs="Arial"/>
        </w:rPr>
        <w:t xml:space="preserve"> the eight CNA SDP Committee </w:t>
      </w:r>
      <w:proofErr w:type="gramStart"/>
      <w:r w:rsidR="00DF2116">
        <w:rPr>
          <w:rFonts w:cs="Arial"/>
        </w:rPr>
        <w:t>m</w:t>
      </w:r>
      <w:r w:rsidR="008F62F6">
        <w:rPr>
          <w:rFonts w:cs="Arial"/>
        </w:rPr>
        <w:t>eetings</w:t>
      </w:r>
      <w:proofErr w:type="gramEnd"/>
      <w:r w:rsidR="00DF2116">
        <w:rPr>
          <w:rFonts w:cs="Arial"/>
        </w:rPr>
        <w:t xml:space="preserve"> some of which were developed in collaboration with WestEd</w:t>
      </w:r>
      <w:r w:rsidRPr="002F0E3F">
        <w:rPr>
          <w:rFonts w:cs="Arial"/>
        </w:rPr>
        <w:t>.</w:t>
      </w:r>
      <w:r w:rsidR="003D4B82" w:rsidRPr="002F0E3F">
        <w:rPr>
          <w:rFonts w:cs="Arial"/>
        </w:rPr>
        <w:t xml:space="preserve"> </w:t>
      </w:r>
      <w:r w:rsidR="00DF2116">
        <w:rPr>
          <w:rFonts w:cs="Arial"/>
        </w:rPr>
        <w:t xml:space="preserve">While key decisions in this report are based on the recommendations of the CNA SDP Committee, the CDE Management and Data Team will also include guidance that support statewide priorities and </w:t>
      </w:r>
      <w:proofErr w:type="gramStart"/>
      <w:r w:rsidR="00DF2116">
        <w:rPr>
          <w:rFonts w:cs="Arial"/>
        </w:rPr>
        <w:t>initiatives</w:t>
      </w:r>
      <w:proofErr w:type="gramEnd"/>
      <w:r w:rsidR="00DF2116">
        <w:rPr>
          <w:rFonts w:cs="Arial"/>
        </w:rPr>
        <w:t xml:space="preserve"> </w:t>
      </w:r>
      <w:r w:rsidR="00835A0B">
        <w:rPr>
          <w:rFonts w:cs="Arial"/>
        </w:rPr>
        <w:t>and the</w:t>
      </w:r>
      <w:r w:rsidR="00DF2116">
        <w:rPr>
          <w:rFonts w:cs="Arial"/>
        </w:rPr>
        <w:t xml:space="preserve"> needs identified in the CNA.</w:t>
      </w:r>
    </w:p>
    <w:p w14:paraId="0574D255" w14:textId="00709956" w:rsidR="00F9610C" w:rsidRPr="002F0E3F" w:rsidRDefault="006F17E4" w:rsidP="00CF280A">
      <w:pPr>
        <w:pStyle w:val="Heading4"/>
      </w:pPr>
      <w:r w:rsidRPr="002F0E3F">
        <w:t>Comprehensive Needs Assessment</w:t>
      </w:r>
      <w:r w:rsidR="00C75723">
        <w:t xml:space="preserve"> </w:t>
      </w:r>
      <w:r w:rsidRPr="002F0E3F">
        <w:t>Service Delivery Plan</w:t>
      </w:r>
      <w:r w:rsidR="00F9610C" w:rsidRPr="002F0E3F">
        <w:t xml:space="preserve"> Committee</w:t>
      </w:r>
    </w:p>
    <w:p w14:paraId="7078BE31" w14:textId="2E9482EB" w:rsidR="00F9610C" w:rsidRPr="002F0E3F" w:rsidRDefault="000B67F5" w:rsidP="00CF280A">
      <w:pPr>
        <w:spacing w:after="240"/>
        <w:rPr>
          <w:rFonts w:cs="Arial"/>
        </w:rPr>
      </w:pPr>
      <w:r>
        <w:rPr>
          <w:rFonts w:cs="Arial"/>
        </w:rPr>
        <w:t xml:space="preserve">When developing the CNA, </w:t>
      </w:r>
      <w:r w:rsidR="00CA5A26" w:rsidRPr="002F0E3F">
        <w:rPr>
          <w:rFonts w:cs="Arial"/>
        </w:rPr>
        <w:t>ED</w:t>
      </w:r>
      <w:r>
        <w:rPr>
          <w:rFonts w:cs="Arial"/>
        </w:rPr>
        <w:t>’</w:t>
      </w:r>
      <w:r w:rsidR="00427899">
        <w:rPr>
          <w:rFonts w:cs="Arial"/>
        </w:rPr>
        <w:t>s</w:t>
      </w:r>
      <w:r w:rsidR="00F9610C" w:rsidRPr="002F0E3F">
        <w:rPr>
          <w:rFonts w:cs="Arial"/>
        </w:rPr>
        <w:t xml:space="preserve"> gui</w:t>
      </w:r>
      <w:r>
        <w:rPr>
          <w:rFonts w:cs="Arial"/>
        </w:rPr>
        <w:t>dance suggests employing a collaborative process involving</w:t>
      </w:r>
      <w:r w:rsidR="00F9610C" w:rsidRPr="002F0E3F">
        <w:rPr>
          <w:rFonts w:cs="Arial"/>
        </w:rPr>
        <w:t xml:space="preserve"> a broad range of individuals</w:t>
      </w:r>
      <w:r w:rsidR="008F576B" w:rsidRPr="002F0E3F">
        <w:rPr>
          <w:rFonts w:cs="Arial"/>
        </w:rPr>
        <w:t>, including parents,</w:t>
      </w:r>
      <w:r w:rsidR="00F9610C" w:rsidRPr="002F0E3F">
        <w:rPr>
          <w:rFonts w:cs="Arial"/>
        </w:rPr>
        <w:t xml:space="preserve"> with knowledge and experience in determining the needs of migratory children. Each member should have an adequate understanding of the MEP, OME goal areas, data collection and analysis</w:t>
      </w:r>
      <w:r w:rsidR="00201DA4" w:rsidRPr="002F0E3F">
        <w:rPr>
          <w:rFonts w:cs="Arial"/>
        </w:rPr>
        <w:t>,</w:t>
      </w:r>
      <w:r w:rsidR="00F9610C" w:rsidRPr="002F0E3F">
        <w:rPr>
          <w:rFonts w:cs="Arial"/>
        </w:rPr>
        <w:t xml:space="preserve"> and promising practices with at-risk youth.</w:t>
      </w:r>
      <w:r w:rsidR="00427899">
        <w:rPr>
          <w:rFonts w:cs="Arial"/>
        </w:rPr>
        <w:t xml:space="preserve"> </w:t>
      </w:r>
      <w:r w:rsidR="00F9610C" w:rsidRPr="002F0E3F">
        <w:rPr>
          <w:rFonts w:cs="Arial"/>
        </w:rPr>
        <w:t>As previously noted, the primary tasks of the CNA</w:t>
      </w:r>
      <w:r w:rsidR="00C75723">
        <w:rPr>
          <w:rFonts w:cs="Arial"/>
        </w:rPr>
        <w:t xml:space="preserve"> </w:t>
      </w:r>
      <w:r w:rsidR="0031379D" w:rsidRPr="002F0E3F">
        <w:rPr>
          <w:rFonts w:cs="Arial"/>
        </w:rPr>
        <w:t>SDP</w:t>
      </w:r>
      <w:r w:rsidR="00F9610C" w:rsidRPr="002F0E3F">
        <w:rPr>
          <w:rFonts w:cs="Arial"/>
        </w:rPr>
        <w:t xml:space="preserve"> Committee were to review the statewide </w:t>
      </w:r>
      <w:r w:rsidR="00C75723">
        <w:rPr>
          <w:rFonts w:cs="Arial"/>
        </w:rPr>
        <w:t xml:space="preserve">data for </w:t>
      </w:r>
      <w:r w:rsidR="00F9610C" w:rsidRPr="002F0E3F">
        <w:rPr>
          <w:rFonts w:cs="Arial"/>
        </w:rPr>
        <w:t xml:space="preserve">migratory children </w:t>
      </w:r>
      <w:r w:rsidR="00C75723">
        <w:rPr>
          <w:rFonts w:cs="Arial"/>
        </w:rPr>
        <w:t>and youth</w:t>
      </w:r>
      <w:r w:rsidR="00835A0B">
        <w:rPr>
          <w:rFonts w:cs="Arial"/>
        </w:rPr>
        <w:t>s</w:t>
      </w:r>
      <w:r w:rsidR="00F9610C" w:rsidRPr="002F0E3F">
        <w:rPr>
          <w:rFonts w:cs="Arial"/>
        </w:rPr>
        <w:t>, develop major areas of concern, identify and prioritize needs, review evidence-based practices and select initial strategies</w:t>
      </w:r>
      <w:r w:rsidR="00EE0F38">
        <w:rPr>
          <w:rFonts w:cs="Arial"/>
        </w:rPr>
        <w:t xml:space="preserve"> f</w:t>
      </w:r>
      <w:r w:rsidR="00F94FC3">
        <w:rPr>
          <w:rFonts w:cs="Arial"/>
        </w:rPr>
        <w:t>or the identified</w:t>
      </w:r>
      <w:r w:rsidR="00EE0F38">
        <w:rPr>
          <w:rFonts w:cs="Arial"/>
        </w:rPr>
        <w:t xml:space="preserve"> focus areas</w:t>
      </w:r>
      <w:r w:rsidR="00C75723">
        <w:rPr>
          <w:rFonts w:cs="Arial"/>
        </w:rPr>
        <w:t xml:space="preserve">. </w:t>
      </w:r>
      <w:r w:rsidR="007B6A18">
        <w:rPr>
          <w:rFonts w:cs="Arial"/>
        </w:rPr>
        <w:t>This work was accomplished through small and whole group work with both the CNA SDP Committee and the SPAC.</w:t>
      </w:r>
    </w:p>
    <w:p w14:paraId="63255A1B" w14:textId="13E07A14" w:rsidR="00F9610C" w:rsidRPr="002F0E3F" w:rsidRDefault="00F9610C" w:rsidP="00CF280A">
      <w:pPr>
        <w:pStyle w:val="Heading4"/>
      </w:pPr>
      <w:r w:rsidRPr="002F0E3F">
        <w:t>Comprehensive Needs Assessment Subcommittees</w:t>
      </w:r>
    </w:p>
    <w:p w14:paraId="5DC898AC" w14:textId="5627C7A7" w:rsidR="00F94FC3" w:rsidRDefault="00F9610C" w:rsidP="00CF280A">
      <w:pPr>
        <w:spacing w:after="240"/>
        <w:rPr>
          <w:rFonts w:cs="Arial"/>
        </w:rPr>
      </w:pPr>
      <w:r w:rsidRPr="002F0E3F">
        <w:rPr>
          <w:rFonts w:cs="Arial"/>
        </w:rPr>
        <w:t xml:space="preserve">To </w:t>
      </w:r>
      <w:r w:rsidR="0031379D" w:rsidRPr="002F0E3F">
        <w:rPr>
          <w:rFonts w:cs="Arial"/>
        </w:rPr>
        <w:t>ensure</w:t>
      </w:r>
      <w:r w:rsidRPr="002F0E3F">
        <w:rPr>
          <w:rFonts w:cs="Arial"/>
        </w:rPr>
        <w:t xml:space="preserve"> the CNA</w:t>
      </w:r>
      <w:r w:rsidR="00EE0F38">
        <w:rPr>
          <w:rFonts w:cs="Arial"/>
        </w:rPr>
        <w:t xml:space="preserve"> </w:t>
      </w:r>
      <w:r w:rsidR="0031379D" w:rsidRPr="002F0E3F">
        <w:rPr>
          <w:rFonts w:cs="Arial"/>
        </w:rPr>
        <w:t>SDP</w:t>
      </w:r>
      <w:r w:rsidRPr="002F0E3F">
        <w:rPr>
          <w:rFonts w:cs="Arial"/>
        </w:rPr>
        <w:t xml:space="preserve"> Committee</w:t>
      </w:r>
      <w:r w:rsidR="0031379D" w:rsidRPr="002F0E3F">
        <w:rPr>
          <w:rFonts w:cs="Arial"/>
        </w:rPr>
        <w:t xml:space="preserve"> met the objectives</w:t>
      </w:r>
      <w:r w:rsidR="009A576D">
        <w:rPr>
          <w:rFonts w:cs="Arial"/>
        </w:rPr>
        <w:t xml:space="preserve"> within the project timeline</w:t>
      </w:r>
      <w:r w:rsidRPr="002F0E3F">
        <w:rPr>
          <w:rFonts w:cs="Arial"/>
        </w:rPr>
        <w:t xml:space="preserve">, </w:t>
      </w:r>
      <w:r w:rsidR="00EE0F38">
        <w:rPr>
          <w:rFonts w:cs="Arial"/>
        </w:rPr>
        <w:t>committee members</w:t>
      </w:r>
      <w:r w:rsidRPr="002F0E3F">
        <w:rPr>
          <w:rFonts w:cs="Arial"/>
        </w:rPr>
        <w:t xml:space="preserve"> split into subcommittee</w:t>
      </w:r>
      <w:r w:rsidR="00201DA4" w:rsidRPr="002F0E3F">
        <w:rPr>
          <w:rFonts w:cs="Arial"/>
        </w:rPr>
        <w:t>s</w:t>
      </w:r>
      <w:r w:rsidR="00D84BFF" w:rsidRPr="002F0E3F">
        <w:rPr>
          <w:rFonts w:cs="Arial"/>
        </w:rPr>
        <w:t xml:space="preserve"> facilitated by </w:t>
      </w:r>
      <w:r w:rsidR="00C24AA6" w:rsidRPr="002F0E3F">
        <w:rPr>
          <w:rFonts w:cs="Arial"/>
        </w:rPr>
        <w:t xml:space="preserve">CDE </w:t>
      </w:r>
      <w:r w:rsidR="00201DA4" w:rsidRPr="002F0E3F">
        <w:rPr>
          <w:rFonts w:cs="Arial"/>
        </w:rPr>
        <w:t>MEO</w:t>
      </w:r>
      <w:r w:rsidR="0031379D" w:rsidRPr="002F0E3F">
        <w:rPr>
          <w:rFonts w:cs="Arial"/>
        </w:rPr>
        <w:t xml:space="preserve"> </w:t>
      </w:r>
      <w:r w:rsidR="00EE0F38">
        <w:rPr>
          <w:rFonts w:cs="Arial"/>
        </w:rPr>
        <w:t xml:space="preserve">and WestEd </w:t>
      </w:r>
      <w:r w:rsidR="0031379D" w:rsidRPr="002F0E3F">
        <w:rPr>
          <w:rFonts w:cs="Arial"/>
        </w:rPr>
        <w:t>staff</w:t>
      </w:r>
      <w:r w:rsidRPr="002F0E3F">
        <w:rPr>
          <w:rFonts w:cs="Arial"/>
        </w:rPr>
        <w:t>. The subcommittees worked independently</w:t>
      </w:r>
      <w:r w:rsidR="009A576D">
        <w:rPr>
          <w:rFonts w:cs="Arial"/>
        </w:rPr>
        <w:t xml:space="preserve"> identifying key decisions for a focus area</w:t>
      </w:r>
      <w:r w:rsidRPr="002F0E3F">
        <w:rPr>
          <w:rFonts w:cs="Arial"/>
        </w:rPr>
        <w:t xml:space="preserve">, but cooperatively as the larger </w:t>
      </w:r>
      <w:r w:rsidR="00EE0F38">
        <w:rPr>
          <w:rFonts w:cs="Arial"/>
        </w:rPr>
        <w:t>CNA SDP</w:t>
      </w:r>
      <w:r w:rsidR="0031379D" w:rsidRPr="002F0E3F">
        <w:rPr>
          <w:rFonts w:cs="Arial"/>
        </w:rPr>
        <w:t xml:space="preserve"> committee</w:t>
      </w:r>
      <w:r w:rsidRPr="002F0E3F">
        <w:rPr>
          <w:rFonts w:cs="Arial"/>
        </w:rPr>
        <w:t xml:space="preserve">. Once </w:t>
      </w:r>
      <w:r w:rsidR="00A13526">
        <w:rPr>
          <w:rFonts w:cs="Arial"/>
        </w:rPr>
        <w:t>the</w:t>
      </w:r>
      <w:r w:rsidRPr="002F0E3F">
        <w:rPr>
          <w:rFonts w:cs="Arial"/>
        </w:rPr>
        <w:t xml:space="preserve"> subcommittee</w:t>
      </w:r>
      <w:r w:rsidR="00A13526">
        <w:rPr>
          <w:rFonts w:cs="Arial"/>
        </w:rPr>
        <w:t>s</w:t>
      </w:r>
      <w:r w:rsidRPr="002F0E3F">
        <w:rPr>
          <w:rFonts w:cs="Arial"/>
        </w:rPr>
        <w:t xml:space="preserve"> completed their tasks, the entire CN</w:t>
      </w:r>
      <w:r w:rsidR="00EE0F38">
        <w:rPr>
          <w:rFonts w:cs="Arial"/>
        </w:rPr>
        <w:t xml:space="preserve">A </w:t>
      </w:r>
      <w:r w:rsidR="0031379D" w:rsidRPr="002F0E3F">
        <w:rPr>
          <w:rFonts w:cs="Arial"/>
        </w:rPr>
        <w:t>SDP</w:t>
      </w:r>
      <w:r w:rsidRPr="002F0E3F">
        <w:rPr>
          <w:rFonts w:cs="Arial"/>
        </w:rPr>
        <w:t xml:space="preserve"> Committee reconvened to review the work of each subcommittee</w:t>
      </w:r>
      <w:r w:rsidR="00210628">
        <w:rPr>
          <w:rFonts w:cs="Arial"/>
        </w:rPr>
        <w:t>,</w:t>
      </w:r>
      <w:r w:rsidRPr="002F0E3F">
        <w:rPr>
          <w:rFonts w:cs="Arial"/>
        </w:rPr>
        <w:t xml:space="preserve"> offering suggestions</w:t>
      </w:r>
      <w:r w:rsidR="00210628">
        <w:rPr>
          <w:rFonts w:cs="Arial"/>
        </w:rPr>
        <w:t>,</w:t>
      </w:r>
      <w:r w:rsidRPr="002F0E3F">
        <w:rPr>
          <w:rFonts w:cs="Arial"/>
        </w:rPr>
        <w:t xml:space="preserve"> and reaching consensus on the decisions made by the subcommittees</w:t>
      </w:r>
      <w:r w:rsidR="00F94FC3">
        <w:rPr>
          <w:rFonts w:cs="Arial"/>
        </w:rPr>
        <w:t xml:space="preserve"> f</w:t>
      </w:r>
      <w:r w:rsidR="00A103FC">
        <w:rPr>
          <w:rFonts w:cs="Arial"/>
        </w:rPr>
        <w:t>or</w:t>
      </w:r>
      <w:r w:rsidR="00F94FC3">
        <w:rPr>
          <w:rFonts w:cs="Arial"/>
        </w:rPr>
        <w:t xml:space="preserve"> the ten focus areas</w:t>
      </w:r>
      <w:r w:rsidRPr="002F0E3F">
        <w:rPr>
          <w:rFonts w:cs="Arial"/>
        </w:rPr>
        <w:t>.</w:t>
      </w:r>
      <w:r w:rsidR="00F94FC3">
        <w:rPr>
          <w:rFonts w:cs="Arial"/>
        </w:rPr>
        <w:t xml:space="preserve"> </w:t>
      </w:r>
    </w:p>
    <w:p w14:paraId="5A27A086" w14:textId="5E4D9B2D" w:rsidR="00F94FC3" w:rsidRPr="002F0E3F" w:rsidRDefault="00F94FC3" w:rsidP="00CF280A">
      <w:pPr>
        <w:spacing w:after="240"/>
        <w:rPr>
          <w:rFonts w:cs="Arial"/>
        </w:rPr>
      </w:pPr>
      <w:r>
        <w:rPr>
          <w:rFonts w:cs="Arial"/>
        </w:rPr>
        <w:t xml:space="preserve">Since parent participation on the CNA SDP Committee was limited, the CDE worked with the SPAC as an extension of the CNA SDP Committee to ensure meaningful </w:t>
      </w:r>
      <w:r>
        <w:rPr>
          <w:rFonts w:cs="Arial"/>
        </w:rPr>
        <w:lastRenderedPageBreak/>
        <w:t>parent participation in the development of the CNA and SDP. For the remaining two areas, the SPAC engaged in the same process as the CNA SDP Committee to identify concerns, needs, and initial strategies.</w:t>
      </w:r>
      <w:r w:rsidR="00A13526">
        <w:rPr>
          <w:rFonts w:cs="Arial"/>
        </w:rPr>
        <w:t xml:space="preserve"> Upon completion of the draft CNA, SPAC members provided a final round of feedback on all the work developed for each focus area.</w:t>
      </w:r>
    </w:p>
    <w:p w14:paraId="06067638" w14:textId="4B59FE4F" w:rsidR="00C334AC" w:rsidRPr="002F0E3F" w:rsidRDefault="00F9610C" w:rsidP="00CF280A">
      <w:pPr>
        <w:pStyle w:val="Heading3"/>
      </w:pPr>
      <w:bookmarkStart w:id="27" w:name="_Toc496195902"/>
      <w:bookmarkStart w:id="28" w:name="_Toc188361312"/>
      <w:r w:rsidRPr="002F0E3F">
        <w:t>Process</w:t>
      </w:r>
      <w:bookmarkEnd w:id="27"/>
      <w:r w:rsidR="00E83C2D">
        <w:t xml:space="preserve"> to Develop the Comprehensive Needs Assessment</w:t>
      </w:r>
      <w:bookmarkEnd w:id="28"/>
    </w:p>
    <w:p w14:paraId="1DE90588" w14:textId="5F3AAEDF" w:rsidR="00883BEF" w:rsidRPr="002F0E3F" w:rsidRDefault="00EE0C4D" w:rsidP="00CF280A">
      <w:pPr>
        <w:spacing w:after="240"/>
        <w:rPr>
          <w:rFonts w:cs="Arial"/>
        </w:rPr>
      </w:pPr>
      <w:r w:rsidRPr="002F0E3F">
        <w:rPr>
          <w:rFonts w:cs="Arial"/>
        </w:rPr>
        <w:t>The purpose of the CNA is to identify</w:t>
      </w:r>
      <w:r w:rsidR="00565E0E">
        <w:rPr>
          <w:rFonts w:cs="Arial"/>
        </w:rPr>
        <w:t xml:space="preserve"> the</w:t>
      </w:r>
      <w:r w:rsidRPr="002F0E3F">
        <w:rPr>
          <w:rFonts w:cs="Arial"/>
        </w:rPr>
        <w:t xml:space="preserve"> unique educational needs of migratory children</w:t>
      </w:r>
      <w:r w:rsidR="00096A2A">
        <w:rPr>
          <w:rFonts w:cs="Arial"/>
        </w:rPr>
        <w:t xml:space="preserve"> in the state</w:t>
      </w:r>
      <w:r w:rsidRPr="002F0E3F">
        <w:rPr>
          <w:rFonts w:cs="Arial"/>
        </w:rPr>
        <w:t xml:space="preserve"> that must be met for those children to participate effectively in school and to meet California’s challenging state academic standards (34 </w:t>
      </w:r>
      <w:r w:rsidR="00096A2A">
        <w:rPr>
          <w:rFonts w:cs="Arial"/>
          <w:i/>
          <w:iCs/>
        </w:rPr>
        <w:t>CFR</w:t>
      </w:r>
      <w:r w:rsidRPr="002F0E3F">
        <w:rPr>
          <w:rFonts w:cs="Arial"/>
        </w:rPr>
        <w:t xml:space="preserve"> 200, Section 200.83). </w:t>
      </w:r>
      <w:r w:rsidR="00883BEF" w:rsidRPr="002F0E3F">
        <w:rPr>
          <w:rFonts w:cs="Arial"/>
        </w:rPr>
        <w:t>The development of the statewide CNA was a multiple step process consisting of careful planning, data collection and analysis</w:t>
      </w:r>
      <w:r w:rsidR="00201DA4" w:rsidRPr="002F0E3F">
        <w:rPr>
          <w:rFonts w:cs="Arial"/>
        </w:rPr>
        <w:t>,</w:t>
      </w:r>
      <w:r w:rsidR="00883BEF" w:rsidRPr="002F0E3F">
        <w:rPr>
          <w:rFonts w:cs="Arial"/>
        </w:rPr>
        <w:t xml:space="preserve"> and collaboration </w:t>
      </w:r>
      <w:r w:rsidR="00A13526">
        <w:rPr>
          <w:rFonts w:cs="Arial"/>
        </w:rPr>
        <w:t>with all interested parties</w:t>
      </w:r>
      <w:r w:rsidR="00883BEF" w:rsidRPr="002F0E3F">
        <w:rPr>
          <w:rFonts w:cs="Arial"/>
        </w:rPr>
        <w:t>. The CDE Management and Data Team</w:t>
      </w:r>
      <w:r w:rsidR="00883BEF" w:rsidRPr="002F0E3F">
        <w:rPr>
          <w:rStyle w:val="FootnoteReference"/>
          <w:rFonts w:cs="Arial"/>
        </w:rPr>
        <w:footnoteReference w:id="4"/>
      </w:r>
      <w:r w:rsidR="00883BEF" w:rsidRPr="002F0E3F">
        <w:rPr>
          <w:rFonts w:cs="Arial"/>
        </w:rPr>
        <w:t xml:space="preserve"> followed the broad steps identified below:</w:t>
      </w:r>
    </w:p>
    <w:p w14:paraId="0F85F82B" w14:textId="77777777" w:rsidR="00883BEF" w:rsidRPr="002F0E3F" w:rsidRDefault="00883BEF" w:rsidP="00CF280A">
      <w:pPr>
        <w:pStyle w:val="Heading4"/>
      </w:pPr>
      <w:r w:rsidRPr="002F0E3F">
        <w:t>Step 1: Planning</w:t>
      </w:r>
    </w:p>
    <w:p w14:paraId="218E4138" w14:textId="42328D82" w:rsidR="00883BEF" w:rsidRPr="002F0E3F" w:rsidRDefault="00883BEF" w:rsidP="00CF280A">
      <w:pPr>
        <w:spacing w:after="240"/>
        <w:rPr>
          <w:rFonts w:cs="Arial"/>
        </w:rPr>
      </w:pPr>
      <w:r w:rsidRPr="002F0E3F">
        <w:rPr>
          <w:rFonts w:cs="Arial"/>
        </w:rPr>
        <w:t>With guidance from OME, the CDE</w:t>
      </w:r>
      <w:r w:rsidR="007B6A18">
        <w:rPr>
          <w:rFonts w:cs="Arial"/>
        </w:rPr>
        <w:t xml:space="preserve"> created</w:t>
      </w:r>
      <w:r w:rsidRPr="002F0E3F">
        <w:rPr>
          <w:rFonts w:cs="Arial"/>
        </w:rPr>
        <w:t xml:space="preserve"> the process for developing the CNA and SDP. The following key elements were completed during the planning phase of the CNA</w:t>
      </w:r>
      <w:r w:rsidR="00611A28">
        <w:rPr>
          <w:rFonts w:cs="Arial"/>
        </w:rPr>
        <w:t xml:space="preserve"> </w:t>
      </w:r>
      <w:r w:rsidRPr="002F0E3F">
        <w:rPr>
          <w:rFonts w:cs="Arial"/>
        </w:rPr>
        <w:t>SDP pro</w:t>
      </w:r>
      <w:r w:rsidR="008D5B93">
        <w:rPr>
          <w:rFonts w:cs="Arial"/>
        </w:rPr>
        <w:t>ject:</w:t>
      </w:r>
    </w:p>
    <w:p w14:paraId="6968D2A4" w14:textId="45F44453" w:rsidR="00883BEF" w:rsidRPr="002F0E3F" w:rsidRDefault="00883BEF">
      <w:pPr>
        <w:pStyle w:val="ListParagraph"/>
        <w:numPr>
          <w:ilvl w:val="0"/>
          <w:numId w:val="2"/>
        </w:numPr>
        <w:contextualSpacing w:val="0"/>
        <w:rPr>
          <w:rFonts w:cs="Arial"/>
        </w:rPr>
      </w:pPr>
      <w:r w:rsidRPr="002F0E3F">
        <w:rPr>
          <w:rFonts w:cs="Arial"/>
        </w:rPr>
        <w:t>Reviewed all CNA and SDP guidance and resources from OME</w:t>
      </w:r>
    </w:p>
    <w:p w14:paraId="7565BA7C" w14:textId="75CF3FAF" w:rsidR="00883BEF" w:rsidRDefault="00883BEF">
      <w:pPr>
        <w:pStyle w:val="ListParagraph"/>
        <w:numPr>
          <w:ilvl w:val="0"/>
          <w:numId w:val="2"/>
        </w:numPr>
        <w:contextualSpacing w:val="0"/>
        <w:rPr>
          <w:rFonts w:cs="Arial"/>
        </w:rPr>
      </w:pPr>
      <w:r w:rsidRPr="002F0E3F">
        <w:rPr>
          <w:rFonts w:cs="Arial"/>
        </w:rPr>
        <w:t>De</w:t>
      </w:r>
      <w:r w:rsidR="007B6A18">
        <w:rPr>
          <w:rFonts w:cs="Arial"/>
        </w:rPr>
        <w:t>veloped</w:t>
      </w:r>
      <w:r w:rsidRPr="002F0E3F">
        <w:rPr>
          <w:rFonts w:cs="Arial"/>
        </w:rPr>
        <w:t xml:space="preserve"> CNA and SDP process</w:t>
      </w:r>
      <w:r w:rsidR="007B6A18">
        <w:rPr>
          <w:rFonts w:cs="Arial"/>
        </w:rPr>
        <w:t xml:space="preserve"> and</w:t>
      </w:r>
      <w:r w:rsidRPr="002F0E3F">
        <w:rPr>
          <w:rFonts w:cs="Arial"/>
        </w:rPr>
        <w:t xml:space="preserve"> timelines</w:t>
      </w:r>
    </w:p>
    <w:p w14:paraId="4747ED54" w14:textId="71A0207A" w:rsidR="00415437" w:rsidRPr="002F0E3F" w:rsidRDefault="00415437">
      <w:pPr>
        <w:pStyle w:val="ListParagraph"/>
        <w:numPr>
          <w:ilvl w:val="0"/>
          <w:numId w:val="2"/>
        </w:numPr>
        <w:contextualSpacing w:val="0"/>
        <w:rPr>
          <w:rFonts w:cs="Arial"/>
        </w:rPr>
      </w:pPr>
      <w:r>
        <w:rPr>
          <w:rFonts w:cs="Arial"/>
        </w:rPr>
        <w:t>Identif</w:t>
      </w:r>
      <w:r w:rsidR="00821203">
        <w:rPr>
          <w:rFonts w:cs="Arial"/>
        </w:rPr>
        <w:t>ied</w:t>
      </w:r>
      <w:r>
        <w:rPr>
          <w:rFonts w:cs="Arial"/>
        </w:rPr>
        <w:t xml:space="preserve"> data needs for the </w:t>
      </w:r>
      <w:r w:rsidR="00A10A10">
        <w:rPr>
          <w:rFonts w:cs="Arial"/>
        </w:rPr>
        <w:t xml:space="preserve">development of the </w:t>
      </w:r>
      <w:r>
        <w:rPr>
          <w:rFonts w:cs="Arial"/>
        </w:rPr>
        <w:t>Migratory Student Profile</w:t>
      </w:r>
    </w:p>
    <w:p w14:paraId="03769633" w14:textId="27EF36FA" w:rsidR="00821203" w:rsidRDefault="009F2F81">
      <w:pPr>
        <w:pStyle w:val="ListParagraph"/>
        <w:numPr>
          <w:ilvl w:val="0"/>
          <w:numId w:val="2"/>
        </w:numPr>
        <w:contextualSpacing w:val="0"/>
        <w:rPr>
          <w:rFonts w:cs="Arial"/>
        </w:rPr>
      </w:pPr>
      <w:r>
        <w:rPr>
          <w:rFonts w:cs="Arial"/>
        </w:rPr>
        <w:t>Solicit</w:t>
      </w:r>
      <w:r w:rsidR="008D5B93">
        <w:rPr>
          <w:rFonts w:cs="Arial"/>
        </w:rPr>
        <w:t>ed</w:t>
      </w:r>
      <w:r>
        <w:rPr>
          <w:rFonts w:cs="Arial"/>
        </w:rPr>
        <w:t xml:space="preserve"> volunteers and e</w:t>
      </w:r>
      <w:r w:rsidR="00883BEF" w:rsidRPr="002F0E3F">
        <w:rPr>
          <w:rFonts w:cs="Arial"/>
        </w:rPr>
        <w:t xml:space="preserve">stablished the </w:t>
      </w:r>
      <w:r w:rsidR="00415437">
        <w:rPr>
          <w:rFonts w:cs="Arial"/>
        </w:rPr>
        <w:t xml:space="preserve">CNA </w:t>
      </w:r>
      <w:r w:rsidR="00883BEF" w:rsidRPr="002F0E3F">
        <w:rPr>
          <w:rFonts w:cs="Arial"/>
        </w:rPr>
        <w:t>SDP Committee</w:t>
      </w:r>
    </w:p>
    <w:p w14:paraId="08A83A92" w14:textId="586E7B7B" w:rsidR="00821203" w:rsidRPr="00821203" w:rsidRDefault="00821203">
      <w:pPr>
        <w:pStyle w:val="ListParagraph"/>
        <w:numPr>
          <w:ilvl w:val="0"/>
          <w:numId w:val="2"/>
        </w:numPr>
        <w:spacing w:after="240"/>
        <w:contextualSpacing w:val="0"/>
        <w:rPr>
          <w:rFonts w:cs="Arial"/>
        </w:rPr>
      </w:pPr>
      <w:proofErr w:type="gramStart"/>
      <w:r>
        <w:rPr>
          <w:rFonts w:cs="Arial"/>
        </w:rPr>
        <w:t>Planned</w:t>
      </w:r>
      <w:proofErr w:type="gramEnd"/>
      <w:r>
        <w:rPr>
          <w:rFonts w:cs="Arial"/>
        </w:rPr>
        <w:t xml:space="preserve"> the meeting logistics for all </w:t>
      </w:r>
      <w:r w:rsidR="009F2F81">
        <w:rPr>
          <w:rFonts w:cs="Arial"/>
        </w:rPr>
        <w:t>eight</w:t>
      </w:r>
      <w:r>
        <w:rPr>
          <w:rFonts w:cs="Arial"/>
        </w:rPr>
        <w:t xml:space="preserve"> meetings</w:t>
      </w:r>
    </w:p>
    <w:p w14:paraId="3437847B" w14:textId="77777777" w:rsidR="00883BEF" w:rsidRPr="002F0E3F" w:rsidRDefault="00883BEF" w:rsidP="00CF280A">
      <w:pPr>
        <w:pStyle w:val="Heading4"/>
      </w:pPr>
      <w:r w:rsidRPr="002F0E3F">
        <w:t>Step 2: Data Collection</w:t>
      </w:r>
    </w:p>
    <w:p w14:paraId="50E220E0" w14:textId="36554345" w:rsidR="00883BEF" w:rsidRPr="002F0E3F" w:rsidRDefault="007B6A18" w:rsidP="00CF280A">
      <w:pPr>
        <w:spacing w:after="240"/>
        <w:rPr>
          <w:rFonts w:cs="Arial"/>
        </w:rPr>
      </w:pPr>
      <w:r>
        <w:rPr>
          <w:rFonts w:cs="Arial"/>
        </w:rPr>
        <w:t xml:space="preserve">During the planning phase, </w:t>
      </w:r>
      <w:r w:rsidR="009F2F81">
        <w:rPr>
          <w:rFonts w:cs="Arial"/>
        </w:rPr>
        <w:t xml:space="preserve">the CDE Management and Data Team </w:t>
      </w:r>
      <w:r w:rsidR="005A7CDD">
        <w:rPr>
          <w:rFonts w:cs="Arial"/>
        </w:rPr>
        <w:t>explored all available data to assist in</w:t>
      </w:r>
      <w:r>
        <w:rPr>
          <w:rFonts w:cs="Arial"/>
        </w:rPr>
        <w:t xml:space="preserve"> the CNA </w:t>
      </w:r>
      <w:r w:rsidR="005A7CDD">
        <w:rPr>
          <w:rFonts w:cs="Arial"/>
        </w:rPr>
        <w:t xml:space="preserve">development </w:t>
      </w:r>
      <w:r>
        <w:rPr>
          <w:rFonts w:cs="Arial"/>
        </w:rPr>
        <w:t>process. So</w:t>
      </w:r>
      <w:r w:rsidR="00B174D9">
        <w:rPr>
          <w:rFonts w:cs="Arial"/>
        </w:rPr>
        <w:t xml:space="preserve"> much depends on reliable data: being able to correctly identify concerns, infer and prioritize needs, and select evidence-based practices to address those identified needs. </w:t>
      </w:r>
      <w:r w:rsidR="00883BEF" w:rsidRPr="002F0E3F">
        <w:rPr>
          <w:rFonts w:cs="Arial"/>
        </w:rPr>
        <w:t>Data for the CNA was gathered from multiple sources</w:t>
      </w:r>
      <w:r w:rsidR="00B174D9">
        <w:rPr>
          <w:rFonts w:cs="Arial"/>
        </w:rPr>
        <w:t xml:space="preserve"> and include</w:t>
      </w:r>
      <w:r w:rsidR="00835A0B">
        <w:rPr>
          <w:rFonts w:cs="Arial"/>
        </w:rPr>
        <w:t>d</w:t>
      </w:r>
      <w:r w:rsidR="00B174D9">
        <w:rPr>
          <w:rFonts w:cs="Arial"/>
        </w:rPr>
        <w:t xml:space="preserve"> both quantitative (e.g., student achievement, programmatic data) and qualitative data (e.g., focus group and interviews)</w:t>
      </w:r>
      <w:r w:rsidR="00883BEF" w:rsidRPr="002F0E3F">
        <w:rPr>
          <w:rFonts w:cs="Arial"/>
        </w:rPr>
        <w:t xml:space="preserve">. </w:t>
      </w:r>
      <w:r w:rsidR="00C55C5F">
        <w:rPr>
          <w:rFonts w:cs="Arial"/>
        </w:rPr>
        <w:t xml:space="preserve">The CDE </w:t>
      </w:r>
      <w:r w:rsidR="004B4BA6">
        <w:rPr>
          <w:rFonts w:cs="Arial"/>
        </w:rPr>
        <w:t>contracted with WestEd to</w:t>
      </w:r>
      <w:r w:rsidR="00C55C5F">
        <w:rPr>
          <w:rFonts w:cs="Arial"/>
        </w:rPr>
        <w:t xml:space="preserve"> creat</w:t>
      </w:r>
      <w:r w:rsidR="004B4BA6">
        <w:rPr>
          <w:rFonts w:cs="Arial"/>
        </w:rPr>
        <w:t>e</w:t>
      </w:r>
      <w:r w:rsidR="00C55C5F">
        <w:rPr>
          <w:rFonts w:cs="Arial"/>
        </w:rPr>
        <w:t xml:space="preserve"> best practice guides for each focus area</w:t>
      </w:r>
      <w:r w:rsidR="004B4BA6">
        <w:rPr>
          <w:rFonts w:cs="Arial"/>
        </w:rPr>
        <w:t xml:space="preserve"> identified by the Migratory Student Profile</w:t>
      </w:r>
      <w:r w:rsidR="00C55C5F">
        <w:rPr>
          <w:rFonts w:cs="Arial"/>
        </w:rPr>
        <w:t xml:space="preserve"> which included a range of evidence-based practices from research</w:t>
      </w:r>
      <w:r w:rsidR="004B4BA6">
        <w:rPr>
          <w:rFonts w:cs="Arial"/>
        </w:rPr>
        <w:t xml:space="preserve"> as well as</w:t>
      </w:r>
      <w:r w:rsidR="00C55C5F">
        <w:rPr>
          <w:rFonts w:cs="Arial"/>
        </w:rPr>
        <w:t xml:space="preserve"> content-based</w:t>
      </w:r>
      <w:r w:rsidR="004B4BA6">
        <w:rPr>
          <w:rFonts w:cs="Arial"/>
        </w:rPr>
        <w:t xml:space="preserve"> (e.g., </w:t>
      </w:r>
      <w:r w:rsidR="004B4BA6" w:rsidRPr="004B4BA6">
        <w:rPr>
          <w:rFonts w:cs="Arial"/>
        </w:rPr>
        <w:t>Collaborative for Academic, Social, and Emotional Learning</w:t>
      </w:r>
      <w:r w:rsidR="004B4BA6">
        <w:rPr>
          <w:rFonts w:cs="Arial"/>
        </w:rPr>
        <w:t xml:space="preserve"> Framework)</w:t>
      </w:r>
      <w:r w:rsidR="00C55C5F">
        <w:rPr>
          <w:rFonts w:cs="Arial"/>
        </w:rPr>
        <w:t xml:space="preserve"> and state level frameworks</w:t>
      </w:r>
      <w:r w:rsidR="004B4BA6">
        <w:rPr>
          <w:rFonts w:cs="Arial"/>
        </w:rPr>
        <w:t xml:space="preserve"> (e.g., Math Framework)</w:t>
      </w:r>
      <w:r w:rsidR="00C55C5F">
        <w:rPr>
          <w:rFonts w:cs="Arial"/>
        </w:rPr>
        <w:t xml:space="preserve">. </w:t>
      </w:r>
      <w:r w:rsidR="00883BEF" w:rsidRPr="002F0E3F">
        <w:rPr>
          <w:rFonts w:cs="Arial"/>
        </w:rPr>
        <w:t>Step 2 in the process included the following actions:</w:t>
      </w:r>
      <w:r w:rsidR="00B25F1E">
        <w:rPr>
          <w:rFonts w:cs="Arial"/>
        </w:rPr>
        <w:t xml:space="preserve"> </w:t>
      </w:r>
    </w:p>
    <w:p w14:paraId="4D2DD63B" w14:textId="05D7E0C9" w:rsidR="00573DEA" w:rsidRPr="00573DEA" w:rsidRDefault="00B25F1E">
      <w:pPr>
        <w:pStyle w:val="ListParagraph"/>
        <w:numPr>
          <w:ilvl w:val="0"/>
          <w:numId w:val="2"/>
        </w:numPr>
        <w:spacing w:after="240"/>
        <w:contextualSpacing w:val="0"/>
        <w:rPr>
          <w:rFonts w:cs="Arial"/>
        </w:rPr>
      </w:pPr>
      <w:r>
        <w:rPr>
          <w:rFonts w:cs="Arial"/>
        </w:rPr>
        <w:lastRenderedPageBreak/>
        <w:t>Administer</w:t>
      </w:r>
      <w:r w:rsidR="00573DEA">
        <w:rPr>
          <w:rFonts w:cs="Arial"/>
        </w:rPr>
        <w:t>ing</w:t>
      </w:r>
      <w:r>
        <w:rPr>
          <w:rFonts w:cs="Arial"/>
        </w:rPr>
        <w:t xml:space="preserve"> a statewide survey for MEP staff, OSY, and MEP parents</w:t>
      </w:r>
      <w:r w:rsidR="00573DEA">
        <w:rPr>
          <w:rFonts w:cs="Arial"/>
        </w:rPr>
        <w:t xml:space="preserve"> </w:t>
      </w:r>
      <w:r w:rsidR="005A7CDD">
        <w:rPr>
          <w:rFonts w:cs="Arial"/>
        </w:rPr>
        <w:t>to identify focus areas (i.e., areas of need) by different grade spans</w:t>
      </w:r>
    </w:p>
    <w:p w14:paraId="4D8296F7" w14:textId="5A1D3934" w:rsidR="00B25F1E" w:rsidRDefault="00B25F1E">
      <w:pPr>
        <w:pStyle w:val="ListParagraph"/>
        <w:numPr>
          <w:ilvl w:val="0"/>
          <w:numId w:val="2"/>
        </w:numPr>
        <w:spacing w:after="240"/>
        <w:contextualSpacing w:val="0"/>
        <w:rPr>
          <w:rFonts w:cs="Arial"/>
        </w:rPr>
      </w:pPr>
      <w:r>
        <w:rPr>
          <w:rFonts w:cs="Arial"/>
        </w:rPr>
        <w:t>Conduct</w:t>
      </w:r>
      <w:r w:rsidR="00573DEA">
        <w:rPr>
          <w:rFonts w:cs="Arial"/>
        </w:rPr>
        <w:t>ing</w:t>
      </w:r>
      <w:r>
        <w:rPr>
          <w:rFonts w:cs="Arial"/>
        </w:rPr>
        <w:t xml:space="preserve"> focus groups</w:t>
      </w:r>
      <w:r w:rsidR="00573DEA">
        <w:rPr>
          <w:rFonts w:cs="Arial"/>
        </w:rPr>
        <w:t xml:space="preserve"> and interviews of MEP staff, OSY</w:t>
      </w:r>
      <w:r w:rsidR="00835A0B">
        <w:rPr>
          <w:rFonts w:cs="Arial"/>
        </w:rPr>
        <w:t>s</w:t>
      </w:r>
      <w:r w:rsidR="00573DEA">
        <w:rPr>
          <w:rFonts w:cs="Arial"/>
        </w:rPr>
        <w:t>, and MEP parents to collect qualitative data regarding the strengths and needs of migratory children and youths</w:t>
      </w:r>
    </w:p>
    <w:p w14:paraId="78565DF7" w14:textId="63B222BC" w:rsidR="00573DEA" w:rsidRPr="002F0E3F" w:rsidRDefault="00573DEA">
      <w:pPr>
        <w:pStyle w:val="ListParagraph"/>
        <w:numPr>
          <w:ilvl w:val="0"/>
          <w:numId w:val="2"/>
        </w:numPr>
        <w:spacing w:after="240"/>
        <w:contextualSpacing w:val="0"/>
        <w:rPr>
          <w:rFonts w:cs="Arial"/>
        </w:rPr>
      </w:pPr>
      <w:r>
        <w:rPr>
          <w:rFonts w:cs="Arial"/>
        </w:rPr>
        <w:t>Analyzing all available data to</w:t>
      </w:r>
      <w:r w:rsidR="005A7CDD">
        <w:rPr>
          <w:rFonts w:cs="Arial"/>
        </w:rPr>
        <w:t xml:space="preserve"> be included for the</w:t>
      </w:r>
      <w:r>
        <w:rPr>
          <w:rFonts w:cs="Arial"/>
        </w:rPr>
        <w:t xml:space="preserve"> focus areas </w:t>
      </w:r>
      <w:r w:rsidR="00565E0E">
        <w:rPr>
          <w:rFonts w:cs="Arial"/>
        </w:rPr>
        <w:t xml:space="preserve">of </w:t>
      </w:r>
      <w:r>
        <w:rPr>
          <w:rFonts w:cs="Arial"/>
        </w:rPr>
        <w:t>CNA SDP Committee work</w:t>
      </w:r>
    </w:p>
    <w:p w14:paraId="13537F66" w14:textId="28F4F664" w:rsidR="00883BEF" w:rsidRDefault="00883BEF">
      <w:pPr>
        <w:pStyle w:val="ListParagraph"/>
        <w:numPr>
          <w:ilvl w:val="0"/>
          <w:numId w:val="2"/>
        </w:numPr>
        <w:spacing w:after="240"/>
        <w:contextualSpacing w:val="0"/>
        <w:rPr>
          <w:rFonts w:cs="Arial"/>
        </w:rPr>
      </w:pPr>
      <w:r w:rsidRPr="002F0E3F">
        <w:rPr>
          <w:rFonts w:cs="Arial"/>
        </w:rPr>
        <w:t>Review</w:t>
      </w:r>
      <w:r w:rsidR="00573DEA">
        <w:rPr>
          <w:rFonts w:cs="Arial"/>
        </w:rPr>
        <w:t>ing</w:t>
      </w:r>
      <w:r w:rsidRPr="002F0E3F">
        <w:rPr>
          <w:rFonts w:cs="Arial"/>
        </w:rPr>
        <w:t xml:space="preserve"> literature on </w:t>
      </w:r>
      <w:r w:rsidR="00573DEA">
        <w:rPr>
          <w:rFonts w:cs="Arial"/>
        </w:rPr>
        <w:t xml:space="preserve">evidence-based </w:t>
      </w:r>
      <w:r w:rsidRPr="002F0E3F">
        <w:rPr>
          <w:rFonts w:cs="Arial"/>
        </w:rPr>
        <w:t xml:space="preserve">practices </w:t>
      </w:r>
      <w:r w:rsidR="00732808">
        <w:rPr>
          <w:rFonts w:cs="Arial"/>
        </w:rPr>
        <w:t>and</w:t>
      </w:r>
      <w:r w:rsidR="00573DEA">
        <w:rPr>
          <w:rFonts w:cs="Arial"/>
        </w:rPr>
        <w:t xml:space="preserve"> develop</w:t>
      </w:r>
      <w:r w:rsidR="00732808">
        <w:rPr>
          <w:rFonts w:cs="Arial"/>
        </w:rPr>
        <w:t>ing</w:t>
      </w:r>
      <w:r w:rsidR="00573DEA">
        <w:rPr>
          <w:rFonts w:cs="Arial"/>
        </w:rPr>
        <w:t xml:space="preserve"> </w:t>
      </w:r>
      <w:proofErr w:type="gramStart"/>
      <w:r w:rsidR="00573DEA">
        <w:rPr>
          <w:rFonts w:cs="Arial"/>
        </w:rPr>
        <w:t>best</w:t>
      </w:r>
      <w:proofErr w:type="gramEnd"/>
      <w:r w:rsidR="00573DEA">
        <w:rPr>
          <w:rFonts w:cs="Arial"/>
        </w:rPr>
        <w:t xml:space="preserve"> practice guides for each focus area</w:t>
      </w:r>
      <w:r w:rsidR="00732808">
        <w:rPr>
          <w:rFonts w:cs="Arial"/>
        </w:rPr>
        <w:t xml:space="preserve"> to support committee members in selecting initial strategies to </w:t>
      </w:r>
      <w:r w:rsidRPr="002F0E3F">
        <w:rPr>
          <w:rFonts w:cs="Arial"/>
        </w:rPr>
        <w:t xml:space="preserve">address </w:t>
      </w:r>
      <w:r w:rsidR="00732808">
        <w:rPr>
          <w:rFonts w:cs="Arial"/>
        </w:rPr>
        <w:t>the identified needs</w:t>
      </w:r>
    </w:p>
    <w:p w14:paraId="5A096175" w14:textId="6AD0CCAD" w:rsidR="005A7CDD" w:rsidRPr="002F0E3F" w:rsidRDefault="005A7CDD">
      <w:pPr>
        <w:pStyle w:val="ListParagraph"/>
        <w:numPr>
          <w:ilvl w:val="0"/>
          <w:numId w:val="2"/>
        </w:numPr>
        <w:spacing w:after="240"/>
        <w:contextualSpacing w:val="0"/>
        <w:rPr>
          <w:rFonts w:cs="Arial"/>
        </w:rPr>
      </w:pPr>
      <w:r>
        <w:rPr>
          <w:rFonts w:cs="Arial"/>
        </w:rPr>
        <w:t xml:space="preserve">Compiling all data for </w:t>
      </w:r>
      <w:r w:rsidR="00E72B74">
        <w:rPr>
          <w:rFonts w:cs="Arial"/>
        </w:rPr>
        <w:t xml:space="preserve">review and analysis </w:t>
      </w:r>
      <w:r>
        <w:rPr>
          <w:rFonts w:cs="Arial"/>
        </w:rPr>
        <w:t>by the CNA SDP Committee.</w:t>
      </w:r>
    </w:p>
    <w:p w14:paraId="2827FC20" w14:textId="6775C4D4" w:rsidR="007B6A18" w:rsidRDefault="00883BEF" w:rsidP="00CF280A">
      <w:pPr>
        <w:pStyle w:val="Heading4"/>
      </w:pPr>
      <w:r w:rsidRPr="002F0E3F">
        <w:t xml:space="preserve">Step 3: </w:t>
      </w:r>
      <w:r w:rsidR="007B6A18">
        <w:t>Developing Committee Materials and Training Facilitators</w:t>
      </w:r>
    </w:p>
    <w:p w14:paraId="1A3A7B02" w14:textId="6EB7BD52" w:rsidR="007B6A18" w:rsidRDefault="007B6A18" w:rsidP="00CF280A">
      <w:pPr>
        <w:spacing w:after="240"/>
      </w:pPr>
      <w:r>
        <w:t>Once the CDE identif</w:t>
      </w:r>
      <w:r w:rsidR="005A7CDD">
        <w:t>ied</w:t>
      </w:r>
      <w:r>
        <w:t xml:space="preserve"> </w:t>
      </w:r>
      <w:r w:rsidR="005A7CDD">
        <w:t>the California’s Migratory Student Profile</w:t>
      </w:r>
      <w:r w:rsidR="003F5FE3">
        <w:t xml:space="preserve"> focus areas from evaluating the </w:t>
      </w:r>
      <w:r w:rsidR="00A10A10">
        <w:t>survey responses</w:t>
      </w:r>
      <w:r w:rsidR="003F5FE3">
        <w:t xml:space="preserve"> completed by MEP staff, parents and OSY</w:t>
      </w:r>
      <w:r w:rsidR="005A7CDD">
        <w:t xml:space="preserve">, </w:t>
      </w:r>
      <w:r w:rsidR="003F5FE3">
        <w:t>the CDE began working with WestEd to collect data for each focus area</w:t>
      </w:r>
      <w:r>
        <w:t xml:space="preserve">. </w:t>
      </w:r>
      <w:r w:rsidR="003F5FE3">
        <w:t>While already included based on survey responses, t</w:t>
      </w:r>
      <w:r>
        <w:t xml:space="preserve">he CDE </w:t>
      </w:r>
      <w:r w:rsidR="003F5FE3">
        <w:t>ensured</w:t>
      </w:r>
      <w:r>
        <w:t xml:space="preserve"> OME’s goal areas for ELA, math,</w:t>
      </w:r>
      <w:r w:rsidR="00A10A10">
        <w:t xml:space="preserve"> and</w:t>
      </w:r>
      <w:r>
        <w:t xml:space="preserve"> high school </w:t>
      </w:r>
      <w:r w:rsidR="00D16652">
        <w:t>outcomes</w:t>
      </w:r>
      <w:r w:rsidR="00A10A10">
        <w:t xml:space="preserve"> </w:t>
      </w:r>
      <w:r w:rsidR="003F5FE3">
        <w:t>were also included</w:t>
      </w:r>
      <w:r w:rsidR="00A10A10">
        <w:t>. With the focus areas identified, CDE staff conducted the following activities:</w:t>
      </w:r>
    </w:p>
    <w:p w14:paraId="057E8E7B" w14:textId="657A253C" w:rsidR="00A10A10" w:rsidRDefault="00A10A10" w:rsidP="009670FC">
      <w:pPr>
        <w:pStyle w:val="ListParagraph"/>
        <w:numPr>
          <w:ilvl w:val="0"/>
          <w:numId w:val="42"/>
        </w:numPr>
        <w:spacing w:after="240"/>
        <w:contextualSpacing w:val="0"/>
      </w:pPr>
      <w:r>
        <w:t xml:space="preserve">Developed </w:t>
      </w:r>
      <w:r w:rsidR="00821203">
        <w:t>CNA SDP Committee materials (e.g., PowerPoints, notetakers, best practice guides, the Migratory Student Profile</w:t>
      </w:r>
      <w:r w:rsidR="00821203" w:rsidRPr="002F0E3F">
        <w:rPr>
          <w:rStyle w:val="FootnoteReference"/>
          <w:rFonts w:cs="Arial"/>
        </w:rPr>
        <w:footnoteReference w:id="5"/>
      </w:r>
      <w:r w:rsidR="00821203">
        <w:t>)</w:t>
      </w:r>
      <w:r w:rsidR="003F5FE3">
        <w:t xml:space="preserve"> which were provided in both English and Spanish to participants.</w:t>
      </w:r>
    </w:p>
    <w:p w14:paraId="7D74C3F1" w14:textId="79A017AC" w:rsidR="00821203" w:rsidRDefault="009060A9" w:rsidP="009670FC">
      <w:pPr>
        <w:pStyle w:val="ListParagraph"/>
        <w:numPr>
          <w:ilvl w:val="0"/>
          <w:numId w:val="42"/>
        </w:numPr>
        <w:spacing w:after="240"/>
        <w:contextualSpacing w:val="0"/>
      </w:pPr>
      <w:r>
        <w:t>Created</w:t>
      </w:r>
      <w:r w:rsidR="00821203">
        <w:t xml:space="preserve"> a </w:t>
      </w:r>
      <w:r w:rsidR="003F5FE3">
        <w:t>f</w:t>
      </w:r>
      <w:r w:rsidR="00821203">
        <w:t>acilitator</w:t>
      </w:r>
      <w:r w:rsidR="003F5FE3">
        <w:t>s’</w:t>
      </w:r>
      <w:r w:rsidR="00821203">
        <w:t xml:space="preserve"> </w:t>
      </w:r>
      <w:r w:rsidR="003F5FE3">
        <w:t>g</w:t>
      </w:r>
      <w:r w:rsidR="00821203">
        <w:t>uide including: 1) an overview of the process and responsibilities, recommendations for challenging situations when facilitating,</w:t>
      </w:r>
      <w:r>
        <w:t xml:space="preserve"> </w:t>
      </w:r>
      <w:r w:rsidR="007427A0">
        <w:t xml:space="preserve">list of </w:t>
      </w:r>
      <w:r w:rsidR="00821203">
        <w:t xml:space="preserve">CNA SDP vocabulary, </w:t>
      </w:r>
      <w:r>
        <w:t xml:space="preserve">2) a meeting map illustrating the schedules for the </w:t>
      </w:r>
      <w:r w:rsidR="003F5FE3">
        <w:t>eight</w:t>
      </w:r>
      <w:r>
        <w:t xml:space="preserve"> CNA SDP Committee meetings, </w:t>
      </w:r>
      <w:r w:rsidR="003F5FE3">
        <w:t xml:space="preserve">3) individual facilitator’s meeting agenda identifying key activities and materials, </w:t>
      </w:r>
      <w:r>
        <w:t xml:space="preserve">and </w:t>
      </w:r>
      <w:r w:rsidR="003F5FE3">
        <w:t>4</w:t>
      </w:r>
      <w:r>
        <w:t>) list of participants and their areas of focus.</w:t>
      </w:r>
    </w:p>
    <w:p w14:paraId="4343B55D" w14:textId="1A5C33BA" w:rsidR="009060A9" w:rsidRPr="007B6A18" w:rsidRDefault="009060A9" w:rsidP="009670FC">
      <w:pPr>
        <w:pStyle w:val="ListParagraph"/>
        <w:numPr>
          <w:ilvl w:val="0"/>
          <w:numId w:val="42"/>
        </w:numPr>
        <w:spacing w:after="240"/>
        <w:contextualSpacing w:val="0"/>
      </w:pPr>
      <w:r>
        <w:t>Provid</w:t>
      </w:r>
      <w:r w:rsidR="00FE1B6B">
        <w:t xml:space="preserve">ed training to facilitators on the process for recognizing concerns, needs, and </w:t>
      </w:r>
      <w:r w:rsidR="003F5FE3">
        <w:t xml:space="preserve">choosing </w:t>
      </w:r>
      <w:r w:rsidR="00FE1B6B">
        <w:t xml:space="preserve">initial strategies to address the identified needs. The </w:t>
      </w:r>
      <w:r w:rsidR="003F5FE3">
        <w:t xml:space="preserve">CNA Project Lead steered the </w:t>
      </w:r>
      <w:r w:rsidR="00FE1B6B">
        <w:t xml:space="preserve">CDE and WestEd teams through the </w:t>
      </w:r>
      <w:r w:rsidR="003F5FE3">
        <w:t>agenda and activities</w:t>
      </w:r>
      <w:r w:rsidR="00FE1B6B">
        <w:t xml:space="preserve"> for </w:t>
      </w:r>
      <w:r w:rsidR="00FE1B6B">
        <w:lastRenderedPageBreak/>
        <w:t>each meeting and reflected on practices, including feedback from the committee, discussing ways to improve facilitation for the next meeting.</w:t>
      </w:r>
    </w:p>
    <w:p w14:paraId="054B32F1" w14:textId="137E0DC8" w:rsidR="00883BEF" w:rsidRPr="002F0E3F" w:rsidRDefault="007B6A18" w:rsidP="00CF280A">
      <w:pPr>
        <w:pStyle w:val="Heading4"/>
      </w:pPr>
      <w:r>
        <w:t xml:space="preserve">Step 4: </w:t>
      </w:r>
      <w:r w:rsidR="00883BEF" w:rsidRPr="002F0E3F">
        <w:t>Gathering Input</w:t>
      </w:r>
      <w:r w:rsidR="00732808">
        <w:t xml:space="preserve"> from Interested Parties</w:t>
      </w:r>
    </w:p>
    <w:p w14:paraId="30EDF495" w14:textId="5EDF5EC1" w:rsidR="00883BEF" w:rsidRPr="002F0E3F" w:rsidRDefault="00883BEF" w:rsidP="00CF280A">
      <w:pPr>
        <w:spacing w:after="240"/>
        <w:rPr>
          <w:rFonts w:cs="Arial"/>
        </w:rPr>
      </w:pPr>
      <w:r w:rsidRPr="002F0E3F">
        <w:rPr>
          <w:rFonts w:cs="Arial"/>
        </w:rPr>
        <w:t>The CN</w:t>
      </w:r>
      <w:r w:rsidR="00732808">
        <w:rPr>
          <w:rFonts w:cs="Arial"/>
        </w:rPr>
        <w:t xml:space="preserve">A </w:t>
      </w:r>
      <w:r w:rsidRPr="002F0E3F">
        <w:rPr>
          <w:rFonts w:cs="Arial"/>
        </w:rPr>
        <w:t xml:space="preserve">SDP Committee participated in a collaborative process to identify key elements of the CNA and SDP. </w:t>
      </w:r>
      <w:r w:rsidR="00FE1B6B">
        <w:rPr>
          <w:rFonts w:cs="Arial"/>
        </w:rPr>
        <w:t xml:space="preserve">During </w:t>
      </w:r>
      <w:r w:rsidR="007427A0">
        <w:rPr>
          <w:rFonts w:cs="Arial"/>
        </w:rPr>
        <w:t>the first meeting</w:t>
      </w:r>
      <w:r w:rsidR="00FE1B6B">
        <w:rPr>
          <w:rFonts w:cs="Arial"/>
        </w:rPr>
        <w:t xml:space="preserve">, the CNA SDP Committee participated in numerous grounding activities and guided practice in preparation for subcommittee work during </w:t>
      </w:r>
      <w:r w:rsidR="007427A0">
        <w:rPr>
          <w:rFonts w:cs="Arial"/>
        </w:rPr>
        <w:t>meetings two</w:t>
      </w:r>
      <w:r w:rsidR="00FE1B6B">
        <w:rPr>
          <w:rFonts w:cs="Arial"/>
        </w:rPr>
        <w:t xml:space="preserve"> through </w:t>
      </w:r>
      <w:r w:rsidR="007427A0">
        <w:rPr>
          <w:rFonts w:cs="Arial"/>
        </w:rPr>
        <w:t>five</w:t>
      </w:r>
      <w:r w:rsidR="00FE1B6B">
        <w:rPr>
          <w:rFonts w:cs="Arial"/>
        </w:rPr>
        <w:t xml:space="preserve">. </w:t>
      </w:r>
      <w:r w:rsidRPr="002F0E3F">
        <w:rPr>
          <w:rFonts w:cs="Arial"/>
        </w:rPr>
        <w:t xml:space="preserve">In Step </w:t>
      </w:r>
      <w:r w:rsidR="00FE1B6B">
        <w:rPr>
          <w:rFonts w:cs="Arial"/>
        </w:rPr>
        <w:t>4</w:t>
      </w:r>
      <w:r w:rsidRPr="002F0E3F">
        <w:rPr>
          <w:rFonts w:cs="Arial"/>
        </w:rPr>
        <w:t xml:space="preserve"> of the process, </w:t>
      </w:r>
      <w:r w:rsidR="00732808">
        <w:rPr>
          <w:rFonts w:cs="Arial"/>
        </w:rPr>
        <w:t>committee members</w:t>
      </w:r>
      <w:r w:rsidRPr="002F0E3F">
        <w:rPr>
          <w:rFonts w:cs="Arial"/>
        </w:rPr>
        <w:t>:</w:t>
      </w:r>
    </w:p>
    <w:p w14:paraId="568DC972" w14:textId="4EA788DD" w:rsidR="00FE1B6B" w:rsidRDefault="00FE1B6B">
      <w:pPr>
        <w:pStyle w:val="ListParagraph"/>
        <w:numPr>
          <w:ilvl w:val="0"/>
          <w:numId w:val="3"/>
        </w:numPr>
        <w:spacing w:after="240"/>
        <w:contextualSpacing w:val="0"/>
        <w:rPr>
          <w:rFonts w:cs="Arial"/>
        </w:rPr>
      </w:pPr>
      <w:r>
        <w:rPr>
          <w:rFonts w:cs="Arial"/>
        </w:rPr>
        <w:t>Reviewed demographic information for migratory children and youths</w:t>
      </w:r>
      <w:r w:rsidR="00A103FC">
        <w:rPr>
          <w:rFonts w:cs="Arial"/>
        </w:rPr>
        <w:t>.</w:t>
      </w:r>
    </w:p>
    <w:p w14:paraId="3C5B51E2" w14:textId="256464D2" w:rsidR="0045517D" w:rsidRDefault="00732808">
      <w:pPr>
        <w:pStyle w:val="ListParagraph"/>
        <w:numPr>
          <w:ilvl w:val="0"/>
          <w:numId w:val="3"/>
        </w:numPr>
        <w:spacing w:after="240"/>
        <w:contextualSpacing w:val="0"/>
        <w:rPr>
          <w:rFonts w:cs="Arial"/>
        </w:rPr>
      </w:pPr>
      <w:r>
        <w:rPr>
          <w:rFonts w:cs="Arial"/>
        </w:rPr>
        <w:t>Familiarized themselves with the survey data as well as OME requirements and goal areas the CNA had to address</w:t>
      </w:r>
      <w:r w:rsidR="0045517D">
        <w:rPr>
          <w:rFonts w:cs="Arial"/>
        </w:rPr>
        <w:t xml:space="preserve"> which identified the focus areas for the </w:t>
      </w:r>
      <w:r w:rsidR="00A103FC">
        <w:rPr>
          <w:rFonts w:cs="Arial"/>
        </w:rPr>
        <w:t>CN</w:t>
      </w:r>
      <w:r w:rsidR="003F5FE3">
        <w:rPr>
          <w:rFonts w:cs="Arial"/>
        </w:rPr>
        <w:t>A</w:t>
      </w:r>
      <w:r w:rsidR="00A103FC">
        <w:rPr>
          <w:rFonts w:cs="Arial"/>
        </w:rPr>
        <w:t>.</w:t>
      </w:r>
    </w:p>
    <w:p w14:paraId="01507F3E" w14:textId="28AB3179" w:rsidR="0045517D" w:rsidRDefault="0045517D">
      <w:pPr>
        <w:pStyle w:val="ListParagraph"/>
        <w:numPr>
          <w:ilvl w:val="0"/>
          <w:numId w:val="3"/>
        </w:numPr>
        <w:spacing w:after="240"/>
        <w:contextualSpacing w:val="0"/>
        <w:rPr>
          <w:rFonts w:cs="Arial"/>
        </w:rPr>
      </w:pPr>
      <w:r w:rsidRPr="0045517D">
        <w:rPr>
          <w:rFonts w:cs="Arial"/>
        </w:rPr>
        <w:t>Develop</w:t>
      </w:r>
      <w:r>
        <w:rPr>
          <w:rFonts w:cs="Arial"/>
        </w:rPr>
        <w:t>ed</w:t>
      </w:r>
      <w:r w:rsidRPr="0045517D">
        <w:rPr>
          <w:rFonts w:cs="Arial"/>
        </w:rPr>
        <w:t xml:space="preserve"> and prioritize</w:t>
      </w:r>
      <w:r w:rsidR="00A103FC">
        <w:rPr>
          <w:rFonts w:cs="Arial"/>
        </w:rPr>
        <w:t>d</w:t>
      </w:r>
      <w:r w:rsidRPr="0045517D">
        <w:rPr>
          <w:rFonts w:cs="Arial"/>
        </w:rPr>
        <w:t xml:space="preserve"> concern statements</w:t>
      </w:r>
      <w:r w:rsidR="00A103FC">
        <w:rPr>
          <w:rFonts w:cs="Arial"/>
        </w:rPr>
        <w:t xml:space="preserve"> based on an analysis of available data.</w:t>
      </w:r>
    </w:p>
    <w:p w14:paraId="7B8CDF23" w14:textId="050D031E" w:rsidR="0045517D" w:rsidRDefault="00883BEF">
      <w:pPr>
        <w:pStyle w:val="ListParagraph"/>
        <w:numPr>
          <w:ilvl w:val="0"/>
          <w:numId w:val="3"/>
        </w:numPr>
        <w:spacing w:after="240"/>
        <w:contextualSpacing w:val="0"/>
        <w:rPr>
          <w:rFonts w:cs="Arial"/>
        </w:rPr>
      </w:pPr>
      <w:r w:rsidRPr="0045517D">
        <w:rPr>
          <w:rFonts w:cs="Arial"/>
        </w:rPr>
        <w:t>Identif</w:t>
      </w:r>
      <w:r w:rsidR="0045517D">
        <w:rPr>
          <w:rFonts w:cs="Arial"/>
        </w:rPr>
        <w:t>ied</w:t>
      </w:r>
      <w:r w:rsidRPr="0045517D">
        <w:rPr>
          <w:rFonts w:cs="Arial"/>
        </w:rPr>
        <w:t xml:space="preserve"> need statements </w:t>
      </w:r>
      <w:r w:rsidR="00FE1B6B">
        <w:rPr>
          <w:rFonts w:cs="Arial"/>
        </w:rPr>
        <w:t>for the prioritized concerns</w:t>
      </w:r>
      <w:r w:rsidR="00A103FC">
        <w:rPr>
          <w:rFonts w:cs="Arial"/>
        </w:rPr>
        <w:t>.</w:t>
      </w:r>
    </w:p>
    <w:p w14:paraId="68FD4D29" w14:textId="1188AD8A" w:rsidR="0045517D" w:rsidRDefault="00A103FC">
      <w:pPr>
        <w:pStyle w:val="ListParagraph"/>
        <w:numPr>
          <w:ilvl w:val="0"/>
          <w:numId w:val="3"/>
        </w:numPr>
        <w:spacing w:after="240"/>
        <w:contextualSpacing w:val="0"/>
        <w:rPr>
          <w:rFonts w:cs="Arial"/>
        </w:rPr>
      </w:pPr>
      <w:r>
        <w:rPr>
          <w:rFonts w:cs="Arial"/>
        </w:rPr>
        <w:t>Reviewed evidence-based practices and s</w:t>
      </w:r>
      <w:r w:rsidR="00883BEF" w:rsidRPr="0045517D">
        <w:rPr>
          <w:rFonts w:cs="Arial"/>
        </w:rPr>
        <w:t>elect</w:t>
      </w:r>
      <w:r w:rsidR="0045517D">
        <w:rPr>
          <w:rFonts w:cs="Arial"/>
        </w:rPr>
        <w:t>ed</w:t>
      </w:r>
      <w:r w:rsidR="00883BEF" w:rsidRPr="0045517D">
        <w:rPr>
          <w:rFonts w:cs="Arial"/>
        </w:rPr>
        <w:t xml:space="preserve"> initial strategies to address specific needs</w:t>
      </w:r>
      <w:r w:rsidR="00F63CB8">
        <w:rPr>
          <w:rFonts w:cs="Arial"/>
        </w:rPr>
        <w:t>.</w:t>
      </w:r>
      <w:r w:rsidR="00FE1B6B">
        <w:rPr>
          <w:rFonts w:cs="Arial"/>
        </w:rPr>
        <w:t xml:space="preserve"> </w:t>
      </w:r>
    </w:p>
    <w:p w14:paraId="61E4D573" w14:textId="4AB72FB8" w:rsidR="0045517D" w:rsidRDefault="0045517D">
      <w:pPr>
        <w:pStyle w:val="ListParagraph"/>
        <w:numPr>
          <w:ilvl w:val="0"/>
          <w:numId w:val="3"/>
        </w:numPr>
        <w:spacing w:after="240"/>
        <w:contextualSpacing w:val="0"/>
        <w:rPr>
          <w:rFonts w:cs="Arial"/>
        </w:rPr>
      </w:pPr>
      <w:r>
        <w:rPr>
          <w:rFonts w:cs="Arial"/>
        </w:rPr>
        <w:t xml:space="preserve">Discussed considerations for initial strategies’ aligning measurable program objectives which measure </w:t>
      </w:r>
      <w:r w:rsidR="00F63CB8">
        <w:rPr>
          <w:rFonts w:cs="Arial"/>
        </w:rPr>
        <w:t xml:space="preserve">annual </w:t>
      </w:r>
      <w:r>
        <w:rPr>
          <w:rFonts w:cs="Arial"/>
        </w:rPr>
        <w:t>strategy implementation.</w:t>
      </w:r>
    </w:p>
    <w:p w14:paraId="6EBD64C0" w14:textId="7A452D56" w:rsidR="00883BEF" w:rsidRPr="002F0E3F" w:rsidRDefault="00883BEF" w:rsidP="00CF280A">
      <w:pPr>
        <w:pStyle w:val="Heading4"/>
      </w:pPr>
      <w:r w:rsidRPr="002F0E3F">
        <w:t xml:space="preserve">Step </w:t>
      </w:r>
      <w:r w:rsidR="007427A0">
        <w:t>5</w:t>
      </w:r>
      <w:r w:rsidRPr="002F0E3F">
        <w:t xml:space="preserve">: </w:t>
      </w:r>
      <w:r w:rsidR="007427A0">
        <w:t>Developing the</w:t>
      </w:r>
      <w:r w:rsidRPr="002F0E3F">
        <w:t xml:space="preserve"> Service Delivery Plan</w:t>
      </w:r>
    </w:p>
    <w:p w14:paraId="72CF0A4A" w14:textId="3B3CF516" w:rsidR="00883BEF" w:rsidRPr="002F0E3F" w:rsidRDefault="00F63CB8" w:rsidP="00CF280A">
      <w:pPr>
        <w:spacing w:after="240"/>
        <w:rPr>
          <w:rFonts w:cs="Arial"/>
        </w:rPr>
      </w:pPr>
      <w:r>
        <w:rPr>
          <w:rFonts w:cs="Arial"/>
        </w:rPr>
        <w:t>Outlining the needs of migratory children and youth, t</w:t>
      </w:r>
      <w:r w:rsidR="007427A0">
        <w:rPr>
          <w:rFonts w:cs="Arial"/>
        </w:rPr>
        <w:t xml:space="preserve">he CNA serves as the foundation upon which the SDP is constructed. </w:t>
      </w:r>
      <w:r w:rsidR="0045517D">
        <w:rPr>
          <w:rFonts w:cs="Arial"/>
        </w:rPr>
        <w:t>After</w:t>
      </w:r>
      <w:r w:rsidR="00883BEF" w:rsidRPr="002F0E3F">
        <w:rPr>
          <w:rFonts w:cs="Arial"/>
        </w:rPr>
        <w:t xml:space="preserve"> </w:t>
      </w:r>
      <w:r w:rsidR="007427A0">
        <w:rPr>
          <w:rFonts w:cs="Arial"/>
        </w:rPr>
        <w:t xml:space="preserve">the CNA SDP Committee and SPAC deliberated on and finalized the key decision points identified in the </w:t>
      </w:r>
      <w:r>
        <w:rPr>
          <w:rFonts w:cs="Arial"/>
        </w:rPr>
        <w:t>fourth</w:t>
      </w:r>
      <w:r w:rsidR="007427A0">
        <w:rPr>
          <w:rFonts w:cs="Arial"/>
        </w:rPr>
        <w:t xml:space="preserve"> step of this process, the </w:t>
      </w:r>
      <w:r w:rsidR="0045517D">
        <w:rPr>
          <w:rFonts w:cs="Arial"/>
        </w:rPr>
        <w:t>CDE completed the following steps</w:t>
      </w:r>
      <w:r w:rsidR="00883BEF" w:rsidRPr="002F0E3F">
        <w:rPr>
          <w:rFonts w:cs="Arial"/>
        </w:rPr>
        <w:t>:</w:t>
      </w:r>
    </w:p>
    <w:p w14:paraId="0BCAB27F" w14:textId="4C434A91" w:rsidR="00883BEF" w:rsidRPr="002F0E3F" w:rsidRDefault="0045517D">
      <w:pPr>
        <w:pStyle w:val="ListParagraph"/>
        <w:numPr>
          <w:ilvl w:val="0"/>
          <w:numId w:val="4"/>
        </w:numPr>
        <w:spacing w:after="240"/>
        <w:contextualSpacing w:val="0"/>
        <w:rPr>
          <w:rFonts w:cs="Arial"/>
        </w:rPr>
      </w:pPr>
      <w:r>
        <w:rPr>
          <w:rFonts w:cs="Arial"/>
        </w:rPr>
        <w:t>Wrote</w:t>
      </w:r>
      <w:r w:rsidR="00883BEF" w:rsidRPr="002F0E3F">
        <w:rPr>
          <w:rFonts w:cs="Arial"/>
        </w:rPr>
        <w:t xml:space="preserve"> the final draft of the statewide CNA</w:t>
      </w:r>
    </w:p>
    <w:p w14:paraId="31713D27" w14:textId="224BAD47" w:rsidR="00735D2C" w:rsidRDefault="00735D2C">
      <w:pPr>
        <w:pStyle w:val="ListParagraph"/>
        <w:numPr>
          <w:ilvl w:val="0"/>
          <w:numId w:val="4"/>
        </w:numPr>
        <w:spacing w:after="240"/>
        <w:contextualSpacing w:val="0"/>
        <w:rPr>
          <w:rFonts w:cs="Arial"/>
        </w:rPr>
      </w:pPr>
      <w:r>
        <w:rPr>
          <w:rFonts w:cs="Arial"/>
        </w:rPr>
        <w:t>Finalized all selected</w:t>
      </w:r>
      <w:r w:rsidR="0045517D">
        <w:rPr>
          <w:rFonts w:cs="Arial"/>
        </w:rPr>
        <w:t xml:space="preserve"> strategies</w:t>
      </w:r>
      <w:r>
        <w:rPr>
          <w:rFonts w:cs="Arial"/>
        </w:rPr>
        <w:t xml:space="preserve"> to address the prioritized needs for each focus area</w:t>
      </w:r>
      <w:r w:rsidR="0045517D">
        <w:rPr>
          <w:rFonts w:cs="Arial"/>
        </w:rPr>
        <w:t xml:space="preserve"> </w:t>
      </w:r>
    </w:p>
    <w:p w14:paraId="5FDD96A3" w14:textId="11888204" w:rsidR="00883BEF" w:rsidRDefault="00735D2C">
      <w:pPr>
        <w:pStyle w:val="ListParagraph"/>
        <w:numPr>
          <w:ilvl w:val="0"/>
          <w:numId w:val="4"/>
        </w:numPr>
        <w:spacing w:after="240"/>
        <w:contextualSpacing w:val="0"/>
        <w:rPr>
          <w:rFonts w:cs="Arial"/>
        </w:rPr>
      </w:pPr>
      <w:r>
        <w:rPr>
          <w:rFonts w:cs="Arial"/>
        </w:rPr>
        <w:t xml:space="preserve">Drafted the </w:t>
      </w:r>
      <w:r w:rsidR="00DD01CE">
        <w:rPr>
          <w:rFonts w:cs="Arial"/>
        </w:rPr>
        <w:t>aligning measurable program objective</w:t>
      </w:r>
      <w:r>
        <w:rPr>
          <w:rFonts w:cs="Arial"/>
        </w:rPr>
        <w:t>s to measure implementation of every SDP strategy</w:t>
      </w:r>
    </w:p>
    <w:p w14:paraId="0B86E11D" w14:textId="7BE8A6DE" w:rsidR="00735D2C" w:rsidRDefault="00735D2C">
      <w:pPr>
        <w:pStyle w:val="ListParagraph"/>
        <w:numPr>
          <w:ilvl w:val="0"/>
          <w:numId w:val="4"/>
        </w:numPr>
        <w:spacing w:after="240"/>
        <w:contextualSpacing w:val="0"/>
        <w:rPr>
          <w:rFonts w:cs="Arial"/>
        </w:rPr>
      </w:pPr>
      <w:r>
        <w:rPr>
          <w:rFonts w:cs="Arial"/>
        </w:rPr>
        <w:t>Outlined the performance targets, or end-of-project goals, for each focus area</w:t>
      </w:r>
    </w:p>
    <w:p w14:paraId="52E8E13A" w14:textId="08E5013B" w:rsidR="00883BEF" w:rsidRPr="002F0E3F" w:rsidRDefault="00883BEF">
      <w:pPr>
        <w:pStyle w:val="ListParagraph"/>
        <w:numPr>
          <w:ilvl w:val="0"/>
          <w:numId w:val="4"/>
        </w:numPr>
        <w:spacing w:after="240"/>
        <w:contextualSpacing w:val="0"/>
        <w:rPr>
          <w:rFonts w:cs="Arial"/>
        </w:rPr>
      </w:pPr>
      <w:r w:rsidRPr="002F0E3F">
        <w:rPr>
          <w:rFonts w:cs="Arial"/>
        </w:rPr>
        <w:t xml:space="preserve">Presented the </w:t>
      </w:r>
      <w:r w:rsidR="00735D2C">
        <w:rPr>
          <w:rFonts w:cs="Arial"/>
        </w:rPr>
        <w:t xml:space="preserve">CNA and </w:t>
      </w:r>
      <w:r w:rsidR="00DD01CE">
        <w:rPr>
          <w:rFonts w:cs="Arial"/>
        </w:rPr>
        <w:t>SDP</w:t>
      </w:r>
      <w:r w:rsidR="00735D2C">
        <w:rPr>
          <w:rFonts w:cs="Arial"/>
        </w:rPr>
        <w:t xml:space="preserve"> drafts</w:t>
      </w:r>
      <w:r w:rsidR="00DD01CE">
        <w:rPr>
          <w:rFonts w:cs="Arial"/>
        </w:rPr>
        <w:t xml:space="preserve"> to the CNA SDP Committee</w:t>
      </w:r>
      <w:r w:rsidRPr="002F0E3F">
        <w:rPr>
          <w:rFonts w:cs="Arial"/>
        </w:rPr>
        <w:t>, including the SPAC</w:t>
      </w:r>
      <w:r w:rsidR="00DD01CE">
        <w:rPr>
          <w:rFonts w:cs="Arial"/>
        </w:rPr>
        <w:t>,</w:t>
      </w:r>
      <w:r w:rsidRPr="002F0E3F">
        <w:rPr>
          <w:rFonts w:cs="Arial"/>
        </w:rPr>
        <w:t xml:space="preserve"> for input and </w:t>
      </w:r>
      <w:r w:rsidR="00F63CB8">
        <w:rPr>
          <w:rFonts w:cs="Arial"/>
        </w:rPr>
        <w:t xml:space="preserve">a final round of </w:t>
      </w:r>
      <w:r w:rsidRPr="002F0E3F">
        <w:rPr>
          <w:rFonts w:cs="Arial"/>
        </w:rPr>
        <w:t>feedback</w:t>
      </w:r>
    </w:p>
    <w:p w14:paraId="4B154B22" w14:textId="6D025473" w:rsidR="00883BEF" w:rsidRPr="002F0E3F" w:rsidRDefault="00883BEF" w:rsidP="00CF280A">
      <w:pPr>
        <w:spacing w:after="240"/>
        <w:rPr>
          <w:rFonts w:cs="Arial"/>
        </w:rPr>
      </w:pPr>
      <w:r w:rsidRPr="002F0E3F">
        <w:rPr>
          <w:rFonts w:cs="Arial"/>
        </w:rPr>
        <w:lastRenderedPageBreak/>
        <w:t xml:space="preserve">The CDE </w:t>
      </w:r>
      <w:r w:rsidR="00F63CB8">
        <w:rPr>
          <w:rFonts w:cs="Arial"/>
        </w:rPr>
        <w:t>started planning for</w:t>
      </w:r>
      <w:r w:rsidRPr="002F0E3F">
        <w:rPr>
          <w:rFonts w:cs="Arial"/>
        </w:rPr>
        <w:t xml:space="preserve"> the CNA and SDP beginning in </w:t>
      </w:r>
      <w:r w:rsidR="00DD01CE">
        <w:rPr>
          <w:rFonts w:cs="Arial"/>
        </w:rPr>
        <w:t>December 2022</w:t>
      </w:r>
      <w:r w:rsidRPr="002F0E3F">
        <w:rPr>
          <w:rFonts w:cs="Arial"/>
        </w:rPr>
        <w:t>. CNA and SDP</w:t>
      </w:r>
      <w:r w:rsidR="00DD01CE">
        <w:rPr>
          <w:rFonts w:cs="Arial"/>
        </w:rPr>
        <w:t xml:space="preserve"> focus areas</w:t>
      </w:r>
      <w:r w:rsidRPr="002F0E3F">
        <w:rPr>
          <w:rFonts w:cs="Arial"/>
        </w:rPr>
        <w:t xml:space="preserve"> </w:t>
      </w:r>
      <w:r w:rsidR="0018505F">
        <w:rPr>
          <w:rFonts w:cs="Arial"/>
        </w:rPr>
        <w:t xml:space="preserve">were selected </w:t>
      </w:r>
      <w:proofErr w:type="gramStart"/>
      <w:r w:rsidR="003011C7">
        <w:rPr>
          <w:rFonts w:cs="Arial"/>
        </w:rPr>
        <w:t>on the basis of</w:t>
      </w:r>
      <w:proofErr w:type="gramEnd"/>
      <w:r w:rsidR="0018505F">
        <w:rPr>
          <w:rFonts w:cs="Arial"/>
        </w:rPr>
        <w:t xml:space="preserve"> </w:t>
      </w:r>
      <w:r w:rsidR="00DD01CE">
        <w:rPr>
          <w:rFonts w:cs="Arial"/>
        </w:rPr>
        <w:t xml:space="preserve">survey </w:t>
      </w:r>
      <w:r w:rsidR="0018505F">
        <w:rPr>
          <w:rFonts w:cs="Arial"/>
        </w:rPr>
        <w:t xml:space="preserve">data and </w:t>
      </w:r>
      <w:r w:rsidR="00F63CB8">
        <w:rPr>
          <w:rFonts w:cs="Arial"/>
        </w:rPr>
        <w:t xml:space="preserve">the </w:t>
      </w:r>
      <w:r w:rsidR="0018505F">
        <w:rPr>
          <w:rFonts w:cs="Arial"/>
        </w:rPr>
        <w:t>OME requirements and goal areas</w:t>
      </w:r>
      <w:r w:rsidRPr="002F0E3F">
        <w:rPr>
          <w:rFonts w:cs="Arial"/>
        </w:rPr>
        <w:t xml:space="preserve">. Additionally, data collection, the development of the </w:t>
      </w:r>
      <w:r w:rsidR="009E352E">
        <w:rPr>
          <w:rFonts w:cs="Arial"/>
        </w:rPr>
        <w:t>Migratory Student Profile</w:t>
      </w:r>
      <w:r w:rsidRPr="002F0E3F">
        <w:rPr>
          <w:rFonts w:cs="Arial"/>
        </w:rPr>
        <w:t xml:space="preserve"> and research on best practices for identified focus areas were all conducted prior to </w:t>
      </w:r>
      <w:r w:rsidR="0018505F">
        <w:rPr>
          <w:rFonts w:cs="Arial"/>
        </w:rPr>
        <w:t>committee</w:t>
      </w:r>
      <w:r w:rsidRPr="002F0E3F">
        <w:rPr>
          <w:rFonts w:cs="Arial"/>
        </w:rPr>
        <w:t xml:space="preserve"> meetings. </w:t>
      </w:r>
      <w:r w:rsidR="0018505F">
        <w:rPr>
          <w:rFonts w:cs="Arial"/>
        </w:rPr>
        <w:t xml:space="preserve">The CNA </w:t>
      </w:r>
      <w:r w:rsidRPr="002F0E3F">
        <w:rPr>
          <w:rFonts w:cs="Arial"/>
        </w:rPr>
        <w:t xml:space="preserve">SDP Committee met </w:t>
      </w:r>
      <w:r w:rsidR="0018505F">
        <w:rPr>
          <w:rFonts w:cs="Arial"/>
        </w:rPr>
        <w:t>four tim</w:t>
      </w:r>
      <w:r w:rsidRPr="002F0E3F">
        <w:rPr>
          <w:rFonts w:cs="Arial"/>
        </w:rPr>
        <w:t>es</w:t>
      </w:r>
      <w:r w:rsidR="0018505F">
        <w:rPr>
          <w:rFonts w:cs="Arial"/>
        </w:rPr>
        <w:t xml:space="preserve"> (the first two meetings were conducted in-person and the third and fourth meetings were held in virtually)</w:t>
      </w:r>
      <w:r w:rsidRPr="002F0E3F">
        <w:rPr>
          <w:rFonts w:cs="Arial"/>
        </w:rPr>
        <w:t xml:space="preserve"> to review</w:t>
      </w:r>
      <w:r w:rsidR="0018505F">
        <w:rPr>
          <w:rFonts w:cs="Arial"/>
        </w:rPr>
        <w:t xml:space="preserve"> data</w:t>
      </w:r>
      <w:r w:rsidRPr="002F0E3F">
        <w:rPr>
          <w:rFonts w:cs="Arial"/>
        </w:rPr>
        <w:t>, deliberate on their concerns</w:t>
      </w:r>
      <w:r w:rsidR="00CA5A26" w:rsidRPr="002F0E3F">
        <w:rPr>
          <w:rFonts w:cs="Arial"/>
        </w:rPr>
        <w:t>,</w:t>
      </w:r>
      <w:r w:rsidRPr="002F0E3F">
        <w:rPr>
          <w:rFonts w:cs="Arial"/>
        </w:rPr>
        <w:t xml:space="preserve"> and identif</w:t>
      </w:r>
      <w:r w:rsidR="0018505F">
        <w:rPr>
          <w:rFonts w:cs="Arial"/>
        </w:rPr>
        <w:t>y</w:t>
      </w:r>
      <w:r w:rsidRPr="002F0E3F">
        <w:rPr>
          <w:rFonts w:cs="Arial"/>
        </w:rPr>
        <w:t xml:space="preserve"> migratory student needs</w:t>
      </w:r>
      <w:r w:rsidR="0018505F">
        <w:rPr>
          <w:rFonts w:cs="Arial"/>
        </w:rPr>
        <w:t xml:space="preserve"> in each focus area</w:t>
      </w:r>
      <w:r w:rsidRPr="002F0E3F">
        <w:rPr>
          <w:rFonts w:cs="Arial"/>
        </w:rPr>
        <w:t>.</w:t>
      </w:r>
      <w:r w:rsidR="00611A28">
        <w:rPr>
          <w:rFonts w:cs="Arial"/>
        </w:rPr>
        <w:t xml:space="preserve"> The fifth CNA SDP Committee meeting </w:t>
      </w:r>
      <w:r w:rsidR="003011C7">
        <w:rPr>
          <w:rFonts w:cs="Arial"/>
        </w:rPr>
        <w:t xml:space="preserve">was </w:t>
      </w:r>
      <w:r w:rsidR="00611A28">
        <w:rPr>
          <w:rFonts w:cs="Arial"/>
        </w:rPr>
        <w:t>with the SPAC, as an extension of the committee, to complete the process of identifying concerns, needs, and initial strategies for the last two focus areas.</w:t>
      </w:r>
      <w:r w:rsidRPr="002F0E3F">
        <w:rPr>
          <w:rFonts w:cs="Arial"/>
        </w:rPr>
        <w:t xml:space="preserve"> Findings from the </w:t>
      </w:r>
      <w:r w:rsidR="0018505F">
        <w:rPr>
          <w:rFonts w:cs="Arial"/>
        </w:rPr>
        <w:t xml:space="preserve">CNA </w:t>
      </w:r>
      <w:r w:rsidRPr="002F0E3F">
        <w:rPr>
          <w:rFonts w:cs="Arial"/>
        </w:rPr>
        <w:t>SDP collaborative process are identified in the next section.</w:t>
      </w:r>
    </w:p>
    <w:p w14:paraId="0AF021C2" w14:textId="7977BFBB" w:rsidR="001C217F" w:rsidRPr="002F0E3F" w:rsidRDefault="003E3C7B" w:rsidP="00CF280A">
      <w:pPr>
        <w:spacing w:after="240"/>
        <w:rPr>
          <w:rFonts w:cs="Arial"/>
        </w:rPr>
      </w:pPr>
      <w:r>
        <w:rPr>
          <w:rFonts w:cs="Arial"/>
        </w:rPr>
        <w:t>Figure</w:t>
      </w:r>
      <w:r w:rsidR="008433DB" w:rsidRPr="003639FB">
        <w:rPr>
          <w:rFonts w:cs="Arial"/>
        </w:rPr>
        <w:t xml:space="preserve"> </w:t>
      </w:r>
      <w:r w:rsidR="00794006">
        <w:rPr>
          <w:rFonts w:cs="Arial"/>
        </w:rPr>
        <w:t>2</w:t>
      </w:r>
      <w:r w:rsidR="001C217F" w:rsidRPr="003639FB">
        <w:rPr>
          <w:rFonts w:cs="Arial"/>
        </w:rPr>
        <w:t xml:space="preserve"> outlines the process for developing the statewide CNA and SDP.</w:t>
      </w:r>
    </w:p>
    <w:p w14:paraId="42BB4010" w14:textId="0B7759B8" w:rsidR="00CF280A" w:rsidRPr="00611508" w:rsidRDefault="00611508" w:rsidP="00066268">
      <w:pPr>
        <w:pStyle w:val="Heading5"/>
      </w:pPr>
      <w:bookmarkStart w:id="29" w:name="_Toc188030501"/>
      <w:r w:rsidRPr="00611508">
        <w:t xml:space="preserve">Figure </w:t>
      </w:r>
      <w:fldSimple w:instr=" SEQ Figure \* ARABIC ">
        <w:r w:rsidR="00AB15FE">
          <w:rPr>
            <w:noProof/>
          </w:rPr>
          <w:t>2</w:t>
        </w:r>
      </w:fldSimple>
      <w:r w:rsidRPr="00611508">
        <w:t>. Process for Developing the Statewide Comprehensive Needs Assessment and Service Delivery Plan</w:t>
      </w:r>
      <w:bookmarkEnd w:id="29"/>
    </w:p>
    <w:p w14:paraId="2CA223DF" w14:textId="0D836E82" w:rsidR="001C217F" w:rsidRPr="002F0E3F" w:rsidRDefault="00AD1C51" w:rsidP="00FA262A">
      <w:pPr>
        <w:rPr>
          <w:rFonts w:cs="Arial"/>
        </w:rPr>
      </w:pPr>
      <w:r w:rsidRPr="00AD1C51">
        <w:rPr>
          <w:noProof/>
          <w:bdr w:val="single" w:sz="18" w:space="0" w:color="auto"/>
        </w:rPr>
        <w:drawing>
          <wp:inline distT="0" distB="0" distL="0" distR="0" wp14:anchorId="06333C75" wp14:editId="4645A88F">
            <wp:extent cx="5842000" cy="2838450"/>
            <wp:effectExtent l="0" t="0" r="6350" b="0"/>
            <wp:docPr id="1580517552" name="Picture 1" descr="Process for Developing the Statewide Comprehensive Needs Assessment and Service Delivery Plan description is in the note directly below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17552" name="Picture 1" descr="Process for Developing the Statewide Comprehensive Needs Assessment and Service Delivery Plan description is in the note directly below the figure."/>
                    <pic:cNvPicPr/>
                  </pic:nvPicPr>
                  <pic:blipFill>
                    <a:blip r:embed="rId15"/>
                    <a:stretch>
                      <a:fillRect/>
                    </a:stretch>
                  </pic:blipFill>
                  <pic:spPr>
                    <a:xfrm>
                      <a:off x="0" y="0"/>
                      <a:ext cx="5842000" cy="2838450"/>
                    </a:xfrm>
                    <a:prstGeom prst="rect">
                      <a:avLst/>
                    </a:prstGeom>
                  </pic:spPr>
                </pic:pic>
              </a:graphicData>
            </a:graphic>
          </wp:inline>
        </w:drawing>
      </w:r>
    </w:p>
    <w:p w14:paraId="1EDCDDEE" w14:textId="5315DD9A" w:rsidR="00FA262A" w:rsidRDefault="00FA262A" w:rsidP="00CF280A">
      <w:pPr>
        <w:pStyle w:val="Paragraph"/>
        <w:spacing w:after="240" w:line="240" w:lineRule="auto"/>
        <w:rPr>
          <w:rFonts w:cs="Arial"/>
          <w:color w:val="auto"/>
        </w:rPr>
      </w:pPr>
      <w:r>
        <w:rPr>
          <w:rFonts w:cs="Arial"/>
          <w:color w:val="auto"/>
        </w:rPr>
        <w:t>Note: The text in Figure 2 describes the process for developing the Statewide Comprehensive Needs Assessment</w:t>
      </w:r>
      <w:r w:rsidR="00FE1BCD">
        <w:rPr>
          <w:rFonts w:cs="Arial"/>
          <w:color w:val="auto"/>
        </w:rPr>
        <w:t xml:space="preserve"> (CNA)</w:t>
      </w:r>
      <w:r>
        <w:rPr>
          <w:rFonts w:cs="Arial"/>
          <w:color w:val="auto"/>
        </w:rPr>
        <w:t xml:space="preserve"> and Service Delivery Plan</w:t>
      </w:r>
      <w:r w:rsidR="00FE1BCD">
        <w:rPr>
          <w:rFonts w:cs="Arial"/>
          <w:color w:val="auto"/>
        </w:rPr>
        <w:t xml:space="preserve"> (SDP)</w:t>
      </w:r>
      <w:r>
        <w:rPr>
          <w:rFonts w:cs="Arial"/>
          <w:color w:val="auto"/>
        </w:rPr>
        <w:t xml:space="preserve"> using a step-by-step descriptio</w:t>
      </w:r>
      <w:r w:rsidR="009D10E5">
        <w:rPr>
          <w:rFonts w:cs="Arial"/>
          <w:color w:val="auto"/>
        </w:rPr>
        <w:t>n:</w:t>
      </w:r>
      <w:r>
        <w:rPr>
          <w:rFonts w:cs="Arial"/>
          <w:color w:val="auto"/>
        </w:rPr>
        <w:t xml:space="preserve"> 1. Selection of Focus Areas (survey data), 2. Data Review, 3. Develop Concern Statements, 4. Development Need Statements, 5. Select Initial Strategies (repeat steps 2-5 for the ten focus areas), 6. Write CNA and SDP (submit C</w:t>
      </w:r>
      <w:r w:rsidR="00FE1BCD">
        <w:rPr>
          <w:rFonts w:cs="Arial"/>
          <w:color w:val="auto"/>
        </w:rPr>
        <w:t>NA</w:t>
      </w:r>
      <w:r>
        <w:rPr>
          <w:rFonts w:cs="Arial"/>
          <w:color w:val="auto"/>
        </w:rPr>
        <w:t xml:space="preserve"> for approval), 7. Review C</w:t>
      </w:r>
      <w:r w:rsidR="00FE1BCD">
        <w:rPr>
          <w:rFonts w:cs="Arial"/>
          <w:color w:val="auto"/>
        </w:rPr>
        <w:t>NA</w:t>
      </w:r>
      <w:r>
        <w:rPr>
          <w:rFonts w:cs="Arial"/>
          <w:color w:val="auto"/>
        </w:rPr>
        <w:t xml:space="preserve"> and SDP, 8. Collect Feedback on Measurable Program Objectives (MPOs) and Performance Targets, and 9. Submit SDP for approval.  </w:t>
      </w:r>
    </w:p>
    <w:p w14:paraId="11E1A3B7" w14:textId="672F5BAD" w:rsidR="00775BC6" w:rsidRPr="00775BC6" w:rsidRDefault="005D6DD8" w:rsidP="00CF280A">
      <w:pPr>
        <w:pStyle w:val="Paragraph"/>
        <w:spacing w:after="240" w:line="240" w:lineRule="auto"/>
        <w:rPr>
          <w:color w:val="auto"/>
        </w:rPr>
      </w:pPr>
      <w:r w:rsidRPr="00775BC6">
        <w:rPr>
          <w:rFonts w:cs="Arial"/>
          <w:color w:val="auto"/>
        </w:rPr>
        <w:t>The process for developing the statewide CNA required continued collaboratio</w:t>
      </w:r>
      <w:r w:rsidR="00CE612E" w:rsidRPr="00775BC6">
        <w:rPr>
          <w:rFonts w:cs="Arial"/>
          <w:color w:val="auto"/>
        </w:rPr>
        <w:t>n between the C</w:t>
      </w:r>
      <w:r w:rsidR="00F63CB8">
        <w:rPr>
          <w:rFonts w:cs="Arial"/>
          <w:color w:val="auto"/>
        </w:rPr>
        <w:t>DE</w:t>
      </w:r>
      <w:r w:rsidR="00CE612E" w:rsidRPr="00775BC6">
        <w:rPr>
          <w:rFonts w:cs="Arial"/>
          <w:color w:val="auto"/>
        </w:rPr>
        <w:t>,</w:t>
      </w:r>
      <w:r w:rsidR="00F63CB8">
        <w:rPr>
          <w:rFonts w:cs="Arial"/>
          <w:color w:val="auto"/>
        </w:rPr>
        <w:t xml:space="preserve"> </w:t>
      </w:r>
      <w:r w:rsidR="00735D2C" w:rsidRPr="00775BC6">
        <w:rPr>
          <w:rFonts w:cs="Arial"/>
          <w:color w:val="auto"/>
        </w:rPr>
        <w:t>MEP subgrantees</w:t>
      </w:r>
      <w:r w:rsidR="00F63CB8">
        <w:rPr>
          <w:rFonts w:cs="Arial"/>
          <w:color w:val="auto"/>
        </w:rPr>
        <w:t>,</w:t>
      </w:r>
      <w:r w:rsidR="00735D2C" w:rsidRPr="00775BC6">
        <w:rPr>
          <w:rFonts w:cs="Arial"/>
          <w:color w:val="auto"/>
        </w:rPr>
        <w:t xml:space="preserve"> participating OSY</w:t>
      </w:r>
      <w:r w:rsidR="003011C7">
        <w:rPr>
          <w:rFonts w:cs="Arial"/>
          <w:color w:val="auto"/>
        </w:rPr>
        <w:t>s</w:t>
      </w:r>
      <w:r w:rsidR="00F63CB8">
        <w:rPr>
          <w:rFonts w:cs="Arial"/>
          <w:color w:val="auto"/>
        </w:rPr>
        <w:t>,</w:t>
      </w:r>
      <w:r w:rsidR="00735D2C" w:rsidRPr="00775BC6">
        <w:rPr>
          <w:rFonts w:cs="Arial"/>
          <w:color w:val="auto"/>
        </w:rPr>
        <w:t xml:space="preserve"> migratory parents</w:t>
      </w:r>
      <w:r w:rsidR="00F63CB8">
        <w:rPr>
          <w:rFonts w:cs="Arial"/>
          <w:color w:val="auto"/>
        </w:rPr>
        <w:t>, and contributing partners</w:t>
      </w:r>
      <w:r w:rsidRPr="00775BC6">
        <w:rPr>
          <w:rFonts w:cs="Arial"/>
          <w:color w:val="auto"/>
        </w:rPr>
        <w:t>.</w:t>
      </w:r>
      <w:r w:rsidR="00F63CB8">
        <w:rPr>
          <w:rFonts w:cs="Arial"/>
          <w:color w:val="auto"/>
        </w:rPr>
        <w:t xml:space="preserve"> California’s </w:t>
      </w:r>
      <w:r w:rsidR="00320F4C" w:rsidRPr="00775BC6">
        <w:rPr>
          <w:rFonts w:cs="Arial"/>
          <w:color w:val="auto"/>
        </w:rPr>
        <w:t>Migratory Student Profile</w:t>
      </w:r>
      <w:r w:rsidR="00565E0E">
        <w:rPr>
          <w:rFonts w:cs="Arial"/>
          <w:color w:val="auto"/>
        </w:rPr>
        <w:t>--</w:t>
      </w:r>
      <w:r w:rsidR="00320F4C" w:rsidRPr="00775BC6">
        <w:rPr>
          <w:rFonts w:cs="Arial"/>
          <w:color w:val="auto"/>
        </w:rPr>
        <w:t>a collection of migratory children and youth demographic, student achievement</w:t>
      </w:r>
      <w:r w:rsidR="003011C7">
        <w:rPr>
          <w:rFonts w:cs="Arial"/>
          <w:color w:val="auto"/>
        </w:rPr>
        <w:t>,</w:t>
      </w:r>
      <w:r w:rsidR="00320F4C" w:rsidRPr="00775BC6">
        <w:rPr>
          <w:rFonts w:cs="Arial"/>
          <w:color w:val="auto"/>
        </w:rPr>
        <w:t xml:space="preserve"> and programmatic data</w:t>
      </w:r>
      <w:r w:rsidR="00565E0E">
        <w:rPr>
          <w:rFonts w:cs="Arial"/>
          <w:color w:val="auto"/>
        </w:rPr>
        <w:t>--</w:t>
      </w:r>
      <w:r w:rsidR="00775BC6" w:rsidRPr="00775BC6">
        <w:rPr>
          <w:color w:val="auto"/>
        </w:rPr>
        <w:t xml:space="preserve">is </w:t>
      </w:r>
      <w:r w:rsidR="00565E0E">
        <w:rPr>
          <w:color w:val="auto"/>
        </w:rPr>
        <w:t>the</w:t>
      </w:r>
      <w:r w:rsidR="00775BC6" w:rsidRPr="00775BC6">
        <w:rPr>
          <w:color w:val="auto"/>
        </w:rPr>
        <w:t xml:space="preserve"> </w:t>
      </w:r>
      <w:r w:rsidR="00775BC6" w:rsidRPr="00775BC6">
        <w:rPr>
          <w:color w:val="auto"/>
        </w:rPr>
        <w:lastRenderedPageBreak/>
        <w:t>result of two complementary efforts designed to capture data in order to help identify strengths and areas of need of California’s migratory children, students, and youths. One effort relied heavily on descriptive analyses of children’s and youths’ demographic, needs assessment, and service data available in the MSIN. The descriptive analysis also utilized statewide assessment files provided by the CDE and DataQuest, California’s</w:t>
      </w:r>
      <w:r w:rsidR="008D2E91">
        <w:rPr>
          <w:color w:val="auto"/>
        </w:rPr>
        <w:t xml:space="preserve"> kindergarten through grade 12</w:t>
      </w:r>
      <w:r w:rsidR="00775BC6" w:rsidRPr="00775BC6">
        <w:rPr>
          <w:color w:val="auto"/>
        </w:rPr>
        <w:t xml:space="preserve"> </w:t>
      </w:r>
      <w:r w:rsidR="008D2E91">
        <w:rPr>
          <w:color w:val="auto"/>
        </w:rPr>
        <w:t>(</w:t>
      </w:r>
      <w:r w:rsidR="00775BC6" w:rsidRPr="00775BC6">
        <w:rPr>
          <w:color w:val="auto"/>
        </w:rPr>
        <w:t>K–12</w:t>
      </w:r>
      <w:r w:rsidR="008D2E91">
        <w:rPr>
          <w:color w:val="auto"/>
        </w:rPr>
        <w:t>)</w:t>
      </w:r>
      <w:r w:rsidR="00775BC6" w:rsidRPr="00775BC6">
        <w:rPr>
          <w:color w:val="auto"/>
        </w:rPr>
        <w:t xml:space="preserve"> public data reporting system.</w:t>
      </w:r>
    </w:p>
    <w:p w14:paraId="71708E65" w14:textId="2CB24F81" w:rsidR="00F71B6D" w:rsidRPr="00775BC6" w:rsidRDefault="00775BC6" w:rsidP="00CF280A">
      <w:pPr>
        <w:pStyle w:val="Paragraph"/>
        <w:spacing w:after="240" w:line="240" w:lineRule="auto"/>
        <w:rPr>
          <w:color w:val="auto"/>
        </w:rPr>
      </w:pPr>
      <w:r w:rsidRPr="00775BC6">
        <w:rPr>
          <w:color w:val="auto"/>
        </w:rPr>
        <w:t>The second effort was a mixed-methods analysis of the goals, strengths, and needs of migratory students and youths. This effort involved online surveys administered to</w:t>
      </w:r>
      <w:r>
        <w:rPr>
          <w:color w:val="auto"/>
        </w:rPr>
        <w:t xml:space="preserve"> </w:t>
      </w:r>
      <w:r w:rsidRPr="00775BC6">
        <w:rPr>
          <w:color w:val="auto"/>
        </w:rPr>
        <w:t>OSYs, MEP parents, and local MEP staff; virtual focus group sessions with OSY, MEP parents, and MEP staff; and a thorough analysis of the surveys and focus groups, informed by themes that emerged from each data collection effort.</w:t>
      </w:r>
    </w:p>
    <w:p w14:paraId="0613B0BB" w14:textId="2C05DBBB" w:rsidR="005307E5" w:rsidRPr="002F0E3F" w:rsidRDefault="00775BC6" w:rsidP="00CF280A">
      <w:pPr>
        <w:spacing w:after="240"/>
        <w:rPr>
          <w:rFonts w:cs="Arial"/>
        </w:rPr>
      </w:pPr>
      <w:r>
        <w:rPr>
          <w:rFonts w:cs="Arial"/>
        </w:rPr>
        <w:t>T</w:t>
      </w:r>
      <w:r w:rsidR="00CF55E9" w:rsidRPr="002F0E3F">
        <w:rPr>
          <w:rFonts w:cs="Arial"/>
        </w:rPr>
        <w:t xml:space="preserve">he </w:t>
      </w:r>
      <w:r w:rsidR="009E352E">
        <w:rPr>
          <w:rFonts w:cs="Arial"/>
        </w:rPr>
        <w:t>Migratory Student Profile</w:t>
      </w:r>
      <w:r w:rsidR="00B13317" w:rsidRPr="002F0E3F">
        <w:rPr>
          <w:rFonts w:cs="Arial"/>
        </w:rPr>
        <w:t xml:space="preserve"> and resources on evidence-based practices</w:t>
      </w:r>
      <w:r w:rsidR="00047912" w:rsidRPr="002F0E3F">
        <w:rPr>
          <w:rFonts w:cs="Arial"/>
        </w:rPr>
        <w:t xml:space="preserve"> to address migratory student needs</w:t>
      </w:r>
      <w:r w:rsidR="00B13317" w:rsidRPr="002F0E3F">
        <w:rPr>
          <w:rFonts w:cs="Arial"/>
        </w:rPr>
        <w:t xml:space="preserve"> for all </w:t>
      </w:r>
      <w:r w:rsidR="00F63CB8">
        <w:rPr>
          <w:rFonts w:cs="Arial"/>
        </w:rPr>
        <w:t>ten</w:t>
      </w:r>
      <w:r w:rsidR="00B13317" w:rsidRPr="002F0E3F">
        <w:rPr>
          <w:rFonts w:cs="Arial"/>
        </w:rPr>
        <w:t xml:space="preserve"> focus areas</w:t>
      </w:r>
      <w:r w:rsidR="00CF55E9" w:rsidRPr="002F0E3F">
        <w:rPr>
          <w:rFonts w:cs="Arial"/>
        </w:rPr>
        <w:t>.</w:t>
      </w:r>
      <w:r w:rsidR="003D5F51" w:rsidRPr="002F0E3F">
        <w:rPr>
          <w:rFonts w:cs="Arial"/>
        </w:rPr>
        <w:t xml:space="preserve"> </w:t>
      </w:r>
      <w:r w:rsidR="00B95C82" w:rsidRPr="002F0E3F">
        <w:rPr>
          <w:rFonts w:cs="Arial"/>
        </w:rPr>
        <w:t xml:space="preserve">With the data </w:t>
      </w:r>
      <w:r w:rsidR="00E53E01">
        <w:rPr>
          <w:rFonts w:cs="Arial"/>
        </w:rPr>
        <w:t>collection completed</w:t>
      </w:r>
      <w:r w:rsidR="00B95C82" w:rsidRPr="002F0E3F">
        <w:rPr>
          <w:rFonts w:cs="Arial"/>
        </w:rPr>
        <w:t xml:space="preserve"> and analyzed, </w:t>
      </w:r>
      <w:r w:rsidR="002E4543" w:rsidRPr="002F0E3F">
        <w:rPr>
          <w:rFonts w:cs="Arial"/>
        </w:rPr>
        <w:t xml:space="preserve">the CDE initiated Step </w:t>
      </w:r>
      <w:r>
        <w:rPr>
          <w:rFonts w:cs="Arial"/>
        </w:rPr>
        <w:t>4</w:t>
      </w:r>
      <w:r w:rsidR="002E4543" w:rsidRPr="002F0E3F">
        <w:rPr>
          <w:rFonts w:cs="Arial"/>
        </w:rPr>
        <w:t>, Gathering Input</w:t>
      </w:r>
      <w:r w:rsidR="00E53E01">
        <w:rPr>
          <w:rFonts w:cs="Arial"/>
        </w:rPr>
        <w:t xml:space="preserve"> from Interested Parties</w:t>
      </w:r>
      <w:r w:rsidR="002E4543" w:rsidRPr="002F0E3F">
        <w:rPr>
          <w:rFonts w:cs="Arial"/>
        </w:rPr>
        <w:t>. T</w:t>
      </w:r>
      <w:r w:rsidR="00B95C82" w:rsidRPr="002F0E3F">
        <w:rPr>
          <w:rFonts w:cs="Arial"/>
        </w:rPr>
        <w:t>he CNA</w:t>
      </w:r>
      <w:r w:rsidR="005D7CF6" w:rsidRPr="002F0E3F">
        <w:rPr>
          <w:rFonts w:cs="Arial"/>
        </w:rPr>
        <w:t xml:space="preserve"> C</w:t>
      </w:r>
      <w:r w:rsidR="00B95C82" w:rsidRPr="002F0E3F">
        <w:rPr>
          <w:rFonts w:cs="Arial"/>
        </w:rPr>
        <w:t xml:space="preserve">ommittee </w:t>
      </w:r>
      <w:r w:rsidR="008712EA" w:rsidRPr="002F0E3F">
        <w:rPr>
          <w:rFonts w:cs="Arial"/>
        </w:rPr>
        <w:t>split</w:t>
      </w:r>
      <w:r w:rsidR="005D7CF6" w:rsidRPr="002F0E3F">
        <w:rPr>
          <w:rFonts w:cs="Arial"/>
        </w:rPr>
        <w:t xml:space="preserve"> into subcommittees </w:t>
      </w:r>
      <w:r w:rsidR="00AA310A" w:rsidRPr="002F0E3F">
        <w:rPr>
          <w:rFonts w:cs="Arial"/>
        </w:rPr>
        <w:t xml:space="preserve">who </w:t>
      </w:r>
      <w:r w:rsidR="00B95C82" w:rsidRPr="002F0E3F">
        <w:rPr>
          <w:rFonts w:cs="Arial"/>
        </w:rPr>
        <w:t>met f</w:t>
      </w:r>
      <w:r w:rsidR="00E53E01">
        <w:rPr>
          <w:rFonts w:cs="Arial"/>
        </w:rPr>
        <w:t>ive</w:t>
      </w:r>
      <w:r w:rsidR="00B95C82" w:rsidRPr="002F0E3F">
        <w:rPr>
          <w:rFonts w:cs="Arial"/>
        </w:rPr>
        <w:t xml:space="preserve"> times to complete four key objectives for each focus area: 1) review statewide data, 2) </w:t>
      </w:r>
      <w:r w:rsidR="00E53E01" w:rsidRPr="002F0E3F">
        <w:rPr>
          <w:rFonts w:cs="Arial"/>
        </w:rPr>
        <w:t>identify and prioritize</w:t>
      </w:r>
      <w:r w:rsidR="00C24AA6" w:rsidRPr="002F0E3F">
        <w:rPr>
          <w:rFonts w:cs="Arial"/>
        </w:rPr>
        <w:t xml:space="preserve"> concern s</w:t>
      </w:r>
      <w:r w:rsidR="004E3788" w:rsidRPr="002F0E3F">
        <w:rPr>
          <w:rFonts w:cs="Arial"/>
        </w:rPr>
        <w:t xml:space="preserve">tatements, 3) </w:t>
      </w:r>
      <w:r w:rsidR="00E53E01">
        <w:rPr>
          <w:rFonts w:cs="Arial"/>
        </w:rPr>
        <w:t>develop</w:t>
      </w:r>
      <w:r w:rsidR="00B95C82" w:rsidRPr="002F0E3F">
        <w:rPr>
          <w:rFonts w:cs="Arial"/>
        </w:rPr>
        <w:t xml:space="preserve"> needs</w:t>
      </w:r>
      <w:r w:rsidR="00D815E9" w:rsidRPr="002F0E3F">
        <w:rPr>
          <w:rFonts w:cs="Arial"/>
        </w:rPr>
        <w:t>,</w:t>
      </w:r>
      <w:r w:rsidR="004E3788" w:rsidRPr="002F0E3F">
        <w:rPr>
          <w:rFonts w:cs="Arial"/>
        </w:rPr>
        <w:t xml:space="preserve"> and 4</w:t>
      </w:r>
      <w:r w:rsidR="00B95C82" w:rsidRPr="002F0E3F">
        <w:rPr>
          <w:rFonts w:cs="Arial"/>
        </w:rPr>
        <w:t xml:space="preserve">) review </w:t>
      </w:r>
      <w:r w:rsidR="004E3788" w:rsidRPr="002F0E3F">
        <w:rPr>
          <w:rFonts w:cs="Arial"/>
        </w:rPr>
        <w:t xml:space="preserve">best practices and </w:t>
      </w:r>
      <w:r w:rsidR="00E53E01">
        <w:rPr>
          <w:rFonts w:cs="Arial"/>
        </w:rPr>
        <w:t>recommend</w:t>
      </w:r>
      <w:r w:rsidR="004E3788" w:rsidRPr="002F0E3F">
        <w:rPr>
          <w:rFonts w:cs="Arial"/>
        </w:rPr>
        <w:t xml:space="preserve"> ini</w:t>
      </w:r>
      <w:r w:rsidR="0042692B" w:rsidRPr="002F0E3F">
        <w:rPr>
          <w:rFonts w:cs="Arial"/>
        </w:rPr>
        <w:t>tial strategies to address the identified needs.</w:t>
      </w:r>
      <w:r w:rsidR="000E1603" w:rsidRPr="002F0E3F">
        <w:rPr>
          <w:rFonts w:cs="Arial"/>
        </w:rPr>
        <w:t xml:space="preserve"> </w:t>
      </w:r>
      <w:r w:rsidR="0033179C" w:rsidRPr="002F0E3F">
        <w:rPr>
          <w:rFonts w:cs="Arial"/>
        </w:rPr>
        <w:t xml:space="preserve">These key decision points </w:t>
      </w:r>
      <w:r w:rsidR="00533E84" w:rsidRPr="002F0E3F">
        <w:rPr>
          <w:rFonts w:cs="Arial"/>
        </w:rPr>
        <w:t>were then discussed and finalized by the</w:t>
      </w:r>
      <w:r>
        <w:rPr>
          <w:rFonts w:cs="Arial"/>
        </w:rPr>
        <w:t xml:space="preserve"> whole CNA SDP Committee. From there the CDE</w:t>
      </w:r>
      <w:r w:rsidR="00533E84" w:rsidRPr="002F0E3F">
        <w:rPr>
          <w:rFonts w:cs="Arial"/>
        </w:rPr>
        <w:t xml:space="preserve"> Management and Data Team</w:t>
      </w:r>
      <w:r>
        <w:rPr>
          <w:rFonts w:cs="Arial"/>
        </w:rPr>
        <w:t xml:space="preserve"> finalized the key decisions points for each focus area resulting in the basis for the CNA.</w:t>
      </w:r>
    </w:p>
    <w:p w14:paraId="12ABE056" w14:textId="77777777" w:rsidR="00047912" w:rsidRPr="002F0E3F" w:rsidRDefault="00047912" w:rsidP="00CF280A">
      <w:pPr>
        <w:pStyle w:val="Heading3"/>
      </w:pPr>
      <w:bookmarkStart w:id="30" w:name="_Toc496195904"/>
      <w:bookmarkStart w:id="31" w:name="_Toc188361313"/>
      <w:r w:rsidRPr="002F0E3F">
        <w:t>Data Limitations</w:t>
      </w:r>
      <w:bookmarkEnd w:id="30"/>
      <w:bookmarkEnd w:id="31"/>
    </w:p>
    <w:p w14:paraId="2695FBF3" w14:textId="08C0C39A" w:rsidR="00F43BDE" w:rsidRDefault="00A37025" w:rsidP="00F43BDE">
      <w:pPr>
        <w:spacing w:after="240"/>
      </w:pPr>
      <w:r w:rsidRPr="002F0E3F">
        <w:t xml:space="preserve">The CDE faced a </w:t>
      </w:r>
      <w:r w:rsidR="00F43BDE">
        <w:t>couple of</w:t>
      </w:r>
      <w:r w:rsidRPr="002F0E3F">
        <w:t xml:space="preserve"> challenges when collecting and analyzing data</w:t>
      </w:r>
      <w:r w:rsidR="00F43BDE">
        <w:t xml:space="preserve"> including </w:t>
      </w:r>
      <w:r w:rsidR="003F029F">
        <w:t xml:space="preserve">the </w:t>
      </w:r>
      <w:r w:rsidR="00F43BDE" w:rsidRPr="00603ED2">
        <w:t xml:space="preserve">COVID-19 </w:t>
      </w:r>
      <w:r w:rsidR="00F43BDE">
        <w:t>g</w:t>
      </w:r>
      <w:r w:rsidR="00F43BDE" w:rsidRPr="00603ED2">
        <w:t xml:space="preserve">lobal </w:t>
      </w:r>
      <w:r w:rsidR="00F43BDE">
        <w:t>p</w:t>
      </w:r>
      <w:r w:rsidR="00F43BDE" w:rsidRPr="00603ED2">
        <w:t>andemic</w:t>
      </w:r>
      <w:r w:rsidR="00F43BDE">
        <w:t>’</w:t>
      </w:r>
      <w:r w:rsidR="00F43BDE" w:rsidRPr="00603ED2">
        <w:t xml:space="preserve">s </w:t>
      </w:r>
      <w:r w:rsidR="00F43BDE">
        <w:t>e</w:t>
      </w:r>
      <w:r w:rsidR="00F43BDE" w:rsidRPr="00603ED2">
        <w:t xml:space="preserve">ffect on </w:t>
      </w:r>
      <w:r w:rsidR="00F43BDE">
        <w:t>a</w:t>
      </w:r>
      <w:r w:rsidR="00F43BDE" w:rsidRPr="00603ED2">
        <w:t xml:space="preserve">ssessment </w:t>
      </w:r>
      <w:r w:rsidR="00F43BDE">
        <w:t>d</w:t>
      </w:r>
      <w:r w:rsidR="00F43BDE" w:rsidRPr="00603ED2">
        <w:t xml:space="preserve">ata </w:t>
      </w:r>
      <w:r w:rsidR="00F43BDE">
        <w:t>a</w:t>
      </w:r>
      <w:r w:rsidR="00F43BDE" w:rsidRPr="00603ED2">
        <w:t>vailability</w:t>
      </w:r>
      <w:r w:rsidR="00F43BDE">
        <w:t xml:space="preserve"> and lack of parent engagement data. Because of the COVID-19 global pandemic, assessment data was not available for </w:t>
      </w:r>
      <w:r w:rsidR="003F029F">
        <w:t>school year (</w:t>
      </w:r>
      <w:r w:rsidR="00F43BDE">
        <w:t>SY</w:t>
      </w:r>
      <w:r w:rsidR="003F029F">
        <w:t>)</w:t>
      </w:r>
      <w:r w:rsidR="00F43BDE">
        <w:t xml:space="preserve"> 2019–20. </w:t>
      </w:r>
      <w:r w:rsidR="003F029F">
        <w:t>In addition</w:t>
      </w:r>
      <w:r w:rsidR="00F43BDE">
        <w:t xml:space="preserve">, because of the low numbers of students with CAASPP assessment scores in SY 2020–21, CAASPP data from that year was not included in the analysis. Additionally, the CDE sought to include a section in this profile on MEP parent engagement as measured by their participation in MEP services. However, </w:t>
      </w:r>
      <w:r w:rsidR="00BB39E4">
        <w:t xml:space="preserve">the various options explored by the CDE to identify an unduplicated count of parent or guardian participation across the state proved to be unsuccessful. The data collected by the CDE was valuable although it did not specifically address the performance target. With the upcoming SDP, the CDE </w:t>
      </w:r>
      <w:r w:rsidR="00ED2F05">
        <w:t>will be able</w:t>
      </w:r>
      <w:r w:rsidR="00BB39E4">
        <w:t xml:space="preserve"> to gauge</w:t>
      </w:r>
      <w:r w:rsidR="008D5B93">
        <w:t xml:space="preserve"> parent and family engagement </w:t>
      </w:r>
      <w:r w:rsidR="00ED2F05">
        <w:t>and will begin to increase the MEP’s knowledge of how parents engage with the MEP, how parents feel about the services provided, and how MEP services increased parents’ and families’ capacity to support the children and youths at home</w:t>
      </w:r>
      <w:r w:rsidR="00F43BDE">
        <w:t xml:space="preserve">. </w:t>
      </w:r>
    </w:p>
    <w:p w14:paraId="07E8C1BD" w14:textId="25ACF8B2" w:rsidR="00217C5F" w:rsidRPr="002F0E3F" w:rsidRDefault="00217C5F" w:rsidP="00F43BDE">
      <w:pPr>
        <w:spacing w:after="240"/>
        <w:rPr>
          <w:rFonts w:cs="Arial"/>
        </w:rPr>
      </w:pPr>
      <w:r w:rsidRPr="002F0E3F">
        <w:rPr>
          <w:rFonts w:cs="Arial"/>
        </w:rPr>
        <w:t xml:space="preserve">Data limitations, or lack of data in some focus areas, prevented the </w:t>
      </w:r>
      <w:r w:rsidR="00F43BDE">
        <w:rPr>
          <w:rFonts w:cs="Arial"/>
        </w:rPr>
        <w:t xml:space="preserve">committee </w:t>
      </w:r>
      <w:r w:rsidRPr="002F0E3F">
        <w:rPr>
          <w:rFonts w:cs="Arial"/>
        </w:rPr>
        <w:t xml:space="preserve">from further developing specific concern and needs statements. Currently, the CDE is in the process of developing a plan to collect more robust data where feasible. Plans for meeting future data needs are further discussed in the Results and Findings section of </w:t>
      </w:r>
      <w:r w:rsidRPr="002F0E3F">
        <w:rPr>
          <w:rFonts w:cs="Arial"/>
        </w:rPr>
        <w:lastRenderedPageBreak/>
        <w:t xml:space="preserve">this report. Data limitations for the </w:t>
      </w:r>
      <w:r w:rsidR="009E352E">
        <w:rPr>
          <w:rFonts w:cs="Arial"/>
        </w:rPr>
        <w:t>Migratory Student Profile</w:t>
      </w:r>
      <w:r w:rsidRPr="002F0E3F">
        <w:rPr>
          <w:rFonts w:cs="Arial"/>
        </w:rPr>
        <w:t xml:space="preserve"> are identified in the </w:t>
      </w:r>
      <w:r w:rsidR="009E352E">
        <w:rPr>
          <w:rFonts w:cs="Arial"/>
        </w:rPr>
        <w:t>Migratory Student Profile</w:t>
      </w:r>
      <w:r w:rsidRPr="002F0E3F">
        <w:rPr>
          <w:rFonts w:cs="Arial"/>
        </w:rPr>
        <w:t xml:space="preserve"> chapter.</w:t>
      </w:r>
    </w:p>
    <w:p w14:paraId="075D240A" w14:textId="77777777" w:rsidR="00FE5A22" w:rsidRPr="002F0E3F" w:rsidRDefault="00FE5A22" w:rsidP="00043BAC">
      <w:pPr>
        <w:spacing w:after="240"/>
        <w:rPr>
          <w:rFonts w:eastAsia="Times New Roman" w:cs="Arial"/>
          <w:color w:val="2F5496"/>
        </w:rPr>
      </w:pPr>
      <w:r w:rsidRPr="002F0E3F">
        <w:rPr>
          <w:rFonts w:cs="Arial"/>
        </w:rPr>
        <w:br w:type="page"/>
      </w:r>
    </w:p>
    <w:p w14:paraId="1B3C45D6" w14:textId="5659578F" w:rsidR="00605C16" w:rsidRPr="002F0E3F" w:rsidRDefault="00B46E1D" w:rsidP="0022106F">
      <w:pPr>
        <w:pStyle w:val="Heading2"/>
        <w:spacing w:after="240"/>
      </w:pPr>
      <w:bookmarkStart w:id="32" w:name="_Toc496195905"/>
      <w:bookmarkStart w:id="33" w:name="_Toc188361314"/>
      <w:r w:rsidRPr="002F0E3F">
        <w:lastRenderedPageBreak/>
        <w:t xml:space="preserve">Section III: </w:t>
      </w:r>
      <w:r w:rsidR="0022106F">
        <w:t>California’s Migratory</w:t>
      </w:r>
      <w:r w:rsidR="00605C16" w:rsidRPr="002F0E3F">
        <w:t xml:space="preserve"> Student Profile</w:t>
      </w:r>
      <w:bookmarkEnd w:id="32"/>
      <w:bookmarkEnd w:id="33"/>
    </w:p>
    <w:p w14:paraId="724FF10A" w14:textId="2E42DFD2" w:rsidR="00605C16" w:rsidRPr="002F0E3F" w:rsidRDefault="00605C16" w:rsidP="00CF280A">
      <w:pPr>
        <w:spacing w:after="240"/>
        <w:rPr>
          <w:rFonts w:cs="Arial"/>
        </w:rPr>
      </w:pPr>
      <w:r w:rsidRPr="002F0E3F">
        <w:rPr>
          <w:rFonts w:cs="Arial"/>
        </w:rPr>
        <w:t xml:space="preserve">For the purposes of </w:t>
      </w:r>
      <w:r w:rsidR="008C7BB6">
        <w:rPr>
          <w:rFonts w:cs="Arial"/>
        </w:rPr>
        <w:t xml:space="preserve">supporting the key decisions within </w:t>
      </w:r>
      <w:r w:rsidRPr="002F0E3F">
        <w:rPr>
          <w:rFonts w:cs="Arial"/>
        </w:rPr>
        <w:t xml:space="preserve">this report, the CDE included an abridged version </w:t>
      </w:r>
      <w:r w:rsidR="00B03746" w:rsidRPr="002F0E3F">
        <w:rPr>
          <w:rFonts w:cs="Arial"/>
        </w:rPr>
        <w:t>of the Migrat</w:t>
      </w:r>
      <w:r w:rsidR="00877DC9">
        <w:rPr>
          <w:rFonts w:cs="Arial"/>
        </w:rPr>
        <w:t>ory</w:t>
      </w:r>
      <w:r w:rsidR="00B03746" w:rsidRPr="002F0E3F">
        <w:rPr>
          <w:rFonts w:cs="Arial"/>
        </w:rPr>
        <w:t xml:space="preserve"> Student Profile</w:t>
      </w:r>
      <w:r w:rsidRPr="002F0E3F">
        <w:rPr>
          <w:rFonts w:cs="Arial"/>
        </w:rPr>
        <w:t>.</w:t>
      </w:r>
      <w:r w:rsidRPr="002F0E3F">
        <w:rPr>
          <w:rStyle w:val="FootnoteReference"/>
          <w:rFonts w:cs="Arial"/>
        </w:rPr>
        <w:footnoteReference w:id="6"/>
      </w:r>
      <w:r w:rsidRPr="002F0E3F">
        <w:rPr>
          <w:rFonts w:cs="Arial"/>
        </w:rPr>
        <w:t xml:space="preserve"> </w:t>
      </w:r>
      <w:r w:rsidR="00B03746" w:rsidRPr="002F0E3F">
        <w:rPr>
          <w:rFonts w:cs="Arial"/>
        </w:rPr>
        <w:t xml:space="preserve">The </w:t>
      </w:r>
      <w:r w:rsidR="009E352E">
        <w:rPr>
          <w:rFonts w:cs="Arial"/>
        </w:rPr>
        <w:t>Migratory Student Profile</w:t>
      </w:r>
      <w:r w:rsidRPr="002F0E3F">
        <w:rPr>
          <w:rFonts w:cs="Arial"/>
        </w:rPr>
        <w:t xml:space="preserve"> was designed to assist </w:t>
      </w:r>
      <w:r w:rsidR="00C36D46">
        <w:rPr>
          <w:rFonts w:cs="Arial"/>
        </w:rPr>
        <w:t>the CNA SDP Committee</w:t>
      </w:r>
      <w:r w:rsidRPr="002F0E3F">
        <w:rPr>
          <w:rFonts w:cs="Arial"/>
        </w:rPr>
        <w:t xml:space="preserve"> in understanding the demographic characteristics and unique educational needs of California’s MEP-eligible children.</w:t>
      </w:r>
      <w:r w:rsidR="00E53755" w:rsidRPr="002F0E3F">
        <w:rPr>
          <w:rFonts w:cs="Arial"/>
          <w:vertAlign w:val="superscript"/>
        </w:rPr>
        <w:t xml:space="preserve"> </w:t>
      </w:r>
      <w:r w:rsidRPr="002F0E3F">
        <w:rPr>
          <w:rFonts w:cs="Arial"/>
        </w:rPr>
        <w:t xml:space="preserve">It provides </w:t>
      </w:r>
      <w:r w:rsidR="007F5973">
        <w:rPr>
          <w:rFonts w:cs="Arial"/>
        </w:rPr>
        <w:t xml:space="preserve">information about </w:t>
      </w:r>
      <w:r w:rsidRPr="002F0E3F">
        <w:rPr>
          <w:rFonts w:cs="Arial"/>
        </w:rPr>
        <w:t xml:space="preserve">migratory children’s population size, age, home language, and educational outcomes. It also explores characteristics of California’s migratory </w:t>
      </w:r>
      <w:r w:rsidR="00D815E9" w:rsidRPr="002F0E3F">
        <w:rPr>
          <w:rFonts w:cs="Arial"/>
        </w:rPr>
        <w:t>OSY</w:t>
      </w:r>
      <w:r w:rsidRPr="002F0E3F">
        <w:rPr>
          <w:rFonts w:cs="Arial"/>
        </w:rPr>
        <w:t xml:space="preserve"> population, and migratory children’s school readiness, parent involvement, health service needs, and engagement in school. </w:t>
      </w:r>
      <w:r w:rsidR="008C7BB6">
        <w:rPr>
          <w:rFonts w:cs="Arial"/>
        </w:rPr>
        <w:t>Committee members</w:t>
      </w:r>
      <w:r w:rsidRPr="002F0E3F">
        <w:rPr>
          <w:rFonts w:cs="Arial"/>
        </w:rPr>
        <w:t xml:space="preserve"> utilized this profile as they identified migratory student needs. The CNA briefly reviews student achievement data, English language proficiency, high school graduation and dropout rates as well as OSY demographics and MEP health service data. </w:t>
      </w:r>
      <w:r w:rsidR="008C7BB6" w:rsidRPr="008C7BB6">
        <w:rPr>
          <w:rFonts w:cs="Arial"/>
        </w:rPr>
        <w:t>Throughout this report all year spans refer</w:t>
      </w:r>
      <w:r w:rsidR="008C7BB6">
        <w:rPr>
          <w:rFonts w:cs="Arial"/>
        </w:rPr>
        <w:t>ring to student achievement data represent</w:t>
      </w:r>
      <w:r w:rsidR="008C7BB6" w:rsidRPr="008C7BB6">
        <w:rPr>
          <w:rFonts w:cs="Arial"/>
        </w:rPr>
        <w:t xml:space="preserve"> school year</w:t>
      </w:r>
      <w:r w:rsidR="008C7BB6">
        <w:rPr>
          <w:rFonts w:cs="Arial"/>
        </w:rPr>
        <w:t>s.</w:t>
      </w:r>
      <w:r w:rsidR="008C7BB6" w:rsidRPr="008C7BB6">
        <w:rPr>
          <w:rFonts w:cs="Arial"/>
        </w:rPr>
        <w:t xml:space="preserve"> </w:t>
      </w:r>
      <w:r w:rsidR="008C7BB6">
        <w:rPr>
          <w:rFonts w:cs="Arial"/>
        </w:rPr>
        <w:t xml:space="preserve">Demographic and service data is specific to the performance period (September 1–August 30) </w:t>
      </w:r>
      <w:r w:rsidR="005D504C">
        <w:rPr>
          <w:rFonts w:cs="Arial"/>
        </w:rPr>
        <w:t xml:space="preserve">which covers both regular school year and summer school </w:t>
      </w:r>
      <w:r w:rsidR="008C7BB6">
        <w:rPr>
          <w:rFonts w:cs="Arial"/>
        </w:rPr>
        <w:t xml:space="preserve">for the MEP grant. </w:t>
      </w:r>
      <w:r w:rsidRPr="002F0E3F">
        <w:rPr>
          <w:rFonts w:cs="Arial"/>
        </w:rPr>
        <w:t xml:space="preserve">For </w:t>
      </w:r>
      <w:r w:rsidR="008C7BB6">
        <w:rPr>
          <w:rFonts w:cs="Arial"/>
        </w:rPr>
        <w:t>a complete look at available migratory child and youth data</w:t>
      </w:r>
      <w:r w:rsidRPr="002F0E3F">
        <w:rPr>
          <w:rFonts w:cs="Arial"/>
        </w:rPr>
        <w:t xml:space="preserve">, </w:t>
      </w:r>
      <w:r w:rsidR="00E53755" w:rsidRPr="002F0E3F">
        <w:rPr>
          <w:rFonts w:cs="Arial"/>
        </w:rPr>
        <w:t xml:space="preserve">please </w:t>
      </w:r>
      <w:r w:rsidR="008C7BB6">
        <w:rPr>
          <w:rFonts w:cs="Arial"/>
        </w:rPr>
        <w:t>review</w:t>
      </w:r>
      <w:r w:rsidR="00E53755" w:rsidRPr="002F0E3F">
        <w:rPr>
          <w:rFonts w:cs="Arial"/>
        </w:rPr>
        <w:t xml:space="preserve"> </w:t>
      </w:r>
      <w:r w:rsidRPr="002F0E3F">
        <w:rPr>
          <w:rFonts w:cs="Arial"/>
        </w:rPr>
        <w:t>the</w:t>
      </w:r>
      <w:r w:rsidR="00E53755" w:rsidRPr="002F0E3F">
        <w:rPr>
          <w:rFonts w:cs="Arial"/>
        </w:rPr>
        <w:t xml:space="preserve"> complete </w:t>
      </w:r>
      <w:r w:rsidR="009E352E">
        <w:rPr>
          <w:rFonts w:cs="Arial"/>
        </w:rPr>
        <w:t>Migratory Student Profile</w:t>
      </w:r>
      <w:r w:rsidRPr="002F0E3F">
        <w:rPr>
          <w:rFonts w:cs="Arial"/>
        </w:rPr>
        <w:t>.</w:t>
      </w:r>
    </w:p>
    <w:p w14:paraId="7FDF05B7" w14:textId="77777777" w:rsidR="00605C16" w:rsidRPr="002F0E3F" w:rsidRDefault="00605C16" w:rsidP="00CF280A">
      <w:pPr>
        <w:pStyle w:val="Heading3"/>
      </w:pPr>
      <w:bookmarkStart w:id="34" w:name="_Toc472607005"/>
      <w:bookmarkStart w:id="35" w:name="_Toc496195906"/>
      <w:bookmarkStart w:id="36" w:name="_Toc188361315"/>
      <w:r w:rsidRPr="002F0E3F">
        <w:t>Demographics</w:t>
      </w:r>
      <w:bookmarkEnd w:id="34"/>
      <w:bookmarkEnd w:id="35"/>
      <w:bookmarkEnd w:id="36"/>
    </w:p>
    <w:p w14:paraId="29EB2BB4" w14:textId="77777777" w:rsidR="00605C16" w:rsidRPr="002F0E3F" w:rsidRDefault="00605C16" w:rsidP="00CF280A">
      <w:pPr>
        <w:pStyle w:val="Heading4"/>
      </w:pPr>
      <w:bookmarkStart w:id="37" w:name="_Toc469510905"/>
      <w:bookmarkStart w:id="38" w:name="_Toc472607006"/>
      <w:r w:rsidRPr="002F0E3F">
        <w:t>Population Size and Trends</w:t>
      </w:r>
      <w:bookmarkEnd w:id="37"/>
      <w:bookmarkEnd w:id="38"/>
    </w:p>
    <w:p w14:paraId="737A7BBE" w14:textId="71DDCC04" w:rsidR="009E352E" w:rsidRPr="009E352E" w:rsidRDefault="00877DC9" w:rsidP="009E352E">
      <w:pPr>
        <w:pStyle w:val="Paragraph"/>
        <w:spacing w:line="240" w:lineRule="auto"/>
        <w:rPr>
          <w:color w:val="auto"/>
        </w:rPr>
      </w:pPr>
      <w:bookmarkStart w:id="39" w:name="_Toc472607004"/>
      <w:r w:rsidRPr="00F55385">
        <w:rPr>
          <w:color w:val="auto"/>
        </w:rPr>
        <w:t xml:space="preserve">An examination of recent trends in child and youth counts by age group reveals that </w:t>
      </w:r>
      <w:r w:rsidRPr="00F55385">
        <w:rPr>
          <w:color w:val="auto"/>
        </w:rPr>
        <w:br/>
        <w:t xml:space="preserve">the number of MEP-eligible children between three and twelve years old has declined since 2017–18. But in recent years, the number of youths between sixteen and twenty-one years old has increased. </w:t>
      </w:r>
      <w:r w:rsidR="003E3C7B">
        <w:rPr>
          <w:color w:val="auto"/>
        </w:rPr>
        <w:t>Figure</w:t>
      </w:r>
      <w:r w:rsidRPr="00F55385">
        <w:rPr>
          <w:color w:val="auto"/>
        </w:rPr>
        <w:t xml:space="preserve"> 3 shows the trend in child counts over the past six years for children aged three through twelve years at the start of the performance period</w:t>
      </w:r>
      <w:r w:rsidR="00611508">
        <w:rPr>
          <w:color w:val="auto"/>
        </w:rPr>
        <w:t>; table 3 shows the same data, but in table form</w:t>
      </w:r>
      <w:r w:rsidRPr="00F55385">
        <w:rPr>
          <w:color w:val="auto"/>
        </w:rPr>
        <w:t xml:space="preserve">. </w:t>
      </w:r>
      <w:r w:rsidR="003E3C7B">
        <w:rPr>
          <w:color w:val="auto"/>
        </w:rPr>
        <w:t>Figure</w:t>
      </w:r>
      <w:r w:rsidRPr="00F55385">
        <w:rPr>
          <w:color w:val="auto"/>
        </w:rPr>
        <w:t xml:space="preserve"> 4 shows the same trend for youths aged thirteen through twenty-one years</w:t>
      </w:r>
      <w:r w:rsidR="00611508">
        <w:rPr>
          <w:color w:val="auto"/>
        </w:rPr>
        <w:t>; table 4 displays the same data as figure 4 in table form</w:t>
      </w:r>
      <w:r w:rsidRPr="00F55385">
        <w:rPr>
          <w:color w:val="auto"/>
        </w:rPr>
        <w:t>.</w:t>
      </w:r>
      <w:r w:rsidR="009E352E">
        <w:rPr>
          <w:color w:val="1F3864" w:themeColor="accent5" w:themeShade="80"/>
        </w:rPr>
        <w:br w:type="page"/>
      </w:r>
    </w:p>
    <w:p w14:paraId="103698B6" w14:textId="218C0089" w:rsidR="00F55385" w:rsidRPr="00611508" w:rsidRDefault="00611508" w:rsidP="00066268">
      <w:pPr>
        <w:pStyle w:val="Heading5"/>
      </w:pPr>
      <w:bookmarkStart w:id="40" w:name="_Toc188030502"/>
      <w:r w:rsidRPr="00611508">
        <w:lastRenderedPageBreak/>
        <w:t xml:space="preserve">Figure </w:t>
      </w:r>
      <w:fldSimple w:instr=" SEQ Figure \* ARABIC ">
        <w:r w:rsidR="00AB15FE">
          <w:rPr>
            <w:noProof/>
          </w:rPr>
          <w:t>3</w:t>
        </w:r>
      </w:fldSimple>
      <w:r w:rsidRPr="00611508">
        <w:t>. Number of Migrant Education Program–Eligible Children Aged Three Years Through Twelve Years, by Age Group at the Start of the Performance Period, 2017–18 Through 2022–23</w:t>
      </w:r>
      <w:bookmarkEnd w:id="40"/>
    </w:p>
    <w:p w14:paraId="4FB7CF78" w14:textId="23840AB2" w:rsidR="00605C16" w:rsidRDefault="00877DC9" w:rsidP="00CF280A">
      <w:pPr>
        <w:pStyle w:val="DataSource"/>
        <w:jc w:val="center"/>
        <w:rPr>
          <w:rFonts w:ascii="Arial" w:hAnsi="Arial" w:cs="Arial"/>
          <w:color w:val="auto"/>
          <w:sz w:val="24"/>
        </w:rPr>
      </w:pPr>
      <w:r w:rsidRPr="00EC169D">
        <w:rPr>
          <w:noProof/>
        </w:rPr>
        <w:drawing>
          <wp:inline distT="0" distB="0" distL="0" distR="0" wp14:anchorId="1B9B273B" wp14:editId="5CDA96D8">
            <wp:extent cx="5828665" cy="2438400"/>
            <wp:effectExtent l="19050" t="19050" r="19685" b="19050"/>
            <wp:docPr id="612315257" name="Picture 1" descr="Number of Migrant Education Program–Eligible Children Aged Three Years Through Twelve Years, by Age Group at the Start of the Performance Period, 2017–18 Through 2022–23. Table 3 shows this data in table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315257" name="Picture 1" descr="Number of Migrant Education Program–Eligible Children Aged Three Years Through Twelve Years, by Age Group at the Start of the Performance Period, 2017–18 Through 2022–23. Table 3 shows this data in table format."/>
                    <pic:cNvPicPr/>
                  </pic:nvPicPr>
                  <pic:blipFill>
                    <a:blip r:embed="rId16"/>
                    <a:stretch>
                      <a:fillRect/>
                    </a:stretch>
                  </pic:blipFill>
                  <pic:spPr>
                    <a:xfrm>
                      <a:off x="0" y="0"/>
                      <a:ext cx="5828665" cy="2438400"/>
                    </a:xfrm>
                    <a:prstGeom prst="rect">
                      <a:avLst/>
                    </a:prstGeom>
                    <a:ln>
                      <a:solidFill>
                        <a:schemeClr val="tx1"/>
                      </a:solidFill>
                    </a:ln>
                  </pic:spPr>
                </pic:pic>
              </a:graphicData>
            </a:graphic>
          </wp:inline>
        </w:drawing>
      </w:r>
    </w:p>
    <w:p w14:paraId="172D1673" w14:textId="580B83A2" w:rsidR="00877DC9" w:rsidRDefault="00877DC9" w:rsidP="00CF280A">
      <w:pPr>
        <w:pStyle w:val="TableorFiguresNotesSources"/>
        <w:spacing w:line="240" w:lineRule="auto"/>
        <w:rPr>
          <w:color w:val="auto"/>
          <w:szCs w:val="24"/>
        </w:rPr>
      </w:pPr>
      <w:r w:rsidRPr="00F55385">
        <w:rPr>
          <w:color w:val="auto"/>
          <w:szCs w:val="24"/>
        </w:rPr>
        <w:t xml:space="preserve">Source: The MSIN </w:t>
      </w:r>
      <w:r w:rsidR="009E352E">
        <w:rPr>
          <w:color w:val="auto"/>
          <w:szCs w:val="24"/>
        </w:rPr>
        <w:t>databases</w:t>
      </w:r>
      <w:r w:rsidRPr="00F55385">
        <w:rPr>
          <w:color w:val="auto"/>
          <w:szCs w:val="24"/>
        </w:rPr>
        <w:t xml:space="preserve"> for the MEP,</w:t>
      </w:r>
      <w:r w:rsidR="00D1613E">
        <w:rPr>
          <w:color w:val="auto"/>
          <w:szCs w:val="24"/>
        </w:rPr>
        <w:t xml:space="preserve"> </w:t>
      </w:r>
      <w:r w:rsidRPr="00F55385">
        <w:rPr>
          <w:color w:val="auto"/>
          <w:szCs w:val="24"/>
        </w:rPr>
        <w:t>2017–18 through 2022–23</w:t>
      </w:r>
      <w:r w:rsidR="008C7BB6">
        <w:rPr>
          <w:color w:val="auto"/>
          <w:szCs w:val="24"/>
        </w:rPr>
        <w:t xml:space="preserve"> performance periods</w:t>
      </w:r>
      <w:r w:rsidRPr="00F55385">
        <w:rPr>
          <w:color w:val="auto"/>
          <w:szCs w:val="24"/>
        </w:rPr>
        <w:t>.</w:t>
      </w:r>
    </w:p>
    <w:p w14:paraId="11554853" w14:textId="3A5AB2FC" w:rsidR="00EE7E92" w:rsidRPr="00611508" w:rsidRDefault="00611508" w:rsidP="00066268">
      <w:pPr>
        <w:pStyle w:val="Heading5"/>
      </w:pPr>
      <w:bookmarkStart w:id="41" w:name="_Toc160787177"/>
      <w:bookmarkStart w:id="42" w:name="_Toc188030568"/>
      <w:r w:rsidRPr="00611508">
        <w:t xml:space="preserve">Table </w:t>
      </w:r>
      <w:fldSimple w:instr=" SEQ Table \* ARABIC ">
        <w:r w:rsidR="00D04DC5">
          <w:t>3</w:t>
        </w:r>
      </w:fldSimple>
      <w:r w:rsidRPr="00611508">
        <w:t>. Number of Migrant Education Program-Eligible Children Aged Three Years Through Twelve Years, by Age Group at the Start of the Performance Period, 2017–18 Through 2022–23</w:t>
      </w:r>
      <w:bookmarkEnd w:id="41"/>
      <w:bookmarkEnd w:id="42"/>
    </w:p>
    <w:tbl>
      <w:tblPr>
        <w:tblStyle w:val="ListTable3-Accent5"/>
        <w:tblW w:w="0" w:type="auto"/>
        <w:tblLayout w:type="fixed"/>
        <w:tblCellMar>
          <w:right w:w="108" w:type="dxa"/>
        </w:tblCellMar>
        <w:tblLook w:val="04A0" w:firstRow="1" w:lastRow="0" w:firstColumn="1" w:lastColumn="0" w:noHBand="0" w:noVBand="1"/>
      </w:tblPr>
      <w:tblGrid>
        <w:gridCol w:w="1325"/>
        <w:gridCol w:w="1325"/>
        <w:gridCol w:w="1325"/>
        <w:gridCol w:w="1325"/>
        <w:gridCol w:w="1325"/>
        <w:gridCol w:w="1325"/>
        <w:gridCol w:w="1325"/>
      </w:tblGrid>
      <w:tr w:rsidR="00EE7E92" w:rsidRPr="002321D5" w14:paraId="30177A7E" w14:textId="77777777" w:rsidTr="009E56F2">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325" w:type="dxa"/>
            <w:noWrap/>
            <w:vAlign w:val="center"/>
            <w:hideMark/>
          </w:tcPr>
          <w:p w14:paraId="00C22A13" w14:textId="77777777" w:rsidR="00EE7E92" w:rsidRPr="009D5661" w:rsidRDefault="00EE7E92" w:rsidP="009E56F2">
            <w:pPr>
              <w:pStyle w:val="TableHeaderRow"/>
            </w:pPr>
            <w:r w:rsidRPr="009D5661">
              <w:t>Age Group</w:t>
            </w:r>
          </w:p>
        </w:tc>
        <w:tc>
          <w:tcPr>
            <w:tcW w:w="1325" w:type="dxa"/>
            <w:vAlign w:val="center"/>
            <w:hideMark/>
          </w:tcPr>
          <w:p w14:paraId="33D4D20D" w14:textId="77777777" w:rsidR="00EE7E92" w:rsidRPr="009D5661" w:rsidRDefault="00EE7E92" w:rsidP="009E56F2">
            <w:pPr>
              <w:pStyle w:val="TableHeaderRow"/>
              <w:cnfStyle w:val="100000000000" w:firstRow="1" w:lastRow="0" w:firstColumn="0" w:lastColumn="0" w:oddVBand="0" w:evenVBand="0" w:oddHBand="0" w:evenHBand="0" w:firstRowFirstColumn="0" w:firstRowLastColumn="0" w:lastRowFirstColumn="0" w:lastRowLastColumn="0"/>
            </w:pPr>
            <w:r w:rsidRPr="009D5661">
              <w:t>2017–18</w:t>
            </w:r>
          </w:p>
        </w:tc>
        <w:tc>
          <w:tcPr>
            <w:tcW w:w="1325" w:type="dxa"/>
            <w:vAlign w:val="center"/>
            <w:hideMark/>
          </w:tcPr>
          <w:p w14:paraId="068B0A94" w14:textId="77777777" w:rsidR="00EE7E92" w:rsidRPr="009D5661" w:rsidRDefault="00EE7E92" w:rsidP="009E56F2">
            <w:pPr>
              <w:pStyle w:val="TableHeaderRow"/>
              <w:cnfStyle w:val="100000000000" w:firstRow="1" w:lastRow="0" w:firstColumn="0" w:lastColumn="0" w:oddVBand="0" w:evenVBand="0" w:oddHBand="0" w:evenHBand="0" w:firstRowFirstColumn="0" w:firstRowLastColumn="0" w:lastRowFirstColumn="0" w:lastRowLastColumn="0"/>
            </w:pPr>
            <w:r w:rsidRPr="009D5661">
              <w:t>2018–19</w:t>
            </w:r>
          </w:p>
        </w:tc>
        <w:tc>
          <w:tcPr>
            <w:tcW w:w="1325" w:type="dxa"/>
            <w:vAlign w:val="center"/>
            <w:hideMark/>
          </w:tcPr>
          <w:p w14:paraId="1F21842E" w14:textId="77777777" w:rsidR="00EE7E92" w:rsidRPr="009D5661" w:rsidRDefault="00EE7E92" w:rsidP="009E56F2">
            <w:pPr>
              <w:pStyle w:val="TableHeaderRow"/>
              <w:cnfStyle w:val="100000000000" w:firstRow="1" w:lastRow="0" w:firstColumn="0" w:lastColumn="0" w:oddVBand="0" w:evenVBand="0" w:oddHBand="0" w:evenHBand="0" w:firstRowFirstColumn="0" w:firstRowLastColumn="0" w:lastRowFirstColumn="0" w:lastRowLastColumn="0"/>
            </w:pPr>
            <w:r w:rsidRPr="009D5661">
              <w:t>2019–20</w:t>
            </w:r>
          </w:p>
        </w:tc>
        <w:tc>
          <w:tcPr>
            <w:tcW w:w="1325" w:type="dxa"/>
            <w:vAlign w:val="center"/>
            <w:hideMark/>
          </w:tcPr>
          <w:p w14:paraId="63D8A194" w14:textId="77777777" w:rsidR="00EE7E92" w:rsidRPr="009D5661" w:rsidRDefault="00EE7E92" w:rsidP="009E56F2">
            <w:pPr>
              <w:pStyle w:val="TableHeaderRow"/>
              <w:cnfStyle w:val="100000000000" w:firstRow="1" w:lastRow="0" w:firstColumn="0" w:lastColumn="0" w:oddVBand="0" w:evenVBand="0" w:oddHBand="0" w:evenHBand="0" w:firstRowFirstColumn="0" w:firstRowLastColumn="0" w:lastRowFirstColumn="0" w:lastRowLastColumn="0"/>
            </w:pPr>
            <w:r w:rsidRPr="009D5661">
              <w:t>2020–21</w:t>
            </w:r>
          </w:p>
        </w:tc>
        <w:tc>
          <w:tcPr>
            <w:tcW w:w="1325" w:type="dxa"/>
            <w:vAlign w:val="center"/>
            <w:hideMark/>
          </w:tcPr>
          <w:p w14:paraId="08BB8A31" w14:textId="77777777" w:rsidR="00EE7E92" w:rsidRPr="000E71FB" w:rsidRDefault="00EE7E92" w:rsidP="009E56F2">
            <w:pPr>
              <w:pStyle w:val="TableHeaderRow"/>
              <w:cnfStyle w:val="100000000000" w:firstRow="1" w:lastRow="0" w:firstColumn="0" w:lastColumn="0" w:oddVBand="0" w:evenVBand="0" w:oddHBand="0" w:evenHBand="0" w:firstRowFirstColumn="0" w:firstRowLastColumn="0" w:lastRowFirstColumn="0" w:lastRowLastColumn="0"/>
            </w:pPr>
            <w:r w:rsidRPr="000E71FB">
              <w:t xml:space="preserve">2021–22 </w:t>
            </w:r>
          </w:p>
        </w:tc>
        <w:tc>
          <w:tcPr>
            <w:tcW w:w="1325" w:type="dxa"/>
            <w:vAlign w:val="center"/>
          </w:tcPr>
          <w:p w14:paraId="1DB12650" w14:textId="77777777" w:rsidR="00EE7E92" w:rsidRPr="000E71FB" w:rsidRDefault="00EE7E92" w:rsidP="009E56F2">
            <w:pPr>
              <w:pStyle w:val="TableHeaderRow"/>
              <w:cnfStyle w:val="100000000000" w:firstRow="1" w:lastRow="0" w:firstColumn="0" w:lastColumn="0" w:oddVBand="0" w:evenVBand="0" w:oddHBand="0" w:evenHBand="0" w:firstRowFirstColumn="0" w:firstRowLastColumn="0" w:lastRowFirstColumn="0" w:lastRowLastColumn="0"/>
            </w:pPr>
            <w:r>
              <w:t>2022–23</w:t>
            </w:r>
          </w:p>
        </w:tc>
      </w:tr>
      <w:tr w:rsidR="00EE7E92" w:rsidRPr="002321D5" w14:paraId="0FF75022" w14:textId="77777777" w:rsidTr="00EE7E92">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5" w:type="dxa"/>
            <w:shd w:val="clear" w:color="auto" w:fill="BDD6EE" w:themeFill="accent1" w:themeFillTint="66"/>
            <w:noWrap/>
            <w:hideMark/>
          </w:tcPr>
          <w:p w14:paraId="0FC30CCB" w14:textId="77777777" w:rsidR="00EE7E92" w:rsidRPr="002321D5" w:rsidRDefault="00EE7E92" w:rsidP="0041205C">
            <w:pPr>
              <w:pStyle w:val="TableCategoryText"/>
            </w:pPr>
            <w:r>
              <w:t>9–12 years</w:t>
            </w:r>
          </w:p>
        </w:tc>
        <w:tc>
          <w:tcPr>
            <w:tcW w:w="1325" w:type="dxa"/>
            <w:shd w:val="clear" w:color="auto" w:fill="D9E2F3" w:themeFill="accent5" w:themeFillTint="33"/>
            <w:hideMark/>
          </w:tcPr>
          <w:p w14:paraId="48CE7321" w14:textId="77777777" w:rsidR="00EE7E92" w:rsidRPr="0041205C" w:rsidRDefault="00EE7E92" w:rsidP="009E56F2">
            <w:pPr>
              <w:pStyle w:val="TableBodyText"/>
              <w:ind w:right="245"/>
              <w:jc w:val="center"/>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22,442</w:t>
            </w:r>
          </w:p>
        </w:tc>
        <w:tc>
          <w:tcPr>
            <w:tcW w:w="1325" w:type="dxa"/>
            <w:shd w:val="clear" w:color="auto" w:fill="D9E2F3" w:themeFill="accent5" w:themeFillTint="33"/>
            <w:hideMark/>
          </w:tcPr>
          <w:p w14:paraId="33239959" w14:textId="77777777" w:rsidR="00EE7E92" w:rsidRPr="0041205C" w:rsidRDefault="00EE7E92" w:rsidP="009E56F2">
            <w:pPr>
              <w:pStyle w:val="TableBodyText"/>
              <w:ind w:right="245"/>
              <w:jc w:val="center"/>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20,745</w:t>
            </w:r>
          </w:p>
        </w:tc>
        <w:tc>
          <w:tcPr>
            <w:tcW w:w="1325" w:type="dxa"/>
            <w:shd w:val="clear" w:color="auto" w:fill="D9E2F3" w:themeFill="accent5" w:themeFillTint="33"/>
            <w:hideMark/>
          </w:tcPr>
          <w:p w14:paraId="77BEB56F" w14:textId="77777777" w:rsidR="00EE7E92" w:rsidRPr="0041205C" w:rsidRDefault="00EE7E92" w:rsidP="009E56F2">
            <w:pPr>
              <w:pStyle w:val="TableBodyText"/>
              <w:ind w:right="245"/>
              <w:jc w:val="center"/>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19,823</w:t>
            </w:r>
          </w:p>
        </w:tc>
        <w:tc>
          <w:tcPr>
            <w:tcW w:w="1325" w:type="dxa"/>
            <w:shd w:val="clear" w:color="auto" w:fill="D9E2F3" w:themeFill="accent5" w:themeFillTint="33"/>
            <w:hideMark/>
          </w:tcPr>
          <w:p w14:paraId="6A4355D0" w14:textId="77777777" w:rsidR="00EE7E92" w:rsidRPr="0041205C" w:rsidRDefault="00EE7E92" w:rsidP="009E56F2">
            <w:pPr>
              <w:pStyle w:val="TableBodyText"/>
              <w:ind w:right="245"/>
              <w:jc w:val="center"/>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19,001</w:t>
            </w:r>
          </w:p>
        </w:tc>
        <w:tc>
          <w:tcPr>
            <w:tcW w:w="1325" w:type="dxa"/>
            <w:shd w:val="clear" w:color="auto" w:fill="D9E2F3" w:themeFill="accent5" w:themeFillTint="33"/>
            <w:hideMark/>
          </w:tcPr>
          <w:p w14:paraId="343FFB62" w14:textId="77777777" w:rsidR="00EE7E92" w:rsidRPr="0041205C" w:rsidRDefault="00EE7E92" w:rsidP="009E56F2">
            <w:pPr>
              <w:pStyle w:val="TableBodyText"/>
              <w:ind w:right="245"/>
              <w:jc w:val="center"/>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18,396</w:t>
            </w:r>
          </w:p>
        </w:tc>
        <w:tc>
          <w:tcPr>
            <w:tcW w:w="1325" w:type="dxa"/>
            <w:shd w:val="clear" w:color="auto" w:fill="D9E2F3" w:themeFill="accent5" w:themeFillTint="33"/>
          </w:tcPr>
          <w:p w14:paraId="159BAAE2" w14:textId="77777777" w:rsidR="00EE7E92" w:rsidRPr="0041205C" w:rsidRDefault="00EE7E92" w:rsidP="009E56F2">
            <w:pPr>
              <w:pStyle w:val="TableBodyText"/>
              <w:ind w:right="245"/>
              <w:jc w:val="center"/>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18,272</w:t>
            </w:r>
          </w:p>
        </w:tc>
      </w:tr>
      <w:tr w:rsidR="00EE7E92" w:rsidRPr="002321D5" w14:paraId="40DDE9F4" w14:textId="77777777" w:rsidTr="00EE7E92">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5" w:type="dxa"/>
            <w:shd w:val="clear" w:color="auto" w:fill="BDD6EE" w:themeFill="accent1" w:themeFillTint="66"/>
            <w:noWrap/>
            <w:hideMark/>
          </w:tcPr>
          <w:p w14:paraId="1DC9EC64" w14:textId="77777777" w:rsidR="00EE7E92" w:rsidRPr="002321D5" w:rsidRDefault="00EE7E92" w:rsidP="0041205C">
            <w:pPr>
              <w:pStyle w:val="TableCategoryText"/>
              <w:rPr>
                <w:lang w:eastAsia="en-US"/>
              </w:rPr>
            </w:pPr>
            <w:r>
              <w:t>6–8 years</w:t>
            </w:r>
          </w:p>
        </w:tc>
        <w:tc>
          <w:tcPr>
            <w:tcW w:w="1325" w:type="dxa"/>
            <w:shd w:val="clear" w:color="auto" w:fill="D9E2F3" w:themeFill="accent5" w:themeFillTint="33"/>
            <w:hideMark/>
          </w:tcPr>
          <w:p w14:paraId="667E691B" w14:textId="77777777" w:rsidR="00EE7E92" w:rsidRPr="0041205C" w:rsidRDefault="00EE7E92" w:rsidP="009E56F2">
            <w:pPr>
              <w:pStyle w:val="TableBodyText"/>
              <w:ind w:right="245"/>
              <w:jc w:val="center"/>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15,593</w:t>
            </w:r>
          </w:p>
        </w:tc>
        <w:tc>
          <w:tcPr>
            <w:tcW w:w="1325" w:type="dxa"/>
            <w:shd w:val="clear" w:color="auto" w:fill="D9E2F3" w:themeFill="accent5" w:themeFillTint="33"/>
            <w:hideMark/>
          </w:tcPr>
          <w:p w14:paraId="1A93142B" w14:textId="77777777" w:rsidR="00EE7E92" w:rsidRPr="0041205C" w:rsidRDefault="00EE7E92" w:rsidP="009E56F2">
            <w:pPr>
              <w:pStyle w:val="TableBodyText"/>
              <w:ind w:right="245"/>
              <w:jc w:val="center"/>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14,554</w:t>
            </w:r>
          </w:p>
        </w:tc>
        <w:tc>
          <w:tcPr>
            <w:tcW w:w="1325" w:type="dxa"/>
            <w:shd w:val="clear" w:color="auto" w:fill="D9E2F3" w:themeFill="accent5" w:themeFillTint="33"/>
            <w:hideMark/>
          </w:tcPr>
          <w:p w14:paraId="1779638E" w14:textId="77777777" w:rsidR="00EE7E92" w:rsidRPr="0041205C" w:rsidRDefault="00EE7E92" w:rsidP="009E56F2">
            <w:pPr>
              <w:pStyle w:val="TableBodyText"/>
              <w:ind w:right="245"/>
              <w:jc w:val="center"/>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13,620</w:t>
            </w:r>
          </w:p>
        </w:tc>
        <w:tc>
          <w:tcPr>
            <w:tcW w:w="1325" w:type="dxa"/>
            <w:shd w:val="clear" w:color="auto" w:fill="D9E2F3" w:themeFill="accent5" w:themeFillTint="33"/>
            <w:hideMark/>
          </w:tcPr>
          <w:p w14:paraId="26ECFF53" w14:textId="77777777" w:rsidR="00EE7E92" w:rsidRPr="0041205C" w:rsidRDefault="00EE7E92" w:rsidP="009E56F2">
            <w:pPr>
              <w:pStyle w:val="TableBodyText"/>
              <w:ind w:right="245"/>
              <w:jc w:val="center"/>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12,843</w:t>
            </w:r>
          </w:p>
        </w:tc>
        <w:tc>
          <w:tcPr>
            <w:tcW w:w="1325" w:type="dxa"/>
            <w:shd w:val="clear" w:color="auto" w:fill="D9E2F3" w:themeFill="accent5" w:themeFillTint="33"/>
            <w:hideMark/>
          </w:tcPr>
          <w:p w14:paraId="6D0BEA97" w14:textId="77777777" w:rsidR="00EE7E92" w:rsidRPr="0041205C" w:rsidRDefault="00EE7E92" w:rsidP="009E56F2">
            <w:pPr>
              <w:pStyle w:val="TableBodyText"/>
              <w:ind w:right="245"/>
              <w:jc w:val="center"/>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12,511</w:t>
            </w:r>
          </w:p>
        </w:tc>
        <w:tc>
          <w:tcPr>
            <w:tcW w:w="1325" w:type="dxa"/>
            <w:shd w:val="clear" w:color="auto" w:fill="D9E2F3" w:themeFill="accent5" w:themeFillTint="33"/>
          </w:tcPr>
          <w:p w14:paraId="7D33A215" w14:textId="77777777" w:rsidR="00EE7E92" w:rsidRPr="0041205C" w:rsidRDefault="00EE7E92" w:rsidP="009E56F2">
            <w:pPr>
              <w:pStyle w:val="TableBodyText"/>
              <w:ind w:right="245"/>
              <w:jc w:val="center"/>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12,480</w:t>
            </w:r>
          </w:p>
        </w:tc>
      </w:tr>
      <w:tr w:rsidR="00EE7E92" w:rsidRPr="002321D5" w14:paraId="46AAF16A" w14:textId="77777777" w:rsidTr="00EE7E92">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5" w:type="dxa"/>
            <w:shd w:val="clear" w:color="auto" w:fill="BDD6EE" w:themeFill="accent1" w:themeFillTint="66"/>
            <w:noWrap/>
            <w:hideMark/>
          </w:tcPr>
          <w:p w14:paraId="1C6505E4" w14:textId="77777777" w:rsidR="00EE7E92" w:rsidRPr="002321D5" w:rsidRDefault="00EE7E92" w:rsidP="0041205C">
            <w:pPr>
              <w:pStyle w:val="TableCategoryText"/>
              <w:rPr>
                <w:lang w:eastAsia="en-US"/>
              </w:rPr>
            </w:pPr>
            <w:r>
              <w:t>3–5 years</w:t>
            </w:r>
          </w:p>
        </w:tc>
        <w:tc>
          <w:tcPr>
            <w:tcW w:w="1325" w:type="dxa"/>
            <w:shd w:val="clear" w:color="auto" w:fill="D9E2F3" w:themeFill="accent5" w:themeFillTint="33"/>
            <w:hideMark/>
          </w:tcPr>
          <w:p w14:paraId="6A9FC3E8" w14:textId="77777777" w:rsidR="00EE7E92" w:rsidRPr="0041205C" w:rsidRDefault="00EE7E92" w:rsidP="009E56F2">
            <w:pPr>
              <w:pStyle w:val="TableBodyText"/>
              <w:ind w:right="245"/>
              <w:jc w:val="center"/>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9,801</w:t>
            </w:r>
          </w:p>
        </w:tc>
        <w:tc>
          <w:tcPr>
            <w:tcW w:w="1325" w:type="dxa"/>
            <w:shd w:val="clear" w:color="auto" w:fill="D9E2F3" w:themeFill="accent5" w:themeFillTint="33"/>
            <w:hideMark/>
          </w:tcPr>
          <w:p w14:paraId="0E2B9172" w14:textId="77777777" w:rsidR="00EE7E92" w:rsidRPr="0041205C" w:rsidRDefault="00EE7E92" w:rsidP="009E56F2">
            <w:pPr>
              <w:pStyle w:val="TableBodyText"/>
              <w:ind w:right="245"/>
              <w:jc w:val="center"/>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9,742</w:t>
            </w:r>
          </w:p>
        </w:tc>
        <w:tc>
          <w:tcPr>
            <w:tcW w:w="1325" w:type="dxa"/>
            <w:shd w:val="clear" w:color="auto" w:fill="D9E2F3" w:themeFill="accent5" w:themeFillTint="33"/>
            <w:hideMark/>
          </w:tcPr>
          <w:p w14:paraId="3877870D" w14:textId="77777777" w:rsidR="00EE7E92" w:rsidRPr="0041205C" w:rsidRDefault="00EE7E92" w:rsidP="009E56F2">
            <w:pPr>
              <w:pStyle w:val="TableBodyText"/>
              <w:ind w:right="245"/>
              <w:jc w:val="center"/>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8,745</w:t>
            </w:r>
          </w:p>
        </w:tc>
        <w:tc>
          <w:tcPr>
            <w:tcW w:w="1325" w:type="dxa"/>
            <w:shd w:val="clear" w:color="auto" w:fill="D9E2F3" w:themeFill="accent5" w:themeFillTint="33"/>
            <w:hideMark/>
          </w:tcPr>
          <w:p w14:paraId="5C84BFE2" w14:textId="77777777" w:rsidR="00EE7E92" w:rsidRPr="0041205C" w:rsidRDefault="00EE7E92" w:rsidP="009E56F2">
            <w:pPr>
              <w:pStyle w:val="TableBodyText"/>
              <w:ind w:right="245"/>
              <w:jc w:val="center"/>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8,043</w:t>
            </w:r>
          </w:p>
        </w:tc>
        <w:tc>
          <w:tcPr>
            <w:tcW w:w="1325" w:type="dxa"/>
            <w:shd w:val="clear" w:color="auto" w:fill="D9E2F3" w:themeFill="accent5" w:themeFillTint="33"/>
            <w:hideMark/>
          </w:tcPr>
          <w:p w14:paraId="6BC229D9" w14:textId="77777777" w:rsidR="00EE7E92" w:rsidRPr="0041205C" w:rsidRDefault="00EE7E92" w:rsidP="009E56F2">
            <w:pPr>
              <w:pStyle w:val="TableBodyText"/>
              <w:ind w:right="245"/>
              <w:jc w:val="center"/>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7,719</w:t>
            </w:r>
          </w:p>
        </w:tc>
        <w:tc>
          <w:tcPr>
            <w:tcW w:w="1325" w:type="dxa"/>
            <w:shd w:val="clear" w:color="auto" w:fill="D9E2F3" w:themeFill="accent5" w:themeFillTint="33"/>
          </w:tcPr>
          <w:p w14:paraId="12CC677D" w14:textId="77777777" w:rsidR="00EE7E92" w:rsidRPr="0041205C" w:rsidRDefault="00EE7E92" w:rsidP="009E56F2">
            <w:pPr>
              <w:pStyle w:val="TableBodyText"/>
              <w:ind w:right="245"/>
              <w:jc w:val="center"/>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7,779</w:t>
            </w:r>
          </w:p>
        </w:tc>
      </w:tr>
    </w:tbl>
    <w:p w14:paraId="26FC4288" w14:textId="7AB5F3E3" w:rsidR="00EE7E92" w:rsidRPr="009D10E5" w:rsidRDefault="00EE7E92" w:rsidP="00EE7E92">
      <w:pPr>
        <w:pStyle w:val="TableorFiguresNotesSources"/>
        <w:rPr>
          <w:color w:val="2A414D"/>
          <w:szCs w:val="24"/>
        </w:rPr>
      </w:pPr>
      <w:r w:rsidRPr="009D10E5">
        <w:rPr>
          <w:color w:val="2A414D"/>
          <w:szCs w:val="24"/>
        </w:rPr>
        <w:t xml:space="preserve">Source: The MSIN </w:t>
      </w:r>
      <w:r w:rsidR="007F5973" w:rsidRPr="009D10E5">
        <w:rPr>
          <w:color w:val="2A414D"/>
          <w:szCs w:val="24"/>
        </w:rPr>
        <w:t>d</w:t>
      </w:r>
      <w:r w:rsidRPr="009D10E5">
        <w:rPr>
          <w:color w:val="2A414D"/>
          <w:szCs w:val="24"/>
        </w:rPr>
        <w:t>atabase for the MEP, 2017–18 through 2022–23</w:t>
      </w:r>
      <w:r w:rsidR="008C7BB6" w:rsidRPr="009D10E5">
        <w:rPr>
          <w:color w:val="2A414D"/>
          <w:szCs w:val="24"/>
        </w:rPr>
        <w:t xml:space="preserve"> performance periods</w:t>
      </w:r>
      <w:r w:rsidRPr="009D10E5">
        <w:rPr>
          <w:color w:val="2A414D"/>
          <w:szCs w:val="24"/>
        </w:rPr>
        <w:t>.</w:t>
      </w:r>
    </w:p>
    <w:p w14:paraId="6847EC4D" w14:textId="77777777" w:rsidR="003D1ADA" w:rsidRDefault="003D1ADA">
      <w:pPr>
        <w:rPr>
          <w:rFonts w:eastAsia="Times New Roman" w:cs="Arial"/>
          <w:b/>
          <w:color w:val="1F3864" w:themeColor="accent5" w:themeShade="80"/>
          <w:lang w:eastAsia="zh-CN"/>
        </w:rPr>
      </w:pPr>
      <w:r>
        <w:rPr>
          <w:color w:val="1F3864" w:themeColor="accent5" w:themeShade="80"/>
        </w:rPr>
        <w:br w:type="page"/>
      </w:r>
    </w:p>
    <w:p w14:paraId="4A54083F" w14:textId="0F5CCE28" w:rsidR="00F55385" w:rsidRPr="00F55385" w:rsidRDefault="00611508" w:rsidP="00066268">
      <w:pPr>
        <w:pStyle w:val="Heading5"/>
      </w:pPr>
      <w:bookmarkStart w:id="43" w:name="_Toc188030503"/>
      <w:r w:rsidRPr="00611508">
        <w:lastRenderedPageBreak/>
        <w:t xml:space="preserve">Figure </w:t>
      </w:r>
      <w:fldSimple w:instr=" SEQ Figure \* ARABIC ">
        <w:r w:rsidR="00AB15FE">
          <w:rPr>
            <w:noProof/>
          </w:rPr>
          <w:t>4</w:t>
        </w:r>
      </w:fldSimple>
      <w:r w:rsidRPr="00611508">
        <w:t>. Number of Migrant Education Program–Eligible Youths Aged Thirteen Years Through Twenty-One Years, by Age Group at the Start of the Performance Period, 2017–18 Through 2022–23</w:t>
      </w:r>
      <w:bookmarkEnd w:id="43"/>
    </w:p>
    <w:p w14:paraId="667AFC47" w14:textId="6995E7A7" w:rsidR="00877DC9" w:rsidRDefault="00EC169D" w:rsidP="00CF280A">
      <w:pPr>
        <w:pStyle w:val="DataSource"/>
        <w:spacing w:after="240"/>
        <w:rPr>
          <w:rFonts w:ascii="Arial" w:hAnsi="Arial" w:cs="Arial"/>
          <w:color w:val="auto"/>
          <w:sz w:val="24"/>
        </w:rPr>
      </w:pPr>
      <w:r>
        <w:rPr>
          <w:noProof/>
        </w:rPr>
        <w:drawing>
          <wp:inline distT="0" distB="0" distL="0" distR="0" wp14:anchorId="36E4E967" wp14:editId="49FEEAFB">
            <wp:extent cx="5943600" cy="3255645"/>
            <wp:effectExtent l="19050" t="19050" r="19050" b="20955"/>
            <wp:docPr id="833932768" name="Picture 1" descr="Number of Migrant Education Program–Eligible Youths Aged Thirteen Years Through Twenty-One Years, by Age Group at the Start of the Performance Period, 2017–18 Through 2022–23. Table 4 illustrates all this data in table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932768" name="Picture 1" descr="Number of Migrant Education Program–Eligible Youths Aged Thirteen Years Through Twenty-One Years, by Age Group at the Start of the Performance Period, 2017–18 Through 2022–23. Table 4 illustrates all this data in table format."/>
                    <pic:cNvPicPr/>
                  </pic:nvPicPr>
                  <pic:blipFill>
                    <a:blip r:embed="rId17"/>
                    <a:stretch>
                      <a:fillRect/>
                    </a:stretch>
                  </pic:blipFill>
                  <pic:spPr>
                    <a:xfrm>
                      <a:off x="0" y="0"/>
                      <a:ext cx="5943600" cy="3255645"/>
                    </a:xfrm>
                    <a:prstGeom prst="rect">
                      <a:avLst/>
                    </a:prstGeom>
                    <a:ln>
                      <a:solidFill>
                        <a:schemeClr val="tx1"/>
                      </a:solidFill>
                    </a:ln>
                  </pic:spPr>
                </pic:pic>
              </a:graphicData>
            </a:graphic>
          </wp:inline>
        </w:drawing>
      </w:r>
    </w:p>
    <w:p w14:paraId="0793E3E9" w14:textId="57E2AB98" w:rsidR="00EC169D" w:rsidRDefault="00EC169D" w:rsidP="00066268">
      <w:pPr>
        <w:pStyle w:val="TableorFiguresNotesSources"/>
        <w:spacing w:after="240" w:line="240" w:lineRule="auto"/>
        <w:rPr>
          <w:color w:val="auto"/>
          <w:szCs w:val="24"/>
        </w:rPr>
      </w:pPr>
      <w:r w:rsidRPr="00F55385">
        <w:rPr>
          <w:bCs w:val="0"/>
          <w:color w:val="auto"/>
          <w:szCs w:val="24"/>
        </w:rPr>
        <w:t>Source: The MSIN</w:t>
      </w:r>
      <w:r w:rsidRPr="00F55385">
        <w:rPr>
          <w:color w:val="auto"/>
          <w:szCs w:val="24"/>
        </w:rPr>
        <w:t xml:space="preserve"> </w:t>
      </w:r>
      <w:r w:rsidR="007F5973">
        <w:rPr>
          <w:color w:val="auto"/>
          <w:szCs w:val="24"/>
        </w:rPr>
        <w:t>d</w:t>
      </w:r>
      <w:r w:rsidRPr="00F55385">
        <w:rPr>
          <w:color w:val="auto"/>
          <w:szCs w:val="24"/>
        </w:rPr>
        <w:t>atabase for the MEP, 2017–18 through 2022–23.</w:t>
      </w:r>
    </w:p>
    <w:p w14:paraId="5216E778" w14:textId="0666D683" w:rsidR="00611508" w:rsidRPr="00611508" w:rsidRDefault="00611508" w:rsidP="00066268">
      <w:pPr>
        <w:pStyle w:val="Heading5"/>
      </w:pPr>
      <w:bookmarkStart w:id="44" w:name="_Toc188030569"/>
      <w:r w:rsidRPr="00611508">
        <w:t xml:space="preserve">Table </w:t>
      </w:r>
      <w:fldSimple w:instr=" SEQ Table \* ARABIC ">
        <w:r w:rsidR="00D04DC5">
          <w:t>4</w:t>
        </w:r>
      </w:fldSimple>
      <w:r w:rsidRPr="00611508">
        <w:t>. Number of Migrant Education Program-Eligible Youths Aged Thirteen Years Through Twenty-One Years, by Age Group at the Start of the Performance Period, 2017–18 Through 2022–23</w:t>
      </w:r>
      <w:bookmarkEnd w:id="44"/>
    </w:p>
    <w:tbl>
      <w:tblPr>
        <w:tblStyle w:val="ListTable3-Accent5"/>
        <w:tblW w:w="9373" w:type="dxa"/>
        <w:tblLayout w:type="fixed"/>
        <w:tblCellMar>
          <w:right w:w="108" w:type="dxa"/>
        </w:tblCellMar>
        <w:tblLook w:val="04A0" w:firstRow="1" w:lastRow="0" w:firstColumn="1" w:lastColumn="0" w:noHBand="0" w:noVBand="1"/>
      </w:tblPr>
      <w:tblGrid>
        <w:gridCol w:w="1339"/>
        <w:gridCol w:w="1339"/>
        <w:gridCol w:w="1339"/>
        <w:gridCol w:w="1339"/>
        <w:gridCol w:w="1339"/>
        <w:gridCol w:w="1339"/>
        <w:gridCol w:w="1339"/>
      </w:tblGrid>
      <w:tr w:rsidR="003273F8" w:rsidRPr="002321D5" w14:paraId="1D75C2D6" w14:textId="77777777" w:rsidTr="00AE222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339" w:type="dxa"/>
            <w:noWrap/>
            <w:hideMark/>
          </w:tcPr>
          <w:p w14:paraId="3835F858" w14:textId="77777777" w:rsidR="003273F8" w:rsidRPr="009D5661" w:rsidRDefault="003273F8" w:rsidP="009E56F2">
            <w:pPr>
              <w:pStyle w:val="TableHeaderRow"/>
            </w:pPr>
            <w:r w:rsidRPr="009D5661">
              <w:t>Age Group</w:t>
            </w:r>
          </w:p>
        </w:tc>
        <w:tc>
          <w:tcPr>
            <w:tcW w:w="1339" w:type="dxa"/>
            <w:hideMark/>
          </w:tcPr>
          <w:p w14:paraId="0985208A" w14:textId="77777777" w:rsidR="003273F8" w:rsidRPr="009D5661" w:rsidRDefault="003273F8" w:rsidP="009E56F2">
            <w:pPr>
              <w:pStyle w:val="TableHeaderRow"/>
              <w:cnfStyle w:val="100000000000" w:firstRow="1" w:lastRow="0" w:firstColumn="0" w:lastColumn="0" w:oddVBand="0" w:evenVBand="0" w:oddHBand="0" w:evenHBand="0" w:firstRowFirstColumn="0" w:firstRowLastColumn="0" w:lastRowFirstColumn="0" w:lastRowLastColumn="0"/>
            </w:pPr>
            <w:r w:rsidRPr="009D5661">
              <w:t>2017–18</w:t>
            </w:r>
          </w:p>
        </w:tc>
        <w:tc>
          <w:tcPr>
            <w:tcW w:w="1339" w:type="dxa"/>
            <w:hideMark/>
          </w:tcPr>
          <w:p w14:paraId="533DF612" w14:textId="77777777" w:rsidR="003273F8" w:rsidRPr="009D5661" w:rsidRDefault="003273F8" w:rsidP="009E56F2">
            <w:pPr>
              <w:pStyle w:val="TableHeaderRow"/>
              <w:cnfStyle w:val="100000000000" w:firstRow="1" w:lastRow="0" w:firstColumn="0" w:lastColumn="0" w:oddVBand="0" w:evenVBand="0" w:oddHBand="0" w:evenHBand="0" w:firstRowFirstColumn="0" w:firstRowLastColumn="0" w:lastRowFirstColumn="0" w:lastRowLastColumn="0"/>
            </w:pPr>
            <w:r w:rsidRPr="009D5661">
              <w:t>2018–19</w:t>
            </w:r>
          </w:p>
        </w:tc>
        <w:tc>
          <w:tcPr>
            <w:tcW w:w="1339" w:type="dxa"/>
            <w:hideMark/>
          </w:tcPr>
          <w:p w14:paraId="0B15E343" w14:textId="77777777" w:rsidR="003273F8" w:rsidRPr="009D5661" w:rsidRDefault="003273F8" w:rsidP="009E56F2">
            <w:pPr>
              <w:pStyle w:val="TableHeaderRow"/>
              <w:cnfStyle w:val="100000000000" w:firstRow="1" w:lastRow="0" w:firstColumn="0" w:lastColumn="0" w:oddVBand="0" w:evenVBand="0" w:oddHBand="0" w:evenHBand="0" w:firstRowFirstColumn="0" w:firstRowLastColumn="0" w:lastRowFirstColumn="0" w:lastRowLastColumn="0"/>
            </w:pPr>
            <w:r w:rsidRPr="009D5661">
              <w:t>2019–20</w:t>
            </w:r>
          </w:p>
        </w:tc>
        <w:tc>
          <w:tcPr>
            <w:tcW w:w="1339" w:type="dxa"/>
            <w:hideMark/>
          </w:tcPr>
          <w:p w14:paraId="61BC4932" w14:textId="77777777" w:rsidR="003273F8" w:rsidRPr="009D5661" w:rsidRDefault="003273F8" w:rsidP="009E56F2">
            <w:pPr>
              <w:pStyle w:val="TableHeaderRow"/>
              <w:cnfStyle w:val="100000000000" w:firstRow="1" w:lastRow="0" w:firstColumn="0" w:lastColumn="0" w:oddVBand="0" w:evenVBand="0" w:oddHBand="0" w:evenHBand="0" w:firstRowFirstColumn="0" w:firstRowLastColumn="0" w:lastRowFirstColumn="0" w:lastRowLastColumn="0"/>
            </w:pPr>
            <w:r w:rsidRPr="009D5661">
              <w:t>2020–21</w:t>
            </w:r>
          </w:p>
        </w:tc>
        <w:tc>
          <w:tcPr>
            <w:tcW w:w="1339" w:type="dxa"/>
            <w:hideMark/>
          </w:tcPr>
          <w:p w14:paraId="0F50E46D" w14:textId="77777777" w:rsidR="003273F8" w:rsidRPr="00A96A6B" w:rsidRDefault="003273F8" w:rsidP="009E56F2">
            <w:pPr>
              <w:pStyle w:val="TableHeaderRow"/>
              <w:cnfStyle w:val="100000000000" w:firstRow="1" w:lastRow="0" w:firstColumn="0" w:lastColumn="0" w:oddVBand="0" w:evenVBand="0" w:oddHBand="0" w:evenHBand="0" w:firstRowFirstColumn="0" w:firstRowLastColumn="0" w:lastRowFirstColumn="0" w:lastRowLastColumn="0"/>
            </w:pPr>
            <w:r w:rsidRPr="00A96A6B">
              <w:t xml:space="preserve">2021–22 </w:t>
            </w:r>
          </w:p>
        </w:tc>
        <w:tc>
          <w:tcPr>
            <w:tcW w:w="1339" w:type="dxa"/>
          </w:tcPr>
          <w:p w14:paraId="2D57D43C" w14:textId="77777777" w:rsidR="003273F8" w:rsidRPr="00A96A6B" w:rsidRDefault="003273F8" w:rsidP="009E56F2">
            <w:pPr>
              <w:pStyle w:val="TableHeaderRow"/>
              <w:cnfStyle w:val="100000000000" w:firstRow="1" w:lastRow="0" w:firstColumn="0" w:lastColumn="0" w:oddVBand="0" w:evenVBand="0" w:oddHBand="0" w:evenHBand="0" w:firstRowFirstColumn="0" w:firstRowLastColumn="0" w:lastRowFirstColumn="0" w:lastRowLastColumn="0"/>
            </w:pPr>
            <w:r>
              <w:t>2022–23</w:t>
            </w:r>
          </w:p>
        </w:tc>
      </w:tr>
      <w:tr w:rsidR="003273F8" w:rsidRPr="002321D5" w14:paraId="05AA263A" w14:textId="77777777" w:rsidTr="00AE22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noWrap/>
            <w:hideMark/>
          </w:tcPr>
          <w:p w14:paraId="49C058B1" w14:textId="77777777" w:rsidR="003273F8" w:rsidRPr="009D5661" w:rsidRDefault="003273F8" w:rsidP="0041205C">
            <w:pPr>
              <w:pStyle w:val="TableCategoryText"/>
            </w:pPr>
            <w:r w:rsidRPr="00A96A6B">
              <w:t>13</w:t>
            </w:r>
            <w:r>
              <w:t>–</w:t>
            </w:r>
            <w:r w:rsidRPr="00A96A6B">
              <w:t>15 years</w:t>
            </w:r>
          </w:p>
        </w:tc>
        <w:tc>
          <w:tcPr>
            <w:tcW w:w="1339" w:type="dxa"/>
            <w:shd w:val="clear" w:color="auto" w:fill="DEEAF6" w:themeFill="accent1" w:themeFillTint="33"/>
            <w:hideMark/>
          </w:tcPr>
          <w:p w14:paraId="73176D0B" w14:textId="77777777" w:rsidR="003273F8" w:rsidRPr="0041205C" w:rsidRDefault="003273F8"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14,953</w:t>
            </w:r>
          </w:p>
        </w:tc>
        <w:tc>
          <w:tcPr>
            <w:tcW w:w="1339" w:type="dxa"/>
            <w:shd w:val="clear" w:color="auto" w:fill="DEEAF6" w:themeFill="accent1" w:themeFillTint="33"/>
            <w:hideMark/>
          </w:tcPr>
          <w:p w14:paraId="64BF2AAB" w14:textId="77777777" w:rsidR="003273F8" w:rsidRPr="0041205C" w:rsidRDefault="003273F8"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 xml:space="preserve">14,471 </w:t>
            </w:r>
          </w:p>
        </w:tc>
        <w:tc>
          <w:tcPr>
            <w:tcW w:w="1339" w:type="dxa"/>
            <w:shd w:val="clear" w:color="auto" w:fill="DEEAF6" w:themeFill="accent1" w:themeFillTint="33"/>
            <w:hideMark/>
          </w:tcPr>
          <w:p w14:paraId="14D4BCB6" w14:textId="77777777" w:rsidR="003273F8" w:rsidRPr="0041205C" w:rsidRDefault="003273F8"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 xml:space="preserve">14,503 </w:t>
            </w:r>
          </w:p>
        </w:tc>
        <w:tc>
          <w:tcPr>
            <w:tcW w:w="1339" w:type="dxa"/>
            <w:shd w:val="clear" w:color="auto" w:fill="DEEAF6" w:themeFill="accent1" w:themeFillTint="33"/>
            <w:hideMark/>
          </w:tcPr>
          <w:p w14:paraId="40585CBF" w14:textId="77777777" w:rsidR="003273F8" w:rsidRPr="0041205C" w:rsidRDefault="003273F8"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 xml:space="preserve">14,547 </w:t>
            </w:r>
          </w:p>
        </w:tc>
        <w:tc>
          <w:tcPr>
            <w:tcW w:w="1339" w:type="dxa"/>
            <w:shd w:val="clear" w:color="auto" w:fill="DEEAF6" w:themeFill="accent1" w:themeFillTint="33"/>
            <w:hideMark/>
          </w:tcPr>
          <w:p w14:paraId="18EAE1EE" w14:textId="77777777" w:rsidR="003273F8" w:rsidRPr="0041205C" w:rsidRDefault="003273F8"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 xml:space="preserve">14,511 </w:t>
            </w:r>
          </w:p>
        </w:tc>
        <w:tc>
          <w:tcPr>
            <w:tcW w:w="1339" w:type="dxa"/>
            <w:shd w:val="clear" w:color="auto" w:fill="DEEAF6" w:themeFill="accent1" w:themeFillTint="33"/>
          </w:tcPr>
          <w:p w14:paraId="05EA3970" w14:textId="77777777" w:rsidR="003273F8" w:rsidRPr="00A96A6B" w:rsidRDefault="003273F8" w:rsidP="009E56F2">
            <w:pPr>
              <w:pStyle w:val="TableBodyText"/>
              <w:cnfStyle w:val="000000100000" w:firstRow="0" w:lastRow="0" w:firstColumn="0" w:lastColumn="0" w:oddVBand="0" w:evenVBand="0" w:oddHBand="1" w:evenHBand="0" w:firstRowFirstColumn="0" w:firstRowLastColumn="0" w:lastRowFirstColumn="0" w:lastRowLastColumn="0"/>
            </w:pPr>
            <w:r w:rsidRPr="0041205C">
              <w:rPr>
                <w:color w:val="auto"/>
              </w:rPr>
              <w:t>14,423</w:t>
            </w:r>
            <w:r>
              <w:rPr>
                <w:rFonts w:ascii="Calibri" w:hAnsi="Calibri" w:cs="Calibri"/>
                <w:color w:val="000000"/>
              </w:rPr>
              <w:t xml:space="preserve"> </w:t>
            </w:r>
          </w:p>
        </w:tc>
      </w:tr>
      <w:tr w:rsidR="003273F8" w:rsidRPr="002321D5" w14:paraId="28945443" w14:textId="77777777" w:rsidTr="00AE222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noWrap/>
            <w:hideMark/>
          </w:tcPr>
          <w:p w14:paraId="6B893CCF" w14:textId="77777777" w:rsidR="003273F8" w:rsidRPr="009D5661" w:rsidRDefault="003273F8" w:rsidP="0041205C">
            <w:pPr>
              <w:pStyle w:val="TableCategoryText"/>
            </w:pPr>
            <w:r w:rsidRPr="00A96A6B">
              <w:t>16</w:t>
            </w:r>
            <w:r>
              <w:t>–</w:t>
            </w:r>
            <w:r w:rsidRPr="00A96A6B">
              <w:t>18 years</w:t>
            </w:r>
          </w:p>
        </w:tc>
        <w:tc>
          <w:tcPr>
            <w:tcW w:w="1339" w:type="dxa"/>
            <w:shd w:val="clear" w:color="auto" w:fill="DEEAF6" w:themeFill="accent1" w:themeFillTint="33"/>
            <w:hideMark/>
          </w:tcPr>
          <w:p w14:paraId="0AEEC4D1" w14:textId="77777777" w:rsidR="003273F8" w:rsidRPr="0041205C" w:rsidRDefault="003273F8"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12,962</w:t>
            </w:r>
          </w:p>
        </w:tc>
        <w:tc>
          <w:tcPr>
            <w:tcW w:w="1339" w:type="dxa"/>
            <w:shd w:val="clear" w:color="auto" w:fill="DEEAF6" w:themeFill="accent1" w:themeFillTint="33"/>
            <w:hideMark/>
          </w:tcPr>
          <w:p w14:paraId="050143E5" w14:textId="77777777" w:rsidR="003273F8" w:rsidRPr="0041205C" w:rsidRDefault="003273F8"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 xml:space="preserve">12,448 </w:t>
            </w:r>
          </w:p>
        </w:tc>
        <w:tc>
          <w:tcPr>
            <w:tcW w:w="1339" w:type="dxa"/>
            <w:shd w:val="clear" w:color="auto" w:fill="DEEAF6" w:themeFill="accent1" w:themeFillTint="33"/>
            <w:hideMark/>
          </w:tcPr>
          <w:p w14:paraId="1C9663FD" w14:textId="77777777" w:rsidR="003273F8" w:rsidRPr="0041205C" w:rsidRDefault="003273F8"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 xml:space="preserve">11,855 </w:t>
            </w:r>
          </w:p>
        </w:tc>
        <w:tc>
          <w:tcPr>
            <w:tcW w:w="1339" w:type="dxa"/>
            <w:shd w:val="clear" w:color="auto" w:fill="DEEAF6" w:themeFill="accent1" w:themeFillTint="33"/>
            <w:hideMark/>
          </w:tcPr>
          <w:p w14:paraId="50869270" w14:textId="77777777" w:rsidR="003273F8" w:rsidRPr="0041205C" w:rsidRDefault="003273F8"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 xml:space="preserve">11,953 </w:t>
            </w:r>
          </w:p>
        </w:tc>
        <w:tc>
          <w:tcPr>
            <w:tcW w:w="1339" w:type="dxa"/>
            <w:shd w:val="clear" w:color="auto" w:fill="DEEAF6" w:themeFill="accent1" w:themeFillTint="33"/>
            <w:hideMark/>
          </w:tcPr>
          <w:p w14:paraId="55ACAF00" w14:textId="77777777" w:rsidR="003273F8" w:rsidRPr="0041205C" w:rsidRDefault="003273F8"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 xml:space="preserve">12,757 </w:t>
            </w:r>
          </w:p>
        </w:tc>
        <w:tc>
          <w:tcPr>
            <w:tcW w:w="1339" w:type="dxa"/>
            <w:shd w:val="clear" w:color="auto" w:fill="DEEAF6" w:themeFill="accent1" w:themeFillTint="33"/>
          </w:tcPr>
          <w:p w14:paraId="5CC26472" w14:textId="77777777" w:rsidR="003273F8" w:rsidRPr="00A96A6B" w:rsidRDefault="003273F8" w:rsidP="009E56F2">
            <w:pPr>
              <w:pStyle w:val="TableBodyText"/>
              <w:cnfStyle w:val="000000010000" w:firstRow="0" w:lastRow="0" w:firstColumn="0" w:lastColumn="0" w:oddVBand="0" w:evenVBand="0" w:oddHBand="0" w:evenHBand="1" w:firstRowFirstColumn="0" w:firstRowLastColumn="0" w:lastRowFirstColumn="0" w:lastRowLastColumn="0"/>
            </w:pPr>
            <w:r w:rsidRPr="0041205C">
              <w:rPr>
                <w:color w:val="auto"/>
              </w:rPr>
              <w:t>13,462</w:t>
            </w:r>
            <w:r>
              <w:rPr>
                <w:rFonts w:ascii="Calibri" w:hAnsi="Calibri" w:cs="Calibri"/>
                <w:color w:val="000000"/>
              </w:rPr>
              <w:t xml:space="preserve"> </w:t>
            </w:r>
          </w:p>
        </w:tc>
      </w:tr>
      <w:tr w:rsidR="003273F8" w:rsidRPr="002321D5" w14:paraId="6700AC7C" w14:textId="77777777" w:rsidTr="00AE22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noWrap/>
            <w:hideMark/>
          </w:tcPr>
          <w:p w14:paraId="5D7168ED" w14:textId="77777777" w:rsidR="003273F8" w:rsidRPr="009D5661" w:rsidRDefault="003273F8" w:rsidP="0041205C">
            <w:pPr>
              <w:pStyle w:val="TableCategoryText"/>
            </w:pPr>
            <w:r w:rsidRPr="00A96A6B">
              <w:t>19</w:t>
            </w:r>
            <w:r>
              <w:t>–</w:t>
            </w:r>
            <w:r w:rsidRPr="00A96A6B">
              <w:t>21 years</w:t>
            </w:r>
          </w:p>
        </w:tc>
        <w:tc>
          <w:tcPr>
            <w:tcW w:w="1339" w:type="dxa"/>
            <w:shd w:val="clear" w:color="auto" w:fill="DEEAF6" w:themeFill="accent1" w:themeFillTint="33"/>
            <w:hideMark/>
          </w:tcPr>
          <w:p w14:paraId="62D33D16" w14:textId="77777777" w:rsidR="003273F8" w:rsidRPr="0041205C" w:rsidRDefault="003273F8"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6,057</w:t>
            </w:r>
          </w:p>
        </w:tc>
        <w:tc>
          <w:tcPr>
            <w:tcW w:w="1339" w:type="dxa"/>
            <w:shd w:val="clear" w:color="auto" w:fill="DEEAF6" w:themeFill="accent1" w:themeFillTint="33"/>
            <w:hideMark/>
          </w:tcPr>
          <w:p w14:paraId="5CDB71E5" w14:textId="77777777" w:rsidR="003273F8" w:rsidRPr="0041205C" w:rsidRDefault="003273F8"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 xml:space="preserve">6,985 </w:t>
            </w:r>
          </w:p>
        </w:tc>
        <w:tc>
          <w:tcPr>
            <w:tcW w:w="1339" w:type="dxa"/>
            <w:shd w:val="clear" w:color="auto" w:fill="DEEAF6" w:themeFill="accent1" w:themeFillTint="33"/>
            <w:hideMark/>
          </w:tcPr>
          <w:p w14:paraId="69AD5686" w14:textId="77777777" w:rsidR="003273F8" w:rsidRPr="0041205C" w:rsidRDefault="003273F8"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 xml:space="preserve">4,437 </w:t>
            </w:r>
          </w:p>
        </w:tc>
        <w:tc>
          <w:tcPr>
            <w:tcW w:w="1339" w:type="dxa"/>
            <w:shd w:val="clear" w:color="auto" w:fill="DEEAF6" w:themeFill="accent1" w:themeFillTint="33"/>
            <w:hideMark/>
          </w:tcPr>
          <w:p w14:paraId="39DD47F1" w14:textId="77777777" w:rsidR="003273F8" w:rsidRPr="0041205C" w:rsidRDefault="003273F8"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 xml:space="preserve">4,314 </w:t>
            </w:r>
          </w:p>
        </w:tc>
        <w:tc>
          <w:tcPr>
            <w:tcW w:w="1339" w:type="dxa"/>
            <w:shd w:val="clear" w:color="auto" w:fill="DEEAF6" w:themeFill="accent1" w:themeFillTint="33"/>
            <w:hideMark/>
          </w:tcPr>
          <w:p w14:paraId="791DCCA7" w14:textId="77777777" w:rsidR="003273F8" w:rsidRPr="0041205C" w:rsidRDefault="003273F8"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 xml:space="preserve">5,509 </w:t>
            </w:r>
          </w:p>
        </w:tc>
        <w:tc>
          <w:tcPr>
            <w:tcW w:w="1339" w:type="dxa"/>
            <w:shd w:val="clear" w:color="auto" w:fill="DEEAF6" w:themeFill="accent1" w:themeFillTint="33"/>
          </w:tcPr>
          <w:p w14:paraId="07411649" w14:textId="77777777" w:rsidR="003273F8" w:rsidRPr="00A96A6B" w:rsidRDefault="003273F8" w:rsidP="009E56F2">
            <w:pPr>
              <w:pStyle w:val="TableBodyText"/>
              <w:cnfStyle w:val="000000100000" w:firstRow="0" w:lastRow="0" w:firstColumn="0" w:lastColumn="0" w:oddVBand="0" w:evenVBand="0" w:oddHBand="1" w:evenHBand="0" w:firstRowFirstColumn="0" w:firstRowLastColumn="0" w:lastRowFirstColumn="0" w:lastRowLastColumn="0"/>
            </w:pPr>
            <w:r w:rsidRPr="0041205C">
              <w:rPr>
                <w:color w:val="auto"/>
              </w:rPr>
              <w:t>5,832</w:t>
            </w:r>
            <w:r>
              <w:rPr>
                <w:rFonts w:ascii="Calibri" w:hAnsi="Calibri" w:cs="Calibri"/>
                <w:color w:val="000000"/>
              </w:rPr>
              <w:t xml:space="preserve"> </w:t>
            </w:r>
          </w:p>
        </w:tc>
      </w:tr>
    </w:tbl>
    <w:p w14:paraId="1FE5F335" w14:textId="65F6577A" w:rsidR="003273F8" w:rsidRPr="003273F8" w:rsidRDefault="003273F8" w:rsidP="003273F8">
      <w:pPr>
        <w:pStyle w:val="TableorFiguresNotesSources"/>
        <w:rPr>
          <w:color w:val="auto"/>
          <w:szCs w:val="24"/>
        </w:rPr>
      </w:pPr>
      <w:r w:rsidRPr="003273F8">
        <w:rPr>
          <w:bCs w:val="0"/>
          <w:color w:val="auto"/>
          <w:szCs w:val="24"/>
        </w:rPr>
        <w:t>Source: The MSIN</w:t>
      </w:r>
      <w:r w:rsidRPr="003273F8">
        <w:rPr>
          <w:color w:val="auto"/>
          <w:szCs w:val="24"/>
        </w:rPr>
        <w:t xml:space="preserve"> </w:t>
      </w:r>
      <w:r w:rsidR="007F5973">
        <w:rPr>
          <w:color w:val="auto"/>
          <w:szCs w:val="24"/>
        </w:rPr>
        <w:t>d</w:t>
      </w:r>
      <w:r w:rsidRPr="003273F8">
        <w:rPr>
          <w:color w:val="auto"/>
          <w:szCs w:val="24"/>
        </w:rPr>
        <w:t>atabase for the MEP, 2017–18 through 2022–23.</w:t>
      </w:r>
    </w:p>
    <w:p w14:paraId="4F9B24B4" w14:textId="77777777" w:rsidR="00EC169D" w:rsidRPr="00F55385" w:rsidRDefault="00EC169D" w:rsidP="00CF280A">
      <w:pPr>
        <w:pStyle w:val="Heading4"/>
      </w:pPr>
      <w:bookmarkStart w:id="45" w:name="_Toc163813420"/>
      <w:r w:rsidRPr="00F55385">
        <w:lastRenderedPageBreak/>
        <w:t>Grade-Level Distribution</w:t>
      </w:r>
      <w:bookmarkEnd w:id="45"/>
    </w:p>
    <w:p w14:paraId="0DDBFD0A" w14:textId="4992747D" w:rsidR="00EC169D" w:rsidRPr="009A1ED0" w:rsidRDefault="00EC169D" w:rsidP="00CF280A">
      <w:pPr>
        <w:pStyle w:val="Paragraph"/>
        <w:rPr>
          <w:noProof w:val="0"/>
          <w:color w:val="auto"/>
        </w:rPr>
      </w:pPr>
      <w:r w:rsidRPr="009A1ED0">
        <w:rPr>
          <w:noProof w:val="0"/>
          <w:color w:val="auto"/>
        </w:rPr>
        <w:t>Between</w:t>
      </w:r>
      <w:r w:rsidR="009E352E" w:rsidRPr="009A1ED0">
        <w:rPr>
          <w:noProof w:val="0"/>
          <w:color w:val="auto"/>
        </w:rPr>
        <w:t xml:space="preserve"> SY</w:t>
      </w:r>
      <w:r w:rsidR="003D1ADA" w:rsidRPr="009A1ED0">
        <w:rPr>
          <w:noProof w:val="0"/>
          <w:color w:val="auto"/>
        </w:rPr>
        <w:t>s</w:t>
      </w:r>
      <w:r w:rsidRPr="009A1ED0">
        <w:rPr>
          <w:noProof w:val="0"/>
          <w:color w:val="auto"/>
        </w:rPr>
        <w:t xml:space="preserve"> 2017–18 and 2022–23, the grade-level distribution of California’s migratory students and youths shifted in a way that aligns with the changes in age group counts. During the six-year period, the percentage of MEP-eligible students in grades seven </w:t>
      </w:r>
      <w:r w:rsidR="007F5973" w:rsidRPr="009A1ED0">
        <w:rPr>
          <w:noProof w:val="0"/>
          <w:color w:val="auto"/>
        </w:rPr>
        <w:t xml:space="preserve">through </w:t>
      </w:r>
      <w:r w:rsidRPr="009A1ED0">
        <w:rPr>
          <w:noProof w:val="0"/>
          <w:color w:val="auto"/>
        </w:rPr>
        <w:t xml:space="preserve">twelve increased, as did the percentage of OSYs. The percentage of MEP-eligible students in preschool through grade three decreased over the same </w:t>
      </w:r>
      <w:proofErr w:type="gramStart"/>
      <w:r w:rsidRPr="009A1ED0">
        <w:rPr>
          <w:noProof w:val="0"/>
          <w:color w:val="auto"/>
        </w:rPr>
        <w:t>time period</w:t>
      </w:r>
      <w:proofErr w:type="gramEnd"/>
      <w:r w:rsidRPr="009A1ED0">
        <w:rPr>
          <w:noProof w:val="0"/>
          <w:color w:val="auto"/>
        </w:rPr>
        <w:t xml:space="preserve">. </w:t>
      </w:r>
      <w:r w:rsidR="00611508" w:rsidRPr="009A1ED0">
        <w:rPr>
          <w:noProof w:val="0"/>
          <w:color w:val="auto"/>
        </w:rPr>
        <w:t>Table</w:t>
      </w:r>
      <w:r w:rsidRPr="009A1ED0">
        <w:rPr>
          <w:noProof w:val="0"/>
          <w:color w:val="auto"/>
        </w:rPr>
        <w:t xml:space="preserve"> 5 shows the change in the distribution of migratory students and OSYs by grade group between 2017–18 and 2022–23.</w:t>
      </w:r>
    </w:p>
    <w:p w14:paraId="74B18609" w14:textId="6CC5D44B" w:rsidR="00F55385" w:rsidRPr="00611508" w:rsidRDefault="00611508" w:rsidP="00066268">
      <w:pPr>
        <w:pStyle w:val="Heading5"/>
      </w:pPr>
      <w:bookmarkStart w:id="46" w:name="_Toc188030570"/>
      <w:r w:rsidRPr="00611508">
        <w:t xml:space="preserve">Table </w:t>
      </w:r>
      <w:fldSimple w:instr=" SEQ Table \* ARABIC ">
        <w:r w:rsidR="00D04DC5">
          <w:rPr>
            <w:noProof/>
          </w:rPr>
          <w:t>5</w:t>
        </w:r>
      </w:fldSimple>
      <w:r w:rsidRPr="00611508">
        <w:t>. Distribution of Migratory Students by Grade Group and Out-of-School Youth Status at the Start of the Performance Period, 2017–18 Through 2022–23</w:t>
      </w:r>
      <w:bookmarkEnd w:id="46"/>
    </w:p>
    <w:tbl>
      <w:tblPr>
        <w:tblStyle w:val="GridTable4-Accent5"/>
        <w:tblW w:w="9373" w:type="dxa"/>
        <w:tblLayout w:type="fixed"/>
        <w:tblLook w:val="04A0" w:firstRow="1" w:lastRow="0" w:firstColumn="1" w:lastColumn="0" w:noHBand="0" w:noVBand="1"/>
      </w:tblPr>
      <w:tblGrid>
        <w:gridCol w:w="1339"/>
        <w:gridCol w:w="1339"/>
        <w:gridCol w:w="1339"/>
        <w:gridCol w:w="1339"/>
        <w:gridCol w:w="1339"/>
        <w:gridCol w:w="1339"/>
        <w:gridCol w:w="1339"/>
      </w:tblGrid>
      <w:tr w:rsidR="00EC169D" w:rsidRPr="00EC169D" w14:paraId="07BE0551" w14:textId="77777777" w:rsidTr="00803E2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9" w:type="dxa"/>
            <w:noWrap/>
            <w:vAlign w:val="center"/>
            <w:hideMark/>
          </w:tcPr>
          <w:p w14:paraId="187F3F4B" w14:textId="39D175CB" w:rsidR="00EC169D" w:rsidRPr="00EC169D" w:rsidRDefault="00EC169D" w:rsidP="00CF280A">
            <w:pPr>
              <w:pStyle w:val="TableHeaderRow"/>
              <w:jc w:val="center"/>
              <w:rPr>
                <w:rFonts w:cs="Arial"/>
                <w:color w:val="FFFFFF" w:themeColor="background1"/>
              </w:rPr>
            </w:pPr>
            <w:r w:rsidRPr="00EC169D">
              <w:rPr>
                <w:rFonts w:cs="Arial"/>
                <w:color w:val="FFFFFF" w:themeColor="background1"/>
              </w:rPr>
              <w:t>Grade Group</w:t>
            </w:r>
          </w:p>
        </w:tc>
        <w:tc>
          <w:tcPr>
            <w:tcW w:w="1339" w:type="dxa"/>
            <w:vAlign w:val="center"/>
            <w:hideMark/>
          </w:tcPr>
          <w:p w14:paraId="64ABD3B8" w14:textId="77777777" w:rsidR="00EC169D" w:rsidRPr="00EC169D" w:rsidRDefault="00EC169D" w:rsidP="00CF280A">
            <w:pPr>
              <w:pStyle w:val="TableHeaderRow"/>
              <w:jc w:val="center"/>
              <w:cnfStyle w:val="100000000000" w:firstRow="1" w:lastRow="0" w:firstColumn="0" w:lastColumn="0" w:oddVBand="0" w:evenVBand="0" w:oddHBand="0" w:evenHBand="0" w:firstRowFirstColumn="0" w:firstRowLastColumn="0" w:lastRowFirstColumn="0" w:lastRowLastColumn="0"/>
              <w:rPr>
                <w:rFonts w:cs="Arial"/>
              </w:rPr>
            </w:pPr>
            <w:r w:rsidRPr="00EC169D">
              <w:rPr>
                <w:rFonts w:cs="Arial"/>
              </w:rPr>
              <w:t>2017–18</w:t>
            </w:r>
          </w:p>
        </w:tc>
        <w:tc>
          <w:tcPr>
            <w:tcW w:w="1339" w:type="dxa"/>
            <w:vAlign w:val="center"/>
            <w:hideMark/>
          </w:tcPr>
          <w:p w14:paraId="2EE631E1" w14:textId="77777777" w:rsidR="00EC169D" w:rsidRPr="00EC169D" w:rsidRDefault="00EC169D" w:rsidP="00CF280A">
            <w:pPr>
              <w:pStyle w:val="TableHeaderRow"/>
              <w:jc w:val="center"/>
              <w:cnfStyle w:val="100000000000" w:firstRow="1" w:lastRow="0" w:firstColumn="0" w:lastColumn="0" w:oddVBand="0" w:evenVBand="0" w:oddHBand="0" w:evenHBand="0" w:firstRowFirstColumn="0" w:firstRowLastColumn="0" w:lastRowFirstColumn="0" w:lastRowLastColumn="0"/>
              <w:rPr>
                <w:rFonts w:cs="Arial"/>
              </w:rPr>
            </w:pPr>
            <w:r w:rsidRPr="00EC169D">
              <w:rPr>
                <w:rFonts w:cs="Arial"/>
              </w:rPr>
              <w:t>2018–19</w:t>
            </w:r>
          </w:p>
        </w:tc>
        <w:tc>
          <w:tcPr>
            <w:tcW w:w="1339" w:type="dxa"/>
            <w:vAlign w:val="center"/>
            <w:hideMark/>
          </w:tcPr>
          <w:p w14:paraId="50145E21" w14:textId="77777777" w:rsidR="00EC169D" w:rsidRPr="00EC169D" w:rsidRDefault="00EC169D" w:rsidP="00CF280A">
            <w:pPr>
              <w:pStyle w:val="TableHeaderRow"/>
              <w:jc w:val="center"/>
              <w:cnfStyle w:val="100000000000" w:firstRow="1" w:lastRow="0" w:firstColumn="0" w:lastColumn="0" w:oddVBand="0" w:evenVBand="0" w:oddHBand="0" w:evenHBand="0" w:firstRowFirstColumn="0" w:firstRowLastColumn="0" w:lastRowFirstColumn="0" w:lastRowLastColumn="0"/>
              <w:rPr>
                <w:rFonts w:cs="Arial"/>
              </w:rPr>
            </w:pPr>
            <w:r w:rsidRPr="00EC169D">
              <w:rPr>
                <w:rFonts w:cs="Arial"/>
              </w:rPr>
              <w:t>2019–20</w:t>
            </w:r>
          </w:p>
        </w:tc>
        <w:tc>
          <w:tcPr>
            <w:tcW w:w="1339" w:type="dxa"/>
            <w:vAlign w:val="center"/>
            <w:hideMark/>
          </w:tcPr>
          <w:p w14:paraId="386BE637" w14:textId="77777777" w:rsidR="00EC169D" w:rsidRPr="00EC169D" w:rsidRDefault="00EC169D" w:rsidP="00CF280A">
            <w:pPr>
              <w:pStyle w:val="TableHeaderRow"/>
              <w:jc w:val="center"/>
              <w:cnfStyle w:val="100000000000" w:firstRow="1" w:lastRow="0" w:firstColumn="0" w:lastColumn="0" w:oddVBand="0" w:evenVBand="0" w:oddHBand="0" w:evenHBand="0" w:firstRowFirstColumn="0" w:firstRowLastColumn="0" w:lastRowFirstColumn="0" w:lastRowLastColumn="0"/>
              <w:rPr>
                <w:rFonts w:cs="Arial"/>
              </w:rPr>
            </w:pPr>
            <w:r w:rsidRPr="00EC169D">
              <w:rPr>
                <w:rFonts w:cs="Arial"/>
              </w:rPr>
              <w:t>2020–21</w:t>
            </w:r>
          </w:p>
        </w:tc>
        <w:tc>
          <w:tcPr>
            <w:tcW w:w="1339" w:type="dxa"/>
            <w:vAlign w:val="center"/>
          </w:tcPr>
          <w:p w14:paraId="1E6B97BC" w14:textId="77777777" w:rsidR="00EC169D" w:rsidRPr="00EC169D" w:rsidRDefault="00EC169D" w:rsidP="00CF280A">
            <w:pPr>
              <w:pStyle w:val="TableHeaderRow"/>
              <w:jc w:val="center"/>
              <w:cnfStyle w:val="100000000000" w:firstRow="1" w:lastRow="0" w:firstColumn="0" w:lastColumn="0" w:oddVBand="0" w:evenVBand="0" w:oddHBand="0" w:evenHBand="0" w:firstRowFirstColumn="0" w:firstRowLastColumn="0" w:lastRowFirstColumn="0" w:lastRowLastColumn="0"/>
              <w:rPr>
                <w:rFonts w:cs="Arial"/>
              </w:rPr>
            </w:pPr>
            <w:r w:rsidRPr="00EC169D">
              <w:rPr>
                <w:rFonts w:cs="Arial"/>
              </w:rPr>
              <w:t>2021–22</w:t>
            </w:r>
          </w:p>
        </w:tc>
        <w:tc>
          <w:tcPr>
            <w:tcW w:w="1339" w:type="dxa"/>
            <w:vAlign w:val="center"/>
          </w:tcPr>
          <w:p w14:paraId="20A8D347" w14:textId="77777777" w:rsidR="00EC169D" w:rsidRPr="00EC169D" w:rsidRDefault="00EC169D" w:rsidP="00CF280A">
            <w:pPr>
              <w:pStyle w:val="TableHeaderRow"/>
              <w:jc w:val="center"/>
              <w:cnfStyle w:val="100000000000" w:firstRow="1" w:lastRow="0" w:firstColumn="0" w:lastColumn="0" w:oddVBand="0" w:evenVBand="0" w:oddHBand="0" w:evenHBand="0" w:firstRowFirstColumn="0" w:firstRowLastColumn="0" w:lastRowFirstColumn="0" w:lastRowLastColumn="0"/>
              <w:rPr>
                <w:rFonts w:cs="Arial"/>
              </w:rPr>
            </w:pPr>
            <w:r w:rsidRPr="00EC169D">
              <w:rPr>
                <w:rFonts w:cs="Arial"/>
              </w:rPr>
              <w:t>2022–23</w:t>
            </w:r>
          </w:p>
        </w:tc>
      </w:tr>
      <w:tr w:rsidR="00EC169D" w:rsidRPr="00EC169D" w14:paraId="51779704" w14:textId="77777777" w:rsidTr="00803E2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9" w:type="dxa"/>
            <w:noWrap/>
            <w:hideMark/>
          </w:tcPr>
          <w:p w14:paraId="1FDEA295" w14:textId="77777777" w:rsidR="00EC169D" w:rsidRPr="00803E29" w:rsidRDefault="00EC169D" w:rsidP="0041205C">
            <w:pPr>
              <w:pStyle w:val="TableCategoryText"/>
            </w:pPr>
            <w:r w:rsidRPr="00803E29">
              <w:t>P3–P5</w:t>
            </w:r>
          </w:p>
        </w:tc>
        <w:tc>
          <w:tcPr>
            <w:tcW w:w="1339" w:type="dxa"/>
            <w:hideMark/>
          </w:tcPr>
          <w:p w14:paraId="3B1003C6"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10.4%</w:t>
            </w:r>
          </w:p>
        </w:tc>
        <w:tc>
          <w:tcPr>
            <w:tcW w:w="1339" w:type="dxa"/>
            <w:hideMark/>
          </w:tcPr>
          <w:p w14:paraId="706D8E01"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10.8%</w:t>
            </w:r>
          </w:p>
        </w:tc>
        <w:tc>
          <w:tcPr>
            <w:tcW w:w="1339" w:type="dxa"/>
            <w:hideMark/>
          </w:tcPr>
          <w:p w14:paraId="35EDBCB7"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10.6%</w:t>
            </w:r>
          </w:p>
        </w:tc>
        <w:tc>
          <w:tcPr>
            <w:tcW w:w="1339" w:type="dxa"/>
            <w:hideMark/>
          </w:tcPr>
          <w:p w14:paraId="7C6D9829"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10.2%</w:t>
            </w:r>
          </w:p>
        </w:tc>
        <w:tc>
          <w:tcPr>
            <w:tcW w:w="1339" w:type="dxa"/>
          </w:tcPr>
          <w:p w14:paraId="13735B60"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9.6%</w:t>
            </w:r>
          </w:p>
        </w:tc>
        <w:tc>
          <w:tcPr>
            <w:tcW w:w="1339" w:type="dxa"/>
          </w:tcPr>
          <w:p w14:paraId="4B853CBA"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9.1%</w:t>
            </w:r>
          </w:p>
        </w:tc>
      </w:tr>
      <w:tr w:rsidR="00EC169D" w:rsidRPr="00EC169D" w14:paraId="788E35F2" w14:textId="77777777" w:rsidTr="00803E29">
        <w:trPr>
          <w:trHeight w:val="20"/>
        </w:trPr>
        <w:tc>
          <w:tcPr>
            <w:cnfStyle w:val="001000000000" w:firstRow="0" w:lastRow="0" w:firstColumn="1" w:lastColumn="0" w:oddVBand="0" w:evenVBand="0" w:oddHBand="0" w:evenHBand="0" w:firstRowFirstColumn="0" w:firstRowLastColumn="0" w:lastRowFirstColumn="0" w:lastRowLastColumn="0"/>
            <w:tcW w:w="1339" w:type="dxa"/>
            <w:noWrap/>
            <w:hideMark/>
          </w:tcPr>
          <w:p w14:paraId="73E9606C" w14:textId="77777777" w:rsidR="00EC169D" w:rsidRPr="00803E29" w:rsidRDefault="00EC169D" w:rsidP="0041205C">
            <w:pPr>
              <w:pStyle w:val="TableCategoryText"/>
            </w:pPr>
            <w:r w:rsidRPr="00803E29">
              <w:t>K</w:t>
            </w:r>
          </w:p>
        </w:tc>
        <w:tc>
          <w:tcPr>
            <w:tcW w:w="1339" w:type="dxa"/>
            <w:hideMark/>
          </w:tcPr>
          <w:p w14:paraId="5B25059F" w14:textId="77777777" w:rsidR="00EC169D" w:rsidRPr="00EC169D" w:rsidRDefault="00EC169D" w:rsidP="00CF280A">
            <w:pPr>
              <w:pStyle w:val="TableBodyText"/>
              <w:cnfStyle w:val="000000000000" w:firstRow="0" w:lastRow="0" w:firstColumn="0" w:lastColumn="0" w:oddVBand="0" w:evenVBand="0" w:oddHBand="0" w:evenHBand="0" w:firstRowFirstColumn="0" w:firstRowLastColumn="0" w:lastRowFirstColumn="0" w:lastRowLastColumn="0"/>
              <w:rPr>
                <w:rFonts w:cs="Arial"/>
                <w:color w:val="auto"/>
              </w:rPr>
            </w:pPr>
            <w:r w:rsidRPr="00EC169D">
              <w:rPr>
                <w:rFonts w:cs="Arial"/>
                <w:color w:val="auto"/>
              </w:rPr>
              <w:t>10.6%</w:t>
            </w:r>
          </w:p>
        </w:tc>
        <w:tc>
          <w:tcPr>
            <w:tcW w:w="1339" w:type="dxa"/>
            <w:hideMark/>
          </w:tcPr>
          <w:p w14:paraId="36557E4D" w14:textId="77777777" w:rsidR="00EC169D" w:rsidRPr="00EC169D" w:rsidRDefault="00EC169D" w:rsidP="00CF280A">
            <w:pPr>
              <w:pStyle w:val="TableBodyText"/>
              <w:cnfStyle w:val="000000000000" w:firstRow="0" w:lastRow="0" w:firstColumn="0" w:lastColumn="0" w:oddVBand="0" w:evenVBand="0" w:oddHBand="0" w:evenHBand="0" w:firstRowFirstColumn="0" w:firstRowLastColumn="0" w:lastRowFirstColumn="0" w:lastRowLastColumn="0"/>
              <w:rPr>
                <w:rFonts w:cs="Arial"/>
                <w:color w:val="auto"/>
              </w:rPr>
            </w:pPr>
            <w:r w:rsidRPr="00EC169D">
              <w:rPr>
                <w:rFonts w:cs="Arial"/>
                <w:color w:val="auto"/>
              </w:rPr>
              <w:t>10.3%</w:t>
            </w:r>
          </w:p>
        </w:tc>
        <w:tc>
          <w:tcPr>
            <w:tcW w:w="1339" w:type="dxa"/>
            <w:hideMark/>
          </w:tcPr>
          <w:p w14:paraId="08DB2C23" w14:textId="77777777" w:rsidR="00EC169D" w:rsidRPr="00EC169D" w:rsidRDefault="00EC169D" w:rsidP="00CF280A">
            <w:pPr>
              <w:pStyle w:val="TableBodyText"/>
              <w:cnfStyle w:val="000000000000" w:firstRow="0" w:lastRow="0" w:firstColumn="0" w:lastColumn="0" w:oddVBand="0" w:evenVBand="0" w:oddHBand="0" w:evenHBand="0" w:firstRowFirstColumn="0" w:firstRowLastColumn="0" w:lastRowFirstColumn="0" w:lastRowLastColumn="0"/>
              <w:rPr>
                <w:rFonts w:cs="Arial"/>
                <w:color w:val="auto"/>
              </w:rPr>
            </w:pPr>
            <w:r w:rsidRPr="00EC169D">
              <w:rPr>
                <w:rFonts w:cs="Arial"/>
                <w:color w:val="auto"/>
              </w:rPr>
              <w:t>10.1%</w:t>
            </w:r>
          </w:p>
        </w:tc>
        <w:tc>
          <w:tcPr>
            <w:tcW w:w="1339" w:type="dxa"/>
            <w:hideMark/>
          </w:tcPr>
          <w:p w14:paraId="5B38FE39" w14:textId="77777777" w:rsidR="00EC169D" w:rsidRPr="00EC169D" w:rsidRDefault="00EC169D" w:rsidP="00CF280A">
            <w:pPr>
              <w:pStyle w:val="TableBodyText"/>
              <w:cnfStyle w:val="000000000000" w:firstRow="0" w:lastRow="0" w:firstColumn="0" w:lastColumn="0" w:oddVBand="0" w:evenVBand="0" w:oddHBand="0" w:evenHBand="0" w:firstRowFirstColumn="0" w:firstRowLastColumn="0" w:lastRowFirstColumn="0" w:lastRowLastColumn="0"/>
              <w:rPr>
                <w:rFonts w:cs="Arial"/>
                <w:color w:val="auto"/>
              </w:rPr>
            </w:pPr>
            <w:r w:rsidRPr="00EC169D">
              <w:rPr>
                <w:rFonts w:cs="Arial"/>
                <w:color w:val="auto"/>
              </w:rPr>
              <w:t>9.7%</w:t>
            </w:r>
          </w:p>
        </w:tc>
        <w:tc>
          <w:tcPr>
            <w:tcW w:w="1339" w:type="dxa"/>
          </w:tcPr>
          <w:p w14:paraId="347DC3CC" w14:textId="77777777" w:rsidR="00EC169D" w:rsidRPr="00EC169D" w:rsidRDefault="00EC169D" w:rsidP="00CF280A">
            <w:pPr>
              <w:pStyle w:val="TableBodyText"/>
              <w:cnfStyle w:val="000000000000" w:firstRow="0" w:lastRow="0" w:firstColumn="0" w:lastColumn="0" w:oddVBand="0" w:evenVBand="0" w:oddHBand="0" w:evenHBand="0" w:firstRowFirstColumn="0" w:firstRowLastColumn="0" w:lastRowFirstColumn="0" w:lastRowLastColumn="0"/>
              <w:rPr>
                <w:rFonts w:cs="Arial"/>
                <w:color w:val="auto"/>
              </w:rPr>
            </w:pPr>
            <w:r w:rsidRPr="00EC169D">
              <w:rPr>
                <w:rFonts w:cs="Arial"/>
                <w:color w:val="auto"/>
              </w:rPr>
              <w:t>9.2%</w:t>
            </w:r>
          </w:p>
        </w:tc>
        <w:tc>
          <w:tcPr>
            <w:tcW w:w="1339" w:type="dxa"/>
          </w:tcPr>
          <w:p w14:paraId="57CD42F3" w14:textId="77777777" w:rsidR="00EC169D" w:rsidRPr="00EC169D" w:rsidRDefault="00EC169D" w:rsidP="00CF280A">
            <w:pPr>
              <w:pStyle w:val="TableBodyText"/>
              <w:cnfStyle w:val="000000000000" w:firstRow="0" w:lastRow="0" w:firstColumn="0" w:lastColumn="0" w:oddVBand="0" w:evenVBand="0" w:oddHBand="0" w:evenHBand="0" w:firstRowFirstColumn="0" w:firstRowLastColumn="0" w:lastRowFirstColumn="0" w:lastRowLastColumn="0"/>
              <w:rPr>
                <w:rFonts w:cs="Arial"/>
                <w:color w:val="auto"/>
              </w:rPr>
            </w:pPr>
            <w:r w:rsidRPr="00EC169D">
              <w:rPr>
                <w:rFonts w:cs="Arial"/>
                <w:color w:val="auto"/>
              </w:rPr>
              <w:t>9.7%</w:t>
            </w:r>
          </w:p>
        </w:tc>
      </w:tr>
      <w:tr w:rsidR="00EC169D" w:rsidRPr="00EC169D" w14:paraId="13640B15" w14:textId="77777777" w:rsidTr="00803E2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9" w:type="dxa"/>
            <w:noWrap/>
            <w:hideMark/>
          </w:tcPr>
          <w:p w14:paraId="02B884AC" w14:textId="77777777" w:rsidR="00EC169D" w:rsidRPr="00803E29" w:rsidRDefault="00EC169D" w:rsidP="0041205C">
            <w:pPr>
              <w:pStyle w:val="TableCategoryText"/>
            </w:pPr>
            <w:r w:rsidRPr="00803E29">
              <w:t>Grades 1–3</w:t>
            </w:r>
          </w:p>
        </w:tc>
        <w:tc>
          <w:tcPr>
            <w:tcW w:w="1339" w:type="dxa"/>
            <w:hideMark/>
          </w:tcPr>
          <w:p w14:paraId="7BC6626B"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18.8%</w:t>
            </w:r>
          </w:p>
        </w:tc>
        <w:tc>
          <w:tcPr>
            <w:tcW w:w="1339" w:type="dxa"/>
            <w:hideMark/>
          </w:tcPr>
          <w:p w14:paraId="04BA9BF6"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18.4%</w:t>
            </w:r>
          </w:p>
        </w:tc>
        <w:tc>
          <w:tcPr>
            <w:tcW w:w="1339" w:type="dxa"/>
            <w:hideMark/>
          </w:tcPr>
          <w:p w14:paraId="05FDE4F1"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18.8%</w:t>
            </w:r>
          </w:p>
        </w:tc>
        <w:tc>
          <w:tcPr>
            <w:tcW w:w="1339" w:type="dxa"/>
            <w:hideMark/>
          </w:tcPr>
          <w:p w14:paraId="7844AA58"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18.3%</w:t>
            </w:r>
          </w:p>
        </w:tc>
        <w:tc>
          <w:tcPr>
            <w:tcW w:w="1339" w:type="dxa"/>
          </w:tcPr>
          <w:p w14:paraId="7D47E607"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17.6%</w:t>
            </w:r>
          </w:p>
        </w:tc>
        <w:tc>
          <w:tcPr>
            <w:tcW w:w="1339" w:type="dxa"/>
          </w:tcPr>
          <w:p w14:paraId="4A50A8AE"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17.5%</w:t>
            </w:r>
          </w:p>
        </w:tc>
      </w:tr>
      <w:tr w:rsidR="00EC169D" w:rsidRPr="00EC169D" w14:paraId="0D0E011D" w14:textId="77777777" w:rsidTr="00803E29">
        <w:trPr>
          <w:trHeight w:val="20"/>
        </w:trPr>
        <w:tc>
          <w:tcPr>
            <w:cnfStyle w:val="001000000000" w:firstRow="0" w:lastRow="0" w:firstColumn="1" w:lastColumn="0" w:oddVBand="0" w:evenVBand="0" w:oddHBand="0" w:evenHBand="0" w:firstRowFirstColumn="0" w:firstRowLastColumn="0" w:lastRowFirstColumn="0" w:lastRowLastColumn="0"/>
            <w:tcW w:w="1339" w:type="dxa"/>
            <w:noWrap/>
          </w:tcPr>
          <w:p w14:paraId="0009DF60" w14:textId="77777777" w:rsidR="00EC169D" w:rsidRPr="00803E29" w:rsidRDefault="00EC169D" w:rsidP="0041205C">
            <w:pPr>
              <w:pStyle w:val="TableCategoryText"/>
            </w:pPr>
            <w:r w:rsidRPr="00803E29">
              <w:t>Grades 4–6</w:t>
            </w:r>
          </w:p>
        </w:tc>
        <w:tc>
          <w:tcPr>
            <w:tcW w:w="1339" w:type="dxa"/>
          </w:tcPr>
          <w:p w14:paraId="15CB28F0" w14:textId="77777777" w:rsidR="00EC169D" w:rsidRPr="00EC169D" w:rsidRDefault="00EC169D" w:rsidP="00CF280A">
            <w:pPr>
              <w:pStyle w:val="TableBodyText"/>
              <w:cnfStyle w:val="000000000000" w:firstRow="0" w:lastRow="0" w:firstColumn="0" w:lastColumn="0" w:oddVBand="0" w:evenVBand="0" w:oddHBand="0" w:evenHBand="0" w:firstRowFirstColumn="0" w:firstRowLastColumn="0" w:lastRowFirstColumn="0" w:lastRowLastColumn="0"/>
              <w:rPr>
                <w:rFonts w:cs="Arial"/>
                <w:color w:val="auto"/>
              </w:rPr>
            </w:pPr>
            <w:r w:rsidRPr="00EC169D">
              <w:rPr>
                <w:rFonts w:cs="Arial"/>
                <w:color w:val="auto"/>
              </w:rPr>
              <w:t>19.1%</w:t>
            </w:r>
          </w:p>
        </w:tc>
        <w:tc>
          <w:tcPr>
            <w:tcW w:w="1339" w:type="dxa"/>
          </w:tcPr>
          <w:p w14:paraId="2DEE4878" w14:textId="77777777" w:rsidR="00EC169D" w:rsidRPr="00EC169D" w:rsidRDefault="00EC169D" w:rsidP="00CF280A">
            <w:pPr>
              <w:pStyle w:val="TableBodyText"/>
              <w:cnfStyle w:val="000000000000" w:firstRow="0" w:lastRow="0" w:firstColumn="0" w:lastColumn="0" w:oddVBand="0" w:evenVBand="0" w:oddHBand="0" w:evenHBand="0" w:firstRowFirstColumn="0" w:firstRowLastColumn="0" w:lastRowFirstColumn="0" w:lastRowLastColumn="0"/>
              <w:rPr>
                <w:rFonts w:cs="Arial"/>
                <w:color w:val="auto"/>
              </w:rPr>
            </w:pPr>
            <w:r w:rsidRPr="00EC169D">
              <w:rPr>
                <w:rFonts w:cs="Arial"/>
                <w:color w:val="auto"/>
              </w:rPr>
              <w:t>18.1%</w:t>
            </w:r>
          </w:p>
        </w:tc>
        <w:tc>
          <w:tcPr>
            <w:tcW w:w="1339" w:type="dxa"/>
          </w:tcPr>
          <w:p w14:paraId="295EFD74" w14:textId="77777777" w:rsidR="00EC169D" w:rsidRPr="00EC169D" w:rsidRDefault="00EC169D" w:rsidP="00CF280A">
            <w:pPr>
              <w:pStyle w:val="TableBodyText"/>
              <w:cnfStyle w:val="000000000000" w:firstRow="0" w:lastRow="0" w:firstColumn="0" w:lastColumn="0" w:oddVBand="0" w:evenVBand="0" w:oddHBand="0" w:evenHBand="0" w:firstRowFirstColumn="0" w:firstRowLastColumn="0" w:lastRowFirstColumn="0" w:lastRowLastColumn="0"/>
              <w:rPr>
                <w:rFonts w:cs="Arial"/>
                <w:color w:val="auto"/>
              </w:rPr>
            </w:pPr>
            <w:r w:rsidRPr="00EC169D">
              <w:rPr>
                <w:rFonts w:cs="Arial"/>
                <w:color w:val="auto"/>
              </w:rPr>
              <w:t>19.1%</w:t>
            </w:r>
          </w:p>
        </w:tc>
        <w:tc>
          <w:tcPr>
            <w:tcW w:w="1339" w:type="dxa"/>
          </w:tcPr>
          <w:p w14:paraId="3C2E14F2" w14:textId="77777777" w:rsidR="00EC169D" w:rsidRPr="00EC169D" w:rsidRDefault="00EC169D" w:rsidP="00CF280A">
            <w:pPr>
              <w:pStyle w:val="TableBodyText"/>
              <w:cnfStyle w:val="000000000000" w:firstRow="0" w:lastRow="0" w:firstColumn="0" w:lastColumn="0" w:oddVBand="0" w:evenVBand="0" w:oddHBand="0" w:evenHBand="0" w:firstRowFirstColumn="0" w:firstRowLastColumn="0" w:lastRowFirstColumn="0" w:lastRowLastColumn="0"/>
              <w:rPr>
                <w:rFonts w:cs="Arial"/>
                <w:color w:val="auto"/>
              </w:rPr>
            </w:pPr>
            <w:r w:rsidRPr="00EC169D">
              <w:rPr>
                <w:rFonts w:cs="Arial"/>
                <w:color w:val="auto"/>
              </w:rPr>
              <w:t>19.3%</w:t>
            </w:r>
          </w:p>
        </w:tc>
        <w:tc>
          <w:tcPr>
            <w:tcW w:w="1339" w:type="dxa"/>
          </w:tcPr>
          <w:p w14:paraId="4EE65E88" w14:textId="77777777" w:rsidR="00EC169D" w:rsidRPr="00EC169D" w:rsidRDefault="00EC169D" w:rsidP="00CF280A">
            <w:pPr>
              <w:pStyle w:val="TableBodyText"/>
              <w:cnfStyle w:val="000000000000" w:firstRow="0" w:lastRow="0" w:firstColumn="0" w:lastColumn="0" w:oddVBand="0" w:evenVBand="0" w:oddHBand="0" w:evenHBand="0" w:firstRowFirstColumn="0" w:firstRowLastColumn="0" w:lastRowFirstColumn="0" w:lastRowLastColumn="0"/>
              <w:rPr>
                <w:rFonts w:cs="Arial"/>
                <w:color w:val="auto"/>
              </w:rPr>
            </w:pPr>
            <w:r w:rsidRPr="00EC169D">
              <w:rPr>
                <w:rFonts w:cs="Arial"/>
                <w:color w:val="auto"/>
              </w:rPr>
              <w:t>19.1%</w:t>
            </w:r>
          </w:p>
        </w:tc>
        <w:tc>
          <w:tcPr>
            <w:tcW w:w="1339" w:type="dxa"/>
          </w:tcPr>
          <w:p w14:paraId="76C56058" w14:textId="77777777" w:rsidR="00EC169D" w:rsidRPr="00EC169D" w:rsidRDefault="00EC169D" w:rsidP="00CF280A">
            <w:pPr>
              <w:pStyle w:val="TableBodyText"/>
              <w:cnfStyle w:val="000000000000" w:firstRow="0" w:lastRow="0" w:firstColumn="0" w:lastColumn="0" w:oddVBand="0" w:evenVBand="0" w:oddHBand="0" w:evenHBand="0" w:firstRowFirstColumn="0" w:firstRowLastColumn="0" w:lastRowFirstColumn="0" w:lastRowLastColumn="0"/>
              <w:rPr>
                <w:rFonts w:cs="Arial"/>
                <w:color w:val="auto"/>
              </w:rPr>
            </w:pPr>
            <w:r w:rsidRPr="00EC169D">
              <w:rPr>
                <w:rFonts w:cs="Arial"/>
                <w:color w:val="auto"/>
              </w:rPr>
              <w:t>18.6%</w:t>
            </w:r>
          </w:p>
        </w:tc>
      </w:tr>
      <w:tr w:rsidR="00EC169D" w:rsidRPr="00EC169D" w14:paraId="69160348" w14:textId="77777777" w:rsidTr="00803E2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9" w:type="dxa"/>
            <w:noWrap/>
          </w:tcPr>
          <w:p w14:paraId="6D4D73CC" w14:textId="77777777" w:rsidR="00EC169D" w:rsidRPr="00803E29" w:rsidRDefault="00EC169D" w:rsidP="0041205C">
            <w:pPr>
              <w:pStyle w:val="TableCategoryText"/>
            </w:pPr>
            <w:r w:rsidRPr="00803E29">
              <w:t>Grades 7–9</w:t>
            </w:r>
          </w:p>
        </w:tc>
        <w:tc>
          <w:tcPr>
            <w:tcW w:w="1339" w:type="dxa"/>
          </w:tcPr>
          <w:p w14:paraId="4F605723"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18.0%</w:t>
            </w:r>
          </w:p>
        </w:tc>
        <w:tc>
          <w:tcPr>
            <w:tcW w:w="1339" w:type="dxa"/>
          </w:tcPr>
          <w:p w14:paraId="3DFBC7A3"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18.0%</w:t>
            </w:r>
          </w:p>
        </w:tc>
        <w:tc>
          <w:tcPr>
            <w:tcW w:w="1339" w:type="dxa"/>
          </w:tcPr>
          <w:p w14:paraId="7F267D98"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19.1%</w:t>
            </w:r>
          </w:p>
        </w:tc>
        <w:tc>
          <w:tcPr>
            <w:tcW w:w="1339" w:type="dxa"/>
          </w:tcPr>
          <w:p w14:paraId="02AD3811"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19.3%</w:t>
            </w:r>
          </w:p>
        </w:tc>
        <w:tc>
          <w:tcPr>
            <w:tcW w:w="1339" w:type="dxa"/>
          </w:tcPr>
          <w:p w14:paraId="4A4CA3CA"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18.8%</w:t>
            </w:r>
          </w:p>
        </w:tc>
        <w:tc>
          <w:tcPr>
            <w:tcW w:w="1339" w:type="dxa"/>
          </w:tcPr>
          <w:p w14:paraId="79345E63"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18.9%</w:t>
            </w:r>
          </w:p>
        </w:tc>
      </w:tr>
      <w:tr w:rsidR="00EC169D" w:rsidRPr="00EC169D" w14:paraId="574017E9" w14:textId="77777777" w:rsidTr="00803E29">
        <w:trPr>
          <w:trHeight w:val="20"/>
        </w:trPr>
        <w:tc>
          <w:tcPr>
            <w:cnfStyle w:val="001000000000" w:firstRow="0" w:lastRow="0" w:firstColumn="1" w:lastColumn="0" w:oddVBand="0" w:evenVBand="0" w:oddHBand="0" w:evenHBand="0" w:firstRowFirstColumn="0" w:firstRowLastColumn="0" w:lastRowFirstColumn="0" w:lastRowLastColumn="0"/>
            <w:tcW w:w="1339" w:type="dxa"/>
            <w:noWrap/>
          </w:tcPr>
          <w:p w14:paraId="0C88E329" w14:textId="77777777" w:rsidR="00EC169D" w:rsidRPr="00803E29" w:rsidRDefault="00EC169D" w:rsidP="0041205C">
            <w:pPr>
              <w:pStyle w:val="TableCategoryText"/>
            </w:pPr>
            <w:r w:rsidRPr="00803E29">
              <w:t>Grades 10–12</w:t>
            </w:r>
          </w:p>
        </w:tc>
        <w:tc>
          <w:tcPr>
            <w:tcW w:w="1339" w:type="dxa"/>
          </w:tcPr>
          <w:p w14:paraId="7A7F54FD" w14:textId="77777777" w:rsidR="00EC169D" w:rsidRPr="00EC169D" w:rsidRDefault="00EC169D" w:rsidP="00CF280A">
            <w:pPr>
              <w:pStyle w:val="TableBodyText"/>
              <w:cnfStyle w:val="000000000000" w:firstRow="0" w:lastRow="0" w:firstColumn="0" w:lastColumn="0" w:oddVBand="0" w:evenVBand="0" w:oddHBand="0" w:evenHBand="0" w:firstRowFirstColumn="0" w:firstRowLastColumn="0" w:lastRowFirstColumn="0" w:lastRowLastColumn="0"/>
              <w:rPr>
                <w:rFonts w:cs="Arial"/>
                <w:color w:val="auto"/>
              </w:rPr>
            </w:pPr>
            <w:r w:rsidRPr="00EC169D">
              <w:rPr>
                <w:rFonts w:cs="Arial"/>
                <w:color w:val="auto"/>
              </w:rPr>
              <w:t>15.8%</w:t>
            </w:r>
          </w:p>
        </w:tc>
        <w:tc>
          <w:tcPr>
            <w:tcW w:w="1339" w:type="dxa"/>
          </w:tcPr>
          <w:p w14:paraId="01EC577D" w14:textId="77777777" w:rsidR="00EC169D" w:rsidRPr="00EC169D" w:rsidRDefault="00EC169D" w:rsidP="00CF280A">
            <w:pPr>
              <w:pStyle w:val="TableBodyText"/>
              <w:cnfStyle w:val="000000000000" w:firstRow="0" w:lastRow="0" w:firstColumn="0" w:lastColumn="0" w:oddVBand="0" w:evenVBand="0" w:oddHBand="0" w:evenHBand="0" w:firstRowFirstColumn="0" w:firstRowLastColumn="0" w:lastRowFirstColumn="0" w:lastRowLastColumn="0"/>
              <w:rPr>
                <w:rFonts w:cs="Arial"/>
                <w:color w:val="auto"/>
              </w:rPr>
            </w:pPr>
            <w:r w:rsidRPr="00EC169D">
              <w:rPr>
                <w:rFonts w:cs="Arial"/>
                <w:color w:val="auto"/>
              </w:rPr>
              <w:t>15.6%</w:t>
            </w:r>
          </w:p>
        </w:tc>
        <w:tc>
          <w:tcPr>
            <w:tcW w:w="1339" w:type="dxa"/>
          </w:tcPr>
          <w:p w14:paraId="62E50756" w14:textId="77777777" w:rsidR="00EC169D" w:rsidRPr="00EC169D" w:rsidRDefault="00EC169D" w:rsidP="00CF280A">
            <w:pPr>
              <w:pStyle w:val="TableBodyText"/>
              <w:cnfStyle w:val="000000000000" w:firstRow="0" w:lastRow="0" w:firstColumn="0" w:lastColumn="0" w:oddVBand="0" w:evenVBand="0" w:oddHBand="0" w:evenHBand="0" w:firstRowFirstColumn="0" w:firstRowLastColumn="0" w:lastRowFirstColumn="0" w:lastRowLastColumn="0"/>
              <w:rPr>
                <w:rFonts w:cs="Arial"/>
                <w:color w:val="auto"/>
              </w:rPr>
            </w:pPr>
            <w:r w:rsidRPr="00EC169D">
              <w:rPr>
                <w:rFonts w:cs="Arial"/>
                <w:color w:val="auto"/>
              </w:rPr>
              <w:t>16.6%</w:t>
            </w:r>
          </w:p>
        </w:tc>
        <w:tc>
          <w:tcPr>
            <w:tcW w:w="1339" w:type="dxa"/>
          </w:tcPr>
          <w:p w14:paraId="07575F8A" w14:textId="77777777" w:rsidR="00EC169D" w:rsidRPr="00EC169D" w:rsidRDefault="00EC169D" w:rsidP="00CF280A">
            <w:pPr>
              <w:pStyle w:val="TableBodyText"/>
              <w:cnfStyle w:val="000000000000" w:firstRow="0" w:lastRow="0" w:firstColumn="0" w:lastColumn="0" w:oddVBand="0" w:evenVBand="0" w:oddHBand="0" w:evenHBand="0" w:firstRowFirstColumn="0" w:firstRowLastColumn="0" w:lastRowFirstColumn="0" w:lastRowLastColumn="0"/>
              <w:rPr>
                <w:rFonts w:cs="Arial"/>
                <w:color w:val="auto"/>
              </w:rPr>
            </w:pPr>
            <w:r w:rsidRPr="00EC169D">
              <w:rPr>
                <w:rFonts w:cs="Arial"/>
                <w:color w:val="auto"/>
              </w:rPr>
              <w:t>17.1%</w:t>
            </w:r>
          </w:p>
        </w:tc>
        <w:tc>
          <w:tcPr>
            <w:tcW w:w="1339" w:type="dxa"/>
          </w:tcPr>
          <w:p w14:paraId="3DF8EDD3" w14:textId="77777777" w:rsidR="00EC169D" w:rsidRPr="00EC169D" w:rsidRDefault="00EC169D" w:rsidP="00CF280A">
            <w:pPr>
              <w:pStyle w:val="TableBodyText"/>
              <w:cnfStyle w:val="000000000000" w:firstRow="0" w:lastRow="0" w:firstColumn="0" w:lastColumn="0" w:oddVBand="0" w:evenVBand="0" w:oddHBand="0" w:evenHBand="0" w:firstRowFirstColumn="0" w:firstRowLastColumn="0" w:lastRowFirstColumn="0" w:lastRowLastColumn="0"/>
              <w:rPr>
                <w:rFonts w:cs="Arial"/>
                <w:color w:val="auto"/>
              </w:rPr>
            </w:pPr>
            <w:r w:rsidRPr="00EC169D">
              <w:rPr>
                <w:rFonts w:cs="Arial"/>
                <w:color w:val="auto"/>
              </w:rPr>
              <w:t>17.7%</w:t>
            </w:r>
          </w:p>
        </w:tc>
        <w:tc>
          <w:tcPr>
            <w:tcW w:w="1339" w:type="dxa"/>
          </w:tcPr>
          <w:p w14:paraId="11C89671" w14:textId="77777777" w:rsidR="00EC169D" w:rsidRPr="00EC169D" w:rsidRDefault="00EC169D" w:rsidP="00CF280A">
            <w:pPr>
              <w:pStyle w:val="TableBodyText"/>
              <w:cnfStyle w:val="000000000000" w:firstRow="0" w:lastRow="0" w:firstColumn="0" w:lastColumn="0" w:oddVBand="0" w:evenVBand="0" w:oddHBand="0" w:evenHBand="0" w:firstRowFirstColumn="0" w:firstRowLastColumn="0" w:lastRowFirstColumn="0" w:lastRowLastColumn="0"/>
              <w:rPr>
                <w:rFonts w:cs="Arial"/>
                <w:color w:val="auto"/>
              </w:rPr>
            </w:pPr>
            <w:r w:rsidRPr="00EC169D">
              <w:rPr>
                <w:rFonts w:cs="Arial"/>
                <w:color w:val="auto"/>
              </w:rPr>
              <w:t>17.9%</w:t>
            </w:r>
          </w:p>
        </w:tc>
      </w:tr>
      <w:tr w:rsidR="00EC169D" w:rsidRPr="00EC169D" w14:paraId="1F04E6A7" w14:textId="77777777" w:rsidTr="00803E2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9" w:type="dxa"/>
            <w:noWrap/>
          </w:tcPr>
          <w:p w14:paraId="50E21B96" w14:textId="77777777" w:rsidR="00EC169D" w:rsidRPr="00803E29" w:rsidRDefault="00EC169D" w:rsidP="0041205C">
            <w:pPr>
              <w:pStyle w:val="TableCategoryText"/>
            </w:pPr>
            <w:r w:rsidRPr="00803E29">
              <w:t>OSY</w:t>
            </w:r>
          </w:p>
        </w:tc>
        <w:tc>
          <w:tcPr>
            <w:tcW w:w="1339" w:type="dxa"/>
          </w:tcPr>
          <w:p w14:paraId="0D493072"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7.2%</w:t>
            </w:r>
          </w:p>
        </w:tc>
        <w:tc>
          <w:tcPr>
            <w:tcW w:w="1339" w:type="dxa"/>
          </w:tcPr>
          <w:p w14:paraId="4BD44EEB"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8.8%</w:t>
            </w:r>
          </w:p>
        </w:tc>
        <w:tc>
          <w:tcPr>
            <w:tcW w:w="1339" w:type="dxa"/>
          </w:tcPr>
          <w:p w14:paraId="2AE46E7B"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5.7%</w:t>
            </w:r>
          </w:p>
        </w:tc>
        <w:tc>
          <w:tcPr>
            <w:tcW w:w="1339" w:type="dxa"/>
          </w:tcPr>
          <w:p w14:paraId="186F27BF"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6.1%</w:t>
            </w:r>
          </w:p>
        </w:tc>
        <w:tc>
          <w:tcPr>
            <w:tcW w:w="1339" w:type="dxa"/>
          </w:tcPr>
          <w:p w14:paraId="7B5493AA"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7.9%</w:t>
            </w:r>
          </w:p>
        </w:tc>
        <w:tc>
          <w:tcPr>
            <w:tcW w:w="1339" w:type="dxa"/>
          </w:tcPr>
          <w:p w14:paraId="76B1D352" w14:textId="77777777" w:rsidR="00EC169D" w:rsidRPr="00EC169D" w:rsidRDefault="00EC169D" w:rsidP="00CF280A">
            <w:pPr>
              <w:pStyle w:val="TableBodyText"/>
              <w:cnfStyle w:val="000000100000" w:firstRow="0" w:lastRow="0" w:firstColumn="0" w:lastColumn="0" w:oddVBand="0" w:evenVBand="0" w:oddHBand="1" w:evenHBand="0" w:firstRowFirstColumn="0" w:firstRowLastColumn="0" w:lastRowFirstColumn="0" w:lastRowLastColumn="0"/>
              <w:rPr>
                <w:rFonts w:cs="Arial"/>
                <w:color w:val="auto"/>
              </w:rPr>
            </w:pPr>
            <w:r w:rsidRPr="00EC169D">
              <w:rPr>
                <w:rFonts w:cs="Arial"/>
                <w:color w:val="auto"/>
              </w:rPr>
              <w:t>8.4%</w:t>
            </w:r>
          </w:p>
        </w:tc>
      </w:tr>
    </w:tbl>
    <w:p w14:paraId="572BDD5E" w14:textId="30EB95BE" w:rsidR="00803E29" w:rsidRPr="00F55385" w:rsidRDefault="00803E29" w:rsidP="00CF280A">
      <w:pPr>
        <w:pStyle w:val="TableorFiguresNotesSources"/>
        <w:spacing w:after="240" w:line="240" w:lineRule="auto"/>
        <w:rPr>
          <w:color w:val="auto"/>
          <w:szCs w:val="24"/>
        </w:rPr>
      </w:pPr>
      <w:bookmarkStart w:id="47" w:name="_Toc163813421"/>
      <w:r w:rsidRPr="00F55385">
        <w:rPr>
          <w:color w:val="auto"/>
          <w:szCs w:val="24"/>
        </w:rPr>
        <w:t xml:space="preserve">Source: The MSIN </w:t>
      </w:r>
      <w:r w:rsidR="009E352E">
        <w:rPr>
          <w:color w:val="auto"/>
          <w:szCs w:val="24"/>
        </w:rPr>
        <w:t>databases</w:t>
      </w:r>
      <w:r w:rsidRPr="00F55385">
        <w:rPr>
          <w:color w:val="auto"/>
          <w:szCs w:val="24"/>
        </w:rPr>
        <w:t xml:space="preserve"> for the MEP, 2017–18 through 2022–23</w:t>
      </w:r>
      <w:r w:rsidR="003B43E6">
        <w:rPr>
          <w:color w:val="auto"/>
          <w:szCs w:val="24"/>
        </w:rPr>
        <w:t xml:space="preserve"> performance periods</w:t>
      </w:r>
      <w:r w:rsidRPr="00F55385">
        <w:rPr>
          <w:color w:val="auto"/>
          <w:szCs w:val="24"/>
        </w:rPr>
        <w:t>.</w:t>
      </w:r>
    </w:p>
    <w:p w14:paraId="582F824C" w14:textId="77777777" w:rsidR="00EC169D" w:rsidRPr="00F55385" w:rsidRDefault="00EC169D" w:rsidP="00CF280A">
      <w:pPr>
        <w:pStyle w:val="Heading4"/>
      </w:pPr>
      <w:r w:rsidRPr="00F55385">
        <w:t>English Learner Status</w:t>
      </w:r>
      <w:bookmarkEnd w:id="47"/>
    </w:p>
    <w:p w14:paraId="31A68011" w14:textId="6BAD7EB1" w:rsidR="00EC169D" w:rsidRPr="00F55385" w:rsidRDefault="00EC169D" w:rsidP="00CF280A">
      <w:pPr>
        <w:pStyle w:val="Paragraph"/>
        <w:spacing w:line="240" w:lineRule="auto"/>
        <w:rPr>
          <w:rFonts w:cs="Arial"/>
          <w:color w:val="auto"/>
        </w:rPr>
      </w:pPr>
      <w:r w:rsidRPr="00F55385">
        <w:rPr>
          <w:rFonts w:cs="Arial"/>
          <w:color w:val="auto"/>
        </w:rPr>
        <w:t xml:space="preserve">An </w:t>
      </w:r>
      <w:r w:rsidR="001703F5">
        <w:rPr>
          <w:rFonts w:cs="Arial"/>
          <w:color w:val="auto"/>
        </w:rPr>
        <w:t>English learner (</w:t>
      </w:r>
      <w:r w:rsidRPr="00F55385">
        <w:rPr>
          <w:rFonts w:cs="Arial"/>
          <w:color w:val="auto"/>
        </w:rPr>
        <w:t>EL</w:t>
      </w:r>
      <w:r w:rsidR="001703F5">
        <w:rPr>
          <w:rFonts w:cs="Arial"/>
          <w:color w:val="auto"/>
        </w:rPr>
        <w:t>)</w:t>
      </w:r>
      <w:r w:rsidRPr="00F55385">
        <w:rPr>
          <w:rFonts w:cs="Arial"/>
          <w:color w:val="auto"/>
        </w:rPr>
        <w:t xml:space="preserve"> student is one in kindergarten through grade twelve for whom there is a report of a language other than English on the Home Language Survey and who, upon initial assessment in California using an appropriate state assessment (currently the ELPAC) and from additional information when appropriate, is determined to be still developing the clearly defined English language skills of listening, speaking, reading, and/or writing necessary to succeed in a school’s regular instructional programs. </w:t>
      </w:r>
    </w:p>
    <w:p w14:paraId="5B8BD993" w14:textId="7264D9F3" w:rsidR="00EC169D" w:rsidRPr="00F55385" w:rsidRDefault="00EC169D" w:rsidP="00CF280A">
      <w:pPr>
        <w:pStyle w:val="Paragraph"/>
        <w:spacing w:line="240" w:lineRule="auto"/>
        <w:rPr>
          <w:rFonts w:cs="Arial"/>
          <w:noProof w:val="0"/>
          <w:color w:val="auto"/>
        </w:rPr>
      </w:pPr>
      <w:r w:rsidRPr="00F55385">
        <w:rPr>
          <w:rFonts w:cs="Arial"/>
          <w:noProof w:val="0"/>
          <w:color w:val="auto"/>
        </w:rPr>
        <w:t xml:space="preserve">Per California </w:t>
      </w:r>
      <w:r w:rsidRPr="00F55385">
        <w:rPr>
          <w:rFonts w:cs="Arial"/>
          <w:i/>
          <w:iCs/>
          <w:noProof w:val="0"/>
          <w:color w:val="auto"/>
        </w:rPr>
        <w:t>Education Code</w:t>
      </w:r>
      <w:r w:rsidRPr="00F55385">
        <w:rPr>
          <w:rFonts w:cs="Arial"/>
          <w:noProof w:val="0"/>
          <w:color w:val="auto"/>
        </w:rPr>
        <w:t xml:space="preserve"> Section 313.1(a)(1), a</w:t>
      </w:r>
      <w:r w:rsidR="00D313A0">
        <w:rPr>
          <w:rFonts w:cs="Arial"/>
          <w:noProof w:val="0"/>
          <w:color w:val="auto"/>
        </w:rPr>
        <w:t xml:space="preserve"> long-term English learner</w:t>
      </w:r>
      <w:r w:rsidRPr="00F55385">
        <w:rPr>
          <w:rFonts w:cs="Arial"/>
          <w:noProof w:val="0"/>
          <w:color w:val="auto"/>
        </w:rPr>
        <w:t xml:space="preserve"> </w:t>
      </w:r>
      <w:r w:rsidR="00D313A0">
        <w:rPr>
          <w:rFonts w:cs="Arial"/>
          <w:noProof w:val="0"/>
          <w:color w:val="auto"/>
        </w:rPr>
        <w:t>(</w:t>
      </w:r>
      <w:r w:rsidRPr="00F55385">
        <w:rPr>
          <w:rFonts w:cs="Arial"/>
          <w:noProof w:val="0"/>
          <w:color w:val="auto"/>
        </w:rPr>
        <w:t>LTEL</w:t>
      </w:r>
      <w:r w:rsidR="00D313A0">
        <w:rPr>
          <w:rFonts w:cs="Arial"/>
          <w:noProof w:val="0"/>
          <w:color w:val="auto"/>
        </w:rPr>
        <w:t>)</w:t>
      </w:r>
      <w:r w:rsidRPr="00F55385">
        <w:rPr>
          <w:rFonts w:cs="Arial"/>
          <w:noProof w:val="0"/>
          <w:color w:val="auto"/>
        </w:rPr>
        <w:t xml:space="preserve"> student is an EL student to whom all of the following apply: (1) is enrolled on Census Day (the first Wednesday in October) in grades six to twelve, inclusive; and (2) has been enrolled in a U.S. school for six or more years; and (3) has remained at the same English language proficiency level for two or more consecutive prior years, or has regressed to a lower English language proficiency level, as determined by the ELPAC; </w:t>
      </w:r>
      <w:r w:rsidRPr="00F55385">
        <w:rPr>
          <w:rFonts w:cs="Arial"/>
          <w:noProof w:val="0"/>
          <w:color w:val="auto"/>
        </w:rPr>
        <w:lastRenderedPageBreak/>
        <w:t>and (4) for students in grades six to nine, inclusive, who have scored at the “standard not met” level on the prior year administration of the CAASPP</w:t>
      </w:r>
      <w:r w:rsidR="007F5973">
        <w:rPr>
          <w:rFonts w:cs="Arial"/>
          <w:noProof w:val="0"/>
          <w:color w:val="auto"/>
        </w:rPr>
        <w:t xml:space="preserve"> </w:t>
      </w:r>
      <w:r w:rsidRPr="00F55385">
        <w:rPr>
          <w:rFonts w:cs="Arial"/>
          <w:noProof w:val="0"/>
          <w:color w:val="auto"/>
        </w:rPr>
        <w:t>ELA.</w:t>
      </w:r>
      <w:r w:rsidRPr="00F55385">
        <w:rPr>
          <w:rStyle w:val="FootnoteReference"/>
          <w:rFonts w:cs="Arial"/>
          <w:color w:val="auto"/>
        </w:rPr>
        <w:footnoteReference w:id="7"/>
      </w:r>
      <w:r w:rsidRPr="00F55385">
        <w:rPr>
          <w:rFonts w:cs="Arial"/>
          <w:noProof w:val="0"/>
          <w:color w:val="auto"/>
        </w:rPr>
        <w:t xml:space="preserve"> </w:t>
      </w:r>
    </w:p>
    <w:p w14:paraId="1F26CE98" w14:textId="228732FF" w:rsidR="00EC169D" w:rsidRPr="00F55385" w:rsidRDefault="00EC169D" w:rsidP="00CF280A">
      <w:pPr>
        <w:pStyle w:val="Paragraph"/>
        <w:spacing w:line="240" w:lineRule="auto"/>
        <w:rPr>
          <w:rFonts w:cs="Arial"/>
          <w:noProof w:val="0"/>
          <w:color w:val="auto"/>
        </w:rPr>
      </w:pPr>
      <w:r w:rsidRPr="00F55385">
        <w:rPr>
          <w:rFonts w:cs="Arial"/>
          <w:noProof w:val="0"/>
          <w:color w:val="auto"/>
        </w:rPr>
        <w:t xml:space="preserve">Statewide, approximately 20 percent of all students are classified as EL students. Among migratory students, the percentage of those classified as EL students </w:t>
      </w:r>
      <w:r w:rsidR="00F8556E" w:rsidRPr="00F55385">
        <w:rPr>
          <w:rFonts w:cs="Arial"/>
          <w:noProof w:val="0"/>
          <w:color w:val="auto"/>
        </w:rPr>
        <w:t>are</w:t>
      </w:r>
      <w:r w:rsidRPr="00F55385">
        <w:rPr>
          <w:rFonts w:cs="Arial"/>
          <w:noProof w:val="0"/>
          <w:color w:val="auto"/>
        </w:rPr>
        <w:t xml:space="preserve"> far greater. Across all grades, migratory students are at least three times as likely as all students to be classified as EL students. During SY 2022–23, 65 percent of migratory students in grades kindergarten through twelve were classified as EL students. The highest concentration of students in this group were in grades kindergarten through five (75 to 83 percent).</w:t>
      </w:r>
    </w:p>
    <w:p w14:paraId="2ED0702A" w14:textId="384FD15C" w:rsidR="00EC169D" w:rsidRPr="00F55385" w:rsidRDefault="00794006" w:rsidP="00CF280A">
      <w:pPr>
        <w:pStyle w:val="Paragraph"/>
        <w:spacing w:line="240" w:lineRule="auto"/>
        <w:rPr>
          <w:rFonts w:cs="Arial"/>
          <w:color w:val="auto"/>
        </w:rPr>
      </w:pPr>
      <w:r>
        <w:rPr>
          <w:rFonts w:cs="Arial"/>
          <w:color w:val="auto"/>
        </w:rPr>
        <w:t>Figure</w:t>
      </w:r>
      <w:r w:rsidR="00EC169D" w:rsidRPr="00F55385">
        <w:rPr>
          <w:rFonts w:cs="Arial"/>
          <w:color w:val="auto"/>
        </w:rPr>
        <w:t xml:space="preserve"> </w:t>
      </w:r>
      <w:r>
        <w:rPr>
          <w:rFonts w:cs="Arial"/>
          <w:color w:val="auto"/>
        </w:rPr>
        <w:t>5</w:t>
      </w:r>
      <w:r w:rsidR="00EC169D" w:rsidRPr="00F55385">
        <w:rPr>
          <w:rFonts w:cs="Arial"/>
          <w:color w:val="auto"/>
        </w:rPr>
        <w:t xml:space="preserve"> shows the percentage of migratory students and all students who were classified as EL students, by grade, in SY 2022–23.</w:t>
      </w:r>
    </w:p>
    <w:p w14:paraId="36BC9DE7" w14:textId="4F5AB96E" w:rsidR="00F55385" w:rsidRPr="004879D0" w:rsidRDefault="004879D0" w:rsidP="00066268">
      <w:pPr>
        <w:pStyle w:val="Heading5"/>
      </w:pPr>
      <w:bookmarkStart w:id="48" w:name="_Toc188030504"/>
      <w:r w:rsidRPr="004879D0">
        <w:t xml:space="preserve">Figure </w:t>
      </w:r>
      <w:fldSimple w:instr=" SEQ Figure \* ARABIC ">
        <w:r w:rsidR="00AB15FE">
          <w:rPr>
            <w:noProof/>
          </w:rPr>
          <w:t>5</w:t>
        </w:r>
      </w:fldSimple>
      <w:r w:rsidRPr="004879D0">
        <w:t>. Percentage of Migratory Students and All Students Who Were Classified as English Learner Students in School Year 2022–23, by Grade</w:t>
      </w:r>
      <w:bookmarkEnd w:id="48"/>
    </w:p>
    <w:p w14:paraId="67475FF6" w14:textId="0166B1F4" w:rsidR="00EC169D" w:rsidRDefault="000D7882" w:rsidP="00CF280A">
      <w:pPr>
        <w:pStyle w:val="DataSource"/>
        <w:spacing w:after="240"/>
        <w:rPr>
          <w:rFonts w:ascii="Arial" w:hAnsi="Arial" w:cs="Arial"/>
          <w:color w:val="auto"/>
          <w:sz w:val="24"/>
        </w:rPr>
      </w:pPr>
      <w:r>
        <w:rPr>
          <w:noProof/>
        </w:rPr>
        <w:drawing>
          <wp:inline distT="0" distB="0" distL="0" distR="0" wp14:anchorId="5BC582BB" wp14:editId="367C9DB7">
            <wp:extent cx="5943600" cy="3221355"/>
            <wp:effectExtent l="19050" t="19050" r="19050" b="17145"/>
            <wp:docPr id="458912581" name="Picture 1" descr="Percentage of Migratory Students and All Students Who Were Classified as English Learner Students in School Year 2022–23, by Grade. Table 6 shows this data in table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912581" name="Picture 1" descr="Percentage of Migratory Students and All Students Who Were Classified as English Learner Students in School Year 2022–23, by Grade. Table 6 shows this data in table format."/>
                    <pic:cNvPicPr/>
                  </pic:nvPicPr>
                  <pic:blipFill>
                    <a:blip r:embed="rId18"/>
                    <a:stretch>
                      <a:fillRect/>
                    </a:stretch>
                  </pic:blipFill>
                  <pic:spPr>
                    <a:xfrm>
                      <a:off x="0" y="0"/>
                      <a:ext cx="5943600" cy="3221355"/>
                    </a:xfrm>
                    <a:prstGeom prst="rect">
                      <a:avLst/>
                    </a:prstGeom>
                    <a:ln>
                      <a:solidFill>
                        <a:schemeClr val="tx1"/>
                      </a:solidFill>
                    </a:ln>
                  </pic:spPr>
                </pic:pic>
              </a:graphicData>
            </a:graphic>
          </wp:inline>
        </w:drawing>
      </w:r>
    </w:p>
    <w:p w14:paraId="771494E1" w14:textId="34FEB121" w:rsidR="000D7882" w:rsidRPr="00F55385" w:rsidRDefault="000D7882" w:rsidP="00CF280A">
      <w:pPr>
        <w:pStyle w:val="TableorFiguresNotesSources"/>
        <w:spacing w:before="0" w:after="240" w:line="240" w:lineRule="auto"/>
        <w:rPr>
          <w:color w:val="auto"/>
        </w:rPr>
      </w:pPr>
      <w:r w:rsidRPr="00F55385">
        <w:rPr>
          <w:color w:val="auto"/>
        </w:rPr>
        <w:t xml:space="preserve">Source: The MSIN </w:t>
      </w:r>
      <w:r w:rsidR="009E352E">
        <w:rPr>
          <w:color w:val="auto"/>
        </w:rPr>
        <w:t>databases</w:t>
      </w:r>
      <w:r w:rsidRPr="00F55385">
        <w:rPr>
          <w:color w:val="auto"/>
        </w:rPr>
        <w:t xml:space="preserve"> for the MEP, </w:t>
      </w:r>
      <w:r w:rsidR="00D1613E">
        <w:rPr>
          <w:color w:val="auto"/>
        </w:rPr>
        <w:t xml:space="preserve">SYs </w:t>
      </w:r>
      <w:r w:rsidRPr="00F55385">
        <w:rPr>
          <w:color w:val="auto"/>
        </w:rPr>
        <w:t>2017–18 through 2021–22.</w:t>
      </w:r>
    </w:p>
    <w:p w14:paraId="78D1B8F0" w14:textId="6CBA6373" w:rsidR="009E451F" w:rsidRPr="009D10E5" w:rsidRDefault="009E451F" w:rsidP="009E451F">
      <w:pPr>
        <w:spacing w:after="240"/>
        <w:rPr>
          <w:color w:val="2A414D"/>
        </w:rPr>
      </w:pPr>
      <w:bookmarkStart w:id="49" w:name="_Toc160787180"/>
      <w:bookmarkStart w:id="50" w:name="_Toc472607011"/>
      <w:bookmarkStart w:id="51" w:name="_Toc496195907"/>
      <w:r w:rsidRPr="009D10E5">
        <w:rPr>
          <w:color w:val="2A414D"/>
        </w:rPr>
        <w:t>The CDE utilizes the term multilingual learners to refer to students who have developed or are developing proficiency in English and one or more other languages, which may be their home language. Multilingual learners may include but are not limited to:</w:t>
      </w:r>
    </w:p>
    <w:p w14:paraId="20B0BBFC" w14:textId="77777777" w:rsidR="009E451F" w:rsidRPr="009D10E5" w:rsidRDefault="009E451F" w:rsidP="009E451F">
      <w:pPr>
        <w:numPr>
          <w:ilvl w:val="0"/>
          <w:numId w:val="67"/>
        </w:numPr>
        <w:spacing w:after="240"/>
        <w:rPr>
          <w:color w:val="2A414D"/>
        </w:rPr>
      </w:pPr>
      <w:r w:rsidRPr="009D10E5">
        <w:rPr>
          <w:color w:val="2A414D"/>
        </w:rPr>
        <w:t>Dual language learner students,</w:t>
      </w:r>
    </w:p>
    <w:p w14:paraId="3728827F" w14:textId="77777777" w:rsidR="009E451F" w:rsidRPr="009D10E5" w:rsidRDefault="009E451F" w:rsidP="009E451F">
      <w:pPr>
        <w:numPr>
          <w:ilvl w:val="0"/>
          <w:numId w:val="67"/>
        </w:numPr>
        <w:spacing w:after="240"/>
        <w:rPr>
          <w:color w:val="2A414D"/>
        </w:rPr>
      </w:pPr>
      <w:r w:rsidRPr="009D10E5">
        <w:rPr>
          <w:color w:val="2A414D"/>
        </w:rPr>
        <w:lastRenderedPageBreak/>
        <w:t>Multilingual TK students,</w:t>
      </w:r>
    </w:p>
    <w:p w14:paraId="282314B6" w14:textId="77777777" w:rsidR="009E451F" w:rsidRPr="009D10E5" w:rsidRDefault="009E451F" w:rsidP="009E451F">
      <w:pPr>
        <w:numPr>
          <w:ilvl w:val="0"/>
          <w:numId w:val="67"/>
        </w:numPr>
        <w:spacing w:after="240"/>
        <w:rPr>
          <w:color w:val="2A414D"/>
        </w:rPr>
      </w:pPr>
      <w:r w:rsidRPr="009D10E5">
        <w:rPr>
          <w:color w:val="2A414D"/>
        </w:rPr>
        <w:t>English learner students,</w:t>
      </w:r>
    </w:p>
    <w:p w14:paraId="64DE4409" w14:textId="77777777" w:rsidR="009E451F" w:rsidRPr="009D10E5" w:rsidRDefault="009E451F" w:rsidP="009E451F">
      <w:pPr>
        <w:numPr>
          <w:ilvl w:val="0"/>
          <w:numId w:val="67"/>
        </w:numPr>
        <w:spacing w:after="240"/>
        <w:rPr>
          <w:color w:val="2A414D"/>
        </w:rPr>
      </w:pPr>
      <w:r w:rsidRPr="009D10E5">
        <w:rPr>
          <w:color w:val="2A414D"/>
        </w:rPr>
        <w:t>Initial Fluent English Proficient students,</w:t>
      </w:r>
    </w:p>
    <w:p w14:paraId="3DE4F6C5" w14:textId="77777777" w:rsidR="009E451F" w:rsidRPr="009D10E5" w:rsidRDefault="009E451F" w:rsidP="009E451F">
      <w:pPr>
        <w:numPr>
          <w:ilvl w:val="0"/>
          <w:numId w:val="67"/>
        </w:numPr>
        <w:spacing w:after="240"/>
        <w:rPr>
          <w:color w:val="2A414D"/>
        </w:rPr>
      </w:pPr>
      <w:r w:rsidRPr="009D10E5">
        <w:rPr>
          <w:color w:val="2A414D"/>
        </w:rPr>
        <w:t>Reclassified Fluent English Proficient students, and</w:t>
      </w:r>
    </w:p>
    <w:p w14:paraId="13DBB3D1" w14:textId="77777777" w:rsidR="009E451F" w:rsidRPr="009D10E5" w:rsidRDefault="009E451F" w:rsidP="009E451F">
      <w:pPr>
        <w:numPr>
          <w:ilvl w:val="0"/>
          <w:numId w:val="67"/>
        </w:numPr>
        <w:spacing w:after="240"/>
        <w:rPr>
          <w:color w:val="2A414D"/>
        </w:rPr>
      </w:pPr>
      <w:r w:rsidRPr="009D10E5">
        <w:rPr>
          <w:color w:val="2A414D"/>
        </w:rPr>
        <w:t>Native English speaker students learning a non-English language.</w:t>
      </w:r>
    </w:p>
    <w:p w14:paraId="6E8E2101" w14:textId="0DFE1110" w:rsidR="009E451F" w:rsidRPr="009D10E5" w:rsidRDefault="009E451F" w:rsidP="009E451F">
      <w:pPr>
        <w:spacing w:after="240"/>
        <w:rPr>
          <w:color w:val="2A414D"/>
        </w:rPr>
      </w:pPr>
      <w:r w:rsidRPr="009D10E5">
        <w:rPr>
          <w:color w:val="2A414D"/>
        </w:rPr>
        <w:t xml:space="preserve">Students may be mostly dominant in one language or proficient in both. Many are on a continuum between dominance in one language and full proficiency in two or more. California continues to champion this term because it acknowledges these students’ multilingualism, which deserves recognition as an asset they bring to their schools, classrooms, and communities. Therefore, throughout this document “multilingual learner” is used unless there is a specific need to use the term “EL student” based on past research or test parameters. </w:t>
      </w:r>
    </w:p>
    <w:p w14:paraId="57A09AB9" w14:textId="77777777" w:rsidR="00AE2225" w:rsidRDefault="00AE2225">
      <w:pPr>
        <w:rPr>
          <w:rFonts w:eastAsiaTheme="minorEastAsia" w:cstheme="minorBidi"/>
          <w:b/>
          <w:bCs/>
          <w:noProof/>
          <w:color w:val="002060"/>
          <w:lang w:eastAsia="zh-CN"/>
        </w:rPr>
      </w:pPr>
      <w:r>
        <w:rPr>
          <w:color w:val="002060"/>
        </w:rPr>
        <w:br w:type="page"/>
      </w:r>
    </w:p>
    <w:p w14:paraId="7C1C2AF1" w14:textId="6F5267A3" w:rsidR="00D26693" w:rsidRPr="00D26693" w:rsidRDefault="00794006" w:rsidP="00792C07">
      <w:pPr>
        <w:pStyle w:val="Heading5"/>
        <w:rPr>
          <w:color w:val="002060"/>
        </w:rPr>
      </w:pPr>
      <w:bookmarkStart w:id="52" w:name="_Toc188030571"/>
      <w:r>
        <w:rPr>
          <w:color w:val="002060"/>
        </w:rPr>
        <w:lastRenderedPageBreak/>
        <w:t xml:space="preserve">Table </w:t>
      </w:r>
      <w:bookmarkEnd w:id="49"/>
      <w:r w:rsidR="00D26693" w:rsidRPr="00D26693">
        <w:fldChar w:fldCharType="begin"/>
      </w:r>
      <w:r w:rsidR="00D26693" w:rsidRPr="00D26693">
        <w:instrText xml:space="preserve"> SEQ Table \* ARABIC </w:instrText>
      </w:r>
      <w:r w:rsidR="00D26693" w:rsidRPr="00D26693">
        <w:fldChar w:fldCharType="separate"/>
      </w:r>
      <w:r w:rsidR="00D04DC5">
        <w:t>6</w:t>
      </w:r>
      <w:r w:rsidR="00D26693" w:rsidRPr="00D26693">
        <w:fldChar w:fldCharType="end"/>
      </w:r>
      <w:r w:rsidR="00D26693" w:rsidRPr="00D26693">
        <w:t xml:space="preserve">. </w:t>
      </w:r>
      <w:r w:rsidR="00B71AF1" w:rsidRPr="00B71AF1">
        <w:t>Percentage of Migratory Students and All Students Who Were Classified as English Learner Students in School Year 2022–23, by Grade</w:t>
      </w:r>
      <w:bookmarkEnd w:id="52"/>
    </w:p>
    <w:tbl>
      <w:tblPr>
        <w:tblStyle w:val="ListTable3-Accent5"/>
        <w:tblW w:w="0" w:type="auto"/>
        <w:tblLayout w:type="fixed"/>
        <w:tblCellMar>
          <w:right w:w="108" w:type="dxa"/>
        </w:tblCellMar>
        <w:tblLook w:val="04A0" w:firstRow="1" w:lastRow="0" w:firstColumn="1" w:lastColumn="0" w:noHBand="0" w:noVBand="1"/>
      </w:tblPr>
      <w:tblGrid>
        <w:gridCol w:w="3131"/>
        <w:gridCol w:w="3132"/>
        <w:gridCol w:w="3132"/>
      </w:tblGrid>
      <w:tr w:rsidR="00AE2225" w:rsidRPr="00C25FE0" w14:paraId="415A59D6" w14:textId="77777777" w:rsidTr="009904C6">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3131" w:type="dxa"/>
            <w:noWrap/>
            <w:hideMark/>
          </w:tcPr>
          <w:p w14:paraId="71219C3A" w14:textId="77777777" w:rsidR="00AE2225" w:rsidRPr="00C25FE0" w:rsidRDefault="00AE2225" w:rsidP="009E56F2">
            <w:pPr>
              <w:pStyle w:val="TableHeaderRow"/>
            </w:pPr>
            <w:r w:rsidRPr="00C25FE0">
              <w:t>Grade(s)</w:t>
            </w:r>
          </w:p>
        </w:tc>
        <w:tc>
          <w:tcPr>
            <w:tcW w:w="3132" w:type="dxa"/>
            <w:hideMark/>
          </w:tcPr>
          <w:p w14:paraId="3173412D" w14:textId="77777777" w:rsidR="00AE2225" w:rsidRPr="00C25FE0" w:rsidRDefault="00AE2225" w:rsidP="009E56F2">
            <w:pPr>
              <w:pStyle w:val="TableHeaderRow"/>
              <w:cnfStyle w:val="100000000000" w:firstRow="1" w:lastRow="0" w:firstColumn="0" w:lastColumn="0" w:oddVBand="0" w:evenVBand="0" w:oddHBand="0" w:evenHBand="0" w:firstRowFirstColumn="0" w:firstRowLastColumn="0" w:lastRowFirstColumn="0" w:lastRowLastColumn="0"/>
            </w:pPr>
            <w:r w:rsidRPr="00C25FE0">
              <w:t>Migratory Students (N=</w:t>
            </w:r>
            <w:r>
              <w:t>59,190</w:t>
            </w:r>
            <w:r w:rsidRPr="00C25FE0">
              <w:t>)</w:t>
            </w:r>
          </w:p>
        </w:tc>
        <w:tc>
          <w:tcPr>
            <w:tcW w:w="3132" w:type="dxa"/>
            <w:hideMark/>
          </w:tcPr>
          <w:p w14:paraId="2D98289A" w14:textId="77777777" w:rsidR="00AE2225" w:rsidRPr="00C25FE0" w:rsidRDefault="00AE2225" w:rsidP="009E56F2">
            <w:pPr>
              <w:pStyle w:val="TableHeaderRow"/>
              <w:cnfStyle w:val="100000000000" w:firstRow="1" w:lastRow="0" w:firstColumn="0" w:lastColumn="0" w:oddVBand="0" w:evenVBand="0" w:oddHBand="0" w:evenHBand="0" w:firstRowFirstColumn="0" w:firstRowLastColumn="0" w:lastRowFirstColumn="0" w:lastRowLastColumn="0"/>
            </w:pPr>
            <w:r w:rsidRPr="00C25FE0">
              <w:t>All Students (N=5,8</w:t>
            </w:r>
            <w:r>
              <w:t>52</w:t>
            </w:r>
            <w:r w:rsidRPr="00C25FE0">
              <w:t>,</w:t>
            </w:r>
            <w:r>
              <w:t>544</w:t>
            </w:r>
            <w:r w:rsidRPr="00C25FE0">
              <w:t>)</w:t>
            </w:r>
          </w:p>
        </w:tc>
      </w:tr>
      <w:tr w:rsidR="00AE2225" w:rsidRPr="00C25FE0" w14:paraId="2DD88A29" w14:textId="77777777" w:rsidTr="009904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131" w:type="dxa"/>
            <w:shd w:val="clear" w:color="auto" w:fill="BDD6EE" w:themeFill="accent1" w:themeFillTint="66"/>
            <w:noWrap/>
            <w:hideMark/>
          </w:tcPr>
          <w:p w14:paraId="423541EE" w14:textId="77777777" w:rsidR="00AE2225" w:rsidRPr="00C25FE0" w:rsidRDefault="00AE2225" w:rsidP="0041205C">
            <w:pPr>
              <w:pStyle w:val="TableCategoryText"/>
            </w:pPr>
            <w:r w:rsidRPr="00C25FE0">
              <w:t>K</w:t>
            </w:r>
          </w:p>
        </w:tc>
        <w:tc>
          <w:tcPr>
            <w:tcW w:w="3132" w:type="dxa"/>
            <w:shd w:val="clear" w:color="auto" w:fill="D9E2F3" w:themeFill="accent5" w:themeFillTint="33"/>
          </w:tcPr>
          <w:p w14:paraId="102F237A" w14:textId="77777777" w:rsidR="00AE2225" w:rsidRPr="0041205C" w:rsidRDefault="00AE2225"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80%</w:t>
            </w:r>
          </w:p>
        </w:tc>
        <w:tc>
          <w:tcPr>
            <w:tcW w:w="3132" w:type="dxa"/>
            <w:shd w:val="clear" w:color="auto" w:fill="D9E2F3" w:themeFill="accent5" w:themeFillTint="33"/>
          </w:tcPr>
          <w:p w14:paraId="7B70B4E4" w14:textId="77777777" w:rsidR="00AE2225" w:rsidRPr="0041205C" w:rsidRDefault="00AE2225"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26%</w:t>
            </w:r>
          </w:p>
        </w:tc>
      </w:tr>
      <w:tr w:rsidR="00AE2225" w:rsidRPr="00C25FE0" w14:paraId="2C6F3DA7" w14:textId="77777777" w:rsidTr="009904C6">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131" w:type="dxa"/>
            <w:shd w:val="clear" w:color="auto" w:fill="BDD6EE" w:themeFill="accent1" w:themeFillTint="66"/>
            <w:noWrap/>
            <w:hideMark/>
          </w:tcPr>
          <w:p w14:paraId="67392022" w14:textId="77777777" w:rsidR="00AE2225" w:rsidRPr="00C25FE0" w:rsidRDefault="00AE2225" w:rsidP="0041205C">
            <w:pPr>
              <w:pStyle w:val="TableCategoryText"/>
            </w:pPr>
            <w:r w:rsidRPr="00C25FE0">
              <w:t>1</w:t>
            </w:r>
          </w:p>
        </w:tc>
        <w:tc>
          <w:tcPr>
            <w:tcW w:w="3132" w:type="dxa"/>
            <w:shd w:val="clear" w:color="auto" w:fill="D9E2F3" w:themeFill="accent5" w:themeFillTint="33"/>
          </w:tcPr>
          <w:p w14:paraId="15929F02" w14:textId="77777777" w:rsidR="00AE2225" w:rsidRPr="0041205C" w:rsidRDefault="00AE2225"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83%</w:t>
            </w:r>
          </w:p>
        </w:tc>
        <w:tc>
          <w:tcPr>
            <w:tcW w:w="3132" w:type="dxa"/>
            <w:shd w:val="clear" w:color="auto" w:fill="D9E2F3" w:themeFill="accent5" w:themeFillTint="33"/>
          </w:tcPr>
          <w:p w14:paraId="34EABD5C" w14:textId="77777777" w:rsidR="00AE2225" w:rsidRPr="0041205C" w:rsidRDefault="00AE2225"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26%</w:t>
            </w:r>
          </w:p>
        </w:tc>
      </w:tr>
      <w:tr w:rsidR="00AE2225" w:rsidRPr="00C25FE0" w14:paraId="143C7972" w14:textId="77777777" w:rsidTr="009904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131" w:type="dxa"/>
            <w:shd w:val="clear" w:color="auto" w:fill="BDD6EE" w:themeFill="accent1" w:themeFillTint="66"/>
            <w:noWrap/>
          </w:tcPr>
          <w:p w14:paraId="429CF13B" w14:textId="77777777" w:rsidR="00AE2225" w:rsidRPr="00C25FE0" w:rsidDel="00917068" w:rsidRDefault="00AE2225" w:rsidP="0041205C">
            <w:pPr>
              <w:pStyle w:val="TableCategoryText"/>
            </w:pPr>
            <w:r w:rsidRPr="00C25FE0">
              <w:t>2</w:t>
            </w:r>
          </w:p>
        </w:tc>
        <w:tc>
          <w:tcPr>
            <w:tcW w:w="3132" w:type="dxa"/>
            <w:shd w:val="clear" w:color="auto" w:fill="D9E2F3" w:themeFill="accent5" w:themeFillTint="33"/>
          </w:tcPr>
          <w:p w14:paraId="19DF3BCD" w14:textId="77777777" w:rsidR="00AE2225" w:rsidRPr="0041205C" w:rsidRDefault="00AE2225"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82%</w:t>
            </w:r>
          </w:p>
        </w:tc>
        <w:tc>
          <w:tcPr>
            <w:tcW w:w="3132" w:type="dxa"/>
            <w:shd w:val="clear" w:color="auto" w:fill="D9E2F3" w:themeFill="accent5" w:themeFillTint="33"/>
          </w:tcPr>
          <w:p w14:paraId="2405F95F" w14:textId="77777777" w:rsidR="00AE2225" w:rsidRPr="0041205C" w:rsidRDefault="00AE2225"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25%</w:t>
            </w:r>
          </w:p>
        </w:tc>
      </w:tr>
      <w:tr w:rsidR="00AE2225" w:rsidRPr="00C25FE0" w14:paraId="59EFF7B9" w14:textId="77777777" w:rsidTr="009904C6">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131" w:type="dxa"/>
            <w:shd w:val="clear" w:color="auto" w:fill="BDD6EE" w:themeFill="accent1" w:themeFillTint="66"/>
            <w:noWrap/>
          </w:tcPr>
          <w:p w14:paraId="6F0BCC46" w14:textId="77777777" w:rsidR="00AE2225" w:rsidRPr="00C25FE0" w:rsidRDefault="00AE2225" w:rsidP="0041205C">
            <w:pPr>
              <w:pStyle w:val="TableCategoryText"/>
            </w:pPr>
            <w:r w:rsidRPr="00C25FE0">
              <w:t>3</w:t>
            </w:r>
          </w:p>
        </w:tc>
        <w:tc>
          <w:tcPr>
            <w:tcW w:w="3132" w:type="dxa"/>
            <w:shd w:val="clear" w:color="auto" w:fill="D9E2F3" w:themeFill="accent5" w:themeFillTint="33"/>
          </w:tcPr>
          <w:p w14:paraId="32A88CAC" w14:textId="77777777" w:rsidR="00AE2225" w:rsidRPr="0041205C" w:rsidRDefault="00AE2225"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82%</w:t>
            </w:r>
          </w:p>
        </w:tc>
        <w:tc>
          <w:tcPr>
            <w:tcW w:w="3132" w:type="dxa"/>
            <w:shd w:val="clear" w:color="auto" w:fill="D9E2F3" w:themeFill="accent5" w:themeFillTint="33"/>
          </w:tcPr>
          <w:p w14:paraId="0729640D" w14:textId="77777777" w:rsidR="00AE2225" w:rsidRPr="0041205C" w:rsidRDefault="00AE2225"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25%</w:t>
            </w:r>
          </w:p>
        </w:tc>
      </w:tr>
      <w:tr w:rsidR="00AE2225" w:rsidRPr="00C25FE0" w14:paraId="680E5428" w14:textId="77777777" w:rsidTr="009904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131" w:type="dxa"/>
            <w:shd w:val="clear" w:color="auto" w:fill="BDD6EE" w:themeFill="accent1" w:themeFillTint="66"/>
            <w:noWrap/>
          </w:tcPr>
          <w:p w14:paraId="65FF6C77" w14:textId="77777777" w:rsidR="00AE2225" w:rsidRPr="00C25FE0" w:rsidRDefault="00AE2225" w:rsidP="0041205C">
            <w:pPr>
              <w:pStyle w:val="TableCategoryText"/>
            </w:pPr>
            <w:r w:rsidRPr="00C25FE0">
              <w:t>4</w:t>
            </w:r>
          </w:p>
        </w:tc>
        <w:tc>
          <w:tcPr>
            <w:tcW w:w="3132" w:type="dxa"/>
            <w:shd w:val="clear" w:color="auto" w:fill="D9E2F3" w:themeFill="accent5" w:themeFillTint="33"/>
          </w:tcPr>
          <w:p w14:paraId="12F0FF87" w14:textId="77777777" w:rsidR="00AE2225" w:rsidRPr="0041205C" w:rsidRDefault="00AE2225"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78%</w:t>
            </w:r>
          </w:p>
        </w:tc>
        <w:tc>
          <w:tcPr>
            <w:tcW w:w="3132" w:type="dxa"/>
            <w:shd w:val="clear" w:color="auto" w:fill="D9E2F3" w:themeFill="accent5" w:themeFillTint="33"/>
          </w:tcPr>
          <w:p w14:paraId="42879FE8" w14:textId="77777777" w:rsidR="00AE2225" w:rsidRPr="0041205C" w:rsidRDefault="00AE2225"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24%</w:t>
            </w:r>
          </w:p>
        </w:tc>
      </w:tr>
      <w:tr w:rsidR="00AE2225" w:rsidRPr="00C25FE0" w14:paraId="7DD3872B" w14:textId="77777777" w:rsidTr="009904C6">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131" w:type="dxa"/>
            <w:shd w:val="clear" w:color="auto" w:fill="BDD6EE" w:themeFill="accent1" w:themeFillTint="66"/>
            <w:noWrap/>
          </w:tcPr>
          <w:p w14:paraId="08BF6A50" w14:textId="77777777" w:rsidR="00AE2225" w:rsidRPr="00C25FE0" w:rsidRDefault="00AE2225" w:rsidP="0041205C">
            <w:pPr>
              <w:pStyle w:val="TableCategoryText"/>
            </w:pPr>
            <w:r w:rsidRPr="00C25FE0">
              <w:t>5</w:t>
            </w:r>
          </w:p>
        </w:tc>
        <w:tc>
          <w:tcPr>
            <w:tcW w:w="3132" w:type="dxa"/>
            <w:shd w:val="clear" w:color="auto" w:fill="D9E2F3" w:themeFill="accent5" w:themeFillTint="33"/>
          </w:tcPr>
          <w:p w14:paraId="325E2221" w14:textId="77777777" w:rsidR="00AE2225" w:rsidRPr="0041205C" w:rsidRDefault="00AE2225"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75%</w:t>
            </w:r>
          </w:p>
        </w:tc>
        <w:tc>
          <w:tcPr>
            <w:tcW w:w="3132" w:type="dxa"/>
            <w:shd w:val="clear" w:color="auto" w:fill="D9E2F3" w:themeFill="accent5" w:themeFillTint="33"/>
          </w:tcPr>
          <w:p w14:paraId="60502620" w14:textId="77777777" w:rsidR="00AE2225" w:rsidRPr="0041205C" w:rsidRDefault="00AE2225"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23%</w:t>
            </w:r>
          </w:p>
        </w:tc>
      </w:tr>
      <w:tr w:rsidR="00AE2225" w:rsidRPr="00C25FE0" w14:paraId="7D4E1FC9" w14:textId="77777777" w:rsidTr="009904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131" w:type="dxa"/>
            <w:shd w:val="clear" w:color="auto" w:fill="BDD6EE" w:themeFill="accent1" w:themeFillTint="66"/>
            <w:noWrap/>
          </w:tcPr>
          <w:p w14:paraId="36F56BE4" w14:textId="77777777" w:rsidR="00AE2225" w:rsidRPr="00C25FE0" w:rsidRDefault="00AE2225" w:rsidP="0041205C">
            <w:pPr>
              <w:pStyle w:val="TableCategoryText"/>
            </w:pPr>
            <w:r w:rsidRPr="00C25FE0">
              <w:t>6</w:t>
            </w:r>
          </w:p>
        </w:tc>
        <w:tc>
          <w:tcPr>
            <w:tcW w:w="3132" w:type="dxa"/>
            <w:shd w:val="clear" w:color="auto" w:fill="D9E2F3" w:themeFill="accent5" w:themeFillTint="33"/>
          </w:tcPr>
          <w:p w14:paraId="0038D9A2" w14:textId="77777777" w:rsidR="00AE2225" w:rsidRPr="0041205C" w:rsidRDefault="00AE2225"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67%</w:t>
            </w:r>
          </w:p>
        </w:tc>
        <w:tc>
          <w:tcPr>
            <w:tcW w:w="3132" w:type="dxa"/>
            <w:shd w:val="clear" w:color="auto" w:fill="D9E2F3" w:themeFill="accent5" w:themeFillTint="33"/>
          </w:tcPr>
          <w:p w14:paraId="2001BA20" w14:textId="77777777" w:rsidR="00AE2225" w:rsidRPr="0041205C" w:rsidRDefault="00AE2225"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20%</w:t>
            </w:r>
          </w:p>
        </w:tc>
      </w:tr>
      <w:tr w:rsidR="00AE2225" w:rsidRPr="00C25FE0" w14:paraId="5F1F99F5" w14:textId="77777777" w:rsidTr="009904C6">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131" w:type="dxa"/>
            <w:shd w:val="clear" w:color="auto" w:fill="BDD6EE" w:themeFill="accent1" w:themeFillTint="66"/>
            <w:noWrap/>
          </w:tcPr>
          <w:p w14:paraId="39265928" w14:textId="77777777" w:rsidR="00AE2225" w:rsidRPr="00C25FE0" w:rsidRDefault="00AE2225" w:rsidP="0041205C">
            <w:pPr>
              <w:pStyle w:val="TableCategoryText"/>
            </w:pPr>
            <w:r w:rsidRPr="00C25FE0">
              <w:t>7</w:t>
            </w:r>
          </w:p>
        </w:tc>
        <w:tc>
          <w:tcPr>
            <w:tcW w:w="3132" w:type="dxa"/>
            <w:shd w:val="clear" w:color="auto" w:fill="D9E2F3" w:themeFill="accent5" w:themeFillTint="33"/>
          </w:tcPr>
          <w:p w14:paraId="0F37262E" w14:textId="77777777" w:rsidR="00AE2225" w:rsidRPr="0041205C" w:rsidRDefault="00AE2225"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59%</w:t>
            </w:r>
          </w:p>
        </w:tc>
        <w:tc>
          <w:tcPr>
            <w:tcW w:w="3132" w:type="dxa"/>
            <w:shd w:val="clear" w:color="auto" w:fill="D9E2F3" w:themeFill="accent5" w:themeFillTint="33"/>
          </w:tcPr>
          <w:p w14:paraId="51C07399" w14:textId="77777777" w:rsidR="00AE2225" w:rsidRPr="0041205C" w:rsidRDefault="00AE2225"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17%</w:t>
            </w:r>
          </w:p>
        </w:tc>
      </w:tr>
      <w:tr w:rsidR="00AE2225" w:rsidRPr="00C25FE0" w14:paraId="1BA697B3" w14:textId="77777777" w:rsidTr="009904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131" w:type="dxa"/>
            <w:shd w:val="clear" w:color="auto" w:fill="BDD6EE" w:themeFill="accent1" w:themeFillTint="66"/>
            <w:noWrap/>
          </w:tcPr>
          <w:p w14:paraId="5A6242FD" w14:textId="77777777" w:rsidR="00AE2225" w:rsidRPr="00C25FE0" w:rsidRDefault="00AE2225" w:rsidP="0041205C">
            <w:pPr>
              <w:pStyle w:val="TableCategoryText"/>
            </w:pPr>
            <w:r w:rsidRPr="00C25FE0">
              <w:t>8</w:t>
            </w:r>
          </w:p>
        </w:tc>
        <w:tc>
          <w:tcPr>
            <w:tcW w:w="3132" w:type="dxa"/>
            <w:shd w:val="clear" w:color="auto" w:fill="D9E2F3" w:themeFill="accent5" w:themeFillTint="33"/>
          </w:tcPr>
          <w:p w14:paraId="06B0CED6" w14:textId="77777777" w:rsidR="00AE2225" w:rsidRPr="0041205C" w:rsidRDefault="00AE2225"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55%</w:t>
            </w:r>
          </w:p>
        </w:tc>
        <w:tc>
          <w:tcPr>
            <w:tcW w:w="3132" w:type="dxa"/>
            <w:shd w:val="clear" w:color="auto" w:fill="D9E2F3" w:themeFill="accent5" w:themeFillTint="33"/>
          </w:tcPr>
          <w:p w14:paraId="47FBA2EF" w14:textId="77777777" w:rsidR="00AE2225" w:rsidRPr="0041205C" w:rsidRDefault="00AE2225"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16%</w:t>
            </w:r>
          </w:p>
        </w:tc>
      </w:tr>
      <w:tr w:rsidR="00AE2225" w:rsidRPr="00C25FE0" w14:paraId="207CB337" w14:textId="77777777" w:rsidTr="009904C6">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131" w:type="dxa"/>
            <w:shd w:val="clear" w:color="auto" w:fill="BDD6EE" w:themeFill="accent1" w:themeFillTint="66"/>
            <w:noWrap/>
          </w:tcPr>
          <w:p w14:paraId="61165E94" w14:textId="77777777" w:rsidR="00AE2225" w:rsidRPr="00C25FE0" w:rsidRDefault="00AE2225" w:rsidP="0041205C">
            <w:pPr>
              <w:pStyle w:val="TableCategoryText"/>
            </w:pPr>
            <w:r w:rsidRPr="00C25FE0">
              <w:t>9</w:t>
            </w:r>
          </w:p>
        </w:tc>
        <w:tc>
          <w:tcPr>
            <w:tcW w:w="3132" w:type="dxa"/>
            <w:shd w:val="clear" w:color="auto" w:fill="D9E2F3" w:themeFill="accent5" w:themeFillTint="33"/>
          </w:tcPr>
          <w:p w14:paraId="32374894" w14:textId="77777777" w:rsidR="00AE2225" w:rsidRPr="0041205C" w:rsidRDefault="00AE2225"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49%</w:t>
            </w:r>
          </w:p>
        </w:tc>
        <w:tc>
          <w:tcPr>
            <w:tcW w:w="3132" w:type="dxa"/>
            <w:shd w:val="clear" w:color="auto" w:fill="D9E2F3" w:themeFill="accent5" w:themeFillTint="33"/>
          </w:tcPr>
          <w:p w14:paraId="0DE8366D" w14:textId="77777777" w:rsidR="00AE2225" w:rsidRPr="0041205C" w:rsidRDefault="00AE2225"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14%</w:t>
            </w:r>
          </w:p>
        </w:tc>
      </w:tr>
      <w:tr w:rsidR="00AE2225" w:rsidRPr="00C25FE0" w14:paraId="32FC83DC" w14:textId="77777777" w:rsidTr="009904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131" w:type="dxa"/>
            <w:shd w:val="clear" w:color="auto" w:fill="BDD6EE" w:themeFill="accent1" w:themeFillTint="66"/>
            <w:noWrap/>
          </w:tcPr>
          <w:p w14:paraId="6AF4009F" w14:textId="77777777" w:rsidR="00AE2225" w:rsidRPr="00C25FE0" w:rsidRDefault="00AE2225" w:rsidP="0041205C">
            <w:pPr>
              <w:pStyle w:val="TableCategoryText"/>
            </w:pPr>
            <w:r w:rsidRPr="00C25FE0">
              <w:t>10</w:t>
            </w:r>
          </w:p>
        </w:tc>
        <w:tc>
          <w:tcPr>
            <w:tcW w:w="3132" w:type="dxa"/>
            <w:shd w:val="clear" w:color="auto" w:fill="D9E2F3" w:themeFill="accent5" w:themeFillTint="33"/>
          </w:tcPr>
          <w:p w14:paraId="2DC8C415" w14:textId="77777777" w:rsidR="00AE2225" w:rsidRPr="0041205C" w:rsidRDefault="00AE2225"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48%</w:t>
            </w:r>
          </w:p>
        </w:tc>
        <w:tc>
          <w:tcPr>
            <w:tcW w:w="3132" w:type="dxa"/>
            <w:shd w:val="clear" w:color="auto" w:fill="D9E2F3" w:themeFill="accent5" w:themeFillTint="33"/>
          </w:tcPr>
          <w:p w14:paraId="0A1717E6" w14:textId="77777777" w:rsidR="00AE2225" w:rsidRPr="0041205C" w:rsidRDefault="00AE2225"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13%</w:t>
            </w:r>
          </w:p>
        </w:tc>
      </w:tr>
      <w:tr w:rsidR="00AE2225" w:rsidRPr="00C25FE0" w14:paraId="1F328D9B" w14:textId="77777777" w:rsidTr="009904C6">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131" w:type="dxa"/>
            <w:shd w:val="clear" w:color="auto" w:fill="BDD6EE" w:themeFill="accent1" w:themeFillTint="66"/>
            <w:noWrap/>
          </w:tcPr>
          <w:p w14:paraId="1C5B5655" w14:textId="77777777" w:rsidR="00AE2225" w:rsidRPr="00C25FE0" w:rsidRDefault="00AE2225" w:rsidP="0041205C">
            <w:pPr>
              <w:pStyle w:val="TableCategoryText"/>
            </w:pPr>
            <w:r w:rsidRPr="00C25FE0">
              <w:t>11</w:t>
            </w:r>
          </w:p>
        </w:tc>
        <w:tc>
          <w:tcPr>
            <w:tcW w:w="3132" w:type="dxa"/>
            <w:shd w:val="clear" w:color="auto" w:fill="D9E2F3" w:themeFill="accent5" w:themeFillTint="33"/>
          </w:tcPr>
          <w:p w14:paraId="770BB253" w14:textId="77777777" w:rsidR="00AE2225" w:rsidRPr="0041205C" w:rsidRDefault="00AE2225"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45%</w:t>
            </w:r>
          </w:p>
        </w:tc>
        <w:tc>
          <w:tcPr>
            <w:tcW w:w="3132" w:type="dxa"/>
            <w:shd w:val="clear" w:color="auto" w:fill="D9E2F3" w:themeFill="accent5" w:themeFillTint="33"/>
          </w:tcPr>
          <w:p w14:paraId="16C503E1" w14:textId="77777777" w:rsidR="00AE2225" w:rsidRPr="0041205C" w:rsidRDefault="00AE2225"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12%</w:t>
            </w:r>
          </w:p>
        </w:tc>
      </w:tr>
      <w:tr w:rsidR="00AE2225" w:rsidRPr="00C25FE0" w14:paraId="64D77E8E" w14:textId="77777777" w:rsidTr="009904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131" w:type="dxa"/>
            <w:shd w:val="clear" w:color="auto" w:fill="BDD6EE" w:themeFill="accent1" w:themeFillTint="66"/>
            <w:noWrap/>
          </w:tcPr>
          <w:p w14:paraId="716F35FE" w14:textId="77777777" w:rsidR="00AE2225" w:rsidRPr="00C25FE0" w:rsidRDefault="00AE2225" w:rsidP="0041205C">
            <w:pPr>
              <w:pStyle w:val="TableCategoryText"/>
            </w:pPr>
            <w:r w:rsidRPr="00C25FE0">
              <w:t>12</w:t>
            </w:r>
          </w:p>
        </w:tc>
        <w:tc>
          <w:tcPr>
            <w:tcW w:w="3132" w:type="dxa"/>
            <w:shd w:val="clear" w:color="auto" w:fill="D9E2F3" w:themeFill="accent5" w:themeFillTint="33"/>
          </w:tcPr>
          <w:p w14:paraId="52774470" w14:textId="77777777" w:rsidR="00AE2225" w:rsidRPr="0041205C" w:rsidRDefault="00AE2225"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41%</w:t>
            </w:r>
          </w:p>
        </w:tc>
        <w:tc>
          <w:tcPr>
            <w:tcW w:w="3132" w:type="dxa"/>
            <w:shd w:val="clear" w:color="auto" w:fill="D9E2F3" w:themeFill="accent5" w:themeFillTint="33"/>
          </w:tcPr>
          <w:p w14:paraId="44895D92" w14:textId="77777777" w:rsidR="00AE2225" w:rsidRPr="0041205C" w:rsidRDefault="00AE2225"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11%</w:t>
            </w:r>
          </w:p>
        </w:tc>
      </w:tr>
      <w:tr w:rsidR="00AE2225" w:rsidRPr="00C25FE0" w14:paraId="585AC530" w14:textId="77777777" w:rsidTr="009904C6">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131" w:type="dxa"/>
            <w:shd w:val="clear" w:color="auto" w:fill="BDD6EE" w:themeFill="accent1" w:themeFillTint="66"/>
            <w:noWrap/>
          </w:tcPr>
          <w:p w14:paraId="3A1F0998" w14:textId="77777777" w:rsidR="00AE2225" w:rsidRPr="00C25FE0" w:rsidRDefault="00AE2225" w:rsidP="0041205C">
            <w:pPr>
              <w:pStyle w:val="TableCategoryText"/>
            </w:pPr>
            <w:r w:rsidRPr="00C25FE0">
              <w:t>K–12</w:t>
            </w:r>
          </w:p>
        </w:tc>
        <w:tc>
          <w:tcPr>
            <w:tcW w:w="3132" w:type="dxa"/>
            <w:shd w:val="clear" w:color="auto" w:fill="D9E2F3" w:themeFill="accent5" w:themeFillTint="33"/>
          </w:tcPr>
          <w:p w14:paraId="53BFD74C" w14:textId="77777777" w:rsidR="00AE2225" w:rsidRPr="0041205C" w:rsidRDefault="00AE2225"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65%</w:t>
            </w:r>
          </w:p>
        </w:tc>
        <w:tc>
          <w:tcPr>
            <w:tcW w:w="3132" w:type="dxa"/>
            <w:shd w:val="clear" w:color="auto" w:fill="D9E2F3" w:themeFill="accent5" w:themeFillTint="33"/>
          </w:tcPr>
          <w:p w14:paraId="01B3589A" w14:textId="77777777" w:rsidR="00AE2225" w:rsidRPr="0041205C" w:rsidRDefault="00AE2225"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19%</w:t>
            </w:r>
          </w:p>
        </w:tc>
      </w:tr>
    </w:tbl>
    <w:p w14:paraId="05A60A7D" w14:textId="6554CB02" w:rsidR="00AE2225" w:rsidRDefault="00AE2225" w:rsidP="00CF280A">
      <w:pPr>
        <w:pStyle w:val="Paragraph"/>
        <w:spacing w:line="240" w:lineRule="auto"/>
      </w:pPr>
      <w:r>
        <w:rPr>
          <w:noProof w:val="0"/>
        </w:rPr>
        <w:t xml:space="preserve">Sources: The MSIN </w:t>
      </w:r>
      <w:r w:rsidR="009E352E">
        <w:rPr>
          <w:noProof w:val="0"/>
        </w:rPr>
        <w:t>databases</w:t>
      </w:r>
      <w:r>
        <w:rPr>
          <w:noProof w:val="0"/>
        </w:rPr>
        <w:t xml:space="preserve"> for the MEP, </w:t>
      </w:r>
      <w:r w:rsidR="00D1613E">
        <w:rPr>
          <w:noProof w:val="0"/>
        </w:rPr>
        <w:t xml:space="preserve">SY </w:t>
      </w:r>
      <w:r>
        <w:rPr>
          <w:noProof w:val="0"/>
        </w:rPr>
        <w:t xml:space="preserve">2022–23; </w:t>
      </w:r>
      <w:r>
        <w:t xml:space="preserve">CDE DataQuest, </w:t>
      </w:r>
      <w:hyperlink r:id="rId19" w:history="1">
        <w:r w:rsidR="00792C07">
          <w:rPr>
            <w:rStyle w:val="Hyperlink"/>
          </w:rPr>
          <w:t>2022–23 “At-Risk” and LTEL by Grade Statewide Report</w:t>
        </w:r>
      </w:hyperlink>
      <w:r>
        <w:t>, accessed October 26, 2023.</w:t>
      </w:r>
    </w:p>
    <w:p w14:paraId="3A72EDA8" w14:textId="44449AE4" w:rsidR="000D7882" w:rsidRPr="00F55385" w:rsidRDefault="00794006" w:rsidP="00CF280A">
      <w:pPr>
        <w:pStyle w:val="Paragraph"/>
        <w:spacing w:line="240" w:lineRule="auto"/>
        <w:rPr>
          <w:noProof w:val="0"/>
          <w:color w:val="auto"/>
        </w:rPr>
      </w:pPr>
      <w:r>
        <w:rPr>
          <w:noProof w:val="0"/>
          <w:color w:val="auto"/>
        </w:rPr>
        <w:t>Figure</w:t>
      </w:r>
      <w:r w:rsidR="000D7882" w:rsidRPr="00F55385">
        <w:rPr>
          <w:noProof w:val="0"/>
          <w:color w:val="auto"/>
        </w:rPr>
        <w:t xml:space="preserve"> </w:t>
      </w:r>
      <w:r>
        <w:rPr>
          <w:noProof w:val="0"/>
          <w:color w:val="auto"/>
        </w:rPr>
        <w:t>6</w:t>
      </w:r>
      <w:r w:rsidR="000D7882" w:rsidRPr="00F55385">
        <w:rPr>
          <w:noProof w:val="0"/>
          <w:color w:val="auto"/>
        </w:rPr>
        <w:t xml:space="preserve"> shows that during </w:t>
      </w:r>
      <w:r w:rsidR="000D7882" w:rsidRPr="00F55385">
        <w:rPr>
          <w:rFonts w:cs="Arial"/>
          <w:noProof w:val="0"/>
          <w:color w:val="auto"/>
        </w:rPr>
        <w:t>SY 2022–23</w:t>
      </w:r>
      <w:r w:rsidR="000D7882" w:rsidRPr="00F55385">
        <w:rPr>
          <w:noProof w:val="0"/>
          <w:color w:val="auto"/>
        </w:rPr>
        <w:t xml:space="preserve">, 17 percent of migratory students in grades six through twelve were classified as LTEL students, at least double the percentage of all </w:t>
      </w:r>
      <w:r w:rsidR="000D7882" w:rsidRPr="00F55385">
        <w:rPr>
          <w:noProof w:val="0"/>
          <w:color w:val="auto"/>
        </w:rPr>
        <w:lastRenderedPageBreak/>
        <w:t>students. The 2022–23 LTEL data shows the largest gap between the percent of migratory and all students classified as LTEL students is in sixth grade at 13</w:t>
      </w:r>
      <w:r w:rsidR="000D7882" w:rsidRPr="00F55385">
        <w:rPr>
          <w:color w:val="auto"/>
        </w:rPr>
        <w:t> </w:t>
      </w:r>
      <w:r w:rsidR="000D7882" w:rsidRPr="00F55385">
        <w:rPr>
          <w:noProof w:val="0"/>
          <w:color w:val="auto"/>
        </w:rPr>
        <w:t xml:space="preserve">percentage points. From there the gap decreases from grades six through nine, until tenth grade when </w:t>
      </w:r>
      <w:r w:rsidR="007F5973">
        <w:rPr>
          <w:noProof w:val="0"/>
          <w:color w:val="auto"/>
        </w:rPr>
        <w:t xml:space="preserve">the </w:t>
      </w:r>
      <w:r w:rsidR="000D7882" w:rsidRPr="00F55385">
        <w:rPr>
          <w:noProof w:val="0"/>
          <w:color w:val="auto"/>
        </w:rPr>
        <w:t>gap expands again to 12</w:t>
      </w:r>
      <w:r w:rsidR="000D7882" w:rsidRPr="00F55385">
        <w:rPr>
          <w:color w:val="auto"/>
        </w:rPr>
        <w:t> </w:t>
      </w:r>
      <w:r w:rsidR="000D7882" w:rsidRPr="00F55385">
        <w:rPr>
          <w:noProof w:val="0"/>
          <w:color w:val="auto"/>
        </w:rPr>
        <w:t>percent.</w:t>
      </w:r>
    </w:p>
    <w:p w14:paraId="5A6B44DD" w14:textId="52E5BED7" w:rsidR="00F55385" w:rsidRPr="004879D0" w:rsidRDefault="004879D0" w:rsidP="00792C07">
      <w:pPr>
        <w:pStyle w:val="Heading5"/>
      </w:pPr>
      <w:bookmarkStart w:id="53" w:name="_Toc188030505"/>
      <w:r w:rsidRPr="004879D0">
        <w:t xml:space="preserve">Figure </w:t>
      </w:r>
      <w:fldSimple w:instr=" SEQ Figure \* ARABIC ">
        <w:r w:rsidR="00AB15FE">
          <w:rPr>
            <w:noProof/>
          </w:rPr>
          <w:t>6</w:t>
        </w:r>
      </w:fldSimple>
      <w:r w:rsidRPr="004879D0">
        <w:t>. Percentage of Migratory and All Students Who Were Classified as Long-Term English Learner Students, School Year 2022–23</w:t>
      </w:r>
      <w:bookmarkEnd w:id="53"/>
    </w:p>
    <w:p w14:paraId="5A6F61D8" w14:textId="650E84EE" w:rsidR="000D7882" w:rsidRDefault="000D7882" w:rsidP="00CF280A">
      <w:pPr>
        <w:pStyle w:val="TableorFiguresNotesSources"/>
        <w:spacing w:after="0" w:line="240" w:lineRule="auto"/>
        <w:rPr>
          <w:color w:val="3E535F"/>
        </w:rPr>
      </w:pPr>
      <w:r>
        <w:drawing>
          <wp:inline distT="0" distB="0" distL="0" distR="0" wp14:anchorId="6C92D788" wp14:editId="73BD54F6">
            <wp:extent cx="5943600" cy="3060065"/>
            <wp:effectExtent l="19050" t="19050" r="19050" b="26035"/>
            <wp:docPr id="937168986" name="Picture 1" descr="Figure 6. Percentage of Migratory and All Students Who Were Classified as Long-Term English Learner Students, School Year 2022–23. Table 7 shows the data identified in figure s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168986" name="Picture 1" descr="Figure 6. Percentage of Migratory and All Students Who Were Classified as Long-Term English Learner Students, School Year 2022–23. Table 7 shows the data identified in figure six."/>
                    <pic:cNvPicPr/>
                  </pic:nvPicPr>
                  <pic:blipFill>
                    <a:blip r:embed="rId20">
                      <a:extLst>
                        <a:ext uri="{28A0092B-C50C-407E-A947-70E740481C1C}">
                          <a14:useLocalDpi xmlns:a14="http://schemas.microsoft.com/office/drawing/2010/main" val="0"/>
                        </a:ext>
                      </a:extLst>
                    </a:blip>
                    <a:stretch>
                      <a:fillRect/>
                    </a:stretch>
                  </pic:blipFill>
                  <pic:spPr>
                    <a:xfrm>
                      <a:off x="0" y="0"/>
                      <a:ext cx="5943600" cy="3060065"/>
                    </a:xfrm>
                    <a:prstGeom prst="rect">
                      <a:avLst/>
                    </a:prstGeom>
                    <a:ln>
                      <a:solidFill>
                        <a:schemeClr val="tx1"/>
                      </a:solidFill>
                    </a:ln>
                  </pic:spPr>
                </pic:pic>
              </a:graphicData>
            </a:graphic>
          </wp:inline>
        </w:drawing>
      </w:r>
    </w:p>
    <w:p w14:paraId="5BDB42DB" w14:textId="6F31C089" w:rsidR="000D7882" w:rsidRDefault="000D7882" w:rsidP="00CF280A">
      <w:pPr>
        <w:pStyle w:val="TableorFiguresNotesSources"/>
        <w:spacing w:after="240" w:line="240" w:lineRule="auto"/>
        <w:rPr>
          <w:color w:val="auto"/>
        </w:rPr>
      </w:pPr>
      <w:r w:rsidRPr="00F55385">
        <w:rPr>
          <w:color w:val="auto"/>
        </w:rPr>
        <w:t xml:space="preserve">Source: The MSIN </w:t>
      </w:r>
      <w:r w:rsidR="007F5973">
        <w:rPr>
          <w:color w:val="auto"/>
        </w:rPr>
        <w:t>d</w:t>
      </w:r>
      <w:r w:rsidRPr="00F55385">
        <w:rPr>
          <w:color w:val="auto"/>
        </w:rPr>
        <w:t xml:space="preserve">atabase for the MEP, </w:t>
      </w:r>
      <w:r w:rsidR="004879D0">
        <w:rPr>
          <w:color w:val="auto"/>
        </w:rPr>
        <w:t xml:space="preserve">SYs </w:t>
      </w:r>
      <w:r w:rsidRPr="00F55385">
        <w:rPr>
          <w:color w:val="auto"/>
        </w:rPr>
        <w:t xml:space="preserve">2017–18 </w:t>
      </w:r>
      <w:r w:rsidRPr="00F55385">
        <w:rPr>
          <w:color w:val="auto"/>
          <w:szCs w:val="24"/>
        </w:rPr>
        <w:t xml:space="preserve">through </w:t>
      </w:r>
      <w:r w:rsidRPr="00F55385">
        <w:rPr>
          <w:color w:val="auto"/>
        </w:rPr>
        <w:t>2021–22.</w:t>
      </w:r>
    </w:p>
    <w:p w14:paraId="26DA3BA5" w14:textId="77777777" w:rsidR="00AE2225" w:rsidRDefault="00AE2225">
      <w:pPr>
        <w:rPr>
          <w:rFonts w:eastAsiaTheme="minorEastAsia" w:cstheme="minorBidi"/>
          <w:b/>
          <w:bCs/>
          <w:noProof/>
          <w:color w:val="002060"/>
          <w:lang w:eastAsia="zh-CN"/>
        </w:rPr>
      </w:pPr>
      <w:bookmarkStart w:id="54" w:name="_Toc160787181"/>
      <w:r>
        <w:rPr>
          <w:color w:val="002060"/>
        </w:rPr>
        <w:br w:type="page"/>
      </w:r>
    </w:p>
    <w:p w14:paraId="5122EF00" w14:textId="6D573C90" w:rsidR="00D26693" w:rsidRPr="00D26693" w:rsidRDefault="003E3C7B" w:rsidP="00792C07">
      <w:pPr>
        <w:pStyle w:val="Heading5"/>
        <w:rPr>
          <w:color w:val="002060"/>
        </w:rPr>
      </w:pPr>
      <w:bookmarkStart w:id="55" w:name="_Toc188030572"/>
      <w:r>
        <w:rPr>
          <w:color w:val="002060"/>
        </w:rPr>
        <w:lastRenderedPageBreak/>
        <w:t>Table</w:t>
      </w:r>
      <w:bookmarkEnd w:id="54"/>
      <w:r w:rsidR="00D26693" w:rsidRPr="00D26693">
        <w:t xml:space="preserve"> </w:t>
      </w:r>
      <w:fldSimple w:instr=" SEQ Table \* ARABIC ">
        <w:r w:rsidR="00D04DC5">
          <w:t>7</w:t>
        </w:r>
      </w:fldSimple>
      <w:r w:rsidR="00D26693" w:rsidRPr="00D26693">
        <w:t>. Percentage of Migratory and All Students Who Were Classified Long-Term English L</w:t>
      </w:r>
      <w:r w:rsidR="00B71AF1">
        <w:t>earner</w:t>
      </w:r>
      <w:r w:rsidR="00D26693" w:rsidRPr="00D26693">
        <w:t xml:space="preserve"> Students, School Year 2022–23</w:t>
      </w:r>
      <w:bookmarkEnd w:id="55"/>
    </w:p>
    <w:tbl>
      <w:tblPr>
        <w:tblStyle w:val="ListTable3-Accent5"/>
        <w:tblW w:w="0" w:type="auto"/>
        <w:tblLayout w:type="fixed"/>
        <w:tblCellMar>
          <w:right w:w="108" w:type="dxa"/>
        </w:tblCellMar>
        <w:tblLook w:val="04A0" w:firstRow="1" w:lastRow="0" w:firstColumn="1" w:lastColumn="0" w:noHBand="0" w:noVBand="1"/>
      </w:tblPr>
      <w:tblGrid>
        <w:gridCol w:w="3131"/>
        <w:gridCol w:w="3132"/>
        <w:gridCol w:w="3132"/>
      </w:tblGrid>
      <w:tr w:rsidR="00AE2225" w:rsidRPr="00C25FE0" w14:paraId="59109674" w14:textId="77777777" w:rsidTr="009D10E5">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3131" w:type="dxa"/>
            <w:noWrap/>
            <w:hideMark/>
          </w:tcPr>
          <w:p w14:paraId="10B0382B" w14:textId="77777777" w:rsidR="00AE2225" w:rsidRPr="00C25FE0" w:rsidRDefault="00AE2225" w:rsidP="009E56F2">
            <w:pPr>
              <w:pStyle w:val="TableHeaderRow"/>
            </w:pPr>
            <w:r w:rsidRPr="00C25FE0">
              <w:t>Grade(s)</w:t>
            </w:r>
          </w:p>
        </w:tc>
        <w:tc>
          <w:tcPr>
            <w:tcW w:w="3132" w:type="dxa"/>
            <w:hideMark/>
          </w:tcPr>
          <w:p w14:paraId="53677647" w14:textId="77777777" w:rsidR="00AE2225" w:rsidRPr="00C25FE0" w:rsidRDefault="00AE2225" w:rsidP="009E56F2">
            <w:pPr>
              <w:pStyle w:val="TableHeaderRow"/>
              <w:cnfStyle w:val="100000000000" w:firstRow="1" w:lastRow="0" w:firstColumn="0" w:lastColumn="0" w:oddVBand="0" w:evenVBand="0" w:oddHBand="0" w:evenHBand="0" w:firstRowFirstColumn="0" w:firstRowLastColumn="0" w:lastRowFirstColumn="0" w:lastRowLastColumn="0"/>
            </w:pPr>
            <w:r w:rsidRPr="00C25FE0">
              <w:t>Migratory Students (N=</w:t>
            </w:r>
            <w:r>
              <w:t>32,202</w:t>
            </w:r>
            <w:r w:rsidRPr="00C25FE0">
              <w:t>)</w:t>
            </w:r>
          </w:p>
        </w:tc>
        <w:tc>
          <w:tcPr>
            <w:tcW w:w="3132" w:type="dxa"/>
            <w:hideMark/>
          </w:tcPr>
          <w:p w14:paraId="43316586" w14:textId="77777777" w:rsidR="00AE2225" w:rsidRPr="00C25FE0" w:rsidRDefault="00AE2225" w:rsidP="009E56F2">
            <w:pPr>
              <w:pStyle w:val="TableHeaderRow"/>
              <w:cnfStyle w:val="100000000000" w:firstRow="1" w:lastRow="0" w:firstColumn="0" w:lastColumn="0" w:oddVBand="0" w:evenVBand="0" w:oddHBand="0" w:evenHBand="0" w:firstRowFirstColumn="0" w:firstRowLastColumn="0" w:lastRowFirstColumn="0" w:lastRowLastColumn="0"/>
            </w:pPr>
            <w:r>
              <w:t>All Students (N=3,251,825)</w:t>
            </w:r>
          </w:p>
        </w:tc>
      </w:tr>
      <w:tr w:rsidR="00AE2225" w:rsidRPr="00C25FE0" w14:paraId="102F41A2" w14:textId="77777777" w:rsidTr="009D10E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131" w:type="dxa"/>
            <w:shd w:val="clear" w:color="auto" w:fill="BDD6EE" w:themeFill="accent1" w:themeFillTint="66"/>
            <w:noWrap/>
            <w:hideMark/>
          </w:tcPr>
          <w:p w14:paraId="6C68B2A2" w14:textId="77777777" w:rsidR="00AE2225" w:rsidRPr="00C25FE0" w:rsidRDefault="00AE2225" w:rsidP="0041205C">
            <w:pPr>
              <w:pStyle w:val="TableCategoryText"/>
            </w:pPr>
            <w:r w:rsidRPr="00C25FE0">
              <w:t>6</w:t>
            </w:r>
          </w:p>
        </w:tc>
        <w:tc>
          <w:tcPr>
            <w:tcW w:w="3132" w:type="dxa"/>
            <w:shd w:val="clear" w:color="auto" w:fill="D9E2F3" w:themeFill="accent5" w:themeFillTint="33"/>
          </w:tcPr>
          <w:p w14:paraId="0799F088" w14:textId="77777777" w:rsidR="00AE2225" w:rsidRPr="0041205C" w:rsidRDefault="00AE2225" w:rsidP="009E56F2">
            <w:pPr>
              <w:pStyle w:val="TableBodyText"/>
              <w:spacing w:after="0"/>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21%</w:t>
            </w:r>
          </w:p>
        </w:tc>
        <w:tc>
          <w:tcPr>
            <w:tcW w:w="3132" w:type="dxa"/>
            <w:shd w:val="clear" w:color="auto" w:fill="D9E2F3" w:themeFill="accent5" w:themeFillTint="33"/>
          </w:tcPr>
          <w:p w14:paraId="37AD58AA" w14:textId="77777777" w:rsidR="00AE2225" w:rsidRPr="0041205C" w:rsidRDefault="00AE2225" w:rsidP="009E56F2">
            <w:pPr>
              <w:pStyle w:val="TableBodyText"/>
              <w:spacing w:after="0"/>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8%</w:t>
            </w:r>
          </w:p>
        </w:tc>
      </w:tr>
      <w:tr w:rsidR="00AE2225" w:rsidRPr="00C25FE0" w14:paraId="046BB189" w14:textId="77777777" w:rsidTr="009D10E5">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131" w:type="dxa"/>
            <w:shd w:val="clear" w:color="auto" w:fill="BDD6EE" w:themeFill="accent1" w:themeFillTint="66"/>
            <w:noWrap/>
            <w:hideMark/>
          </w:tcPr>
          <w:p w14:paraId="7FF5AF73" w14:textId="77777777" w:rsidR="00AE2225" w:rsidRPr="00C25FE0" w:rsidRDefault="00AE2225" w:rsidP="0041205C">
            <w:pPr>
              <w:pStyle w:val="TableCategoryText"/>
            </w:pPr>
            <w:r w:rsidRPr="00C25FE0">
              <w:t>7</w:t>
            </w:r>
          </w:p>
        </w:tc>
        <w:tc>
          <w:tcPr>
            <w:tcW w:w="3132" w:type="dxa"/>
            <w:shd w:val="clear" w:color="auto" w:fill="D9E2F3" w:themeFill="accent5" w:themeFillTint="33"/>
          </w:tcPr>
          <w:p w14:paraId="0F58D98C" w14:textId="77777777" w:rsidR="00AE2225" w:rsidRPr="0041205C" w:rsidRDefault="00AE2225" w:rsidP="009E56F2">
            <w:pPr>
              <w:pStyle w:val="TableBodyText"/>
              <w:spacing w:after="0"/>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18%</w:t>
            </w:r>
          </w:p>
        </w:tc>
        <w:tc>
          <w:tcPr>
            <w:tcW w:w="3132" w:type="dxa"/>
            <w:shd w:val="clear" w:color="auto" w:fill="D9E2F3" w:themeFill="accent5" w:themeFillTint="33"/>
          </w:tcPr>
          <w:p w14:paraId="5E9E929E" w14:textId="77777777" w:rsidR="00AE2225" w:rsidRPr="0041205C" w:rsidRDefault="00AE2225" w:rsidP="009E56F2">
            <w:pPr>
              <w:pStyle w:val="TableBodyText"/>
              <w:spacing w:after="0"/>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7%</w:t>
            </w:r>
          </w:p>
        </w:tc>
      </w:tr>
      <w:tr w:rsidR="00AE2225" w:rsidRPr="00C25FE0" w14:paraId="2A80049D" w14:textId="77777777" w:rsidTr="009D10E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131" w:type="dxa"/>
            <w:shd w:val="clear" w:color="auto" w:fill="BDD6EE" w:themeFill="accent1" w:themeFillTint="66"/>
            <w:noWrap/>
          </w:tcPr>
          <w:p w14:paraId="32868B18" w14:textId="77777777" w:rsidR="00AE2225" w:rsidRPr="00C25FE0" w:rsidDel="00917068" w:rsidRDefault="00AE2225" w:rsidP="0041205C">
            <w:pPr>
              <w:pStyle w:val="TableCategoryText"/>
            </w:pPr>
            <w:r w:rsidRPr="00C25FE0">
              <w:t>8</w:t>
            </w:r>
          </w:p>
        </w:tc>
        <w:tc>
          <w:tcPr>
            <w:tcW w:w="3132" w:type="dxa"/>
            <w:shd w:val="clear" w:color="auto" w:fill="D9E2F3" w:themeFill="accent5" w:themeFillTint="33"/>
          </w:tcPr>
          <w:p w14:paraId="6E92E5A4" w14:textId="77777777" w:rsidR="00AE2225" w:rsidRPr="0041205C" w:rsidRDefault="00AE2225" w:rsidP="009E56F2">
            <w:pPr>
              <w:pStyle w:val="TableBodyText"/>
              <w:spacing w:after="0"/>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16%</w:t>
            </w:r>
          </w:p>
        </w:tc>
        <w:tc>
          <w:tcPr>
            <w:tcW w:w="3132" w:type="dxa"/>
            <w:shd w:val="clear" w:color="auto" w:fill="D9E2F3" w:themeFill="accent5" w:themeFillTint="33"/>
          </w:tcPr>
          <w:p w14:paraId="1480C130" w14:textId="77777777" w:rsidR="00AE2225" w:rsidRPr="0041205C" w:rsidRDefault="00AE2225" w:rsidP="009E56F2">
            <w:pPr>
              <w:pStyle w:val="TableBodyText"/>
              <w:spacing w:after="0"/>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6%</w:t>
            </w:r>
          </w:p>
        </w:tc>
      </w:tr>
      <w:tr w:rsidR="00AE2225" w:rsidRPr="00C25FE0" w14:paraId="64794E05" w14:textId="77777777" w:rsidTr="009D10E5">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131" w:type="dxa"/>
            <w:shd w:val="clear" w:color="auto" w:fill="BDD6EE" w:themeFill="accent1" w:themeFillTint="66"/>
            <w:noWrap/>
          </w:tcPr>
          <w:p w14:paraId="0C3DBB07" w14:textId="77777777" w:rsidR="00AE2225" w:rsidRPr="00C25FE0" w:rsidRDefault="00AE2225" w:rsidP="0041205C">
            <w:pPr>
              <w:pStyle w:val="TableCategoryText"/>
            </w:pPr>
            <w:r w:rsidRPr="00C25FE0">
              <w:t>9</w:t>
            </w:r>
          </w:p>
        </w:tc>
        <w:tc>
          <w:tcPr>
            <w:tcW w:w="3132" w:type="dxa"/>
            <w:shd w:val="clear" w:color="auto" w:fill="D9E2F3" w:themeFill="accent5" w:themeFillTint="33"/>
          </w:tcPr>
          <w:p w14:paraId="373CB3AA" w14:textId="77777777" w:rsidR="00AE2225" w:rsidRPr="0041205C" w:rsidRDefault="00AE2225" w:rsidP="009E56F2">
            <w:pPr>
              <w:pStyle w:val="TableBodyText"/>
              <w:spacing w:after="0"/>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14%</w:t>
            </w:r>
          </w:p>
        </w:tc>
        <w:tc>
          <w:tcPr>
            <w:tcW w:w="3132" w:type="dxa"/>
            <w:shd w:val="clear" w:color="auto" w:fill="D9E2F3" w:themeFill="accent5" w:themeFillTint="33"/>
          </w:tcPr>
          <w:p w14:paraId="2EC55C79" w14:textId="77777777" w:rsidR="00AE2225" w:rsidRPr="0041205C" w:rsidRDefault="00AE2225" w:rsidP="009E56F2">
            <w:pPr>
              <w:pStyle w:val="TableBodyText"/>
              <w:spacing w:after="0"/>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6%</w:t>
            </w:r>
          </w:p>
        </w:tc>
      </w:tr>
      <w:tr w:rsidR="00AE2225" w:rsidRPr="00C25FE0" w14:paraId="1793B950" w14:textId="77777777" w:rsidTr="009D10E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131" w:type="dxa"/>
            <w:shd w:val="clear" w:color="auto" w:fill="BDD6EE" w:themeFill="accent1" w:themeFillTint="66"/>
            <w:noWrap/>
          </w:tcPr>
          <w:p w14:paraId="1CB2FB46" w14:textId="77777777" w:rsidR="00AE2225" w:rsidRPr="00C25FE0" w:rsidRDefault="00AE2225" w:rsidP="0041205C">
            <w:pPr>
              <w:pStyle w:val="TableCategoryText"/>
            </w:pPr>
            <w:r w:rsidRPr="00C25FE0">
              <w:t>10</w:t>
            </w:r>
          </w:p>
        </w:tc>
        <w:tc>
          <w:tcPr>
            <w:tcW w:w="3132" w:type="dxa"/>
            <w:shd w:val="clear" w:color="auto" w:fill="D9E2F3" w:themeFill="accent5" w:themeFillTint="33"/>
          </w:tcPr>
          <w:p w14:paraId="195E5DA9" w14:textId="77777777" w:rsidR="00AE2225" w:rsidRPr="0041205C" w:rsidRDefault="00AE2225" w:rsidP="009E56F2">
            <w:pPr>
              <w:pStyle w:val="TableBodyText"/>
              <w:spacing w:after="0"/>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20%</w:t>
            </w:r>
          </w:p>
        </w:tc>
        <w:tc>
          <w:tcPr>
            <w:tcW w:w="3132" w:type="dxa"/>
            <w:shd w:val="clear" w:color="auto" w:fill="D9E2F3" w:themeFill="accent5" w:themeFillTint="33"/>
          </w:tcPr>
          <w:p w14:paraId="543BDCD5" w14:textId="77777777" w:rsidR="00AE2225" w:rsidRPr="0041205C" w:rsidRDefault="00AE2225" w:rsidP="009E56F2">
            <w:pPr>
              <w:pStyle w:val="TableBodyText"/>
              <w:spacing w:after="0"/>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8%</w:t>
            </w:r>
          </w:p>
        </w:tc>
      </w:tr>
      <w:tr w:rsidR="00AE2225" w:rsidRPr="00C25FE0" w14:paraId="1B106145" w14:textId="77777777" w:rsidTr="009D10E5">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131" w:type="dxa"/>
            <w:shd w:val="clear" w:color="auto" w:fill="BDD6EE" w:themeFill="accent1" w:themeFillTint="66"/>
            <w:noWrap/>
          </w:tcPr>
          <w:p w14:paraId="1938F50D" w14:textId="77777777" w:rsidR="00AE2225" w:rsidRPr="00C25FE0" w:rsidRDefault="00AE2225" w:rsidP="0041205C">
            <w:pPr>
              <w:pStyle w:val="TableCategoryText"/>
            </w:pPr>
            <w:r w:rsidRPr="00C25FE0">
              <w:t>11</w:t>
            </w:r>
          </w:p>
        </w:tc>
        <w:tc>
          <w:tcPr>
            <w:tcW w:w="3132" w:type="dxa"/>
            <w:shd w:val="clear" w:color="auto" w:fill="D9E2F3" w:themeFill="accent5" w:themeFillTint="33"/>
          </w:tcPr>
          <w:p w14:paraId="391DB609" w14:textId="77777777" w:rsidR="00AE2225" w:rsidRPr="0041205C" w:rsidRDefault="00AE2225" w:rsidP="009E56F2">
            <w:pPr>
              <w:pStyle w:val="TableBodyText"/>
              <w:spacing w:after="0"/>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16%</w:t>
            </w:r>
          </w:p>
        </w:tc>
        <w:tc>
          <w:tcPr>
            <w:tcW w:w="3132" w:type="dxa"/>
            <w:shd w:val="clear" w:color="auto" w:fill="D9E2F3" w:themeFill="accent5" w:themeFillTint="33"/>
          </w:tcPr>
          <w:p w14:paraId="43DD4798" w14:textId="77777777" w:rsidR="00AE2225" w:rsidRPr="0041205C" w:rsidRDefault="00AE2225" w:rsidP="009E56F2">
            <w:pPr>
              <w:pStyle w:val="TableBodyText"/>
              <w:spacing w:after="0"/>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7%</w:t>
            </w:r>
          </w:p>
        </w:tc>
      </w:tr>
      <w:tr w:rsidR="00AE2225" w:rsidRPr="00C25FE0" w14:paraId="0B1D6AD0" w14:textId="77777777" w:rsidTr="009D10E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131" w:type="dxa"/>
            <w:shd w:val="clear" w:color="auto" w:fill="BDD6EE" w:themeFill="accent1" w:themeFillTint="66"/>
            <w:noWrap/>
          </w:tcPr>
          <w:p w14:paraId="5E705FBE" w14:textId="77777777" w:rsidR="00AE2225" w:rsidRPr="00C25FE0" w:rsidRDefault="00AE2225" w:rsidP="0041205C">
            <w:pPr>
              <w:pStyle w:val="TableCategoryText"/>
            </w:pPr>
            <w:r w:rsidRPr="00C25FE0">
              <w:t>12</w:t>
            </w:r>
          </w:p>
        </w:tc>
        <w:tc>
          <w:tcPr>
            <w:tcW w:w="3132" w:type="dxa"/>
            <w:shd w:val="clear" w:color="auto" w:fill="D9E2F3" w:themeFill="accent5" w:themeFillTint="33"/>
          </w:tcPr>
          <w:p w14:paraId="1815E766" w14:textId="77777777" w:rsidR="00AE2225" w:rsidRPr="0041205C" w:rsidRDefault="00AE2225" w:rsidP="009E56F2">
            <w:pPr>
              <w:pStyle w:val="TableBodyText"/>
              <w:spacing w:after="0"/>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18%</w:t>
            </w:r>
          </w:p>
        </w:tc>
        <w:tc>
          <w:tcPr>
            <w:tcW w:w="3132" w:type="dxa"/>
            <w:shd w:val="clear" w:color="auto" w:fill="D9E2F3" w:themeFill="accent5" w:themeFillTint="33"/>
          </w:tcPr>
          <w:p w14:paraId="1B5AF2B3" w14:textId="77777777" w:rsidR="00AE2225" w:rsidRPr="0041205C" w:rsidRDefault="00AE2225" w:rsidP="009E56F2">
            <w:pPr>
              <w:pStyle w:val="TableBodyText"/>
              <w:spacing w:after="0"/>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7%</w:t>
            </w:r>
          </w:p>
        </w:tc>
      </w:tr>
      <w:tr w:rsidR="00AE2225" w:rsidRPr="00C25FE0" w14:paraId="7C8135F6" w14:textId="77777777" w:rsidTr="009D10E5">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131" w:type="dxa"/>
            <w:shd w:val="clear" w:color="auto" w:fill="BDD6EE" w:themeFill="accent1" w:themeFillTint="66"/>
            <w:noWrap/>
          </w:tcPr>
          <w:p w14:paraId="0297605E" w14:textId="77777777" w:rsidR="00AE2225" w:rsidRPr="00C25FE0" w:rsidRDefault="00AE2225" w:rsidP="0041205C">
            <w:pPr>
              <w:pStyle w:val="TableCategoryText"/>
            </w:pPr>
            <w:r w:rsidRPr="00C25FE0">
              <w:t>6–12</w:t>
            </w:r>
          </w:p>
        </w:tc>
        <w:tc>
          <w:tcPr>
            <w:tcW w:w="3132" w:type="dxa"/>
            <w:shd w:val="clear" w:color="auto" w:fill="D9E2F3" w:themeFill="accent5" w:themeFillTint="33"/>
          </w:tcPr>
          <w:p w14:paraId="0458AF79" w14:textId="77777777" w:rsidR="00AE2225" w:rsidRPr="0041205C" w:rsidRDefault="00AE2225" w:rsidP="009E56F2">
            <w:pPr>
              <w:pStyle w:val="TableBodyText"/>
              <w:spacing w:after="0"/>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17%</w:t>
            </w:r>
          </w:p>
        </w:tc>
        <w:tc>
          <w:tcPr>
            <w:tcW w:w="3132" w:type="dxa"/>
            <w:shd w:val="clear" w:color="auto" w:fill="D9E2F3" w:themeFill="accent5" w:themeFillTint="33"/>
          </w:tcPr>
          <w:p w14:paraId="595066B6" w14:textId="77777777" w:rsidR="00AE2225" w:rsidRPr="0041205C" w:rsidRDefault="00AE2225" w:rsidP="009E56F2">
            <w:pPr>
              <w:pStyle w:val="TableBodyText"/>
              <w:spacing w:after="0"/>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7%</w:t>
            </w:r>
          </w:p>
        </w:tc>
      </w:tr>
    </w:tbl>
    <w:p w14:paraId="040017D4" w14:textId="25E0BFA7" w:rsidR="00AE2225" w:rsidRPr="003B2E25" w:rsidRDefault="00AE2225" w:rsidP="00AE2225">
      <w:pPr>
        <w:pStyle w:val="TableorFiguresNotesSources"/>
      </w:pPr>
      <w:r w:rsidRPr="00AE2225">
        <w:rPr>
          <w:color w:val="auto"/>
        </w:rPr>
        <w:t xml:space="preserve">Sources: The MSIN </w:t>
      </w:r>
      <w:r w:rsidR="009E352E">
        <w:rPr>
          <w:color w:val="auto"/>
        </w:rPr>
        <w:t>databases</w:t>
      </w:r>
      <w:r w:rsidRPr="00AE2225">
        <w:rPr>
          <w:color w:val="auto"/>
        </w:rPr>
        <w:t xml:space="preserve"> for the MEP, </w:t>
      </w:r>
      <w:r w:rsidR="00D1613E">
        <w:rPr>
          <w:color w:val="auto"/>
        </w:rPr>
        <w:t xml:space="preserve">SY </w:t>
      </w:r>
      <w:r w:rsidRPr="00AE2225">
        <w:rPr>
          <w:color w:val="auto"/>
        </w:rPr>
        <w:t xml:space="preserve">2022–23; and CDE DataQuest, </w:t>
      </w:r>
      <w:r w:rsidR="005D504C">
        <w:rPr>
          <w:color w:val="auto"/>
        </w:rPr>
        <w:t xml:space="preserve">SY </w:t>
      </w:r>
      <w:r w:rsidRPr="00AE2225">
        <w:rPr>
          <w:color w:val="auto"/>
        </w:rPr>
        <w:t xml:space="preserve">2022–23 </w:t>
      </w:r>
      <w:hyperlink r:id="rId21" w:history="1">
        <w:r w:rsidRPr="000B6E4E">
          <w:rPr>
            <w:rStyle w:val="Hyperlink"/>
          </w:rPr>
          <w:t>“At-Risk” and LTEL by Grade Statewide Report</w:t>
        </w:r>
      </w:hyperlink>
      <w:r w:rsidR="00400C4F">
        <w:rPr>
          <w:color w:val="auto"/>
        </w:rPr>
        <w:t xml:space="preserve"> and the </w:t>
      </w:r>
      <w:hyperlink r:id="rId22" w:history="1">
        <w:r w:rsidR="00400C4F" w:rsidRPr="00400C4F">
          <w:rPr>
            <w:rStyle w:val="Hyperlink"/>
          </w:rPr>
          <w:t>2022-23 Enrollment by English Language Acquisition Status (ELAS) and Grade</w:t>
        </w:r>
      </w:hyperlink>
      <w:r w:rsidRPr="00AE2225">
        <w:rPr>
          <w:color w:val="auto"/>
        </w:rPr>
        <w:t>, accessed October 26, 2023</w:t>
      </w:r>
      <w:r>
        <w:t xml:space="preserve">. </w:t>
      </w:r>
    </w:p>
    <w:p w14:paraId="054EF406" w14:textId="77777777" w:rsidR="000D7882" w:rsidRPr="00F55385" w:rsidRDefault="000D7882" w:rsidP="00CF280A">
      <w:pPr>
        <w:pStyle w:val="Heading4"/>
      </w:pPr>
      <w:bookmarkStart w:id="56" w:name="_Toc163813422"/>
      <w:bookmarkStart w:id="57" w:name="Demographics_Home_Languages"/>
      <w:r w:rsidRPr="00F55385">
        <w:t>Home Languages</w:t>
      </w:r>
      <w:bookmarkEnd w:id="56"/>
    </w:p>
    <w:bookmarkEnd w:id="57"/>
    <w:p w14:paraId="40F43D35" w14:textId="3C6E4167" w:rsidR="000D7882" w:rsidRPr="00F55385" w:rsidRDefault="000D7882" w:rsidP="00CF280A">
      <w:pPr>
        <w:pStyle w:val="Paragraph"/>
        <w:spacing w:line="240" w:lineRule="auto"/>
        <w:rPr>
          <w:color w:val="auto"/>
        </w:rPr>
      </w:pPr>
      <w:r w:rsidRPr="00F55385">
        <w:rPr>
          <w:color w:val="auto"/>
        </w:rPr>
        <w:t xml:space="preserve">Between SYs 2018–19 and 2022–23, at least 25 different home languages were reported for California’s migratory students who were also EL students. For the </w:t>
      </w:r>
      <w:r w:rsidRPr="00F55385">
        <w:rPr>
          <w:color w:val="auto"/>
        </w:rPr>
        <w:br/>
        <w:t xml:space="preserve">2022–23 program year, Spanish was the most prevalent home language (94.99 percent), followed by Mixteco (3.48 percent) and then Punjabi (less </w:t>
      </w:r>
      <w:r w:rsidR="00400C4F">
        <w:rPr>
          <w:color w:val="auto"/>
        </w:rPr>
        <w:t>than one</w:t>
      </w:r>
      <w:r w:rsidR="007F5973" w:rsidRPr="00F55385">
        <w:rPr>
          <w:color w:val="auto"/>
        </w:rPr>
        <w:t> </w:t>
      </w:r>
      <w:r w:rsidRPr="00F55385">
        <w:rPr>
          <w:color w:val="auto"/>
        </w:rPr>
        <w:t xml:space="preserve">percent). The two languages that have increased in prevalence over the past six years are Mixteco and Zapoteco. </w:t>
      </w:r>
      <w:r w:rsidR="00194648">
        <w:rPr>
          <w:color w:val="auto"/>
        </w:rPr>
        <w:t>Table 8</w:t>
      </w:r>
      <w:r w:rsidRPr="00F55385">
        <w:rPr>
          <w:color w:val="auto"/>
        </w:rPr>
        <w:t xml:space="preserve"> details the prevalence of the most common home languages reported for California’s migratory students over the past six program years.</w:t>
      </w:r>
    </w:p>
    <w:p w14:paraId="4D4F715B" w14:textId="77777777" w:rsidR="000D7882" w:rsidRDefault="000D7882" w:rsidP="00CF280A">
      <w:pPr>
        <w:rPr>
          <w:rFonts w:eastAsiaTheme="minorEastAsia" w:cstheme="minorBidi"/>
          <w:bCs/>
          <w:noProof/>
          <w:color w:val="4472C4" w:themeColor="accent5"/>
          <w:szCs w:val="18"/>
          <w:lang w:eastAsia="zh-CN"/>
        </w:rPr>
      </w:pPr>
      <w:bookmarkStart w:id="58" w:name="_Toc159782389"/>
      <w:bookmarkStart w:id="59" w:name="_Toc163813569"/>
      <w:bookmarkStart w:id="60" w:name="Table_9_EL_Home_Languages"/>
      <w:r>
        <w:br w:type="page"/>
      </w:r>
    </w:p>
    <w:p w14:paraId="4834C1D4" w14:textId="56926BA0" w:rsidR="00F55385" w:rsidRPr="00D26693" w:rsidRDefault="00D26693" w:rsidP="00792C07">
      <w:pPr>
        <w:pStyle w:val="Heading5"/>
      </w:pPr>
      <w:bookmarkStart w:id="61" w:name="_Toc188030573"/>
      <w:bookmarkEnd w:id="58"/>
      <w:bookmarkEnd w:id="59"/>
      <w:r w:rsidRPr="00D26693">
        <w:lastRenderedPageBreak/>
        <w:t xml:space="preserve">Table </w:t>
      </w:r>
      <w:fldSimple w:instr=" SEQ Table \* ARABIC ">
        <w:r w:rsidR="00D04DC5">
          <w:rPr>
            <w:noProof/>
          </w:rPr>
          <w:t>8</w:t>
        </w:r>
      </w:fldSimple>
      <w:r w:rsidRPr="00D26693">
        <w:t>. Home Languages for California’s Migratory English Learners, School Years 2018–19 Through 2022–23</w:t>
      </w:r>
      <w:bookmarkEnd w:id="61"/>
    </w:p>
    <w:tbl>
      <w:tblPr>
        <w:tblStyle w:val="GridTable4-Accent5"/>
        <w:tblW w:w="9504" w:type="dxa"/>
        <w:tblLayout w:type="fixed"/>
        <w:tblLook w:val="04A0" w:firstRow="1" w:lastRow="0" w:firstColumn="1" w:lastColumn="0" w:noHBand="0" w:noVBand="1"/>
      </w:tblPr>
      <w:tblGrid>
        <w:gridCol w:w="1584"/>
        <w:gridCol w:w="1584"/>
        <w:gridCol w:w="1584"/>
        <w:gridCol w:w="1584"/>
        <w:gridCol w:w="1584"/>
        <w:gridCol w:w="1584"/>
      </w:tblGrid>
      <w:tr w:rsidR="000D7882" w:rsidRPr="000C11B2" w14:paraId="594C2B46" w14:textId="77777777" w:rsidTr="009D10E5">
        <w:trPr>
          <w:cnfStyle w:val="100000000000" w:firstRow="1" w:lastRow="0" w:firstColumn="0" w:lastColumn="0" w:oddVBand="0" w:evenVBand="0" w:oddHBand="0" w:evenHBand="0" w:firstRowFirstColumn="0" w:firstRowLastColumn="0" w:lastRowFirstColumn="0" w:lastRowLastColumn="0"/>
          <w:cantSplit/>
          <w:trHeight w:val="576"/>
          <w:tblHeader/>
        </w:trPr>
        <w:tc>
          <w:tcPr>
            <w:cnfStyle w:val="001000000000" w:firstRow="0" w:lastRow="0" w:firstColumn="1" w:lastColumn="0" w:oddVBand="0" w:evenVBand="0" w:oddHBand="0" w:evenHBand="0" w:firstRowFirstColumn="0" w:firstRowLastColumn="0" w:lastRowFirstColumn="0" w:lastRowLastColumn="0"/>
            <w:tcW w:w="1584" w:type="dxa"/>
            <w:vAlign w:val="center"/>
          </w:tcPr>
          <w:bookmarkEnd w:id="60"/>
          <w:p w14:paraId="59CF826F" w14:textId="77777777" w:rsidR="000D7882" w:rsidRPr="00D20A84" w:rsidRDefault="000D7882" w:rsidP="00D26693">
            <w:pPr>
              <w:pStyle w:val="TableHeaderRow"/>
              <w:jc w:val="center"/>
            </w:pPr>
            <w:r w:rsidRPr="00D20A84">
              <w:t>Home Language</w:t>
            </w:r>
          </w:p>
        </w:tc>
        <w:tc>
          <w:tcPr>
            <w:tcW w:w="1584" w:type="dxa"/>
            <w:vAlign w:val="center"/>
          </w:tcPr>
          <w:p w14:paraId="08CBCEBE" w14:textId="77777777" w:rsidR="000D7882" w:rsidRPr="00D20A84" w:rsidRDefault="000D7882" w:rsidP="00D26693">
            <w:pPr>
              <w:pStyle w:val="TableHeaderRow"/>
              <w:jc w:val="center"/>
              <w:cnfStyle w:val="100000000000" w:firstRow="1" w:lastRow="0" w:firstColumn="0" w:lastColumn="0" w:oddVBand="0" w:evenVBand="0" w:oddHBand="0" w:evenHBand="0" w:firstRowFirstColumn="0" w:firstRowLastColumn="0" w:lastRowFirstColumn="0" w:lastRowLastColumn="0"/>
            </w:pPr>
            <w:r w:rsidRPr="00D20A84">
              <w:t>2018–19</w:t>
            </w:r>
            <w:r>
              <w:br/>
            </w:r>
            <w:r w:rsidRPr="00D20A84">
              <w:t>(N=29,939)</w:t>
            </w:r>
          </w:p>
        </w:tc>
        <w:tc>
          <w:tcPr>
            <w:tcW w:w="1584" w:type="dxa"/>
            <w:vAlign w:val="center"/>
          </w:tcPr>
          <w:p w14:paraId="0DC71084" w14:textId="77777777" w:rsidR="000D7882" w:rsidRPr="00D20A84" w:rsidRDefault="000D7882" w:rsidP="00D26693">
            <w:pPr>
              <w:pStyle w:val="TableHeaderRow"/>
              <w:jc w:val="center"/>
              <w:cnfStyle w:val="100000000000" w:firstRow="1" w:lastRow="0" w:firstColumn="0" w:lastColumn="0" w:oddVBand="0" w:evenVBand="0" w:oddHBand="0" w:evenHBand="0" w:firstRowFirstColumn="0" w:firstRowLastColumn="0" w:lastRowFirstColumn="0" w:lastRowLastColumn="0"/>
            </w:pPr>
            <w:r w:rsidRPr="00D20A84">
              <w:t>2019–20</w:t>
            </w:r>
            <w:r>
              <w:br/>
            </w:r>
            <w:r w:rsidRPr="00D20A84">
              <w:t>(N=29,338)</w:t>
            </w:r>
          </w:p>
        </w:tc>
        <w:tc>
          <w:tcPr>
            <w:tcW w:w="1584" w:type="dxa"/>
            <w:vAlign w:val="center"/>
          </w:tcPr>
          <w:p w14:paraId="28D141FD" w14:textId="77777777" w:rsidR="000D7882" w:rsidRPr="00D20A84" w:rsidRDefault="000D7882" w:rsidP="00D26693">
            <w:pPr>
              <w:pStyle w:val="TableHeaderRow"/>
              <w:jc w:val="center"/>
              <w:cnfStyle w:val="100000000000" w:firstRow="1" w:lastRow="0" w:firstColumn="0" w:lastColumn="0" w:oddVBand="0" w:evenVBand="0" w:oddHBand="0" w:evenHBand="0" w:firstRowFirstColumn="0" w:firstRowLastColumn="0" w:lastRowFirstColumn="0" w:lastRowLastColumn="0"/>
            </w:pPr>
            <w:r w:rsidRPr="00D20A84">
              <w:t>2020–21</w:t>
            </w:r>
            <w:r>
              <w:br/>
            </w:r>
            <w:r w:rsidRPr="00D20A84">
              <w:t>(N=28,384)</w:t>
            </w:r>
          </w:p>
        </w:tc>
        <w:tc>
          <w:tcPr>
            <w:tcW w:w="1584" w:type="dxa"/>
            <w:vAlign w:val="center"/>
          </w:tcPr>
          <w:p w14:paraId="7EDD5CED" w14:textId="77777777" w:rsidR="000D7882" w:rsidRPr="00D20A84" w:rsidRDefault="000D7882" w:rsidP="00D26693">
            <w:pPr>
              <w:pStyle w:val="TableHeaderRow"/>
              <w:jc w:val="center"/>
              <w:cnfStyle w:val="100000000000" w:firstRow="1" w:lastRow="0" w:firstColumn="0" w:lastColumn="0" w:oddVBand="0" w:evenVBand="0" w:oddHBand="0" w:evenHBand="0" w:firstRowFirstColumn="0" w:firstRowLastColumn="0" w:lastRowFirstColumn="0" w:lastRowLastColumn="0"/>
            </w:pPr>
            <w:r w:rsidRPr="00D20A84">
              <w:t>2021–22</w:t>
            </w:r>
            <w:r>
              <w:br/>
            </w:r>
            <w:r w:rsidRPr="00D20A84">
              <w:t>(N=28,181)</w:t>
            </w:r>
          </w:p>
        </w:tc>
        <w:tc>
          <w:tcPr>
            <w:tcW w:w="1584" w:type="dxa"/>
            <w:vAlign w:val="center"/>
          </w:tcPr>
          <w:p w14:paraId="0D42DE05" w14:textId="77777777" w:rsidR="000D7882" w:rsidRPr="00D20A84" w:rsidRDefault="000D7882" w:rsidP="00D26693">
            <w:pPr>
              <w:pStyle w:val="TableHeaderRow"/>
              <w:jc w:val="center"/>
              <w:cnfStyle w:val="100000000000" w:firstRow="1" w:lastRow="0" w:firstColumn="0" w:lastColumn="0" w:oddVBand="0" w:evenVBand="0" w:oddHBand="0" w:evenHBand="0" w:firstRowFirstColumn="0" w:firstRowLastColumn="0" w:lastRowFirstColumn="0" w:lastRowLastColumn="0"/>
            </w:pPr>
            <w:r w:rsidRPr="00D20A84">
              <w:t>202</w:t>
            </w:r>
            <w:r>
              <w:t>2</w:t>
            </w:r>
            <w:r w:rsidRPr="00D20A84">
              <w:t>–2</w:t>
            </w:r>
            <w:r>
              <w:t>3</w:t>
            </w:r>
            <w:r>
              <w:br/>
            </w:r>
            <w:r w:rsidRPr="00D20A84">
              <w:t>(N=</w:t>
            </w:r>
            <w:r>
              <w:t>28,130)</w:t>
            </w:r>
          </w:p>
        </w:tc>
      </w:tr>
      <w:tr w:rsidR="00803E29" w:rsidRPr="00803E29" w14:paraId="1E74ECFF" w14:textId="77777777" w:rsidTr="009D10E5">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5A2504E1" w14:textId="77777777" w:rsidR="000D7882" w:rsidRPr="00803E29" w:rsidRDefault="000D7882" w:rsidP="0041205C">
            <w:pPr>
              <w:pStyle w:val="TableCategoryText"/>
            </w:pPr>
            <w:r w:rsidRPr="00803E29">
              <w:t>Spanish</w:t>
            </w:r>
          </w:p>
        </w:tc>
        <w:tc>
          <w:tcPr>
            <w:tcW w:w="1584" w:type="dxa"/>
            <w:vAlign w:val="center"/>
          </w:tcPr>
          <w:p w14:paraId="59390D85" w14:textId="77777777" w:rsidR="000D7882" w:rsidRPr="00803E29" w:rsidRDefault="000D7882" w:rsidP="00D26693">
            <w:pPr>
              <w:pStyle w:val="TableBodyText"/>
              <w:keepNext/>
              <w:ind w:right="284"/>
              <w:jc w:val="center"/>
              <w:cnfStyle w:val="000000100000" w:firstRow="0" w:lastRow="0" w:firstColumn="0" w:lastColumn="0" w:oddVBand="0" w:evenVBand="0" w:oddHBand="1" w:evenHBand="0" w:firstRowFirstColumn="0" w:firstRowLastColumn="0" w:lastRowFirstColumn="0" w:lastRowLastColumn="0"/>
              <w:rPr>
                <w:rFonts w:cs="Arial"/>
                <w:noProof w:val="0"/>
                <w:color w:val="auto"/>
                <w:szCs w:val="24"/>
              </w:rPr>
            </w:pPr>
            <w:r w:rsidRPr="00803E29">
              <w:rPr>
                <w:rFonts w:cs="Arial"/>
                <w:noProof w:val="0"/>
                <w:color w:val="auto"/>
                <w:szCs w:val="24"/>
              </w:rPr>
              <w:t>95.28%</w:t>
            </w:r>
          </w:p>
        </w:tc>
        <w:tc>
          <w:tcPr>
            <w:tcW w:w="1584" w:type="dxa"/>
            <w:vAlign w:val="center"/>
          </w:tcPr>
          <w:p w14:paraId="7CC882BA" w14:textId="77777777" w:rsidR="000D7882" w:rsidRPr="00803E29" w:rsidRDefault="000D7882" w:rsidP="00D26693">
            <w:pPr>
              <w:pStyle w:val="TableBodyText"/>
              <w:keepNext/>
              <w:ind w:right="284"/>
              <w:jc w:val="center"/>
              <w:cnfStyle w:val="000000100000" w:firstRow="0" w:lastRow="0" w:firstColumn="0" w:lastColumn="0" w:oddVBand="0" w:evenVBand="0" w:oddHBand="1" w:evenHBand="0" w:firstRowFirstColumn="0" w:firstRowLastColumn="0" w:lastRowFirstColumn="0" w:lastRowLastColumn="0"/>
              <w:rPr>
                <w:rFonts w:cs="Arial"/>
                <w:noProof w:val="0"/>
                <w:color w:val="auto"/>
                <w:szCs w:val="24"/>
              </w:rPr>
            </w:pPr>
            <w:r w:rsidRPr="00803E29">
              <w:rPr>
                <w:rFonts w:cs="Arial"/>
                <w:noProof w:val="0"/>
                <w:color w:val="auto"/>
                <w:szCs w:val="24"/>
              </w:rPr>
              <w:t>94.77%</w:t>
            </w:r>
          </w:p>
        </w:tc>
        <w:tc>
          <w:tcPr>
            <w:tcW w:w="1584" w:type="dxa"/>
            <w:vAlign w:val="center"/>
          </w:tcPr>
          <w:p w14:paraId="334C0A7D" w14:textId="77777777" w:rsidR="000D7882" w:rsidRPr="00803E29" w:rsidRDefault="000D7882" w:rsidP="00D26693">
            <w:pPr>
              <w:pStyle w:val="TableBodyText"/>
              <w:keepNext/>
              <w:ind w:right="284"/>
              <w:jc w:val="center"/>
              <w:cnfStyle w:val="000000100000" w:firstRow="0" w:lastRow="0" w:firstColumn="0" w:lastColumn="0" w:oddVBand="0" w:evenVBand="0" w:oddHBand="1" w:evenHBand="0" w:firstRowFirstColumn="0" w:firstRowLastColumn="0" w:lastRowFirstColumn="0" w:lastRowLastColumn="0"/>
              <w:rPr>
                <w:rFonts w:cs="Arial"/>
                <w:noProof w:val="0"/>
                <w:color w:val="auto"/>
                <w:szCs w:val="24"/>
              </w:rPr>
            </w:pPr>
            <w:r w:rsidRPr="00803E29">
              <w:rPr>
                <w:rFonts w:cs="Arial"/>
                <w:noProof w:val="0"/>
                <w:color w:val="auto"/>
                <w:szCs w:val="24"/>
              </w:rPr>
              <w:t>94.66%</w:t>
            </w:r>
          </w:p>
        </w:tc>
        <w:tc>
          <w:tcPr>
            <w:tcW w:w="1584" w:type="dxa"/>
            <w:vAlign w:val="center"/>
          </w:tcPr>
          <w:p w14:paraId="073B2D10" w14:textId="77777777" w:rsidR="000D7882" w:rsidRPr="00803E29" w:rsidRDefault="000D7882" w:rsidP="00D26693">
            <w:pPr>
              <w:pStyle w:val="TableBodyText"/>
              <w:keepNext/>
              <w:ind w:right="284"/>
              <w:jc w:val="center"/>
              <w:cnfStyle w:val="000000100000" w:firstRow="0" w:lastRow="0" w:firstColumn="0" w:lastColumn="0" w:oddVBand="0" w:evenVBand="0" w:oddHBand="1" w:evenHBand="0" w:firstRowFirstColumn="0" w:firstRowLastColumn="0" w:lastRowFirstColumn="0" w:lastRowLastColumn="0"/>
              <w:rPr>
                <w:rFonts w:cs="Arial"/>
                <w:noProof w:val="0"/>
                <w:color w:val="auto"/>
                <w:szCs w:val="24"/>
              </w:rPr>
            </w:pPr>
            <w:r w:rsidRPr="00803E29">
              <w:rPr>
                <w:rFonts w:cs="Arial"/>
                <w:noProof w:val="0"/>
                <w:color w:val="auto"/>
                <w:szCs w:val="24"/>
              </w:rPr>
              <w:t>94.72%</w:t>
            </w:r>
          </w:p>
        </w:tc>
        <w:tc>
          <w:tcPr>
            <w:tcW w:w="1584" w:type="dxa"/>
            <w:vAlign w:val="center"/>
          </w:tcPr>
          <w:p w14:paraId="043C7584" w14:textId="2E9FC5F7" w:rsidR="000D7882" w:rsidRPr="00803E29" w:rsidRDefault="000D7882" w:rsidP="00D26693">
            <w:pPr>
              <w:pStyle w:val="TableBodyText"/>
              <w:keepNext/>
              <w:ind w:right="284"/>
              <w:jc w:val="center"/>
              <w:cnfStyle w:val="000000100000" w:firstRow="0" w:lastRow="0" w:firstColumn="0" w:lastColumn="0" w:oddVBand="0" w:evenVBand="0" w:oddHBand="1" w:evenHBand="0" w:firstRowFirstColumn="0" w:firstRowLastColumn="0" w:lastRowFirstColumn="0" w:lastRowLastColumn="0"/>
              <w:rPr>
                <w:color w:val="auto"/>
              </w:rPr>
            </w:pPr>
            <w:r w:rsidRPr="00803E29">
              <w:rPr>
                <w:color w:val="auto"/>
              </w:rPr>
              <w:t>94.99</w:t>
            </w:r>
            <w:r w:rsidR="00D26693">
              <w:rPr>
                <w:color w:val="auto"/>
              </w:rPr>
              <w:t>%</w:t>
            </w:r>
          </w:p>
        </w:tc>
      </w:tr>
      <w:tr w:rsidR="00803E29" w:rsidRPr="00803E29" w14:paraId="61D1AE45" w14:textId="77777777" w:rsidTr="009D10E5">
        <w:trPr>
          <w:cantSplit/>
          <w:trHeight w:val="576"/>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06B4B447" w14:textId="77777777" w:rsidR="000D7882" w:rsidRPr="00803E29" w:rsidRDefault="000D7882" w:rsidP="0041205C">
            <w:pPr>
              <w:pStyle w:val="TableCategoryText"/>
            </w:pPr>
            <w:r w:rsidRPr="00803E29">
              <w:t>Mixteco</w:t>
            </w:r>
          </w:p>
        </w:tc>
        <w:tc>
          <w:tcPr>
            <w:tcW w:w="1584" w:type="dxa"/>
            <w:vAlign w:val="center"/>
          </w:tcPr>
          <w:p w14:paraId="5D74BFC3" w14:textId="77777777" w:rsidR="000D7882" w:rsidRPr="00803E29" w:rsidRDefault="000D7882" w:rsidP="00D26693">
            <w:pPr>
              <w:pStyle w:val="TableBodyText"/>
              <w:jc w:val="center"/>
              <w:cnfStyle w:val="000000000000" w:firstRow="0" w:lastRow="0" w:firstColumn="0" w:lastColumn="0" w:oddVBand="0" w:evenVBand="0" w:oddHBand="0" w:evenHBand="0" w:firstRowFirstColumn="0" w:firstRowLastColumn="0" w:lastRowFirstColumn="0" w:lastRowLastColumn="0"/>
              <w:rPr>
                <w:color w:val="auto"/>
              </w:rPr>
            </w:pPr>
            <w:r w:rsidRPr="00803E29">
              <w:rPr>
                <w:color w:val="auto"/>
              </w:rPr>
              <w:t>2.86%</w:t>
            </w:r>
          </w:p>
        </w:tc>
        <w:tc>
          <w:tcPr>
            <w:tcW w:w="1584" w:type="dxa"/>
            <w:vAlign w:val="center"/>
          </w:tcPr>
          <w:p w14:paraId="62ED8FFA" w14:textId="77777777" w:rsidR="000D7882" w:rsidRPr="00803E29" w:rsidRDefault="000D7882" w:rsidP="00D26693">
            <w:pPr>
              <w:pStyle w:val="TableBodyText"/>
              <w:jc w:val="center"/>
              <w:cnfStyle w:val="000000000000" w:firstRow="0" w:lastRow="0" w:firstColumn="0" w:lastColumn="0" w:oddVBand="0" w:evenVBand="0" w:oddHBand="0" w:evenHBand="0" w:firstRowFirstColumn="0" w:firstRowLastColumn="0" w:lastRowFirstColumn="0" w:lastRowLastColumn="0"/>
              <w:rPr>
                <w:color w:val="auto"/>
              </w:rPr>
            </w:pPr>
            <w:r w:rsidRPr="00803E29">
              <w:rPr>
                <w:color w:val="auto"/>
              </w:rPr>
              <w:t>3.26%</w:t>
            </w:r>
          </w:p>
        </w:tc>
        <w:tc>
          <w:tcPr>
            <w:tcW w:w="1584" w:type="dxa"/>
            <w:vAlign w:val="center"/>
          </w:tcPr>
          <w:p w14:paraId="4EB9587D" w14:textId="77777777" w:rsidR="000D7882" w:rsidRPr="00803E29" w:rsidRDefault="000D7882" w:rsidP="00D26693">
            <w:pPr>
              <w:pStyle w:val="TableBodyText"/>
              <w:jc w:val="center"/>
              <w:cnfStyle w:val="000000000000" w:firstRow="0" w:lastRow="0" w:firstColumn="0" w:lastColumn="0" w:oddVBand="0" w:evenVBand="0" w:oddHBand="0" w:evenHBand="0" w:firstRowFirstColumn="0" w:firstRowLastColumn="0" w:lastRowFirstColumn="0" w:lastRowLastColumn="0"/>
              <w:rPr>
                <w:color w:val="auto"/>
              </w:rPr>
            </w:pPr>
            <w:r w:rsidRPr="00803E29">
              <w:rPr>
                <w:color w:val="auto"/>
              </w:rPr>
              <w:t>3.44%</w:t>
            </w:r>
          </w:p>
        </w:tc>
        <w:tc>
          <w:tcPr>
            <w:tcW w:w="1584" w:type="dxa"/>
            <w:vAlign w:val="center"/>
          </w:tcPr>
          <w:p w14:paraId="3784981D" w14:textId="77777777" w:rsidR="000D7882" w:rsidRPr="00803E29" w:rsidRDefault="000D7882" w:rsidP="00D26693">
            <w:pPr>
              <w:pStyle w:val="TableBodyText"/>
              <w:jc w:val="center"/>
              <w:cnfStyle w:val="000000000000" w:firstRow="0" w:lastRow="0" w:firstColumn="0" w:lastColumn="0" w:oddVBand="0" w:evenVBand="0" w:oddHBand="0" w:evenHBand="0" w:firstRowFirstColumn="0" w:firstRowLastColumn="0" w:lastRowFirstColumn="0" w:lastRowLastColumn="0"/>
              <w:rPr>
                <w:color w:val="auto"/>
              </w:rPr>
            </w:pPr>
            <w:r w:rsidRPr="00803E29">
              <w:rPr>
                <w:color w:val="auto"/>
              </w:rPr>
              <w:t>3.51%</w:t>
            </w:r>
          </w:p>
        </w:tc>
        <w:tc>
          <w:tcPr>
            <w:tcW w:w="1584" w:type="dxa"/>
            <w:vAlign w:val="center"/>
          </w:tcPr>
          <w:p w14:paraId="74CC6F2B" w14:textId="77777777" w:rsidR="000D7882" w:rsidRPr="00803E29" w:rsidRDefault="000D7882" w:rsidP="00D26693">
            <w:pPr>
              <w:pStyle w:val="TableBodyText"/>
              <w:jc w:val="center"/>
              <w:cnfStyle w:val="000000000000" w:firstRow="0" w:lastRow="0" w:firstColumn="0" w:lastColumn="0" w:oddVBand="0" w:evenVBand="0" w:oddHBand="0" w:evenHBand="0" w:firstRowFirstColumn="0" w:firstRowLastColumn="0" w:lastRowFirstColumn="0" w:lastRowLastColumn="0"/>
              <w:rPr>
                <w:color w:val="auto"/>
              </w:rPr>
            </w:pPr>
            <w:r w:rsidRPr="00803E29">
              <w:rPr>
                <w:color w:val="auto"/>
              </w:rPr>
              <w:t>3.48%</w:t>
            </w:r>
          </w:p>
        </w:tc>
      </w:tr>
      <w:tr w:rsidR="00803E29" w:rsidRPr="00803E29" w14:paraId="051D9E2C" w14:textId="77777777" w:rsidTr="009D10E5">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44176B67" w14:textId="77777777" w:rsidR="000D7882" w:rsidRPr="00803E29" w:rsidRDefault="000D7882" w:rsidP="0041205C">
            <w:pPr>
              <w:pStyle w:val="TableCategoryText"/>
            </w:pPr>
            <w:r w:rsidRPr="00803E29">
              <w:t>Punjabi</w:t>
            </w:r>
          </w:p>
        </w:tc>
        <w:tc>
          <w:tcPr>
            <w:tcW w:w="1584" w:type="dxa"/>
            <w:vAlign w:val="center"/>
          </w:tcPr>
          <w:p w14:paraId="51801C31" w14:textId="77777777" w:rsidR="000D7882" w:rsidRPr="00803E29" w:rsidRDefault="000D7882" w:rsidP="00D26693">
            <w:pPr>
              <w:pStyle w:val="TableBodyText"/>
              <w:jc w:val="center"/>
              <w:cnfStyle w:val="000000100000" w:firstRow="0" w:lastRow="0" w:firstColumn="0" w:lastColumn="0" w:oddVBand="0" w:evenVBand="0" w:oddHBand="1" w:evenHBand="0" w:firstRowFirstColumn="0" w:firstRowLastColumn="0" w:lastRowFirstColumn="0" w:lastRowLastColumn="0"/>
              <w:rPr>
                <w:color w:val="auto"/>
              </w:rPr>
            </w:pPr>
            <w:r w:rsidRPr="00803E29">
              <w:rPr>
                <w:color w:val="auto"/>
              </w:rPr>
              <w:t>0.92%</w:t>
            </w:r>
          </w:p>
        </w:tc>
        <w:tc>
          <w:tcPr>
            <w:tcW w:w="1584" w:type="dxa"/>
            <w:vAlign w:val="center"/>
          </w:tcPr>
          <w:p w14:paraId="3AC67278" w14:textId="77777777" w:rsidR="000D7882" w:rsidRPr="00803E29" w:rsidRDefault="000D7882" w:rsidP="00D26693">
            <w:pPr>
              <w:pStyle w:val="TableBodyText"/>
              <w:jc w:val="center"/>
              <w:cnfStyle w:val="000000100000" w:firstRow="0" w:lastRow="0" w:firstColumn="0" w:lastColumn="0" w:oddVBand="0" w:evenVBand="0" w:oddHBand="1" w:evenHBand="0" w:firstRowFirstColumn="0" w:firstRowLastColumn="0" w:lastRowFirstColumn="0" w:lastRowLastColumn="0"/>
              <w:rPr>
                <w:color w:val="auto"/>
              </w:rPr>
            </w:pPr>
            <w:r w:rsidRPr="00803E29">
              <w:rPr>
                <w:color w:val="auto"/>
              </w:rPr>
              <w:t>0.82%</w:t>
            </w:r>
          </w:p>
        </w:tc>
        <w:tc>
          <w:tcPr>
            <w:tcW w:w="1584" w:type="dxa"/>
            <w:vAlign w:val="center"/>
          </w:tcPr>
          <w:p w14:paraId="6A224A4C" w14:textId="77777777" w:rsidR="000D7882" w:rsidRPr="00803E29" w:rsidRDefault="000D7882" w:rsidP="00D26693">
            <w:pPr>
              <w:pStyle w:val="TableBodyText"/>
              <w:jc w:val="center"/>
              <w:cnfStyle w:val="000000100000" w:firstRow="0" w:lastRow="0" w:firstColumn="0" w:lastColumn="0" w:oddVBand="0" w:evenVBand="0" w:oddHBand="1" w:evenHBand="0" w:firstRowFirstColumn="0" w:firstRowLastColumn="0" w:lastRowFirstColumn="0" w:lastRowLastColumn="0"/>
              <w:rPr>
                <w:color w:val="auto"/>
              </w:rPr>
            </w:pPr>
            <w:r w:rsidRPr="00803E29">
              <w:rPr>
                <w:color w:val="auto"/>
              </w:rPr>
              <w:t>0.81%</w:t>
            </w:r>
          </w:p>
        </w:tc>
        <w:tc>
          <w:tcPr>
            <w:tcW w:w="1584" w:type="dxa"/>
            <w:vAlign w:val="center"/>
          </w:tcPr>
          <w:p w14:paraId="4089243E" w14:textId="77777777" w:rsidR="000D7882" w:rsidRPr="00803E29" w:rsidRDefault="000D7882" w:rsidP="00D26693">
            <w:pPr>
              <w:pStyle w:val="TableBodyText"/>
              <w:jc w:val="center"/>
              <w:cnfStyle w:val="000000100000" w:firstRow="0" w:lastRow="0" w:firstColumn="0" w:lastColumn="0" w:oddVBand="0" w:evenVBand="0" w:oddHBand="1" w:evenHBand="0" w:firstRowFirstColumn="0" w:firstRowLastColumn="0" w:lastRowFirstColumn="0" w:lastRowLastColumn="0"/>
              <w:rPr>
                <w:color w:val="auto"/>
              </w:rPr>
            </w:pPr>
            <w:r w:rsidRPr="00803E29">
              <w:rPr>
                <w:color w:val="auto"/>
              </w:rPr>
              <w:t>0.70%</w:t>
            </w:r>
          </w:p>
        </w:tc>
        <w:tc>
          <w:tcPr>
            <w:tcW w:w="1584" w:type="dxa"/>
            <w:vAlign w:val="center"/>
          </w:tcPr>
          <w:p w14:paraId="6840482C" w14:textId="77777777" w:rsidR="000D7882" w:rsidRPr="00803E29" w:rsidRDefault="000D7882" w:rsidP="00D26693">
            <w:pPr>
              <w:pStyle w:val="TableBodyText"/>
              <w:jc w:val="center"/>
              <w:cnfStyle w:val="000000100000" w:firstRow="0" w:lastRow="0" w:firstColumn="0" w:lastColumn="0" w:oddVBand="0" w:evenVBand="0" w:oddHBand="1" w:evenHBand="0" w:firstRowFirstColumn="0" w:firstRowLastColumn="0" w:lastRowFirstColumn="0" w:lastRowLastColumn="0"/>
              <w:rPr>
                <w:color w:val="auto"/>
              </w:rPr>
            </w:pPr>
            <w:r w:rsidRPr="00803E29">
              <w:rPr>
                <w:color w:val="auto"/>
              </w:rPr>
              <w:t>0.59%</w:t>
            </w:r>
          </w:p>
        </w:tc>
      </w:tr>
      <w:tr w:rsidR="00803E29" w:rsidRPr="00803E29" w14:paraId="0C298026" w14:textId="77777777" w:rsidTr="009D10E5">
        <w:trPr>
          <w:cantSplit/>
          <w:trHeight w:val="576"/>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5C49BDD2" w14:textId="77777777" w:rsidR="000D7882" w:rsidRPr="00803E29" w:rsidRDefault="000D7882" w:rsidP="0041205C">
            <w:pPr>
              <w:pStyle w:val="TableCategoryText"/>
            </w:pPr>
            <w:r w:rsidRPr="00803E29">
              <w:t>Zapoteco</w:t>
            </w:r>
          </w:p>
        </w:tc>
        <w:tc>
          <w:tcPr>
            <w:tcW w:w="1584" w:type="dxa"/>
            <w:vAlign w:val="center"/>
          </w:tcPr>
          <w:p w14:paraId="14041834" w14:textId="77777777" w:rsidR="000D7882" w:rsidRPr="00803E29" w:rsidRDefault="000D7882" w:rsidP="00D26693">
            <w:pPr>
              <w:pStyle w:val="TableBodyText"/>
              <w:jc w:val="center"/>
              <w:cnfStyle w:val="000000000000" w:firstRow="0" w:lastRow="0" w:firstColumn="0" w:lastColumn="0" w:oddVBand="0" w:evenVBand="0" w:oddHBand="0" w:evenHBand="0" w:firstRowFirstColumn="0" w:firstRowLastColumn="0" w:lastRowFirstColumn="0" w:lastRowLastColumn="0"/>
              <w:rPr>
                <w:color w:val="auto"/>
              </w:rPr>
            </w:pPr>
            <w:r w:rsidRPr="00803E29">
              <w:rPr>
                <w:color w:val="auto"/>
              </w:rPr>
              <w:t>0.12%</w:t>
            </w:r>
          </w:p>
        </w:tc>
        <w:tc>
          <w:tcPr>
            <w:tcW w:w="1584" w:type="dxa"/>
            <w:vAlign w:val="center"/>
          </w:tcPr>
          <w:p w14:paraId="7C21407A" w14:textId="77777777" w:rsidR="000D7882" w:rsidRPr="00803E29" w:rsidRDefault="000D7882" w:rsidP="00D26693">
            <w:pPr>
              <w:pStyle w:val="TableBodyText"/>
              <w:jc w:val="center"/>
              <w:cnfStyle w:val="000000000000" w:firstRow="0" w:lastRow="0" w:firstColumn="0" w:lastColumn="0" w:oddVBand="0" w:evenVBand="0" w:oddHBand="0" w:evenHBand="0" w:firstRowFirstColumn="0" w:firstRowLastColumn="0" w:lastRowFirstColumn="0" w:lastRowLastColumn="0"/>
              <w:rPr>
                <w:color w:val="auto"/>
              </w:rPr>
            </w:pPr>
            <w:r w:rsidRPr="00803E29">
              <w:rPr>
                <w:color w:val="auto"/>
              </w:rPr>
              <w:t>0.18%</w:t>
            </w:r>
          </w:p>
        </w:tc>
        <w:tc>
          <w:tcPr>
            <w:tcW w:w="1584" w:type="dxa"/>
            <w:vAlign w:val="center"/>
          </w:tcPr>
          <w:p w14:paraId="22B3945D" w14:textId="77777777" w:rsidR="000D7882" w:rsidRPr="00803E29" w:rsidRDefault="000D7882" w:rsidP="00D26693">
            <w:pPr>
              <w:pStyle w:val="TableBodyText"/>
              <w:jc w:val="center"/>
              <w:cnfStyle w:val="000000000000" w:firstRow="0" w:lastRow="0" w:firstColumn="0" w:lastColumn="0" w:oddVBand="0" w:evenVBand="0" w:oddHBand="0" w:evenHBand="0" w:firstRowFirstColumn="0" w:firstRowLastColumn="0" w:lastRowFirstColumn="0" w:lastRowLastColumn="0"/>
              <w:rPr>
                <w:color w:val="auto"/>
              </w:rPr>
            </w:pPr>
            <w:r w:rsidRPr="00803E29">
              <w:rPr>
                <w:color w:val="auto"/>
              </w:rPr>
              <w:t>0.18%</w:t>
            </w:r>
          </w:p>
        </w:tc>
        <w:tc>
          <w:tcPr>
            <w:tcW w:w="1584" w:type="dxa"/>
            <w:vAlign w:val="center"/>
          </w:tcPr>
          <w:p w14:paraId="5E4F79FE" w14:textId="77777777" w:rsidR="000D7882" w:rsidRPr="00803E29" w:rsidRDefault="000D7882" w:rsidP="00D26693">
            <w:pPr>
              <w:pStyle w:val="TableBodyText"/>
              <w:jc w:val="center"/>
              <w:cnfStyle w:val="000000000000" w:firstRow="0" w:lastRow="0" w:firstColumn="0" w:lastColumn="0" w:oddVBand="0" w:evenVBand="0" w:oddHBand="0" w:evenHBand="0" w:firstRowFirstColumn="0" w:firstRowLastColumn="0" w:lastRowFirstColumn="0" w:lastRowLastColumn="0"/>
              <w:rPr>
                <w:color w:val="auto"/>
              </w:rPr>
            </w:pPr>
            <w:r w:rsidRPr="00803E29">
              <w:rPr>
                <w:color w:val="auto"/>
              </w:rPr>
              <w:t>0.21%</w:t>
            </w:r>
          </w:p>
        </w:tc>
        <w:tc>
          <w:tcPr>
            <w:tcW w:w="1584" w:type="dxa"/>
            <w:vAlign w:val="center"/>
          </w:tcPr>
          <w:p w14:paraId="2A07E6AF" w14:textId="77777777" w:rsidR="000D7882" w:rsidRPr="00803E29" w:rsidRDefault="000D7882" w:rsidP="00D26693">
            <w:pPr>
              <w:pStyle w:val="TableBodyText"/>
              <w:jc w:val="center"/>
              <w:cnfStyle w:val="000000000000" w:firstRow="0" w:lastRow="0" w:firstColumn="0" w:lastColumn="0" w:oddVBand="0" w:evenVBand="0" w:oddHBand="0" w:evenHBand="0" w:firstRowFirstColumn="0" w:firstRowLastColumn="0" w:lastRowFirstColumn="0" w:lastRowLastColumn="0"/>
              <w:rPr>
                <w:color w:val="auto"/>
              </w:rPr>
            </w:pPr>
            <w:r w:rsidRPr="00803E29">
              <w:rPr>
                <w:color w:val="auto"/>
              </w:rPr>
              <w:t>0.22%</w:t>
            </w:r>
          </w:p>
        </w:tc>
      </w:tr>
      <w:tr w:rsidR="00803E29" w:rsidRPr="00803E29" w14:paraId="31FA373F" w14:textId="77777777" w:rsidTr="009D10E5">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2F25EA9A" w14:textId="77777777" w:rsidR="000D7882" w:rsidRPr="00803E29" w:rsidRDefault="000D7882" w:rsidP="0041205C">
            <w:pPr>
              <w:pStyle w:val="TableCategoryText"/>
            </w:pPr>
            <w:r w:rsidRPr="00803E29">
              <w:t>Hmong</w:t>
            </w:r>
          </w:p>
        </w:tc>
        <w:tc>
          <w:tcPr>
            <w:tcW w:w="1584" w:type="dxa"/>
            <w:vAlign w:val="center"/>
          </w:tcPr>
          <w:p w14:paraId="5CA5E3A5" w14:textId="77777777" w:rsidR="000D7882" w:rsidRPr="00803E29" w:rsidRDefault="000D7882" w:rsidP="00D26693">
            <w:pPr>
              <w:pStyle w:val="TableBodyText"/>
              <w:jc w:val="center"/>
              <w:cnfStyle w:val="000000100000" w:firstRow="0" w:lastRow="0" w:firstColumn="0" w:lastColumn="0" w:oddVBand="0" w:evenVBand="0" w:oddHBand="1" w:evenHBand="0" w:firstRowFirstColumn="0" w:firstRowLastColumn="0" w:lastRowFirstColumn="0" w:lastRowLastColumn="0"/>
              <w:rPr>
                <w:color w:val="auto"/>
              </w:rPr>
            </w:pPr>
            <w:r w:rsidRPr="00803E29">
              <w:rPr>
                <w:color w:val="auto"/>
              </w:rPr>
              <w:t>0.10%</w:t>
            </w:r>
          </w:p>
        </w:tc>
        <w:tc>
          <w:tcPr>
            <w:tcW w:w="1584" w:type="dxa"/>
            <w:vAlign w:val="center"/>
          </w:tcPr>
          <w:p w14:paraId="631B18A4" w14:textId="77777777" w:rsidR="000D7882" w:rsidRPr="00803E29" w:rsidRDefault="000D7882" w:rsidP="00D26693">
            <w:pPr>
              <w:pStyle w:val="TableBodyText"/>
              <w:jc w:val="center"/>
              <w:cnfStyle w:val="000000100000" w:firstRow="0" w:lastRow="0" w:firstColumn="0" w:lastColumn="0" w:oddVBand="0" w:evenVBand="0" w:oddHBand="1" w:evenHBand="0" w:firstRowFirstColumn="0" w:firstRowLastColumn="0" w:lastRowFirstColumn="0" w:lastRowLastColumn="0"/>
              <w:rPr>
                <w:color w:val="auto"/>
              </w:rPr>
            </w:pPr>
            <w:r w:rsidRPr="00803E29">
              <w:rPr>
                <w:color w:val="auto"/>
              </w:rPr>
              <w:t>0.07%</w:t>
            </w:r>
          </w:p>
        </w:tc>
        <w:tc>
          <w:tcPr>
            <w:tcW w:w="1584" w:type="dxa"/>
            <w:vAlign w:val="center"/>
          </w:tcPr>
          <w:p w14:paraId="218D3468" w14:textId="77777777" w:rsidR="000D7882" w:rsidRPr="00803E29" w:rsidRDefault="000D7882" w:rsidP="00D26693">
            <w:pPr>
              <w:pStyle w:val="TableBodyText"/>
              <w:jc w:val="center"/>
              <w:cnfStyle w:val="000000100000" w:firstRow="0" w:lastRow="0" w:firstColumn="0" w:lastColumn="0" w:oddVBand="0" w:evenVBand="0" w:oddHBand="1" w:evenHBand="0" w:firstRowFirstColumn="0" w:firstRowLastColumn="0" w:lastRowFirstColumn="0" w:lastRowLastColumn="0"/>
              <w:rPr>
                <w:color w:val="auto"/>
              </w:rPr>
            </w:pPr>
            <w:r w:rsidRPr="00803E29">
              <w:rPr>
                <w:color w:val="auto"/>
              </w:rPr>
              <w:t>0.05%</w:t>
            </w:r>
          </w:p>
        </w:tc>
        <w:tc>
          <w:tcPr>
            <w:tcW w:w="1584" w:type="dxa"/>
            <w:vAlign w:val="center"/>
          </w:tcPr>
          <w:p w14:paraId="412031AE" w14:textId="77777777" w:rsidR="000D7882" w:rsidRPr="00803E29" w:rsidRDefault="000D7882" w:rsidP="00D26693">
            <w:pPr>
              <w:pStyle w:val="TableBodyText"/>
              <w:jc w:val="center"/>
              <w:cnfStyle w:val="000000100000" w:firstRow="0" w:lastRow="0" w:firstColumn="0" w:lastColumn="0" w:oddVBand="0" w:evenVBand="0" w:oddHBand="1" w:evenHBand="0" w:firstRowFirstColumn="0" w:firstRowLastColumn="0" w:lastRowFirstColumn="0" w:lastRowLastColumn="0"/>
              <w:rPr>
                <w:color w:val="auto"/>
              </w:rPr>
            </w:pPr>
            <w:r w:rsidRPr="00803E29">
              <w:rPr>
                <w:color w:val="auto"/>
              </w:rPr>
              <w:t>0.07%</w:t>
            </w:r>
          </w:p>
        </w:tc>
        <w:tc>
          <w:tcPr>
            <w:tcW w:w="1584" w:type="dxa"/>
            <w:vAlign w:val="center"/>
          </w:tcPr>
          <w:p w14:paraId="0B1EA706" w14:textId="77777777" w:rsidR="000D7882" w:rsidRPr="00803E29" w:rsidRDefault="000D7882" w:rsidP="00D26693">
            <w:pPr>
              <w:pStyle w:val="TableBodyText"/>
              <w:jc w:val="center"/>
              <w:cnfStyle w:val="000000100000" w:firstRow="0" w:lastRow="0" w:firstColumn="0" w:lastColumn="0" w:oddVBand="0" w:evenVBand="0" w:oddHBand="1" w:evenHBand="0" w:firstRowFirstColumn="0" w:firstRowLastColumn="0" w:lastRowFirstColumn="0" w:lastRowLastColumn="0"/>
              <w:rPr>
                <w:color w:val="auto"/>
              </w:rPr>
            </w:pPr>
            <w:r w:rsidRPr="00803E29">
              <w:rPr>
                <w:color w:val="auto"/>
              </w:rPr>
              <w:t>0.07%</w:t>
            </w:r>
          </w:p>
        </w:tc>
      </w:tr>
      <w:tr w:rsidR="00803E29" w:rsidRPr="00803E29" w14:paraId="6EB1BDF3" w14:textId="77777777" w:rsidTr="009D10E5">
        <w:trPr>
          <w:cantSplit/>
          <w:trHeight w:val="576"/>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672629DA" w14:textId="77777777" w:rsidR="000D7882" w:rsidRPr="00803E29" w:rsidRDefault="000D7882" w:rsidP="0041205C">
            <w:pPr>
              <w:pStyle w:val="TableCategoryText"/>
            </w:pPr>
            <w:r w:rsidRPr="00803E29">
              <w:t>Urdu</w:t>
            </w:r>
          </w:p>
        </w:tc>
        <w:tc>
          <w:tcPr>
            <w:tcW w:w="1584" w:type="dxa"/>
            <w:vAlign w:val="center"/>
          </w:tcPr>
          <w:p w14:paraId="3E20725A" w14:textId="77777777" w:rsidR="000D7882" w:rsidRPr="00803E29" w:rsidRDefault="000D7882" w:rsidP="00D26693">
            <w:pPr>
              <w:pStyle w:val="TableBodyText"/>
              <w:jc w:val="center"/>
              <w:cnfStyle w:val="000000000000" w:firstRow="0" w:lastRow="0" w:firstColumn="0" w:lastColumn="0" w:oddVBand="0" w:evenVBand="0" w:oddHBand="0" w:evenHBand="0" w:firstRowFirstColumn="0" w:firstRowLastColumn="0" w:lastRowFirstColumn="0" w:lastRowLastColumn="0"/>
              <w:rPr>
                <w:color w:val="auto"/>
              </w:rPr>
            </w:pPr>
            <w:r w:rsidRPr="00803E29">
              <w:rPr>
                <w:color w:val="auto"/>
              </w:rPr>
              <w:t>0.03%</w:t>
            </w:r>
          </w:p>
        </w:tc>
        <w:tc>
          <w:tcPr>
            <w:tcW w:w="1584" w:type="dxa"/>
            <w:vAlign w:val="center"/>
          </w:tcPr>
          <w:p w14:paraId="7DCFBE95" w14:textId="77777777" w:rsidR="000D7882" w:rsidRPr="00803E29" w:rsidRDefault="000D7882" w:rsidP="00D26693">
            <w:pPr>
              <w:pStyle w:val="TableBodyText"/>
              <w:jc w:val="center"/>
              <w:cnfStyle w:val="000000000000" w:firstRow="0" w:lastRow="0" w:firstColumn="0" w:lastColumn="0" w:oddVBand="0" w:evenVBand="0" w:oddHBand="0" w:evenHBand="0" w:firstRowFirstColumn="0" w:firstRowLastColumn="0" w:lastRowFirstColumn="0" w:lastRowLastColumn="0"/>
              <w:rPr>
                <w:color w:val="auto"/>
              </w:rPr>
            </w:pPr>
            <w:r w:rsidRPr="00803E29">
              <w:rPr>
                <w:color w:val="auto"/>
              </w:rPr>
              <w:t>0.06%</w:t>
            </w:r>
          </w:p>
        </w:tc>
        <w:tc>
          <w:tcPr>
            <w:tcW w:w="1584" w:type="dxa"/>
            <w:vAlign w:val="center"/>
          </w:tcPr>
          <w:p w14:paraId="25CF5CCE" w14:textId="77777777" w:rsidR="000D7882" w:rsidRPr="00803E29" w:rsidRDefault="000D7882" w:rsidP="00D26693">
            <w:pPr>
              <w:pStyle w:val="TableBodyText"/>
              <w:jc w:val="center"/>
              <w:cnfStyle w:val="000000000000" w:firstRow="0" w:lastRow="0" w:firstColumn="0" w:lastColumn="0" w:oddVBand="0" w:evenVBand="0" w:oddHBand="0" w:evenHBand="0" w:firstRowFirstColumn="0" w:firstRowLastColumn="0" w:lastRowFirstColumn="0" w:lastRowLastColumn="0"/>
              <w:rPr>
                <w:color w:val="auto"/>
              </w:rPr>
            </w:pPr>
            <w:r w:rsidRPr="00803E29">
              <w:rPr>
                <w:color w:val="auto"/>
              </w:rPr>
              <w:t>0.04%</w:t>
            </w:r>
          </w:p>
        </w:tc>
        <w:tc>
          <w:tcPr>
            <w:tcW w:w="1584" w:type="dxa"/>
            <w:vAlign w:val="center"/>
          </w:tcPr>
          <w:p w14:paraId="1F281C49" w14:textId="77777777" w:rsidR="000D7882" w:rsidRPr="00803E29" w:rsidRDefault="000D7882" w:rsidP="00D26693">
            <w:pPr>
              <w:pStyle w:val="TableBodyText"/>
              <w:jc w:val="center"/>
              <w:cnfStyle w:val="000000000000" w:firstRow="0" w:lastRow="0" w:firstColumn="0" w:lastColumn="0" w:oddVBand="0" w:evenVBand="0" w:oddHBand="0" w:evenHBand="0" w:firstRowFirstColumn="0" w:firstRowLastColumn="0" w:lastRowFirstColumn="0" w:lastRowLastColumn="0"/>
              <w:rPr>
                <w:color w:val="auto"/>
              </w:rPr>
            </w:pPr>
            <w:r w:rsidRPr="00803E29">
              <w:rPr>
                <w:color w:val="auto"/>
              </w:rPr>
              <w:t>0.04%</w:t>
            </w:r>
          </w:p>
        </w:tc>
        <w:tc>
          <w:tcPr>
            <w:tcW w:w="1584" w:type="dxa"/>
            <w:vAlign w:val="center"/>
          </w:tcPr>
          <w:p w14:paraId="60D1E101" w14:textId="77777777" w:rsidR="000D7882" w:rsidRPr="00803E29" w:rsidRDefault="000D7882" w:rsidP="00D26693">
            <w:pPr>
              <w:pStyle w:val="TableBodyText"/>
              <w:jc w:val="center"/>
              <w:cnfStyle w:val="000000000000" w:firstRow="0" w:lastRow="0" w:firstColumn="0" w:lastColumn="0" w:oddVBand="0" w:evenVBand="0" w:oddHBand="0" w:evenHBand="0" w:firstRowFirstColumn="0" w:firstRowLastColumn="0" w:lastRowFirstColumn="0" w:lastRowLastColumn="0"/>
              <w:rPr>
                <w:color w:val="auto"/>
              </w:rPr>
            </w:pPr>
            <w:r w:rsidRPr="00803E29">
              <w:rPr>
                <w:color w:val="auto"/>
              </w:rPr>
              <w:t>0.03%</w:t>
            </w:r>
          </w:p>
        </w:tc>
      </w:tr>
      <w:tr w:rsidR="00803E29" w:rsidRPr="00803E29" w14:paraId="2B1D2050" w14:textId="77777777" w:rsidTr="009D10E5">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33D10445" w14:textId="77777777" w:rsidR="000D7882" w:rsidRPr="00803E29" w:rsidRDefault="000D7882" w:rsidP="0041205C">
            <w:pPr>
              <w:pStyle w:val="TableCategoryText"/>
            </w:pPr>
            <w:r w:rsidRPr="00803E29">
              <w:t>Arabic</w:t>
            </w:r>
          </w:p>
        </w:tc>
        <w:tc>
          <w:tcPr>
            <w:tcW w:w="1584" w:type="dxa"/>
            <w:vAlign w:val="center"/>
          </w:tcPr>
          <w:p w14:paraId="749DA19B" w14:textId="77777777" w:rsidR="000D7882" w:rsidRPr="00803E29" w:rsidRDefault="000D7882" w:rsidP="00D26693">
            <w:pPr>
              <w:pStyle w:val="TableBodyText"/>
              <w:jc w:val="center"/>
              <w:cnfStyle w:val="000000100000" w:firstRow="0" w:lastRow="0" w:firstColumn="0" w:lastColumn="0" w:oddVBand="0" w:evenVBand="0" w:oddHBand="1" w:evenHBand="0" w:firstRowFirstColumn="0" w:firstRowLastColumn="0" w:lastRowFirstColumn="0" w:lastRowLastColumn="0"/>
              <w:rPr>
                <w:color w:val="auto"/>
              </w:rPr>
            </w:pPr>
            <w:r w:rsidRPr="00803E29">
              <w:rPr>
                <w:color w:val="auto"/>
              </w:rPr>
              <w:t>0.00%</w:t>
            </w:r>
          </w:p>
        </w:tc>
        <w:tc>
          <w:tcPr>
            <w:tcW w:w="1584" w:type="dxa"/>
            <w:vAlign w:val="center"/>
          </w:tcPr>
          <w:p w14:paraId="5E4DAFA4" w14:textId="77777777" w:rsidR="000D7882" w:rsidRPr="00803E29" w:rsidRDefault="000D7882" w:rsidP="00D26693">
            <w:pPr>
              <w:pStyle w:val="TableBodyText"/>
              <w:jc w:val="center"/>
              <w:cnfStyle w:val="000000100000" w:firstRow="0" w:lastRow="0" w:firstColumn="0" w:lastColumn="0" w:oddVBand="0" w:evenVBand="0" w:oddHBand="1" w:evenHBand="0" w:firstRowFirstColumn="0" w:firstRowLastColumn="0" w:lastRowFirstColumn="0" w:lastRowLastColumn="0"/>
              <w:rPr>
                <w:color w:val="auto"/>
              </w:rPr>
            </w:pPr>
            <w:r w:rsidRPr="00803E29">
              <w:rPr>
                <w:color w:val="auto"/>
              </w:rPr>
              <w:t>0.00%</w:t>
            </w:r>
          </w:p>
        </w:tc>
        <w:tc>
          <w:tcPr>
            <w:tcW w:w="1584" w:type="dxa"/>
            <w:vAlign w:val="center"/>
          </w:tcPr>
          <w:p w14:paraId="65581BFD" w14:textId="77777777" w:rsidR="000D7882" w:rsidRPr="00803E29" w:rsidRDefault="000D7882" w:rsidP="00D26693">
            <w:pPr>
              <w:pStyle w:val="TableBodyText"/>
              <w:jc w:val="center"/>
              <w:cnfStyle w:val="000000100000" w:firstRow="0" w:lastRow="0" w:firstColumn="0" w:lastColumn="0" w:oddVBand="0" w:evenVBand="0" w:oddHBand="1" w:evenHBand="0" w:firstRowFirstColumn="0" w:firstRowLastColumn="0" w:lastRowFirstColumn="0" w:lastRowLastColumn="0"/>
              <w:rPr>
                <w:color w:val="auto"/>
              </w:rPr>
            </w:pPr>
            <w:r w:rsidRPr="00803E29">
              <w:rPr>
                <w:color w:val="auto"/>
              </w:rPr>
              <w:t>0.00%</w:t>
            </w:r>
          </w:p>
        </w:tc>
        <w:tc>
          <w:tcPr>
            <w:tcW w:w="1584" w:type="dxa"/>
            <w:vAlign w:val="center"/>
          </w:tcPr>
          <w:p w14:paraId="0036AAF5" w14:textId="77777777" w:rsidR="000D7882" w:rsidRPr="00803E29" w:rsidRDefault="000D7882" w:rsidP="00D26693">
            <w:pPr>
              <w:pStyle w:val="TableBodyText"/>
              <w:jc w:val="center"/>
              <w:cnfStyle w:val="000000100000" w:firstRow="0" w:lastRow="0" w:firstColumn="0" w:lastColumn="0" w:oddVBand="0" w:evenVBand="0" w:oddHBand="1" w:evenHBand="0" w:firstRowFirstColumn="0" w:firstRowLastColumn="0" w:lastRowFirstColumn="0" w:lastRowLastColumn="0"/>
              <w:rPr>
                <w:color w:val="auto"/>
              </w:rPr>
            </w:pPr>
            <w:r w:rsidRPr="00803E29">
              <w:rPr>
                <w:color w:val="auto"/>
              </w:rPr>
              <w:t>0.01%</w:t>
            </w:r>
          </w:p>
        </w:tc>
        <w:tc>
          <w:tcPr>
            <w:tcW w:w="1584" w:type="dxa"/>
            <w:vAlign w:val="center"/>
          </w:tcPr>
          <w:p w14:paraId="4C4917A6" w14:textId="77777777" w:rsidR="000D7882" w:rsidRPr="00803E29" w:rsidRDefault="000D7882" w:rsidP="00D26693">
            <w:pPr>
              <w:pStyle w:val="TableBodyText"/>
              <w:jc w:val="center"/>
              <w:cnfStyle w:val="000000100000" w:firstRow="0" w:lastRow="0" w:firstColumn="0" w:lastColumn="0" w:oddVBand="0" w:evenVBand="0" w:oddHBand="1" w:evenHBand="0" w:firstRowFirstColumn="0" w:firstRowLastColumn="0" w:lastRowFirstColumn="0" w:lastRowLastColumn="0"/>
              <w:rPr>
                <w:color w:val="auto"/>
              </w:rPr>
            </w:pPr>
            <w:r w:rsidRPr="00803E29">
              <w:rPr>
                <w:color w:val="auto"/>
              </w:rPr>
              <w:t>0.01%</w:t>
            </w:r>
          </w:p>
        </w:tc>
      </w:tr>
      <w:tr w:rsidR="00803E29" w:rsidRPr="00803E29" w14:paraId="5C0917A4" w14:textId="77777777" w:rsidTr="009D10E5">
        <w:trPr>
          <w:cantSplit/>
          <w:trHeight w:val="576"/>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176D593C" w14:textId="77777777" w:rsidR="000D7882" w:rsidRPr="00803E29" w:rsidRDefault="000D7882" w:rsidP="0041205C">
            <w:pPr>
              <w:pStyle w:val="TableCategoryText"/>
            </w:pPr>
            <w:r w:rsidRPr="00803E29">
              <w:t>Ilocano</w:t>
            </w:r>
          </w:p>
        </w:tc>
        <w:tc>
          <w:tcPr>
            <w:tcW w:w="1584" w:type="dxa"/>
            <w:vAlign w:val="center"/>
          </w:tcPr>
          <w:p w14:paraId="590500CD" w14:textId="77777777" w:rsidR="000D7882" w:rsidRPr="00803E29" w:rsidRDefault="000D7882" w:rsidP="00D26693">
            <w:pPr>
              <w:pStyle w:val="TableBodyText"/>
              <w:jc w:val="center"/>
              <w:cnfStyle w:val="000000000000" w:firstRow="0" w:lastRow="0" w:firstColumn="0" w:lastColumn="0" w:oddVBand="0" w:evenVBand="0" w:oddHBand="0" w:evenHBand="0" w:firstRowFirstColumn="0" w:firstRowLastColumn="0" w:lastRowFirstColumn="0" w:lastRowLastColumn="0"/>
              <w:rPr>
                <w:color w:val="auto"/>
              </w:rPr>
            </w:pPr>
            <w:r w:rsidRPr="00803E29">
              <w:rPr>
                <w:color w:val="auto"/>
              </w:rPr>
              <w:t>0.06%</w:t>
            </w:r>
          </w:p>
        </w:tc>
        <w:tc>
          <w:tcPr>
            <w:tcW w:w="1584" w:type="dxa"/>
            <w:vAlign w:val="center"/>
          </w:tcPr>
          <w:p w14:paraId="2FFCA68B" w14:textId="77777777" w:rsidR="000D7882" w:rsidRPr="00803E29" w:rsidRDefault="000D7882" w:rsidP="00D26693">
            <w:pPr>
              <w:pStyle w:val="TableBodyText"/>
              <w:jc w:val="center"/>
              <w:cnfStyle w:val="000000000000" w:firstRow="0" w:lastRow="0" w:firstColumn="0" w:lastColumn="0" w:oddVBand="0" w:evenVBand="0" w:oddHBand="0" w:evenHBand="0" w:firstRowFirstColumn="0" w:firstRowLastColumn="0" w:lastRowFirstColumn="0" w:lastRowLastColumn="0"/>
              <w:rPr>
                <w:color w:val="auto"/>
              </w:rPr>
            </w:pPr>
            <w:r w:rsidRPr="00803E29">
              <w:rPr>
                <w:color w:val="auto"/>
              </w:rPr>
              <w:t>0.02%</w:t>
            </w:r>
          </w:p>
        </w:tc>
        <w:tc>
          <w:tcPr>
            <w:tcW w:w="1584" w:type="dxa"/>
            <w:vAlign w:val="center"/>
          </w:tcPr>
          <w:p w14:paraId="0A8DF5D2" w14:textId="77777777" w:rsidR="000D7882" w:rsidRPr="00803E29" w:rsidRDefault="000D7882" w:rsidP="00D26693">
            <w:pPr>
              <w:pStyle w:val="TableBodyText"/>
              <w:jc w:val="center"/>
              <w:cnfStyle w:val="000000000000" w:firstRow="0" w:lastRow="0" w:firstColumn="0" w:lastColumn="0" w:oddVBand="0" w:evenVBand="0" w:oddHBand="0" w:evenHBand="0" w:firstRowFirstColumn="0" w:firstRowLastColumn="0" w:lastRowFirstColumn="0" w:lastRowLastColumn="0"/>
              <w:rPr>
                <w:color w:val="auto"/>
              </w:rPr>
            </w:pPr>
            <w:r w:rsidRPr="00803E29">
              <w:rPr>
                <w:color w:val="auto"/>
              </w:rPr>
              <w:t>0.00%</w:t>
            </w:r>
          </w:p>
        </w:tc>
        <w:tc>
          <w:tcPr>
            <w:tcW w:w="1584" w:type="dxa"/>
            <w:vAlign w:val="center"/>
          </w:tcPr>
          <w:p w14:paraId="031C2C2B" w14:textId="77777777" w:rsidR="000D7882" w:rsidRPr="00803E29" w:rsidRDefault="000D7882" w:rsidP="00D26693">
            <w:pPr>
              <w:pStyle w:val="TableBodyText"/>
              <w:jc w:val="center"/>
              <w:cnfStyle w:val="000000000000" w:firstRow="0" w:lastRow="0" w:firstColumn="0" w:lastColumn="0" w:oddVBand="0" w:evenVBand="0" w:oddHBand="0" w:evenHBand="0" w:firstRowFirstColumn="0" w:firstRowLastColumn="0" w:lastRowFirstColumn="0" w:lastRowLastColumn="0"/>
              <w:rPr>
                <w:color w:val="auto"/>
              </w:rPr>
            </w:pPr>
            <w:r w:rsidRPr="00803E29">
              <w:rPr>
                <w:color w:val="auto"/>
              </w:rPr>
              <w:t>0.01%</w:t>
            </w:r>
          </w:p>
        </w:tc>
        <w:tc>
          <w:tcPr>
            <w:tcW w:w="1584" w:type="dxa"/>
            <w:vAlign w:val="center"/>
          </w:tcPr>
          <w:p w14:paraId="6AD72DE8" w14:textId="77777777" w:rsidR="000D7882" w:rsidRPr="00803E29" w:rsidRDefault="000D7882" w:rsidP="00D26693">
            <w:pPr>
              <w:pStyle w:val="TableBodyText"/>
              <w:jc w:val="center"/>
              <w:cnfStyle w:val="000000000000" w:firstRow="0" w:lastRow="0" w:firstColumn="0" w:lastColumn="0" w:oddVBand="0" w:evenVBand="0" w:oddHBand="0" w:evenHBand="0" w:firstRowFirstColumn="0" w:firstRowLastColumn="0" w:lastRowFirstColumn="0" w:lastRowLastColumn="0"/>
              <w:rPr>
                <w:color w:val="auto"/>
              </w:rPr>
            </w:pPr>
            <w:r w:rsidRPr="00803E29">
              <w:rPr>
                <w:color w:val="auto"/>
              </w:rPr>
              <w:t>0.01%</w:t>
            </w:r>
          </w:p>
        </w:tc>
      </w:tr>
    </w:tbl>
    <w:p w14:paraId="63DCD0CF" w14:textId="2D9B16C2" w:rsidR="000D7882" w:rsidRPr="00F55385" w:rsidRDefault="000D7882" w:rsidP="00CF280A">
      <w:pPr>
        <w:pStyle w:val="TableorFiguresNotesSourcesline1"/>
        <w:rPr>
          <w:color w:val="auto"/>
        </w:rPr>
      </w:pPr>
      <w:r w:rsidRPr="00F55385">
        <w:rPr>
          <w:color w:val="auto"/>
        </w:rPr>
        <w:t xml:space="preserve">Note: This </w:t>
      </w:r>
      <w:r w:rsidR="00194648">
        <w:rPr>
          <w:color w:val="auto"/>
        </w:rPr>
        <w:t>table</w:t>
      </w:r>
      <w:r w:rsidRPr="00F55385">
        <w:rPr>
          <w:color w:val="auto"/>
        </w:rPr>
        <w:t xml:space="preserve"> includes home languages that represented at least 0.01 percent of migratory students in </w:t>
      </w:r>
      <w:r w:rsidR="006E4E6A">
        <w:rPr>
          <w:color w:val="auto"/>
        </w:rPr>
        <w:t>SY</w:t>
      </w:r>
      <w:r w:rsidRPr="00F55385">
        <w:rPr>
          <w:color w:val="auto"/>
        </w:rPr>
        <w:t xml:space="preserve"> 2021–22. Reported languages with percentage distributions less than 0.01 percent in that program year included Cebuano (Visayan), Vietnamese, Portuguese, Serbo-Croatian (Bosnian, Croatian, Serbian), and other non-English languages that were not specified. </w:t>
      </w:r>
    </w:p>
    <w:p w14:paraId="2943740F" w14:textId="77777777" w:rsidR="000D7882" w:rsidRPr="002A43FC" w:rsidRDefault="000D7882" w:rsidP="00CF280A">
      <w:pPr>
        <w:pStyle w:val="TableorFiguresNotesSources"/>
        <w:rPr>
          <w:color w:val="3E535F"/>
        </w:rPr>
      </w:pPr>
      <w:r w:rsidRPr="00F55385">
        <w:rPr>
          <w:color w:val="auto"/>
        </w:rPr>
        <w:t>Source:</w:t>
      </w:r>
      <w:r w:rsidRPr="4E47A80C">
        <w:t xml:space="preserve"> </w:t>
      </w:r>
      <w:hyperlink r:id="rId23" w:history="1">
        <w:r w:rsidRPr="00F81252">
          <w:rPr>
            <w:rStyle w:val="Hyperlink"/>
          </w:rPr>
          <w:t>CDE DataQuest, English Learner Students by Language by Grade</w:t>
        </w:r>
      </w:hyperlink>
      <w:r w:rsidRPr="4E47A80C">
        <w:t>,</w:t>
      </w:r>
      <w:r w:rsidRPr="00C13472">
        <w:rPr>
          <w:szCs w:val="24"/>
        </w:rPr>
        <w:t xml:space="preserve"> </w:t>
      </w:r>
      <w:r w:rsidRPr="00F55385">
        <w:rPr>
          <w:color w:val="auto"/>
        </w:rPr>
        <w:t>accessed October 26, 2023</w:t>
      </w:r>
      <w:r w:rsidRPr="00F55385">
        <w:rPr>
          <w:color w:val="auto"/>
          <w:szCs w:val="24"/>
        </w:rPr>
        <w:t>.</w:t>
      </w:r>
    </w:p>
    <w:p w14:paraId="1BC83BA4" w14:textId="77777777" w:rsidR="000D7882" w:rsidRDefault="000D7882" w:rsidP="00CF280A">
      <w:pPr>
        <w:pStyle w:val="Heading4"/>
      </w:pPr>
      <w:bookmarkStart w:id="62" w:name="Demographics_Students_with_Disabilities"/>
      <w:bookmarkStart w:id="63" w:name="_Toc163813423"/>
      <w:r w:rsidRPr="000C11B2">
        <w:t>Students with Disabilities</w:t>
      </w:r>
      <w:bookmarkEnd w:id="62"/>
      <w:bookmarkEnd w:id="63"/>
    </w:p>
    <w:p w14:paraId="6BA4D466" w14:textId="7D0E4763" w:rsidR="000D7882" w:rsidRPr="00F55385" w:rsidRDefault="000D7882" w:rsidP="00B1476B">
      <w:pPr>
        <w:pStyle w:val="Paragraph"/>
        <w:spacing w:line="240" w:lineRule="auto"/>
        <w:rPr>
          <w:noProof w:val="0"/>
          <w:color w:val="auto"/>
        </w:rPr>
      </w:pPr>
      <w:r w:rsidRPr="00F55385">
        <w:rPr>
          <w:noProof w:val="0"/>
          <w:color w:val="auto"/>
        </w:rPr>
        <w:t xml:space="preserve">During SY 2022–23, 11.2 percent of migratory students in </w:t>
      </w:r>
      <w:r w:rsidR="00E8700C">
        <w:rPr>
          <w:noProof w:val="0"/>
          <w:color w:val="auto"/>
        </w:rPr>
        <w:t>K–12</w:t>
      </w:r>
      <w:r w:rsidRPr="00F55385">
        <w:rPr>
          <w:noProof w:val="0"/>
          <w:color w:val="auto"/>
        </w:rPr>
        <w:t xml:space="preserve"> received special education program services. This percentage is below the statewide percentage of all California students (13.6 percent) who received these services. The percentage varied by grade span, ranging from 10.5 percent of migratory students in kindergarten through grade three to 11.7 percent of migratory students in grades four through six.</w:t>
      </w:r>
    </w:p>
    <w:p w14:paraId="2D753462" w14:textId="7264EE66" w:rsidR="000D7882" w:rsidRPr="00F55385" w:rsidRDefault="003E3C7B" w:rsidP="00B1476B">
      <w:pPr>
        <w:pStyle w:val="Paragraph"/>
        <w:spacing w:line="240" w:lineRule="auto"/>
        <w:rPr>
          <w:noProof w:val="0"/>
          <w:color w:val="auto"/>
        </w:rPr>
      </w:pPr>
      <w:r>
        <w:rPr>
          <w:noProof w:val="0"/>
          <w:color w:val="auto"/>
        </w:rPr>
        <w:t>Figure 7</w:t>
      </w:r>
      <w:r w:rsidR="000D7882" w:rsidRPr="00F55385">
        <w:rPr>
          <w:noProof w:val="0"/>
          <w:color w:val="auto"/>
        </w:rPr>
        <w:t xml:space="preserve"> compares the percentage of migratory students with disabilities to that of all students by grade span during SY 2022–23</w:t>
      </w:r>
      <w:r w:rsidR="00DA0A2B">
        <w:rPr>
          <w:noProof w:val="0"/>
          <w:color w:val="auto"/>
        </w:rPr>
        <w:t>; table 9 shows the same data in table form</w:t>
      </w:r>
      <w:r w:rsidR="000D7882" w:rsidRPr="00F55385">
        <w:rPr>
          <w:noProof w:val="0"/>
          <w:color w:val="auto"/>
        </w:rPr>
        <w:t>.</w:t>
      </w:r>
    </w:p>
    <w:p w14:paraId="6DA618E4" w14:textId="77777777" w:rsidR="00803E29" w:rsidRDefault="00803E29" w:rsidP="00CF280A">
      <w:pPr>
        <w:rPr>
          <w:rFonts w:eastAsiaTheme="minorEastAsia" w:cstheme="minorBidi"/>
          <w:bCs/>
          <w:noProof/>
          <w:color w:val="4472C4" w:themeColor="accent5"/>
          <w:szCs w:val="18"/>
          <w:lang w:eastAsia="zh-CN"/>
        </w:rPr>
      </w:pPr>
      <w:bookmarkStart w:id="64" w:name="Ex09"/>
      <w:bookmarkStart w:id="65" w:name="_Toc159782320"/>
      <w:bookmarkStart w:id="66" w:name="_Toc163813508"/>
      <w:r>
        <w:br w:type="page"/>
      </w:r>
    </w:p>
    <w:p w14:paraId="046759AA" w14:textId="6D63A95F" w:rsidR="000D7882" w:rsidRPr="00D04DC5" w:rsidRDefault="00DA0A2B" w:rsidP="00792C07">
      <w:pPr>
        <w:pStyle w:val="Heading5"/>
      </w:pPr>
      <w:bookmarkStart w:id="67" w:name="_Toc188030506"/>
      <w:bookmarkEnd w:id="64"/>
      <w:bookmarkEnd w:id="65"/>
      <w:bookmarkEnd w:id="66"/>
      <w:r w:rsidRPr="00D04DC5">
        <w:lastRenderedPageBreak/>
        <w:t xml:space="preserve">Figure </w:t>
      </w:r>
      <w:fldSimple w:instr=" SEQ Figure \* ARABIC ">
        <w:r w:rsidR="00AB15FE" w:rsidRPr="00D04DC5">
          <w:rPr>
            <w:noProof/>
          </w:rPr>
          <w:t>7</w:t>
        </w:r>
      </w:fldSimple>
      <w:r w:rsidRPr="00D04DC5">
        <w:t>. Percentage of Migratory Students and All Students Who Have a Disability, by Grade Span, School Year 2022–23</w:t>
      </w:r>
      <w:bookmarkEnd w:id="67"/>
    </w:p>
    <w:p w14:paraId="740B545B" w14:textId="71B00EFB" w:rsidR="003E3C7B" w:rsidRPr="003E3C7B" w:rsidRDefault="003E3C7B" w:rsidP="003E3C7B">
      <w:pPr>
        <w:rPr>
          <w:lang w:eastAsia="zh-CN"/>
        </w:rPr>
      </w:pPr>
      <w:r>
        <w:rPr>
          <w:noProof/>
        </w:rPr>
        <w:drawing>
          <wp:inline distT="0" distB="0" distL="0" distR="0" wp14:anchorId="0A3BB0FE" wp14:editId="4012A8E4">
            <wp:extent cx="5943600" cy="4880610"/>
            <wp:effectExtent l="0" t="0" r="0" b="0"/>
            <wp:docPr id="1923420896" name="Chart 1" descr="Horizontal bar chart of migratory and all students with a disability, by grade group, 2022–23. Table 9 presents this information in table form.">
              <a:extLst xmlns:a="http://schemas.openxmlformats.org/drawingml/2006/main">
                <a:ext uri="{FF2B5EF4-FFF2-40B4-BE49-F238E27FC236}">
                  <a16:creationId xmlns:a16="http://schemas.microsoft.com/office/drawing/2014/main" id="{B6B287EA-51F3-DA4A-A82C-346167A209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E01FF11" w14:textId="4CE9E077" w:rsidR="00803E29" w:rsidRDefault="00803E29" w:rsidP="00CF280A">
      <w:pPr>
        <w:pStyle w:val="TableorFiguresNotesSources"/>
        <w:spacing w:after="240" w:line="240" w:lineRule="auto"/>
        <w:rPr>
          <w:color w:val="auto"/>
          <w:szCs w:val="24"/>
        </w:rPr>
      </w:pPr>
      <w:r w:rsidRPr="00F55385">
        <w:rPr>
          <w:color w:val="auto"/>
        </w:rPr>
        <w:t xml:space="preserve">Source: The MSIN </w:t>
      </w:r>
      <w:r w:rsidR="009E352E">
        <w:rPr>
          <w:color w:val="auto"/>
        </w:rPr>
        <w:t>databases</w:t>
      </w:r>
      <w:r w:rsidRPr="00F55385">
        <w:rPr>
          <w:color w:val="auto"/>
        </w:rPr>
        <w:t xml:space="preserve"> for the MEP,</w:t>
      </w:r>
      <w:r w:rsidR="00D1613E">
        <w:rPr>
          <w:color w:val="auto"/>
        </w:rPr>
        <w:t xml:space="preserve"> SY</w:t>
      </w:r>
      <w:r w:rsidRPr="00F55385">
        <w:rPr>
          <w:color w:val="auto"/>
        </w:rPr>
        <w:t xml:space="preserve"> 2022–23; CDE DataQuest, 2022–23 </w:t>
      </w:r>
      <w:hyperlink r:id="rId25" w:history="1">
        <w:r w:rsidRPr="00F81252">
          <w:rPr>
            <w:rStyle w:val="Hyperlink"/>
          </w:rPr>
          <w:t>Special Education Enrollment by Program Setting Report</w:t>
        </w:r>
      </w:hyperlink>
      <w:r w:rsidRPr="00FE674B">
        <w:t xml:space="preserve">, </w:t>
      </w:r>
      <w:r w:rsidRPr="00F55385">
        <w:rPr>
          <w:color w:val="auto"/>
        </w:rPr>
        <w:t>accessed January 26, 2023</w:t>
      </w:r>
      <w:r w:rsidRPr="00F55385">
        <w:rPr>
          <w:color w:val="auto"/>
          <w:szCs w:val="24"/>
        </w:rPr>
        <w:t xml:space="preserve">. </w:t>
      </w:r>
    </w:p>
    <w:p w14:paraId="47C5B150" w14:textId="7D73E71B" w:rsidR="003E3C7B" w:rsidRDefault="003E3C7B">
      <w:pPr>
        <w:rPr>
          <w:rFonts w:eastAsiaTheme="minorEastAsia" w:cstheme="minorBidi"/>
          <w:b/>
          <w:bCs/>
          <w:noProof/>
          <w:color w:val="002060"/>
          <w:lang w:eastAsia="zh-CN"/>
        </w:rPr>
      </w:pPr>
      <w:bookmarkStart w:id="68" w:name="_Toc160787183"/>
      <w:r>
        <w:rPr>
          <w:color w:val="002060"/>
        </w:rPr>
        <w:br w:type="page"/>
      </w:r>
    </w:p>
    <w:p w14:paraId="1BD68FBC" w14:textId="5C861143" w:rsidR="00DA0A2B" w:rsidRPr="00DA0A2B" w:rsidRDefault="003E3C7B" w:rsidP="00792C07">
      <w:pPr>
        <w:pStyle w:val="Heading5"/>
      </w:pPr>
      <w:bookmarkStart w:id="69" w:name="_Toc188030574"/>
      <w:r w:rsidRPr="00DA0A2B">
        <w:lastRenderedPageBreak/>
        <w:t xml:space="preserve">Table </w:t>
      </w:r>
      <w:bookmarkEnd w:id="68"/>
      <w:r w:rsidR="00DA0A2B" w:rsidRPr="00DA0A2B">
        <w:fldChar w:fldCharType="begin"/>
      </w:r>
      <w:r w:rsidR="00DA0A2B" w:rsidRPr="00DA0A2B">
        <w:instrText xml:space="preserve"> SEQ Table \* ARABIC </w:instrText>
      </w:r>
      <w:r w:rsidR="00DA0A2B" w:rsidRPr="00DA0A2B">
        <w:fldChar w:fldCharType="separate"/>
      </w:r>
      <w:r w:rsidR="00D04DC5">
        <w:t>9</w:t>
      </w:r>
      <w:r w:rsidR="00DA0A2B" w:rsidRPr="00DA0A2B">
        <w:fldChar w:fldCharType="end"/>
      </w:r>
      <w:r w:rsidR="00DA0A2B" w:rsidRPr="00DA0A2B">
        <w:t>. Percent</w:t>
      </w:r>
      <w:r w:rsidR="00DA0A2B" w:rsidRPr="00D04DC5">
        <w:t>age of Migratory Students and All Students Who Have a Disability, by Grade Span, Sch</w:t>
      </w:r>
      <w:r w:rsidR="00DA0A2B" w:rsidRPr="00DA0A2B">
        <w:t>ool Year 2022–23</w:t>
      </w:r>
      <w:bookmarkEnd w:id="69"/>
    </w:p>
    <w:tbl>
      <w:tblPr>
        <w:tblStyle w:val="ListTable3-Accent5"/>
        <w:tblW w:w="0" w:type="auto"/>
        <w:tblLayout w:type="fixed"/>
        <w:tblCellMar>
          <w:right w:w="108" w:type="dxa"/>
        </w:tblCellMar>
        <w:tblLook w:val="04A0" w:firstRow="1" w:lastRow="0" w:firstColumn="1" w:lastColumn="0" w:noHBand="0" w:noVBand="1"/>
      </w:tblPr>
      <w:tblGrid>
        <w:gridCol w:w="3125"/>
        <w:gridCol w:w="3125"/>
        <w:gridCol w:w="3125"/>
      </w:tblGrid>
      <w:tr w:rsidR="00AE2225" w:rsidRPr="00D20A84" w14:paraId="279780B1" w14:textId="77777777" w:rsidTr="009E56F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125" w:type="dxa"/>
          </w:tcPr>
          <w:p w14:paraId="0F9C88FD" w14:textId="77777777" w:rsidR="00AE2225" w:rsidRPr="00D20A84" w:rsidRDefault="00AE2225" w:rsidP="009E56F2">
            <w:pPr>
              <w:pStyle w:val="TableHeaderRow"/>
              <w:keepNext/>
            </w:pPr>
            <w:r>
              <w:t>Grades</w:t>
            </w:r>
          </w:p>
        </w:tc>
        <w:tc>
          <w:tcPr>
            <w:tcW w:w="3125" w:type="dxa"/>
          </w:tcPr>
          <w:p w14:paraId="034016A0" w14:textId="77777777" w:rsidR="00AE2225" w:rsidRDefault="00AE2225" w:rsidP="009E56F2">
            <w:pPr>
              <w:pStyle w:val="TableHeaderRow"/>
              <w:keepNext/>
              <w:cnfStyle w:val="100000000000" w:firstRow="1" w:lastRow="0" w:firstColumn="0" w:lastColumn="0" w:oddVBand="0" w:evenVBand="0" w:oddHBand="0" w:evenHBand="0" w:firstRowFirstColumn="0" w:firstRowLastColumn="0" w:lastRowFirstColumn="0" w:lastRowLastColumn="0"/>
              <w:rPr>
                <w:b w:val="0"/>
                <w:bCs/>
              </w:rPr>
            </w:pPr>
            <w:r w:rsidRPr="00D20A84">
              <w:t>Migratory Students</w:t>
            </w:r>
          </w:p>
          <w:p w14:paraId="4CB09AE4" w14:textId="77777777" w:rsidR="00AE2225" w:rsidRPr="00D20A84" w:rsidRDefault="00AE2225" w:rsidP="009E56F2">
            <w:pPr>
              <w:pStyle w:val="TableHeaderRow"/>
              <w:keepNext/>
              <w:cnfStyle w:val="100000000000" w:firstRow="1" w:lastRow="0" w:firstColumn="0" w:lastColumn="0" w:oddVBand="0" w:evenVBand="0" w:oddHBand="0" w:evenHBand="0" w:firstRowFirstColumn="0" w:firstRowLastColumn="0" w:lastRowFirstColumn="0" w:lastRowLastColumn="0"/>
            </w:pPr>
            <w:r w:rsidRPr="00D20A84">
              <w:t>(N=</w:t>
            </w:r>
            <w:r>
              <w:t>59,190</w:t>
            </w:r>
            <w:r w:rsidRPr="00D20A84">
              <w:t>)</w:t>
            </w:r>
          </w:p>
        </w:tc>
        <w:tc>
          <w:tcPr>
            <w:tcW w:w="3125" w:type="dxa"/>
          </w:tcPr>
          <w:p w14:paraId="2E330176" w14:textId="77777777" w:rsidR="00AE2225" w:rsidRDefault="00AE2225" w:rsidP="009E56F2">
            <w:pPr>
              <w:pStyle w:val="TableHeaderRow"/>
              <w:keepNext/>
              <w:cnfStyle w:val="100000000000" w:firstRow="1" w:lastRow="0" w:firstColumn="0" w:lastColumn="0" w:oddVBand="0" w:evenVBand="0" w:oddHBand="0" w:evenHBand="0" w:firstRowFirstColumn="0" w:firstRowLastColumn="0" w:lastRowFirstColumn="0" w:lastRowLastColumn="0"/>
              <w:rPr>
                <w:b w:val="0"/>
                <w:bCs/>
              </w:rPr>
            </w:pPr>
            <w:r w:rsidRPr="00D20A84">
              <w:t>All Students</w:t>
            </w:r>
          </w:p>
          <w:p w14:paraId="75CBD42C" w14:textId="77777777" w:rsidR="00AE2225" w:rsidRPr="00D20A84" w:rsidRDefault="00AE2225" w:rsidP="009E56F2">
            <w:pPr>
              <w:pStyle w:val="TableHeaderRow"/>
              <w:keepNext/>
              <w:cnfStyle w:val="100000000000" w:firstRow="1" w:lastRow="0" w:firstColumn="0" w:lastColumn="0" w:oddVBand="0" w:evenVBand="0" w:oddHBand="0" w:evenHBand="0" w:firstRowFirstColumn="0" w:firstRowLastColumn="0" w:lastRowFirstColumn="0" w:lastRowLastColumn="0"/>
            </w:pPr>
            <w:r w:rsidRPr="00D20A84">
              <w:t>(N=5,</w:t>
            </w:r>
            <w:r>
              <w:t>852,544</w:t>
            </w:r>
            <w:r w:rsidRPr="00D20A84">
              <w:t>)</w:t>
            </w:r>
          </w:p>
        </w:tc>
      </w:tr>
      <w:tr w:rsidR="00AE2225" w:rsidRPr="000C11B2" w14:paraId="10632135" w14:textId="77777777" w:rsidTr="00AE22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25" w:type="dxa"/>
            <w:shd w:val="clear" w:color="auto" w:fill="BDD6EE" w:themeFill="accent1" w:themeFillTint="66"/>
          </w:tcPr>
          <w:p w14:paraId="7A30BE92" w14:textId="77777777" w:rsidR="00AE2225" w:rsidRPr="00D20A84" w:rsidRDefault="00AE2225" w:rsidP="0041205C">
            <w:pPr>
              <w:pStyle w:val="TableCategoryText"/>
            </w:pPr>
            <w:r w:rsidRPr="009A220A">
              <w:t>K–3</w:t>
            </w:r>
          </w:p>
        </w:tc>
        <w:tc>
          <w:tcPr>
            <w:tcW w:w="3125" w:type="dxa"/>
            <w:shd w:val="clear" w:color="auto" w:fill="D9E2F3" w:themeFill="accent5" w:themeFillTint="33"/>
          </w:tcPr>
          <w:p w14:paraId="3B0BD0B0" w14:textId="77777777" w:rsidR="00AE2225" w:rsidRPr="0041205C" w:rsidRDefault="00AE2225"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10.5%</w:t>
            </w:r>
          </w:p>
        </w:tc>
        <w:tc>
          <w:tcPr>
            <w:tcW w:w="3125" w:type="dxa"/>
            <w:shd w:val="clear" w:color="auto" w:fill="D9E2F3" w:themeFill="accent5" w:themeFillTint="33"/>
          </w:tcPr>
          <w:p w14:paraId="4F51CE46" w14:textId="77777777" w:rsidR="00AE2225" w:rsidRPr="0041205C" w:rsidRDefault="00AE2225"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13.5%</w:t>
            </w:r>
          </w:p>
        </w:tc>
      </w:tr>
      <w:tr w:rsidR="00AE2225" w:rsidRPr="000C11B2" w14:paraId="007B94A0" w14:textId="77777777" w:rsidTr="00AE222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25" w:type="dxa"/>
            <w:shd w:val="clear" w:color="auto" w:fill="BDD6EE" w:themeFill="accent1" w:themeFillTint="66"/>
          </w:tcPr>
          <w:p w14:paraId="45FDB68F" w14:textId="77777777" w:rsidR="00AE2225" w:rsidRPr="00D20A84" w:rsidRDefault="00AE2225" w:rsidP="0041205C">
            <w:pPr>
              <w:pStyle w:val="TableCategoryText"/>
            </w:pPr>
            <w:r w:rsidRPr="009A220A">
              <w:t>4–6</w:t>
            </w:r>
          </w:p>
        </w:tc>
        <w:tc>
          <w:tcPr>
            <w:tcW w:w="3125" w:type="dxa"/>
            <w:shd w:val="clear" w:color="auto" w:fill="D9E2F3" w:themeFill="accent5" w:themeFillTint="33"/>
          </w:tcPr>
          <w:p w14:paraId="315170A7" w14:textId="77777777" w:rsidR="00AE2225" w:rsidRPr="0041205C" w:rsidRDefault="00AE2225"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11.7%</w:t>
            </w:r>
          </w:p>
        </w:tc>
        <w:tc>
          <w:tcPr>
            <w:tcW w:w="3125" w:type="dxa"/>
            <w:shd w:val="clear" w:color="auto" w:fill="D9E2F3" w:themeFill="accent5" w:themeFillTint="33"/>
          </w:tcPr>
          <w:p w14:paraId="1C5B954E" w14:textId="77777777" w:rsidR="00AE2225" w:rsidRPr="0041205C" w:rsidRDefault="00AE2225"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13.8%</w:t>
            </w:r>
          </w:p>
        </w:tc>
      </w:tr>
      <w:tr w:rsidR="00AE2225" w:rsidRPr="000C11B2" w14:paraId="31E62BA1" w14:textId="77777777" w:rsidTr="00AE22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25" w:type="dxa"/>
            <w:shd w:val="clear" w:color="auto" w:fill="BDD6EE" w:themeFill="accent1" w:themeFillTint="66"/>
          </w:tcPr>
          <w:p w14:paraId="200175F3" w14:textId="77777777" w:rsidR="00AE2225" w:rsidRPr="00D20A84" w:rsidRDefault="00AE2225" w:rsidP="0041205C">
            <w:pPr>
              <w:pStyle w:val="TableCategoryText"/>
            </w:pPr>
            <w:r w:rsidRPr="009A220A">
              <w:t>7–8</w:t>
            </w:r>
          </w:p>
        </w:tc>
        <w:tc>
          <w:tcPr>
            <w:tcW w:w="3125" w:type="dxa"/>
            <w:shd w:val="clear" w:color="auto" w:fill="D9E2F3" w:themeFill="accent5" w:themeFillTint="33"/>
          </w:tcPr>
          <w:p w14:paraId="7316AB1D" w14:textId="77777777" w:rsidR="00AE2225" w:rsidRPr="0041205C" w:rsidRDefault="00AE2225"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11.5%</w:t>
            </w:r>
          </w:p>
        </w:tc>
        <w:tc>
          <w:tcPr>
            <w:tcW w:w="3125" w:type="dxa"/>
            <w:shd w:val="clear" w:color="auto" w:fill="D9E2F3" w:themeFill="accent5" w:themeFillTint="33"/>
          </w:tcPr>
          <w:p w14:paraId="47AF79F3" w14:textId="77777777" w:rsidR="00AE2225" w:rsidRPr="0041205C" w:rsidRDefault="00AE2225"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13.6%</w:t>
            </w:r>
          </w:p>
        </w:tc>
      </w:tr>
      <w:tr w:rsidR="00AE2225" w:rsidRPr="000C11B2" w14:paraId="57EC93C5" w14:textId="77777777" w:rsidTr="00AE222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25" w:type="dxa"/>
            <w:shd w:val="clear" w:color="auto" w:fill="BDD6EE" w:themeFill="accent1" w:themeFillTint="66"/>
          </w:tcPr>
          <w:p w14:paraId="66249CD9" w14:textId="77777777" w:rsidR="00AE2225" w:rsidRPr="00D20A84" w:rsidRDefault="00AE2225" w:rsidP="0041205C">
            <w:pPr>
              <w:pStyle w:val="TableCategoryText"/>
            </w:pPr>
            <w:r w:rsidRPr="009A220A">
              <w:t>9–12</w:t>
            </w:r>
          </w:p>
        </w:tc>
        <w:tc>
          <w:tcPr>
            <w:tcW w:w="3125" w:type="dxa"/>
            <w:shd w:val="clear" w:color="auto" w:fill="D9E2F3" w:themeFill="accent5" w:themeFillTint="33"/>
          </w:tcPr>
          <w:p w14:paraId="25A2171C" w14:textId="77777777" w:rsidR="00AE2225" w:rsidRPr="0041205C" w:rsidRDefault="00AE2225"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11.3%</w:t>
            </w:r>
          </w:p>
        </w:tc>
        <w:tc>
          <w:tcPr>
            <w:tcW w:w="3125" w:type="dxa"/>
            <w:shd w:val="clear" w:color="auto" w:fill="D9E2F3" w:themeFill="accent5" w:themeFillTint="33"/>
          </w:tcPr>
          <w:p w14:paraId="565D64B0" w14:textId="77777777" w:rsidR="00AE2225" w:rsidRPr="0041205C" w:rsidRDefault="00AE2225"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13.5%</w:t>
            </w:r>
          </w:p>
        </w:tc>
      </w:tr>
      <w:tr w:rsidR="00AE2225" w:rsidRPr="000C11B2" w14:paraId="6C226CAE" w14:textId="77777777" w:rsidTr="00AE22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25" w:type="dxa"/>
            <w:shd w:val="clear" w:color="auto" w:fill="BDD6EE" w:themeFill="accent1" w:themeFillTint="66"/>
          </w:tcPr>
          <w:p w14:paraId="29EDD29F" w14:textId="77777777" w:rsidR="00AE2225" w:rsidRPr="00D20A84" w:rsidRDefault="00AE2225" w:rsidP="0041205C">
            <w:pPr>
              <w:pStyle w:val="TableCategoryText"/>
            </w:pPr>
            <w:r w:rsidRPr="009A220A">
              <w:t>K–12</w:t>
            </w:r>
          </w:p>
        </w:tc>
        <w:tc>
          <w:tcPr>
            <w:tcW w:w="3125" w:type="dxa"/>
            <w:shd w:val="clear" w:color="auto" w:fill="D9E2F3" w:themeFill="accent5" w:themeFillTint="33"/>
          </w:tcPr>
          <w:p w14:paraId="23B5E060" w14:textId="77777777" w:rsidR="00AE2225" w:rsidRPr="0041205C" w:rsidRDefault="00AE2225"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11.2%</w:t>
            </w:r>
          </w:p>
        </w:tc>
        <w:tc>
          <w:tcPr>
            <w:tcW w:w="3125" w:type="dxa"/>
            <w:shd w:val="clear" w:color="auto" w:fill="D9E2F3" w:themeFill="accent5" w:themeFillTint="33"/>
          </w:tcPr>
          <w:p w14:paraId="136D88B6" w14:textId="77777777" w:rsidR="00AE2225" w:rsidRPr="0041205C" w:rsidRDefault="00AE2225"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13.6%</w:t>
            </w:r>
          </w:p>
        </w:tc>
      </w:tr>
    </w:tbl>
    <w:p w14:paraId="3B81F3C4" w14:textId="2A54AC4E" w:rsidR="00AE2225" w:rsidRPr="00FE674B" w:rsidRDefault="00AE2225" w:rsidP="00CF280A">
      <w:pPr>
        <w:pStyle w:val="TableorFiguresNotesSources"/>
        <w:spacing w:after="240" w:line="240" w:lineRule="auto"/>
      </w:pPr>
      <w:r w:rsidRPr="00AE2225">
        <w:rPr>
          <w:color w:val="auto"/>
        </w:rPr>
        <w:t xml:space="preserve">Sources: The MSIN </w:t>
      </w:r>
      <w:r w:rsidR="009E352E">
        <w:rPr>
          <w:color w:val="auto"/>
        </w:rPr>
        <w:t>databases</w:t>
      </w:r>
      <w:r w:rsidRPr="00AE2225">
        <w:rPr>
          <w:color w:val="auto"/>
        </w:rPr>
        <w:t xml:space="preserve"> for the MEP, </w:t>
      </w:r>
      <w:r w:rsidR="00D1613E">
        <w:rPr>
          <w:color w:val="auto"/>
        </w:rPr>
        <w:t xml:space="preserve">SYs </w:t>
      </w:r>
      <w:r w:rsidRPr="00AE2225">
        <w:rPr>
          <w:color w:val="auto"/>
        </w:rPr>
        <w:t xml:space="preserve">2022–23; CDE DataQuest, </w:t>
      </w:r>
      <w:hyperlink r:id="rId26">
        <w:r w:rsidR="00792C07">
          <w:rPr>
            <w:rStyle w:val="Hyperlink"/>
          </w:rPr>
          <w:t>2022–23 Special Education Enrollment by Program Setting Report</w:t>
        </w:r>
      </w:hyperlink>
      <w:r w:rsidRPr="00AE2225">
        <w:rPr>
          <w:color w:val="auto"/>
        </w:rPr>
        <w:t xml:space="preserve">, accessed January 26, 2023, </w:t>
      </w:r>
    </w:p>
    <w:p w14:paraId="599F1372" w14:textId="77777777" w:rsidR="00605C16" w:rsidRPr="002F0E3F" w:rsidRDefault="00605C16" w:rsidP="00CF280A">
      <w:pPr>
        <w:pStyle w:val="Heading3"/>
      </w:pPr>
      <w:bookmarkStart w:id="70" w:name="_Toc188361316"/>
      <w:r w:rsidRPr="002F0E3F">
        <w:t>Academic Achievement</w:t>
      </w:r>
      <w:bookmarkEnd w:id="50"/>
      <w:bookmarkEnd w:id="51"/>
      <w:bookmarkEnd w:id="70"/>
    </w:p>
    <w:p w14:paraId="46B9E8FC" w14:textId="03001E53" w:rsidR="00605C16" w:rsidRPr="008B0B71" w:rsidRDefault="00605C16" w:rsidP="00EA23C9">
      <w:pPr>
        <w:tabs>
          <w:tab w:val="left" w:pos="630"/>
        </w:tabs>
        <w:spacing w:after="240"/>
        <w:rPr>
          <w:rFonts w:cs="Arial"/>
        </w:rPr>
      </w:pPr>
      <w:r w:rsidRPr="008B0B71">
        <w:rPr>
          <w:rFonts w:cs="Arial"/>
        </w:rPr>
        <w:t>To explore migratory students’ academic needs, the CDE compared migratory students</w:t>
      </w:r>
      <w:r w:rsidR="00F8556E" w:rsidRPr="008B0B71">
        <w:rPr>
          <w:rFonts w:cs="Arial"/>
        </w:rPr>
        <w:t>’ CAASPP</w:t>
      </w:r>
      <w:r w:rsidRPr="008B0B71">
        <w:rPr>
          <w:rFonts w:cs="Arial"/>
        </w:rPr>
        <w:t xml:space="preserve"> scores to that of</w:t>
      </w:r>
      <w:r w:rsidR="0064430D" w:rsidRPr="008B0B71">
        <w:rPr>
          <w:rFonts w:cs="Arial"/>
        </w:rPr>
        <w:t xml:space="preserve"> migratory PFS students,</w:t>
      </w:r>
      <w:r w:rsidR="008B0B71" w:rsidRPr="008B0B71">
        <w:rPr>
          <w:rFonts w:cs="Arial"/>
        </w:rPr>
        <w:t xml:space="preserve"> and</w:t>
      </w:r>
      <w:r w:rsidRPr="008B0B71">
        <w:rPr>
          <w:rFonts w:cs="Arial"/>
        </w:rPr>
        <w:t xml:space="preserve"> all students</w:t>
      </w:r>
      <w:r w:rsidR="008B0B71" w:rsidRPr="008B0B71">
        <w:rPr>
          <w:rFonts w:cs="Arial"/>
        </w:rPr>
        <w:t xml:space="preserve"> for school years for </w:t>
      </w:r>
      <w:r w:rsidR="00A018E3">
        <w:rPr>
          <w:rFonts w:cs="Arial"/>
        </w:rPr>
        <w:t xml:space="preserve">SYs </w:t>
      </w:r>
      <w:r w:rsidR="008B0B71" w:rsidRPr="008B0B71">
        <w:rPr>
          <w:rFonts w:cs="Arial"/>
        </w:rPr>
        <w:t>2017–18 through 2022–23</w:t>
      </w:r>
      <w:r w:rsidRPr="008B0B71">
        <w:rPr>
          <w:rFonts w:cs="Arial"/>
        </w:rPr>
        <w:t xml:space="preserve">. The CDE also examined migratory </w:t>
      </w:r>
      <w:r w:rsidR="008B0B71" w:rsidRPr="008B0B71">
        <w:rPr>
          <w:rFonts w:cs="Arial"/>
        </w:rPr>
        <w:t>multilingual learner student</w:t>
      </w:r>
      <w:r w:rsidRPr="008B0B71">
        <w:rPr>
          <w:rFonts w:cs="Arial"/>
        </w:rPr>
        <w:t xml:space="preserve">s’ performance on the </w:t>
      </w:r>
      <w:r w:rsidR="008B0B71" w:rsidRPr="008B0B71">
        <w:rPr>
          <w:rFonts w:cs="Arial"/>
        </w:rPr>
        <w:t>ELPAC</w:t>
      </w:r>
      <w:r w:rsidRPr="008B0B71">
        <w:rPr>
          <w:rFonts w:cs="Arial"/>
        </w:rPr>
        <w:t xml:space="preserve"> and compared it to that of</w:t>
      </w:r>
      <w:r w:rsidR="008B0B71" w:rsidRPr="008B0B71">
        <w:rPr>
          <w:rFonts w:cs="Arial"/>
        </w:rPr>
        <w:t xml:space="preserve"> the </w:t>
      </w:r>
      <w:proofErr w:type="gramStart"/>
      <w:r w:rsidR="008B0B71" w:rsidRPr="008B0B71">
        <w:rPr>
          <w:rFonts w:cs="Arial"/>
        </w:rPr>
        <w:t>all student</w:t>
      </w:r>
      <w:proofErr w:type="gramEnd"/>
      <w:r w:rsidR="008B0B71" w:rsidRPr="008B0B71">
        <w:rPr>
          <w:rFonts w:cs="Arial"/>
        </w:rPr>
        <w:t xml:space="preserve"> group</w:t>
      </w:r>
      <w:r w:rsidRPr="008B0B71">
        <w:rPr>
          <w:rFonts w:cs="Arial"/>
        </w:rPr>
        <w:t>.</w:t>
      </w:r>
    </w:p>
    <w:p w14:paraId="652BECF4" w14:textId="77777777" w:rsidR="00605C16" w:rsidRPr="008B0B71" w:rsidRDefault="00605C16" w:rsidP="00CF280A">
      <w:pPr>
        <w:spacing w:after="240"/>
        <w:rPr>
          <w:rFonts w:cs="Arial"/>
        </w:rPr>
      </w:pPr>
      <w:bookmarkStart w:id="71" w:name="OLE_LINK5"/>
      <w:r w:rsidRPr="008B0B71">
        <w:rPr>
          <w:rFonts w:cs="Arial"/>
        </w:rPr>
        <w:t>The following section details several key findings:</w:t>
      </w:r>
    </w:p>
    <w:bookmarkEnd w:id="71"/>
    <w:p w14:paraId="76776649" w14:textId="4AD5012A" w:rsidR="008B0B71" w:rsidRPr="008B0B71" w:rsidRDefault="008B0B71" w:rsidP="009670FC">
      <w:pPr>
        <w:pStyle w:val="List-Level1"/>
        <w:numPr>
          <w:ilvl w:val="0"/>
          <w:numId w:val="12"/>
        </w:numPr>
        <w:rPr>
          <w:color w:val="auto"/>
        </w:rPr>
      </w:pPr>
      <w:r w:rsidRPr="008B0B71">
        <w:rPr>
          <w:color w:val="auto"/>
        </w:rPr>
        <w:t xml:space="preserve">In 2022–23, </w:t>
      </w:r>
      <w:r w:rsidR="004F4EF5">
        <w:rPr>
          <w:color w:val="auto"/>
        </w:rPr>
        <w:t>15.4</w:t>
      </w:r>
      <w:r w:rsidR="00B1476B" w:rsidRPr="00B1476B">
        <w:t> </w:t>
      </w:r>
      <w:r w:rsidR="004F4EF5">
        <w:rPr>
          <w:color w:val="auto"/>
        </w:rPr>
        <w:t>percent of migratory PFS student scored proficient compared to 23.4</w:t>
      </w:r>
      <w:r w:rsidR="00B1476B" w:rsidRPr="00B1476B">
        <w:t> </w:t>
      </w:r>
      <w:r w:rsidR="004F4EF5">
        <w:rPr>
          <w:color w:val="auto"/>
        </w:rPr>
        <w:t>percent for migrato</w:t>
      </w:r>
      <w:r w:rsidR="00A018E3">
        <w:rPr>
          <w:color w:val="auto"/>
        </w:rPr>
        <w:t>r</w:t>
      </w:r>
      <w:r w:rsidR="004F4EF5">
        <w:rPr>
          <w:color w:val="auto"/>
        </w:rPr>
        <w:t>y students and 46.6</w:t>
      </w:r>
      <w:r w:rsidR="00B1476B" w:rsidRPr="00B1476B">
        <w:t> </w:t>
      </w:r>
      <w:r w:rsidR="004F4EF5">
        <w:rPr>
          <w:color w:val="auto"/>
        </w:rPr>
        <w:t>percent for the all student</w:t>
      </w:r>
      <w:r w:rsidR="0064487A">
        <w:rPr>
          <w:color w:val="auto"/>
        </w:rPr>
        <w:t>s</w:t>
      </w:r>
      <w:r w:rsidR="004F4EF5">
        <w:rPr>
          <w:color w:val="auto"/>
        </w:rPr>
        <w:t xml:space="preserve"> group on the CAASPP ELA Overall Standards.</w:t>
      </w:r>
    </w:p>
    <w:p w14:paraId="3A1791F1" w14:textId="5DAD17F8" w:rsidR="004F4EF5" w:rsidRDefault="004F4EF5" w:rsidP="009670FC">
      <w:pPr>
        <w:pStyle w:val="List-Level1"/>
        <w:numPr>
          <w:ilvl w:val="0"/>
          <w:numId w:val="12"/>
        </w:numPr>
        <w:spacing w:line="240" w:lineRule="auto"/>
        <w:rPr>
          <w:color w:val="auto"/>
        </w:rPr>
      </w:pPr>
      <w:bookmarkStart w:id="72" w:name="_Toc135948113"/>
      <w:bookmarkStart w:id="73" w:name="_Toc154499370"/>
      <w:bookmarkStart w:id="74" w:name="_Toc168910719"/>
      <w:bookmarkStart w:id="75" w:name="Academic_Performance_CAASPP"/>
      <w:bookmarkStart w:id="76" w:name="_Toc154499373"/>
      <w:bookmarkStart w:id="77" w:name="_Toc135948117"/>
      <w:bookmarkStart w:id="78" w:name="_Toc472607014"/>
      <w:r>
        <w:rPr>
          <w:noProof w:val="0"/>
          <w:color w:val="auto"/>
        </w:rPr>
        <w:t>T</w:t>
      </w:r>
      <w:r w:rsidRPr="00437481">
        <w:rPr>
          <w:noProof w:val="0"/>
          <w:color w:val="auto"/>
        </w:rPr>
        <w:t>h</w:t>
      </w:r>
      <w:r w:rsidRPr="00437481">
        <w:rPr>
          <w:color w:val="auto"/>
        </w:rPr>
        <w:t>e</w:t>
      </w:r>
      <w:r>
        <w:rPr>
          <w:color w:val="auto"/>
        </w:rPr>
        <w:t xml:space="preserve"> 2022–23</w:t>
      </w:r>
      <w:r w:rsidRPr="00437481">
        <w:rPr>
          <w:color w:val="auto"/>
        </w:rPr>
        <w:t xml:space="preserve"> CAASPP ELA reading </w:t>
      </w:r>
      <w:r>
        <w:rPr>
          <w:color w:val="auto"/>
        </w:rPr>
        <w:t>c</w:t>
      </w:r>
      <w:r w:rsidRPr="00437481">
        <w:rPr>
          <w:color w:val="auto"/>
        </w:rPr>
        <w:t>laim</w:t>
      </w:r>
      <w:r>
        <w:rPr>
          <w:color w:val="auto"/>
        </w:rPr>
        <w:t xml:space="preserve"> data show that 4.2</w:t>
      </w:r>
      <w:r w:rsidR="00B1476B" w:rsidRPr="00B1476B">
        <w:t> </w:t>
      </w:r>
      <w:r>
        <w:rPr>
          <w:color w:val="auto"/>
        </w:rPr>
        <w:t>percent of migratory PFS students, 6.3</w:t>
      </w:r>
      <w:r w:rsidR="00B1476B" w:rsidRPr="00B1476B">
        <w:t> </w:t>
      </w:r>
      <w:r>
        <w:rPr>
          <w:color w:val="auto"/>
        </w:rPr>
        <w:t>percent of migratory students, and 13.3</w:t>
      </w:r>
      <w:r w:rsidR="00B1476B" w:rsidRPr="00B1476B">
        <w:t> </w:t>
      </w:r>
      <w:r>
        <w:rPr>
          <w:color w:val="auto"/>
        </w:rPr>
        <w:t>percent of the all student</w:t>
      </w:r>
      <w:r w:rsidR="0064487A">
        <w:rPr>
          <w:color w:val="auto"/>
        </w:rPr>
        <w:t>s</w:t>
      </w:r>
      <w:r>
        <w:rPr>
          <w:color w:val="auto"/>
        </w:rPr>
        <w:t xml:space="preserve"> group </w:t>
      </w:r>
      <w:r w:rsidR="00A018E3">
        <w:rPr>
          <w:color w:val="auto"/>
        </w:rPr>
        <w:t xml:space="preserve">scored </w:t>
      </w:r>
      <w:r w:rsidR="00D55EE4">
        <w:rPr>
          <w:color w:val="auto"/>
        </w:rPr>
        <w:t>above standard</w:t>
      </w:r>
      <w:r w:rsidRPr="00437481">
        <w:rPr>
          <w:color w:val="auto"/>
        </w:rPr>
        <w:t>.</w:t>
      </w:r>
    </w:p>
    <w:p w14:paraId="46198B51" w14:textId="431901E5" w:rsidR="004F4EF5" w:rsidRDefault="0064487A" w:rsidP="009670FC">
      <w:pPr>
        <w:pStyle w:val="List-Level1"/>
        <w:numPr>
          <w:ilvl w:val="0"/>
          <w:numId w:val="12"/>
        </w:numPr>
        <w:spacing w:after="240" w:line="240" w:lineRule="auto"/>
        <w:rPr>
          <w:color w:val="auto"/>
        </w:rPr>
      </w:pPr>
      <w:r>
        <w:rPr>
          <w:color w:val="auto"/>
        </w:rPr>
        <w:t>The 2022–23 writing claim achievement gap between migratory PFS students and the all student group was 6.3</w:t>
      </w:r>
      <w:r w:rsidR="00B1476B" w:rsidRPr="00B1476B">
        <w:t> </w:t>
      </w:r>
      <w:r>
        <w:rPr>
          <w:color w:val="auto"/>
        </w:rPr>
        <w:t>percentage points larger than in reading. Only 3.3</w:t>
      </w:r>
      <w:r w:rsidR="00B1476B" w:rsidRPr="00B1476B">
        <w:t> </w:t>
      </w:r>
      <w:r>
        <w:rPr>
          <w:color w:val="auto"/>
        </w:rPr>
        <w:t>percent of migratory PFS students, 6.8</w:t>
      </w:r>
      <w:r w:rsidR="00B1476B" w:rsidRPr="00B1476B">
        <w:t> </w:t>
      </w:r>
      <w:r>
        <w:rPr>
          <w:color w:val="auto"/>
        </w:rPr>
        <w:t>percent of migratory students, and 18.7</w:t>
      </w:r>
      <w:r w:rsidR="00B1476B" w:rsidRPr="00B1476B">
        <w:t> </w:t>
      </w:r>
      <w:r>
        <w:rPr>
          <w:color w:val="auto"/>
        </w:rPr>
        <w:t xml:space="preserve">percent of the all students group scored </w:t>
      </w:r>
      <w:r w:rsidR="00D55EE4">
        <w:rPr>
          <w:color w:val="auto"/>
        </w:rPr>
        <w:t>above standard</w:t>
      </w:r>
      <w:r>
        <w:rPr>
          <w:color w:val="auto"/>
        </w:rPr>
        <w:t xml:space="preserve"> on the CAASPP ELA writing claim.</w:t>
      </w:r>
    </w:p>
    <w:p w14:paraId="712FBCC5" w14:textId="40CAF2F2" w:rsidR="0064487A" w:rsidRPr="00F43231" w:rsidRDefault="0064487A" w:rsidP="009670FC">
      <w:pPr>
        <w:pStyle w:val="List-Level1"/>
        <w:numPr>
          <w:ilvl w:val="0"/>
          <w:numId w:val="12"/>
        </w:numPr>
        <w:spacing w:after="240" w:line="240" w:lineRule="auto"/>
        <w:rPr>
          <w:color w:val="auto"/>
        </w:rPr>
      </w:pPr>
      <w:r>
        <w:rPr>
          <w:color w:val="auto"/>
        </w:rPr>
        <w:t>Just under 12</w:t>
      </w:r>
      <w:r w:rsidR="00B1476B" w:rsidRPr="00B1476B">
        <w:t> </w:t>
      </w:r>
      <w:r>
        <w:rPr>
          <w:color w:val="auto"/>
        </w:rPr>
        <w:t>percent of migratory students and 9.8</w:t>
      </w:r>
      <w:r w:rsidR="00B1476B" w:rsidRPr="00B1476B">
        <w:t> </w:t>
      </w:r>
      <w:r>
        <w:rPr>
          <w:color w:val="auto"/>
        </w:rPr>
        <w:t>percent of migratory PFS students scored proficient on the ELPAC while 16.5</w:t>
      </w:r>
      <w:r w:rsidR="00B1476B" w:rsidRPr="00B1476B">
        <w:t> </w:t>
      </w:r>
      <w:r>
        <w:rPr>
          <w:color w:val="auto"/>
        </w:rPr>
        <w:t xml:space="preserve">percent of the all students </w:t>
      </w:r>
      <w:r>
        <w:rPr>
          <w:color w:val="auto"/>
        </w:rPr>
        <w:lastRenderedPageBreak/>
        <w:t xml:space="preserve">group who are identified as multilingual learner students scored proficient on the 2022–23 Summative ELPAC. </w:t>
      </w:r>
    </w:p>
    <w:p w14:paraId="28A07751" w14:textId="7248AF12" w:rsidR="004F4EF5" w:rsidRPr="00DE269A" w:rsidRDefault="004F4EF5" w:rsidP="009670FC">
      <w:pPr>
        <w:pStyle w:val="List-Level1"/>
        <w:numPr>
          <w:ilvl w:val="0"/>
          <w:numId w:val="12"/>
        </w:numPr>
        <w:spacing w:after="240" w:line="240" w:lineRule="auto"/>
        <w:rPr>
          <w:color w:val="auto"/>
        </w:rPr>
      </w:pPr>
      <w:r w:rsidRPr="00DE269A">
        <w:rPr>
          <w:color w:val="auto"/>
        </w:rPr>
        <w:t xml:space="preserve">In SY 2022–23, </w:t>
      </w:r>
      <w:r w:rsidR="0064487A">
        <w:rPr>
          <w:color w:val="auto"/>
        </w:rPr>
        <w:t>34.6</w:t>
      </w:r>
      <w:r w:rsidR="00B1476B" w:rsidRPr="00B1476B">
        <w:t> </w:t>
      </w:r>
      <w:r w:rsidR="0064487A">
        <w:rPr>
          <w:color w:val="auto"/>
        </w:rPr>
        <w:t xml:space="preserve">percent of all students were proficient on the CAASPP </w:t>
      </w:r>
      <w:r w:rsidR="005D504C">
        <w:rPr>
          <w:color w:val="auto"/>
        </w:rPr>
        <w:t>m</w:t>
      </w:r>
      <w:r w:rsidR="0064487A">
        <w:rPr>
          <w:color w:val="auto"/>
        </w:rPr>
        <w:t xml:space="preserve">athematics </w:t>
      </w:r>
      <w:r w:rsidR="005D504C">
        <w:rPr>
          <w:color w:val="auto"/>
        </w:rPr>
        <w:t>o</w:t>
      </w:r>
      <w:r w:rsidR="0064487A">
        <w:rPr>
          <w:color w:val="auto"/>
        </w:rPr>
        <w:t xml:space="preserve">verall </w:t>
      </w:r>
      <w:r w:rsidR="005D504C">
        <w:rPr>
          <w:color w:val="auto"/>
        </w:rPr>
        <w:t>a</w:t>
      </w:r>
      <w:r w:rsidR="0064487A">
        <w:rPr>
          <w:color w:val="auto"/>
        </w:rPr>
        <w:t>ch</w:t>
      </w:r>
      <w:r w:rsidR="00A018E3">
        <w:rPr>
          <w:color w:val="auto"/>
        </w:rPr>
        <w:t>ie</w:t>
      </w:r>
      <w:r w:rsidR="0064487A">
        <w:rPr>
          <w:color w:val="auto"/>
        </w:rPr>
        <w:t>vement compared to 14.3</w:t>
      </w:r>
      <w:r w:rsidR="00B1476B" w:rsidRPr="00B1476B">
        <w:t> </w:t>
      </w:r>
      <w:r w:rsidR="0064487A">
        <w:rPr>
          <w:color w:val="auto"/>
        </w:rPr>
        <w:t>percent of migratory students and 6.8</w:t>
      </w:r>
      <w:r w:rsidR="00B1476B" w:rsidRPr="00B1476B">
        <w:t> </w:t>
      </w:r>
      <w:r w:rsidR="0064487A">
        <w:rPr>
          <w:color w:val="auto"/>
        </w:rPr>
        <w:t>percent of migratory PFS students.</w:t>
      </w:r>
    </w:p>
    <w:p w14:paraId="0D32C457" w14:textId="395CE50A" w:rsidR="004F4EF5" w:rsidRPr="00437481" w:rsidRDefault="0064487A" w:rsidP="009670FC">
      <w:pPr>
        <w:pStyle w:val="List-Level1"/>
        <w:numPr>
          <w:ilvl w:val="0"/>
          <w:numId w:val="12"/>
        </w:numPr>
        <w:spacing w:after="240" w:line="240" w:lineRule="auto"/>
        <w:rPr>
          <w:color w:val="auto"/>
        </w:rPr>
      </w:pPr>
      <w:r>
        <w:rPr>
          <w:color w:val="auto"/>
        </w:rPr>
        <w:t xml:space="preserve">The </w:t>
      </w:r>
      <w:r w:rsidR="003828AF">
        <w:rPr>
          <w:color w:val="auto"/>
        </w:rPr>
        <w:t xml:space="preserve">2022–23 </w:t>
      </w:r>
      <w:r>
        <w:rPr>
          <w:color w:val="auto"/>
        </w:rPr>
        <w:t xml:space="preserve">CAASPP </w:t>
      </w:r>
      <w:r w:rsidR="005D504C">
        <w:rPr>
          <w:color w:val="auto"/>
        </w:rPr>
        <w:t>m</w:t>
      </w:r>
      <w:r>
        <w:rPr>
          <w:color w:val="auto"/>
        </w:rPr>
        <w:t xml:space="preserve">ath </w:t>
      </w:r>
      <w:r w:rsidR="005D504C">
        <w:rPr>
          <w:color w:val="auto"/>
        </w:rPr>
        <w:t>c</w:t>
      </w:r>
      <w:r>
        <w:rPr>
          <w:color w:val="auto"/>
        </w:rPr>
        <w:t xml:space="preserve">oncepts and </w:t>
      </w:r>
      <w:r w:rsidR="005D504C">
        <w:rPr>
          <w:color w:val="auto"/>
        </w:rPr>
        <w:t>p</w:t>
      </w:r>
      <w:r>
        <w:rPr>
          <w:color w:val="auto"/>
        </w:rPr>
        <w:t>rocedures claim had the largest achi</w:t>
      </w:r>
      <w:r w:rsidR="00280EDE">
        <w:rPr>
          <w:color w:val="auto"/>
        </w:rPr>
        <w:t>e</w:t>
      </w:r>
      <w:r>
        <w:rPr>
          <w:color w:val="auto"/>
        </w:rPr>
        <w:t>vement gap</w:t>
      </w:r>
      <w:r w:rsidR="003828AF">
        <w:rPr>
          <w:color w:val="auto"/>
        </w:rPr>
        <w:t xml:space="preserve"> for migratory PFS students and migratory students compared to the all students group. O</w:t>
      </w:r>
      <w:r>
        <w:rPr>
          <w:color w:val="auto"/>
        </w:rPr>
        <w:t>nly 2.2</w:t>
      </w:r>
      <w:r w:rsidR="00B1476B" w:rsidRPr="00B1476B">
        <w:t> </w:t>
      </w:r>
      <w:r>
        <w:rPr>
          <w:color w:val="auto"/>
        </w:rPr>
        <w:t>percent of migratory PFS students and 5.8</w:t>
      </w:r>
      <w:r w:rsidR="00B1476B" w:rsidRPr="00B1476B">
        <w:t> </w:t>
      </w:r>
      <w:r>
        <w:rPr>
          <w:color w:val="auto"/>
        </w:rPr>
        <w:t>percent of migratory studen</w:t>
      </w:r>
      <w:r w:rsidR="003828AF">
        <w:rPr>
          <w:color w:val="auto"/>
        </w:rPr>
        <w:t>ts</w:t>
      </w:r>
      <w:r>
        <w:rPr>
          <w:color w:val="auto"/>
        </w:rPr>
        <w:t xml:space="preserve"> scor</w:t>
      </w:r>
      <w:r w:rsidR="003828AF">
        <w:rPr>
          <w:color w:val="auto"/>
        </w:rPr>
        <w:t>ed</w:t>
      </w:r>
      <w:r>
        <w:rPr>
          <w:color w:val="auto"/>
        </w:rPr>
        <w:t xml:space="preserve"> </w:t>
      </w:r>
      <w:r w:rsidR="00D55EE4">
        <w:rPr>
          <w:color w:val="auto"/>
        </w:rPr>
        <w:t>above standard</w:t>
      </w:r>
      <w:r>
        <w:rPr>
          <w:color w:val="auto"/>
        </w:rPr>
        <w:t xml:space="preserve"> compared to 19.3</w:t>
      </w:r>
      <w:r w:rsidR="00B1476B" w:rsidRPr="00B1476B">
        <w:t> </w:t>
      </w:r>
      <w:r>
        <w:rPr>
          <w:color w:val="auto"/>
        </w:rPr>
        <w:t>percent of the all students group.</w:t>
      </w:r>
    </w:p>
    <w:p w14:paraId="5DF474D3" w14:textId="77777777" w:rsidR="004B4809" w:rsidRDefault="004B4809" w:rsidP="004B4809">
      <w:pPr>
        <w:pStyle w:val="Heading3"/>
      </w:pPr>
      <w:bookmarkStart w:id="79" w:name="_Toc188361317"/>
      <w:r w:rsidRPr="002E2DC6">
        <w:t>California Assessment of Student Performance and Progress</w:t>
      </w:r>
      <w:bookmarkEnd w:id="72"/>
      <w:bookmarkEnd w:id="73"/>
      <w:bookmarkEnd w:id="74"/>
      <w:bookmarkEnd w:id="79"/>
    </w:p>
    <w:p w14:paraId="0632B080" w14:textId="3E63BD46" w:rsidR="004B4809" w:rsidRPr="004B4809" w:rsidRDefault="004B4809" w:rsidP="00B1476B">
      <w:pPr>
        <w:pStyle w:val="Paragraph"/>
        <w:spacing w:line="240" w:lineRule="auto"/>
        <w:rPr>
          <w:noProof w:val="0"/>
          <w:color w:val="auto"/>
        </w:rPr>
      </w:pPr>
      <w:r w:rsidRPr="004B4809">
        <w:rPr>
          <w:noProof w:val="0"/>
          <w:color w:val="auto"/>
        </w:rPr>
        <w:t xml:space="preserve">The CAASPP is an assessment system that includes ELA and mathematics, the </w:t>
      </w:r>
      <w:r w:rsidR="00CF6D72">
        <w:rPr>
          <w:noProof w:val="0"/>
          <w:color w:val="auto"/>
        </w:rPr>
        <w:t>California Science Test (</w:t>
      </w:r>
      <w:r w:rsidRPr="004B4809">
        <w:rPr>
          <w:noProof w:val="0"/>
          <w:color w:val="auto"/>
        </w:rPr>
        <w:t>CAST</w:t>
      </w:r>
      <w:r w:rsidR="00CF6D72">
        <w:rPr>
          <w:noProof w:val="0"/>
          <w:color w:val="auto"/>
        </w:rPr>
        <w:t>)</w:t>
      </w:r>
      <w:r w:rsidRPr="004B4809">
        <w:rPr>
          <w:noProof w:val="0"/>
          <w:color w:val="auto"/>
        </w:rPr>
        <w:t>, the California Alternate Assessments for ELA, mathematics, and science, and the optional California Spanish Assessment.</w:t>
      </w:r>
      <w:r w:rsidRPr="004B4809">
        <w:rPr>
          <w:rStyle w:val="FootnoteReference"/>
          <w:noProof w:val="0"/>
          <w:color w:val="auto"/>
        </w:rPr>
        <w:footnoteReference w:id="8"/>
      </w:r>
      <w:r w:rsidRPr="004B4809">
        <w:rPr>
          <w:noProof w:val="0"/>
          <w:color w:val="auto"/>
        </w:rPr>
        <w:t xml:space="preserve"> In order to better understand migratory student academic performance and possible needs, this </w:t>
      </w:r>
      <w:r w:rsidR="00911644">
        <w:rPr>
          <w:noProof w:val="0"/>
          <w:color w:val="auto"/>
        </w:rPr>
        <w:t>abridged section of the Migratory Student Profile</w:t>
      </w:r>
      <w:r w:rsidRPr="004B4809">
        <w:rPr>
          <w:noProof w:val="0"/>
          <w:color w:val="auto"/>
        </w:rPr>
        <w:t xml:space="preserve"> compares migratory students, migratory PFS students, and all students’ performance on the CAASPP ELA and mathematics for grades three through eight and grade eleven. </w:t>
      </w:r>
      <w:r w:rsidR="00911644" w:rsidRPr="004B4809">
        <w:rPr>
          <w:rFonts w:cs="Arial"/>
          <w:noProof w:val="0"/>
          <w:color w:val="auto"/>
        </w:rPr>
        <w:t xml:space="preserve">For the purposes of this CNA, only the ELA and math sections of the CAASPP will be covered </w:t>
      </w:r>
      <w:r w:rsidR="00A018E3">
        <w:rPr>
          <w:rFonts w:cs="Arial"/>
          <w:noProof w:val="0"/>
          <w:color w:val="auto"/>
        </w:rPr>
        <w:t>because no</w:t>
      </w:r>
      <w:r w:rsidR="00911644" w:rsidRPr="004B4809">
        <w:rPr>
          <w:rFonts w:cs="Arial"/>
          <w:noProof w:val="0"/>
          <w:color w:val="auto"/>
        </w:rPr>
        <w:t xml:space="preserve"> prioritized need for science</w:t>
      </w:r>
      <w:r w:rsidR="00A018E3">
        <w:rPr>
          <w:rFonts w:cs="Arial"/>
          <w:noProof w:val="0"/>
          <w:color w:val="auto"/>
        </w:rPr>
        <w:t xml:space="preserve"> was identified</w:t>
      </w:r>
      <w:r w:rsidR="005D504C">
        <w:rPr>
          <w:rFonts w:cs="Arial"/>
          <w:noProof w:val="0"/>
          <w:color w:val="auto"/>
        </w:rPr>
        <w:t xml:space="preserve"> by MEP staff, parents, and OSY</w:t>
      </w:r>
      <w:r w:rsidR="00911644" w:rsidRPr="004B4809">
        <w:rPr>
          <w:rFonts w:cs="Arial"/>
          <w:noProof w:val="0"/>
          <w:color w:val="auto"/>
        </w:rPr>
        <w:t>.</w:t>
      </w:r>
      <w:r w:rsidR="00911644">
        <w:rPr>
          <w:rFonts w:cs="Arial"/>
          <w:noProof w:val="0"/>
          <w:color w:val="auto"/>
        </w:rPr>
        <w:t xml:space="preserve"> </w:t>
      </w:r>
      <w:r w:rsidR="00A018E3">
        <w:rPr>
          <w:rFonts w:cs="Arial"/>
          <w:noProof w:val="0"/>
          <w:color w:val="auto"/>
        </w:rPr>
        <w:t>Please</w:t>
      </w:r>
      <w:r w:rsidR="00911644">
        <w:rPr>
          <w:rFonts w:cs="Arial"/>
          <w:noProof w:val="0"/>
          <w:color w:val="auto"/>
        </w:rPr>
        <w:t xml:space="preserve"> refer to </w:t>
      </w:r>
      <w:hyperlink r:id="rId27" w:history="1">
        <w:r w:rsidR="00911644" w:rsidRPr="00911644">
          <w:rPr>
            <w:rStyle w:val="Hyperlink"/>
            <w:rFonts w:cs="Arial"/>
            <w:noProof w:val="0"/>
          </w:rPr>
          <w:t>California’s Migratory Student Profile</w:t>
        </w:r>
      </w:hyperlink>
      <w:r w:rsidR="00A018E3">
        <w:rPr>
          <w:rStyle w:val="Hyperlink"/>
          <w:rFonts w:cs="Arial"/>
          <w:noProof w:val="0"/>
        </w:rPr>
        <w:t xml:space="preserve"> for CAST data</w:t>
      </w:r>
      <w:r w:rsidR="00911644">
        <w:rPr>
          <w:rFonts w:cs="Arial"/>
          <w:noProof w:val="0"/>
          <w:color w:val="auto"/>
        </w:rPr>
        <w:t>.</w:t>
      </w:r>
    </w:p>
    <w:p w14:paraId="61A9DCEA" w14:textId="77777777" w:rsidR="004B4809" w:rsidRPr="007E2DFC" w:rsidRDefault="004B4809" w:rsidP="00B1476B">
      <w:pPr>
        <w:spacing w:after="240"/>
        <w:rPr>
          <w:b/>
          <w:bCs/>
        </w:rPr>
      </w:pPr>
      <w:bookmarkStart w:id="80" w:name="_Toc135948115"/>
      <w:bookmarkStart w:id="81" w:name="_Toc154499371"/>
      <w:bookmarkEnd w:id="75"/>
      <w:r w:rsidRPr="007E2DFC">
        <w:rPr>
          <w:b/>
          <w:bCs/>
        </w:rPr>
        <w:t>Assessment Years Included</w:t>
      </w:r>
      <w:bookmarkEnd w:id="80"/>
      <w:bookmarkEnd w:id="81"/>
    </w:p>
    <w:p w14:paraId="4C8CE29C" w14:textId="77777777" w:rsidR="004B4809" w:rsidRPr="004B4809" w:rsidRDefault="004B4809" w:rsidP="00B1476B">
      <w:pPr>
        <w:pStyle w:val="Paragraph"/>
        <w:spacing w:line="240" w:lineRule="auto"/>
        <w:rPr>
          <w:rFonts w:cs="Arial"/>
          <w:noProof w:val="0"/>
          <w:color w:val="auto"/>
        </w:rPr>
      </w:pPr>
      <w:r w:rsidRPr="004B4809">
        <w:rPr>
          <w:rFonts w:cs="Arial"/>
          <w:noProof w:val="0"/>
          <w:color w:val="auto"/>
        </w:rPr>
        <w:t>The following assessment years are included in this profile: SYs 2017–18, 2018–19, 2021–22, and 2022–23. Because of the COVID-19 pandemic, there were no CAASPP or CAST assessment scores for SY 2019–20. And because of the low number of students with CAASPP and CAST assessment scores in SY 2020–21, that assessment year was not included in the analysis for this profile. Finally, because the CAST was not implemented statewide until SY 2018–19, the only years available for that assessment are SYs 2018–19, 2021–22, and 2022–23.</w:t>
      </w:r>
    </w:p>
    <w:p w14:paraId="53DE6033" w14:textId="77777777" w:rsidR="004B4809" w:rsidRPr="007E2DFC" w:rsidRDefault="004B4809" w:rsidP="00B1476B">
      <w:pPr>
        <w:spacing w:after="240"/>
        <w:rPr>
          <w:b/>
          <w:bCs/>
        </w:rPr>
      </w:pPr>
      <w:bookmarkStart w:id="82" w:name="_Toc135948116"/>
      <w:bookmarkStart w:id="83" w:name="_Toc154499372"/>
      <w:r w:rsidRPr="007E2DFC">
        <w:rPr>
          <w:b/>
          <w:bCs/>
        </w:rPr>
        <w:t>Achievement Levels Examined</w:t>
      </w:r>
      <w:bookmarkEnd w:id="82"/>
      <w:bookmarkEnd w:id="83"/>
    </w:p>
    <w:p w14:paraId="151D6317" w14:textId="77777777" w:rsidR="004B4809" w:rsidRPr="004B4809" w:rsidRDefault="004B4809" w:rsidP="00B1476B">
      <w:pPr>
        <w:pStyle w:val="Paragraph"/>
        <w:spacing w:line="240" w:lineRule="auto"/>
        <w:rPr>
          <w:rFonts w:cs="Arial"/>
          <w:noProof w:val="0"/>
          <w:color w:val="auto"/>
        </w:rPr>
      </w:pPr>
      <w:r w:rsidRPr="004B4809">
        <w:rPr>
          <w:rFonts w:cs="Arial"/>
          <w:noProof w:val="0"/>
          <w:color w:val="auto"/>
        </w:rPr>
        <w:t xml:space="preserve">Student scores are reported on overall achievement and by claims (ELA and mathematics) or domains (CAST) that focus on specific knowledge and </w:t>
      </w:r>
      <w:r w:rsidRPr="004B4809">
        <w:rPr>
          <w:noProof w:val="0"/>
          <w:color w:val="auto"/>
        </w:rPr>
        <w:t>skills</w:t>
      </w:r>
      <w:r w:rsidRPr="004B4809">
        <w:rPr>
          <w:rFonts w:cs="Arial"/>
          <w:noProof w:val="0"/>
          <w:color w:val="auto"/>
        </w:rPr>
        <w:t xml:space="preserve">. Overall, ELA, mathematics, and CAST achievement levels consist of level 1 (standard not met), level 2 (standard nearly met), level 3 (standard met), and level 4 (standard exceeded). </w:t>
      </w:r>
      <w:r w:rsidRPr="004B4809">
        <w:rPr>
          <w:rFonts w:cs="Arial"/>
          <w:noProof w:val="0"/>
          <w:color w:val="auto"/>
        </w:rPr>
        <w:lastRenderedPageBreak/>
        <w:t>This profile examines the percentage of migratory PFS, migratory, and all students scoring at level 3 and level 4 on each assessment for the available assessment years.</w:t>
      </w:r>
    </w:p>
    <w:p w14:paraId="236F25AD" w14:textId="50BFC116" w:rsidR="004B4809" w:rsidRPr="004B4809" w:rsidRDefault="004B4809" w:rsidP="00B1476B">
      <w:pPr>
        <w:pStyle w:val="Paragraph"/>
        <w:spacing w:line="240" w:lineRule="auto"/>
        <w:rPr>
          <w:rFonts w:cs="Arial"/>
          <w:noProof w:val="0"/>
          <w:color w:val="auto"/>
        </w:rPr>
      </w:pPr>
      <w:r w:rsidRPr="004B4809">
        <w:rPr>
          <w:rFonts w:cs="Arial"/>
          <w:noProof w:val="0"/>
          <w:color w:val="auto"/>
        </w:rPr>
        <w:t xml:space="preserve">Student performance on specific claims or domains are also examined to identify specific areas of strengths and weaknesses within ELA, mathematics, and science. For the CAASPP ELA and mathematics claims and the CAST domains, achievement levels consist of </w:t>
      </w:r>
      <w:r w:rsidR="000452DB">
        <w:rPr>
          <w:rFonts w:cs="Arial"/>
          <w:noProof w:val="0"/>
          <w:color w:val="auto"/>
        </w:rPr>
        <w:t>b</w:t>
      </w:r>
      <w:r w:rsidR="00A32ADA">
        <w:rPr>
          <w:rFonts w:cs="Arial"/>
          <w:noProof w:val="0"/>
          <w:color w:val="auto"/>
        </w:rPr>
        <w:t>e</w:t>
      </w:r>
      <w:r w:rsidR="00404E8D">
        <w:rPr>
          <w:rFonts w:cs="Arial"/>
          <w:noProof w:val="0"/>
          <w:color w:val="auto"/>
        </w:rPr>
        <w:t>low</w:t>
      </w:r>
      <w:r w:rsidR="00A32ADA">
        <w:rPr>
          <w:rFonts w:cs="Arial"/>
          <w:noProof w:val="0"/>
          <w:color w:val="auto"/>
        </w:rPr>
        <w:t xml:space="preserve"> </w:t>
      </w:r>
      <w:r w:rsidR="000452DB">
        <w:rPr>
          <w:rFonts w:cs="Arial"/>
          <w:noProof w:val="0"/>
          <w:color w:val="auto"/>
        </w:rPr>
        <w:t>s</w:t>
      </w:r>
      <w:r w:rsidR="00A32ADA">
        <w:rPr>
          <w:rFonts w:cs="Arial"/>
          <w:noProof w:val="0"/>
          <w:color w:val="auto"/>
        </w:rPr>
        <w:t>tandard</w:t>
      </w:r>
      <w:r w:rsidRPr="004B4809">
        <w:rPr>
          <w:rFonts w:cs="Arial"/>
          <w:noProof w:val="0"/>
          <w:color w:val="auto"/>
        </w:rPr>
        <w:t xml:space="preserve">, </w:t>
      </w:r>
      <w:r w:rsidR="00D55EE4">
        <w:rPr>
          <w:rFonts w:cs="Arial"/>
          <w:noProof w:val="0"/>
          <w:color w:val="auto"/>
        </w:rPr>
        <w:t>near standard</w:t>
      </w:r>
      <w:r w:rsidRPr="004B4809">
        <w:rPr>
          <w:rFonts w:cs="Arial"/>
          <w:noProof w:val="0"/>
          <w:color w:val="auto"/>
        </w:rPr>
        <w:t xml:space="preserve">, and </w:t>
      </w:r>
      <w:r w:rsidR="00D55EE4">
        <w:rPr>
          <w:rFonts w:cs="Arial"/>
          <w:noProof w:val="0"/>
          <w:color w:val="auto"/>
        </w:rPr>
        <w:t>above standard</w:t>
      </w:r>
      <w:r w:rsidRPr="004B4809">
        <w:rPr>
          <w:rFonts w:cs="Arial"/>
          <w:noProof w:val="0"/>
          <w:color w:val="auto"/>
        </w:rPr>
        <w:t xml:space="preserve">. California’s Migratory Student Profile examines the percentage of migratory PFS, migratory, and all students scoring </w:t>
      </w:r>
      <w:proofErr w:type="gramStart"/>
      <w:r w:rsidRPr="004B4809">
        <w:rPr>
          <w:rFonts w:cs="Arial"/>
          <w:noProof w:val="0"/>
          <w:color w:val="auto"/>
        </w:rPr>
        <w:t>at</w:t>
      </w:r>
      <w:proofErr w:type="gramEnd"/>
      <w:r w:rsidRPr="004B4809">
        <w:rPr>
          <w:rFonts w:cs="Arial"/>
          <w:noProof w:val="0"/>
          <w:color w:val="auto"/>
        </w:rPr>
        <w:t xml:space="preserve"> </w:t>
      </w:r>
      <w:r w:rsidR="00D55EE4">
        <w:rPr>
          <w:rFonts w:cs="Arial"/>
          <w:noProof w:val="0"/>
          <w:color w:val="auto"/>
        </w:rPr>
        <w:t>above standard</w:t>
      </w:r>
      <w:r w:rsidRPr="004B4809">
        <w:rPr>
          <w:rFonts w:cs="Arial"/>
          <w:noProof w:val="0"/>
          <w:color w:val="auto"/>
        </w:rPr>
        <w:t xml:space="preserve"> for each claim and domain across available assessment years. It also examines the distribution of students’ claim or domain scores for SY 2022–23. </w:t>
      </w:r>
    </w:p>
    <w:p w14:paraId="13576BA2" w14:textId="77777777" w:rsidR="008B0B71" w:rsidRDefault="008B0B71" w:rsidP="00B1476B">
      <w:pPr>
        <w:pStyle w:val="Heading3"/>
      </w:pPr>
      <w:bookmarkStart w:id="84" w:name="_Toc188361318"/>
      <w:r>
        <w:t>English Language Arts</w:t>
      </w:r>
      <w:bookmarkEnd w:id="84"/>
    </w:p>
    <w:p w14:paraId="3AE8B7C3" w14:textId="601EA972" w:rsidR="007333B9" w:rsidRDefault="007333B9" w:rsidP="00B1476B">
      <w:pPr>
        <w:pStyle w:val="Heading4"/>
      </w:pPr>
      <w:r>
        <w:t xml:space="preserve">Overall Score on the </w:t>
      </w:r>
      <w:r w:rsidRPr="002E2DC6">
        <w:t>California Assessment of Student Performance and Progress</w:t>
      </w:r>
      <w:r>
        <w:t xml:space="preserve"> for English Language Arts</w:t>
      </w:r>
      <w:bookmarkEnd w:id="76"/>
    </w:p>
    <w:p w14:paraId="0CDE8FC8" w14:textId="1BA0A1CB" w:rsidR="007333B9" w:rsidRPr="004B4809" w:rsidRDefault="007333B9" w:rsidP="00B1476B">
      <w:pPr>
        <w:pStyle w:val="Paragraph"/>
        <w:spacing w:line="240" w:lineRule="auto"/>
        <w:rPr>
          <w:noProof w:val="0"/>
          <w:color w:val="auto"/>
        </w:rPr>
      </w:pPr>
      <w:bookmarkStart w:id="85" w:name="_Toc135948140"/>
      <w:bookmarkStart w:id="86" w:name="_Toc154499553"/>
      <w:bookmarkEnd w:id="77"/>
      <w:r w:rsidRPr="004B4809">
        <w:rPr>
          <w:noProof w:val="0"/>
          <w:color w:val="auto"/>
        </w:rPr>
        <w:t xml:space="preserve">Between SYs 2017–18 and 2022–23, the percentage of students who met or exceeded the </w:t>
      </w:r>
      <w:r w:rsidR="00604FCF">
        <w:rPr>
          <w:noProof w:val="0"/>
          <w:color w:val="auto"/>
        </w:rPr>
        <w:t xml:space="preserve">ELA </w:t>
      </w:r>
      <w:r w:rsidRPr="004B4809">
        <w:rPr>
          <w:noProof w:val="0"/>
          <w:color w:val="auto"/>
        </w:rPr>
        <w:t>standard</w:t>
      </w:r>
      <w:r w:rsidR="00604FCF">
        <w:rPr>
          <w:noProof w:val="0"/>
          <w:color w:val="auto"/>
        </w:rPr>
        <w:t>s</w:t>
      </w:r>
      <w:r w:rsidRPr="004B4809">
        <w:rPr>
          <w:noProof w:val="0"/>
          <w:color w:val="auto"/>
        </w:rPr>
        <w:t xml:space="preserve"> declined for migratory (3.9 percentage points) and all (3.2 percentage points) students. For migratory PFS students, the percentage of students who met or exceeded the standard remained steady (0.6 percentage point decline).</w:t>
      </w:r>
    </w:p>
    <w:p w14:paraId="513E9A43" w14:textId="77777777" w:rsidR="007333B9" w:rsidRPr="004B4809" w:rsidRDefault="007333B9" w:rsidP="00B1476B">
      <w:pPr>
        <w:pStyle w:val="Heading4"/>
      </w:pPr>
      <w:r w:rsidRPr="004B4809">
        <w:t>Key Findings</w:t>
      </w:r>
    </w:p>
    <w:p w14:paraId="69B0D56D" w14:textId="77777777" w:rsidR="007333B9" w:rsidRPr="004B4809" w:rsidRDefault="007333B9" w:rsidP="00B1476B">
      <w:pPr>
        <w:pStyle w:val="List-Level1"/>
        <w:spacing w:line="240" w:lineRule="auto"/>
        <w:ind w:left="720" w:hanging="360"/>
        <w:rPr>
          <w:color w:val="auto"/>
        </w:rPr>
      </w:pPr>
      <w:r w:rsidRPr="004B4809">
        <w:rPr>
          <w:noProof w:val="0"/>
          <w:color w:val="auto"/>
        </w:rPr>
        <w:t>By SY 2021–22, migratory PFS students had narrowed their performance gap with migratory students on the CAASPP ELA overall achievement</w:t>
      </w:r>
      <w:r w:rsidRPr="004B4809">
        <w:rPr>
          <w:color w:val="auto"/>
        </w:rPr>
        <w:t xml:space="preserve"> to a 7.9 percentage point difference (compared with an 11.3 percentage point difference in SY 2017–18).</w:t>
      </w:r>
    </w:p>
    <w:p w14:paraId="3FF8B5AD" w14:textId="77777777" w:rsidR="007333B9" w:rsidRPr="004B4809" w:rsidRDefault="007333B9" w:rsidP="00B1476B">
      <w:pPr>
        <w:pStyle w:val="List-Level1"/>
        <w:spacing w:line="240" w:lineRule="auto"/>
        <w:ind w:left="720" w:hanging="360"/>
        <w:rPr>
          <w:color w:val="auto"/>
        </w:rPr>
      </w:pPr>
      <w:r w:rsidRPr="004B4809">
        <w:rPr>
          <w:color w:val="auto"/>
        </w:rPr>
        <w:t>In SY 2022–23, migratory PFS students were 31.2 percentage points less likely than all students to score at standard met or standard exceeded. Migratory students overall were 23.2 percentage points less likely than all students to score at standard met or standard exceeded.</w:t>
      </w:r>
    </w:p>
    <w:p w14:paraId="435E8A16" w14:textId="732E042A" w:rsidR="007333B9" w:rsidRPr="004B4809" w:rsidRDefault="007333B9" w:rsidP="00B1476B">
      <w:pPr>
        <w:pStyle w:val="List-Level1"/>
        <w:spacing w:line="240" w:lineRule="auto"/>
        <w:ind w:left="720" w:hanging="360"/>
        <w:rPr>
          <w:color w:val="auto"/>
        </w:rPr>
      </w:pPr>
      <w:r w:rsidRPr="004B4809">
        <w:rPr>
          <w:color w:val="auto"/>
        </w:rPr>
        <w:t xml:space="preserve">The achievement gap on the CAASPP ELA overall achievement was the highest at 23.2 percentage points since 2017–18, but that was an increase of </w:t>
      </w:r>
      <w:r w:rsidR="00BF1DBC">
        <w:rPr>
          <w:color w:val="auto"/>
        </w:rPr>
        <w:t xml:space="preserve">only </w:t>
      </w:r>
      <w:r w:rsidRPr="004B4809">
        <w:rPr>
          <w:color w:val="auto"/>
        </w:rPr>
        <w:t xml:space="preserve">0.1 percentage points from 2021–22. Reviewing data between 2018–19 through 2021–22, the achievement gap grew more rapidly from 21.9 to 23.1 percentage points (a change of 1.2 percentage points). </w:t>
      </w:r>
    </w:p>
    <w:p w14:paraId="1CE43879" w14:textId="158CB021" w:rsidR="007333B9" w:rsidRPr="004B4809" w:rsidRDefault="003E3C7B" w:rsidP="00B1476B">
      <w:pPr>
        <w:pStyle w:val="Paragraph-AfterList"/>
        <w:spacing w:line="240" w:lineRule="auto"/>
        <w:rPr>
          <w:color w:val="auto"/>
        </w:rPr>
      </w:pPr>
      <w:r>
        <w:rPr>
          <w:color w:val="auto"/>
        </w:rPr>
        <w:t xml:space="preserve">Figure 8 </w:t>
      </w:r>
      <w:r w:rsidR="00DA0A2B">
        <w:rPr>
          <w:color w:val="auto"/>
        </w:rPr>
        <w:t xml:space="preserve">(and in a different format, table 10) </w:t>
      </w:r>
      <w:r w:rsidR="007333B9" w:rsidRPr="004B4809">
        <w:rPr>
          <w:color w:val="auto"/>
        </w:rPr>
        <w:t>shows the percentage of all students, migratory students, and migratory PFS students who scored at standard met or standard exceeded for overall achievement on the CAASPP ELA for SYs 2017–18, 2018–19, 2021–22, and 2022–23.</w:t>
      </w:r>
    </w:p>
    <w:bookmarkEnd w:id="85"/>
    <w:bookmarkEnd w:id="86"/>
    <w:p w14:paraId="7C580202" w14:textId="77777777" w:rsidR="00B1476B" w:rsidRDefault="00B1476B">
      <w:pPr>
        <w:rPr>
          <w:rFonts w:eastAsia="Times New Roman" w:cs="Arial"/>
          <w:b/>
          <w:color w:val="002060"/>
          <w:lang w:eastAsia="zh-CN"/>
        </w:rPr>
      </w:pPr>
      <w:r>
        <w:rPr>
          <w:color w:val="002060"/>
        </w:rPr>
        <w:br w:type="page"/>
      </w:r>
    </w:p>
    <w:p w14:paraId="34C41354" w14:textId="2768C5FE" w:rsidR="007333B9" w:rsidRPr="00D04DC5" w:rsidRDefault="00DA0A2B" w:rsidP="00792C07">
      <w:pPr>
        <w:pStyle w:val="Heading5"/>
      </w:pPr>
      <w:bookmarkStart w:id="87" w:name="_Toc188030507"/>
      <w:r w:rsidRPr="00D04DC5">
        <w:lastRenderedPageBreak/>
        <w:t xml:space="preserve">Figure </w:t>
      </w:r>
      <w:fldSimple w:instr=" SEQ Figure \* ARABIC ">
        <w:r w:rsidR="00AB15FE" w:rsidRPr="00D04DC5">
          <w:rPr>
            <w:noProof/>
          </w:rPr>
          <w:t>8</w:t>
        </w:r>
      </w:fldSimple>
      <w:r w:rsidRPr="00D04DC5">
        <w:t>. Percentage of All Students, Migratory Students, and Migratory Priority-for-Service Students Scoring at Standard Met or Exceeded for Overall Achievement on California’s English Language Arts Assessment for All Grades, School Years 2017–18, 2018–19, 2021–22, and 2022–23</w:t>
      </w:r>
      <w:bookmarkEnd w:id="87"/>
      <w:r w:rsidRPr="00D04DC5">
        <w:t xml:space="preserve"> </w:t>
      </w:r>
    </w:p>
    <w:p w14:paraId="00A16888" w14:textId="77777777" w:rsidR="007333B9" w:rsidRDefault="007333B9" w:rsidP="007333B9">
      <w:pPr>
        <w:pStyle w:val="Figure"/>
      </w:pPr>
      <w:r>
        <w:drawing>
          <wp:inline distT="0" distB="0" distL="0" distR="0" wp14:anchorId="1DED2FF4" wp14:editId="2484EB07">
            <wp:extent cx="5943600" cy="3200400"/>
            <wp:effectExtent l="0" t="0" r="0" b="0"/>
            <wp:docPr id="1612298814" name="Chart 1" descr="Graph of students scoring at standard met or exceeded on the CAASPP ELA for 2017–18 to 2022–23. Table 10 presents this information in table format.">
              <a:extLst xmlns:a="http://schemas.openxmlformats.org/drawingml/2006/main">
                <a:ext uri="{FF2B5EF4-FFF2-40B4-BE49-F238E27FC236}">
                  <a16:creationId xmlns:a16="http://schemas.microsoft.com/office/drawing/2014/main" id="{BDF69F3A-9C9F-684E-85B6-1A05CC82DD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B33D131" w14:textId="5186B37F" w:rsidR="007333B9" w:rsidRPr="007333B9" w:rsidRDefault="007333B9" w:rsidP="00176D0F">
      <w:pPr>
        <w:pStyle w:val="TableorFiguresNotesSources"/>
        <w:spacing w:before="0" w:after="240" w:line="240" w:lineRule="auto"/>
        <w:rPr>
          <w:color w:val="auto"/>
        </w:rPr>
      </w:pPr>
      <w:r w:rsidRPr="007333B9">
        <w:rPr>
          <w:rFonts w:cs="Arial"/>
          <w:color w:val="auto"/>
          <w:shd w:val="clear" w:color="auto" w:fill="FFFFFF"/>
        </w:rPr>
        <w:t xml:space="preserve">Source: </w:t>
      </w:r>
      <w:r w:rsidRPr="007333B9">
        <w:rPr>
          <w:color w:val="auto"/>
        </w:rPr>
        <w:t xml:space="preserve">CDE CAASPP data files, SYs 2017–18, 2018–19, 2021–22, and 2022–23, and the MSIN </w:t>
      </w:r>
      <w:r w:rsidR="009E352E">
        <w:rPr>
          <w:color w:val="auto"/>
        </w:rPr>
        <w:t>databases</w:t>
      </w:r>
      <w:r w:rsidRPr="007333B9">
        <w:rPr>
          <w:color w:val="auto"/>
        </w:rPr>
        <w:t xml:space="preserve"> for the MEP,</w:t>
      </w:r>
      <w:r w:rsidR="00D1613E">
        <w:rPr>
          <w:color w:val="auto"/>
        </w:rPr>
        <w:t xml:space="preserve"> </w:t>
      </w:r>
      <w:r w:rsidRPr="007333B9">
        <w:rPr>
          <w:color w:val="auto"/>
        </w:rPr>
        <w:t>2017–18, 2018–19, 2021–22, and 2022–23 performance periods. Accessed February 2023 for SYs 2017–18 through 2021–22 and December 2023 for SY 2022–23.</w:t>
      </w:r>
    </w:p>
    <w:p w14:paraId="25AA1ADD" w14:textId="66611DE7" w:rsidR="00DA0A2B" w:rsidRPr="00176D0F" w:rsidRDefault="003E3C7B" w:rsidP="00792C07">
      <w:pPr>
        <w:pStyle w:val="Heading5"/>
        <w:rPr>
          <w:color w:val="002060"/>
        </w:rPr>
      </w:pPr>
      <w:bookmarkStart w:id="88" w:name="_Toc135948173"/>
      <w:bookmarkStart w:id="89" w:name="_Toc154499624"/>
      <w:bookmarkStart w:id="90" w:name="_Toc160787206"/>
      <w:bookmarkStart w:id="91" w:name="_Toc188030575"/>
      <w:r>
        <w:rPr>
          <w:color w:val="002060"/>
        </w:rPr>
        <w:t xml:space="preserve">Table </w:t>
      </w:r>
      <w:bookmarkEnd w:id="88"/>
      <w:bookmarkEnd w:id="89"/>
      <w:bookmarkEnd w:id="90"/>
      <w:r w:rsidR="00DA0A2B" w:rsidRPr="00DA0A2B">
        <w:fldChar w:fldCharType="begin"/>
      </w:r>
      <w:r w:rsidR="00DA0A2B" w:rsidRPr="00DA0A2B">
        <w:instrText xml:space="preserve"> SEQ Table \* ARABIC </w:instrText>
      </w:r>
      <w:r w:rsidR="00DA0A2B" w:rsidRPr="00DA0A2B">
        <w:fldChar w:fldCharType="separate"/>
      </w:r>
      <w:r w:rsidR="00D04DC5">
        <w:t>10</w:t>
      </w:r>
      <w:r w:rsidR="00DA0A2B" w:rsidRPr="00DA0A2B">
        <w:fldChar w:fldCharType="end"/>
      </w:r>
      <w:r w:rsidR="00DA0A2B" w:rsidRPr="00DA0A2B">
        <w:t>. Percentage of All Students, Migratory Students, and Migratory Priority-for-Service Students Scoring at Standard Met or Exceeded for Overall Achievement on California’s English Language Arts Assessment for All Grades, School Years 2017–18, 2018–19, 2021–22, and 20</w:t>
      </w:r>
      <w:r w:rsidR="00DA0A2B" w:rsidRPr="00176D0F">
        <w:rPr>
          <w:color w:val="002060"/>
        </w:rPr>
        <w:t>22–23</w:t>
      </w:r>
      <w:bookmarkEnd w:id="91"/>
    </w:p>
    <w:tbl>
      <w:tblPr>
        <w:tblStyle w:val="ListTable3-Accent5"/>
        <w:tblW w:w="0" w:type="auto"/>
        <w:tblLayout w:type="fixed"/>
        <w:tblCellMar>
          <w:right w:w="108" w:type="dxa"/>
        </w:tblCellMar>
        <w:tblLook w:val="04A0" w:firstRow="1" w:lastRow="0" w:firstColumn="1" w:lastColumn="0" w:noHBand="0" w:noVBand="1"/>
      </w:tblPr>
      <w:tblGrid>
        <w:gridCol w:w="1339"/>
        <w:gridCol w:w="2664"/>
        <w:gridCol w:w="1339"/>
        <w:gridCol w:w="1339"/>
        <w:gridCol w:w="1339"/>
        <w:gridCol w:w="1339"/>
      </w:tblGrid>
      <w:tr w:rsidR="00484AD2" w:rsidRPr="00A83A89" w14:paraId="74C9B28E" w14:textId="77777777" w:rsidTr="009E56F2">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339" w:type="dxa"/>
            <w:hideMark/>
          </w:tcPr>
          <w:p w14:paraId="39242DDF" w14:textId="77777777" w:rsidR="00484AD2" w:rsidRPr="00A83A89" w:rsidRDefault="00484AD2" w:rsidP="009E56F2">
            <w:pPr>
              <w:pStyle w:val="TableHeaderRow"/>
            </w:pPr>
            <w:r w:rsidRPr="00A83A89">
              <w:t>Grade</w:t>
            </w:r>
          </w:p>
        </w:tc>
        <w:tc>
          <w:tcPr>
            <w:tcW w:w="2664" w:type="dxa"/>
            <w:noWrap/>
            <w:hideMark/>
          </w:tcPr>
          <w:p w14:paraId="3C00A2DF" w14:textId="77777777" w:rsidR="00484AD2" w:rsidRPr="00A83A89" w:rsidRDefault="00484AD2" w:rsidP="009E56F2">
            <w:pPr>
              <w:pStyle w:val="TableHeaderRow"/>
              <w:cnfStyle w:val="100000000000" w:firstRow="1" w:lastRow="0" w:firstColumn="0" w:lastColumn="0" w:oddVBand="0" w:evenVBand="0" w:oddHBand="0" w:evenHBand="0" w:firstRowFirstColumn="0" w:firstRowLastColumn="0" w:lastRowFirstColumn="0" w:lastRowLastColumn="0"/>
            </w:pPr>
            <w:r w:rsidRPr="00A83A89">
              <w:t>Student Population</w:t>
            </w:r>
          </w:p>
        </w:tc>
        <w:tc>
          <w:tcPr>
            <w:tcW w:w="1339" w:type="dxa"/>
            <w:hideMark/>
          </w:tcPr>
          <w:p w14:paraId="7F751D33" w14:textId="77777777" w:rsidR="00484AD2" w:rsidRPr="00A83A89" w:rsidRDefault="00484AD2" w:rsidP="009E56F2">
            <w:pPr>
              <w:pStyle w:val="TableHeaderRow"/>
              <w:cnfStyle w:val="100000000000" w:firstRow="1" w:lastRow="0" w:firstColumn="0" w:lastColumn="0" w:oddVBand="0" w:evenVBand="0" w:oddHBand="0" w:evenHBand="0" w:firstRowFirstColumn="0" w:firstRowLastColumn="0" w:lastRowFirstColumn="0" w:lastRowLastColumn="0"/>
            </w:pPr>
            <w:r w:rsidRPr="00A83A89">
              <w:t xml:space="preserve">2017–18 </w:t>
            </w:r>
          </w:p>
        </w:tc>
        <w:tc>
          <w:tcPr>
            <w:tcW w:w="1339" w:type="dxa"/>
            <w:hideMark/>
          </w:tcPr>
          <w:p w14:paraId="4AEE25B6" w14:textId="77777777" w:rsidR="00484AD2" w:rsidRPr="00A83A89" w:rsidRDefault="00484AD2" w:rsidP="009E56F2">
            <w:pPr>
              <w:pStyle w:val="TableHeaderRow"/>
              <w:cnfStyle w:val="100000000000" w:firstRow="1" w:lastRow="0" w:firstColumn="0" w:lastColumn="0" w:oddVBand="0" w:evenVBand="0" w:oddHBand="0" w:evenHBand="0" w:firstRowFirstColumn="0" w:firstRowLastColumn="0" w:lastRowFirstColumn="0" w:lastRowLastColumn="0"/>
            </w:pPr>
            <w:r w:rsidRPr="00A83A89">
              <w:t xml:space="preserve">2018–19 </w:t>
            </w:r>
          </w:p>
        </w:tc>
        <w:tc>
          <w:tcPr>
            <w:tcW w:w="1339" w:type="dxa"/>
            <w:hideMark/>
          </w:tcPr>
          <w:p w14:paraId="2D299E72" w14:textId="77777777" w:rsidR="00484AD2" w:rsidRPr="00A83A89" w:rsidRDefault="00484AD2" w:rsidP="009E56F2">
            <w:pPr>
              <w:pStyle w:val="TableHeaderRow"/>
              <w:cnfStyle w:val="100000000000" w:firstRow="1" w:lastRow="0" w:firstColumn="0" w:lastColumn="0" w:oddVBand="0" w:evenVBand="0" w:oddHBand="0" w:evenHBand="0" w:firstRowFirstColumn="0" w:firstRowLastColumn="0" w:lastRowFirstColumn="0" w:lastRowLastColumn="0"/>
            </w:pPr>
            <w:r w:rsidRPr="00A83A89">
              <w:t xml:space="preserve">2021–22 </w:t>
            </w:r>
          </w:p>
        </w:tc>
        <w:tc>
          <w:tcPr>
            <w:tcW w:w="1339" w:type="dxa"/>
          </w:tcPr>
          <w:p w14:paraId="30B04166" w14:textId="77777777" w:rsidR="00484AD2" w:rsidRPr="00A83A89" w:rsidRDefault="00484AD2" w:rsidP="009E56F2">
            <w:pPr>
              <w:pStyle w:val="TableHeaderRow"/>
              <w:cnfStyle w:val="100000000000" w:firstRow="1" w:lastRow="0" w:firstColumn="0" w:lastColumn="0" w:oddVBand="0" w:evenVBand="0" w:oddHBand="0" w:evenHBand="0" w:firstRowFirstColumn="0" w:firstRowLastColumn="0" w:lastRowFirstColumn="0" w:lastRowLastColumn="0"/>
            </w:pPr>
            <w:r>
              <w:t>2022–23</w:t>
            </w:r>
          </w:p>
        </w:tc>
      </w:tr>
      <w:tr w:rsidR="00484AD2" w:rsidRPr="00A83A89" w14:paraId="29414132" w14:textId="77777777" w:rsidTr="00176D0F">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tcPr>
          <w:p w14:paraId="78D3DCE1" w14:textId="77777777" w:rsidR="00484AD2" w:rsidRPr="00A83A89" w:rsidRDefault="00484AD2" w:rsidP="0041205C">
            <w:pPr>
              <w:pStyle w:val="TableCategoryText"/>
            </w:pPr>
            <w:r w:rsidRPr="00A83A89">
              <w:t>All</w:t>
            </w:r>
          </w:p>
        </w:tc>
        <w:tc>
          <w:tcPr>
            <w:tcW w:w="2664" w:type="dxa"/>
            <w:shd w:val="clear" w:color="auto" w:fill="D9E2F3" w:themeFill="accent5" w:themeFillTint="33"/>
            <w:noWrap/>
          </w:tcPr>
          <w:p w14:paraId="72CDA822" w14:textId="77777777" w:rsidR="00484AD2" w:rsidRPr="0041205C" w:rsidRDefault="00484AD2"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All students</w:t>
            </w:r>
          </w:p>
        </w:tc>
        <w:tc>
          <w:tcPr>
            <w:tcW w:w="1339" w:type="dxa"/>
            <w:shd w:val="clear" w:color="auto" w:fill="D9E2F3" w:themeFill="accent5" w:themeFillTint="33"/>
          </w:tcPr>
          <w:p w14:paraId="56B81F0E" w14:textId="77777777" w:rsidR="00484AD2" w:rsidRPr="0041205C" w:rsidRDefault="00484AD2"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49.8%</w:t>
            </w:r>
          </w:p>
        </w:tc>
        <w:tc>
          <w:tcPr>
            <w:tcW w:w="1339" w:type="dxa"/>
            <w:shd w:val="clear" w:color="auto" w:fill="D9E2F3" w:themeFill="accent5" w:themeFillTint="33"/>
          </w:tcPr>
          <w:p w14:paraId="708C3BEB" w14:textId="77777777" w:rsidR="00484AD2" w:rsidRPr="0041205C" w:rsidRDefault="00484AD2"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51.1%</w:t>
            </w:r>
          </w:p>
        </w:tc>
        <w:tc>
          <w:tcPr>
            <w:tcW w:w="1339" w:type="dxa"/>
            <w:shd w:val="clear" w:color="auto" w:fill="D9E2F3" w:themeFill="accent5" w:themeFillTint="33"/>
          </w:tcPr>
          <w:p w14:paraId="4EE38C6C" w14:textId="77777777" w:rsidR="00484AD2" w:rsidRPr="0041205C" w:rsidRDefault="00484AD2"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47.0%</w:t>
            </w:r>
          </w:p>
        </w:tc>
        <w:tc>
          <w:tcPr>
            <w:tcW w:w="1339" w:type="dxa"/>
            <w:shd w:val="clear" w:color="auto" w:fill="D9E2F3" w:themeFill="accent5" w:themeFillTint="33"/>
          </w:tcPr>
          <w:p w14:paraId="0A8EF45D" w14:textId="77777777" w:rsidR="00484AD2" w:rsidRPr="0041205C" w:rsidRDefault="00484AD2"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46.6%</w:t>
            </w:r>
          </w:p>
        </w:tc>
      </w:tr>
      <w:tr w:rsidR="00484AD2" w:rsidRPr="00A83A89" w14:paraId="542EAF4B" w14:textId="77777777" w:rsidTr="00176D0F">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tcPr>
          <w:p w14:paraId="476ED17D" w14:textId="77777777" w:rsidR="00484AD2" w:rsidRPr="00A83A89" w:rsidRDefault="00484AD2" w:rsidP="0041205C">
            <w:pPr>
              <w:pStyle w:val="TableCategoryText"/>
            </w:pPr>
            <w:r w:rsidRPr="00A83A89">
              <w:t>All</w:t>
            </w:r>
          </w:p>
        </w:tc>
        <w:tc>
          <w:tcPr>
            <w:tcW w:w="2664" w:type="dxa"/>
            <w:shd w:val="clear" w:color="auto" w:fill="D9E2F3" w:themeFill="accent5" w:themeFillTint="33"/>
            <w:noWrap/>
          </w:tcPr>
          <w:p w14:paraId="01677657" w14:textId="77777777" w:rsidR="00484AD2" w:rsidRPr="0041205C" w:rsidRDefault="00484AD2"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Migratory students</w:t>
            </w:r>
          </w:p>
        </w:tc>
        <w:tc>
          <w:tcPr>
            <w:tcW w:w="1339" w:type="dxa"/>
            <w:shd w:val="clear" w:color="auto" w:fill="D9E2F3" w:themeFill="accent5" w:themeFillTint="33"/>
          </w:tcPr>
          <w:p w14:paraId="7933977B" w14:textId="77777777" w:rsidR="00484AD2" w:rsidRPr="0041205C" w:rsidRDefault="00484AD2"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27.3%</w:t>
            </w:r>
          </w:p>
        </w:tc>
        <w:tc>
          <w:tcPr>
            <w:tcW w:w="1339" w:type="dxa"/>
            <w:shd w:val="clear" w:color="auto" w:fill="D9E2F3" w:themeFill="accent5" w:themeFillTint="33"/>
          </w:tcPr>
          <w:p w14:paraId="4B474C82" w14:textId="77777777" w:rsidR="00484AD2" w:rsidRPr="0041205C" w:rsidRDefault="00484AD2"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29.2%</w:t>
            </w:r>
          </w:p>
        </w:tc>
        <w:tc>
          <w:tcPr>
            <w:tcW w:w="1339" w:type="dxa"/>
            <w:shd w:val="clear" w:color="auto" w:fill="D9E2F3" w:themeFill="accent5" w:themeFillTint="33"/>
          </w:tcPr>
          <w:p w14:paraId="094F0227" w14:textId="77777777" w:rsidR="00484AD2" w:rsidRPr="0041205C" w:rsidRDefault="00484AD2"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23.9%</w:t>
            </w:r>
          </w:p>
        </w:tc>
        <w:tc>
          <w:tcPr>
            <w:tcW w:w="1339" w:type="dxa"/>
            <w:shd w:val="clear" w:color="auto" w:fill="D9E2F3" w:themeFill="accent5" w:themeFillTint="33"/>
          </w:tcPr>
          <w:p w14:paraId="37124D5D" w14:textId="77777777" w:rsidR="00484AD2" w:rsidRPr="0041205C" w:rsidRDefault="00484AD2"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23.4%</w:t>
            </w:r>
          </w:p>
        </w:tc>
      </w:tr>
      <w:tr w:rsidR="00484AD2" w:rsidRPr="00A83A89" w14:paraId="7A093E5E" w14:textId="77777777" w:rsidTr="00176D0F">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tcPr>
          <w:p w14:paraId="1E07A72A" w14:textId="77777777" w:rsidR="00484AD2" w:rsidRPr="00A83A89" w:rsidRDefault="00484AD2" w:rsidP="0041205C">
            <w:pPr>
              <w:pStyle w:val="TableCategoryText"/>
            </w:pPr>
            <w:r w:rsidRPr="00A83A89">
              <w:t>All</w:t>
            </w:r>
          </w:p>
        </w:tc>
        <w:tc>
          <w:tcPr>
            <w:tcW w:w="2664" w:type="dxa"/>
            <w:shd w:val="clear" w:color="auto" w:fill="D9E2F3" w:themeFill="accent5" w:themeFillTint="33"/>
            <w:noWrap/>
          </w:tcPr>
          <w:p w14:paraId="26A4C4B6" w14:textId="77777777" w:rsidR="00484AD2" w:rsidRPr="0041205C" w:rsidRDefault="00484AD2"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Migratory PFS students</w:t>
            </w:r>
          </w:p>
        </w:tc>
        <w:tc>
          <w:tcPr>
            <w:tcW w:w="1339" w:type="dxa"/>
            <w:shd w:val="clear" w:color="auto" w:fill="D9E2F3" w:themeFill="accent5" w:themeFillTint="33"/>
          </w:tcPr>
          <w:p w14:paraId="1A1B346A" w14:textId="77777777" w:rsidR="00484AD2" w:rsidRPr="0041205C" w:rsidRDefault="00484AD2"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16.0%</w:t>
            </w:r>
          </w:p>
        </w:tc>
        <w:tc>
          <w:tcPr>
            <w:tcW w:w="1339" w:type="dxa"/>
            <w:shd w:val="clear" w:color="auto" w:fill="D9E2F3" w:themeFill="accent5" w:themeFillTint="33"/>
          </w:tcPr>
          <w:p w14:paraId="20B68620" w14:textId="77777777" w:rsidR="00484AD2" w:rsidRPr="0041205C" w:rsidRDefault="00484AD2"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16.0%</w:t>
            </w:r>
          </w:p>
        </w:tc>
        <w:tc>
          <w:tcPr>
            <w:tcW w:w="1339" w:type="dxa"/>
            <w:shd w:val="clear" w:color="auto" w:fill="D9E2F3" w:themeFill="accent5" w:themeFillTint="33"/>
          </w:tcPr>
          <w:p w14:paraId="15443545" w14:textId="77777777" w:rsidR="00484AD2" w:rsidRPr="0041205C" w:rsidRDefault="00484AD2"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16.0%</w:t>
            </w:r>
          </w:p>
        </w:tc>
        <w:tc>
          <w:tcPr>
            <w:tcW w:w="1339" w:type="dxa"/>
            <w:shd w:val="clear" w:color="auto" w:fill="D9E2F3" w:themeFill="accent5" w:themeFillTint="33"/>
          </w:tcPr>
          <w:p w14:paraId="74BC6205" w14:textId="77777777" w:rsidR="00484AD2" w:rsidRPr="0041205C" w:rsidRDefault="00484AD2"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15.4%</w:t>
            </w:r>
          </w:p>
        </w:tc>
      </w:tr>
    </w:tbl>
    <w:p w14:paraId="4FAA935C" w14:textId="4FA83967" w:rsidR="00484AD2" w:rsidRPr="00A313C7" w:rsidRDefault="00484AD2" w:rsidP="00A313C7">
      <w:pPr>
        <w:spacing w:after="240"/>
        <w:rPr>
          <w:rFonts w:eastAsia="Times New Roman" w:cs="Arial"/>
        </w:rPr>
      </w:pPr>
      <w:r w:rsidRPr="00484AD2">
        <w:rPr>
          <w:shd w:val="clear" w:color="auto" w:fill="FFFFFF"/>
        </w:rPr>
        <w:t xml:space="preserve">Source: </w:t>
      </w:r>
      <w:r w:rsidRPr="00484AD2">
        <w:t xml:space="preserve">CDE CAASPP data files, SYs 2017–18, 2018–19, 2021–22, and 2022–23, and the </w:t>
      </w:r>
      <w:r w:rsidRPr="00484AD2">
        <w:rPr>
          <w:shd w:val="clear" w:color="auto" w:fill="FFFFFF"/>
        </w:rPr>
        <w:t xml:space="preserve">MSIN </w:t>
      </w:r>
      <w:r w:rsidR="00A313C7">
        <w:rPr>
          <w:shd w:val="clear" w:color="auto" w:fill="FFFFFF"/>
        </w:rPr>
        <w:t>d</w:t>
      </w:r>
      <w:r w:rsidRPr="00484AD2">
        <w:rPr>
          <w:shd w:val="clear" w:color="auto" w:fill="FFFFFF"/>
        </w:rPr>
        <w:t>atabases for the MEP,</w:t>
      </w:r>
      <w:r w:rsidR="00D1613E">
        <w:rPr>
          <w:shd w:val="clear" w:color="auto" w:fill="FFFFFF"/>
        </w:rPr>
        <w:t xml:space="preserve"> </w:t>
      </w:r>
      <w:r w:rsidRPr="00484AD2">
        <w:rPr>
          <w:shd w:val="clear" w:color="auto" w:fill="FFFFFF"/>
        </w:rPr>
        <w:t xml:space="preserve">2017–18, 2018–19, 2021–22, and 2022–23 </w:t>
      </w:r>
      <w:r w:rsidRPr="00484AD2">
        <w:rPr>
          <w:shd w:val="clear" w:color="auto" w:fill="FFFFFF"/>
        </w:rPr>
        <w:lastRenderedPageBreak/>
        <w:t xml:space="preserve">performance periods. Accessed February 2023 for SY 2017–18 through SY 2021–22 and December 2023 for </w:t>
      </w:r>
      <w:r w:rsidRPr="00A313C7">
        <w:rPr>
          <w:rFonts w:eastAsia="Times New Roman" w:cs="Arial"/>
        </w:rPr>
        <w:t>SY 2022–23.</w:t>
      </w:r>
    </w:p>
    <w:p w14:paraId="3CA173C8" w14:textId="36EF1DF9" w:rsidR="008C0973" w:rsidRPr="002F0E3F" w:rsidRDefault="00F43231" w:rsidP="00CF280A">
      <w:pPr>
        <w:spacing w:after="240"/>
        <w:rPr>
          <w:rFonts w:eastAsia="Times New Roman" w:cs="Arial"/>
        </w:rPr>
      </w:pPr>
      <w:r>
        <w:rPr>
          <w:rFonts w:cs="Arial"/>
        </w:rPr>
        <w:t>In addition to identifying students’ overall ELA proficiency, s</w:t>
      </w:r>
      <w:r w:rsidR="008C0973" w:rsidRPr="002F0E3F">
        <w:rPr>
          <w:rFonts w:cs="Arial"/>
        </w:rPr>
        <w:t xml:space="preserve">tudents’ CAASPP </w:t>
      </w:r>
      <w:r>
        <w:rPr>
          <w:rFonts w:cs="Arial"/>
        </w:rPr>
        <w:t xml:space="preserve">ELA Smarter Balanced Assessment </w:t>
      </w:r>
      <w:r w:rsidR="008C0973" w:rsidRPr="002F0E3F">
        <w:rPr>
          <w:rFonts w:cs="Arial"/>
        </w:rPr>
        <w:t xml:space="preserve">scores </w:t>
      </w:r>
      <w:r>
        <w:rPr>
          <w:rFonts w:cs="Arial"/>
        </w:rPr>
        <w:t>cover specific areas in ELA called</w:t>
      </w:r>
      <w:r w:rsidR="008C0973" w:rsidRPr="002F0E3F">
        <w:rPr>
          <w:rFonts w:cs="Arial"/>
        </w:rPr>
        <w:t xml:space="preserve"> claims. As a reminder, </w:t>
      </w:r>
      <w:r w:rsidR="008C0973" w:rsidRPr="002F0E3F">
        <w:rPr>
          <w:rFonts w:eastAsia="Times New Roman" w:cs="Arial"/>
        </w:rPr>
        <w:t>the claims for ELA are:</w:t>
      </w:r>
    </w:p>
    <w:p w14:paraId="18E39EE5" w14:textId="77777777" w:rsidR="008C0973" w:rsidRPr="002F0E3F" w:rsidRDefault="008C0973" w:rsidP="009670FC">
      <w:pPr>
        <w:pStyle w:val="ListParagraph"/>
        <w:numPr>
          <w:ilvl w:val="0"/>
          <w:numId w:val="24"/>
        </w:numPr>
        <w:contextualSpacing w:val="0"/>
        <w:rPr>
          <w:rFonts w:cs="Arial"/>
        </w:rPr>
      </w:pPr>
      <w:r w:rsidRPr="002F0E3F">
        <w:rPr>
          <w:rFonts w:cs="Arial"/>
        </w:rPr>
        <w:t>Claim 1 - Reading</w:t>
      </w:r>
    </w:p>
    <w:p w14:paraId="6F53657F" w14:textId="77777777" w:rsidR="008C0973" w:rsidRPr="002F0E3F" w:rsidRDefault="008C0973" w:rsidP="009670FC">
      <w:pPr>
        <w:pStyle w:val="ListParagraph"/>
        <w:numPr>
          <w:ilvl w:val="0"/>
          <w:numId w:val="24"/>
        </w:numPr>
        <w:contextualSpacing w:val="0"/>
        <w:rPr>
          <w:rFonts w:cs="Arial"/>
        </w:rPr>
      </w:pPr>
      <w:r w:rsidRPr="002F0E3F">
        <w:rPr>
          <w:rFonts w:cs="Arial"/>
        </w:rPr>
        <w:t>Claim 2 - Writing</w:t>
      </w:r>
    </w:p>
    <w:p w14:paraId="6D699CB7" w14:textId="77777777" w:rsidR="008C0973" w:rsidRPr="002F0E3F" w:rsidRDefault="008C0973" w:rsidP="009670FC">
      <w:pPr>
        <w:pStyle w:val="ListParagraph"/>
        <w:numPr>
          <w:ilvl w:val="0"/>
          <w:numId w:val="24"/>
        </w:numPr>
        <w:contextualSpacing w:val="0"/>
        <w:rPr>
          <w:rFonts w:cs="Arial"/>
        </w:rPr>
      </w:pPr>
      <w:r w:rsidRPr="002F0E3F">
        <w:rPr>
          <w:rFonts w:cs="Arial"/>
        </w:rPr>
        <w:t>Claim 3 - Speaking and Listening</w:t>
      </w:r>
    </w:p>
    <w:p w14:paraId="07AE01C2" w14:textId="77777777" w:rsidR="008C0973" w:rsidRPr="002F0E3F" w:rsidRDefault="008C0973" w:rsidP="009670FC">
      <w:pPr>
        <w:pStyle w:val="ListParagraph"/>
        <w:numPr>
          <w:ilvl w:val="0"/>
          <w:numId w:val="24"/>
        </w:numPr>
        <w:spacing w:after="240"/>
        <w:contextualSpacing w:val="0"/>
        <w:rPr>
          <w:rFonts w:cs="Arial"/>
        </w:rPr>
      </w:pPr>
      <w:r w:rsidRPr="002F0E3F">
        <w:rPr>
          <w:rFonts w:cs="Arial"/>
        </w:rPr>
        <w:t>Claim 4 - Research and Inquiry</w:t>
      </w:r>
    </w:p>
    <w:p w14:paraId="39862AE5" w14:textId="026F3A73" w:rsidR="008C0973" w:rsidRPr="002F0E3F" w:rsidRDefault="008C0973" w:rsidP="00CF280A">
      <w:pPr>
        <w:spacing w:after="240"/>
        <w:rPr>
          <w:rFonts w:cs="Arial"/>
        </w:rPr>
      </w:pPr>
      <w:r w:rsidRPr="002F0E3F">
        <w:rPr>
          <w:rFonts w:cs="Arial"/>
        </w:rPr>
        <w:t xml:space="preserve">Based on their assessment performance, students are assigned one of three claim achievement levels: </w:t>
      </w:r>
      <w:r w:rsidR="00D55EE4">
        <w:rPr>
          <w:rFonts w:cs="Arial"/>
        </w:rPr>
        <w:t>below standard</w:t>
      </w:r>
      <w:r w:rsidRPr="002F0E3F">
        <w:rPr>
          <w:rFonts w:cs="Arial"/>
        </w:rPr>
        <w:t xml:space="preserve">, </w:t>
      </w:r>
      <w:r w:rsidR="00D55EE4">
        <w:rPr>
          <w:rFonts w:cs="Arial"/>
        </w:rPr>
        <w:t>near standard</w:t>
      </w:r>
      <w:r w:rsidRPr="002F0E3F">
        <w:rPr>
          <w:rFonts w:cs="Arial"/>
        </w:rPr>
        <w:t xml:space="preserve">, or </w:t>
      </w:r>
      <w:r w:rsidR="00D55EE4">
        <w:rPr>
          <w:rFonts w:cs="Arial"/>
        </w:rPr>
        <w:t>above standard</w:t>
      </w:r>
      <w:r w:rsidRPr="002F0E3F">
        <w:rPr>
          <w:rFonts w:cs="Arial"/>
        </w:rPr>
        <w:t>.</w:t>
      </w:r>
    </w:p>
    <w:p w14:paraId="48F1B05D" w14:textId="0BF17F4B" w:rsidR="008C0973" w:rsidRPr="00437481" w:rsidRDefault="008C0973" w:rsidP="00CF280A">
      <w:pPr>
        <w:spacing w:after="240"/>
        <w:rPr>
          <w:rFonts w:cs="Arial"/>
        </w:rPr>
      </w:pPr>
      <w:r w:rsidRPr="00437481">
        <w:rPr>
          <w:rFonts w:cs="Arial"/>
        </w:rPr>
        <w:t xml:space="preserve">Across the four ELA claims, </w:t>
      </w:r>
      <w:r w:rsidR="003D1ADA">
        <w:rPr>
          <w:rFonts w:cs="Arial"/>
        </w:rPr>
        <w:t>m</w:t>
      </w:r>
      <w:r w:rsidRPr="00437481">
        <w:rPr>
          <w:rFonts w:cs="Arial"/>
        </w:rPr>
        <w:t xml:space="preserve">igratory </w:t>
      </w:r>
      <w:r w:rsidR="003D1ADA">
        <w:rPr>
          <w:rFonts w:cs="Arial"/>
        </w:rPr>
        <w:t>s</w:t>
      </w:r>
      <w:r w:rsidRPr="00437481">
        <w:rPr>
          <w:rFonts w:cs="Arial"/>
        </w:rPr>
        <w:t xml:space="preserve">tudents were consistently less likely than </w:t>
      </w:r>
      <w:r w:rsidR="00496904">
        <w:rPr>
          <w:rFonts w:cs="Arial"/>
        </w:rPr>
        <w:t>a</w:t>
      </w:r>
      <w:r w:rsidRPr="00437481">
        <w:rPr>
          <w:rFonts w:cs="Arial"/>
        </w:rPr>
        <w:t xml:space="preserve">ll </w:t>
      </w:r>
      <w:r w:rsidR="00496904">
        <w:rPr>
          <w:rFonts w:cs="Arial"/>
        </w:rPr>
        <w:t>s</w:t>
      </w:r>
      <w:r w:rsidRPr="00437481">
        <w:rPr>
          <w:rFonts w:cs="Arial"/>
        </w:rPr>
        <w:t xml:space="preserve">tudents to perform </w:t>
      </w:r>
      <w:r w:rsidR="005234F9">
        <w:rPr>
          <w:rFonts w:cs="Arial"/>
        </w:rPr>
        <w:t>near</w:t>
      </w:r>
      <w:r w:rsidRPr="00437481">
        <w:rPr>
          <w:rFonts w:cs="Arial"/>
        </w:rPr>
        <w:t xml:space="preserve"> or </w:t>
      </w:r>
      <w:r w:rsidR="00D55EE4">
        <w:rPr>
          <w:rFonts w:cs="Arial"/>
        </w:rPr>
        <w:t>above standard</w:t>
      </w:r>
      <w:r w:rsidRPr="00437481">
        <w:rPr>
          <w:rFonts w:cs="Arial"/>
        </w:rPr>
        <w:t xml:space="preserve">, and consistently more likely to perform </w:t>
      </w:r>
      <w:r w:rsidR="00D55EE4">
        <w:rPr>
          <w:rFonts w:cs="Arial"/>
        </w:rPr>
        <w:t>below standard</w:t>
      </w:r>
      <w:r w:rsidRPr="00437481">
        <w:rPr>
          <w:rFonts w:cs="Arial"/>
        </w:rPr>
        <w:t xml:space="preserve">. </w:t>
      </w:r>
    </w:p>
    <w:p w14:paraId="51082755" w14:textId="77777777" w:rsidR="00437481" w:rsidRPr="00437481" w:rsidRDefault="00437481" w:rsidP="00CF280A">
      <w:pPr>
        <w:pStyle w:val="Heading4"/>
      </w:pPr>
      <w:bookmarkStart w:id="92" w:name="_Toc135948118"/>
      <w:bookmarkStart w:id="93" w:name="_Toc154499374"/>
      <w:r w:rsidRPr="00437481">
        <w:t>California Assessment of Student Performance and Progress for English Language Arts Reading Claim</w:t>
      </w:r>
      <w:bookmarkEnd w:id="92"/>
      <w:bookmarkEnd w:id="93"/>
    </w:p>
    <w:p w14:paraId="40D9BA00" w14:textId="1A538F2D" w:rsidR="00437481" w:rsidRPr="00437481" w:rsidRDefault="00437481" w:rsidP="00CF280A">
      <w:pPr>
        <w:pStyle w:val="Paragraph"/>
        <w:spacing w:line="240" w:lineRule="auto"/>
        <w:rPr>
          <w:noProof w:val="0"/>
          <w:color w:val="auto"/>
          <w:shd w:val="clear" w:color="auto" w:fill="FFFFFF"/>
        </w:rPr>
      </w:pPr>
      <w:r w:rsidRPr="00437481">
        <w:rPr>
          <w:noProof w:val="0"/>
          <w:color w:val="auto"/>
          <w:shd w:val="clear" w:color="auto" w:fill="FFFFFF"/>
        </w:rPr>
        <w:t xml:space="preserve">From SYs 2017–18 through 2018–19, all three student populations increased the percentage of students scoring </w:t>
      </w:r>
      <w:r w:rsidR="00D55EE4">
        <w:rPr>
          <w:noProof w:val="0"/>
          <w:color w:val="auto"/>
          <w:shd w:val="clear" w:color="auto" w:fill="FFFFFF"/>
        </w:rPr>
        <w:t>above standard</w:t>
      </w:r>
      <w:r w:rsidRPr="00437481">
        <w:rPr>
          <w:noProof w:val="0"/>
          <w:color w:val="auto"/>
          <w:shd w:val="clear" w:color="auto" w:fill="FFFFFF"/>
        </w:rPr>
        <w:t xml:space="preserve"> for the CAASPP</w:t>
      </w:r>
      <w:r w:rsidRPr="00437481">
        <w:rPr>
          <w:rFonts w:ascii="Lato" w:hAnsi="Lato"/>
          <w:noProof w:val="0"/>
          <w:color w:val="auto"/>
          <w:sz w:val="20"/>
          <w:szCs w:val="20"/>
        </w:rPr>
        <w:t xml:space="preserve"> </w:t>
      </w:r>
      <w:r w:rsidRPr="00437481">
        <w:rPr>
          <w:noProof w:val="0"/>
          <w:color w:val="auto"/>
          <w:shd w:val="clear" w:color="auto" w:fill="FFFFFF"/>
        </w:rPr>
        <w:t xml:space="preserve">ELA reading claim. Between SYs 2018–19 and 2021–22, the percentage of students who were </w:t>
      </w:r>
      <w:r w:rsidR="00D55EE4">
        <w:rPr>
          <w:noProof w:val="0"/>
          <w:color w:val="auto"/>
          <w:shd w:val="clear" w:color="auto" w:fill="FFFFFF"/>
        </w:rPr>
        <w:t>above standard</w:t>
      </w:r>
      <w:r w:rsidRPr="00437481">
        <w:rPr>
          <w:noProof w:val="0"/>
          <w:color w:val="auto"/>
          <w:shd w:val="clear" w:color="auto" w:fill="FFFFFF"/>
        </w:rPr>
        <w:t xml:space="preserve"> on the reading claim declined for migratory and all students, but it increased slightly for migratory PFS students.</w:t>
      </w:r>
    </w:p>
    <w:p w14:paraId="7BC16ED5" w14:textId="77777777" w:rsidR="00437481" w:rsidRPr="00437481" w:rsidRDefault="00437481" w:rsidP="00CF280A">
      <w:pPr>
        <w:pStyle w:val="Heading4"/>
      </w:pPr>
      <w:r w:rsidRPr="00437481">
        <w:t>Key Findings</w:t>
      </w:r>
    </w:p>
    <w:p w14:paraId="46C5E39B" w14:textId="77777777" w:rsidR="00437481" w:rsidRPr="00A103FC" w:rsidRDefault="00437481" w:rsidP="00A103FC">
      <w:pPr>
        <w:pStyle w:val="List-Level1"/>
        <w:spacing w:after="240" w:line="240" w:lineRule="auto"/>
        <w:ind w:left="720" w:hanging="360"/>
        <w:rPr>
          <w:color w:val="auto"/>
        </w:rPr>
      </w:pPr>
      <w:r w:rsidRPr="00A103FC">
        <w:rPr>
          <w:noProof w:val="0"/>
          <w:color w:val="auto"/>
        </w:rPr>
        <w:t xml:space="preserve">By SY 2021–22, migratory PFS students narrowed their earlier performance </w:t>
      </w:r>
      <w:r w:rsidRPr="00A103FC">
        <w:rPr>
          <w:noProof w:val="0"/>
          <w:color w:val="auto"/>
        </w:rPr>
        <w:br/>
        <w:t>gap with migratory students on th</w:t>
      </w:r>
      <w:r w:rsidRPr="00A103FC">
        <w:rPr>
          <w:color w:val="auto"/>
        </w:rPr>
        <w:t>e CAASPP ELA reading claim to a 3.3</w:t>
      </w:r>
      <w:r w:rsidRPr="00A103FC">
        <w:rPr>
          <w:color w:val="auto"/>
          <w:sz w:val="28"/>
          <w:szCs w:val="28"/>
        </w:rPr>
        <w:t> </w:t>
      </w:r>
      <w:r w:rsidRPr="00A103FC">
        <w:rPr>
          <w:color w:val="auto"/>
        </w:rPr>
        <w:t>percentage point difference (compared with a 5.4 percentage point difference in SY 2017–18).</w:t>
      </w:r>
    </w:p>
    <w:p w14:paraId="30B97F76" w14:textId="2983D98C" w:rsidR="00437481" w:rsidRPr="00A103FC" w:rsidRDefault="00437481" w:rsidP="00A103FC">
      <w:pPr>
        <w:pStyle w:val="List-Level1"/>
        <w:spacing w:after="240" w:line="240" w:lineRule="auto"/>
        <w:ind w:left="720" w:hanging="360"/>
        <w:rPr>
          <w:color w:val="auto"/>
        </w:rPr>
      </w:pPr>
      <w:r w:rsidRPr="00A103FC">
        <w:rPr>
          <w:color w:val="auto"/>
        </w:rPr>
        <w:t xml:space="preserve">In SY 2022–23, migratory PFS students were 15.4 percentage points less likely than all students to score at </w:t>
      </w:r>
      <w:r w:rsidR="00D55EE4" w:rsidRPr="00A103FC">
        <w:rPr>
          <w:color w:val="auto"/>
        </w:rPr>
        <w:t>above standard</w:t>
      </w:r>
      <w:r w:rsidR="004F4EF5" w:rsidRPr="00A103FC">
        <w:rPr>
          <w:color w:val="auto"/>
        </w:rPr>
        <w:t xml:space="preserve"> </w:t>
      </w:r>
      <w:r w:rsidR="004F4EF5" w:rsidRPr="00A103FC">
        <w:rPr>
          <w:noProof w:val="0"/>
          <w:color w:val="auto"/>
        </w:rPr>
        <w:t>on th</w:t>
      </w:r>
      <w:r w:rsidR="004F4EF5" w:rsidRPr="00A103FC">
        <w:rPr>
          <w:color w:val="auto"/>
        </w:rPr>
        <w:t>e CAASPP ELA reading claim</w:t>
      </w:r>
      <w:r w:rsidRPr="00A103FC">
        <w:rPr>
          <w:color w:val="auto"/>
        </w:rPr>
        <w:t xml:space="preserve">. Migratory students overall were 11.9 percentage points less likely than all students to score at </w:t>
      </w:r>
      <w:r w:rsidR="00D55EE4" w:rsidRPr="00A103FC">
        <w:rPr>
          <w:color w:val="auto"/>
        </w:rPr>
        <w:t>above standard</w:t>
      </w:r>
      <w:r w:rsidRPr="00A103FC">
        <w:rPr>
          <w:color w:val="auto"/>
        </w:rPr>
        <w:t>.</w:t>
      </w:r>
    </w:p>
    <w:p w14:paraId="575B96A6" w14:textId="5A742664" w:rsidR="00437481" w:rsidRPr="00437481" w:rsidRDefault="00BF1DBC" w:rsidP="00A103FC">
      <w:pPr>
        <w:pStyle w:val="List-Level1"/>
        <w:spacing w:after="240" w:line="240" w:lineRule="auto"/>
        <w:ind w:left="720" w:hanging="360"/>
        <w:rPr>
          <w:color w:val="auto"/>
        </w:rPr>
      </w:pPr>
      <w:r>
        <w:rPr>
          <w:color w:val="auto"/>
        </w:rPr>
        <w:t>The</w:t>
      </w:r>
      <w:r w:rsidR="00437481" w:rsidRPr="00A103FC">
        <w:rPr>
          <w:color w:val="auto"/>
        </w:rPr>
        <w:t xml:space="preserve"> COVID-19 pandemic </w:t>
      </w:r>
      <w:r>
        <w:rPr>
          <w:color w:val="auto"/>
        </w:rPr>
        <w:t>greatly</w:t>
      </w:r>
      <w:r w:rsidRPr="00A103FC">
        <w:rPr>
          <w:color w:val="auto"/>
        </w:rPr>
        <w:t xml:space="preserve"> </w:t>
      </w:r>
      <w:r w:rsidR="00437481" w:rsidRPr="00A103FC">
        <w:rPr>
          <w:color w:val="auto"/>
        </w:rPr>
        <w:t>affected proficiency levels for all students and m</w:t>
      </w:r>
      <w:r w:rsidR="00437481" w:rsidRPr="00437481">
        <w:rPr>
          <w:color w:val="auto"/>
        </w:rPr>
        <w:t xml:space="preserve">igratory students as illustrated in the following claim data. </w:t>
      </w:r>
    </w:p>
    <w:p w14:paraId="6FAF54C4" w14:textId="15051247" w:rsidR="00437481" w:rsidRPr="00437481" w:rsidRDefault="003E3C7B" w:rsidP="006E4E6A">
      <w:pPr>
        <w:pStyle w:val="Paragraph-AfterList"/>
        <w:spacing w:before="0" w:line="240" w:lineRule="auto"/>
        <w:rPr>
          <w:color w:val="auto"/>
        </w:rPr>
      </w:pPr>
      <w:r>
        <w:rPr>
          <w:noProof w:val="0"/>
          <w:color w:val="auto"/>
        </w:rPr>
        <w:t>Figure 9</w:t>
      </w:r>
      <w:r w:rsidR="00437481" w:rsidRPr="00437481">
        <w:rPr>
          <w:color w:val="auto"/>
        </w:rPr>
        <w:t xml:space="preserve"> shows the percentage of all students, migratory students, and migratory PFS students who scored at </w:t>
      </w:r>
      <w:r w:rsidR="00D55EE4">
        <w:rPr>
          <w:color w:val="auto"/>
        </w:rPr>
        <w:t>above standard</w:t>
      </w:r>
      <w:r w:rsidR="00437481" w:rsidRPr="00437481">
        <w:rPr>
          <w:color w:val="auto"/>
        </w:rPr>
        <w:t xml:space="preserve"> on the CAASPP ELA reading claim over the past four assessment years.</w:t>
      </w:r>
    </w:p>
    <w:p w14:paraId="56B00EE7" w14:textId="1C6C16BF" w:rsidR="004050CA" w:rsidRPr="004050CA" w:rsidRDefault="004050CA" w:rsidP="00792C07">
      <w:pPr>
        <w:pStyle w:val="Heading5"/>
        <w:rPr>
          <w:rFonts w:eastAsia="SimSun"/>
          <w:noProof/>
        </w:rPr>
      </w:pPr>
      <w:bookmarkStart w:id="94" w:name="_Toc188030508"/>
      <w:r w:rsidRPr="004050CA">
        <w:lastRenderedPageBreak/>
        <w:t xml:space="preserve">Figure </w:t>
      </w:r>
      <w:fldSimple w:instr=" SEQ Figure \* ARABIC ">
        <w:r w:rsidR="00AB15FE">
          <w:rPr>
            <w:noProof/>
          </w:rPr>
          <w:t>9</w:t>
        </w:r>
      </w:fldSimple>
      <w:r w:rsidRPr="004050CA">
        <w:t xml:space="preserve">. Percentage of All Students, Migratory Students, and Migratory Priority-for-Service Students Scoring Above Standard on the California Assessment of Student Performance and Progress English Language Arts Reading Claim for All Grades, School Years 2017–18, </w:t>
      </w:r>
      <w:r w:rsidRPr="004050CA">
        <w:rPr>
          <w:rFonts w:eastAsia="SimSun"/>
        </w:rPr>
        <w:t>2021–22, and 2022–23</w:t>
      </w:r>
      <w:bookmarkEnd w:id="94"/>
    </w:p>
    <w:p w14:paraId="0C87F529" w14:textId="77777777" w:rsidR="00437481" w:rsidRDefault="00437481" w:rsidP="00CF280A">
      <w:pPr>
        <w:pStyle w:val="Figure"/>
      </w:pPr>
      <w:r>
        <w:drawing>
          <wp:inline distT="0" distB="0" distL="0" distR="0" wp14:anchorId="068BF186" wp14:editId="2415D748">
            <wp:extent cx="6147303" cy="2915216"/>
            <wp:effectExtent l="0" t="0" r="6350" b="0"/>
            <wp:docPr id="935665655" name="Chart 1" descr="Line graph showing the percentage of students scoring at above standard on the CAASPP ELA reading claim for SYs 2017–18 to 2022–23. Table 11 provides this information in table form.">
              <a:extLst xmlns:a="http://schemas.openxmlformats.org/drawingml/2006/main">
                <a:ext uri="{FF2B5EF4-FFF2-40B4-BE49-F238E27FC236}">
                  <a16:creationId xmlns:a16="http://schemas.microsoft.com/office/drawing/2014/main" id="{D0310F2D-83F7-A24C-AB0E-650E5231C2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11966DD" w14:textId="55C71FEE" w:rsidR="00437481" w:rsidRDefault="00437481" w:rsidP="00792C07">
      <w:pPr>
        <w:pStyle w:val="TableorFiguresNotesSources"/>
        <w:spacing w:before="0" w:after="240" w:line="240" w:lineRule="auto"/>
        <w:rPr>
          <w:color w:val="auto"/>
        </w:rPr>
      </w:pPr>
      <w:r w:rsidRPr="00437481">
        <w:rPr>
          <w:rFonts w:cs="Arial"/>
          <w:color w:val="auto"/>
          <w:shd w:val="clear" w:color="auto" w:fill="FFFFFF"/>
        </w:rPr>
        <w:t xml:space="preserve">Source: </w:t>
      </w:r>
      <w:r w:rsidRPr="00437481">
        <w:rPr>
          <w:color w:val="auto"/>
        </w:rPr>
        <w:t xml:space="preserve">CDE CAASPP data files, SYs 2017–18, 2018–19, 2021–22, and 2022–23, and the MSIN </w:t>
      </w:r>
      <w:r w:rsidR="009E352E">
        <w:rPr>
          <w:color w:val="auto"/>
        </w:rPr>
        <w:t>databases</w:t>
      </w:r>
      <w:r w:rsidRPr="00437481">
        <w:rPr>
          <w:color w:val="auto"/>
        </w:rPr>
        <w:t xml:space="preserve"> for the MEP, 2017–18, 2018–19, 2021–22, and 2022–23 performance periods. Accessed February 2023 for SYs 2017–18 through 2021–22 and December 2023 for SY 2022–23.</w:t>
      </w:r>
    </w:p>
    <w:p w14:paraId="05FFC08C" w14:textId="064CB658" w:rsidR="004050CA" w:rsidRPr="004050CA" w:rsidRDefault="004050CA" w:rsidP="00792C07">
      <w:pPr>
        <w:pStyle w:val="Heading5"/>
        <w:rPr>
          <w:rFonts w:eastAsia="SimSun"/>
        </w:rPr>
      </w:pPr>
      <w:bookmarkStart w:id="95" w:name="_Toc188030576"/>
      <w:r w:rsidRPr="004050CA">
        <w:t xml:space="preserve">Table </w:t>
      </w:r>
      <w:fldSimple w:instr=" SEQ Table \* ARABIC ">
        <w:r w:rsidR="00D04DC5">
          <w:rPr>
            <w:noProof/>
          </w:rPr>
          <w:t>11</w:t>
        </w:r>
      </w:fldSimple>
      <w:r w:rsidRPr="004050CA">
        <w:t>. Percentage of All Students, Migratory Students, and Migratory Priority-for-Service Students Scoring Above Standard on the English Language Arts Reading Claim for All Grades, School Years 2017–18, 2018–19, 2021–22, and 2022–23</w:t>
      </w:r>
      <w:bookmarkEnd w:id="95"/>
    </w:p>
    <w:tbl>
      <w:tblPr>
        <w:tblStyle w:val="ListTable3-Accent5"/>
        <w:tblW w:w="0" w:type="auto"/>
        <w:tblLayout w:type="fixed"/>
        <w:tblCellMar>
          <w:right w:w="108" w:type="dxa"/>
        </w:tblCellMar>
        <w:tblLook w:val="04A0" w:firstRow="1" w:lastRow="0" w:firstColumn="1" w:lastColumn="0" w:noHBand="0" w:noVBand="1"/>
      </w:tblPr>
      <w:tblGrid>
        <w:gridCol w:w="1339"/>
        <w:gridCol w:w="2664"/>
        <w:gridCol w:w="1339"/>
        <w:gridCol w:w="1339"/>
        <w:gridCol w:w="1339"/>
        <w:gridCol w:w="1339"/>
      </w:tblGrid>
      <w:tr w:rsidR="00176D0F" w:rsidRPr="00176D0F" w14:paraId="69787B31" w14:textId="77777777" w:rsidTr="00176D0F">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339" w:type="dxa"/>
            <w:hideMark/>
          </w:tcPr>
          <w:p w14:paraId="6561FCAA" w14:textId="77777777" w:rsidR="00176D0F" w:rsidRPr="00176D0F" w:rsidRDefault="00176D0F" w:rsidP="00176D0F">
            <w:pPr>
              <w:spacing w:line="240" w:lineRule="atLeast"/>
              <w:rPr>
                <w:rFonts w:eastAsia="SimSun"/>
                <w:noProof/>
                <w:color w:val="FFFFFF"/>
                <w:szCs w:val="20"/>
              </w:rPr>
            </w:pPr>
            <w:r w:rsidRPr="00176D0F">
              <w:rPr>
                <w:rFonts w:eastAsia="SimSun"/>
                <w:noProof/>
                <w:color w:val="FFFFFF"/>
                <w:szCs w:val="20"/>
              </w:rPr>
              <w:t>Grade</w:t>
            </w:r>
          </w:p>
        </w:tc>
        <w:tc>
          <w:tcPr>
            <w:tcW w:w="2664" w:type="dxa"/>
            <w:noWrap/>
            <w:hideMark/>
          </w:tcPr>
          <w:p w14:paraId="7B26F759" w14:textId="77777777" w:rsidR="00176D0F" w:rsidRPr="00176D0F" w:rsidRDefault="00176D0F" w:rsidP="00176D0F">
            <w:pPr>
              <w:spacing w:line="240" w:lineRule="atLeast"/>
              <w:cnfStyle w:val="100000000000" w:firstRow="1" w:lastRow="0" w:firstColumn="0" w:lastColumn="0" w:oddVBand="0" w:evenVBand="0" w:oddHBand="0" w:evenHBand="0" w:firstRowFirstColumn="0" w:firstRowLastColumn="0" w:lastRowFirstColumn="0" w:lastRowLastColumn="0"/>
              <w:rPr>
                <w:rFonts w:eastAsia="SimSun"/>
                <w:noProof/>
                <w:color w:val="FFFFFF"/>
                <w:szCs w:val="20"/>
              </w:rPr>
            </w:pPr>
            <w:r w:rsidRPr="00176D0F">
              <w:rPr>
                <w:rFonts w:eastAsia="SimSun"/>
                <w:noProof/>
                <w:color w:val="FFFFFF"/>
                <w:szCs w:val="20"/>
              </w:rPr>
              <w:t>Student Population</w:t>
            </w:r>
          </w:p>
        </w:tc>
        <w:tc>
          <w:tcPr>
            <w:tcW w:w="1339" w:type="dxa"/>
            <w:hideMark/>
          </w:tcPr>
          <w:p w14:paraId="20EBF943" w14:textId="77777777" w:rsidR="00176D0F" w:rsidRPr="00176D0F" w:rsidRDefault="00176D0F" w:rsidP="00176D0F">
            <w:pPr>
              <w:spacing w:line="240" w:lineRule="atLeast"/>
              <w:cnfStyle w:val="100000000000" w:firstRow="1" w:lastRow="0" w:firstColumn="0" w:lastColumn="0" w:oddVBand="0" w:evenVBand="0" w:oddHBand="0" w:evenHBand="0" w:firstRowFirstColumn="0" w:firstRowLastColumn="0" w:lastRowFirstColumn="0" w:lastRowLastColumn="0"/>
              <w:rPr>
                <w:rFonts w:eastAsia="SimSun"/>
                <w:noProof/>
                <w:color w:val="FFFFFF"/>
                <w:szCs w:val="20"/>
              </w:rPr>
            </w:pPr>
            <w:r w:rsidRPr="00176D0F">
              <w:rPr>
                <w:rFonts w:eastAsia="SimSun"/>
                <w:noProof/>
                <w:color w:val="FFFFFF"/>
                <w:szCs w:val="20"/>
              </w:rPr>
              <w:t xml:space="preserve">2017–18 </w:t>
            </w:r>
          </w:p>
        </w:tc>
        <w:tc>
          <w:tcPr>
            <w:tcW w:w="1339" w:type="dxa"/>
            <w:hideMark/>
          </w:tcPr>
          <w:p w14:paraId="17C6306C" w14:textId="77777777" w:rsidR="00176D0F" w:rsidRPr="00176D0F" w:rsidRDefault="00176D0F" w:rsidP="00176D0F">
            <w:pPr>
              <w:spacing w:line="240" w:lineRule="atLeast"/>
              <w:cnfStyle w:val="100000000000" w:firstRow="1" w:lastRow="0" w:firstColumn="0" w:lastColumn="0" w:oddVBand="0" w:evenVBand="0" w:oddHBand="0" w:evenHBand="0" w:firstRowFirstColumn="0" w:firstRowLastColumn="0" w:lastRowFirstColumn="0" w:lastRowLastColumn="0"/>
              <w:rPr>
                <w:rFonts w:eastAsia="SimSun"/>
                <w:noProof/>
                <w:color w:val="FFFFFF"/>
                <w:szCs w:val="20"/>
              </w:rPr>
            </w:pPr>
            <w:r w:rsidRPr="00176D0F">
              <w:rPr>
                <w:rFonts w:eastAsia="SimSun"/>
                <w:noProof/>
                <w:color w:val="FFFFFF"/>
                <w:szCs w:val="20"/>
              </w:rPr>
              <w:t xml:space="preserve">2018–19 </w:t>
            </w:r>
          </w:p>
        </w:tc>
        <w:tc>
          <w:tcPr>
            <w:tcW w:w="1339" w:type="dxa"/>
            <w:hideMark/>
          </w:tcPr>
          <w:p w14:paraId="293C51BD" w14:textId="77777777" w:rsidR="00176D0F" w:rsidRPr="00176D0F" w:rsidRDefault="00176D0F" w:rsidP="00176D0F">
            <w:pPr>
              <w:spacing w:line="240" w:lineRule="atLeast"/>
              <w:cnfStyle w:val="100000000000" w:firstRow="1" w:lastRow="0" w:firstColumn="0" w:lastColumn="0" w:oddVBand="0" w:evenVBand="0" w:oddHBand="0" w:evenHBand="0" w:firstRowFirstColumn="0" w:firstRowLastColumn="0" w:lastRowFirstColumn="0" w:lastRowLastColumn="0"/>
              <w:rPr>
                <w:rFonts w:eastAsia="SimSun"/>
                <w:noProof/>
                <w:color w:val="FFFFFF"/>
                <w:szCs w:val="20"/>
              </w:rPr>
            </w:pPr>
            <w:r w:rsidRPr="00176D0F">
              <w:rPr>
                <w:rFonts w:eastAsia="SimSun"/>
                <w:noProof/>
                <w:color w:val="FFFFFF"/>
                <w:szCs w:val="20"/>
              </w:rPr>
              <w:t xml:space="preserve">2021–22 </w:t>
            </w:r>
          </w:p>
        </w:tc>
        <w:tc>
          <w:tcPr>
            <w:tcW w:w="1339" w:type="dxa"/>
          </w:tcPr>
          <w:p w14:paraId="0A188379" w14:textId="77777777" w:rsidR="00176D0F" w:rsidRPr="00176D0F" w:rsidRDefault="00176D0F" w:rsidP="00176D0F">
            <w:pPr>
              <w:spacing w:line="240" w:lineRule="atLeast"/>
              <w:cnfStyle w:val="100000000000" w:firstRow="1" w:lastRow="0" w:firstColumn="0" w:lastColumn="0" w:oddVBand="0" w:evenVBand="0" w:oddHBand="0" w:evenHBand="0" w:firstRowFirstColumn="0" w:firstRowLastColumn="0" w:lastRowFirstColumn="0" w:lastRowLastColumn="0"/>
              <w:rPr>
                <w:rFonts w:eastAsia="SimSun"/>
                <w:noProof/>
                <w:color w:val="FFFFFF"/>
                <w:szCs w:val="20"/>
              </w:rPr>
            </w:pPr>
            <w:r w:rsidRPr="00176D0F">
              <w:rPr>
                <w:rFonts w:eastAsia="SimSun"/>
                <w:noProof/>
                <w:color w:val="FFFFFF"/>
                <w:szCs w:val="20"/>
              </w:rPr>
              <w:t>2022–23</w:t>
            </w:r>
          </w:p>
        </w:tc>
      </w:tr>
      <w:tr w:rsidR="00176D0F" w:rsidRPr="00176D0F" w14:paraId="6F23B590" w14:textId="77777777" w:rsidTr="006E4E6A">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tcPr>
          <w:p w14:paraId="4E1AF685" w14:textId="77777777" w:rsidR="00176D0F" w:rsidRPr="00176D0F" w:rsidRDefault="00176D0F" w:rsidP="006E4E6A">
            <w:pPr>
              <w:rPr>
                <w:rFonts w:eastAsia="SimSun"/>
                <w:noProof/>
                <w:color w:val="3E535F"/>
                <w:szCs w:val="20"/>
              </w:rPr>
            </w:pPr>
            <w:r w:rsidRPr="00176D0F">
              <w:rPr>
                <w:rFonts w:eastAsia="SimSun"/>
                <w:noProof/>
                <w:color w:val="3E535F"/>
                <w:szCs w:val="20"/>
              </w:rPr>
              <w:t>All</w:t>
            </w:r>
          </w:p>
        </w:tc>
        <w:tc>
          <w:tcPr>
            <w:tcW w:w="2664" w:type="dxa"/>
            <w:shd w:val="clear" w:color="auto" w:fill="D9E2F3" w:themeFill="accent5" w:themeFillTint="33"/>
            <w:noWrap/>
          </w:tcPr>
          <w:p w14:paraId="7B701F7C" w14:textId="77777777" w:rsidR="00176D0F" w:rsidRPr="0041205C" w:rsidRDefault="00176D0F" w:rsidP="006E4E6A">
            <w:pPr>
              <w:cnfStyle w:val="000000100000" w:firstRow="0" w:lastRow="0" w:firstColumn="0" w:lastColumn="0" w:oddVBand="0" w:evenVBand="0" w:oddHBand="1" w:evenHBand="0" w:firstRowFirstColumn="0" w:firstRowLastColumn="0" w:lastRowFirstColumn="0" w:lastRowLastColumn="0"/>
              <w:rPr>
                <w:rFonts w:eastAsia="SimSun"/>
                <w:noProof/>
                <w:color w:val="2A414D"/>
                <w:szCs w:val="20"/>
              </w:rPr>
            </w:pPr>
            <w:r w:rsidRPr="0041205C">
              <w:rPr>
                <w:rFonts w:eastAsia="SimSun"/>
                <w:noProof/>
                <w:color w:val="2A414D"/>
                <w:szCs w:val="20"/>
              </w:rPr>
              <w:t>All students</w:t>
            </w:r>
          </w:p>
        </w:tc>
        <w:tc>
          <w:tcPr>
            <w:tcW w:w="1339" w:type="dxa"/>
            <w:shd w:val="clear" w:color="auto" w:fill="D9E2F3" w:themeFill="accent5" w:themeFillTint="33"/>
          </w:tcPr>
          <w:p w14:paraId="1774C9B7" w14:textId="77777777" w:rsidR="00176D0F" w:rsidRPr="0041205C" w:rsidRDefault="00176D0F" w:rsidP="006E4E6A">
            <w:pPr>
              <w:cnfStyle w:val="000000100000" w:firstRow="0" w:lastRow="0" w:firstColumn="0" w:lastColumn="0" w:oddVBand="0" w:evenVBand="0" w:oddHBand="1" w:evenHBand="0" w:firstRowFirstColumn="0" w:firstRowLastColumn="0" w:lastRowFirstColumn="0" w:lastRowLastColumn="0"/>
              <w:rPr>
                <w:rFonts w:eastAsia="SimSun"/>
                <w:noProof/>
                <w:color w:val="2A414D"/>
                <w:szCs w:val="20"/>
              </w:rPr>
            </w:pPr>
            <w:r w:rsidRPr="0041205C">
              <w:rPr>
                <w:rFonts w:eastAsia="SimSun"/>
                <w:noProof/>
                <w:color w:val="2A414D"/>
                <w:szCs w:val="20"/>
              </w:rPr>
              <w:t>25.0%</w:t>
            </w:r>
          </w:p>
        </w:tc>
        <w:tc>
          <w:tcPr>
            <w:tcW w:w="1339" w:type="dxa"/>
            <w:shd w:val="clear" w:color="auto" w:fill="D9E2F3" w:themeFill="accent5" w:themeFillTint="33"/>
          </w:tcPr>
          <w:p w14:paraId="766B3A15" w14:textId="77777777" w:rsidR="00176D0F" w:rsidRPr="0041205C" w:rsidRDefault="00176D0F" w:rsidP="006E4E6A">
            <w:pPr>
              <w:cnfStyle w:val="000000100000" w:firstRow="0" w:lastRow="0" w:firstColumn="0" w:lastColumn="0" w:oddVBand="0" w:evenVBand="0" w:oddHBand="1" w:evenHBand="0" w:firstRowFirstColumn="0" w:firstRowLastColumn="0" w:lastRowFirstColumn="0" w:lastRowLastColumn="0"/>
              <w:rPr>
                <w:rFonts w:eastAsia="SimSun"/>
                <w:noProof/>
                <w:color w:val="2A414D"/>
                <w:szCs w:val="20"/>
              </w:rPr>
            </w:pPr>
            <w:r w:rsidRPr="0041205C">
              <w:rPr>
                <w:rFonts w:eastAsia="SimSun"/>
                <w:noProof/>
                <w:color w:val="2A414D"/>
                <w:szCs w:val="20"/>
              </w:rPr>
              <w:t>26.1%</w:t>
            </w:r>
          </w:p>
        </w:tc>
        <w:tc>
          <w:tcPr>
            <w:tcW w:w="1339" w:type="dxa"/>
            <w:shd w:val="clear" w:color="auto" w:fill="D9E2F3" w:themeFill="accent5" w:themeFillTint="33"/>
          </w:tcPr>
          <w:p w14:paraId="0AA03836" w14:textId="77777777" w:rsidR="00176D0F" w:rsidRPr="0041205C" w:rsidRDefault="00176D0F" w:rsidP="006E4E6A">
            <w:pPr>
              <w:cnfStyle w:val="000000100000" w:firstRow="0" w:lastRow="0" w:firstColumn="0" w:lastColumn="0" w:oddVBand="0" w:evenVBand="0" w:oddHBand="1" w:evenHBand="0" w:firstRowFirstColumn="0" w:firstRowLastColumn="0" w:lastRowFirstColumn="0" w:lastRowLastColumn="0"/>
              <w:rPr>
                <w:rFonts w:eastAsia="SimSun"/>
                <w:noProof/>
                <w:color w:val="2A414D"/>
                <w:szCs w:val="20"/>
              </w:rPr>
            </w:pPr>
            <w:r w:rsidRPr="0041205C">
              <w:rPr>
                <w:rFonts w:eastAsia="SimSun"/>
                <w:noProof/>
                <w:color w:val="2A414D"/>
                <w:szCs w:val="20"/>
              </w:rPr>
              <w:t>19.5%</w:t>
            </w:r>
          </w:p>
        </w:tc>
        <w:tc>
          <w:tcPr>
            <w:tcW w:w="1339" w:type="dxa"/>
            <w:shd w:val="clear" w:color="auto" w:fill="D9E2F3" w:themeFill="accent5" w:themeFillTint="33"/>
          </w:tcPr>
          <w:p w14:paraId="3F991768" w14:textId="21A890D2" w:rsidR="00176D0F" w:rsidRPr="0041205C" w:rsidRDefault="00176D0F" w:rsidP="006E4E6A">
            <w:pPr>
              <w:cnfStyle w:val="000000100000" w:firstRow="0" w:lastRow="0" w:firstColumn="0" w:lastColumn="0" w:oddVBand="0" w:evenVBand="0" w:oddHBand="1" w:evenHBand="0" w:firstRowFirstColumn="0" w:firstRowLastColumn="0" w:lastRowFirstColumn="0" w:lastRowLastColumn="0"/>
              <w:rPr>
                <w:rFonts w:eastAsia="SimSun"/>
                <w:noProof/>
                <w:color w:val="2A414D"/>
                <w:szCs w:val="20"/>
              </w:rPr>
            </w:pPr>
            <w:r w:rsidRPr="0041205C">
              <w:rPr>
                <w:rFonts w:eastAsia="SimSun"/>
                <w:noProof/>
                <w:color w:val="2A414D"/>
                <w:szCs w:val="20"/>
              </w:rPr>
              <w:t>1</w:t>
            </w:r>
            <w:r w:rsidR="002C4707" w:rsidRPr="0041205C">
              <w:rPr>
                <w:rFonts w:eastAsia="SimSun"/>
                <w:noProof/>
                <w:color w:val="2A414D"/>
                <w:szCs w:val="20"/>
              </w:rPr>
              <w:t>8.7</w:t>
            </w:r>
            <w:r w:rsidRPr="0041205C">
              <w:rPr>
                <w:rFonts w:eastAsia="SimSun"/>
                <w:noProof/>
                <w:color w:val="2A414D"/>
                <w:szCs w:val="20"/>
              </w:rPr>
              <w:t>%</w:t>
            </w:r>
          </w:p>
        </w:tc>
      </w:tr>
      <w:tr w:rsidR="00176D0F" w:rsidRPr="00176D0F" w14:paraId="2E1E10B5" w14:textId="77777777" w:rsidTr="006E4E6A">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tcPr>
          <w:p w14:paraId="47F94BC6" w14:textId="77777777" w:rsidR="00176D0F" w:rsidRPr="00176D0F" w:rsidRDefault="00176D0F" w:rsidP="006E4E6A">
            <w:pPr>
              <w:rPr>
                <w:rFonts w:eastAsia="SimSun"/>
                <w:noProof/>
                <w:color w:val="3E535F"/>
                <w:szCs w:val="20"/>
              </w:rPr>
            </w:pPr>
            <w:r w:rsidRPr="00176D0F">
              <w:rPr>
                <w:rFonts w:eastAsia="SimSun"/>
                <w:noProof/>
                <w:color w:val="3E535F"/>
                <w:szCs w:val="20"/>
              </w:rPr>
              <w:t>All</w:t>
            </w:r>
          </w:p>
        </w:tc>
        <w:tc>
          <w:tcPr>
            <w:tcW w:w="2664" w:type="dxa"/>
            <w:shd w:val="clear" w:color="auto" w:fill="D9E2F3" w:themeFill="accent5" w:themeFillTint="33"/>
            <w:noWrap/>
          </w:tcPr>
          <w:p w14:paraId="41DCCB83" w14:textId="77777777" w:rsidR="00176D0F" w:rsidRPr="0041205C" w:rsidRDefault="00176D0F" w:rsidP="006E4E6A">
            <w:pPr>
              <w:cnfStyle w:val="000000010000" w:firstRow="0" w:lastRow="0" w:firstColumn="0" w:lastColumn="0" w:oddVBand="0" w:evenVBand="0" w:oddHBand="0" w:evenHBand="1" w:firstRowFirstColumn="0" w:firstRowLastColumn="0" w:lastRowFirstColumn="0" w:lastRowLastColumn="0"/>
              <w:rPr>
                <w:rFonts w:eastAsia="SimSun"/>
                <w:noProof/>
                <w:color w:val="2A414D"/>
                <w:szCs w:val="20"/>
              </w:rPr>
            </w:pPr>
            <w:r w:rsidRPr="0041205C">
              <w:rPr>
                <w:rFonts w:eastAsia="SimSun"/>
                <w:noProof/>
                <w:color w:val="2A414D"/>
                <w:szCs w:val="20"/>
              </w:rPr>
              <w:t>Migratory students</w:t>
            </w:r>
          </w:p>
        </w:tc>
        <w:tc>
          <w:tcPr>
            <w:tcW w:w="1339" w:type="dxa"/>
            <w:shd w:val="clear" w:color="auto" w:fill="D9E2F3" w:themeFill="accent5" w:themeFillTint="33"/>
          </w:tcPr>
          <w:p w14:paraId="4E783F99" w14:textId="77777777" w:rsidR="00176D0F" w:rsidRPr="0041205C" w:rsidRDefault="00176D0F" w:rsidP="006E4E6A">
            <w:pPr>
              <w:cnfStyle w:val="000000010000" w:firstRow="0" w:lastRow="0" w:firstColumn="0" w:lastColumn="0" w:oddVBand="0" w:evenVBand="0" w:oddHBand="0" w:evenHBand="1" w:firstRowFirstColumn="0" w:firstRowLastColumn="0" w:lastRowFirstColumn="0" w:lastRowLastColumn="0"/>
              <w:rPr>
                <w:rFonts w:eastAsia="SimSun"/>
                <w:noProof/>
                <w:color w:val="2A414D"/>
                <w:szCs w:val="20"/>
              </w:rPr>
            </w:pPr>
            <w:r w:rsidRPr="0041205C">
              <w:rPr>
                <w:rFonts w:eastAsia="SimSun"/>
                <w:noProof/>
                <w:color w:val="2A414D"/>
                <w:szCs w:val="20"/>
              </w:rPr>
              <w:t>9.2%</w:t>
            </w:r>
          </w:p>
        </w:tc>
        <w:tc>
          <w:tcPr>
            <w:tcW w:w="1339" w:type="dxa"/>
            <w:shd w:val="clear" w:color="auto" w:fill="D9E2F3" w:themeFill="accent5" w:themeFillTint="33"/>
          </w:tcPr>
          <w:p w14:paraId="762CB6B5" w14:textId="77777777" w:rsidR="00176D0F" w:rsidRPr="0041205C" w:rsidRDefault="00176D0F" w:rsidP="006E4E6A">
            <w:pPr>
              <w:cnfStyle w:val="000000010000" w:firstRow="0" w:lastRow="0" w:firstColumn="0" w:lastColumn="0" w:oddVBand="0" w:evenVBand="0" w:oddHBand="0" w:evenHBand="1" w:firstRowFirstColumn="0" w:firstRowLastColumn="0" w:lastRowFirstColumn="0" w:lastRowLastColumn="0"/>
              <w:rPr>
                <w:rFonts w:eastAsia="SimSun"/>
                <w:noProof/>
                <w:color w:val="2A414D"/>
                <w:szCs w:val="20"/>
              </w:rPr>
            </w:pPr>
            <w:r w:rsidRPr="0041205C">
              <w:rPr>
                <w:rFonts w:eastAsia="SimSun"/>
                <w:noProof/>
                <w:color w:val="2A414D"/>
                <w:szCs w:val="20"/>
              </w:rPr>
              <w:t>10.6%</w:t>
            </w:r>
          </w:p>
        </w:tc>
        <w:tc>
          <w:tcPr>
            <w:tcW w:w="1339" w:type="dxa"/>
            <w:shd w:val="clear" w:color="auto" w:fill="D9E2F3" w:themeFill="accent5" w:themeFillTint="33"/>
          </w:tcPr>
          <w:p w14:paraId="2C6A2DB3" w14:textId="77777777" w:rsidR="00176D0F" w:rsidRPr="0041205C" w:rsidRDefault="00176D0F" w:rsidP="006E4E6A">
            <w:pPr>
              <w:cnfStyle w:val="000000010000" w:firstRow="0" w:lastRow="0" w:firstColumn="0" w:lastColumn="0" w:oddVBand="0" w:evenVBand="0" w:oddHBand="0" w:evenHBand="1" w:firstRowFirstColumn="0" w:firstRowLastColumn="0" w:lastRowFirstColumn="0" w:lastRowLastColumn="0"/>
              <w:rPr>
                <w:rFonts w:eastAsia="SimSun"/>
                <w:noProof/>
                <w:color w:val="2A414D"/>
                <w:szCs w:val="20"/>
              </w:rPr>
            </w:pPr>
            <w:r w:rsidRPr="0041205C">
              <w:rPr>
                <w:rFonts w:eastAsia="SimSun"/>
                <w:noProof/>
                <w:color w:val="2A414D"/>
                <w:szCs w:val="20"/>
              </w:rPr>
              <w:t>6.9%</w:t>
            </w:r>
          </w:p>
        </w:tc>
        <w:tc>
          <w:tcPr>
            <w:tcW w:w="1339" w:type="dxa"/>
            <w:shd w:val="clear" w:color="auto" w:fill="D9E2F3" w:themeFill="accent5" w:themeFillTint="33"/>
          </w:tcPr>
          <w:p w14:paraId="0067EDE5" w14:textId="39F7286D" w:rsidR="00176D0F" w:rsidRPr="0041205C" w:rsidRDefault="00176D0F" w:rsidP="006E4E6A">
            <w:pPr>
              <w:cnfStyle w:val="000000010000" w:firstRow="0" w:lastRow="0" w:firstColumn="0" w:lastColumn="0" w:oddVBand="0" w:evenVBand="0" w:oddHBand="0" w:evenHBand="1" w:firstRowFirstColumn="0" w:firstRowLastColumn="0" w:lastRowFirstColumn="0" w:lastRowLastColumn="0"/>
              <w:rPr>
                <w:rFonts w:eastAsia="SimSun"/>
                <w:noProof/>
                <w:color w:val="2A414D"/>
                <w:szCs w:val="20"/>
              </w:rPr>
            </w:pPr>
            <w:r w:rsidRPr="0041205C">
              <w:rPr>
                <w:rFonts w:eastAsia="SimSun"/>
                <w:noProof/>
                <w:color w:val="2A414D"/>
                <w:szCs w:val="20"/>
              </w:rPr>
              <w:t>6.</w:t>
            </w:r>
            <w:r w:rsidR="002C4707" w:rsidRPr="0041205C">
              <w:rPr>
                <w:rFonts w:eastAsia="SimSun"/>
                <w:noProof/>
                <w:color w:val="2A414D"/>
                <w:szCs w:val="20"/>
              </w:rPr>
              <w:t>8</w:t>
            </w:r>
            <w:r w:rsidRPr="0041205C">
              <w:rPr>
                <w:rFonts w:eastAsia="SimSun"/>
                <w:noProof/>
                <w:color w:val="2A414D"/>
                <w:szCs w:val="20"/>
              </w:rPr>
              <w:t>%</w:t>
            </w:r>
          </w:p>
        </w:tc>
      </w:tr>
      <w:tr w:rsidR="00176D0F" w:rsidRPr="00176D0F" w14:paraId="392AB3C6" w14:textId="77777777" w:rsidTr="006E4E6A">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hideMark/>
          </w:tcPr>
          <w:p w14:paraId="5273B12B" w14:textId="77777777" w:rsidR="00176D0F" w:rsidRPr="00176D0F" w:rsidRDefault="00176D0F" w:rsidP="006E4E6A">
            <w:pPr>
              <w:rPr>
                <w:rFonts w:eastAsia="SimSun"/>
                <w:noProof/>
                <w:color w:val="3E535F"/>
                <w:szCs w:val="20"/>
              </w:rPr>
            </w:pPr>
            <w:r w:rsidRPr="00176D0F">
              <w:rPr>
                <w:rFonts w:eastAsia="SimSun"/>
                <w:noProof/>
                <w:color w:val="3E535F"/>
                <w:szCs w:val="20"/>
              </w:rPr>
              <w:t>All</w:t>
            </w:r>
          </w:p>
        </w:tc>
        <w:tc>
          <w:tcPr>
            <w:tcW w:w="2664" w:type="dxa"/>
            <w:shd w:val="clear" w:color="auto" w:fill="D9E2F3" w:themeFill="accent5" w:themeFillTint="33"/>
            <w:noWrap/>
          </w:tcPr>
          <w:p w14:paraId="3B609670" w14:textId="77777777" w:rsidR="00176D0F" w:rsidRPr="0041205C" w:rsidRDefault="00176D0F" w:rsidP="006E4E6A">
            <w:pPr>
              <w:cnfStyle w:val="000000100000" w:firstRow="0" w:lastRow="0" w:firstColumn="0" w:lastColumn="0" w:oddVBand="0" w:evenVBand="0" w:oddHBand="1" w:evenHBand="0" w:firstRowFirstColumn="0" w:firstRowLastColumn="0" w:lastRowFirstColumn="0" w:lastRowLastColumn="0"/>
              <w:rPr>
                <w:rFonts w:eastAsia="SimSun"/>
                <w:noProof/>
                <w:color w:val="2A414D"/>
                <w:szCs w:val="20"/>
              </w:rPr>
            </w:pPr>
            <w:r w:rsidRPr="0041205C">
              <w:rPr>
                <w:rFonts w:eastAsia="SimSun"/>
                <w:noProof/>
                <w:color w:val="2A414D"/>
                <w:szCs w:val="20"/>
              </w:rPr>
              <w:t>Migratory PFS students</w:t>
            </w:r>
          </w:p>
        </w:tc>
        <w:tc>
          <w:tcPr>
            <w:tcW w:w="1339" w:type="dxa"/>
            <w:shd w:val="clear" w:color="auto" w:fill="D9E2F3" w:themeFill="accent5" w:themeFillTint="33"/>
          </w:tcPr>
          <w:p w14:paraId="03781C09" w14:textId="12070753" w:rsidR="00176D0F" w:rsidRPr="0041205C" w:rsidRDefault="00176D0F" w:rsidP="006E4E6A">
            <w:pPr>
              <w:cnfStyle w:val="000000100000" w:firstRow="0" w:lastRow="0" w:firstColumn="0" w:lastColumn="0" w:oddVBand="0" w:evenVBand="0" w:oddHBand="1" w:evenHBand="0" w:firstRowFirstColumn="0" w:firstRowLastColumn="0" w:lastRowFirstColumn="0" w:lastRowLastColumn="0"/>
              <w:rPr>
                <w:rFonts w:eastAsia="SimSun"/>
                <w:noProof/>
                <w:color w:val="2A414D"/>
                <w:szCs w:val="20"/>
              </w:rPr>
            </w:pPr>
            <w:r w:rsidRPr="0041205C">
              <w:rPr>
                <w:rFonts w:eastAsia="SimSun"/>
                <w:noProof/>
                <w:color w:val="2A414D"/>
                <w:szCs w:val="20"/>
              </w:rPr>
              <w:t>3.</w:t>
            </w:r>
            <w:r w:rsidR="002C4707" w:rsidRPr="0041205C">
              <w:rPr>
                <w:rFonts w:eastAsia="SimSun"/>
                <w:noProof/>
                <w:color w:val="2A414D"/>
                <w:szCs w:val="20"/>
              </w:rPr>
              <w:t>8</w:t>
            </w:r>
            <w:r w:rsidRPr="0041205C">
              <w:rPr>
                <w:rFonts w:eastAsia="SimSun"/>
                <w:noProof/>
                <w:color w:val="2A414D"/>
                <w:szCs w:val="20"/>
              </w:rPr>
              <w:t>%</w:t>
            </w:r>
          </w:p>
        </w:tc>
        <w:tc>
          <w:tcPr>
            <w:tcW w:w="1339" w:type="dxa"/>
            <w:shd w:val="clear" w:color="auto" w:fill="D9E2F3" w:themeFill="accent5" w:themeFillTint="33"/>
          </w:tcPr>
          <w:p w14:paraId="31D8347A" w14:textId="398A9BC4" w:rsidR="00176D0F" w:rsidRPr="0041205C" w:rsidRDefault="002C4707" w:rsidP="006E4E6A">
            <w:pPr>
              <w:cnfStyle w:val="000000100000" w:firstRow="0" w:lastRow="0" w:firstColumn="0" w:lastColumn="0" w:oddVBand="0" w:evenVBand="0" w:oddHBand="1" w:evenHBand="0" w:firstRowFirstColumn="0" w:firstRowLastColumn="0" w:lastRowFirstColumn="0" w:lastRowLastColumn="0"/>
              <w:rPr>
                <w:rFonts w:eastAsia="SimSun"/>
                <w:noProof/>
                <w:color w:val="2A414D"/>
                <w:szCs w:val="20"/>
              </w:rPr>
            </w:pPr>
            <w:r w:rsidRPr="0041205C">
              <w:rPr>
                <w:rFonts w:eastAsia="SimSun"/>
                <w:noProof/>
                <w:color w:val="2A414D"/>
                <w:szCs w:val="20"/>
              </w:rPr>
              <w:t>3.8</w:t>
            </w:r>
            <w:r w:rsidR="00176D0F" w:rsidRPr="0041205C">
              <w:rPr>
                <w:rFonts w:eastAsia="SimSun"/>
                <w:noProof/>
                <w:color w:val="2A414D"/>
                <w:szCs w:val="20"/>
              </w:rPr>
              <w:t>%</w:t>
            </w:r>
          </w:p>
        </w:tc>
        <w:tc>
          <w:tcPr>
            <w:tcW w:w="1339" w:type="dxa"/>
            <w:shd w:val="clear" w:color="auto" w:fill="D9E2F3" w:themeFill="accent5" w:themeFillTint="33"/>
          </w:tcPr>
          <w:p w14:paraId="4E61F06E" w14:textId="5E366485" w:rsidR="00176D0F" w:rsidRPr="0041205C" w:rsidRDefault="002C4707" w:rsidP="006E4E6A">
            <w:pPr>
              <w:cnfStyle w:val="000000100000" w:firstRow="0" w:lastRow="0" w:firstColumn="0" w:lastColumn="0" w:oddVBand="0" w:evenVBand="0" w:oddHBand="1" w:evenHBand="0" w:firstRowFirstColumn="0" w:firstRowLastColumn="0" w:lastRowFirstColumn="0" w:lastRowLastColumn="0"/>
              <w:rPr>
                <w:rFonts w:eastAsia="SimSun"/>
                <w:noProof/>
                <w:color w:val="2A414D"/>
                <w:szCs w:val="20"/>
              </w:rPr>
            </w:pPr>
            <w:r w:rsidRPr="0041205C">
              <w:rPr>
                <w:rFonts w:eastAsia="SimSun"/>
                <w:noProof/>
                <w:color w:val="2A414D"/>
                <w:szCs w:val="20"/>
              </w:rPr>
              <w:t>3.6</w:t>
            </w:r>
            <w:r w:rsidR="00176D0F" w:rsidRPr="0041205C">
              <w:rPr>
                <w:rFonts w:eastAsia="SimSun"/>
                <w:noProof/>
                <w:color w:val="2A414D"/>
                <w:szCs w:val="20"/>
              </w:rPr>
              <w:t>%</w:t>
            </w:r>
          </w:p>
        </w:tc>
        <w:tc>
          <w:tcPr>
            <w:tcW w:w="1339" w:type="dxa"/>
            <w:shd w:val="clear" w:color="auto" w:fill="D9E2F3" w:themeFill="accent5" w:themeFillTint="33"/>
          </w:tcPr>
          <w:p w14:paraId="1E518A13" w14:textId="04A1B77F" w:rsidR="00176D0F" w:rsidRPr="0041205C" w:rsidRDefault="002C4707" w:rsidP="006E4E6A">
            <w:pPr>
              <w:cnfStyle w:val="000000100000" w:firstRow="0" w:lastRow="0" w:firstColumn="0" w:lastColumn="0" w:oddVBand="0" w:evenVBand="0" w:oddHBand="1" w:evenHBand="0" w:firstRowFirstColumn="0" w:firstRowLastColumn="0" w:lastRowFirstColumn="0" w:lastRowLastColumn="0"/>
              <w:rPr>
                <w:rFonts w:eastAsia="SimSun"/>
                <w:noProof/>
                <w:color w:val="2A414D"/>
                <w:szCs w:val="20"/>
              </w:rPr>
            </w:pPr>
            <w:r w:rsidRPr="0041205C">
              <w:rPr>
                <w:rFonts w:eastAsia="SimSun"/>
                <w:noProof/>
                <w:color w:val="2A414D"/>
                <w:szCs w:val="20"/>
              </w:rPr>
              <w:t>3.3</w:t>
            </w:r>
            <w:r w:rsidR="00176D0F" w:rsidRPr="0041205C">
              <w:rPr>
                <w:rFonts w:eastAsia="SimSun"/>
                <w:noProof/>
                <w:color w:val="2A414D"/>
                <w:szCs w:val="20"/>
              </w:rPr>
              <w:t>%</w:t>
            </w:r>
          </w:p>
        </w:tc>
      </w:tr>
    </w:tbl>
    <w:p w14:paraId="363F8799" w14:textId="4B62C8BF" w:rsidR="00176D0F" w:rsidRPr="00176D0F" w:rsidRDefault="00176D0F" w:rsidP="00176D0F">
      <w:pPr>
        <w:spacing w:after="240"/>
        <w:rPr>
          <w:rFonts w:eastAsia="SimSun"/>
          <w:bCs/>
          <w:noProof/>
          <w:szCs w:val="18"/>
          <w:lang w:eastAsia="zh-CN"/>
        </w:rPr>
      </w:pPr>
      <w:r w:rsidRPr="00176D0F">
        <w:rPr>
          <w:rFonts w:eastAsia="SimSun" w:cs="Arial"/>
          <w:bCs/>
          <w:noProof/>
          <w:szCs w:val="18"/>
          <w:shd w:val="clear" w:color="auto" w:fill="FFFFFF"/>
          <w:lang w:eastAsia="zh-CN"/>
        </w:rPr>
        <w:t xml:space="preserve">Source: </w:t>
      </w:r>
      <w:r w:rsidRPr="00176D0F">
        <w:rPr>
          <w:rFonts w:eastAsia="SimSun"/>
          <w:bCs/>
          <w:noProof/>
          <w:szCs w:val="18"/>
          <w:lang w:eastAsia="zh-CN"/>
        </w:rPr>
        <w:t xml:space="preserve">CDE CAASPP data files, SYs 2017–18, 2018–19, 2021–22, and 2022–23, and the MSIN </w:t>
      </w:r>
      <w:r w:rsidR="001C3F56">
        <w:rPr>
          <w:rFonts w:eastAsia="SimSun"/>
          <w:bCs/>
          <w:noProof/>
          <w:szCs w:val="18"/>
          <w:lang w:eastAsia="zh-CN"/>
        </w:rPr>
        <w:t>d</w:t>
      </w:r>
      <w:r w:rsidRPr="00176D0F">
        <w:rPr>
          <w:rFonts w:eastAsia="SimSun"/>
          <w:bCs/>
          <w:noProof/>
          <w:szCs w:val="18"/>
          <w:lang w:eastAsia="zh-CN"/>
        </w:rPr>
        <w:t>atabase for the MEP, 2017–18, 2018–19, 2021–22, and 2022–23 performance periods. Accessed February 2023 for SY 2017–18 through SY 2021–22 and December 2023 for SY 2022–23.</w:t>
      </w:r>
    </w:p>
    <w:p w14:paraId="1B651F8E" w14:textId="77777777" w:rsidR="00437481" w:rsidRDefault="00437481" w:rsidP="00CF280A">
      <w:pPr>
        <w:pStyle w:val="Heading4"/>
      </w:pPr>
      <w:bookmarkStart w:id="96" w:name="_Toc135948119"/>
      <w:bookmarkStart w:id="97" w:name="_Toc154499375"/>
      <w:r w:rsidRPr="002E2DC6">
        <w:lastRenderedPageBreak/>
        <w:t>California Assessment of Student Performance and Progress</w:t>
      </w:r>
      <w:r>
        <w:t xml:space="preserve"> for English Language Arts Writing Claim</w:t>
      </w:r>
      <w:bookmarkEnd w:id="96"/>
      <w:bookmarkEnd w:id="97"/>
    </w:p>
    <w:p w14:paraId="117851C5" w14:textId="7457133A" w:rsidR="00437481" w:rsidRPr="00F43231" w:rsidRDefault="00437481" w:rsidP="00CF280A">
      <w:pPr>
        <w:pStyle w:val="Paragraph"/>
        <w:spacing w:after="240" w:line="240" w:lineRule="auto"/>
        <w:rPr>
          <w:noProof w:val="0"/>
          <w:color w:val="auto"/>
          <w:shd w:val="clear" w:color="auto" w:fill="FFFFFF"/>
        </w:rPr>
      </w:pPr>
      <w:r w:rsidRPr="00F43231">
        <w:rPr>
          <w:noProof w:val="0"/>
          <w:color w:val="auto"/>
          <w:shd w:val="clear" w:color="auto" w:fill="FFFFFF"/>
        </w:rPr>
        <w:t xml:space="preserve">From SYs 2017–18 through 2021–22, migratory </w:t>
      </w:r>
      <w:r w:rsidRPr="00F43231">
        <w:rPr>
          <w:color w:val="auto"/>
        </w:rPr>
        <w:t xml:space="preserve">PFS students narrowed their performance gap with migratory students on the writing claim from a 5.7 percentage point difference to a 2.8 percentage point difference. </w:t>
      </w:r>
      <w:r w:rsidRPr="00F43231">
        <w:rPr>
          <w:noProof w:val="0"/>
          <w:color w:val="auto"/>
          <w:shd w:val="clear" w:color="auto" w:fill="FFFFFF"/>
        </w:rPr>
        <w:t xml:space="preserve">Between SYs 2017–18 and </w:t>
      </w:r>
      <w:r w:rsidRPr="00F43231">
        <w:rPr>
          <w:noProof w:val="0"/>
          <w:color w:val="auto"/>
          <w:shd w:val="clear" w:color="auto" w:fill="FFFFFF"/>
        </w:rPr>
        <w:br/>
        <w:t xml:space="preserve">2018–19, the percentage of students who were </w:t>
      </w:r>
      <w:r w:rsidR="00D55EE4">
        <w:rPr>
          <w:noProof w:val="0"/>
          <w:color w:val="auto"/>
          <w:shd w:val="clear" w:color="auto" w:fill="FFFFFF"/>
        </w:rPr>
        <w:t>above standard</w:t>
      </w:r>
      <w:r w:rsidRPr="00F43231">
        <w:rPr>
          <w:noProof w:val="0"/>
          <w:color w:val="auto"/>
          <w:shd w:val="clear" w:color="auto" w:fill="FFFFFF"/>
        </w:rPr>
        <w:t xml:space="preserve"> on the writing claim remained steady for migratory PFS and all students but increased for migratory students. Between SYs 2018–19 and 2022–23, the percentage of students who were </w:t>
      </w:r>
      <w:r w:rsidR="00D55EE4">
        <w:rPr>
          <w:noProof w:val="0"/>
          <w:color w:val="auto"/>
          <w:shd w:val="clear" w:color="auto" w:fill="FFFFFF"/>
        </w:rPr>
        <w:t>above standard</w:t>
      </w:r>
      <w:r w:rsidRPr="00F43231">
        <w:rPr>
          <w:noProof w:val="0"/>
          <w:color w:val="auto"/>
          <w:shd w:val="clear" w:color="auto" w:fill="FFFFFF"/>
        </w:rPr>
        <w:t xml:space="preserve"> on the writing claim decreased for all three student populations, with migratory PFS students experiencing the smallest decline.</w:t>
      </w:r>
    </w:p>
    <w:p w14:paraId="4FE5BB79" w14:textId="77777777" w:rsidR="00437481" w:rsidRPr="00F43231" w:rsidRDefault="00437481" w:rsidP="00CF280A">
      <w:pPr>
        <w:pStyle w:val="Heading4"/>
      </w:pPr>
      <w:r w:rsidRPr="00F43231">
        <w:t>Key Findings</w:t>
      </w:r>
    </w:p>
    <w:p w14:paraId="3B55E0AE" w14:textId="77777777" w:rsidR="00437481" w:rsidRPr="00F43231" w:rsidRDefault="00437481" w:rsidP="008B0B71">
      <w:pPr>
        <w:pStyle w:val="List-Level1"/>
        <w:spacing w:after="240" w:line="240" w:lineRule="auto"/>
        <w:ind w:left="720" w:hanging="360"/>
        <w:rPr>
          <w:color w:val="auto"/>
        </w:rPr>
      </w:pPr>
      <w:r w:rsidRPr="00F43231">
        <w:rPr>
          <w:noProof w:val="0"/>
          <w:color w:val="auto"/>
        </w:rPr>
        <w:t>By SY 2021–22, migratory PFS students narrowed their earlier performance gap with migratory students on the CAASPP ELA writing claim</w:t>
      </w:r>
      <w:r w:rsidRPr="00F43231">
        <w:rPr>
          <w:color w:val="auto"/>
        </w:rPr>
        <w:t xml:space="preserve"> to a 3.2 percentage point difference (compared with a 5.7 percentage point difference in </w:t>
      </w:r>
      <w:r w:rsidRPr="00F43231">
        <w:rPr>
          <w:color w:val="auto"/>
        </w:rPr>
        <w:br/>
        <w:t>SY 2017–18).</w:t>
      </w:r>
    </w:p>
    <w:p w14:paraId="6899573D" w14:textId="6FC95C11" w:rsidR="00437481" w:rsidRPr="00F43231" w:rsidRDefault="00437481" w:rsidP="008B0B71">
      <w:pPr>
        <w:pStyle w:val="List-Level1"/>
        <w:spacing w:after="240" w:line="240" w:lineRule="auto"/>
        <w:ind w:left="720" w:hanging="360"/>
        <w:rPr>
          <w:color w:val="auto"/>
        </w:rPr>
      </w:pPr>
      <w:r w:rsidRPr="00F43231">
        <w:rPr>
          <w:color w:val="auto"/>
        </w:rPr>
        <w:t>Of the claims, migratory PFS student had the second to lowest proficiency (3.6 percent) rate in writing after the reading claim (3.3</w:t>
      </w:r>
      <w:r w:rsidR="00EA754F">
        <w:t> </w:t>
      </w:r>
      <w:r w:rsidRPr="00F43231">
        <w:rPr>
          <w:color w:val="auto"/>
        </w:rPr>
        <w:t>percent).</w:t>
      </w:r>
    </w:p>
    <w:p w14:paraId="5DB4ABCE" w14:textId="0C28EA52" w:rsidR="00437481" w:rsidRPr="00F43231" w:rsidRDefault="00437481" w:rsidP="008B0B71">
      <w:pPr>
        <w:pStyle w:val="List-Level1"/>
        <w:spacing w:after="240" w:line="240" w:lineRule="auto"/>
        <w:ind w:left="720" w:hanging="360"/>
        <w:rPr>
          <w:color w:val="auto"/>
        </w:rPr>
      </w:pPr>
      <w:r w:rsidRPr="00F43231">
        <w:rPr>
          <w:color w:val="auto"/>
        </w:rPr>
        <w:t xml:space="preserve">In SY 2022–23, migratory PFS students were 15.6 percentage points less likely than all students to score at </w:t>
      </w:r>
      <w:r w:rsidR="00D55EE4">
        <w:rPr>
          <w:color w:val="auto"/>
        </w:rPr>
        <w:t>above standard</w:t>
      </w:r>
      <w:r w:rsidR="004F4EF5">
        <w:rPr>
          <w:color w:val="auto"/>
        </w:rPr>
        <w:t xml:space="preserve"> on the CAASPP ELA writing claim</w:t>
      </w:r>
      <w:r w:rsidRPr="00F43231">
        <w:rPr>
          <w:color w:val="auto"/>
        </w:rPr>
        <w:t xml:space="preserve">. Migratory students overall were 11.9 percentage points less likely than all students to score at </w:t>
      </w:r>
      <w:r w:rsidR="00D55EE4">
        <w:rPr>
          <w:color w:val="auto"/>
        </w:rPr>
        <w:t>above standard</w:t>
      </w:r>
      <w:r w:rsidRPr="00F43231">
        <w:rPr>
          <w:color w:val="auto"/>
        </w:rPr>
        <w:t>.</w:t>
      </w:r>
    </w:p>
    <w:p w14:paraId="772FE635" w14:textId="257A7B90" w:rsidR="00437481" w:rsidRPr="00F43231" w:rsidRDefault="003E3C7B" w:rsidP="00CF280A">
      <w:pPr>
        <w:pStyle w:val="Paragraph-AfterList"/>
        <w:spacing w:after="240" w:line="240" w:lineRule="auto"/>
        <w:rPr>
          <w:color w:val="auto"/>
        </w:rPr>
      </w:pPr>
      <w:r>
        <w:rPr>
          <w:noProof w:val="0"/>
          <w:color w:val="auto"/>
        </w:rPr>
        <w:t>Figure 10</w:t>
      </w:r>
      <w:r w:rsidR="000653AE">
        <w:rPr>
          <w:color w:val="auto"/>
        </w:rPr>
        <w:t xml:space="preserve"> </w:t>
      </w:r>
      <w:r w:rsidR="00437481" w:rsidRPr="00F43231">
        <w:rPr>
          <w:color w:val="auto"/>
        </w:rPr>
        <w:t xml:space="preserve">shows the percentage of all students, migratory students, and migratory PFS students who scored at </w:t>
      </w:r>
      <w:r w:rsidR="00D55EE4">
        <w:rPr>
          <w:color w:val="auto"/>
        </w:rPr>
        <w:t>above standard</w:t>
      </w:r>
      <w:r w:rsidR="00437481" w:rsidRPr="00F43231">
        <w:rPr>
          <w:color w:val="auto"/>
        </w:rPr>
        <w:t xml:space="preserve"> on the CAASPP ELA writing claim over the past four assessment years.</w:t>
      </w:r>
      <w:r w:rsidR="000653AE">
        <w:rPr>
          <w:color w:val="auto"/>
        </w:rPr>
        <w:t xml:space="preserve"> Table 12 presents the same data as figure 10 in a different way.</w:t>
      </w:r>
    </w:p>
    <w:p w14:paraId="5B5620E3" w14:textId="77777777" w:rsidR="002C4707" w:rsidRDefault="002C4707">
      <w:pPr>
        <w:rPr>
          <w:rFonts w:eastAsia="Times New Roman" w:cs="Arial"/>
          <w:b/>
          <w:color w:val="1F3864" w:themeColor="accent5" w:themeShade="80"/>
          <w:lang w:eastAsia="zh-CN"/>
        </w:rPr>
      </w:pPr>
      <w:r>
        <w:rPr>
          <w:color w:val="1F3864" w:themeColor="accent5" w:themeShade="80"/>
        </w:rPr>
        <w:br w:type="page"/>
      </w:r>
    </w:p>
    <w:p w14:paraId="031F737B" w14:textId="77689374" w:rsidR="00F43231" w:rsidRPr="004050CA" w:rsidRDefault="004050CA" w:rsidP="00792C07">
      <w:pPr>
        <w:pStyle w:val="Heading5"/>
      </w:pPr>
      <w:bookmarkStart w:id="98" w:name="_Toc188030509"/>
      <w:r w:rsidRPr="004050CA">
        <w:lastRenderedPageBreak/>
        <w:t xml:space="preserve">Figure </w:t>
      </w:r>
      <w:fldSimple w:instr=" SEQ Figure \* ARABIC ">
        <w:r w:rsidR="00AB15FE">
          <w:rPr>
            <w:noProof/>
          </w:rPr>
          <w:t>10</w:t>
        </w:r>
      </w:fldSimple>
      <w:r w:rsidRPr="004050CA">
        <w:t>. Percentage of All Students, Migratory Students, and Migratory Priority-for-Service Students Scoring Above Standard on the English Language Arts Writing Claim for All Grades, School Years 2017–18, 2018–19, 2021–22, and 2022–</w:t>
      </w:r>
      <w:r>
        <w:t> </w:t>
      </w:r>
      <w:r w:rsidRPr="004050CA">
        <w:t>23</w:t>
      </w:r>
      <w:bookmarkEnd w:id="98"/>
    </w:p>
    <w:p w14:paraId="190EDB7F" w14:textId="77777777" w:rsidR="00437481" w:rsidRPr="00046B20" w:rsidRDefault="00437481" w:rsidP="00CF280A">
      <w:pPr>
        <w:pStyle w:val="Figure"/>
      </w:pPr>
      <w:r w:rsidRPr="00176EED">
        <w:rPr>
          <w:color w:val="000000"/>
        </w:rPr>
        <w:drawing>
          <wp:inline distT="0" distB="0" distL="0" distR="0" wp14:anchorId="391E6004" wp14:editId="788284CC">
            <wp:extent cx="5943600" cy="3200400"/>
            <wp:effectExtent l="0" t="0" r="0" b="0"/>
            <wp:docPr id="2006732983" name="Chart 1" descr="Line graph showing the percentage of students scoring at above standard on the CAASPP ELA writing claim for SYs 2017–18 to 2022–23. Table 12 shows the same data in table form.">
              <a:extLst xmlns:a="http://schemas.openxmlformats.org/drawingml/2006/main">
                <a:ext uri="{FF2B5EF4-FFF2-40B4-BE49-F238E27FC236}">
                  <a16:creationId xmlns:a16="http://schemas.microsoft.com/office/drawing/2014/main" id="{18B396FF-1964-1C47-9DEB-A18EC7051E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82D3386" w14:textId="3BF06D97" w:rsidR="00437481" w:rsidRDefault="00437481" w:rsidP="00C54293">
      <w:pPr>
        <w:pStyle w:val="TableorFiguresNotesSources"/>
        <w:spacing w:before="0" w:after="240" w:line="240" w:lineRule="auto"/>
        <w:rPr>
          <w:color w:val="auto"/>
        </w:rPr>
      </w:pPr>
      <w:bookmarkStart w:id="99" w:name="_Toc135948176"/>
      <w:bookmarkStart w:id="100" w:name="_Toc154499627"/>
      <w:r w:rsidRPr="00F43231">
        <w:rPr>
          <w:rFonts w:cs="Arial"/>
          <w:color w:val="auto"/>
          <w:shd w:val="clear" w:color="auto" w:fill="FFFFFF"/>
        </w:rPr>
        <w:t xml:space="preserve">Source: </w:t>
      </w:r>
      <w:r w:rsidRPr="00F43231">
        <w:rPr>
          <w:color w:val="auto"/>
        </w:rPr>
        <w:t>CDE CAASPP data files, SYs 2017–18, 2018–19, 2021–22, and 2022–23</w:t>
      </w:r>
      <w:r w:rsidRPr="00F43231">
        <w:rPr>
          <w:color w:val="auto"/>
          <w:szCs w:val="24"/>
        </w:rPr>
        <w:t>,</w:t>
      </w:r>
      <w:r w:rsidRPr="00F43231">
        <w:rPr>
          <w:color w:val="auto"/>
        </w:rPr>
        <w:t xml:space="preserve"> and the MSIN </w:t>
      </w:r>
      <w:r w:rsidR="009E352E">
        <w:rPr>
          <w:color w:val="auto"/>
        </w:rPr>
        <w:t>databases</w:t>
      </w:r>
      <w:r w:rsidRPr="00F43231">
        <w:rPr>
          <w:color w:val="auto"/>
        </w:rPr>
        <w:t xml:space="preserve"> for the MEP, 2017–18, 2018–19, 2021–22, and 2022–23 performance periods. Accessed February 2023 for SYs 2017–18 through 2021–22 and December 2023 for SY 2022–23.</w:t>
      </w:r>
    </w:p>
    <w:p w14:paraId="3AC4D618" w14:textId="0BED297C" w:rsidR="004050CA" w:rsidRPr="004050CA" w:rsidRDefault="004050CA" w:rsidP="00792C07">
      <w:pPr>
        <w:pStyle w:val="Heading5"/>
      </w:pPr>
      <w:bookmarkStart w:id="101" w:name="_Toc188030577"/>
      <w:r w:rsidRPr="004050CA">
        <w:t xml:space="preserve">Table </w:t>
      </w:r>
      <w:fldSimple w:instr=" SEQ Table \* ARABIC ">
        <w:r w:rsidR="00D04DC5">
          <w:t>12</w:t>
        </w:r>
      </w:fldSimple>
      <w:r w:rsidRPr="004050CA">
        <w:t>. Percentage of All Students, Migratory Students, and Migratory Priority-for-Service Students Scoring Above Standard on the English Language Arts Writing Claim for All Grades, School Years 2017–18, 2018–19, 2021–22, and 2022–</w:t>
      </w:r>
      <w:r>
        <w:t> </w:t>
      </w:r>
      <w:r w:rsidRPr="004050CA">
        <w:t>23</w:t>
      </w:r>
      <w:bookmarkEnd w:id="101"/>
    </w:p>
    <w:tbl>
      <w:tblPr>
        <w:tblStyle w:val="ListTable3-Accent5"/>
        <w:tblW w:w="0" w:type="auto"/>
        <w:tblLayout w:type="fixed"/>
        <w:tblCellMar>
          <w:right w:w="108" w:type="dxa"/>
        </w:tblCellMar>
        <w:tblLook w:val="04A0" w:firstRow="1" w:lastRow="0" w:firstColumn="1" w:lastColumn="0" w:noHBand="0" w:noVBand="1"/>
      </w:tblPr>
      <w:tblGrid>
        <w:gridCol w:w="1339"/>
        <w:gridCol w:w="2664"/>
        <w:gridCol w:w="1339"/>
        <w:gridCol w:w="1339"/>
        <w:gridCol w:w="1339"/>
        <w:gridCol w:w="1339"/>
      </w:tblGrid>
      <w:tr w:rsidR="002C4707" w:rsidRPr="002853FF" w14:paraId="106824D2" w14:textId="77777777" w:rsidTr="009E56F2">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339" w:type="dxa"/>
            <w:hideMark/>
          </w:tcPr>
          <w:p w14:paraId="4CCE1805" w14:textId="77777777" w:rsidR="002C4707" w:rsidRPr="002853FF" w:rsidRDefault="002C4707" w:rsidP="009E56F2">
            <w:pPr>
              <w:pStyle w:val="TableHeaderRow"/>
            </w:pPr>
            <w:r w:rsidRPr="002853FF">
              <w:t>Grade</w:t>
            </w:r>
          </w:p>
        </w:tc>
        <w:tc>
          <w:tcPr>
            <w:tcW w:w="2664" w:type="dxa"/>
            <w:noWrap/>
            <w:hideMark/>
          </w:tcPr>
          <w:p w14:paraId="197C516F" w14:textId="77777777" w:rsidR="002C4707" w:rsidRPr="002853FF" w:rsidRDefault="002C4707" w:rsidP="009E56F2">
            <w:pPr>
              <w:pStyle w:val="TableHeaderRow"/>
              <w:cnfStyle w:val="100000000000" w:firstRow="1" w:lastRow="0" w:firstColumn="0" w:lastColumn="0" w:oddVBand="0" w:evenVBand="0" w:oddHBand="0" w:evenHBand="0" w:firstRowFirstColumn="0" w:firstRowLastColumn="0" w:lastRowFirstColumn="0" w:lastRowLastColumn="0"/>
            </w:pPr>
            <w:r w:rsidRPr="002853FF">
              <w:t>Student Population</w:t>
            </w:r>
          </w:p>
        </w:tc>
        <w:tc>
          <w:tcPr>
            <w:tcW w:w="1339" w:type="dxa"/>
            <w:hideMark/>
          </w:tcPr>
          <w:p w14:paraId="514CCC17" w14:textId="77777777" w:rsidR="002C4707" w:rsidRPr="002853FF" w:rsidRDefault="002C4707" w:rsidP="009E56F2">
            <w:pPr>
              <w:pStyle w:val="TableHeaderRow"/>
              <w:cnfStyle w:val="100000000000" w:firstRow="1" w:lastRow="0" w:firstColumn="0" w:lastColumn="0" w:oddVBand="0" w:evenVBand="0" w:oddHBand="0" w:evenHBand="0" w:firstRowFirstColumn="0" w:firstRowLastColumn="0" w:lastRowFirstColumn="0" w:lastRowLastColumn="0"/>
            </w:pPr>
            <w:r w:rsidRPr="002853FF">
              <w:t xml:space="preserve">2017–18 </w:t>
            </w:r>
          </w:p>
        </w:tc>
        <w:tc>
          <w:tcPr>
            <w:tcW w:w="1339" w:type="dxa"/>
            <w:hideMark/>
          </w:tcPr>
          <w:p w14:paraId="0A3E741D" w14:textId="77777777" w:rsidR="002C4707" w:rsidRPr="002853FF" w:rsidRDefault="002C4707" w:rsidP="009E56F2">
            <w:pPr>
              <w:pStyle w:val="TableHeaderRow"/>
              <w:cnfStyle w:val="100000000000" w:firstRow="1" w:lastRow="0" w:firstColumn="0" w:lastColumn="0" w:oddVBand="0" w:evenVBand="0" w:oddHBand="0" w:evenHBand="0" w:firstRowFirstColumn="0" w:firstRowLastColumn="0" w:lastRowFirstColumn="0" w:lastRowLastColumn="0"/>
            </w:pPr>
            <w:r w:rsidRPr="002853FF">
              <w:t xml:space="preserve">2018–19 </w:t>
            </w:r>
          </w:p>
        </w:tc>
        <w:tc>
          <w:tcPr>
            <w:tcW w:w="1339" w:type="dxa"/>
            <w:hideMark/>
          </w:tcPr>
          <w:p w14:paraId="18F92347" w14:textId="77777777" w:rsidR="002C4707" w:rsidRPr="002853FF" w:rsidRDefault="002C4707" w:rsidP="009E56F2">
            <w:pPr>
              <w:pStyle w:val="TableHeaderRow"/>
              <w:cnfStyle w:val="100000000000" w:firstRow="1" w:lastRow="0" w:firstColumn="0" w:lastColumn="0" w:oddVBand="0" w:evenVBand="0" w:oddHBand="0" w:evenHBand="0" w:firstRowFirstColumn="0" w:firstRowLastColumn="0" w:lastRowFirstColumn="0" w:lastRowLastColumn="0"/>
            </w:pPr>
            <w:r w:rsidRPr="002853FF">
              <w:t xml:space="preserve">2021–22 </w:t>
            </w:r>
          </w:p>
        </w:tc>
        <w:tc>
          <w:tcPr>
            <w:tcW w:w="1339" w:type="dxa"/>
          </w:tcPr>
          <w:p w14:paraId="28CB0AC0" w14:textId="77777777" w:rsidR="002C4707" w:rsidRPr="002853FF" w:rsidRDefault="002C4707" w:rsidP="009E56F2">
            <w:pPr>
              <w:pStyle w:val="TableHeaderRow"/>
              <w:cnfStyle w:val="100000000000" w:firstRow="1" w:lastRow="0" w:firstColumn="0" w:lastColumn="0" w:oddVBand="0" w:evenVBand="0" w:oddHBand="0" w:evenHBand="0" w:firstRowFirstColumn="0" w:firstRowLastColumn="0" w:lastRowFirstColumn="0" w:lastRowLastColumn="0"/>
            </w:pPr>
            <w:r>
              <w:t>2022–23</w:t>
            </w:r>
          </w:p>
        </w:tc>
      </w:tr>
      <w:tr w:rsidR="002C4707" w:rsidRPr="002853FF" w14:paraId="41B7C565" w14:textId="77777777" w:rsidTr="006E4E6A">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tcPr>
          <w:p w14:paraId="06594131" w14:textId="77777777" w:rsidR="002C4707" w:rsidRPr="002853FF" w:rsidRDefault="002C4707" w:rsidP="0041205C">
            <w:pPr>
              <w:pStyle w:val="TableCategoryText"/>
            </w:pPr>
            <w:r w:rsidRPr="002853FF">
              <w:t>All</w:t>
            </w:r>
          </w:p>
        </w:tc>
        <w:tc>
          <w:tcPr>
            <w:tcW w:w="2664" w:type="dxa"/>
            <w:shd w:val="clear" w:color="auto" w:fill="D9E2F3" w:themeFill="accent5" w:themeFillTint="33"/>
            <w:noWrap/>
          </w:tcPr>
          <w:p w14:paraId="2926B16B" w14:textId="77777777" w:rsidR="002C4707" w:rsidRPr="0041205C" w:rsidRDefault="002C4707"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All students</w:t>
            </w:r>
          </w:p>
        </w:tc>
        <w:tc>
          <w:tcPr>
            <w:tcW w:w="1339" w:type="dxa"/>
            <w:shd w:val="clear" w:color="auto" w:fill="D9E2F3" w:themeFill="accent5" w:themeFillTint="33"/>
          </w:tcPr>
          <w:p w14:paraId="4C712DB0" w14:textId="77777777" w:rsidR="002C4707" w:rsidRPr="0041205C" w:rsidRDefault="002C4707"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26.7%</w:t>
            </w:r>
          </w:p>
        </w:tc>
        <w:tc>
          <w:tcPr>
            <w:tcW w:w="1339" w:type="dxa"/>
            <w:shd w:val="clear" w:color="auto" w:fill="D9E2F3" w:themeFill="accent5" w:themeFillTint="33"/>
          </w:tcPr>
          <w:p w14:paraId="2CF28E48" w14:textId="77777777" w:rsidR="002C4707" w:rsidRPr="0041205C" w:rsidRDefault="002C4707"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26.2%</w:t>
            </w:r>
          </w:p>
        </w:tc>
        <w:tc>
          <w:tcPr>
            <w:tcW w:w="1339" w:type="dxa"/>
            <w:shd w:val="clear" w:color="auto" w:fill="D9E2F3" w:themeFill="accent5" w:themeFillTint="33"/>
          </w:tcPr>
          <w:p w14:paraId="704935B9" w14:textId="77777777" w:rsidR="002C4707" w:rsidRPr="0041205C" w:rsidRDefault="002C4707"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19.4%</w:t>
            </w:r>
          </w:p>
        </w:tc>
        <w:tc>
          <w:tcPr>
            <w:tcW w:w="1339" w:type="dxa"/>
            <w:shd w:val="clear" w:color="auto" w:fill="D9E2F3" w:themeFill="accent5" w:themeFillTint="33"/>
          </w:tcPr>
          <w:p w14:paraId="439EE4AE" w14:textId="7BEC3CA5" w:rsidR="002C4707" w:rsidRPr="0041205C" w:rsidRDefault="002C4707"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w:t>
            </w:r>
            <w:r w:rsidR="00C54293" w:rsidRPr="0041205C">
              <w:rPr>
                <w:color w:val="auto"/>
              </w:rPr>
              <w:t>9.2</w:t>
            </w:r>
            <w:r w:rsidRPr="0041205C">
              <w:rPr>
                <w:color w:val="auto"/>
              </w:rPr>
              <w:t>%</w:t>
            </w:r>
          </w:p>
        </w:tc>
      </w:tr>
      <w:tr w:rsidR="002C4707" w:rsidRPr="002853FF" w14:paraId="0FA33404" w14:textId="77777777" w:rsidTr="006E4E6A">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tcPr>
          <w:p w14:paraId="421C99E5" w14:textId="77777777" w:rsidR="002C4707" w:rsidRPr="002853FF" w:rsidRDefault="002C4707" w:rsidP="0041205C">
            <w:pPr>
              <w:pStyle w:val="TableCategoryText"/>
            </w:pPr>
            <w:r w:rsidRPr="002853FF">
              <w:t>All</w:t>
            </w:r>
          </w:p>
        </w:tc>
        <w:tc>
          <w:tcPr>
            <w:tcW w:w="2664" w:type="dxa"/>
            <w:shd w:val="clear" w:color="auto" w:fill="D9E2F3" w:themeFill="accent5" w:themeFillTint="33"/>
            <w:noWrap/>
          </w:tcPr>
          <w:p w14:paraId="5E48B6BD" w14:textId="77777777" w:rsidR="002C4707" w:rsidRPr="0041205C" w:rsidRDefault="002C4707"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Migratory students</w:t>
            </w:r>
          </w:p>
        </w:tc>
        <w:tc>
          <w:tcPr>
            <w:tcW w:w="1339" w:type="dxa"/>
            <w:shd w:val="clear" w:color="auto" w:fill="D9E2F3" w:themeFill="accent5" w:themeFillTint="33"/>
          </w:tcPr>
          <w:p w14:paraId="2697549E" w14:textId="77777777" w:rsidR="002C4707" w:rsidRPr="0041205C" w:rsidRDefault="002C4707"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9.9%</w:t>
            </w:r>
          </w:p>
        </w:tc>
        <w:tc>
          <w:tcPr>
            <w:tcW w:w="1339" w:type="dxa"/>
            <w:shd w:val="clear" w:color="auto" w:fill="D9E2F3" w:themeFill="accent5" w:themeFillTint="33"/>
          </w:tcPr>
          <w:p w14:paraId="1695F0B7" w14:textId="77777777" w:rsidR="002C4707" w:rsidRPr="0041205C" w:rsidRDefault="002C4707"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11.5%</w:t>
            </w:r>
          </w:p>
        </w:tc>
        <w:tc>
          <w:tcPr>
            <w:tcW w:w="1339" w:type="dxa"/>
            <w:shd w:val="clear" w:color="auto" w:fill="D9E2F3" w:themeFill="accent5" w:themeFillTint="33"/>
          </w:tcPr>
          <w:p w14:paraId="1140629E" w14:textId="77777777" w:rsidR="002C4707" w:rsidRPr="0041205C" w:rsidRDefault="002C4707"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6.7%</w:t>
            </w:r>
          </w:p>
        </w:tc>
        <w:tc>
          <w:tcPr>
            <w:tcW w:w="1339" w:type="dxa"/>
            <w:shd w:val="clear" w:color="auto" w:fill="D9E2F3" w:themeFill="accent5" w:themeFillTint="33"/>
          </w:tcPr>
          <w:p w14:paraId="6E13FB79" w14:textId="77777777" w:rsidR="002C4707" w:rsidRPr="0041205C" w:rsidRDefault="002C4707"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6.8%</w:t>
            </w:r>
          </w:p>
        </w:tc>
      </w:tr>
      <w:tr w:rsidR="002C4707" w:rsidRPr="002853FF" w14:paraId="09BD683E" w14:textId="77777777" w:rsidTr="006E4E6A">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hideMark/>
          </w:tcPr>
          <w:p w14:paraId="030F3607" w14:textId="77777777" w:rsidR="002C4707" w:rsidRPr="002853FF" w:rsidRDefault="002C4707" w:rsidP="0041205C">
            <w:pPr>
              <w:pStyle w:val="TableCategoryText"/>
            </w:pPr>
            <w:r w:rsidRPr="002853FF">
              <w:t>All</w:t>
            </w:r>
          </w:p>
        </w:tc>
        <w:tc>
          <w:tcPr>
            <w:tcW w:w="2664" w:type="dxa"/>
            <w:shd w:val="clear" w:color="auto" w:fill="D9E2F3" w:themeFill="accent5" w:themeFillTint="33"/>
            <w:noWrap/>
          </w:tcPr>
          <w:p w14:paraId="79986356" w14:textId="77777777" w:rsidR="002C4707" w:rsidRPr="0041205C" w:rsidRDefault="002C4707"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Migratory PFS students</w:t>
            </w:r>
          </w:p>
        </w:tc>
        <w:tc>
          <w:tcPr>
            <w:tcW w:w="1339" w:type="dxa"/>
            <w:shd w:val="clear" w:color="auto" w:fill="D9E2F3" w:themeFill="accent5" w:themeFillTint="33"/>
          </w:tcPr>
          <w:p w14:paraId="6627CE4E" w14:textId="3E5BDA5D" w:rsidR="002C4707" w:rsidRPr="0041205C" w:rsidRDefault="002C4707"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4.2%</w:t>
            </w:r>
          </w:p>
        </w:tc>
        <w:tc>
          <w:tcPr>
            <w:tcW w:w="1339" w:type="dxa"/>
            <w:shd w:val="clear" w:color="auto" w:fill="D9E2F3" w:themeFill="accent5" w:themeFillTint="33"/>
          </w:tcPr>
          <w:p w14:paraId="2022850B" w14:textId="3E95275B" w:rsidR="002C4707" w:rsidRPr="0041205C" w:rsidRDefault="002C4707"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5.4%</w:t>
            </w:r>
          </w:p>
        </w:tc>
        <w:tc>
          <w:tcPr>
            <w:tcW w:w="1339" w:type="dxa"/>
            <w:shd w:val="clear" w:color="auto" w:fill="D9E2F3" w:themeFill="accent5" w:themeFillTint="33"/>
          </w:tcPr>
          <w:p w14:paraId="6756B064" w14:textId="4B7EF9CA" w:rsidR="002C4707" w:rsidRPr="0041205C" w:rsidRDefault="002C4707"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3.9%</w:t>
            </w:r>
          </w:p>
        </w:tc>
        <w:tc>
          <w:tcPr>
            <w:tcW w:w="1339" w:type="dxa"/>
            <w:shd w:val="clear" w:color="auto" w:fill="D9E2F3" w:themeFill="accent5" w:themeFillTint="33"/>
          </w:tcPr>
          <w:p w14:paraId="03B9CB6B" w14:textId="77D7E991" w:rsidR="002C4707" w:rsidRPr="0041205C" w:rsidRDefault="002C4707"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3.6%</w:t>
            </w:r>
          </w:p>
        </w:tc>
      </w:tr>
    </w:tbl>
    <w:p w14:paraId="4254D7FB" w14:textId="413D0CD8" w:rsidR="002C4707" w:rsidRPr="002C4707" w:rsidRDefault="002C4707" w:rsidP="00B1476B">
      <w:pPr>
        <w:pStyle w:val="TableorFiguresNotesSources"/>
        <w:spacing w:line="240" w:lineRule="auto"/>
        <w:rPr>
          <w:color w:val="auto"/>
        </w:rPr>
      </w:pPr>
      <w:r w:rsidRPr="002C4707">
        <w:rPr>
          <w:rFonts w:cs="Arial"/>
          <w:color w:val="auto"/>
          <w:shd w:val="clear" w:color="auto" w:fill="FFFFFF"/>
        </w:rPr>
        <w:t xml:space="preserve">Source: </w:t>
      </w:r>
      <w:r w:rsidRPr="002C4707">
        <w:rPr>
          <w:color w:val="auto"/>
        </w:rPr>
        <w:t xml:space="preserve">CDE CAASPP data files, SYs 2017–18, 2018–19, 2021–22, and 2022–23, and the MSIN </w:t>
      </w:r>
      <w:r w:rsidR="009E352E">
        <w:rPr>
          <w:color w:val="auto"/>
        </w:rPr>
        <w:t>databases</w:t>
      </w:r>
      <w:r w:rsidRPr="002C4707">
        <w:rPr>
          <w:color w:val="auto"/>
        </w:rPr>
        <w:t xml:space="preserve"> for the MEP,</w:t>
      </w:r>
      <w:r w:rsidR="00D1613E">
        <w:rPr>
          <w:color w:val="auto"/>
        </w:rPr>
        <w:t xml:space="preserve"> </w:t>
      </w:r>
      <w:r w:rsidRPr="002C4707">
        <w:rPr>
          <w:color w:val="auto"/>
        </w:rPr>
        <w:t xml:space="preserve">2017–18, 2018–19, 2021–22, and 2022–23 </w:t>
      </w:r>
      <w:r w:rsidRPr="002C4707">
        <w:rPr>
          <w:color w:val="auto"/>
        </w:rPr>
        <w:lastRenderedPageBreak/>
        <w:t>performance periods. Accessed February 2023 for SY 2017–18 through SY 2021–22 and December 2023 for SY 2022–23.</w:t>
      </w:r>
    </w:p>
    <w:p w14:paraId="22C96EC9" w14:textId="77777777" w:rsidR="00437481" w:rsidRPr="00F43231" w:rsidRDefault="00437481" w:rsidP="00B1476B">
      <w:pPr>
        <w:pStyle w:val="Heading4"/>
      </w:pPr>
      <w:bookmarkStart w:id="102" w:name="_Toc135948120"/>
      <w:bookmarkStart w:id="103" w:name="_Toc154499376"/>
      <w:bookmarkEnd w:id="99"/>
      <w:bookmarkEnd w:id="100"/>
      <w:r w:rsidRPr="00F43231">
        <w:t>California Assessment of Student Performance and Progress for English Language Arts Listening Claim</w:t>
      </w:r>
      <w:bookmarkEnd w:id="102"/>
      <w:bookmarkEnd w:id="103"/>
    </w:p>
    <w:p w14:paraId="24ABD589" w14:textId="6C91CB1B" w:rsidR="00437481" w:rsidRPr="00F43231" w:rsidRDefault="00437481" w:rsidP="00B1476B">
      <w:pPr>
        <w:pStyle w:val="Paragraph"/>
        <w:spacing w:line="240" w:lineRule="auto"/>
        <w:rPr>
          <w:i/>
          <w:iCs/>
          <w:noProof w:val="0"/>
          <w:color w:val="auto"/>
          <w:shd w:val="clear" w:color="auto" w:fill="FFFFFF"/>
        </w:rPr>
      </w:pPr>
      <w:bookmarkStart w:id="104" w:name="_Toc135948145"/>
      <w:bookmarkStart w:id="105" w:name="_Toc154499558"/>
      <w:r w:rsidRPr="00F43231">
        <w:rPr>
          <w:noProof w:val="0"/>
          <w:color w:val="auto"/>
          <w:shd w:val="clear" w:color="auto" w:fill="FFFFFF"/>
        </w:rPr>
        <w:t xml:space="preserve">From SYs 2017–18 through 2018–19, all three student populations experienced an increase in the percentage of students who were </w:t>
      </w:r>
      <w:r w:rsidR="00D55EE4">
        <w:rPr>
          <w:noProof w:val="0"/>
          <w:color w:val="auto"/>
          <w:shd w:val="clear" w:color="auto" w:fill="FFFFFF"/>
        </w:rPr>
        <w:t>above standard</w:t>
      </w:r>
      <w:r w:rsidRPr="00F43231">
        <w:rPr>
          <w:noProof w:val="0"/>
          <w:color w:val="auto"/>
          <w:shd w:val="clear" w:color="auto" w:fill="FFFFFF"/>
        </w:rPr>
        <w:t xml:space="preserve"> on the CAASPP</w:t>
      </w:r>
      <w:r w:rsidRPr="00F43231">
        <w:rPr>
          <w:rFonts w:ascii="Lato" w:hAnsi="Lato"/>
          <w:noProof w:val="0"/>
          <w:color w:val="auto"/>
          <w:sz w:val="20"/>
          <w:szCs w:val="20"/>
        </w:rPr>
        <w:t xml:space="preserve"> </w:t>
      </w:r>
      <w:r w:rsidRPr="00F43231">
        <w:rPr>
          <w:noProof w:val="0"/>
          <w:color w:val="auto"/>
          <w:shd w:val="clear" w:color="auto" w:fill="FFFFFF"/>
        </w:rPr>
        <w:t xml:space="preserve">ELA listening claim. Between SYs 2018–19 and 2022–23, migratory and all students experienced a decline in the percentage who were </w:t>
      </w:r>
      <w:r w:rsidR="00D55EE4">
        <w:rPr>
          <w:noProof w:val="0"/>
          <w:color w:val="auto"/>
          <w:shd w:val="clear" w:color="auto" w:fill="FFFFFF"/>
        </w:rPr>
        <w:t>above standard</w:t>
      </w:r>
      <w:r w:rsidRPr="00F43231">
        <w:rPr>
          <w:noProof w:val="0"/>
          <w:color w:val="auto"/>
          <w:shd w:val="clear" w:color="auto" w:fill="FFFFFF"/>
        </w:rPr>
        <w:t>, but migratory PFS students experienced a</w:t>
      </w:r>
      <w:r w:rsidR="00D1613E">
        <w:rPr>
          <w:noProof w:val="0"/>
          <w:color w:val="auto"/>
          <w:shd w:val="clear" w:color="auto" w:fill="FFFFFF"/>
        </w:rPr>
        <w:t xml:space="preserve"> slight</w:t>
      </w:r>
      <w:r w:rsidRPr="00F43231">
        <w:rPr>
          <w:noProof w:val="0"/>
          <w:color w:val="auto"/>
          <w:shd w:val="clear" w:color="auto" w:fill="FFFFFF"/>
        </w:rPr>
        <w:t xml:space="preserve"> increase</w:t>
      </w:r>
      <w:r w:rsidR="00D1613E">
        <w:rPr>
          <w:noProof w:val="0"/>
          <w:color w:val="auto"/>
          <w:shd w:val="clear" w:color="auto" w:fill="FFFFFF"/>
        </w:rPr>
        <w:t xml:space="preserve"> in the percent who scored above standard</w:t>
      </w:r>
      <w:r w:rsidRPr="00F43231">
        <w:rPr>
          <w:noProof w:val="0"/>
          <w:color w:val="auto"/>
          <w:shd w:val="clear" w:color="auto" w:fill="FFFFFF"/>
        </w:rPr>
        <w:t>.</w:t>
      </w:r>
    </w:p>
    <w:p w14:paraId="6F2BAB4E" w14:textId="77777777" w:rsidR="00437481" w:rsidRPr="00F43231" w:rsidRDefault="00437481" w:rsidP="00B1476B">
      <w:pPr>
        <w:pStyle w:val="Heading4"/>
      </w:pPr>
      <w:r w:rsidRPr="00F43231">
        <w:t>Key Findings</w:t>
      </w:r>
    </w:p>
    <w:p w14:paraId="7957B490" w14:textId="77777777" w:rsidR="00437481" w:rsidRPr="00F43231" w:rsidRDefault="00437481" w:rsidP="00B1476B">
      <w:pPr>
        <w:pStyle w:val="List-Level1"/>
        <w:spacing w:line="240" w:lineRule="auto"/>
        <w:ind w:left="720" w:hanging="360"/>
        <w:rPr>
          <w:color w:val="auto"/>
        </w:rPr>
      </w:pPr>
      <w:r w:rsidRPr="00F43231">
        <w:rPr>
          <w:noProof w:val="0"/>
          <w:color w:val="auto"/>
        </w:rPr>
        <w:t xml:space="preserve">By SY 2021–22, migratory PFS students narrowed their earlier performance </w:t>
      </w:r>
      <w:r w:rsidRPr="00F43231">
        <w:rPr>
          <w:noProof w:val="0"/>
          <w:color w:val="auto"/>
        </w:rPr>
        <w:br/>
        <w:t>gap with migratory students on the CAASPP ELA listening claim</w:t>
      </w:r>
      <w:r w:rsidRPr="00F43231">
        <w:rPr>
          <w:color w:val="auto"/>
        </w:rPr>
        <w:t xml:space="preserve"> to a 2.2 percentage point difference (compared with a 3.7 percentage point difference in SY 2017–18). </w:t>
      </w:r>
    </w:p>
    <w:p w14:paraId="34B6E170" w14:textId="4AAD2960" w:rsidR="00437481" w:rsidRPr="00F43231" w:rsidRDefault="00437481" w:rsidP="00B1476B">
      <w:pPr>
        <w:pStyle w:val="List-Level1"/>
        <w:spacing w:line="240" w:lineRule="auto"/>
        <w:ind w:left="720" w:hanging="360"/>
        <w:rPr>
          <w:color w:val="auto"/>
        </w:rPr>
      </w:pPr>
      <w:r w:rsidRPr="00F43231">
        <w:rPr>
          <w:color w:val="auto"/>
        </w:rPr>
        <w:t xml:space="preserve">In SY 2022–23, migratory PFS students were 9.1 percentage points less likely than all students to score at </w:t>
      </w:r>
      <w:r w:rsidR="00D55EE4">
        <w:rPr>
          <w:color w:val="auto"/>
        </w:rPr>
        <w:t>above standard</w:t>
      </w:r>
      <w:r w:rsidRPr="00F43231">
        <w:rPr>
          <w:color w:val="auto"/>
        </w:rPr>
        <w:t xml:space="preserve">. Migratory students overall were </w:t>
      </w:r>
      <w:r w:rsidR="00C0510E">
        <w:rPr>
          <w:color w:val="auto"/>
        </w:rPr>
        <w:t>seven</w:t>
      </w:r>
      <w:r w:rsidRPr="00F43231">
        <w:rPr>
          <w:color w:val="auto"/>
        </w:rPr>
        <w:t xml:space="preserve"> percentage points less likely than all students to score at </w:t>
      </w:r>
      <w:r w:rsidR="00D55EE4">
        <w:rPr>
          <w:color w:val="auto"/>
        </w:rPr>
        <w:t>above standard</w:t>
      </w:r>
      <w:r w:rsidRPr="00F43231">
        <w:rPr>
          <w:color w:val="auto"/>
        </w:rPr>
        <w:t>.</w:t>
      </w:r>
    </w:p>
    <w:p w14:paraId="66F35988" w14:textId="10CD2888" w:rsidR="00437481" w:rsidRPr="00F43231" w:rsidRDefault="00437481" w:rsidP="00B1476B">
      <w:pPr>
        <w:pStyle w:val="List-Level1"/>
        <w:spacing w:line="240" w:lineRule="auto"/>
        <w:ind w:left="720" w:hanging="360"/>
        <w:rPr>
          <w:color w:val="auto"/>
        </w:rPr>
      </w:pPr>
      <w:r w:rsidRPr="00F43231">
        <w:rPr>
          <w:color w:val="auto"/>
        </w:rPr>
        <w:t xml:space="preserve">Approximately </w:t>
      </w:r>
      <w:r w:rsidR="00C0510E">
        <w:rPr>
          <w:color w:val="auto"/>
        </w:rPr>
        <w:t>six</w:t>
      </w:r>
      <w:r w:rsidR="00CC233F" w:rsidRPr="00F43231">
        <w:rPr>
          <w:color w:val="auto"/>
        </w:rPr>
        <w:t> </w:t>
      </w:r>
      <w:r w:rsidRPr="00F43231">
        <w:rPr>
          <w:color w:val="auto"/>
        </w:rPr>
        <w:t xml:space="preserve">percent of migratory students and </w:t>
      </w:r>
      <w:r w:rsidR="00C0510E">
        <w:rPr>
          <w:color w:val="auto"/>
        </w:rPr>
        <w:t>four</w:t>
      </w:r>
      <w:r w:rsidR="00A313C7" w:rsidRPr="00F43231">
        <w:rPr>
          <w:color w:val="auto"/>
        </w:rPr>
        <w:t> </w:t>
      </w:r>
      <w:r w:rsidRPr="00F43231">
        <w:rPr>
          <w:color w:val="auto"/>
        </w:rPr>
        <w:t xml:space="preserve">percent of migratory PFS students scored at </w:t>
      </w:r>
      <w:r w:rsidR="00D55EE4">
        <w:rPr>
          <w:color w:val="auto"/>
        </w:rPr>
        <w:t>above standard</w:t>
      </w:r>
      <w:r w:rsidRPr="00F43231">
        <w:rPr>
          <w:color w:val="auto"/>
        </w:rPr>
        <w:t xml:space="preserve"> in SY 2022–23.</w:t>
      </w:r>
    </w:p>
    <w:p w14:paraId="20BE9A10" w14:textId="3D1C9541" w:rsidR="00437481" w:rsidRPr="00F43231" w:rsidRDefault="003E3C7B" w:rsidP="00B1476B">
      <w:pPr>
        <w:pStyle w:val="Paragraph-AfterList"/>
        <w:spacing w:line="240" w:lineRule="auto"/>
        <w:rPr>
          <w:color w:val="auto"/>
        </w:rPr>
      </w:pPr>
      <w:r>
        <w:rPr>
          <w:noProof w:val="0"/>
          <w:color w:val="auto"/>
        </w:rPr>
        <w:t>Figure 11</w:t>
      </w:r>
      <w:r w:rsidR="00437481" w:rsidRPr="00F43231">
        <w:rPr>
          <w:color w:val="auto"/>
        </w:rPr>
        <w:t xml:space="preserve"> shows the percentage of all students, migratory students, and migratory PFS students who scored at </w:t>
      </w:r>
      <w:r w:rsidR="00D55EE4">
        <w:rPr>
          <w:color w:val="auto"/>
        </w:rPr>
        <w:t>above standard</w:t>
      </w:r>
      <w:r w:rsidR="00437481" w:rsidRPr="00F43231">
        <w:rPr>
          <w:color w:val="auto"/>
        </w:rPr>
        <w:t xml:space="preserve"> on the CAASPP ELA listening claim over the four assessment years</w:t>
      </w:r>
      <w:r w:rsidR="001C3F56">
        <w:rPr>
          <w:color w:val="auto"/>
        </w:rPr>
        <w:t xml:space="preserve"> referenced</w:t>
      </w:r>
      <w:r w:rsidR="00437481" w:rsidRPr="00F43231">
        <w:rPr>
          <w:color w:val="auto"/>
        </w:rPr>
        <w:t>.</w:t>
      </w:r>
      <w:r w:rsidR="000653AE">
        <w:rPr>
          <w:color w:val="auto"/>
        </w:rPr>
        <w:t xml:space="preserve"> Table 13, below figure 11, shows the same data in a more accessible way. </w:t>
      </w:r>
    </w:p>
    <w:bookmarkEnd w:id="104"/>
    <w:bookmarkEnd w:id="105"/>
    <w:p w14:paraId="5DE30D3E" w14:textId="77777777" w:rsidR="00C54293" w:rsidRDefault="00C54293" w:rsidP="00B1476B">
      <w:pPr>
        <w:rPr>
          <w:rFonts w:eastAsia="Times New Roman" w:cs="Arial"/>
          <w:b/>
          <w:color w:val="1F3864" w:themeColor="accent5" w:themeShade="80"/>
          <w:lang w:eastAsia="zh-CN"/>
        </w:rPr>
      </w:pPr>
      <w:r>
        <w:rPr>
          <w:color w:val="1F3864" w:themeColor="accent5" w:themeShade="80"/>
        </w:rPr>
        <w:br w:type="page"/>
      </w:r>
    </w:p>
    <w:p w14:paraId="1AE7A63B" w14:textId="284F3213" w:rsidR="00F43231" w:rsidRPr="004050CA" w:rsidRDefault="004050CA" w:rsidP="00792C07">
      <w:pPr>
        <w:pStyle w:val="Heading5"/>
      </w:pPr>
      <w:bookmarkStart w:id="106" w:name="_Toc188030510"/>
      <w:bookmarkStart w:id="107" w:name="_Toc188016097"/>
      <w:r w:rsidRPr="004050CA">
        <w:lastRenderedPageBreak/>
        <w:t xml:space="preserve">Figure </w:t>
      </w:r>
      <w:fldSimple w:instr=" SEQ Figure \* ARABIC ">
        <w:r w:rsidR="00AB15FE">
          <w:rPr>
            <w:noProof/>
          </w:rPr>
          <w:t>11</w:t>
        </w:r>
      </w:fldSimple>
      <w:r w:rsidRPr="004050CA">
        <w:t>. Percentage of All Students, Migratory Students, and Migratory Priority-for-Service Students Scoring Above Standard on the English Language Arts Listening Claim for All Grades, School Years 2017–18, 2018–19, 2021–22, and 2022–23</w:t>
      </w:r>
      <w:bookmarkEnd w:id="106"/>
      <w:r w:rsidR="00F43231" w:rsidRPr="004050CA">
        <w:t xml:space="preserve"> </w:t>
      </w:r>
      <w:bookmarkEnd w:id="107"/>
    </w:p>
    <w:p w14:paraId="03FB8105" w14:textId="77777777" w:rsidR="00437481" w:rsidRDefault="00437481" w:rsidP="00CF280A">
      <w:pPr>
        <w:pStyle w:val="Figure"/>
      </w:pPr>
      <w:r>
        <w:drawing>
          <wp:inline distT="0" distB="0" distL="0" distR="0" wp14:anchorId="09BCBE90" wp14:editId="19B64295">
            <wp:extent cx="5943600" cy="3200400"/>
            <wp:effectExtent l="0" t="0" r="0" b="0"/>
            <wp:docPr id="1694546744" name="Chart 1" descr="Figure 11. Line graph showing the percentage of students scoring at above standard on the CAASPP ELA listening claim for SYs 2017–18 to 2022–23. Table 3 shows this data in table form.">
              <a:extLst xmlns:a="http://schemas.openxmlformats.org/drawingml/2006/main">
                <a:ext uri="{FF2B5EF4-FFF2-40B4-BE49-F238E27FC236}">
                  <a16:creationId xmlns:a16="http://schemas.microsoft.com/office/drawing/2014/main" id="{FBEAD95B-AB26-644F-A58D-CA1E92B57F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B9FA077" w14:textId="68AE4E8B" w:rsidR="00437481" w:rsidRDefault="00437481" w:rsidP="00CF280A">
      <w:pPr>
        <w:pStyle w:val="TableorFiguresNotesSources"/>
        <w:spacing w:after="240" w:line="240" w:lineRule="auto"/>
        <w:rPr>
          <w:color w:val="auto"/>
        </w:rPr>
      </w:pPr>
      <w:r w:rsidRPr="00F43231">
        <w:rPr>
          <w:rFonts w:cs="Arial"/>
          <w:color w:val="auto"/>
          <w:shd w:val="clear" w:color="auto" w:fill="FFFFFF"/>
        </w:rPr>
        <w:t xml:space="preserve">Source: </w:t>
      </w:r>
      <w:r w:rsidRPr="00F43231">
        <w:rPr>
          <w:color w:val="auto"/>
        </w:rPr>
        <w:t xml:space="preserve">CDE CAASPP data files, SYs 2017–18, 2018–19, 2021–22, and 2022–23, and the MSIN </w:t>
      </w:r>
      <w:r w:rsidR="009E352E">
        <w:rPr>
          <w:color w:val="auto"/>
        </w:rPr>
        <w:t>databases</w:t>
      </w:r>
      <w:r w:rsidRPr="00F43231">
        <w:rPr>
          <w:color w:val="auto"/>
        </w:rPr>
        <w:t xml:space="preserve"> for the MEP, 2017–18, 2018–19, 2021–22, and 2022–23 </w:t>
      </w:r>
      <w:r w:rsidRPr="00DE269A">
        <w:rPr>
          <w:color w:val="auto"/>
        </w:rPr>
        <w:t>performance periods. Accessed February 2023 for SYs 2017–18 through 2021–22 and December 2023 for SY 2022–23.</w:t>
      </w:r>
    </w:p>
    <w:p w14:paraId="73DA4B8B" w14:textId="5A670A5E" w:rsidR="004050CA" w:rsidRPr="004050CA" w:rsidRDefault="004050CA" w:rsidP="00792C07">
      <w:pPr>
        <w:pStyle w:val="Heading5"/>
      </w:pPr>
      <w:bookmarkStart w:id="108" w:name="_Toc188030578"/>
      <w:r w:rsidRPr="004050CA">
        <w:t xml:space="preserve">Table </w:t>
      </w:r>
      <w:fldSimple w:instr=" SEQ Table \* ARABIC ">
        <w:r w:rsidR="00D04DC5">
          <w:t>13</w:t>
        </w:r>
      </w:fldSimple>
      <w:r w:rsidRPr="004050CA">
        <w:t>. Percentage of All Students, Migratory Students, and Migratory Priority-for-Service Students Scoring Above Standard on the English Language Arts Listening Claim for All Grades, School Years 2017–18, 2018–19, 2021–22, and 2022–23</w:t>
      </w:r>
      <w:bookmarkEnd w:id="108"/>
    </w:p>
    <w:tbl>
      <w:tblPr>
        <w:tblStyle w:val="ListTable3-Accent5"/>
        <w:tblW w:w="0" w:type="auto"/>
        <w:tblLayout w:type="fixed"/>
        <w:tblCellMar>
          <w:right w:w="108" w:type="dxa"/>
        </w:tblCellMar>
        <w:tblLook w:val="04A0" w:firstRow="1" w:lastRow="0" w:firstColumn="1" w:lastColumn="0" w:noHBand="0" w:noVBand="1"/>
      </w:tblPr>
      <w:tblGrid>
        <w:gridCol w:w="1339"/>
        <w:gridCol w:w="2664"/>
        <w:gridCol w:w="1339"/>
        <w:gridCol w:w="1339"/>
        <w:gridCol w:w="1339"/>
        <w:gridCol w:w="1339"/>
      </w:tblGrid>
      <w:tr w:rsidR="00C54293" w:rsidRPr="00383FF5" w14:paraId="6055C335" w14:textId="77777777" w:rsidTr="009E56F2">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339" w:type="dxa"/>
            <w:hideMark/>
          </w:tcPr>
          <w:p w14:paraId="3392667B" w14:textId="77777777" w:rsidR="00C54293" w:rsidRPr="00383FF5" w:rsidRDefault="00C54293" w:rsidP="009E56F2">
            <w:pPr>
              <w:pStyle w:val="TableHeaderRow"/>
            </w:pPr>
            <w:r w:rsidRPr="00383FF5">
              <w:t>Grade</w:t>
            </w:r>
          </w:p>
        </w:tc>
        <w:tc>
          <w:tcPr>
            <w:tcW w:w="2664" w:type="dxa"/>
            <w:noWrap/>
            <w:hideMark/>
          </w:tcPr>
          <w:p w14:paraId="127247FD" w14:textId="77777777" w:rsidR="00C54293" w:rsidRPr="00383FF5" w:rsidRDefault="00C54293" w:rsidP="009E56F2">
            <w:pPr>
              <w:pStyle w:val="TableHeaderRow"/>
              <w:cnfStyle w:val="100000000000" w:firstRow="1" w:lastRow="0" w:firstColumn="0" w:lastColumn="0" w:oddVBand="0" w:evenVBand="0" w:oddHBand="0" w:evenHBand="0" w:firstRowFirstColumn="0" w:firstRowLastColumn="0" w:lastRowFirstColumn="0" w:lastRowLastColumn="0"/>
            </w:pPr>
            <w:r w:rsidRPr="00383FF5">
              <w:t>Student Population</w:t>
            </w:r>
          </w:p>
        </w:tc>
        <w:tc>
          <w:tcPr>
            <w:tcW w:w="1339" w:type="dxa"/>
            <w:hideMark/>
          </w:tcPr>
          <w:p w14:paraId="45407D71" w14:textId="77777777" w:rsidR="00C54293" w:rsidRPr="00383FF5" w:rsidRDefault="00C54293" w:rsidP="009E56F2">
            <w:pPr>
              <w:pStyle w:val="TableHeaderRow"/>
              <w:cnfStyle w:val="100000000000" w:firstRow="1" w:lastRow="0" w:firstColumn="0" w:lastColumn="0" w:oddVBand="0" w:evenVBand="0" w:oddHBand="0" w:evenHBand="0" w:firstRowFirstColumn="0" w:firstRowLastColumn="0" w:lastRowFirstColumn="0" w:lastRowLastColumn="0"/>
            </w:pPr>
            <w:r w:rsidRPr="00383FF5">
              <w:t xml:space="preserve">2017–18 </w:t>
            </w:r>
          </w:p>
        </w:tc>
        <w:tc>
          <w:tcPr>
            <w:tcW w:w="1339" w:type="dxa"/>
            <w:hideMark/>
          </w:tcPr>
          <w:p w14:paraId="56192B4C" w14:textId="77777777" w:rsidR="00C54293" w:rsidRPr="00383FF5" w:rsidRDefault="00C54293" w:rsidP="009E56F2">
            <w:pPr>
              <w:pStyle w:val="TableHeaderRow"/>
              <w:cnfStyle w:val="100000000000" w:firstRow="1" w:lastRow="0" w:firstColumn="0" w:lastColumn="0" w:oddVBand="0" w:evenVBand="0" w:oddHBand="0" w:evenHBand="0" w:firstRowFirstColumn="0" w:firstRowLastColumn="0" w:lastRowFirstColumn="0" w:lastRowLastColumn="0"/>
            </w:pPr>
            <w:r w:rsidRPr="00383FF5">
              <w:t xml:space="preserve">2018–19 </w:t>
            </w:r>
          </w:p>
        </w:tc>
        <w:tc>
          <w:tcPr>
            <w:tcW w:w="1339" w:type="dxa"/>
            <w:hideMark/>
          </w:tcPr>
          <w:p w14:paraId="1E9ED4E2" w14:textId="77777777" w:rsidR="00C54293" w:rsidRPr="00383FF5" w:rsidRDefault="00C54293" w:rsidP="009E56F2">
            <w:pPr>
              <w:pStyle w:val="TableHeaderRow"/>
              <w:cnfStyle w:val="100000000000" w:firstRow="1" w:lastRow="0" w:firstColumn="0" w:lastColumn="0" w:oddVBand="0" w:evenVBand="0" w:oddHBand="0" w:evenHBand="0" w:firstRowFirstColumn="0" w:firstRowLastColumn="0" w:lastRowFirstColumn="0" w:lastRowLastColumn="0"/>
            </w:pPr>
            <w:r w:rsidRPr="00383FF5">
              <w:t xml:space="preserve">2021–22 </w:t>
            </w:r>
          </w:p>
        </w:tc>
        <w:tc>
          <w:tcPr>
            <w:tcW w:w="1339" w:type="dxa"/>
          </w:tcPr>
          <w:p w14:paraId="4E59A683" w14:textId="77777777" w:rsidR="00C54293" w:rsidRPr="00383FF5" w:rsidRDefault="00C54293" w:rsidP="009E56F2">
            <w:pPr>
              <w:pStyle w:val="TableHeaderRow"/>
              <w:cnfStyle w:val="100000000000" w:firstRow="1" w:lastRow="0" w:firstColumn="0" w:lastColumn="0" w:oddVBand="0" w:evenVBand="0" w:oddHBand="0" w:evenHBand="0" w:firstRowFirstColumn="0" w:firstRowLastColumn="0" w:lastRowFirstColumn="0" w:lastRowLastColumn="0"/>
            </w:pPr>
            <w:r>
              <w:t>2022–23</w:t>
            </w:r>
          </w:p>
        </w:tc>
      </w:tr>
      <w:tr w:rsidR="00C54293" w:rsidRPr="00383FF5" w14:paraId="3C59E504" w14:textId="77777777" w:rsidTr="00C54293">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tcPr>
          <w:p w14:paraId="552EBD5E" w14:textId="77777777" w:rsidR="00C54293" w:rsidRPr="00383FF5" w:rsidRDefault="00C54293" w:rsidP="0041205C">
            <w:pPr>
              <w:pStyle w:val="TableCategoryText"/>
            </w:pPr>
            <w:r w:rsidRPr="00383FF5">
              <w:t>All</w:t>
            </w:r>
          </w:p>
        </w:tc>
        <w:tc>
          <w:tcPr>
            <w:tcW w:w="2664" w:type="dxa"/>
            <w:shd w:val="clear" w:color="auto" w:fill="D9E2F3" w:themeFill="accent5" w:themeFillTint="33"/>
            <w:noWrap/>
          </w:tcPr>
          <w:p w14:paraId="7D239550"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All students</w:t>
            </w:r>
          </w:p>
        </w:tc>
        <w:tc>
          <w:tcPr>
            <w:tcW w:w="1339" w:type="dxa"/>
            <w:shd w:val="clear" w:color="auto" w:fill="D9E2F3" w:themeFill="accent5" w:themeFillTint="33"/>
          </w:tcPr>
          <w:p w14:paraId="592419EB"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17.7%</w:t>
            </w:r>
          </w:p>
        </w:tc>
        <w:tc>
          <w:tcPr>
            <w:tcW w:w="1339" w:type="dxa"/>
            <w:shd w:val="clear" w:color="auto" w:fill="D9E2F3" w:themeFill="accent5" w:themeFillTint="33"/>
          </w:tcPr>
          <w:p w14:paraId="59032FF3"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18.7%</w:t>
            </w:r>
          </w:p>
        </w:tc>
        <w:tc>
          <w:tcPr>
            <w:tcW w:w="1339" w:type="dxa"/>
            <w:shd w:val="clear" w:color="auto" w:fill="D9E2F3" w:themeFill="accent5" w:themeFillTint="33"/>
          </w:tcPr>
          <w:p w14:paraId="6A536679"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13.3%</w:t>
            </w:r>
          </w:p>
        </w:tc>
        <w:tc>
          <w:tcPr>
            <w:tcW w:w="1339" w:type="dxa"/>
            <w:shd w:val="clear" w:color="auto" w:fill="D9E2F3" w:themeFill="accent5" w:themeFillTint="33"/>
          </w:tcPr>
          <w:p w14:paraId="1C8F3110" w14:textId="11DA2804"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13.3%</w:t>
            </w:r>
          </w:p>
        </w:tc>
      </w:tr>
      <w:tr w:rsidR="00C54293" w:rsidRPr="00383FF5" w14:paraId="0E594BA8" w14:textId="77777777" w:rsidTr="00C54293">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tcPr>
          <w:p w14:paraId="5FB398C0" w14:textId="77777777" w:rsidR="00C54293" w:rsidRPr="00383FF5" w:rsidRDefault="00C54293" w:rsidP="0041205C">
            <w:pPr>
              <w:pStyle w:val="TableCategoryText"/>
            </w:pPr>
            <w:r w:rsidRPr="00383FF5">
              <w:t>All</w:t>
            </w:r>
          </w:p>
        </w:tc>
        <w:tc>
          <w:tcPr>
            <w:tcW w:w="2664" w:type="dxa"/>
            <w:shd w:val="clear" w:color="auto" w:fill="D9E2F3" w:themeFill="accent5" w:themeFillTint="33"/>
            <w:noWrap/>
          </w:tcPr>
          <w:p w14:paraId="07F7F6D6" w14:textId="77777777" w:rsidR="00C54293" w:rsidRPr="0041205C" w:rsidRDefault="00C54293"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Migratory students</w:t>
            </w:r>
          </w:p>
        </w:tc>
        <w:tc>
          <w:tcPr>
            <w:tcW w:w="1339" w:type="dxa"/>
            <w:shd w:val="clear" w:color="auto" w:fill="D9E2F3" w:themeFill="accent5" w:themeFillTint="33"/>
          </w:tcPr>
          <w:p w14:paraId="4EC53799" w14:textId="77777777" w:rsidR="00C54293" w:rsidRPr="0041205C" w:rsidRDefault="00C54293"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7.0%</w:t>
            </w:r>
          </w:p>
        </w:tc>
        <w:tc>
          <w:tcPr>
            <w:tcW w:w="1339" w:type="dxa"/>
            <w:shd w:val="clear" w:color="auto" w:fill="D9E2F3" w:themeFill="accent5" w:themeFillTint="33"/>
          </w:tcPr>
          <w:p w14:paraId="7EF2C9D6" w14:textId="77777777" w:rsidR="00C54293" w:rsidRPr="0041205C" w:rsidRDefault="00C54293"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8.0%</w:t>
            </w:r>
          </w:p>
        </w:tc>
        <w:tc>
          <w:tcPr>
            <w:tcW w:w="1339" w:type="dxa"/>
            <w:shd w:val="clear" w:color="auto" w:fill="D9E2F3" w:themeFill="accent5" w:themeFillTint="33"/>
          </w:tcPr>
          <w:p w14:paraId="43360E1A" w14:textId="77777777" w:rsidR="00C54293" w:rsidRPr="0041205C" w:rsidRDefault="00C54293"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6.5%</w:t>
            </w:r>
          </w:p>
        </w:tc>
        <w:tc>
          <w:tcPr>
            <w:tcW w:w="1339" w:type="dxa"/>
            <w:shd w:val="clear" w:color="auto" w:fill="D9E2F3" w:themeFill="accent5" w:themeFillTint="33"/>
          </w:tcPr>
          <w:p w14:paraId="0BC7E2ED" w14:textId="528092C1" w:rsidR="00C54293" w:rsidRPr="0041205C" w:rsidRDefault="00C54293"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6.3%</w:t>
            </w:r>
          </w:p>
        </w:tc>
      </w:tr>
      <w:tr w:rsidR="00C54293" w:rsidRPr="00383FF5" w14:paraId="43D76A7E" w14:textId="77777777" w:rsidTr="00C54293">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hideMark/>
          </w:tcPr>
          <w:p w14:paraId="12B8304B" w14:textId="77777777" w:rsidR="00C54293" w:rsidRPr="00383FF5" w:rsidRDefault="00C54293" w:rsidP="0041205C">
            <w:pPr>
              <w:pStyle w:val="TableCategoryText"/>
            </w:pPr>
            <w:r w:rsidRPr="00383FF5">
              <w:t>All</w:t>
            </w:r>
          </w:p>
        </w:tc>
        <w:tc>
          <w:tcPr>
            <w:tcW w:w="2664" w:type="dxa"/>
            <w:shd w:val="clear" w:color="auto" w:fill="D9E2F3" w:themeFill="accent5" w:themeFillTint="33"/>
            <w:noWrap/>
          </w:tcPr>
          <w:p w14:paraId="3F2172EE"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Migratory PFS students</w:t>
            </w:r>
          </w:p>
        </w:tc>
        <w:tc>
          <w:tcPr>
            <w:tcW w:w="1339" w:type="dxa"/>
            <w:shd w:val="clear" w:color="auto" w:fill="D9E2F3" w:themeFill="accent5" w:themeFillTint="33"/>
          </w:tcPr>
          <w:p w14:paraId="0142EB75" w14:textId="5738EEBF"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3.3%</w:t>
            </w:r>
          </w:p>
        </w:tc>
        <w:tc>
          <w:tcPr>
            <w:tcW w:w="1339" w:type="dxa"/>
            <w:shd w:val="clear" w:color="auto" w:fill="D9E2F3" w:themeFill="accent5" w:themeFillTint="33"/>
          </w:tcPr>
          <w:p w14:paraId="7F4F968E" w14:textId="1D6D4BBE"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3.6%</w:t>
            </w:r>
          </w:p>
        </w:tc>
        <w:tc>
          <w:tcPr>
            <w:tcW w:w="1339" w:type="dxa"/>
            <w:shd w:val="clear" w:color="auto" w:fill="D9E2F3" w:themeFill="accent5" w:themeFillTint="33"/>
          </w:tcPr>
          <w:p w14:paraId="2B4FC87D" w14:textId="0F4B7880"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4.3%</w:t>
            </w:r>
          </w:p>
        </w:tc>
        <w:tc>
          <w:tcPr>
            <w:tcW w:w="1339" w:type="dxa"/>
            <w:shd w:val="clear" w:color="auto" w:fill="D9E2F3" w:themeFill="accent5" w:themeFillTint="33"/>
          </w:tcPr>
          <w:p w14:paraId="2ECB2F04" w14:textId="354A031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4.2%</w:t>
            </w:r>
          </w:p>
        </w:tc>
      </w:tr>
    </w:tbl>
    <w:p w14:paraId="3A1D4CE6" w14:textId="53A4E94E" w:rsidR="00C54293" w:rsidRPr="00C54293" w:rsidRDefault="00C54293" w:rsidP="00C54293">
      <w:pPr>
        <w:pStyle w:val="TableorFiguresNotesSources"/>
        <w:rPr>
          <w:color w:val="auto"/>
        </w:rPr>
      </w:pPr>
      <w:r w:rsidRPr="00C54293">
        <w:rPr>
          <w:rFonts w:cs="Arial"/>
          <w:color w:val="auto"/>
          <w:shd w:val="clear" w:color="auto" w:fill="FFFFFF"/>
        </w:rPr>
        <w:t xml:space="preserve">Source: </w:t>
      </w:r>
      <w:r w:rsidRPr="00C54293">
        <w:rPr>
          <w:color w:val="auto"/>
        </w:rPr>
        <w:t xml:space="preserve">CDE CAASPP data files, SYs 2017–18, 2018–19, 2021–22, and 2022–23, and the MSIN </w:t>
      </w:r>
      <w:r w:rsidR="009E352E">
        <w:rPr>
          <w:color w:val="auto"/>
        </w:rPr>
        <w:t>databases</w:t>
      </w:r>
      <w:r w:rsidRPr="00C54293">
        <w:rPr>
          <w:color w:val="auto"/>
        </w:rPr>
        <w:t xml:space="preserve"> for the MEP,</w:t>
      </w:r>
      <w:r w:rsidR="003B43E6">
        <w:rPr>
          <w:color w:val="auto"/>
        </w:rPr>
        <w:t xml:space="preserve"> </w:t>
      </w:r>
      <w:r w:rsidRPr="00C54293">
        <w:rPr>
          <w:color w:val="auto"/>
        </w:rPr>
        <w:t xml:space="preserve">2017–18, 2018–19, 2021–22, and 2022–23 </w:t>
      </w:r>
      <w:r w:rsidRPr="00C54293">
        <w:rPr>
          <w:color w:val="auto"/>
        </w:rPr>
        <w:lastRenderedPageBreak/>
        <w:t>performance periods. Accessed February 2023 for SY 2017–18 through SY 2021–22 and December 2023 for SY 2022–23.</w:t>
      </w:r>
    </w:p>
    <w:p w14:paraId="720A84CB" w14:textId="77777777" w:rsidR="00437481" w:rsidRPr="00DE269A" w:rsidRDefault="00437481" w:rsidP="00CF280A">
      <w:pPr>
        <w:pStyle w:val="Heading4"/>
      </w:pPr>
      <w:bookmarkStart w:id="109" w:name="_Toc154499377"/>
      <w:r w:rsidRPr="00DE269A">
        <w:t>California Assessment of Student Performance and Progress for English Language Arts Research/Inquiry Claim</w:t>
      </w:r>
      <w:bookmarkEnd w:id="109"/>
    </w:p>
    <w:p w14:paraId="189552B0" w14:textId="4034D204" w:rsidR="00437481" w:rsidRPr="00DE269A" w:rsidRDefault="00437481" w:rsidP="00CF280A">
      <w:pPr>
        <w:pStyle w:val="Paragraph"/>
        <w:spacing w:after="240" w:line="240" w:lineRule="auto"/>
        <w:rPr>
          <w:noProof w:val="0"/>
          <w:color w:val="auto"/>
        </w:rPr>
      </w:pPr>
      <w:r w:rsidRPr="00DE269A">
        <w:rPr>
          <w:noProof w:val="0"/>
          <w:color w:val="auto"/>
          <w:shd w:val="clear" w:color="auto" w:fill="FFFFFF"/>
        </w:rPr>
        <w:t xml:space="preserve">Between SYs 2017–18 and 2021–22, the percentage of students who were </w:t>
      </w:r>
      <w:r w:rsidR="00D55EE4">
        <w:rPr>
          <w:noProof w:val="0"/>
          <w:color w:val="auto"/>
          <w:shd w:val="clear" w:color="auto" w:fill="FFFFFF"/>
        </w:rPr>
        <w:t>above standard</w:t>
      </w:r>
      <w:r w:rsidRPr="00DE269A">
        <w:rPr>
          <w:noProof w:val="0"/>
          <w:color w:val="auto"/>
          <w:shd w:val="clear" w:color="auto" w:fill="FFFFFF"/>
        </w:rPr>
        <w:t xml:space="preserve"> on the CAASPP ELA research/inquiry claim decreased for all three student populations, with migratory and migratory PFS students experiencing smaller declines than all students. Between SYs 2021–22 and 2022–23, these percentages remained steady for all three student groups.</w:t>
      </w:r>
    </w:p>
    <w:p w14:paraId="3391F5FE" w14:textId="77777777" w:rsidR="00437481" w:rsidRPr="00DE269A" w:rsidRDefault="00437481" w:rsidP="00CF280A">
      <w:pPr>
        <w:pStyle w:val="Heading4"/>
      </w:pPr>
      <w:r w:rsidRPr="00DE269A">
        <w:t>Key Findings</w:t>
      </w:r>
    </w:p>
    <w:p w14:paraId="0196D2C4" w14:textId="77777777" w:rsidR="00437481" w:rsidRPr="00DE269A" w:rsidRDefault="00437481" w:rsidP="008B0B71">
      <w:pPr>
        <w:pStyle w:val="List-Level1"/>
        <w:spacing w:after="240" w:line="240" w:lineRule="auto"/>
        <w:ind w:left="720" w:hanging="360"/>
        <w:rPr>
          <w:color w:val="auto"/>
        </w:rPr>
      </w:pPr>
      <w:r w:rsidRPr="00DE269A">
        <w:rPr>
          <w:noProof w:val="0"/>
          <w:color w:val="auto"/>
        </w:rPr>
        <w:t xml:space="preserve">By SY 2021–22, migratory PFS students narrowed their earlier performance </w:t>
      </w:r>
      <w:r w:rsidRPr="00DE269A">
        <w:rPr>
          <w:noProof w:val="0"/>
          <w:color w:val="auto"/>
        </w:rPr>
        <w:br/>
        <w:t>gap with migratory students on the CAASPP ELA research/inquiry claim</w:t>
      </w:r>
      <w:r w:rsidRPr="00DE269A">
        <w:rPr>
          <w:color w:val="auto"/>
        </w:rPr>
        <w:t xml:space="preserve"> to a 3.2 percentage point difference (compared with a 6.5 percentage point difference in SY 2017–18).</w:t>
      </w:r>
    </w:p>
    <w:p w14:paraId="1220533E" w14:textId="076FAE40" w:rsidR="00437481" w:rsidRPr="00DE269A" w:rsidRDefault="00437481" w:rsidP="008B0B71">
      <w:pPr>
        <w:pStyle w:val="List-Level1"/>
        <w:spacing w:after="240" w:line="240" w:lineRule="auto"/>
        <w:ind w:left="720" w:hanging="360"/>
        <w:rPr>
          <w:color w:val="auto"/>
        </w:rPr>
      </w:pPr>
      <w:r w:rsidRPr="00DE269A">
        <w:rPr>
          <w:color w:val="auto"/>
        </w:rPr>
        <w:t xml:space="preserve">In SY 2021–22, migratory PFS students were 13.5 percentage points less likely than all students to score at </w:t>
      </w:r>
      <w:r w:rsidR="00D55EE4">
        <w:rPr>
          <w:color w:val="auto"/>
        </w:rPr>
        <w:t>above standard</w:t>
      </w:r>
      <w:r w:rsidRPr="00DE269A">
        <w:rPr>
          <w:color w:val="auto"/>
        </w:rPr>
        <w:t xml:space="preserve">. Migratory students overall were 10 percentage points less likely than all students to score at </w:t>
      </w:r>
      <w:r w:rsidR="00D55EE4">
        <w:rPr>
          <w:color w:val="auto"/>
        </w:rPr>
        <w:t>above standard</w:t>
      </w:r>
      <w:r w:rsidRPr="00DE269A">
        <w:rPr>
          <w:color w:val="auto"/>
        </w:rPr>
        <w:t>.</w:t>
      </w:r>
    </w:p>
    <w:p w14:paraId="7D26212D" w14:textId="2998B0F7" w:rsidR="00437481" w:rsidRPr="00DE269A" w:rsidRDefault="00437481" w:rsidP="008B0B71">
      <w:pPr>
        <w:pStyle w:val="List-Level1"/>
        <w:spacing w:after="240" w:line="240" w:lineRule="auto"/>
        <w:ind w:left="720" w:hanging="360"/>
        <w:rPr>
          <w:color w:val="auto"/>
        </w:rPr>
      </w:pPr>
      <w:r w:rsidRPr="00DE269A">
        <w:rPr>
          <w:color w:val="auto"/>
        </w:rPr>
        <w:t xml:space="preserve">Of the four CAASPP ELA claims, migratory and migratory students had the highest proficiency scores for the research/inquiry claim. Eight and a half percent of migratory students scored at </w:t>
      </w:r>
      <w:r w:rsidR="00D55EE4">
        <w:rPr>
          <w:color w:val="auto"/>
        </w:rPr>
        <w:t>above standard</w:t>
      </w:r>
      <w:r w:rsidRPr="00DE269A">
        <w:rPr>
          <w:color w:val="auto"/>
        </w:rPr>
        <w:t xml:space="preserve"> and approximately </w:t>
      </w:r>
      <w:r w:rsidR="00C0510E">
        <w:rPr>
          <w:color w:val="auto"/>
        </w:rPr>
        <w:t>five</w:t>
      </w:r>
      <w:r w:rsidR="001843F2" w:rsidRPr="00DE269A">
        <w:rPr>
          <w:color w:val="auto"/>
        </w:rPr>
        <w:t> </w:t>
      </w:r>
      <w:r w:rsidRPr="00DE269A">
        <w:rPr>
          <w:color w:val="auto"/>
        </w:rPr>
        <w:t xml:space="preserve">percent of migratory PFS students scored at </w:t>
      </w:r>
      <w:r w:rsidR="00D55EE4">
        <w:rPr>
          <w:color w:val="auto"/>
        </w:rPr>
        <w:t>above standard</w:t>
      </w:r>
      <w:r w:rsidRPr="00DE269A">
        <w:rPr>
          <w:color w:val="auto"/>
        </w:rPr>
        <w:t xml:space="preserve"> in 2022–23. </w:t>
      </w:r>
    </w:p>
    <w:p w14:paraId="3AD3B4C5" w14:textId="49821E57" w:rsidR="00437481" w:rsidRPr="00DE269A" w:rsidRDefault="000653AE" w:rsidP="00CF280A">
      <w:pPr>
        <w:pStyle w:val="Paragraph-AfterList"/>
        <w:spacing w:after="240" w:line="240" w:lineRule="auto"/>
        <w:rPr>
          <w:color w:val="auto"/>
        </w:rPr>
      </w:pPr>
      <w:r>
        <w:rPr>
          <w:noProof w:val="0"/>
          <w:color w:val="auto"/>
        </w:rPr>
        <w:t>Figure</w:t>
      </w:r>
      <w:r w:rsidR="00437481" w:rsidRPr="00DE269A">
        <w:rPr>
          <w:color w:val="auto"/>
        </w:rPr>
        <w:t xml:space="preserve"> </w:t>
      </w:r>
      <w:r w:rsidR="00DE269A">
        <w:rPr>
          <w:color w:val="auto"/>
        </w:rPr>
        <w:t>1</w:t>
      </w:r>
      <w:r w:rsidR="007E6181">
        <w:rPr>
          <w:color w:val="auto"/>
        </w:rPr>
        <w:t>2</w:t>
      </w:r>
      <w:r>
        <w:rPr>
          <w:color w:val="auto"/>
        </w:rPr>
        <w:t xml:space="preserve"> (and table 1</w:t>
      </w:r>
      <w:r w:rsidR="007E6181">
        <w:rPr>
          <w:color w:val="auto"/>
        </w:rPr>
        <w:t>4</w:t>
      </w:r>
      <w:r>
        <w:rPr>
          <w:color w:val="auto"/>
        </w:rPr>
        <w:t>)</w:t>
      </w:r>
      <w:r w:rsidR="00437481" w:rsidRPr="00DE269A">
        <w:rPr>
          <w:color w:val="auto"/>
        </w:rPr>
        <w:t xml:space="preserve"> shows the percentage of all students, migratory students, and migratory PFS students who scored at </w:t>
      </w:r>
      <w:r w:rsidR="00D55EE4">
        <w:rPr>
          <w:color w:val="auto"/>
        </w:rPr>
        <w:t>above standard</w:t>
      </w:r>
      <w:r w:rsidR="00437481" w:rsidRPr="00DE269A">
        <w:rPr>
          <w:color w:val="auto"/>
        </w:rPr>
        <w:t xml:space="preserve"> on the CAASPP ELA research/inquiry claim over the past four assessment years.</w:t>
      </w:r>
    </w:p>
    <w:p w14:paraId="1F6A190C" w14:textId="77777777" w:rsidR="00DE269A" w:rsidRDefault="00DE269A">
      <w:pPr>
        <w:rPr>
          <w:rFonts w:eastAsia="Times New Roman" w:cs="Arial"/>
          <w:b/>
          <w:color w:val="1F3864" w:themeColor="accent5" w:themeShade="80"/>
          <w:lang w:eastAsia="zh-CN"/>
        </w:rPr>
      </w:pPr>
      <w:r>
        <w:rPr>
          <w:color w:val="1F3864" w:themeColor="accent5" w:themeShade="80"/>
        </w:rPr>
        <w:br w:type="page"/>
      </w:r>
    </w:p>
    <w:p w14:paraId="345666D8" w14:textId="7AC9BD68" w:rsidR="004050CA" w:rsidRPr="00D04DC5" w:rsidRDefault="004050CA" w:rsidP="00792C07">
      <w:pPr>
        <w:pStyle w:val="Heading5"/>
      </w:pPr>
      <w:bookmarkStart w:id="110" w:name="_Toc188030511"/>
      <w:r w:rsidRPr="00D04DC5">
        <w:lastRenderedPageBreak/>
        <w:t xml:space="preserve">Figure </w:t>
      </w:r>
      <w:fldSimple w:instr=" SEQ Figure \* ARABIC ">
        <w:r w:rsidR="00AB15FE" w:rsidRPr="00D04DC5">
          <w:rPr>
            <w:noProof/>
          </w:rPr>
          <w:t>12</w:t>
        </w:r>
      </w:fldSimple>
      <w:r w:rsidRPr="00D04DC5">
        <w:t>. Percentage of All Students, Migratory Students, and Migratory Priority-for-Service Students Scoring above standard on the English Language Arts Research/Inquiry Claim for All Grades, School Years 2017–18, 2018–19, 2021–22, and 2022–23</w:t>
      </w:r>
      <w:bookmarkEnd w:id="110"/>
    </w:p>
    <w:p w14:paraId="0ADCC849" w14:textId="77777777" w:rsidR="00437481" w:rsidRDefault="00437481" w:rsidP="00CF280A">
      <w:pPr>
        <w:pStyle w:val="Figure"/>
      </w:pPr>
      <w:r>
        <w:drawing>
          <wp:inline distT="0" distB="0" distL="0" distR="0" wp14:anchorId="74033031" wp14:editId="4BCF6950">
            <wp:extent cx="5943600" cy="3200400"/>
            <wp:effectExtent l="0" t="0" r="0" b="0"/>
            <wp:docPr id="45065421" name="Chart 1" descr="Figure 12 is a line graph showing the percentage of students scoring at above standard on the CAASPP ELA research/inquiry claim for SYs 2017–18 to 2022–23. See Table 14 for data in table form.">
              <a:extLst xmlns:a="http://schemas.openxmlformats.org/drawingml/2006/main">
                <a:ext uri="{FF2B5EF4-FFF2-40B4-BE49-F238E27FC236}">
                  <a16:creationId xmlns:a16="http://schemas.microsoft.com/office/drawing/2014/main" id="{B46ABA09-8D8F-3B49-9E7E-8E852B8625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4DC7D39" w14:textId="34376D3B" w:rsidR="00437481" w:rsidRDefault="00437481" w:rsidP="00C54293">
      <w:pPr>
        <w:pStyle w:val="TableorFiguresNotesSources"/>
        <w:spacing w:before="0" w:after="240" w:line="240" w:lineRule="auto"/>
        <w:rPr>
          <w:color w:val="auto"/>
        </w:rPr>
      </w:pPr>
      <w:r w:rsidRPr="00DE269A">
        <w:rPr>
          <w:rFonts w:cs="Arial"/>
          <w:color w:val="auto"/>
          <w:shd w:val="clear" w:color="auto" w:fill="FFFFFF"/>
        </w:rPr>
        <w:t xml:space="preserve">Source: </w:t>
      </w:r>
      <w:r w:rsidRPr="00DE269A">
        <w:rPr>
          <w:color w:val="auto"/>
        </w:rPr>
        <w:t xml:space="preserve">CDE CAASPP data files, SYs 2017–18, 2018–19, 2021–22, and 2022–23, and the MSIN </w:t>
      </w:r>
      <w:r w:rsidR="009E352E">
        <w:rPr>
          <w:color w:val="auto"/>
        </w:rPr>
        <w:t>databases</w:t>
      </w:r>
      <w:r w:rsidRPr="00DE269A">
        <w:rPr>
          <w:color w:val="auto"/>
        </w:rPr>
        <w:t xml:space="preserve"> for the MEP,</w:t>
      </w:r>
      <w:r w:rsidR="003B43E6">
        <w:rPr>
          <w:color w:val="auto"/>
        </w:rPr>
        <w:t xml:space="preserve"> </w:t>
      </w:r>
      <w:r w:rsidRPr="00DE269A">
        <w:rPr>
          <w:color w:val="auto"/>
        </w:rPr>
        <w:t>2017–18, 2018–19, 2021–22, and 2022–23 performance periods. Accessed February 2023 for SYs 2017–18 through 2021–22 and December 2023 for SY 2022–23.</w:t>
      </w:r>
    </w:p>
    <w:p w14:paraId="288E5968" w14:textId="734BBA72" w:rsidR="004050CA" w:rsidRPr="004050CA" w:rsidRDefault="004050CA" w:rsidP="00792C07">
      <w:pPr>
        <w:pStyle w:val="Heading5"/>
      </w:pPr>
      <w:bookmarkStart w:id="111" w:name="_Toc188030579"/>
      <w:r w:rsidRPr="004050CA">
        <w:t xml:space="preserve">Table </w:t>
      </w:r>
      <w:fldSimple w:instr=" SEQ Table \* ARABIC ">
        <w:r w:rsidR="00D04DC5">
          <w:t>14</w:t>
        </w:r>
      </w:fldSimple>
      <w:r w:rsidRPr="004050CA">
        <w:t>. Percentage of All Students, Migratory Students, and Migratory Priority-for-Service Students Scoring above standard on the Research/Inquiry Claim for All Grades, School Years 2017–18, 2018–19, 2021–22, and 2022–23</w:t>
      </w:r>
      <w:bookmarkEnd w:id="111"/>
    </w:p>
    <w:tbl>
      <w:tblPr>
        <w:tblStyle w:val="ListTable3-Accent5"/>
        <w:tblW w:w="0" w:type="auto"/>
        <w:tblLayout w:type="fixed"/>
        <w:tblCellMar>
          <w:right w:w="108" w:type="dxa"/>
        </w:tblCellMar>
        <w:tblLook w:val="04A0" w:firstRow="1" w:lastRow="0" w:firstColumn="1" w:lastColumn="0" w:noHBand="0" w:noVBand="1"/>
      </w:tblPr>
      <w:tblGrid>
        <w:gridCol w:w="1339"/>
        <w:gridCol w:w="2664"/>
        <w:gridCol w:w="1339"/>
        <w:gridCol w:w="1339"/>
        <w:gridCol w:w="1339"/>
        <w:gridCol w:w="1339"/>
      </w:tblGrid>
      <w:tr w:rsidR="00C54293" w:rsidRPr="002321D5" w14:paraId="057959C6" w14:textId="77777777" w:rsidTr="009E56F2">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339" w:type="dxa"/>
            <w:hideMark/>
          </w:tcPr>
          <w:p w14:paraId="412366FA" w14:textId="77777777" w:rsidR="00C54293" w:rsidRPr="002321D5" w:rsidRDefault="00C54293" w:rsidP="009E56F2">
            <w:pPr>
              <w:pStyle w:val="TableHeaderRow"/>
            </w:pPr>
            <w:r w:rsidRPr="002321D5">
              <w:t>Grade</w:t>
            </w:r>
          </w:p>
        </w:tc>
        <w:tc>
          <w:tcPr>
            <w:tcW w:w="2664" w:type="dxa"/>
            <w:noWrap/>
            <w:hideMark/>
          </w:tcPr>
          <w:p w14:paraId="063250CD" w14:textId="77777777" w:rsidR="00C54293" w:rsidRPr="002321D5" w:rsidRDefault="00C54293" w:rsidP="009E56F2">
            <w:pPr>
              <w:pStyle w:val="TableHeaderRow"/>
              <w:cnfStyle w:val="100000000000" w:firstRow="1" w:lastRow="0" w:firstColumn="0" w:lastColumn="0" w:oddVBand="0" w:evenVBand="0" w:oddHBand="0" w:evenHBand="0" w:firstRowFirstColumn="0" w:firstRowLastColumn="0" w:lastRowFirstColumn="0" w:lastRowLastColumn="0"/>
            </w:pPr>
            <w:r w:rsidRPr="002321D5">
              <w:t xml:space="preserve">Student </w:t>
            </w:r>
            <w:r>
              <w:t>Population</w:t>
            </w:r>
          </w:p>
        </w:tc>
        <w:tc>
          <w:tcPr>
            <w:tcW w:w="1339" w:type="dxa"/>
            <w:hideMark/>
          </w:tcPr>
          <w:p w14:paraId="535282FE" w14:textId="77777777" w:rsidR="00C54293" w:rsidRPr="002321D5" w:rsidRDefault="00C54293" w:rsidP="009E56F2">
            <w:pPr>
              <w:pStyle w:val="TableHeaderRow"/>
              <w:cnfStyle w:val="100000000000" w:firstRow="1" w:lastRow="0" w:firstColumn="0" w:lastColumn="0" w:oddVBand="0" w:evenVBand="0" w:oddHBand="0" w:evenHBand="0" w:firstRowFirstColumn="0" w:firstRowLastColumn="0" w:lastRowFirstColumn="0" w:lastRowLastColumn="0"/>
            </w:pPr>
            <w:r w:rsidRPr="002321D5">
              <w:t xml:space="preserve">2017–18 </w:t>
            </w:r>
          </w:p>
        </w:tc>
        <w:tc>
          <w:tcPr>
            <w:tcW w:w="1339" w:type="dxa"/>
            <w:hideMark/>
          </w:tcPr>
          <w:p w14:paraId="1F781ECB" w14:textId="77777777" w:rsidR="00C54293" w:rsidRPr="002321D5" w:rsidRDefault="00C54293" w:rsidP="009E56F2">
            <w:pPr>
              <w:pStyle w:val="TableHeaderRow"/>
              <w:cnfStyle w:val="100000000000" w:firstRow="1" w:lastRow="0" w:firstColumn="0" w:lastColumn="0" w:oddVBand="0" w:evenVBand="0" w:oddHBand="0" w:evenHBand="0" w:firstRowFirstColumn="0" w:firstRowLastColumn="0" w:lastRowFirstColumn="0" w:lastRowLastColumn="0"/>
            </w:pPr>
            <w:r w:rsidRPr="002321D5">
              <w:t xml:space="preserve">2018–19 </w:t>
            </w:r>
          </w:p>
        </w:tc>
        <w:tc>
          <w:tcPr>
            <w:tcW w:w="1339" w:type="dxa"/>
            <w:hideMark/>
          </w:tcPr>
          <w:p w14:paraId="5E422763" w14:textId="77777777" w:rsidR="00C54293" w:rsidRPr="002321D5" w:rsidRDefault="00C54293" w:rsidP="009E56F2">
            <w:pPr>
              <w:pStyle w:val="TableHeaderRow"/>
              <w:cnfStyle w:val="100000000000" w:firstRow="1" w:lastRow="0" w:firstColumn="0" w:lastColumn="0" w:oddVBand="0" w:evenVBand="0" w:oddHBand="0" w:evenHBand="0" w:firstRowFirstColumn="0" w:firstRowLastColumn="0" w:lastRowFirstColumn="0" w:lastRowLastColumn="0"/>
            </w:pPr>
            <w:r w:rsidRPr="002321D5">
              <w:t xml:space="preserve">2021–22 </w:t>
            </w:r>
          </w:p>
        </w:tc>
        <w:tc>
          <w:tcPr>
            <w:tcW w:w="1339" w:type="dxa"/>
          </w:tcPr>
          <w:p w14:paraId="2AEDF268" w14:textId="77777777" w:rsidR="00C54293" w:rsidRPr="002321D5" w:rsidRDefault="00C54293" w:rsidP="009E56F2">
            <w:pPr>
              <w:pStyle w:val="TableHeaderRow"/>
              <w:cnfStyle w:val="100000000000" w:firstRow="1" w:lastRow="0" w:firstColumn="0" w:lastColumn="0" w:oddVBand="0" w:evenVBand="0" w:oddHBand="0" w:evenHBand="0" w:firstRowFirstColumn="0" w:firstRowLastColumn="0" w:lastRowFirstColumn="0" w:lastRowLastColumn="0"/>
            </w:pPr>
            <w:r>
              <w:t>2022–23</w:t>
            </w:r>
          </w:p>
        </w:tc>
      </w:tr>
      <w:tr w:rsidR="00C54293" w:rsidRPr="002321D5" w14:paraId="1C2BF24C" w14:textId="77777777" w:rsidTr="00C54293">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tcPr>
          <w:p w14:paraId="1B75BA2D" w14:textId="77777777" w:rsidR="00C54293" w:rsidRPr="00B34B78" w:rsidRDefault="00C54293" w:rsidP="0041205C">
            <w:pPr>
              <w:pStyle w:val="TableCategoryText"/>
            </w:pPr>
            <w:r w:rsidRPr="00B34B78">
              <w:t>All</w:t>
            </w:r>
          </w:p>
        </w:tc>
        <w:tc>
          <w:tcPr>
            <w:tcW w:w="2664" w:type="dxa"/>
            <w:shd w:val="clear" w:color="auto" w:fill="D9E2F3" w:themeFill="accent5" w:themeFillTint="33"/>
            <w:noWrap/>
          </w:tcPr>
          <w:p w14:paraId="0E742180"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All students</w:t>
            </w:r>
          </w:p>
        </w:tc>
        <w:tc>
          <w:tcPr>
            <w:tcW w:w="1339" w:type="dxa"/>
            <w:shd w:val="clear" w:color="auto" w:fill="D9E2F3" w:themeFill="accent5" w:themeFillTint="33"/>
          </w:tcPr>
          <w:p w14:paraId="1835D41D"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29.4%</w:t>
            </w:r>
          </w:p>
        </w:tc>
        <w:tc>
          <w:tcPr>
            <w:tcW w:w="1339" w:type="dxa"/>
            <w:shd w:val="clear" w:color="auto" w:fill="D9E2F3" w:themeFill="accent5" w:themeFillTint="33"/>
          </w:tcPr>
          <w:p w14:paraId="6417213E"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27.2%</w:t>
            </w:r>
          </w:p>
        </w:tc>
        <w:tc>
          <w:tcPr>
            <w:tcW w:w="1339" w:type="dxa"/>
            <w:shd w:val="clear" w:color="auto" w:fill="D9E2F3" w:themeFill="accent5" w:themeFillTint="33"/>
          </w:tcPr>
          <w:p w14:paraId="66633704"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18.5%</w:t>
            </w:r>
          </w:p>
        </w:tc>
        <w:tc>
          <w:tcPr>
            <w:tcW w:w="1339" w:type="dxa"/>
            <w:shd w:val="clear" w:color="auto" w:fill="D9E2F3" w:themeFill="accent5" w:themeFillTint="33"/>
          </w:tcPr>
          <w:p w14:paraId="07427916"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18.5%</w:t>
            </w:r>
          </w:p>
        </w:tc>
      </w:tr>
      <w:tr w:rsidR="00C54293" w:rsidRPr="002321D5" w14:paraId="09C28044" w14:textId="77777777" w:rsidTr="00C54293">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tcPr>
          <w:p w14:paraId="5CFB1504" w14:textId="77777777" w:rsidR="00C54293" w:rsidRPr="00B34B78" w:rsidRDefault="00C54293" w:rsidP="0041205C">
            <w:pPr>
              <w:pStyle w:val="TableCategoryText"/>
            </w:pPr>
            <w:r w:rsidRPr="00B34B78">
              <w:t>All</w:t>
            </w:r>
          </w:p>
        </w:tc>
        <w:tc>
          <w:tcPr>
            <w:tcW w:w="2664" w:type="dxa"/>
            <w:shd w:val="clear" w:color="auto" w:fill="D9E2F3" w:themeFill="accent5" w:themeFillTint="33"/>
            <w:noWrap/>
          </w:tcPr>
          <w:p w14:paraId="27621844" w14:textId="77777777" w:rsidR="00C54293" w:rsidRPr="0041205C" w:rsidRDefault="00C54293"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Migratory students</w:t>
            </w:r>
          </w:p>
        </w:tc>
        <w:tc>
          <w:tcPr>
            <w:tcW w:w="1339" w:type="dxa"/>
            <w:shd w:val="clear" w:color="auto" w:fill="D9E2F3" w:themeFill="accent5" w:themeFillTint="33"/>
          </w:tcPr>
          <w:p w14:paraId="7949AC0F" w14:textId="77777777" w:rsidR="00C54293" w:rsidRPr="0041205C" w:rsidRDefault="00C54293"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14.8%</w:t>
            </w:r>
          </w:p>
        </w:tc>
        <w:tc>
          <w:tcPr>
            <w:tcW w:w="1339" w:type="dxa"/>
            <w:shd w:val="clear" w:color="auto" w:fill="D9E2F3" w:themeFill="accent5" w:themeFillTint="33"/>
          </w:tcPr>
          <w:p w14:paraId="1A5AC6F8" w14:textId="77777777" w:rsidR="00C54293" w:rsidRPr="0041205C" w:rsidRDefault="00C54293"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13.4%</w:t>
            </w:r>
          </w:p>
        </w:tc>
        <w:tc>
          <w:tcPr>
            <w:tcW w:w="1339" w:type="dxa"/>
            <w:shd w:val="clear" w:color="auto" w:fill="D9E2F3" w:themeFill="accent5" w:themeFillTint="33"/>
          </w:tcPr>
          <w:p w14:paraId="278FD3F7" w14:textId="77777777" w:rsidR="00C54293" w:rsidRPr="0041205C" w:rsidRDefault="00C54293"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8.2%</w:t>
            </w:r>
          </w:p>
        </w:tc>
        <w:tc>
          <w:tcPr>
            <w:tcW w:w="1339" w:type="dxa"/>
            <w:shd w:val="clear" w:color="auto" w:fill="D9E2F3" w:themeFill="accent5" w:themeFillTint="33"/>
          </w:tcPr>
          <w:p w14:paraId="53C3633A" w14:textId="77777777" w:rsidR="00C54293" w:rsidRPr="0041205C" w:rsidRDefault="00C54293"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8.5%</w:t>
            </w:r>
          </w:p>
        </w:tc>
      </w:tr>
      <w:tr w:rsidR="00C54293" w:rsidRPr="002321D5" w14:paraId="7F22E048" w14:textId="77777777" w:rsidTr="00C54293">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hideMark/>
          </w:tcPr>
          <w:p w14:paraId="05BF5C2A" w14:textId="77777777" w:rsidR="00C54293" w:rsidRPr="00B34B78" w:rsidRDefault="00C54293" w:rsidP="0041205C">
            <w:pPr>
              <w:pStyle w:val="TableCategoryText"/>
            </w:pPr>
            <w:r w:rsidRPr="00B34B78">
              <w:t>All</w:t>
            </w:r>
          </w:p>
        </w:tc>
        <w:tc>
          <w:tcPr>
            <w:tcW w:w="2664" w:type="dxa"/>
            <w:shd w:val="clear" w:color="auto" w:fill="D9E2F3" w:themeFill="accent5" w:themeFillTint="33"/>
            <w:noWrap/>
          </w:tcPr>
          <w:p w14:paraId="193F7839"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Migratory PFS students</w:t>
            </w:r>
          </w:p>
        </w:tc>
        <w:tc>
          <w:tcPr>
            <w:tcW w:w="1339" w:type="dxa"/>
            <w:shd w:val="clear" w:color="auto" w:fill="D9E2F3" w:themeFill="accent5" w:themeFillTint="33"/>
          </w:tcPr>
          <w:p w14:paraId="32F3E8B1"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8.3%</w:t>
            </w:r>
          </w:p>
        </w:tc>
        <w:tc>
          <w:tcPr>
            <w:tcW w:w="1339" w:type="dxa"/>
            <w:shd w:val="clear" w:color="auto" w:fill="D9E2F3" w:themeFill="accent5" w:themeFillTint="33"/>
          </w:tcPr>
          <w:p w14:paraId="52329ACD"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6.0%</w:t>
            </w:r>
          </w:p>
        </w:tc>
        <w:tc>
          <w:tcPr>
            <w:tcW w:w="1339" w:type="dxa"/>
            <w:shd w:val="clear" w:color="auto" w:fill="D9E2F3" w:themeFill="accent5" w:themeFillTint="33"/>
          </w:tcPr>
          <w:p w14:paraId="7A6995C4"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5.0%</w:t>
            </w:r>
          </w:p>
        </w:tc>
        <w:tc>
          <w:tcPr>
            <w:tcW w:w="1339" w:type="dxa"/>
            <w:shd w:val="clear" w:color="auto" w:fill="D9E2F3" w:themeFill="accent5" w:themeFillTint="33"/>
          </w:tcPr>
          <w:p w14:paraId="3FA3849A"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4.9%</w:t>
            </w:r>
          </w:p>
        </w:tc>
      </w:tr>
    </w:tbl>
    <w:p w14:paraId="78033046" w14:textId="2DDB0DF0" w:rsidR="00C54293" w:rsidRDefault="00C54293" w:rsidP="00C54293">
      <w:pPr>
        <w:pStyle w:val="TableorFiguresNotesSources"/>
        <w:rPr>
          <w:szCs w:val="24"/>
        </w:rPr>
      </w:pPr>
      <w:r w:rsidRPr="00C54293">
        <w:rPr>
          <w:rFonts w:cs="Arial"/>
          <w:color w:val="auto"/>
          <w:szCs w:val="24"/>
          <w:shd w:val="clear" w:color="auto" w:fill="FFFFFF"/>
        </w:rPr>
        <w:t xml:space="preserve">Source: </w:t>
      </w:r>
      <w:r w:rsidRPr="00C54293">
        <w:rPr>
          <w:color w:val="auto"/>
          <w:szCs w:val="24"/>
        </w:rPr>
        <w:t xml:space="preserve">CDE CAASPP data files, SYs 2017–18, 2018–19, 2021–22, and 2022–23, and the MSIN </w:t>
      </w:r>
      <w:r w:rsidR="009E352E">
        <w:rPr>
          <w:color w:val="auto"/>
          <w:szCs w:val="24"/>
        </w:rPr>
        <w:t>databases</w:t>
      </w:r>
      <w:r w:rsidRPr="00C54293">
        <w:rPr>
          <w:color w:val="auto"/>
          <w:szCs w:val="24"/>
        </w:rPr>
        <w:t xml:space="preserve"> for the MEP,</w:t>
      </w:r>
      <w:r w:rsidR="003B43E6">
        <w:rPr>
          <w:color w:val="auto"/>
          <w:szCs w:val="24"/>
        </w:rPr>
        <w:t xml:space="preserve"> </w:t>
      </w:r>
      <w:r w:rsidRPr="00C54293">
        <w:rPr>
          <w:color w:val="auto"/>
          <w:szCs w:val="24"/>
        </w:rPr>
        <w:t xml:space="preserve">2017–18, 2018–19, 2021–22, and 2022–23 </w:t>
      </w:r>
      <w:r w:rsidRPr="00C54293">
        <w:rPr>
          <w:color w:val="auto"/>
          <w:szCs w:val="24"/>
        </w:rPr>
        <w:lastRenderedPageBreak/>
        <w:t>performance periods. Accessed February 2023 for SY 2017–18 through SY 2021–22 and December 2023 for SY 2022–23.</w:t>
      </w:r>
    </w:p>
    <w:p w14:paraId="7B07C47C" w14:textId="77777777" w:rsidR="00605C16" w:rsidRPr="00DE269A" w:rsidRDefault="00605C16" w:rsidP="007B711B">
      <w:pPr>
        <w:pStyle w:val="Heading3"/>
      </w:pPr>
      <w:bookmarkStart w:id="112" w:name="_Toc496195909"/>
      <w:bookmarkStart w:id="113" w:name="_Toc188361319"/>
      <w:r w:rsidRPr="00DE269A">
        <w:t>Mathematics</w:t>
      </w:r>
      <w:bookmarkEnd w:id="78"/>
      <w:bookmarkEnd w:id="112"/>
      <w:bookmarkEnd w:id="113"/>
    </w:p>
    <w:p w14:paraId="074BC91A" w14:textId="77777777" w:rsidR="00D03B5F" w:rsidRPr="00DE269A" w:rsidRDefault="00D03B5F" w:rsidP="007B711B">
      <w:pPr>
        <w:pStyle w:val="Heading4"/>
        <w:spacing w:before="0" w:after="240"/>
        <w:rPr>
          <w:rFonts w:cs="Arial"/>
        </w:rPr>
      </w:pPr>
      <w:bookmarkStart w:id="114" w:name="_Toc135948121"/>
      <w:bookmarkStart w:id="115" w:name="_Toc154499378"/>
      <w:bookmarkStart w:id="116" w:name="_Toc163813433"/>
      <w:bookmarkStart w:id="117" w:name="_Toc472607035"/>
      <w:bookmarkStart w:id="118" w:name="_Toc496195911"/>
      <w:bookmarkStart w:id="119" w:name="OLE_LINK4"/>
      <w:r w:rsidRPr="00DE269A">
        <w:t xml:space="preserve">Overall Score on the California Assessment of Student Performance and Progress for </w:t>
      </w:r>
      <w:r w:rsidRPr="00DE269A">
        <w:rPr>
          <w:rFonts w:cs="Arial"/>
        </w:rPr>
        <w:t>Mathematics</w:t>
      </w:r>
      <w:bookmarkEnd w:id="114"/>
      <w:bookmarkEnd w:id="115"/>
    </w:p>
    <w:p w14:paraId="016EAF89" w14:textId="77777777" w:rsidR="00D03B5F" w:rsidRPr="00DE269A" w:rsidRDefault="00D03B5F" w:rsidP="007B711B">
      <w:pPr>
        <w:pStyle w:val="Paragraph"/>
        <w:spacing w:after="240" w:line="240" w:lineRule="auto"/>
        <w:rPr>
          <w:noProof w:val="0"/>
          <w:color w:val="auto"/>
        </w:rPr>
      </w:pPr>
      <w:bookmarkStart w:id="120" w:name="_Toc135948149"/>
      <w:bookmarkStart w:id="121" w:name="_Toc154499562"/>
      <w:r w:rsidRPr="00DE269A">
        <w:rPr>
          <w:noProof w:val="0"/>
          <w:color w:val="auto"/>
        </w:rPr>
        <w:t>Between SYs 2018–19 and 2021–22, the percentage of students who met or exceeded the standard for overall achievement declined for all three student populations. Migratory students experienced the largest decline, while migratory PFS students had the smallest decline and narrowed their performance gap with migratory students. From SYs 2021–22 through 2022–23, all three student groups experienced an increase in the percentage of students who met or exceeded the standard.</w:t>
      </w:r>
    </w:p>
    <w:p w14:paraId="0E50BA05" w14:textId="77777777" w:rsidR="00D03B5F" w:rsidRPr="00DE269A" w:rsidRDefault="00D03B5F" w:rsidP="007B711B">
      <w:pPr>
        <w:pStyle w:val="Heading4"/>
        <w:spacing w:after="240"/>
      </w:pPr>
      <w:r w:rsidRPr="00DE269A">
        <w:t>Key Findings</w:t>
      </w:r>
    </w:p>
    <w:p w14:paraId="49FCFB7A" w14:textId="6C6C8A9A" w:rsidR="00D03B5F" w:rsidRPr="00DE269A" w:rsidRDefault="00D03B5F" w:rsidP="008B0B71">
      <w:pPr>
        <w:pStyle w:val="List-Level1"/>
        <w:spacing w:after="240" w:line="240" w:lineRule="auto"/>
        <w:ind w:left="720" w:hanging="360"/>
        <w:rPr>
          <w:color w:val="auto"/>
        </w:rPr>
      </w:pPr>
      <w:r w:rsidRPr="00DE269A">
        <w:rPr>
          <w:noProof w:val="0"/>
          <w:color w:val="auto"/>
        </w:rPr>
        <w:t xml:space="preserve">By SY 2021–22, migratory PFS students narrowed their performance gap with migratory students </w:t>
      </w:r>
      <w:r w:rsidR="00D313A0">
        <w:rPr>
          <w:noProof w:val="0"/>
          <w:color w:val="auto"/>
        </w:rPr>
        <w:t>for</w:t>
      </w:r>
      <w:r w:rsidRPr="00DE269A">
        <w:rPr>
          <w:noProof w:val="0"/>
          <w:color w:val="auto"/>
        </w:rPr>
        <w:t xml:space="preserve"> the CAASPP </w:t>
      </w:r>
      <w:r w:rsidR="00D313A0">
        <w:rPr>
          <w:noProof w:val="0"/>
          <w:color w:val="auto"/>
        </w:rPr>
        <w:t xml:space="preserve">overall </w:t>
      </w:r>
      <w:r w:rsidR="00D313A0">
        <w:rPr>
          <w:color w:val="auto"/>
        </w:rPr>
        <w:t>m</w:t>
      </w:r>
      <w:r w:rsidR="004F4EF5">
        <w:rPr>
          <w:color w:val="auto"/>
        </w:rPr>
        <w:t xml:space="preserve">athematics </w:t>
      </w:r>
      <w:r w:rsidR="00D313A0">
        <w:rPr>
          <w:color w:val="auto"/>
        </w:rPr>
        <w:t>achievement</w:t>
      </w:r>
      <w:r w:rsidRPr="00DE269A">
        <w:rPr>
          <w:color w:val="auto"/>
        </w:rPr>
        <w:t xml:space="preserve"> to a 7.5 percentage point difference (compared with a 13.7 percentage point difference in SY 2018–19).</w:t>
      </w:r>
    </w:p>
    <w:p w14:paraId="09485C5D" w14:textId="27A21355" w:rsidR="00D03B5F" w:rsidRPr="00DE269A" w:rsidRDefault="00D03B5F" w:rsidP="008B0B71">
      <w:pPr>
        <w:pStyle w:val="List-Level1"/>
        <w:spacing w:after="240" w:line="240" w:lineRule="auto"/>
        <w:ind w:left="720" w:hanging="360"/>
        <w:rPr>
          <w:color w:val="auto"/>
        </w:rPr>
      </w:pPr>
      <w:r w:rsidRPr="00DE269A">
        <w:rPr>
          <w:color w:val="auto"/>
        </w:rPr>
        <w:t>In SY 2022–23, migratory PFS students were 27.8 percentage points less likely than all students to score at standard met or standard exceeded</w:t>
      </w:r>
      <w:r w:rsidR="004F4EF5">
        <w:rPr>
          <w:color w:val="auto"/>
        </w:rPr>
        <w:t xml:space="preserve"> </w:t>
      </w:r>
      <w:r w:rsidR="00D313A0">
        <w:rPr>
          <w:color w:val="auto"/>
        </w:rPr>
        <w:t>for</w:t>
      </w:r>
      <w:r w:rsidR="004F4EF5">
        <w:rPr>
          <w:color w:val="auto"/>
        </w:rPr>
        <w:t xml:space="preserve"> the CAASPP </w:t>
      </w:r>
      <w:r w:rsidR="00D313A0">
        <w:rPr>
          <w:color w:val="auto"/>
        </w:rPr>
        <w:t>overall m</w:t>
      </w:r>
      <w:r w:rsidR="004F4EF5">
        <w:rPr>
          <w:color w:val="auto"/>
        </w:rPr>
        <w:t xml:space="preserve">athematics </w:t>
      </w:r>
      <w:r w:rsidR="00D313A0">
        <w:rPr>
          <w:color w:val="auto"/>
        </w:rPr>
        <w:t>acheivement</w:t>
      </w:r>
      <w:r w:rsidRPr="00DE269A">
        <w:rPr>
          <w:color w:val="auto"/>
        </w:rPr>
        <w:t>. Migratory students overall were 20.3 percentage points less likely than all students to score at standard met or standard exceeded.</w:t>
      </w:r>
    </w:p>
    <w:p w14:paraId="380C2045" w14:textId="77777777" w:rsidR="00D03B5F" w:rsidRPr="00DE269A" w:rsidRDefault="00D03B5F" w:rsidP="008B0B71">
      <w:pPr>
        <w:pStyle w:val="List-Level1"/>
        <w:spacing w:after="240" w:line="240" w:lineRule="auto"/>
        <w:ind w:left="720" w:hanging="360"/>
        <w:rPr>
          <w:color w:val="auto"/>
        </w:rPr>
      </w:pPr>
      <w:r w:rsidRPr="00DE269A">
        <w:rPr>
          <w:color w:val="auto"/>
        </w:rPr>
        <w:t xml:space="preserve">An achievement gap of 20.3 percentage points, the largest gap between migratory students and all students from 2017–18 through 2022–23, was recorded in SY 2022–23. </w:t>
      </w:r>
    </w:p>
    <w:p w14:paraId="443ED1A8" w14:textId="0B2E7DC0" w:rsidR="00D03B5F" w:rsidRPr="00DE269A" w:rsidRDefault="007E6181" w:rsidP="007B711B">
      <w:pPr>
        <w:pStyle w:val="Paragraph-AfterList"/>
        <w:spacing w:after="240" w:line="240" w:lineRule="auto"/>
        <w:rPr>
          <w:color w:val="auto"/>
        </w:rPr>
      </w:pPr>
      <w:r>
        <w:rPr>
          <w:color w:val="auto"/>
        </w:rPr>
        <w:t>Figure 13</w:t>
      </w:r>
      <w:r w:rsidR="00D03B5F" w:rsidRPr="00DE269A">
        <w:rPr>
          <w:color w:val="auto"/>
        </w:rPr>
        <w:t xml:space="preserve"> shows the percentage of all students, migratory students, and migratory PFS students who scored at standard met or standard exceeded for overall achievement on the CAASPP mathematics for SYs 2017–18, 2018–19, 2021–22, and 2022–23.</w:t>
      </w:r>
      <w:r>
        <w:rPr>
          <w:color w:val="auto"/>
        </w:rPr>
        <w:t xml:space="preserve"> Table 15 displays the same information as figure 13 in table form.</w:t>
      </w:r>
    </w:p>
    <w:bookmarkEnd w:id="120"/>
    <w:bookmarkEnd w:id="121"/>
    <w:p w14:paraId="03C39A0A" w14:textId="77777777" w:rsidR="00C54293" w:rsidRDefault="00C54293">
      <w:pPr>
        <w:rPr>
          <w:rFonts w:eastAsia="Times New Roman" w:cs="Arial"/>
          <w:b/>
          <w:color w:val="1F3864" w:themeColor="accent5" w:themeShade="80"/>
          <w:lang w:eastAsia="zh-CN"/>
        </w:rPr>
      </w:pPr>
      <w:r>
        <w:rPr>
          <w:color w:val="1F3864" w:themeColor="accent5" w:themeShade="80"/>
        </w:rPr>
        <w:br w:type="page"/>
      </w:r>
    </w:p>
    <w:p w14:paraId="5DEEB591" w14:textId="19A62B23" w:rsidR="00DE269A" w:rsidRPr="00DE269A" w:rsidRDefault="007E6181" w:rsidP="00792C07">
      <w:pPr>
        <w:pStyle w:val="Heading5"/>
      </w:pPr>
      <w:bookmarkStart w:id="122" w:name="_Toc188016099"/>
      <w:bookmarkStart w:id="123" w:name="_Toc188030512"/>
      <w:r>
        <w:lastRenderedPageBreak/>
        <w:t>Figure 13.</w:t>
      </w:r>
      <w:r w:rsidR="00DE269A" w:rsidRPr="00DE269A">
        <w:t xml:space="preserve"> </w:t>
      </w:r>
      <w:bookmarkEnd w:id="122"/>
      <w:r w:rsidR="004050CA">
        <w:t xml:space="preserve">Figure </w:t>
      </w:r>
      <w:fldSimple w:instr=" SEQ Figure \* ARABIC ">
        <w:r w:rsidR="00AB15FE">
          <w:rPr>
            <w:noProof/>
          </w:rPr>
          <w:t>13</w:t>
        </w:r>
      </w:fldSimple>
      <w:r w:rsidR="004050CA">
        <w:t xml:space="preserve">. </w:t>
      </w:r>
      <w:r w:rsidR="004050CA" w:rsidRPr="006467B4">
        <w:t>Percentage of All Students, Migratory Students, and Migratory Priority-for-Service Students Scoring at Standard Met or Exceeded for Overall Achievement on California’s Mathematics Assessment for All Grades, School Years 2017–18, 2018–19, 2021–22, and 2</w:t>
      </w:r>
      <w:r w:rsidR="004050CA">
        <w:t>022–23</w:t>
      </w:r>
      <w:bookmarkEnd w:id="123"/>
    </w:p>
    <w:p w14:paraId="7F39FDEF" w14:textId="77777777" w:rsidR="00D03B5F" w:rsidRDefault="00D03B5F" w:rsidP="007B711B">
      <w:pPr>
        <w:pStyle w:val="Figure"/>
      </w:pPr>
      <w:r>
        <w:drawing>
          <wp:inline distT="0" distB="0" distL="0" distR="0" wp14:anchorId="2A94D02C" wp14:editId="5DC9B82B">
            <wp:extent cx="5943600" cy="3200400"/>
            <wp:effectExtent l="0" t="0" r="0" b="0"/>
            <wp:docPr id="404365226" name="Chart 1" descr="Figure 13 is a line graph showing the percentage of students scoring at standard met or exceeded for overall achievement on the CAASPP mathematics for SYs 2017–18 to 2022–23. See Table 15 for the data in table form.">
              <a:extLst xmlns:a="http://schemas.openxmlformats.org/drawingml/2006/main">
                <a:ext uri="{FF2B5EF4-FFF2-40B4-BE49-F238E27FC236}">
                  <a16:creationId xmlns:a16="http://schemas.microsoft.com/office/drawing/2014/main" id="{0A959E3C-D348-914A-82E2-B9EABC4D18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0F29DF2" w14:textId="7C1B219B" w:rsidR="00D03B5F" w:rsidRPr="00DE269A" w:rsidRDefault="00D03B5F" w:rsidP="00C54293">
      <w:pPr>
        <w:pStyle w:val="TableorFiguresNotesSources"/>
        <w:spacing w:before="0" w:after="240" w:line="240" w:lineRule="auto"/>
        <w:rPr>
          <w:color w:val="auto"/>
        </w:rPr>
      </w:pPr>
      <w:r w:rsidRPr="00DE269A">
        <w:rPr>
          <w:rFonts w:cs="Arial"/>
          <w:color w:val="auto"/>
          <w:shd w:val="clear" w:color="auto" w:fill="FFFFFF"/>
        </w:rPr>
        <w:t xml:space="preserve">Source: </w:t>
      </w:r>
      <w:r w:rsidRPr="00DE269A">
        <w:rPr>
          <w:color w:val="auto"/>
        </w:rPr>
        <w:t xml:space="preserve">CDE CAASPP data files, SYs 2017–18, 2018–19, 2021–22, and 2022–23, and the MSIN </w:t>
      </w:r>
      <w:r w:rsidR="009E352E">
        <w:rPr>
          <w:color w:val="auto"/>
        </w:rPr>
        <w:t>databases</w:t>
      </w:r>
      <w:r w:rsidRPr="00DE269A">
        <w:rPr>
          <w:color w:val="auto"/>
        </w:rPr>
        <w:t xml:space="preserve"> for the MEP,</w:t>
      </w:r>
      <w:r w:rsidR="003B43E6">
        <w:rPr>
          <w:color w:val="auto"/>
        </w:rPr>
        <w:t xml:space="preserve"> </w:t>
      </w:r>
      <w:r w:rsidRPr="00DE269A">
        <w:rPr>
          <w:color w:val="auto"/>
        </w:rPr>
        <w:t>2017–18, 2018–19, 2021–22, and 2022–23 performance periods. Accessed February 2023 for SYs 2017–18 through 2021–22 and December 2023 for SY 2022–23.</w:t>
      </w:r>
    </w:p>
    <w:p w14:paraId="503559A4" w14:textId="28F1B676" w:rsidR="00E532A8" w:rsidRPr="00E532A8" w:rsidRDefault="00E532A8" w:rsidP="00792C07">
      <w:pPr>
        <w:pStyle w:val="Heading5"/>
      </w:pPr>
      <w:bookmarkStart w:id="124" w:name="_Toc188030580"/>
      <w:r w:rsidRPr="00E532A8">
        <w:t xml:space="preserve">Table </w:t>
      </w:r>
      <w:fldSimple w:instr=" SEQ Table \* ARABIC ">
        <w:r w:rsidR="00D04DC5">
          <w:t>15</w:t>
        </w:r>
      </w:fldSimple>
      <w:r w:rsidRPr="00E532A8">
        <w:t>. Percentage of All Students, Migratory Students, and Migratory Priority-for-Service Students Scoring at Standard Met or Exceeded for Overall Achievement on California’s Mathematics Assessment for All Grades, School Years 2017–18, 2018–19, 2021–22, and 2022–23</w:t>
      </w:r>
      <w:bookmarkEnd w:id="124"/>
    </w:p>
    <w:tbl>
      <w:tblPr>
        <w:tblStyle w:val="ListTable3-Accent5"/>
        <w:tblW w:w="9359" w:type="dxa"/>
        <w:tblLayout w:type="fixed"/>
        <w:tblCellMar>
          <w:right w:w="108" w:type="dxa"/>
        </w:tblCellMar>
        <w:tblLook w:val="04A0" w:firstRow="1" w:lastRow="0" w:firstColumn="1" w:lastColumn="0" w:noHBand="0" w:noVBand="1"/>
      </w:tblPr>
      <w:tblGrid>
        <w:gridCol w:w="1339"/>
        <w:gridCol w:w="2664"/>
        <w:gridCol w:w="1339"/>
        <w:gridCol w:w="1339"/>
        <w:gridCol w:w="1339"/>
        <w:gridCol w:w="1339"/>
      </w:tblGrid>
      <w:tr w:rsidR="00C54293" w:rsidRPr="00030D93" w14:paraId="14612FEF" w14:textId="77777777" w:rsidTr="009E56F2">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339" w:type="dxa"/>
            <w:hideMark/>
          </w:tcPr>
          <w:p w14:paraId="53BD7FCB" w14:textId="77777777" w:rsidR="00C54293" w:rsidRPr="00030D93" w:rsidRDefault="00C54293" w:rsidP="009E56F2">
            <w:pPr>
              <w:pStyle w:val="TableHeaderRow"/>
            </w:pPr>
            <w:r w:rsidRPr="00030D93">
              <w:t>Grade</w:t>
            </w:r>
          </w:p>
        </w:tc>
        <w:tc>
          <w:tcPr>
            <w:tcW w:w="2664" w:type="dxa"/>
            <w:noWrap/>
            <w:hideMark/>
          </w:tcPr>
          <w:p w14:paraId="27DC66F0" w14:textId="77777777" w:rsidR="00C54293" w:rsidRPr="00030D93" w:rsidRDefault="00C54293" w:rsidP="009E56F2">
            <w:pPr>
              <w:pStyle w:val="TableHeaderRow"/>
              <w:cnfStyle w:val="100000000000" w:firstRow="1" w:lastRow="0" w:firstColumn="0" w:lastColumn="0" w:oddVBand="0" w:evenVBand="0" w:oddHBand="0" w:evenHBand="0" w:firstRowFirstColumn="0" w:firstRowLastColumn="0" w:lastRowFirstColumn="0" w:lastRowLastColumn="0"/>
            </w:pPr>
            <w:r w:rsidRPr="00030D93">
              <w:t>Student Population</w:t>
            </w:r>
          </w:p>
        </w:tc>
        <w:tc>
          <w:tcPr>
            <w:tcW w:w="1339" w:type="dxa"/>
            <w:hideMark/>
          </w:tcPr>
          <w:p w14:paraId="4D65D702" w14:textId="77777777" w:rsidR="00C54293" w:rsidRPr="00030D93" w:rsidRDefault="00C54293" w:rsidP="009E56F2">
            <w:pPr>
              <w:pStyle w:val="TableHeaderRow"/>
              <w:cnfStyle w:val="100000000000" w:firstRow="1" w:lastRow="0" w:firstColumn="0" w:lastColumn="0" w:oddVBand="0" w:evenVBand="0" w:oddHBand="0" w:evenHBand="0" w:firstRowFirstColumn="0" w:firstRowLastColumn="0" w:lastRowFirstColumn="0" w:lastRowLastColumn="0"/>
            </w:pPr>
            <w:r w:rsidRPr="00030D93">
              <w:t xml:space="preserve">2017–18 </w:t>
            </w:r>
          </w:p>
        </w:tc>
        <w:tc>
          <w:tcPr>
            <w:tcW w:w="1339" w:type="dxa"/>
            <w:hideMark/>
          </w:tcPr>
          <w:p w14:paraId="56F64F0D" w14:textId="77777777" w:rsidR="00C54293" w:rsidRPr="00030D93" w:rsidRDefault="00C54293" w:rsidP="009E56F2">
            <w:pPr>
              <w:pStyle w:val="TableHeaderRow"/>
              <w:cnfStyle w:val="100000000000" w:firstRow="1" w:lastRow="0" w:firstColumn="0" w:lastColumn="0" w:oddVBand="0" w:evenVBand="0" w:oddHBand="0" w:evenHBand="0" w:firstRowFirstColumn="0" w:firstRowLastColumn="0" w:lastRowFirstColumn="0" w:lastRowLastColumn="0"/>
            </w:pPr>
            <w:r w:rsidRPr="00030D93">
              <w:t xml:space="preserve">2018–19 </w:t>
            </w:r>
          </w:p>
        </w:tc>
        <w:tc>
          <w:tcPr>
            <w:tcW w:w="1339" w:type="dxa"/>
            <w:hideMark/>
          </w:tcPr>
          <w:p w14:paraId="42439212" w14:textId="77777777" w:rsidR="00C54293" w:rsidRPr="00030D93" w:rsidRDefault="00C54293" w:rsidP="009E56F2">
            <w:pPr>
              <w:pStyle w:val="TableHeaderRow"/>
              <w:cnfStyle w:val="100000000000" w:firstRow="1" w:lastRow="0" w:firstColumn="0" w:lastColumn="0" w:oddVBand="0" w:evenVBand="0" w:oddHBand="0" w:evenHBand="0" w:firstRowFirstColumn="0" w:firstRowLastColumn="0" w:lastRowFirstColumn="0" w:lastRowLastColumn="0"/>
            </w:pPr>
            <w:r w:rsidRPr="00030D93">
              <w:t xml:space="preserve">2021–22 </w:t>
            </w:r>
          </w:p>
        </w:tc>
        <w:tc>
          <w:tcPr>
            <w:tcW w:w="1339" w:type="dxa"/>
          </w:tcPr>
          <w:p w14:paraId="3547890B" w14:textId="77777777" w:rsidR="00C54293" w:rsidRPr="00030D93" w:rsidRDefault="00C54293" w:rsidP="009E56F2">
            <w:pPr>
              <w:pStyle w:val="TableHeaderRow"/>
              <w:cnfStyle w:val="100000000000" w:firstRow="1" w:lastRow="0" w:firstColumn="0" w:lastColumn="0" w:oddVBand="0" w:evenVBand="0" w:oddHBand="0" w:evenHBand="0" w:firstRowFirstColumn="0" w:firstRowLastColumn="0" w:lastRowFirstColumn="0" w:lastRowLastColumn="0"/>
            </w:pPr>
            <w:r>
              <w:t>2022–23</w:t>
            </w:r>
          </w:p>
        </w:tc>
      </w:tr>
      <w:tr w:rsidR="00C54293" w:rsidRPr="00030D93" w14:paraId="626A5F6C" w14:textId="77777777" w:rsidTr="00C54293">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hideMark/>
          </w:tcPr>
          <w:p w14:paraId="6F789B7E" w14:textId="77777777" w:rsidR="00C54293" w:rsidRPr="00030D93" w:rsidRDefault="00C54293" w:rsidP="0041205C">
            <w:pPr>
              <w:pStyle w:val="TableCategoryText"/>
            </w:pPr>
            <w:r w:rsidRPr="00030D93">
              <w:t>All</w:t>
            </w:r>
          </w:p>
        </w:tc>
        <w:tc>
          <w:tcPr>
            <w:tcW w:w="2664" w:type="dxa"/>
            <w:shd w:val="clear" w:color="auto" w:fill="D9E2F3" w:themeFill="accent5" w:themeFillTint="33"/>
            <w:noWrap/>
            <w:hideMark/>
          </w:tcPr>
          <w:p w14:paraId="00F22F68"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All students</w:t>
            </w:r>
          </w:p>
        </w:tc>
        <w:tc>
          <w:tcPr>
            <w:tcW w:w="1339" w:type="dxa"/>
            <w:shd w:val="clear" w:color="auto" w:fill="D9E2F3" w:themeFill="accent5" w:themeFillTint="33"/>
            <w:hideMark/>
          </w:tcPr>
          <w:p w14:paraId="66115B5B"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38.6%</w:t>
            </w:r>
          </w:p>
        </w:tc>
        <w:tc>
          <w:tcPr>
            <w:tcW w:w="1339" w:type="dxa"/>
            <w:shd w:val="clear" w:color="auto" w:fill="D9E2F3" w:themeFill="accent5" w:themeFillTint="33"/>
            <w:hideMark/>
          </w:tcPr>
          <w:p w14:paraId="42EAA334"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39.7%</w:t>
            </w:r>
          </w:p>
        </w:tc>
        <w:tc>
          <w:tcPr>
            <w:tcW w:w="1339" w:type="dxa"/>
            <w:shd w:val="clear" w:color="auto" w:fill="D9E2F3" w:themeFill="accent5" w:themeFillTint="33"/>
            <w:hideMark/>
          </w:tcPr>
          <w:p w14:paraId="3E83CB78"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33.3%</w:t>
            </w:r>
          </w:p>
        </w:tc>
        <w:tc>
          <w:tcPr>
            <w:tcW w:w="1339" w:type="dxa"/>
            <w:shd w:val="clear" w:color="auto" w:fill="D9E2F3" w:themeFill="accent5" w:themeFillTint="33"/>
          </w:tcPr>
          <w:p w14:paraId="6121A2AB"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34.6%</w:t>
            </w:r>
          </w:p>
        </w:tc>
      </w:tr>
      <w:tr w:rsidR="00C54293" w:rsidRPr="00030D93" w14:paraId="7D3CA405" w14:textId="77777777" w:rsidTr="00C54293">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tcPr>
          <w:p w14:paraId="25DBA241" w14:textId="77777777" w:rsidR="00C54293" w:rsidRPr="00030D93" w:rsidRDefault="00C54293" w:rsidP="0041205C">
            <w:pPr>
              <w:pStyle w:val="TableCategoryText"/>
            </w:pPr>
            <w:r w:rsidRPr="00030D93">
              <w:t>All</w:t>
            </w:r>
          </w:p>
        </w:tc>
        <w:tc>
          <w:tcPr>
            <w:tcW w:w="2664" w:type="dxa"/>
            <w:shd w:val="clear" w:color="auto" w:fill="D9E2F3" w:themeFill="accent5" w:themeFillTint="33"/>
            <w:noWrap/>
          </w:tcPr>
          <w:p w14:paraId="75EC604A" w14:textId="77777777" w:rsidR="00C54293" w:rsidRPr="0041205C" w:rsidRDefault="00C54293"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Migratory students</w:t>
            </w:r>
          </w:p>
        </w:tc>
        <w:tc>
          <w:tcPr>
            <w:tcW w:w="1339" w:type="dxa"/>
            <w:shd w:val="clear" w:color="auto" w:fill="D9E2F3" w:themeFill="accent5" w:themeFillTint="33"/>
          </w:tcPr>
          <w:p w14:paraId="0836FE6F" w14:textId="77777777" w:rsidR="00C54293" w:rsidRPr="0041205C" w:rsidRDefault="00C54293"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19.3%</w:t>
            </w:r>
          </w:p>
        </w:tc>
        <w:tc>
          <w:tcPr>
            <w:tcW w:w="1339" w:type="dxa"/>
            <w:shd w:val="clear" w:color="auto" w:fill="D9E2F3" w:themeFill="accent5" w:themeFillTint="33"/>
          </w:tcPr>
          <w:p w14:paraId="40CB8C11" w14:textId="77777777" w:rsidR="00C54293" w:rsidRPr="0041205C" w:rsidRDefault="00C54293"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20.7%</w:t>
            </w:r>
          </w:p>
        </w:tc>
        <w:tc>
          <w:tcPr>
            <w:tcW w:w="1339" w:type="dxa"/>
            <w:shd w:val="clear" w:color="auto" w:fill="D9E2F3" w:themeFill="accent5" w:themeFillTint="33"/>
          </w:tcPr>
          <w:p w14:paraId="5BC9344D" w14:textId="77777777" w:rsidR="00C54293" w:rsidRPr="0041205C" w:rsidRDefault="00C54293"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13.5%</w:t>
            </w:r>
          </w:p>
        </w:tc>
        <w:tc>
          <w:tcPr>
            <w:tcW w:w="1339" w:type="dxa"/>
            <w:shd w:val="clear" w:color="auto" w:fill="D9E2F3" w:themeFill="accent5" w:themeFillTint="33"/>
          </w:tcPr>
          <w:p w14:paraId="50E85CCA" w14:textId="77777777" w:rsidR="00C54293" w:rsidRPr="0041205C" w:rsidRDefault="00C54293"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14.3%</w:t>
            </w:r>
          </w:p>
        </w:tc>
      </w:tr>
      <w:tr w:rsidR="00C54293" w:rsidRPr="00030D93" w14:paraId="6209089C" w14:textId="77777777" w:rsidTr="00C54293">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tcPr>
          <w:p w14:paraId="1A6D5093" w14:textId="77777777" w:rsidR="00C54293" w:rsidRPr="00030D93" w:rsidRDefault="00C54293" w:rsidP="0041205C">
            <w:pPr>
              <w:pStyle w:val="TableCategoryText"/>
            </w:pPr>
            <w:r w:rsidRPr="00030D93">
              <w:t>All</w:t>
            </w:r>
          </w:p>
        </w:tc>
        <w:tc>
          <w:tcPr>
            <w:tcW w:w="2664" w:type="dxa"/>
            <w:shd w:val="clear" w:color="auto" w:fill="D9E2F3" w:themeFill="accent5" w:themeFillTint="33"/>
            <w:noWrap/>
          </w:tcPr>
          <w:p w14:paraId="6EB8DB82"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Migratory PFS students</w:t>
            </w:r>
          </w:p>
        </w:tc>
        <w:tc>
          <w:tcPr>
            <w:tcW w:w="1339" w:type="dxa"/>
            <w:shd w:val="clear" w:color="auto" w:fill="D9E2F3" w:themeFill="accent5" w:themeFillTint="33"/>
          </w:tcPr>
          <w:p w14:paraId="44CA0EB3"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7.0%</w:t>
            </w:r>
          </w:p>
        </w:tc>
        <w:tc>
          <w:tcPr>
            <w:tcW w:w="1339" w:type="dxa"/>
            <w:shd w:val="clear" w:color="auto" w:fill="D9E2F3" w:themeFill="accent5" w:themeFillTint="33"/>
          </w:tcPr>
          <w:p w14:paraId="16A2C844"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7.0%</w:t>
            </w:r>
          </w:p>
        </w:tc>
        <w:tc>
          <w:tcPr>
            <w:tcW w:w="1339" w:type="dxa"/>
            <w:shd w:val="clear" w:color="auto" w:fill="D9E2F3" w:themeFill="accent5" w:themeFillTint="33"/>
          </w:tcPr>
          <w:p w14:paraId="7DE98701" w14:textId="77777777" w:rsidR="00C54293" w:rsidRPr="0041205C"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6.0%</w:t>
            </w:r>
          </w:p>
        </w:tc>
        <w:tc>
          <w:tcPr>
            <w:tcW w:w="1339" w:type="dxa"/>
            <w:shd w:val="clear" w:color="auto" w:fill="D9E2F3" w:themeFill="accent5" w:themeFillTint="33"/>
          </w:tcPr>
          <w:p w14:paraId="02ED3B4F" w14:textId="77777777" w:rsidR="00C54293" w:rsidRPr="0041205C" w:rsidDel="004C74A7" w:rsidRDefault="00C54293"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6.8%</w:t>
            </w:r>
          </w:p>
        </w:tc>
      </w:tr>
    </w:tbl>
    <w:p w14:paraId="7D510965" w14:textId="60611CDB" w:rsidR="00C54293" w:rsidRPr="00C54293" w:rsidRDefault="00C54293" w:rsidP="007B711B">
      <w:pPr>
        <w:pStyle w:val="Paragraph"/>
        <w:spacing w:after="240" w:line="240" w:lineRule="auto"/>
        <w:rPr>
          <w:color w:val="auto"/>
        </w:rPr>
      </w:pPr>
      <w:r w:rsidRPr="00C54293">
        <w:rPr>
          <w:rFonts w:cs="Arial"/>
          <w:color w:val="auto"/>
          <w:shd w:val="clear" w:color="auto" w:fill="FFFFFF"/>
        </w:rPr>
        <w:t xml:space="preserve">Source: </w:t>
      </w:r>
      <w:r w:rsidRPr="00C54293">
        <w:rPr>
          <w:color w:val="auto"/>
        </w:rPr>
        <w:t xml:space="preserve">CDE CAASPP data files, SYs 2017–18, 2018–19, 2021–22, and 2022–23, and the MSIN </w:t>
      </w:r>
      <w:r w:rsidR="009E352E">
        <w:rPr>
          <w:color w:val="auto"/>
        </w:rPr>
        <w:t>databases</w:t>
      </w:r>
      <w:r w:rsidRPr="00C54293">
        <w:rPr>
          <w:color w:val="auto"/>
        </w:rPr>
        <w:t xml:space="preserve"> for the MEP,</w:t>
      </w:r>
      <w:r w:rsidR="003B43E6">
        <w:rPr>
          <w:color w:val="auto"/>
        </w:rPr>
        <w:t xml:space="preserve"> </w:t>
      </w:r>
      <w:r w:rsidRPr="00C54293">
        <w:rPr>
          <w:color w:val="auto"/>
        </w:rPr>
        <w:t xml:space="preserve">2017–18, 2018–19, 2021–22, and 2022–23 </w:t>
      </w:r>
      <w:r w:rsidRPr="00C54293">
        <w:rPr>
          <w:color w:val="auto"/>
        </w:rPr>
        <w:lastRenderedPageBreak/>
        <w:t>performance periods. Accessed February 2023 for SY 2017–18 through SY 2021–22 and December 2023 for SY 2022–23.</w:t>
      </w:r>
    </w:p>
    <w:p w14:paraId="66A218AA" w14:textId="23E0ADFC" w:rsidR="00D03B5F" w:rsidRPr="00DE269A" w:rsidRDefault="00D03B5F" w:rsidP="007B711B">
      <w:pPr>
        <w:pStyle w:val="Paragraph"/>
        <w:spacing w:after="240" w:line="240" w:lineRule="auto"/>
        <w:rPr>
          <w:noProof w:val="0"/>
          <w:color w:val="auto"/>
        </w:rPr>
      </w:pPr>
      <w:r w:rsidRPr="00DE269A">
        <w:rPr>
          <w:noProof w:val="0"/>
          <w:color w:val="auto"/>
        </w:rPr>
        <w:t xml:space="preserve">The remainder of this section provides </w:t>
      </w:r>
      <w:r w:rsidR="00194648">
        <w:rPr>
          <w:noProof w:val="0"/>
          <w:color w:val="auto"/>
        </w:rPr>
        <w:t>displays data for</w:t>
      </w:r>
      <w:r w:rsidRPr="00DE269A">
        <w:rPr>
          <w:noProof w:val="0"/>
          <w:color w:val="auto"/>
        </w:rPr>
        <w:t xml:space="preserve"> the percentage of students who scored </w:t>
      </w:r>
      <w:r w:rsidR="00D55EE4">
        <w:rPr>
          <w:noProof w:val="0"/>
          <w:color w:val="auto"/>
        </w:rPr>
        <w:t>above standard</w:t>
      </w:r>
      <w:r w:rsidRPr="00DE269A">
        <w:rPr>
          <w:noProof w:val="0"/>
          <w:color w:val="auto"/>
        </w:rPr>
        <w:t xml:space="preserve"> on each of the three claims of the CAASPP mathematics assessment across four SYs (2017–18, 2018–19, 2021–22, and 2022–23). For the most recent SY (2022–23), the section also provides the distribution of students who scored </w:t>
      </w:r>
      <w:r w:rsidR="00D55EE4">
        <w:rPr>
          <w:noProof w:val="0"/>
          <w:color w:val="auto"/>
        </w:rPr>
        <w:t>above standard</w:t>
      </w:r>
      <w:r w:rsidRPr="00DE269A">
        <w:rPr>
          <w:noProof w:val="0"/>
          <w:color w:val="auto"/>
        </w:rPr>
        <w:t xml:space="preserve">, </w:t>
      </w:r>
      <w:r w:rsidR="00D55EE4">
        <w:rPr>
          <w:noProof w:val="0"/>
          <w:color w:val="auto"/>
        </w:rPr>
        <w:t>near standard</w:t>
      </w:r>
      <w:r w:rsidRPr="00DE269A">
        <w:rPr>
          <w:noProof w:val="0"/>
          <w:color w:val="auto"/>
        </w:rPr>
        <w:t xml:space="preserve">, or </w:t>
      </w:r>
      <w:r w:rsidR="001843F2">
        <w:rPr>
          <w:noProof w:val="0"/>
          <w:color w:val="auto"/>
        </w:rPr>
        <w:t>be</w:t>
      </w:r>
      <w:r w:rsidR="001C3F56">
        <w:rPr>
          <w:noProof w:val="0"/>
          <w:color w:val="auto"/>
        </w:rPr>
        <w:t>low</w:t>
      </w:r>
      <w:r w:rsidR="001843F2">
        <w:rPr>
          <w:noProof w:val="0"/>
          <w:color w:val="auto"/>
        </w:rPr>
        <w:t xml:space="preserve"> standard</w:t>
      </w:r>
      <w:r w:rsidRPr="00DE269A">
        <w:rPr>
          <w:noProof w:val="0"/>
          <w:color w:val="auto"/>
        </w:rPr>
        <w:t>.</w:t>
      </w:r>
    </w:p>
    <w:p w14:paraId="73992418" w14:textId="77777777" w:rsidR="00D03B5F" w:rsidRPr="00DE269A" w:rsidRDefault="00D03B5F" w:rsidP="007B711B">
      <w:pPr>
        <w:pStyle w:val="Heading4"/>
        <w:spacing w:after="240"/>
      </w:pPr>
      <w:bookmarkStart w:id="125" w:name="_Toc135948122"/>
      <w:bookmarkStart w:id="126" w:name="_Toc154499379"/>
      <w:r w:rsidRPr="00DE269A">
        <w:t xml:space="preserve">California Assessment of Student Performance and Progress for </w:t>
      </w:r>
      <w:r w:rsidRPr="00DE269A">
        <w:rPr>
          <w:rFonts w:cs="Arial"/>
        </w:rPr>
        <w:t xml:space="preserve">Mathematics </w:t>
      </w:r>
      <w:r w:rsidRPr="00DE269A">
        <w:t>Concepts and Procedures Claim</w:t>
      </w:r>
      <w:bookmarkEnd w:id="125"/>
      <w:bookmarkEnd w:id="126"/>
    </w:p>
    <w:p w14:paraId="550AB3F7" w14:textId="59C63533" w:rsidR="00D03B5F" w:rsidRPr="00DE269A" w:rsidRDefault="00D03B5F" w:rsidP="007B711B">
      <w:pPr>
        <w:pStyle w:val="Paragraph"/>
        <w:spacing w:after="240" w:line="240" w:lineRule="auto"/>
        <w:rPr>
          <w:noProof w:val="0"/>
          <w:color w:val="auto"/>
        </w:rPr>
      </w:pPr>
      <w:r w:rsidRPr="00DE269A">
        <w:rPr>
          <w:noProof w:val="0"/>
          <w:color w:val="auto"/>
        </w:rPr>
        <w:t xml:space="preserve">Between SYs 2018–19 and 2021–22, the percentage of students who were </w:t>
      </w:r>
      <w:r w:rsidR="00D55EE4">
        <w:rPr>
          <w:noProof w:val="0"/>
          <w:color w:val="auto"/>
        </w:rPr>
        <w:t>above standard</w:t>
      </w:r>
      <w:r w:rsidRPr="00DE269A">
        <w:rPr>
          <w:noProof w:val="0"/>
          <w:color w:val="auto"/>
        </w:rPr>
        <w:t xml:space="preserve"> on the CAASPP mathematics concepts and procedures claim decreased across all three student populations, with </w:t>
      </w:r>
      <w:r w:rsidRPr="00DE269A">
        <w:rPr>
          <w:noProof w:val="0"/>
          <w:color w:val="auto"/>
          <w:shd w:val="clear" w:color="auto" w:fill="FFFFFF"/>
        </w:rPr>
        <w:t>migratory PFS students experiencing the smallest decline. Between SYs 2021–22 and 2022–23, this percentage of students remained steady for all three student groups.</w:t>
      </w:r>
    </w:p>
    <w:p w14:paraId="16A6DF54" w14:textId="77777777" w:rsidR="00D03B5F" w:rsidRPr="00DE269A" w:rsidRDefault="00D03B5F" w:rsidP="007B711B">
      <w:pPr>
        <w:pStyle w:val="Heading4"/>
        <w:spacing w:after="240"/>
      </w:pPr>
      <w:r w:rsidRPr="00DE269A">
        <w:t>Key Findings</w:t>
      </w:r>
    </w:p>
    <w:p w14:paraId="1AD24FC4" w14:textId="77777777" w:rsidR="00D03B5F" w:rsidRPr="00DE269A" w:rsidRDefault="00D03B5F" w:rsidP="008B0B71">
      <w:pPr>
        <w:pStyle w:val="List-Level1"/>
        <w:spacing w:after="240" w:line="240" w:lineRule="auto"/>
        <w:ind w:left="720" w:hanging="360"/>
        <w:rPr>
          <w:color w:val="auto"/>
        </w:rPr>
      </w:pPr>
      <w:r w:rsidRPr="00DE269A">
        <w:rPr>
          <w:noProof w:val="0"/>
          <w:color w:val="auto"/>
        </w:rPr>
        <w:t>By SY 2021–22, migratory PFS students had narrowed their earlier performance gap with migratory students on the CAASPP mathematics concepts and procedures claim</w:t>
      </w:r>
      <w:r w:rsidRPr="00DE269A">
        <w:rPr>
          <w:color w:val="auto"/>
        </w:rPr>
        <w:t xml:space="preserve"> to a 3.3 percentage point difference (compared with a 9.1 percentage point difference in SY 2018–19).</w:t>
      </w:r>
    </w:p>
    <w:p w14:paraId="114AD92A" w14:textId="15FEE054" w:rsidR="00D03B5F" w:rsidRPr="00DE269A" w:rsidRDefault="00D03B5F" w:rsidP="008B0B71">
      <w:pPr>
        <w:pStyle w:val="List-Level1"/>
        <w:spacing w:after="240" w:line="240" w:lineRule="auto"/>
        <w:ind w:left="720" w:hanging="360"/>
        <w:rPr>
          <w:color w:val="auto"/>
        </w:rPr>
      </w:pPr>
      <w:r w:rsidRPr="00DE269A">
        <w:rPr>
          <w:color w:val="auto"/>
        </w:rPr>
        <w:t xml:space="preserve">Down from three percent in 2017–18, only about two percent of migratory PFS students scored </w:t>
      </w:r>
      <w:r w:rsidR="00D55EE4">
        <w:rPr>
          <w:color w:val="auto"/>
        </w:rPr>
        <w:t>above standard</w:t>
      </w:r>
      <w:r w:rsidRPr="00DE269A">
        <w:rPr>
          <w:color w:val="auto"/>
        </w:rPr>
        <w:t xml:space="preserve"> on the CAASPP matematics concepts and procedures claim. Only 5.8 percent of migratory students scored </w:t>
      </w:r>
      <w:r w:rsidR="00D55EE4">
        <w:rPr>
          <w:color w:val="auto"/>
        </w:rPr>
        <w:t>above standard</w:t>
      </w:r>
      <w:r w:rsidRPr="00DE269A">
        <w:rPr>
          <w:color w:val="auto"/>
        </w:rPr>
        <w:t xml:space="preserve"> on the same claim.</w:t>
      </w:r>
    </w:p>
    <w:p w14:paraId="7F79D441" w14:textId="0045BBB6" w:rsidR="00D03B5F" w:rsidRDefault="00D03B5F" w:rsidP="007B711B">
      <w:pPr>
        <w:pStyle w:val="Paragraph-AfterList"/>
        <w:spacing w:after="240" w:line="240" w:lineRule="auto"/>
        <w:rPr>
          <w:color w:val="auto"/>
        </w:rPr>
      </w:pPr>
      <w:r w:rsidRPr="00DE269A">
        <w:rPr>
          <w:color w:val="auto"/>
        </w:rPr>
        <w:t xml:space="preserve">In SY 2022–23, migratory PFS students were 17.1 percentage points less likely than all students to score at </w:t>
      </w:r>
      <w:r w:rsidR="00D55EE4">
        <w:rPr>
          <w:color w:val="auto"/>
        </w:rPr>
        <w:t>above standard</w:t>
      </w:r>
      <w:r w:rsidRPr="00DE269A">
        <w:rPr>
          <w:color w:val="auto"/>
        </w:rPr>
        <w:t xml:space="preserve">, and migratory students overall were 13.5 percentage points less likely than all students to score at </w:t>
      </w:r>
      <w:r w:rsidR="00D55EE4">
        <w:rPr>
          <w:color w:val="auto"/>
        </w:rPr>
        <w:t>above standard</w:t>
      </w:r>
      <w:r w:rsidRPr="00DE269A">
        <w:rPr>
          <w:color w:val="auto"/>
        </w:rPr>
        <w:t>.</w:t>
      </w:r>
      <w:r w:rsidR="00DE269A">
        <w:rPr>
          <w:color w:val="auto"/>
        </w:rPr>
        <w:t xml:space="preserve"> </w:t>
      </w:r>
      <w:r w:rsidR="007E6181">
        <w:rPr>
          <w:noProof w:val="0"/>
          <w:color w:val="auto"/>
        </w:rPr>
        <w:t>Figure</w:t>
      </w:r>
      <w:r w:rsidR="001C3F56">
        <w:rPr>
          <w:color w:val="auto"/>
        </w:rPr>
        <w:t> </w:t>
      </w:r>
      <w:r w:rsidR="00DE269A">
        <w:rPr>
          <w:color w:val="auto"/>
        </w:rPr>
        <w:t>1</w:t>
      </w:r>
      <w:r w:rsidR="007E6181">
        <w:rPr>
          <w:color w:val="auto"/>
        </w:rPr>
        <w:t>4</w:t>
      </w:r>
      <w:r w:rsidRPr="00DE269A">
        <w:rPr>
          <w:color w:val="auto"/>
        </w:rPr>
        <w:t xml:space="preserve"> shows the percentage of all students, migratory students, and migratory PFS students who scored at </w:t>
      </w:r>
      <w:r w:rsidR="00D55EE4">
        <w:rPr>
          <w:color w:val="auto"/>
        </w:rPr>
        <w:t>above standard</w:t>
      </w:r>
      <w:r w:rsidRPr="00DE269A">
        <w:rPr>
          <w:color w:val="auto"/>
        </w:rPr>
        <w:t xml:space="preserve"> on the CAASPP mathematics concepts and procedures claim over the past four assessment years.</w:t>
      </w:r>
      <w:r w:rsidR="00CF457C">
        <w:rPr>
          <w:color w:val="auto"/>
        </w:rPr>
        <w:t xml:space="preserve"> Table 16 shows the same data in table form.</w:t>
      </w:r>
    </w:p>
    <w:p w14:paraId="27871C38" w14:textId="77777777" w:rsidR="007E2DFC" w:rsidRDefault="007E2DFC">
      <w:pPr>
        <w:rPr>
          <w:rFonts w:eastAsia="Times New Roman" w:cs="Arial"/>
          <w:b/>
          <w:color w:val="1F3864" w:themeColor="accent5" w:themeShade="80"/>
          <w:lang w:eastAsia="zh-CN"/>
        </w:rPr>
      </w:pPr>
      <w:r>
        <w:rPr>
          <w:color w:val="1F3864" w:themeColor="accent5" w:themeShade="80"/>
        </w:rPr>
        <w:br w:type="page"/>
      </w:r>
    </w:p>
    <w:p w14:paraId="681257DB" w14:textId="3127AD02" w:rsidR="00DE269A" w:rsidRPr="00E532A8" w:rsidRDefault="00E532A8" w:rsidP="00792C07">
      <w:pPr>
        <w:pStyle w:val="Heading5"/>
      </w:pPr>
      <w:bookmarkStart w:id="127" w:name="_Toc188030513"/>
      <w:r w:rsidRPr="00E532A8">
        <w:lastRenderedPageBreak/>
        <w:t xml:space="preserve">Figure </w:t>
      </w:r>
      <w:fldSimple w:instr=" SEQ Figure \* ARABIC ">
        <w:r w:rsidR="00AB15FE">
          <w:rPr>
            <w:noProof/>
          </w:rPr>
          <w:t>14</w:t>
        </w:r>
      </w:fldSimple>
      <w:r w:rsidRPr="00E532A8">
        <w:t>. Percentage of All Students, Migratory Students, and Migratory Priority-for-Service Students Scoring Above Standard on the Mathematics Concepts and Procedures Claim for All Grades, School Years 2017–18, 2018–19, 2021–22, and 2022–23</w:t>
      </w:r>
      <w:bookmarkEnd w:id="127"/>
    </w:p>
    <w:p w14:paraId="06FE7CCC" w14:textId="77777777" w:rsidR="00D03B5F" w:rsidRDefault="00D03B5F" w:rsidP="007B711B">
      <w:pPr>
        <w:pStyle w:val="Figure"/>
      </w:pPr>
      <w:r>
        <w:drawing>
          <wp:inline distT="0" distB="0" distL="0" distR="0" wp14:anchorId="4D4D9126" wp14:editId="22FAD0A6">
            <wp:extent cx="5943600" cy="3200400"/>
            <wp:effectExtent l="0" t="0" r="0" b="0"/>
            <wp:docPr id="404525487" name="Chart 1" descr="Figure 14 is a line graph showing the percentage of students scoring at above standard on the CAASPP mathematics concepts and procedures claim for SYs 2017–18 to 2022–23. Table 16 shows the data in table form.">
              <a:extLst xmlns:a="http://schemas.openxmlformats.org/drawingml/2006/main">
                <a:ext uri="{FF2B5EF4-FFF2-40B4-BE49-F238E27FC236}">
                  <a16:creationId xmlns:a16="http://schemas.microsoft.com/office/drawing/2014/main" id="{131A1D0E-54A6-504D-B10E-309689CD4F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929FC87" w14:textId="5F98DFDB" w:rsidR="00D03B5F" w:rsidRDefault="00D03B5F" w:rsidP="00A07F0D">
      <w:pPr>
        <w:pStyle w:val="TableorFiguresNotesSources"/>
        <w:spacing w:before="0" w:after="240" w:line="240" w:lineRule="auto"/>
        <w:rPr>
          <w:color w:val="auto"/>
        </w:rPr>
      </w:pPr>
      <w:r w:rsidRPr="00E17811">
        <w:rPr>
          <w:rFonts w:cs="Arial"/>
          <w:color w:val="auto"/>
          <w:shd w:val="clear" w:color="auto" w:fill="FFFFFF"/>
        </w:rPr>
        <w:t xml:space="preserve">Source: </w:t>
      </w:r>
      <w:r w:rsidRPr="00E17811">
        <w:rPr>
          <w:color w:val="auto"/>
        </w:rPr>
        <w:t xml:space="preserve">CDE CAASPP data files, SYs 2017–18, 2018–19, 2021–22, and 2022–23, and the MSIN </w:t>
      </w:r>
      <w:r w:rsidR="009E352E">
        <w:rPr>
          <w:color w:val="auto"/>
        </w:rPr>
        <w:t>databases</w:t>
      </w:r>
      <w:r w:rsidRPr="00E17811">
        <w:rPr>
          <w:color w:val="auto"/>
        </w:rPr>
        <w:t xml:space="preserve"> for the MEP,</w:t>
      </w:r>
      <w:r w:rsidR="003B43E6">
        <w:rPr>
          <w:color w:val="auto"/>
        </w:rPr>
        <w:t xml:space="preserve"> </w:t>
      </w:r>
      <w:r w:rsidRPr="00E17811">
        <w:rPr>
          <w:color w:val="auto"/>
        </w:rPr>
        <w:t>2017–18, 2018–19, 2021–22, and 2022–23 performance periods. Accessed February 2023 for SYs 2017–18 through 2021–22 and December 2023 for SY 2022–23.</w:t>
      </w:r>
    </w:p>
    <w:p w14:paraId="0671805F" w14:textId="46386519" w:rsidR="00E532A8" w:rsidRPr="00E532A8" w:rsidRDefault="00E532A8" w:rsidP="00792C07">
      <w:pPr>
        <w:pStyle w:val="Heading5"/>
      </w:pPr>
      <w:bookmarkStart w:id="128" w:name="_Toc188030581"/>
      <w:r w:rsidRPr="00E532A8">
        <w:t xml:space="preserve">Table </w:t>
      </w:r>
      <w:fldSimple w:instr=" SEQ Table \* ARABIC ">
        <w:r w:rsidR="00D04DC5">
          <w:t>16</w:t>
        </w:r>
      </w:fldSimple>
      <w:r w:rsidRPr="00E532A8">
        <w:t>. Percentage of All Students, Migratory Students, and Migratory Priority-for-Service Students Scoring Above Standard on the Mathematics Concepts and Procedures Claim for All Grades, School Years 2017–18, 2018–19, 2021–22, and 2022–23</w:t>
      </w:r>
      <w:bookmarkEnd w:id="128"/>
    </w:p>
    <w:tbl>
      <w:tblPr>
        <w:tblStyle w:val="ListTable3-Accent5"/>
        <w:tblW w:w="0" w:type="auto"/>
        <w:tblLayout w:type="fixed"/>
        <w:tblCellMar>
          <w:right w:w="108" w:type="dxa"/>
        </w:tblCellMar>
        <w:tblLook w:val="04A0" w:firstRow="1" w:lastRow="0" w:firstColumn="1" w:lastColumn="0" w:noHBand="0" w:noVBand="1"/>
      </w:tblPr>
      <w:tblGrid>
        <w:gridCol w:w="1339"/>
        <w:gridCol w:w="2664"/>
        <w:gridCol w:w="1339"/>
        <w:gridCol w:w="1339"/>
        <w:gridCol w:w="1339"/>
        <w:gridCol w:w="1339"/>
      </w:tblGrid>
      <w:tr w:rsidR="00A07F0D" w:rsidRPr="002321D5" w14:paraId="1AB80EDE" w14:textId="77777777" w:rsidTr="009E56F2">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339" w:type="dxa"/>
            <w:hideMark/>
          </w:tcPr>
          <w:p w14:paraId="694E548A" w14:textId="77777777" w:rsidR="00A07F0D" w:rsidRPr="002321D5" w:rsidRDefault="00A07F0D" w:rsidP="009E56F2">
            <w:pPr>
              <w:pStyle w:val="TableHeaderRow"/>
            </w:pPr>
            <w:r w:rsidRPr="002321D5">
              <w:t>Grade</w:t>
            </w:r>
          </w:p>
        </w:tc>
        <w:tc>
          <w:tcPr>
            <w:tcW w:w="2664" w:type="dxa"/>
            <w:noWrap/>
            <w:hideMark/>
          </w:tcPr>
          <w:p w14:paraId="7D0E16E8" w14:textId="77777777" w:rsidR="00A07F0D" w:rsidRPr="002321D5" w:rsidRDefault="00A07F0D" w:rsidP="009E56F2">
            <w:pPr>
              <w:pStyle w:val="TableHeaderRow"/>
              <w:cnfStyle w:val="100000000000" w:firstRow="1" w:lastRow="0" w:firstColumn="0" w:lastColumn="0" w:oddVBand="0" w:evenVBand="0" w:oddHBand="0" w:evenHBand="0" w:firstRowFirstColumn="0" w:firstRowLastColumn="0" w:lastRowFirstColumn="0" w:lastRowLastColumn="0"/>
            </w:pPr>
            <w:r w:rsidRPr="002321D5">
              <w:t xml:space="preserve">Student </w:t>
            </w:r>
            <w:r>
              <w:t>Population</w:t>
            </w:r>
          </w:p>
        </w:tc>
        <w:tc>
          <w:tcPr>
            <w:tcW w:w="1339" w:type="dxa"/>
            <w:hideMark/>
          </w:tcPr>
          <w:p w14:paraId="2091CE40" w14:textId="77777777" w:rsidR="00A07F0D" w:rsidRPr="002321D5" w:rsidRDefault="00A07F0D" w:rsidP="009E56F2">
            <w:pPr>
              <w:pStyle w:val="TableHeaderRow"/>
              <w:cnfStyle w:val="100000000000" w:firstRow="1" w:lastRow="0" w:firstColumn="0" w:lastColumn="0" w:oddVBand="0" w:evenVBand="0" w:oddHBand="0" w:evenHBand="0" w:firstRowFirstColumn="0" w:firstRowLastColumn="0" w:lastRowFirstColumn="0" w:lastRowLastColumn="0"/>
            </w:pPr>
            <w:r w:rsidRPr="002321D5">
              <w:t>2017–18</w:t>
            </w:r>
          </w:p>
        </w:tc>
        <w:tc>
          <w:tcPr>
            <w:tcW w:w="1339" w:type="dxa"/>
            <w:hideMark/>
          </w:tcPr>
          <w:p w14:paraId="14A22C6B" w14:textId="77777777" w:rsidR="00A07F0D" w:rsidRPr="002321D5" w:rsidRDefault="00A07F0D" w:rsidP="009E56F2">
            <w:pPr>
              <w:pStyle w:val="TableHeaderRow"/>
              <w:cnfStyle w:val="100000000000" w:firstRow="1" w:lastRow="0" w:firstColumn="0" w:lastColumn="0" w:oddVBand="0" w:evenVBand="0" w:oddHBand="0" w:evenHBand="0" w:firstRowFirstColumn="0" w:firstRowLastColumn="0" w:lastRowFirstColumn="0" w:lastRowLastColumn="0"/>
            </w:pPr>
            <w:r w:rsidRPr="002321D5">
              <w:t>2018–19</w:t>
            </w:r>
          </w:p>
        </w:tc>
        <w:tc>
          <w:tcPr>
            <w:tcW w:w="1339" w:type="dxa"/>
            <w:hideMark/>
          </w:tcPr>
          <w:p w14:paraId="2C8EBD12" w14:textId="77777777" w:rsidR="00A07F0D" w:rsidRPr="002321D5" w:rsidRDefault="00A07F0D" w:rsidP="009E56F2">
            <w:pPr>
              <w:pStyle w:val="TableHeaderRow"/>
              <w:cnfStyle w:val="100000000000" w:firstRow="1" w:lastRow="0" w:firstColumn="0" w:lastColumn="0" w:oddVBand="0" w:evenVBand="0" w:oddHBand="0" w:evenHBand="0" w:firstRowFirstColumn="0" w:firstRowLastColumn="0" w:lastRowFirstColumn="0" w:lastRowLastColumn="0"/>
            </w:pPr>
            <w:r w:rsidRPr="002321D5">
              <w:t xml:space="preserve">2021–22 </w:t>
            </w:r>
          </w:p>
        </w:tc>
        <w:tc>
          <w:tcPr>
            <w:tcW w:w="1339" w:type="dxa"/>
          </w:tcPr>
          <w:p w14:paraId="7AF817DA" w14:textId="77777777" w:rsidR="00A07F0D" w:rsidRPr="002321D5" w:rsidRDefault="00A07F0D" w:rsidP="009E56F2">
            <w:pPr>
              <w:pStyle w:val="TableHeaderRow"/>
              <w:cnfStyle w:val="100000000000" w:firstRow="1" w:lastRow="0" w:firstColumn="0" w:lastColumn="0" w:oddVBand="0" w:evenVBand="0" w:oddHBand="0" w:evenHBand="0" w:firstRowFirstColumn="0" w:firstRowLastColumn="0" w:lastRowFirstColumn="0" w:lastRowLastColumn="0"/>
            </w:pPr>
            <w:r>
              <w:t>2022–23</w:t>
            </w:r>
          </w:p>
        </w:tc>
      </w:tr>
      <w:tr w:rsidR="00A07F0D" w:rsidRPr="002321D5" w14:paraId="7FF06207" w14:textId="77777777" w:rsidTr="00A07F0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tcPr>
          <w:p w14:paraId="221F1A1D" w14:textId="77777777" w:rsidR="00A07F0D" w:rsidRPr="00B34B78" w:rsidRDefault="00A07F0D" w:rsidP="0041205C">
            <w:pPr>
              <w:pStyle w:val="TableCategoryText"/>
            </w:pPr>
            <w:r w:rsidRPr="00B34B78">
              <w:t>All</w:t>
            </w:r>
          </w:p>
        </w:tc>
        <w:tc>
          <w:tcPr>
            <w:tcW w:w="2664" w:type="dxa"/>
            <w:shd w:val="clear" w:color="auto" w:fill="D9E2F3" w:themeFill="accent5" w:themeFillTint="33"/>
            <w:noWrap/>
          </w:tcPr>
          <w:p w14:paraId="1E399E9B" w14:textId="77777777" w:rsidR="00A07F0D" w:rsidRPr="0041205C" w:rsidRDefault="00A07F0D"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All students</w:t>
            </w:r>
          </w:p>
        </w:tc>
        <w:tc>
          <w:tcPr>
            <w:tcW w:w="1339" w:type="dxa"/>
            <w:shd w:val="clear" w:color="auto" w:fill="D9E2F3" w:themeFill="accent5" w:themeFillTint="33"/>
          </w:tcPr>
          <w:p w14:paraId="23867282" w14:textId="77777777" w:rsidR="00A07F0D" w:rsidRPr="0041205C" w:rsidRDefault="00A07F0D"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26.5%</w:t>
            </w:r>
          </w:p>
        </w:tc>
        <w:tc>
          <w:tcPr>
            <w:tcW w:w="1339" w:type="dxa"/>
            <w:shd w:val="clear" w:color="auto" w:fill="D9E2F3" w:themeFill="accent5" w:themeFillTint="33"/>
          </w:tcPr>
          <w:p w14:paraId="77E3A2AA" w14:textId="77777777" w:rsidR="00A07F0D" w:rsidRPr="0041205C" w:rsidRDefault="00A07F0D"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27.5%</w:t>
            </w:r>
          </w:p>
        </w:tc>
        <w:tc>
          <w:tcPr>
            <w:tcW w:w="1339" w:type="dxa"/>
            <w:shd w:val="clear" w:color="auto" w:fill="D9E2F3" w:themeFill="accent5" w:themeFillTint="33"/>
          </w:tcPr>
          <w:p w14:paraId="72E451DC" w14:textId="77777777" w:rsidR="00A07F0D" w:rsidRPr="0041205C" w:rsidRDefault="00A07F0D"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18.2%</w:t>
            </w:r>
          </w:p>
        </w:tc>
        <w:tc>
          <w:tcPr>
            <w:tcW w:w="1339" w:type="dxa"/>
            <w:shd w:val="clear" w:color="auto" w:fill="D9E2F3" w:themeFill="accent5" w:themeFillTint="33"/>
          </w:tcPr>
          <w:p w14:paraId="3C2559BC" w14:textId="77777777" w:rsidR="00A07F0D" w:rsidRPr="0041205C" w:rsidRDefault="00A07F0D"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19.3%</w:t>
            </w:r>
          </w:p>
        </w:tc>
      </w:tr>
      <w:tr w:rsidR="00A07F0D" w:rsidRPr="002321D5" w14:paraId="3BB61F04" w14:textId="77777777" w:rsidTr="00A07F0D">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tcPr>
          <w:p w14:paraId="43ED937D" w14:textId="77777777" w:rsidR="00A07F0D" w:rsidRPr="00B34B78" w:rsidRDefault="00A07F0D" w:rsidP="0041205C">
            <w:pPr>
              <w:pStyle w:val="TableCategoryText"/>
            </w:pPr>
            <w:r w:rsidRPr="00B34B78">
              <w:t>All</w:t>
            </w:r>
          </w:p>
        </w:tc>
        <w:tc>
          <w:tcPr>
            <w:tcW w:w="2664" w:type="dxa"/>
            <w:shd w:val="clear" w:color="auto" w:fill="D9E2F3" w:themeFill="accent5" w:themeFillTint="33"/>
            <w:noWrap/>
          </w:tcPr>
          <w:p w14:paraId="0C400073" w14:textId="77777777" w:rsidR="00A07F0D" w:rsidRPr="0041205C" w:rsidRDefault="00A07F0D"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Migratory students</w:t>
            </w:r>
          </w:p>
        </w:tc>
        <w:tc>
          <w:tcPr>
            <w:tcW w:w="1339" w:type="dxa"/>
            <w:shd w:val="clear" w:color="auto" w:fill="D9E2F3" w:themeFill="accent5" w:themeFillTint="33"/>
          </w:tcPr>
          <w:p w14:paraId="0E5DEDAF" w14:textId="77777777" w:rsidR="00A07F0D" w:rsidRPr="0041205C" w:rsidRDefault="00A07F0D"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11.2%</w:t>
            </w:r>
          </w:p>
        </w:tc>
        <w:tc>
          <w:tcPr>
            <w:tcW w:w="1339" w:type="dxa"/>
            <w:shd w:val="clear" w:color="auto" w:fill="D9E2F3" w:themeFill="accent5" w:themeFillTint="33"/>
          </w:tcPr>
          <w:p w14:paraId="44740500" w14:textId="77777777" w:rsidR="00A07F0D" w:rsidRPr="0041205C" w:rsidRDefault="00A07F0D"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12.1%</w:t>
            </w:r>
          </w:p>
        </w:tc>
        <w:tc>
          <w:tcPr>
            <w:tcW w:w="1339" w:type="dxa"/>
            <w:shd w:val="clear" w:color="auto" w:fill="D9E2F3" w:themeFill="accent5" w:themeFillTint="33"/>
          </w:tcPr>
          <w:p w14:paraId="31F0B435" w14:textId="77777777" w:rsidR="00A07F0D" w:rsidRPr="0041205C" w:rsidRDefault="00A07F0D"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5.3%</w:t>
            </w:r>
          </w:p>
        </w:tc>
        <w:tc>
          <w:tcPr>
            <w:tcW w:w="1339" w:type="dxa"/>
            <w:shd w:val="clear" w:color="auto" w:fill="D9E2F3" w:themeFill="accent5" w:themeFillTint="33"/>
          </w:tcPr>
          <w:p w14:paraId="7A3E1B9C" w14:textId="77777777" w:rsidR="00A07F0D" w:rsidRPr="0041205C" w:rsidRDefault="00A07F0D"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5.8%</w:t>
            </w:r>
          </w:p>
        </w:tc>
      </w:tr>
      <w:tr w:rsidR="00A07F0D" w:rsidRPr="002321D5" w14:paraId="460ABF64" w14:textId="77777777" w:rsidTr="00A07F0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hideMark/>
          </w:tcPr>
          <w:p w14:paraId="54D0B34B" w14:textId="77777777" w:rsidR="00A07F0D" w:rsidRPr="00B34B78" w:rsidRDefault="00A07F0D" w:rsidP="0041205C">
            <w:pPr>
              <w:pStyle w:val="TableCategoryText"/>
            </w:pPr>
            <w:r w:rsidRPr="00B34B78">
              <w:t>All</w:t>
            </w:r>
          </w:p>
        </w:tc>
        <w:tc>
          <w:tcPr>
            <w:tcW w:w="2664" w:type="dxa"/>
            <w:shd w:val="clear" w:color="auto" w:fill="D9E2F3" w:themeFill="accent5" w:themeFillTint="33"/>
            <w:noWrap/>
          </w:tcPr>
          <w:p w14:paraId="657B3217" w14:textId="77777777" w:rsidR="00A07F0D" w:rsidRPr="0041205C" w:rsidRDefault="00A07F0D"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Migratory PFS students</w:t>
            </w:r>
          </w:p>
        </w:tc>
        <w:tc>
          <w:tcPr>
            <w:tcW w:w="1339" w:type="dxa"/>
            <w:shd w:val="clear" w:color="auto" w:fill="D9E2F3" w:themeFill="accent5" w:themeFillTint="33"/>
          </w:tcPr>
          <w:p w14:paraId="423D8122" w14:textId="77777777" w:rsidR="00A07F0D" w:rsidRPr="0041205C" w:rsidRDefault="00A07F0D"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3.0%</w:t>
            </w:r>
          </w:p>
        </w:tc>
        <w:tc>
          <w:tcPr>
            <w:tcW w:w="1339" w:type="dxa"/>
            <w:shd w:val="clear" w:color="auto" w:fill="D9E2F3" w:themeFill="accent5" w:themeFillTint="33"/>
          </w:tcPr>
          <w:p w14:paraId="4C8FDAF4" w14:textId="77777777" w:rsidR="00A07F0D" w:rsidRPr="0041205C" w:rsidRDefault="00A07F0D"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3.0%</w:t>
            </w:r>
          </w:p>
        </w:tc>
        <w:tc>
          <w:tcPr>
            <w:tcW w:w="1339" w:type="dxa"/>
            <w:shd w:val="clear" w:color="auto" w:fill="D9E2F3" w:themeFill="accent5" w:themeFillTint="33"/>
          </w:tcPr>
          <w:p w14:paraId="45CFA82B" w14:textId="77777777" w:rsidR="00A07F0D" w:rsidRPr="0041205C" w:rsidRDefault="00A07F0D"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2.0%</w:t>
            </w:r>
          </w:p>
        </w:tc>
        <w:tc>
          <w:tcPr>
            <w:tcW w:w="1339" w:type="dxa"/>
            <w:shd w:val="clear" w:color="auto" w:fill="D9E2F3" w:themeFill="accent5" w:themeFillTint="33"/>
          </w:tcPr>
          <w:p w14:paraId="4A73582E" w14:textId="77777777" w:rsidR="00A07F0D" w:rsidRPr="0041205C" w:rsidRDefault="00A07F0D"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2.2%</w:t>
            </w:r>
          </w:p>
        </w:tc>
      </w:tr>
    </w:tbl>
    <w:p w14:paraId="255D41A3" w14:textId="308F8859" w:rsidR="00A07F0D" w:rsidRPr="00A07F0D" w:rsidRDefault="00A07F0D" w:rsidP="00A07F0D">
      <w:pPr>
        <w:pStyle w:val="TableorFiguresNotesSources"/>
        <w:rPr>
          <w:color w:val="auto"/>
        </w:rPr>
      </w:pPr>
      <w:r w:rsidRPr="00A07F0D">
        <w:rPr>
          <w:rFonts w:cs="Arial"/>
          <w:color w:val="auto"/>
          <w:shd w:val="clear" w:color="auto" w:fill="FFFFFF"/>
        </w:rPr>
        <w:t xml:space="preserve">Source: </w:t>
      </w:r>
      <w:r w:rsidRPr="00A07F0D">
        <w:rPr>
          <w:color w:val="auto"/>
        </w:rPr>
        <w:t xml:space="preserve">CDE CAASPP data files, SYs 2017–18, 2018–19, 2021–22, and 2022–23, and the MSIN </w:t>
      </w:r>
      <w:r w:rsidR="009E352E">
        <w:rPr>
          <w:color w:val="auto"/>
        </w:rPr>
        <w:t>d</w:t>
      </w:r>
      <w:r w:rsidRPr="00A07F0D">
        <w:rPr>
          <w:color w:val="auto"/>
        </w:rPr>
        <w:t xml:space="preserve">atabases for the MEP, 2017–18, 2018–19, 2021–22, and 2022–23 </w:t>
      </w:r>
      <w:r w:rsidRPr="00A07F0D">
        <w:rPr>
          <w:color w:val="auto"/>
        </w:rPr>
        <w:lastRenderedPageBreak/>
        <w:t>performance periods. Accessed February 2023 for SY 2017–18 through SY 2021–22 and December 2023 for SY 2022</w:t>
      </w:r>
      <w:r w:rsidRPr="00A07F0D">
        <w:rPr>
          <w:color w:val="auto"/>
          <w:szCs w:val="24"/>
        </w:rPr>
        <w:t>–</w:t>
      </w:r>
      <w:r w:rsidRPr="00A07F0D">
        <w:rPr>
          <w:color w:val="auto"/>
        </w:rPr>
        <w:t>23.</w:t>
      </w:r>
    </w:p>
    <w:p w14:paraId="61A3391D" w14:textId="77777777" w:rsidR="00D03B5F" w:rsidRPr="00E17811" w:rsidRDefault="00D03B5F" w:rsidP="007B711B">
      <w:pPr>
        <w:pStyle w:val="Heading4"/>
        <w:spacing w:after="240"/>
      </w:pPr>
      <w:bookmarkStart w:id="129" w:name="_Toc135948123"/>
      <w:bookmarkStart w:id="130" w:name="_Toc154499380"/>
      <w:r w:rsidRPr="00E17811">
        <w:t xml:space="preserve">California Assessment of Student Performance and Progress for </w:t>
      </w:r>
      <w:r w:rsidRPr="00E17811">
        <w:rPr>
          <w:rFonts w:cs="Arial"/>
        </w:rPr>
        <w:t xml:space="preserve">Mathematics </w:t>
      </w:r>
      <w:r w:rsidRPr="00E17811">
        <w:t>Problem Solving/Modeling and Data Analysis Claim</w:t>
      </w:r>
      <w:bookmarkEnd w:id="129"/>
      <w:bookmarkEnd w:id="130"/>
    </w:p>
    <w:p w14:paraId="4DD2FBC1" w14:textId="6CFBA3F3" w:rsidR="00D03B5F" w:rsidRPr="00E17811" w:rsidRDefault="00D03B5F" w:rsidP="007B711B">
      <w:pPr>
        <w:pStyle w:val="Paragraph"/>
        <w:spacing w:after="240" w:line="240" w:lineRule="auto"/>
        <w:rPr>
          <w:noProof w:val="0"/>
          <w:color w:val="auto"/>
          <w:shd w:val="clear" w:color="auto" w:fill="FFFFFF"/>
        </w:rPr>
      </w:pPr>
      <w:r w:rsidRPr="00E17811">
        <w:rPr>
          <w:color w:val="auto"/>
        </w:rPr>
        <w:t>F</w:t>
      </w:r>
      <w:r w:rsidRPr="00E17811">
        <w:rPr>
          <w:noProof w:val="0"/>
          <w:color w:val="auto"/>
        </w:rPr>
        <w:t xml:space="preserve">rom SY 2017–18 through SY 2018–19, all students and migratory students had a slight increase in the percentage of students who were </w:t>
      </w:r>
      <w:r w:rsidR="00D55EE4">
        <w:rPr>
          <w:noProof w:val="0"/>
          <w:color w:val="auto"/>
        </w:rPr>
        <w:t>above standard</w:t>
      </w:r>
      <w:r w:rsidRPr="00E17811">
        <w:rPr>
          <w:noProof w:val="0"/>
          <w:color w:val="auto"/>
        </w:rPr>
        <w:t xml:space="preserve"> for the CAASPP mathematics problem solving/modeling and data analysis claim. In SY 2021–22, all students and migratory students experienced a decline in the percentage of students who were </w:t>
      </w:r>
      <w:r w:rsidR="00D55EE4">
        <w:rPr>
          <w:noProof w:val="0"/>
          <w:color w:val="auto"/>
        </w:rPr>
        <w:t>above standard</w:t>
      </w:r>
      <w:r w:rsidRPr="00E17811">
        <w:rPr>
          <w:noProof w:val="0"/>
          <w:color w:val="auto"/>
        </w:rPr>
        <w:t xml:space="preserve">. During this same </w:t>
      </w:r>
      <w:proofErr w:type="gramStart"/>
      <w:r w:rsidRPr="00E17811">
        <w:rPr>
          <w:noProof w:val="0"/>
          <w:color w:val="auto"/>
        </w:rPr>
        <w:t>time period</w:t>
      </w:r>
      <w:proofErr w:type="gramEnd"/>
      <w:r w:rsidRPr="00E17811">
        <w:rPr>
          <w:noProof w:val="0"/>
          <w:color w:val="auto"/>
        </w:rPr>
        <w:t xml:space="preserve">, the percentage of migratory PFS students who were </w:t>
      </w:r>
      <w:r w:rsidR="00D55EE4">
        <w:rPr>
          <w:noProof w:val="0"/>
          <w:color w:val="auto"/>
        </w:rPr>
        <w:t>above standard</w:t>
      </w:r>
      <w:r w:rsidRPr="00E17811">
        <w:rPr>
          <w:noProof w:val="0"/>
          <w:color w:val="auto"/>
        </w:rPr>
        <w:t xml:space="preserve"> remained steady. In SY 2022–23, both migratory and all students experienced a slight increase in this percentage, while migratory PFS students experienced a slight decline.</w:t>
      </w:r>
    </w:p>
    <w:p w14:paraId="3210FC5F" w14:textId="77777777" w:rsidR="00D03B5F" w:rsidRPr="00E17811" w:rsidRDefault="00D03B5F" w:rsidP="007B711B">
      <w:pPr>
        <w:pStyle w:val="Heading4"/>
        <w:spacing w:after="240"/>
      </w:pPr>
      <w:r w:rsidRPr="00E17811">
        <w:t>Key Findings</w:t>
      </w:r>
    </w:p>
    <w:p w14:paraId="50AE9982" w14:textId="77777777" w:rsidR="00D03B5F" w:rsidRPr="00E17811" w:rsidRDefault="00D03B5F" w:rsidP="008B0B71">
      <w:pPr>
        <w:pStyle w:val="List-Level1"/>
        <w:spacing w:after="240" w:line="240" w:lineRule="auto"/>
        <w:ind w:left="720" w:hanging="360"/>
        <w:rPr>
          <w:color w:val="auto"/>
        </w:rPr>
      </w:pPr>
      <w:r w:rsidRPr="00E17811">
        <w:rPr>
          <w:noProof w:val="0"/>
          <w:color w:val="auto"/>
        </w:rPr>
        <w:t>By SY 2021–22, migratory PFS students had narrowed their earlier performance gap with migratory students on the CAASPP mathematics problem solving/modeling and data analysis claim</w:t>
      </w:r>
      <w:r w:rsidRPr="00E17811">
        <w:rPr>
          <w:color w:val="auto"/>
        </w:rPr>
        <w:t xml:space="preserve"> to a 2.1 percentage point difference (compared with a 5.6 percentage point difference in SY 2018–19).</w:t>
      </w:r>
    </w:p>
    <w:p w14:paraId="5543F7A0" w14:textId="68DD13D2" w:rsidR="00D03B5F" w:rsidRPr="00E17811" w:rsidRDefault="00D03B5F" w:rsidP="008B0B71">
      <w:pPr>
        <w:pStyle w:val="List-Level1"/>
        <w:spacing w:after="240" w:line="240" w:lineRule="auto"/>
        <w:ind w:left="720" w:hanging="360"/>
        <w:rPr>
          <w:color w:val="auto"/>
        </w:rPr>
      </w:pPr>
      <w:r w:rsidRPr="00E17811">
        <w:rPr>
          <w:color w:val="auto"/>
        </w:rPr>
        <w:t xml:space="preserve">In SY 2022–23, migratory PFS students were 14.7 percentage points less likely than all students to score at </w:t>
      </w:r>
      <w:r w:rsidR="00D55EE4">
        <w:rPr>
          <w:color w:val="auto"/>
        </w:rPr>
        <w:t>above standard</w:t>
      </w:r>
      <w:r w:rsidRPr="00E17811">
        <w:rPr>
          <w:color w:val="auto"/>
        </w:rPr>
        <w:t xml:space="preserve">. Migratory students overall were 11.9 percentage points less likely than all students to score at </w:t>
      </w:r>
      <w:r w:rsidR="00D55EE4">
        <w:rPr>
          <w:color w:val="auto"/>
        </w:rPr>
        <w:t>above standard</w:t>
      </w:r>
      <w:r w:rsidRPr="00E17811">
        <w:rPr>
          <w:color w:val="auto"/>
        </w:rPr>
        <w:t>.</w:t>
      </w:r>
    </w:p>
    <w:p w14:paraId="2B7FA871" w14:textId="0626FE3E" w:rsidR="00D03B5F" w:rsidRPr="00E17811" w:rsidRDefault="00D03B5F" w:rsidP="008B0B71">
      <w:pPr>
        <w:pStyle w:val="List-Level1"/>
        <w:spacing w:after="240" w:line="240" w:lineRule="auto"/>
        <w:ind w:left="720" w:hanging="360"/>
        <w:rPr>
          <w:color w:val="auto"/>
        </w:rPr>
      </w:pPr>
      <w:r w:rsidRPr="00E17811">
        <w:rPr>
          <w:color w:val="auto"/>
        </w:rPr>
        <w:t>Of all the claims, migratory PFS students had the lowest proficiency on the CAASPP mathematics and problem solving claim with only 1.6</w:t>
      </w:r>
      <w:r w:rsidR="00EA754F">
        <w:t> </w:t>
      </w:r>
      <w:r w:rsidRPr="00E17811">
        <w:rPr>
          <w:color w:val="auto"/>
        </w:rPr>
        <w:t>percent of migratory PFS students scoring at proficient in SY 2022–23.</w:t>
      </w:r>
    </w:p>
    <w:p w14:paraId="5B6DBF6E" w14:textId="150E126C" w:rsidR="00D03B5F" w:rsidRPr="00E17811" w:rsidRDefault="00CF457C" w:rsidP="007B711B">
      <w:pPr>
        <w:pStyle w:val="Paragraph-AfterList"/>
        <w:spacing w:after="240" w:line="240" w:lineRule="auto"/>
        <w:rPr>
          <w:color w:val="auto"/>
        </w:rPr>
      </w:pPr>
      <w:r>
        <w:rPr>
          <w:noProof w:val="0"/>
          <w:color w:val="auto"/>
        </w:rPr>
        <w:t>Figure 15 (and in a different format</w:t>
      </w:r>
      <w:r w:rsidR="00E532A8">
        <w:rPr>
          <w:noProof w:val="0"/>
          <w:color w:val="auto"/>
        </w:rPr>
        <w:t>,</w:t>
      </w:r>
      <w:r>
        <w:rPr>
          <w:noProof w:val="0"/>
          <w:color w:val="auto"/>
        </w:rPr>
        <w:t xml:space="preserve"> table 17)</w:t>
      </w:r>
      <w:r w:rsidR="00D03B5F" w:rsidRPr="00E17811">
        <w:rPr>
          <w:color w:val="auto"/>
        </w:rPr>
        <w:t xml:space="preserve"> shows the percentage of all students, migratory students, and migratory PFS students who scored at </w:t>
      </w:r>
      <w:r w:rsidR="00D55EE4">
        <w:rPr>
          <w:color w:val="auto"/>
        </w:rPr>
        <w:t>above standard</w:t>
      </w:r>
      <w:r w:rsidR="00D03B5F" w:rsidRPr="00E17811">
        <w:rPr>
          <w:color w:val="auto"/>
        </w:rPr>
        <w:t xml:space="preserve"> on the CAASPP </w:t>
      </w:r>
      <w:r w:rsidR="00D03B5F" w:rsidRPr="00E17811">
        <w:rPr>
          <w:noProof w:val="0"/>
          <w:color w:val="auto"/>
        </w:rPr>
        <w:t>mathematics problem solving/modeling and data analysis claim</w:t>
      </w:r>
      <w:r w:rsidR="00D03B5F" w:rsidRPr="00E17811">
        <w:rPr>
          <w:color w:val="auto"/>
        </w:rPr>
        <w:t xml:space="preserve"> over the past four assessment years.</w:t>
      </w:r>
    </w:p>
    <w:p w14:paraId="7657DB79" w14:textId="77777777" w:rsidR="00A07F0D" w:rsidRDefault="00A07F0D">
      <w:pPr>
        <w:rPr>
          <w:rFonts w:eastAsia="Times New Roman" w:cs="Arial"/>
          <w:b/>
          <w:color w:val="1F3864" w:themeColor="accent5" w:themeShade="80"/>
          <w:lang w:eastAsia="zh-CN"/>
        </w:rPr>
      </w:pPr>
      <w:r>
        <w:rPr>
          <w:color w:val="1F3864" w:themeColor="accent5" w:themeShade="80"/>
        </w:rPr>
        <w:br w:type="page"/>
      </w:r>
    </w:p>
    <w:p w14:paraId="00E2D803" w14:textId="0CBD382E" w:rsidR="00E17811" w:rsidRPr="00E532A8" w:rsidRDefault="00E532A8" w:rsidP="00792C07">
      <w:pPr>
        <w:pStyle w:val="Heading5"/>
      </w:pPr>
      <w:bookmarkStart w:id="131" w:name="_Toc188030514"/>
      <w:r w:rsidRPr="00E532A8">
        <w:lastRenderedPageBreak/>
        <w:t xml:space="preserve">Figure </w:t>
      </w:r>
      <w:fldSimple w:instr=" SEQ Figure \* ARABIC ">
        <w:r w:rsidR="00AB15FE">
          <w:rPr>
            <w:noProof/>
          </w:rPr>
          <w:t>15</w:t>
        </w:r>
      </w:fldSimple>
      <w:r w:rsidRPr="00E532A8">
        <w:t>. Percentage of All Students, Migratory Students, and Migratory Priority-for-Service Students Scoring Above Standard on the Mathematics Problem Solving/Modeling and Data Analysis Claim for All Grades, School Years 2017–18, 2018–19, 2021–22, and 2022–23</w:t>
      </w:r>
      <w:bookmarkEnd w:id="131"/>
    </w:p>
    <w:p w14:paraId="224B835E" w14:textId="77777777" w:rsidR="00D03B5F" w:rsidRDefault="00D03B5F" w:rsidP="007B711B">
      <w:pPr>
        <w:pStyle w:val="Figure"/>
      </w:pPr>
      <w:r>
        <w:drawing>
          <wp:inline distT="0" distB="0" distL="0" distR="0" wp14:anchorId="713F3442" wp14:editId="25F7B265">
            <wp:extent cx="5943600" cy="3200400"/>
            <wp:effectExtent l="0" t="0" r="0" b="0"/>
            <wp:docPr id="1577792686" name="Chart 1" descr="Figure 15 is a line graph showing percentage of students scoring at above standard on CAASPP mathematics problem solving/modeling and data analysis claim for SYs 2017–18 to 2022–23. Table 17 illustrates the same data in table format.">
              <a:extLst xmlns:a="http://schemas.openxmlformats.org/drawingml/2006/main">
                <a:ext uri="{FF2B5EF4-FFF2-40B4-BE49-F238E27FC236}">
                  <a16:creationId xmlns:a16="http://schemas.microsoft.com/office/drawing/2014/main" id="{C553E8C1-2092-B344-9E16-C0AB5B62D6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A238FDC" w14:textId="5C39B4FA" w:rsidR="00D03B5F" w:rsidRDefault="00D03B5F" w:rsidP="007B711B">
      <w:pPr>
        <w:pStyle w:val="TableorFiguresNotesSources"/>
        <w:spacing w:after="240" w:line="240" w:lineRule="auto"/>
        <w:rPr>
          <w:color w:val="auto"/>
        </w:rPr>
      </w:pPr>
      <w:r w:rsidRPr="00E17811">
        <w:rPr>
          <w:rFonts w:cs="Arial"/>
          <w:color w:val="auto"/>
          <w:shd w:val="clear" w:color="auto" w:fill="FFFFFF"/>
        </w:rPr>
        <w:t xml:space="preserve">Source: </w:t>
      </w:r>
      <w:r w:rsidRPr="00E17811">
        <w:rPr>
          <w:color w:val="auto"/>
        </w:rPr>
        <w:t xml:space="preserve">CDE CAASPP data files, SYs 2017–18, 2018–19, 2021–22, and 2022–23, and the MSIN </w:t>
      </w:r>
      <w:r w:rsidR="009E352E">
        <w:rPr>
          <w:color w:val="auto"/>
        </w:rPr>
        <w:t>databases</w:t>
      </w:r>
      <w:r w:rsidRPr="00E17811">
        <w:rPr>
          <w:color w:val="auto"/>
        </w:rPr>
        <w:t xml:space="preserve"> for the MEP, 2017–18, 2018–19, 2021–22, and 2022–23 performance periods. Accessed February 2023 for SYs 2017–18 through 2021–22 and December 2023 for SY 2022–23.</w:t>
      </w:r>
    </w:p>
    <w:p w14:paraId="71159337" w14:textId="7B07FB66" w:rsidR="00E532A8" w:rsidRPr="00E532A8" w:rsidRDefault="00E532A8" w:rsidP="00792C07">
      <w:pPr>
        <w:pStyle w:val="Heading5"/>
      </w:pPr>
      <w:bookmarkStart w:id="132" w:name="_Toc188030582"/>
      <w:r w:rsidRPr="00E532A8">
        <w:t xml:space="preserve">Table </w:t>
      </w:r>
      <w:fldSimple w:instr=" SEQ Table \* ARABIC ">
        <w:r w:rsidR="00D04DC5">
          <w:t>17</w:t>
        </w:r>
      </w:fldSimple>
      <w:r w:rsidRPr="00E532A8">
        <w:t>. Percentage of All Students, Migratory Students, and Migratory Priority-for-Service Students Scoring above standard on the Mathematics Problem Solving/Modeling and Data Analysis Claim for All Grades, School Years 2017–18, 2018–19, 2021–22, and 2022–23</w:t>
      </w:r>
      <w:bookmarkEnd w:id="132"/>
    </w:p>
    <w:tbl>
      <w:tblPr>
        <w:tblStyle w:val="ListTable3-Accent5"/>
        <w:tblW w:w="0" w:type="auto"/>
        <w:tblLayout w:type="fixed"/>
        <w:tblCellMar>
          <w:right w:w="108" w:type="dxa"/>
        </w:tblCellMar>
        <w:tblLook w:val="04A0" w:firstRow="1" w:lastRow="0" w:firstColumn="1" w:lastColumn="0" w:noHBand="0" w:noVBand="1"/>
      </w:tblPr>
      <w:tblGrid>
        <w:gridCol w:w="1339"/>
        <w:gridCol w:w="2664"/>
        <w:gridCol w:w="1339"/>
        <w:gridCol w:w="1339"/>
        <w:gridCol w:w="1339"/>
        <w:gridCol w:w="1339"/>
      </w:tblGrid>
      <w:tr w:rsidR="00A07F0D" w:rsidRPr="002321D5" w14:paraId="6F174E2C" w14:textId="77777777" w:rsidTr="009E56F2">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339" w:type="dxa"/>
            <w:hideMark/>
          </w:tcPr>
          <w:p w14:paraId="11ED0805" w14:textId="77777777" w:rsidR="00A07F0D" w:rsidRPr="002321D5" w:rsidRDefault="00A07F0D" w:rsidP="009E56F2">
            <w:pPr>
              <w:pStyle w:val="TableHeaderRow"/>
            </w:pPr>
            <w:r w:rsidRPr="002321D5">
              <w:t>Grade</w:t>
            </w:r>
          </w:p>
        </w:tc>
        <w:tc>
          <w:tcPr>
            <w:tcW w:w="2664" w:type="dxa"/>
            <w:noWrap/>
            <w:hideMark/>
          </w:tcPr>
          <w:p w14:paraId="4D59676E" w14:textId="77777777" w:rsidR="00A07F0D" w:rsidRPr="002321D5" w:rsidRDefault="00A07F0D" w:rsidP="009E56F2">
            <w:pPr>
              <w:pStyle w:val="TableHeaderRow"/>
              <w:cnfStyle w:val="100000000000" w:firstRow="1" w:lastRow="0" w:firstColumn="0" w:lastColumn="0" w:oddVBand="0" w:evenVBand="0" w:oddHBand="0" w:evenHBand="0" w:firstRowFirstColumn="0" w:firstRowLastColumn="0" w:lastRowFirstColumn="0" w:lastRowLastColumn="0"/>
            </w:pPr>
            <w:r w:rsidRPr="002321D5">
              <w:t xml:space="preserve">Student </w:t>
            </w:r>
            <w:r>
              <w:t>Population</w:t>
            </w:r>
          </w:p>
        </w:tc>
        <w:tc>
          <w:tcPr>
            <w:tcW w:w="1339" w:type="dxa"/>
            <w:hideMark/>
          </w:tcPr>
          <w:p w14:paraId="79E1C8F7" w14:textId="77777777" w:rsidR="00A07F0D" w:rsidRPr="002321D5" w:rsidRDefault="00A07F0D" w:rsidP="009E56F2">
            <w:pPr>
              <w:pStyle w:val="TableHeaderRow"/>
              <w:cnfStyle w:val="100000000000" w:firstRow="1" w:lastRow="0" w:firstColumn="0" w:lastColumn="0" w:oddVBand="0" w:evenVBand="0" w:oddHBand="0" w:evenHBand="0" w:firstRowFirstColumn="0" w:firstRowLastColumn="0" w:lastRowFirstColumn="0" w:lastRowLastColumn="0"/>
            </w:pPr>
            <w:r w:rsidRPr="002321D5">
              <w:t xml:space="preserve">2017–18 </w:t>
            </w:r>
          </w:p>
        </w:tc>
        <w:tc>
          <w:tcPr>
            <w:tcW w:w="1339" w:type="dxa"/>
            <w:hideMark/>
          </w:tcPr>
          <w:p w14:paraId="65E79C0C" w14:textId="77777777" w:rsidR="00A07F0D" w:rsidRPr="002321D5" w:rsidRDefault="00A07F0D" w:rsidP="009E56F2">
            <w:pPr>
              <w:pStyle w:val="TableHeaderRow"/>
              <w:cnfStyle w:val="100000000000" w:firstRow="1" w:lastRow="0" w:firstColumn="0" w:lastColumn="0" w:oddVBand="0" w:evenVBand="0" w:oddHBand="0" w:evenHBand="0" w:firstRowFirstColumn="0" w:firstRowLastColumn="0" w:lastRowFirstColumn="0" w:lastRowLastColumn="0"/>
            </w:pPr>
            <w:r w:rsidRPr="002321D5">
              <w:t xml:space="preserve">2018–19 </w:t>
            </w:r>
          </w:p>
        </w:tc>
        <w:tc>
          <w:tcPr>
            <w:tcW w:w="1339" w:type="dxa"/>
            <w:hideMark/>
          </w:tcPr>
          <w:p w14:paraId="015A5CFE" w14:textId="77777777" w:rsidR="00A07F0D" w:rsidRPr="002321D5" w:rsidRDefault="00A07F0D" w:rsidP="009E56F2">
            <w:pPr>
              <w:pStyle w:val="TableHeaderRow"/>
              <w:cnfStyle w:val="100000000000" w:firstRow="1" w:lastRow="0" w:firstColumn="0" w:lastColumn="0" w:oddVBand="0" w:evenVBand="0" w:oddHBand="0" w:evenHBand="0" w:firstRowFirstColumn="0" w:firstRowLastColumn="0" w:lastRowFirstColumn="0" w:lastRowLastColumn="0"/>
            </w:pPr>
            <w:r w:rsidRPr="002321D5">
              <w:t xml:space="preserve">2021–22 </w:t>
            </w:r>
          </w:p>
        </w:tc>
        <w:tc>
          <w:tcPr>
            <w:tcW w:w="1339" w:type="dxa"/>
          </w:tcPr>
          <w:p w14:paraId="02AE2D95" w14:textId="77777777" w:rsidR="00A07F0D" w:rsidRPr="002321D5" w:rsidRDefault="00A07F0D" w:rsidP="009E56F2">
            <w:pPr>
              <w:pStyle w:val="TableHeaderRow"/>
              <w:cnfStyle w:val="100000000000" w:firstRow="1" w:lastRow="0" w:firstColumn="0" w:lastColumn="0" w:oddVBand="0" w:evenVBand="0" w:oddHBand="0" w:evenHBand="0" w:firstRowFirstColumn="0" w:firstRowLastColumn="0" w:lastRowFirstColumn="0" w:lastRowLastColumn="0"/>
            </w:pPr>
            <w:r>
              <w:t>2022–23</w:t>
            </w:r>
          </w:p>
        </w:tc>
      </w:tr>
      <w:tr w:rsidR="00A07F0D" w:rsidRPr="002321D5" w14:paraId="1DF04B67" w14:textId="77777777" w:rsidTr="00BE4401">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tcPr>
          <w:p w14:paraId="6C1ED74B" w14:textId="77777777" w:rsidR="00A07F0D" w:rsidRPr="00B34B78" w:rsidRDefault="00A07F0D" w:rsidP="0041205C">
            <w:pPr>
              <w:pStyle w:val="TableCategoryText"/>
            </w:pPr>
            <w:r w:rsidRPr="00B34B78">
              <w:t>All</w:t>
            </w:r>
          </w:p>
        </w:tc>
        <w:tc>
          <w:tcPr>
            <w:tcW w:w="2664" w:type="dxa"/>
            <w:shd w:val="clear" w:color="auto" w:fill="D9E2F3" w:themeFill="accent5" w:themeFillTint="33"/>
            <w:noWrap/>
          </w:tcPr>
          <w:p w14:paraId="763639BA" w14:textId="77777777" w:rsidR="00A07F0D" w:rsidRPr="0041205C" w:rsidRDefault="00A07F0D"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All students</w:t>
            </w:r>
          </w:p>
        </w:tc>
        <w:tc>
          <w:tcPr>
            <w:tcW w:w="1339" w:type="dxa"/>
            <w:shd w:val="clear" w:color="auto" w:fill="D9E2F3" w:themeFill="accent5" w:themeFillTint="33"/>
          </w:tcPr>
          <w:p w14:paraId="19517A8D" w14:textId="77777777" w:rsidR="00A07F0D" w:rsidRPr="0041205C" w:rsidRDefault="00A07F0D"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20.7%</w:t>
            </w:r>
          </w:p>
        </w:tc>
        <w:tc>
          <w:tcPr>
            <w:tcW w:w="1339" w:type="dxa"/>
            <w:shd w:val="clear" w:color="auto" w:fill="D9E2F3" w:themeFill="accent5" w:themeFillTint="33"/>
          </w:tcPr>
          <w:p w14:paraId="65D72EF0" w14:textId="77777777" w:rsidR="00A07F0D" w:rsidRPr="0041205C" w:rsidRDefault="00A07F0D"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21.3%</w:t>
            </w:r>
          </w:p>
        </w:tc>
        <w:tc>
          <w:tcPr>
            <w:tcW w:w="1339" w:type="dxa"/>
            <w:shd w:val="clear" w:color="auto" w:fill="D9E2F3" w:themeFill="accent5" w:themeFillTint="33"/>
          </w:tcPr>
          <w:p w14:paraId="0B30A47A" w14:textId="77777777" w:rsidR="00A07F0D" w:rsidRPr="0041205C" w:rsidRDefault="00A07F0D"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15.5%</w:t>
            </w:r>
          </w:p>
        </w:tc>
        <w:tc>
          <w:tcPr>
            <w:tcW w:w="1339" w:type="dxa"/>
            <w:shd w:val="clear" w:color="auto" w:fill="D9E2F3" w:themeFill="accent5" w:themeFillTint="33"/>
          </w:tcPr>
          <w:p w14:paraId="64229663" w14:textId="77777777" w:rsidR="00A07F0D" w:rsidRPr="0041205C" w:rsidDel="004C74A7" w:rsidRDefault="00A07F0D"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16.3%</w:t>
            </w:r>
          </w:p>
        </w:tc>
      </w:tr>
      <w:tr w:rsidR="00A07F0D" w:rsidRPr="002321D5" w14:paraId="61674E5D" w14:textId="77777777" w:rsidTr="00BE4401">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tcPr>
          <w:p w14:paraId="2689766D" w14:textId="77777777" w:rsidR="00A07F0D" w:rsidRPr="00B34B78" w:rsidRDefault="00A07F0D" w:rsidP="0041205C">
            <w:pPr>
              <w:pStyle w:val="TableCategoryText"/>
            </w:pPr>
            <w:r w:rsidRPr="00B34B78">
              <w:t>All</w:t>
            </w:r>
          </w:p>
        </w:tc>
        <w:tc>
          <w:tcPr>
            <w:tcW w:w="2664" w:type="dxa"/>
            <w:shd w:val="clear" w:color="auto" w:fill="D9E2F3" w:themeFill="accent5" w:themeFillTint="33"/>
            <w:noWrap/>
          </w:tcPr>
          <w:p w14:paraId="0290FC6F" w14:textId="77777777" w:rsidR="00A07F0D" w:rsidRPr="0041205C" w:rsidRDefault="00A07F0D"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Migratory students</w:t>
            </w:r>
          </w:p>
        </w:tc>
        <w:tc>
          <w:tcPr>
            <w:tcW w:w="1339" w:type="dxa"/>
            <w:shd w:val="clear" w:color="auto" w:fill="D9E2F3" w:themeFill="accent5" w:themeFillTint="33"/>
          </w:tcPr>
          <w:p w14:paraId="0F30D0B8" w14:textId="77777777" w:rsidR="00A07F0D" w:rsidRPr="0041205C" w:rsidRDefault="00A07F0D"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7.1%</w:t>
            </w:r>
          </w:p>
        </w:tc>
        <w:tc>
          <w:tcPr>
            <w:tcW w:w="1339" w:type="dxa"/>
            <w:shd w:val="clear" w:color="auto" w:fill="D9E2F3" w:themeFill="accent5" w:themeFillTint="33"/>
          </w:tcPr>
          <w:p w14:paraId="5EC3E4A2" w14:textId="77777777" w:rsidR="00A07F0D" w:rsidRPr="0041205C" w:rsidRDefault="00A07F0D"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7.6%</w:t>
            </w:r>
          </w:p>
        </w:tc>
        <w:tc>
          <w:tcPr>
            <w:tcW w:w="1339" w:type="dxa"/>
            <w:shd w:val="clear" w:color="auto" w:fill="D9E2F3" w:themeFill="accent5" w:themeFillTint="33"/>
          </w:tcPr>
          <w:p w14:paraId="1C26F7C4" w14:textId="77777777" w:rsidR="00A07F0D" w:rsidRPr="0041205C" w:rsidRDefault="00A07F0D"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4.1%</w:t>
            </w:r>
          </w:p>
        </w:tc>
        <w:tc>
          <w:tcPr>
            <w:tcW w:w="1339" w:type="dxa"/>
            <w:shd w:val="clear" w:color="auto" w:fill="D9E2F3" w:themeFill="accent5" w:themeFillTint="33"/>
          </w:tcPr>
          <w:p w14:paraId="1DFBD6AC" w14:textId="77777777" w:rsidR="00A07F0D" w:rsidRPr="0041205C" w:rsidRDefault="00A07F0D"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4.4%</w:t>
            </w:r>
          </w:p>
        </w:tc>
      </w:tr>
      <w:tr w:rsidR="00A07F0D" w:rsidRPr="002321D5" w14:paraId="3DFE8677" w14:textId="77777777" w:rsidTr="00BE4401">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hideMark/>
          </w:tcPr>
          <w:p w14:paraId="5336235F" w14:textId="77777777" w:rsidR="00A07F0D" w:rsidRPr="00B34B78" w:rsidRDefault="00A07F0D" w:rsidP="0041205C">
            <w:pPr>
              <w:pStyle w:val="TableCategoryText"/>
            </w:pPr>
            <w:r w:rsidRPr="00B34B78">
              <w:t>All</w:t>
            </w:r>
          </w:p>
        </w:tc>
        <w:tc>
          <w:tcPr>
            <w:tcW w:w="2664" w:type="dxa"/>
            <w:shd w:val="clear" w:color="auto" w:fill="D9E2F3" w:themeFill="accent5" w:themeFillTint="33"/>
            <w:noWrap/>
          </w:tcPr>
          <w:p w14:paraId="5EF7C854" w14:textId="77777777" w:rsidR="00A07F0D" w:rsidRPr="0041205C" w:rsidRDefault="00A07F0D"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Migratory PFS students</w:t>
            </w:r>
          </w:p>
        </w:tc>
        <w:tc>
          <w:tcPr>
            <w:tcW w:w="1339" w:type="dxa"/>
            <w:shd w:val="clear" w:color="auto" w:fill="D9E2F3" w:themeFill="accent5" w:themeFillTint="33"/>
          </w:tcPr>
          <w:p w14:paraId="62CD3008" w14:textId="77777777" w:rsidR="00A07F0D" w:rsidRPr="0041205C" w:rsidRDefault="00A07F0D"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2.0%</w:t>
            </w:r>
          </w:p>
        </w:tc>
        <w:tc>
          <w:tcPr>
            <w:tcW w:w="1339" w:type="dxa"/>
            <w:shd w:val="clear" w:color="auto" w:fill="D9E2F3" w:themeFill="accent5" w:themeFillTint="33"/>
          </w:tcPr>
          <w:p w14:paraId="74B883DC" w14:textId="77777777" w:rsidR="00A07F0D" w:rsidRPr="0041205C" w:rsidRDefault="00A07F0D"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2.0%</w:t>
            </w:r>
          </w:p>
        </w:tc>
        <w:tc>
          <w:tcPr>
            <w:tcW w:w="1339" w:type="dxa"/>
            <w:shd w:val="clear" w:color="auto" w:fill="D9E2F3" w:themeFill="accent5" w:themeFillTint="33"/>
          </w:tcPr>
          <w:p w14:paraId="65A790C5" w14:textId="77777777" w:rsidR="00A07F0D" w:rsidRPr="0041205C" w:rsidRDefault="00A07F0D"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2.0%</w:t>
            </w:r>
          </w:p>
        </w:tc>
        <w:tc>
          <w:tcPr>
            <w:tcW w:w="1339" w:type="dxa"/>
            <w:shd w:val="clear" w:color="auto" w:fill="D9E2F3" w:themeFill="accent5" w:themeFillTint="33"/>
          </w:tcPr>
          <w:p w14:paraId="6869CD86" w14:textId="77777777" w:rsidR="00A07F0D" w:rsidRPr="0041205C" w:rsidRDefault="00A07F0D"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1.6%</w:t>
            </w:r>
          </w:p>
        </w:tc>
      </w:tr>
    </w:tbl>
    <w:p w14:paraId="68795593" w14:textId="6FE107B6" w:rsidR="00A07F0D" w:rsidRPr="00BE4401" w:rsidRDefault="00A07F0D" w:rsidP="00A07F0D">
      <w:pPr>
        <w:pStyle w:val="TableorFiguresNotesSources"/>
        <w:rPr>
          <w:color w:val="auto"/>
        </w:rPr>
      </w:pPr>
      <w:r w:rsidRPr="00BE4401">
        <w:rPr>
          <w:rFonts w:cs="Arial"/>
          <w:color w:val="auto"/>
          <w:shd w:val="clear" w:color="auto" w:fill="FFFFFF"/>
        </w:rPr>
        <w:t xml:space="preserve">Source: </w:t>
      </w:r>
      <w:r w:rsidRPr="00BE4401">
        <w:rPr>
          <w:color w:val="auto"/>
        </w:rPr>
        <w:t xml:space="preserve">CDE CAASPP data files, SYs 2017–18, 2018–19, 2021–22, and 2022–23, and the MSIN </w:t>
      </w:r>
      <w:r w:rsidR="009E352E">
        <w:rPr>
          <w:color w:val="auto"/>
        </w:rPr>
        <w:t>databases</w:t>
      </w:r>
      <w:r w:rsidRPr="00BE4401">
        <w:rPr>
          <w:color w:val="auto"/>
        </w:rPr>
        <w:t xml:space="preserve"> for the MEP,</w:t>
      </w:r>
      <w:r w:rsidR="003B43E6">
        <w:rPr>
          <w:color w:val="auto"/>
        </w:rPr>
        <w:t xml:space="preserve"> </w:t>
      </w:r>
      <w:r w:rsidRPr="00BE4401">
        <w:rPr>
          <w:color w:val="auto"/>
        </w:rPr>
        <w:t xml:space="preserve">2017–18, 2018–19, 2021–22, and 2022–23 </w:t>
      </w:r>
      <w:r w:rsidRPr="00BE4401">
        <w:rPr>
          <w:color w:val="auto"/>
        </w:rPr>
        <w:lastRenderedPageBreak/>
        <w:t>performance periods. Accessed February 2023 for SY 2017–18 through SY 2021–22 and December 2023 for SY 2022–23.</w:t>
      </w:r>
    </w:p>
    <w:p w14:paraId="6F9A61EB" w14:textId="77777777" w:rsidR="00D03B5F" w:rsidRPr="00E17811" w:rsidRDefault="00D03B5F" w:rsidP="007B711B">
      <w:pPr>
        <w:pStyle w:val="Heading4"/>
        <w:spacing w:after="240"/>
      </w:pPr>
      <w:bookmarkStart w:id="133" w:name="_Toc135948124"/>
      <w:bookmarkStart w:id="134" w:name="_Toc154499381"/>
      <w:r w:rsidRPr="00E17811">
        <w:t xml:space="preserve">California Assessment of Student Performance and Progress for </w:t>
      </w:r>
      <w:r w:rsidRPr="00E17811">
        <w:rPr>
          <w:rFonts w:cs="Arial"/>
        </w:rPr>
        <w:t xml:space="preserve">Mathematics </w:t>
      </w:r>
      <w:r w:rsidRPr="00E17811">
        <w:t>Communicating Reasoning Claim</w:t>
      </w:r>
      <w:bookmarkEnd w:id="133"/>
      <w:bookmarkEnd w:id="134"/>
    </w:p>
    <w:p w14:paraId="10AB6D62" w14:textId="285AAA67" w:rsidR="00D03B5F" w:rsidRPr="00E17811" w:rsidRDefault="00D03B5F" w:rsidP="007B711B">
      <w:pPr>
        <w:pStyle w:val="Paragraph"/>
        <w:spacing w:after="240" w:line="240" w:lineRule="auto"/>
        <w:rPr>
          <w:noProof w:val="0"/>
          <w:color w:val="auto"/>
        </w:rPr>
      </w:pPr>
      <w:r w:rsidRPr="00E17811">
        <w:rPr>
          <w:noProof w:val="0"/>
          <w:color w:val="auto"/>
        </w:rPr>
        <w:t xml:space="preserve">From SYs 2017–18 through 2018–19, migratory and all students had a slight increase in the percentage of students who scored </w:t>
      </w:r>
      <w:r w:rsidR="00D55EE4">
        <w:rPr>
          <w:noProof w:val="0"/>
          <w:color w:val="auto"/>
        </w:rPr>
        <w:t>above standard</w:t>
      </w:r>
      <w:r w:rsidRPr="00E17811">
        <w:rPr>
          <w:noProof w:val="0"/>
          <w:color w:val="auto"/>
        </w:rPr>
        <w:t xml:space="preserve"> on the CAASPP mathematics communicating reasoning claim. Between SYs 2018–19 and 2021–22, the percentage of migratory and all students who scored </w:t>
      </w:r>
      <w:r w:rsidR="00D55EE4">
        <w:rPr>
          <w:noProof w:val="0"/>
          <w:color w:val="auto"/>
        </w:rPr>
        <w:t>above standard</w:t>
      </w:r>
      <w:r w:rsidRPr="00E17811">
        <w:rPr>
          <w:noProof w:val="0"/>
          <w:color w:val="auto"/>
        </w:rPr>
        <w:t xml:space="preserve"> for this claim declined noticeably and then increased slightly in SY 2022–23. Over these same assessment years, the percentage of migratory PFS students who scored </w:t>
      </w:r>
      <w:r w:rsidR="00D55EE4">
        <w:rPr>
          <w:noProof w:val="0"/>
          <w:color w:val="auto"/>
        </w:rPr>
        <w:t>above standard</w:t>
      </w:r>
      <w:r w:rsidRPr="00E17811">
        <w:rPr>
          <w:noProof w:val="0"/>
          <w:color w:val="auto"/>
        </w:rPr>
        <w:t xml:space="preserve"> remained steady.</w:t>
      </w:r>
    </w:p>
    <w:p w14:paraId="1B900991" w14:textId="77777777" w:rsidR="00D03B5F" w:rsidRPr="00E17811" w:rsidRDefault="00D03B5F" w:rsidP="007B711B">
      <w:pPr>
        <w:pStyle w:val="Heading4"/>
        <w:spacing w:after="240"/>
      </w:pPr>
      <w:r w:rsidRPr="00E17811">
        <w:t>Key Findings</w:t>
      </w:r>
    </w:p>
    <w:p w14:paraId="7FCBC5A8" w14:textId="77777777" w:rsidR="00D03B5F" w:rsidRPr="00E17811" w:rsidRDefault="00D03B5F" w:rsidP="008B0B71">
      <w:pPr>
        <w:pStyle w:val="List-Level1"/>
        <w:spacing w:after="240" w:line="240" w:lineRule="auto"/>
        <w:ind w:left="720" w:hanging="360"/>
        <w:rPr>
          <w:color w:val="auto"/>
        </w:rPr>
      </w:pPr>
      <w:r w:rsidRPr="00E17811">
        <w:rPr>
          <w:noProof w:val="0"/>
          <w:color w:val="auto"/>
        </w:rPr>
        <w:t>By SY 2021–22, migratory PFS students had narrowed their earlier performance gap with migratory students on the CAASPP mathematics communicating reasoning claim</w:t>
      </w:r>
      <w:r w:rsidRPr="00E17811">
        <w:rPr>
          <w:color w:val="auto"/>
        </w:rPr>
        <w:t xml:space="preserve"> to a 1.8 percentage point difference (compared with a 6.2 percentage point difference in SY 2018–19).</w:t>
      </w:r>
    </w:p>
    <w:p w14:paraId="476AB0E5" w14:textId="6234D0CF" w:rsidR="00D03B5F" w:rsidRPr="00E17811" w:rsidRDefault="00D03B5F" w:rsidP="008B0B71">
      <w:pPr>
        <w:pStyle w:val="List-Level1"/>
        <w:spacing w:after="240" w:line="240" w:lineRule="auto"/>
        <w:ind w:left="720" w:hanging="360"/>
        <w:rPr>
          <w:color w:val="auto"/>
        </w:rPr>
      </w:pPr>
      <w:r w:rsidRPr="00E17811">
        <w:rPr>
          <w:color w:val="auto"/>
        </w:rPr>
        <w:t xml:space="preserve">In SY 2022–23, migratory PFS students were 13.5 percentage points less likely than all students to score at </w:t>
      </w:r>
      <w:r w:rsidR="00D55EE4">
        <w:rPr>
          <w:color w:val="auto"/>
        </w:rPr>
        <w:t>above standard</w:t>
      </w:r>
      <w:r w:rsidRPr="00E17811">
        <w:rPr>
          <w:color w:val="auto"/>
        </w:rPr>
        <w:t xml:space="preserve">. Migratory students overall were 11.0 percentage points less likely than all students to score at </w:t>
      </w:r>
      <w:r w:rsidR="00D55EE4">
        <w:rPr>
          <w:color w:val="auto"/>
        </w:rPr>
        <w:t>above standard</w:t>
      </w:r>
      <w:r w:rsidRPr="00E17811">
        <w:rPr>
          <w:color w:val="auto"/>
        </w:rPr>
        <w:t>.</w:t>
      </w:r>
    </w:p>
    <w:p w14:paraId="63112C90" w14:textId="40DD970F" w:rsidR="00D03B5F" w:rsidRPr="00E17811" w:rsidRDefault="00D03B5F" w:rsidP="008B0B71">
      <w:pPr>
        <w:pStyle w:val="List-Level1"/>
        <w:spacing w:after="240" w:line="240" w:lineRule="auto"/>
        <w:ind w:left="720" w:hanging="360"/>
        <w:rPr>
          <w:color w:val="auto"/>
        </w:rPr>
      </w:pPr>
      <w:r w:rsidRPr="00E17811">
        <w:rPr>
          <w:color w:val="auto"/>
        </w:rPr>
        <w:t xml:space="preserve">Equal to the CAASPP mathematics problem solving/modeling and data analysis claim, only 4.4 percent of migratory students scored </w:t>
      </w:r>
      <w:r w:rsidR="00D55EE4">
        <w:rPr>
          <w:color w:val="auto"/>
        </w:rPr>
        <w:t>above standard</w:t>
      </w:r>
      <w:r w:rsidRPr="00E17811">
        <w:rPr>
          <w:color w:val="auto"/>
        </w:rPr>
        <w:t xml:space="preserve"> on the communicating reasoning claim in SY 2022–23. Migratory PFS student group only had 1.9 percent of students scoring </w:t>
      </w:r>
      <w:r w:rsidR="00D55EE4">
        <w:rPr>
          <w:color w:val="auto"/>
        </w:rPr>
        <w:t>above standard</w:t>
      </w:r>
      <w:r w:rsidRPr="00E17811">
        <w:rPr>
          <w:color w:val="auto"/>
        </w:rPr>
        <w:t>.</w:t>
      </w:r>
    </w:p>
    <w:p w14:paraId="24E77551" w14:textId="66D32611" w:rsidR="00D03B5F" w:rsidRPr="00E17811" w:rsidRDefault="00CF457C" w:rsidP="00E17811">
      <w:pPr>
        <w:pStyle w:val="Paragraph-AfterList"/>
        <w:spacing w:after="240" w:line="240" w:lineRule="auto"/>
        <w:rPr>
          <w:color w:val="auto"/>
        </w:rPr>
      </w:pPr>
      <w:r>
        <w:rPr>
          <w:noProof w:val="0"/>
          <w:color w:val="auto"/>
        </w:rPr>
        <w:t>Figure 16</w:t>
      </w:r>
      <w:r w:rsidR="00D03B5F" w:rsidRPr="00E17811">
        <w:rPr>
          <w:color w:val="auto"/>
        </w:rPr>
        <w:t xml:space="preserve"> shows the percentage of all students, migratory students, and migratory PFS students who scored at </w:t>
      </w:r>
      <w:r w:rsidR="00D55EE4">
        <w:rPr>
          <w:color w:val="auto"/>
        </w:rPr>
        <w:t>above standard</w:t>
      </w:r>
      <w:r w:rsidR="00D03B5F" w:rsidRPr="00E17811">
        <w:rPr>
          <w:color w:val="auto"/>
        </w:rPr>
        <w:t xml:space="preserve"> on the CAASPP </w:t>
      </w:r>
      <w:r w:rsidR="00D03B5F" w:rsidRPr="00E17811">
        <w:rPr>
          <w:noProof w:val="0"/>
          <w:color w:val="auto"/>
        </w:rPr>
        <w:t>mathematics communicating</w:t>
      </w:r>
      <w:r w:rsidR="001843F2">
        <w:rPr>
          <w:noProof w:val="0"/>
          <w:color w:val="auto"/>
        </w:rPr>
        <w:t xml:space="preserve"> </w:t>
      </w:r>
      <w:r w:rsidR="00D03B5F" w:rsidRPr="00E17811">
        <w:rPr>
          <w:noProof w:val="0"/>
          <w:color w:val="auto"/>
        </w:rPr>
        <w:t>reasoning claim</w:t>
      </w:r>
      <w:r w:rsidR="00D03B5F" w:rsidRPr="00E17811">
        <w:rPr>
          <w:color w:val="auto"/>
        </w:rPr>
        <w:t xml:space="preserve"> over the past four assessment years.</w:t>
      </w:r>
      <w:r>
        <w:rPr>
          <w:color w:val="auto"/>
        </w:rPr>
        <w:t xml:space="preserve"> Table 18 exhibits the data from figure 16 in table form.</w:t>
      </w:r>
    </w:p>
    <w:p w14:paraId="32E843D9" w14:textId="77777777" w:rsidR="002D639A" w:rsidRDefault="002D639A">
      <w:pPr>
        <w:rPr>
          <w:rFonts w:eastAsia="Times New Roman" w:cs="Arial"/>
          <w:b/>
          <w:color w:val="1F3864" w:themeColor="accent5" w:themeShade="80"/>
          <w:lang w:eastAsia="zh-CN"/>
        </w:rPr>
      </w:pPr>
      <w:r>
        <w:rPr>
          <w:color w:val="1F3864" w:themeColor="accent5" w:themeShade="80"/>
        </w:rPr>
        <w:br w:type="page"/>
      </w:r>
    </w:p>
    <w:p w14:paraId="39C529E8" w14:textId="61418AB1" w:rsidR="00E17811" w:rsidRPr="00D04DC5" w:rsidRDefault="00E532A8" w:rsidP="00792C07">
      <w:pPr>
        <w:pStyle w:val="Heading5"/>
      </w:pPr>
      <w:bookmarkStart w:id="135" w:name="_Toc188030515"/>
      <w:r w:rsidRPr="00D04DC5">
        <w:lastRenderedPageBreak/>
        <w:t xml:space="preserve">Figure </w:t>
      </w:r>
      <w:fldSimple w:instr=" SEQ Figure \* ARABIC ">
        <w:r w:rsidR="00AB15FE" w:rsidRPr="00D04DC5">
          <w:rPr>
            <w:noProof/>
          </w:rPr>
          <w:t>16</w:t>
        </w:r>
      </w:fldSimple>
      <w:r w:rsidRPr="00D04DC5">
        <w:t>. Percentage of All Students, Migratory Students, and Migratory Priority-for-Service Students Scoring Above Standard on the Mathematics Communicating Reasoning Claim for All Grades, School Years 2017–18, 2018–19, 2021–22, and 2022–</w:t>
      </w:r>
      <w:r w:rsidR="00465EB5">
        <w:t> </w:t>
      </w:r>
      <w:r w:rsidRPr="00D04DC5">
        <w:t>23</w:t>
      </w:r>
      <w:bookmarkEnd w:id="135"/>
    </w:p>
    <w:p w14:paraId="4DFA5234" w14:textId="77777777" w:rsidR="00D03B5F" w:rsidRDefault="00D03B5F" w:rsidP="00CF280A">
      <w:pPr>
        <w:pStyle w:val="Figure"/>
      </w:pPr>
      <w:r>
        <w:drawing>
          <wp:inline distT="0" distB="0" distL="0" distR="0" wp14:anchorId="1B284104" wp14:editId="75EAC8F9">
            <wp:extent cx="5943600" cy="2743200"/>
            <wp:effectExtent l="0" t="0" r="0" b="0"/>
            <wp:docPr id="1428874845" name="Chart 1" descr="Figure 16 is a line graph showing the percentage of students scoring at above standard on the CAASPP mathematics communicating reasoning claim for SYs 2017–18 to 2022–23. Table 18 displays the same data in table form.">
              <a:extLst xmlns:a="http://schemas.openxmlformats.org/drawingml/2006/main">
                <a:ext uri="{FF2B5EF4-FFF2-40B4-BE49-F238E27FC236}">
                  <a16:creationId xmlns:a16="http://schemas.microsoft.com/office/drawing/2014/main" id="{DE48E5EC-FB05-FF46-A416-FAD5EF5BA0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8F50385" w14:textId="067A8ED7" w:rsidR="00D03B5F" w:rsidRDefault="00D03B5F" w:rsidP="00E17811">
      <w:pPr>
        <w:pStyle w:val="TableorFiguresNotesSources"/>
        <w:spacing w:after="240" w:line="240" w:lineRule="auto"/>
        <w:rPr>
          <w:color w:val="auto"/>
        </w:rPr>
      </w:pPr>
      <w:r w:rsidRPr="00E17811">
        <w:rPr>
          <w:rFonts w:cs="Arial"/>
          <w:color w:val="auto"/>
          <w:shd w:val="clear" w:color="auto" w:fill="FFFFFF"/>
        </w:rPr>
        <w:t xml:space="preserve">Source: </w:t>
      </w:r>
      <w:r w:rsidRPr="00E17811">
        <w:rPr>
          <w:color w:val="auto"/>
        </w:rPr>
        <w:t xml:space="preserve">CDE CAASPP data files, SYs 2017–18, 2018–19, 2021–22, and 2022–23, and the MSIN </w:t>
      </w:r>
      <w:r w:rsidR="009E352E">
        <w:rPr>
          <w:color w:val="auto"/>
        </w:rPr>
        <w:t>databases</w:t>
      </w:r>
      <w:r w:rsidRPr="00E17811">
        <w:rPr>
          <w:color w:val="auto"/>
        </w:rPr>
        <w:t xml:space="preserve"> for the MEP, 2017–18, 2018–19, 2021–22, and 2022–23 performance periods. Accessed February 2023 for SYs 2017–18 through 2021–22 and December 2023 for SY 2022–23.</w:t>
      </w:r>
    </w:p>
    <w:p w14:paraId="5418673B" w14:textId="43BFA438" w:rsidR="00E532A8" w:rsidRPr="00E532A8" w:rsidRDefault="00E532A8" w:rsidP="00792C07">
      <w:pPr>
        <w:pStyle w:val="Heading5"/>
      </w:pPr>
      <w:bookmarkStart w:id="136" w:name="_Toc188030583"/>
      <w:r w:rsidRPr="00E532A8">
        <w:t xml:space="preserve">Table </w:t>
      </w:r>
      <w:fldSimple w:instr=" SEQ Table \* ARABIC ">
        <w:r w:rsidR="00D04DC5">
          <w:t>18</w:t>
        </w:r>
      </w:fldSimple>
      <w:r w:rsidRPr="00E532A8">
        <w:t>. Percentage of All Students, Migratory Students, and Migratory Priority-for-Service Students Scoring Above Standard on the Mathematics Communicating Reasoning for All Grades, School Years 2017–18, 2018–19, 2021–22, and 2022–23</w:t>
      </w:r>
      <w:bookmarkEnd w:id="136"/>
    </w:p>
    <w:tbl>
      <w:tblPr>
        <w:tblStyle w:val="ListTable3-Accent5"/>
        <w:tblW w:w="0" w:type="auto"/>
        <w:tblLayout w:type="fixed"/>
        <w:tblCellMar>
          <w:right w:w="108" w:type="dxa"/>
        </w:tblCellMar>
        <w:tblLook w:val="04A0" w:firstRow="1" w:lastRow="0" w:firstColumn="1" w:lastColumn="0" w:noHBand="0" w:noVBand="1"/>
      </w:tblPr>
      <w:tblGrid>
        <w:gridCol w:w="1339"/>
        <w:gridCol w:w="2664"/>
        <w:gridCol w:w="1339"/>
        <w:gridCol w:w="1339"/>
        <w:gridCol w:w="1339"/>
        <w:gridCol w:w="1339"/>
      </w:tblGrid>
      <w:tr w:rsidR="00BE4401" w:rsidRPr="002321D5" w14:paraId="498FC7CA" w14:textId="77777777" w:rsidTr="009E56F2">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339" w:type="dxa"/>
            <w:hideMark/>
          </w:tcPr>
          <w:p w14:paraId="4EE588DC" w14:textId="77777777" w:rsidR="00BE4401" w:rsidRPr="002321D5" w:rsidRDefault="00BE4401" w:rsidP="009E56F2">
            <w:pPr>
              <w:pStyle w:val="TableHeaderRow"/>
            </w:pPr>
            <w:r w:rsidRPr="002321D5">
              <w:t>Grade</w:t>
            </w:r>
          </w:p>
        </w:tc>
        <w:tc>
          <w:tcPr>
            <w:tcW w:w="2664" w:type="dxa"/>
            <w:noWrap/>
            <w:hideMark/>
          </w:tcPr>
          <w:p w14:paraId="56C04992" w14:textId="77777777" w:rsidR="00BE4401" w:rsidRPr="002321D5" w:rsidRDefault="00BE4401" w:rsidP="009E56F2">
            <w:pPr>
              <w:pStyle w:val="TableHeaderRow"/>
              <w:cnfStyle w:val="100000000000" w:firstRow="1" w:lastRow="0" w:firstColumn="0" w:lastColumn="0" w:oddVBand="0" w:evenVBand="0" w:oddHBand="0" w:evenHBand="0" w:firstRowFirstColumn="0" w:firstRowLastColumn="0" w:lastRowFirstColumn="0" w:lastRowLastColumn="0"/>
            </w:pPr>
            <w:r w:rsidRPr="002321D5">
              <w:t xml:space="preserve">Student </w:t>
            </w:r>
            <w:r>
              <w:t>Population</w:t>
            </w:r>
          </w:p>
        </w:tc>
        <w:tc>
          <w:tcPr>
            <w:tcW w:w="1339" w:type="dxa"/>
            <w:hideMark/>
          </w:tcPr>
          <w:p w14:paraId="29D3443A" w14:textId="77777777" w:rsidR="00BE4401" w:rsidRPr="002321D5" w:rsidRDefault="00BE4401" w:rsidP="009E56F2">
            <w:pPr>
              <w:pStyle w:val="TableHeaderRow"/>
              <w:cnfStyle w:val="100000000000" w:firstRow="1" w:lastRow="0" w:firstColumn="0" w:lastColumn="0" w:oddVBand="0" w:evenVBand="0" w:oddHBand="0" w:evenHBand="0" w:firstRowFirstColumn="0" w:firstRowLastColumn="0" w:lastRowFirstColumn="0" w:lastRowLastColumn="0"/>
            </w:pPr>
            <w:r w:rsidRPr="002321D5">
              <w:t xml:space="preserve">2017–18 </w:t>
            </w:r>
          </w:p>
        </w:tc>
        <w:tc>
          <w:tcPr>
            <w:tcW w:w="1339" w:type="dxa"/>
            <w:hideMark/>
          </w:tcPr>
          <w:p w14:paraId="28ED24E9" w14:textId="77777777" w:rsidR="00BE4401" w:rsidRPr="002321D5" w:rsidRDefault="00BE4401" w:rsidP="009E56F2">
            <w:pPr>
              <w:pStyle w:val="TableHeaderRow"/>
              <w:cnfStyle w:val="100000000000" w:firstRow="1" w:lastRow="0" w:firstColumn="0" w:lastColumn="0" w:oddVBand="0" w:evenVBand="0" w:oddHBand="0" w:evenHBand="0" w:firstRowFirstColumn="0" w:firstRowLastColumn="0" w:lastRowFirstColumn="0" w:lastRowLastColumn="0"/>
            </w:pPr>
            <w:r w:rsidRPr="002321D5">
              <w:t xml:space="preserve">2018–19 </w:t>
            </w:r>
          </w:p>
        </w:tc>
        <w:tc>
          <w:tcPr>
            <w:tcW w:w="1339" w:type="dxa"/>
            <w:hideMark/>
          </w:tcPr>
          <w:p w14:paraId="2CADCF32" w14:textId="77777777" w:rsidR="00BE4401" w:rsidRPr="002321D5" w:rsidRDefault="00BE4401" w:rsidP="009E56F2">
            <w:pPr>
              <w:pStyle w:val="TableHeaderRow"/>
              <w:cnfStyle w:val="100000000000" w:firstRow="1" w:lastRow="0" w:firstColumn="0" w:lastColumn="0" w:oddVBand="0" w:evenVBand="0" w:oddHBand="0" w:evenHBand="0" w:firstRowFirstColumn="0" w:firstRowLastColumn="0" w:lastRowFirstColumn="0" w:lastRowLastColumn="0"/>
            </w:pPr>
            <w:r w:rsidRPr="002321D5">
              <w:t xml:space="preserve">2021–22 </w:t>
            </w:r>
          </w:p>
        </w:tc>
        <w:tc>
          <w:tcPr>
            <w:tcW w:w="1339" w:type="dxa"/>
          </w:tcPr>
          <w:p w14:paraId="22F26EC2" w14:textId="77777777" w:rsidR="00BE4401" w:rsidRPr="002321D5" w:rsidRDefault="00BE4401" w:rsidP="009E56F2">
            <w:pPr>
              <w:pStyle w:val="TableHeaderRow"/>
              <w:cnfStyle w:val="100000000000" w:firstRow="1" w:lastRow="0" w:firstColumn="0" w:lastColumn="0" w:oddVBand="0" w:evenVBand="0" w:oddHBand="0" w:evenHBand="0" w:firstRowFirstColumn="0" w:firstRowLastColumn="0" w:lastRowFirstColumn="0" w:lastRowLastColumn="0"/>
            </w:pPr>
            <w:r>
              <w:t>2022–23</w:t>
            </w:r>
          </w:p>
        </w:tc>
      </w:tr>
      <w:tr w:rsidR="00BE4401" w:rsidRPr="002321D5" w14:paraId="0DB0E809" w14:textId="77777777" w:rsidTr="00BE4401">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tcPr>
          <w:p w14:paraId="2BF07CE1" w14:textId="77777777" w:rsidR="00BE4401" w:rsidRPr="00FC1368" w:rsidRDefault="00BE4401" w:rsidP="0041205C">
            <w:pPr>
              <w:pStyle w:val="TableCategoryText"/>
            </w:pPr>
            <w:r w:rsidRPr="00FC1368">
              <w:t>All</w:t>
            </w:r>
          </w:p>
        </w:tc>
        <w:tc>
          <w:tcPr>
            <w:tcW w:w="2664" w:type="dxa"/>
            <w:shd w:val="clear" w:color="auto" w:fill="D9E2F3" w:themeFill="accent5" w:themeFillTint="33"/>
            <w:noWrap/>
          </w:tcPr>
          <w:p w14:paraId="43F39E2D" w14:textId="77777777" w:rsidR="00BE4401" w:rsidRPr="0041205C" w:rsidRDefault="00BE4401"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All students</w:t>
            </w:r>
          </w:p>
        </w:tc>
        <w:tc>
          <w:tcPr>
            <w:tcW w:w="1339" w:type="dxa"/>
            <w:shd w:val="clear" w:color="auto" w:fill="D9E2F3" w:themeFill="accent5" w:themeFillTint="33"/>
          </w:tcPr>
          <w:p w14:paraId="74080766" w14:textId="77777777" w:rsidR="00BE4401" w:rsidRPr="0041205C" w:rsidRDefault="00BE4401"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21.2%</w:t>
            </w:r>
          </w:p>
        </w:tc>
        <w:tc>
          <w:tcPr>
            <w:tcW w:w="1339" w:type="dxa"/>
            <w:shd w:val="clear" w:color="auto" w:fill="D9E2F3" w:themeFill="accent5" w:themeFillTint="33"/>
          </w:tcPr>
          <w:p w14:paraId="7310D933" w14:textId="77777777" w:rsidR="00BE4401" w:rsidRPr="0041205C" w:rsidRDefault="00BE4401"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21.5%</w:t>
            </w:r>
          </w:p>
        </w:tc>
        <w:tc>
          <w:tcPr>
            <w:tcW w:w="1339" w:type="dxa"/>
            <w:shd w:val="clear" w:color="auto" w:fill="D9E2F3" w:themeFill="accent5" w:themeFillTint="33"/>
          </w:tcPr>
          <w:p w14:paraId="68697130" w14:textId="77777777" w:rsidR="00BE4401" w:rsidRPr="0041205C" w:rsidRDefault="00BE4401"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14.8%</w:t>
            </w:r>
          </w:p>
        </w:tc>
        <w:tc>
          <w:tcPr>
            <w:tcW w:w="1339" w:type="dxa"/>
            <w:shd w:val="clear" w:color="auto" w:fill="D9E2F3" w:themeFill="accent5" w:themeFillTint="33"/>
          </w:tcPr>
          <w:p w14:paraId="30281B6D" w14:textId="77777777" w:rsidR="00BE4401" w:rsidRPr="0041205C" w:rsidRDefault="00BE4401"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15.4%</w:t>
            </w:r>
          </w:p>
        </w:tc>
      </w:tr>
      <w:tr w:rsidR="00BE4401" w:rsidRPr="002321D5" w14:paraId="063D5EAF" w14:textId="77777777" w:rsidTr="00BE4401">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hideMark/>
          </w:tcPr>
          <w:p w14:paraId="56C26707" w14:textId="77777777" w:rsidR="00BE4401" w:rsidRPr="00FC1368" w:rsidRDefault="00BE4401" w:rsidP="0041205C">
            <w:pPr>
              <w:pStyle w:val="TableCategoryText"/>
            </w:pPr>
            <w:r w:rsidRPr="00FC1368">
              <w:t>All</w:t>
            </w:r>
          </w:p>
        </w:tc>
        <w:tc>
          <w:tcPr>
            <w:tcW w:w="2664" w:type="dxa"/>
            <w:shd w:val="clear" w:color="auto" w:fill="D9E2F3" w:themeFill="accent5" w:themeFillTint="33"/>
            <w:noWrap/>
            <w:hideMark/>
          </w:tcPr>
          <w:p w14:paraId="7AF75580" w14:textId="77777777" w:rsidR="00BE4401" w:rsidRPr="0041205C" w:rsidRDefault="00BE4401"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Migratory students</w:t>
            </w:r>
          </w:p>
        </w:tc>
        <w:tc>
          <w:tcPr>
            <w:tcW w:w="1339" w:type="dxa"/>
            <w:shd w:val="clear" w:color="auto" w:fill="D9E2F3" w:themeFill="accent5" w:themeFillTint="33"/>
            <w:hideMark/>
          </w:tcPr>
          <w:p w14:paraId="7D980728" w14:textId="77777777" w:rsidR="00BE4401" w:rsidRPr="0041205C" w:rsidRDefault="00BE4401"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7.7%</w:t>
            </w:r>
          </w:p>
        </w:tc>
        <w:tc>
          <w:tcPr>
            <w:tcW w:w="1339" w:type="dxa"/>
            <w:shd w:val="clear" w:color="auto" w:fill="D9E2F3" w:themeFill="accent5" w:themeFillTint="33"/>
            <w:hideMark/>
          </w:tcPr>
          <w:p w14:paraId="4C578CE1" w14:textId="77777777" w:rsidR="00BE4401" w:rsidRPr="0041205C" w:rsidRDefault="00BE4401"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8.2%</w:t>
            </w:r>
          </w:p>
        </w:tc>
        <w:tc>
          <w:tcPr>
            <w:tcW w:w="1339" w:type="dxa"/>
            <w:shd w:val="clear" w:color="auto" w:fill="D9E2F3" w:themeFill="accent5" w:themeFillTint="33"/>
            <w:hideMark/>
          </w:tcPr>
          <w:p w14:paraId="55C47D9C" w14:textId="77777777" w:rsidR="00BE4401" w:rsidRPr="0041205C" w:rsidRDefault="00BE4401"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3.9%</w:t>
            </w:r>
          </w:p>
        </w:tc>
        <w:tc>
          <w:tcPr>
            <w:tcW w:w="1339" w:type="dxa"/>
            <w:shd w:val="clear" w:color="auto" w:fill="D9E2F3" w:themeFill="accent5" w:themeFillTint="33"/>
          </w:tcPr>
          <w:p w14:paraId="6E13BCC2" w14:textId="77777777" w:rsidR="00BE4401" w:rsidRPr="0041205C" w:rsidRDefault="00BE4401"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4.4%</w:t>
            </w:r>
          </w:p>
        </w:tc>
      </w:tr>
      <w:tr w:rsidR="00BE4401" w:rsidRPr="002321D5" w14:paraId="0A871293" w14:textId="77777777" w:rsidTr="00BE4401">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39" w:type="dxa"/>
            <w:shd w:val="clear" w:color="auto" w:fill="BDD6EE" w:themeFill="accent1" w:themeFillTint="66"/>
          </w:tcPr>
          <w:p w14:paraId="7B660AF4" w14:textId="77777777" w:rsidR="00BE4401" w:rsidRPr="00FC1368" w:rsidRDefault="00BE4401" w:rsidP="0041205C">
            <w:pPr>
              <w:pStyle w:val="TableCategoryText"/>
            </w:pPr>
            <w:r w:rsidRPr="00FC1368">
              <w:t>All</w:t>
            </w:r>
          </w:p>
        </w:tc>
        <w:tc>
          <w:tcPr>
            <w:tcW w:w="2664" w:type="dxa"/>
            <w:shd w:val="clear" w:color="auto" w:fill="D9E2F3" w:themeFill="accent5" w:themeFillTint="33"/>
            <w:noWrap/>
          </w:tcPr>
          <w:p w14:paraId="14BF395D" w14:textId="77777777" w:rsidR="00BE4401" w:rsidRPr="0041205C" w:rsidRDefault="00BE4401"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Migratory PFS students</w:t>
            </w:r>
          </w:p>
        </w:tc>
        <w:tc>
          <w:tcPr>
            <w:tcW w:w="1339" w:type="dxa"/>
            <w:shd w:val="clear" w:color="auto" w:fill="D9E2F3" w:themeFill="accent5" w:themeFillTint="33"/>
          </w:tcPr>
          <w:p w14:paraId="07086F0B" w14:textId="77777777" w:rsidR="00BE4401" w:rsidRPr="0041205C" w:rsidRDefault="00BE4401"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2.0%</w:t>
            </w:r>
          </w:p>
        </w:tc>
        <w:tc>
          <w:tcPr>
            <w:tcW w:w="1339" w:type="dxa"/>
            <w:shd w:val="clear" w:color="auto" w:fill="D9E2F3" w:themeFill="accent5" w:themeFillTint="33"/>
          </w:tcPr>
          <w:p w14:paraId="6998ACB2" w14:textId="77777777" w:rsidR="00BE4401" w:rsidRPr="0041205C" w:rsidRDefault="00BE4401"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2.0%</w:t>
            </w:r>
          </w:p>
        </w:tc>
        <w:tc>
          <w:tcPr>
            <w:tcW w:w="1339" w:type="dxa"/>
            <w:shd w:val="clear" w:color="auto" w:fill="D9E2F3" w:themeFill="accent5" w:themeFillTint="33"/>
          </w:tcPr>
          <w:p w14:paraId="21260F3E" w14:textId="77777777" w:rsidR="00BE4401" w:rsidRPr="0041205C" w:rsidRDefault="00BE4401"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2.1%</w:t>
            </w:r>
          </w:p>
        </w:tc>
        <w:tc>
          <w:tcPr>
            <w:tcW w:w="1339" w:type="dxa"/>
            <w:shd w:val="clear" w:color="auto" w:fill="D9E2F3" w:themeFill="accent5" w:themeFillTint="33"/>
          </w:tcPr>
          <w:p w14:paraId="4C238A8D" w14:textId="77777777" w:rsidR="00BE4401" w:rsidRPr="0041205C" w:rsidRDefault="00BE4401"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1.9%</w:t>
            </w:r>
          </w:p>
        </w:tc>
      </w:tr>
    </w:tbl>
    <w:p w14:paraId="7AE05296" w14:textId="12276E47" w:rsidR="00BE4401" w:rsidRPr="00BE4401" w:rsidRDefault="00BE4401" w:rsidP="00BE4401">
      <w:pPr>
        <w:pStyle w:val="TableorFiguresNotesSources"/>
        <w:rPr>
          <w:color w:val="auto"/>
        </w:rPr>
      </w:pPr>
      <w:r w:rsidRPr="00BE4401">
        <w:rPr>
          <w:rFonts w:cs="Arial"/>
          <w:color w:val="auto"/>
          <w:shd w:val="clear" w:color="auto" w:fill="FFFFFF"/>
        </w:rPr>
        <w:t xml:space="preserve">Source: </w:t>
      </w:r>
      <w:r w:rsidRPr="00BE4401">
        <w:rPr>
          <w:color w:val="auto"/>
        </w:rPr>
        <w:t xml:space="preserve">CDE CAASPP data files, SYs 2017–18, 2018–19, 2021–22, and 2022–23, and the MSIN </w:t>
      </w:r>
      <w:r w:rsidR="009E352E">
        <w:rPr>
          <w:color w:val="auto"/>
        </w:rPr>
        <w:t>databases</w:t>
      </w:r>
      <w:r w:rsidRPr="00BE4401">
        <w:rPr>
          <w:color w:val="auto"/>
        </w:rPr>
        <w:t xml:space="preserve"> for the MEP,</w:t>
      </w:r>
      <w:r w:rsidR="003B43E6">
        <w:rPr>
          <w:color w:val="auto"/>
        </w:rPr>
        <w:t xml:space="preserve"> </w:t>
      </w:r>
      <w:r w:rsidRPr="00BE4401">
        <w:rPr>
          <w:color w:val="auto"/>
        </w:rPr>
        <w:t>2017–18, 2018–19, 2021–22, and 2022–23 performance periods. Accessed February 2023 for SY 2017–18 through SY 2021–22 and December 2023 for SY 2022</w:t>
      </w:r>
      <w:r w:rsidRPr="00BE4401">
        <w:rPr>
          <w:color w:val="auto"/>
          <w:szCs w:val="24"/>
        </w:rPr>
        <w:t>–</w:t>
      </w:r>
      <w:r w:rsidRPr="00BE4401">
        <w:rPr>
          <w:color w:val="auto"/>
        </w:rPr>
        <w:t>23.</w:t>
      </w:r>
    </w:p>
    <w:p w14:paraId="4FC279E8" w14:textId="5EDA53C0" w:rsidR="000B78F2" w:rsidRPr="00E17811" w:rsidRDefault="000B78F2" w:rsidP="007B711B">
      <w:pPr>
        <w:pStyle w:val="Heading3"/>
        <w:spacing w:after="240"/>
      </w:pPr>
      <w:bookmarkStart w:id="137" w:name="_Toc188361320"/>
      <w:r w:rsidRPr="00E17811">
        <w:lastRenderedPageBreak/>
        <w:t>English Language Proficiency Assessments for California</w:t>
      </w:r>
      <w:bookmarkEnd w:id="116"/>
      <w:bookmarkEnd w:id="137"/>
    </w:p>
    <w:p w14:paraId="72CB96B7" w14:textId="7E410A6F" w:rsidR="000B78F2" w:rsidRPr="00E17811" w:rsidRDefault="000B78F2" w:rsidP="007B711B">
      <w:pPr>
        <w:pStyle w:val="Paragraph"/>
        <w:spacing w:after="240" w:line="240" w:lineRule="auto"/>
        <w:rPr>
          <w:noProof w:val="0"/>
          <w:color w:val="auto"/>
        </w:rPr>
      </w:pPr>
      <w:r w:rsidRPr="00E17811">
        <w:rPr>
          <w:noProof w:val="0"/>
          <w:color w:val="auto"/>
        </w:rPr>
        <w:t xml:space="preserve">The Summative </w:t>
      </w:r>
      <w:r w:rsidRPr="009A1ED0">
        <w:rPr>
          <w:rStyle w:val="Emphasis"/>
          <w:i w:val="0"/>
          <w:iCs w:val="0"/>
          <w:noProof w:val="0"/>
          <w:color w:val="auto"/>
        </w:rPr>
        <w:t>ELPAC</w:t>
      </w:r>
      <w:r w:rsidRPr="00341EAB">
        <w:rPr>
          <w:rStyle w:val="Emphasis"/>
          <w:i w:val="0"/>
          <w:iCs w:val="0"/>
          <w:noProof w:val="0"/>
          <w:color w:val="auto"/>
        </w:rPr>
        <w:t xml:space="preserve"> is</w:t>
      </w:r>
      <w:r w:rsidRPr="00341EAB">
        <w:rPr>
          <w:rFonts w:ascii="Helvetica Neue" w:hAnsi="Helvetica Neue"/>
          <w:i/>
          <w:iCs/>
          <w:noProof w:val="0"/>
          <w:color w:val="auto"/>
          <w:shd w:val="clear" w:color="auto" w:fill="FFFFFF"/>
        </w:rPr>
        <w:t xml:space="preserve"> </w:t>
      </w:r>
      <w:r w:rsidRPr="00E17811">
        <w:rPr>
          <w:noProof w:val="0"/>
          <w:color w:val="auto"/>
        </w:rPr>
        <w:t xml:space="preserve">the required state test to assess current EL students’ </w:t>
      </w:r>
      <w:bookmarkStart w:id="138" w:name="_Hlk159165212"/>
      <w:r w:rsidRPr="00E17811">
        <w:rPr>
          <w:noProof w:val="0"/>
          <w:color w:val="auto"/>
        </w:rPr>
        <w:t>English language proficiency</w:t>
      </w:r>
      <w:bookmarkEnd w:id="138"/>
      <w:r w:rsidRPr="00E17811">
        <w:rPr>
          <w:noProof w:val="0"/>
          <w:color w:val="auto"/>
        </w:rPr>
        <w:t xml:space="preserve">. The overall composite score of this assessment consists of scores from four domains: listening, speaking, reading, and writing. </w:t>
      </w:r>
      <w:r w:rsidR="00004735" w:rsidRPr="00004735">
        <w:rPr>
          <w:noProof w:val="0"/>
          <w:color w:val="auto"/>
        </w:rPr>
        <w:t>Students receive an Overall score that falls into one of four levels</w:t>
      </w:r>
      <w:r w:rsidR="007F3E6A">
        <w:rPr>
          <w:noProof w:val="0"/>
          <w:color w:val="auto"/>
        </w:rPr>
        <w:t xml:space="preserve"> (for more on ELPAC scoring, please visit the CDE’s </w:t>
      </w:r>
      <w:hyperlink r:id="rId37" w:history="1">
        <w:r w:rsidR="007F3E6A" w:rsidRPr="007F3E6A">
          <w:rPr>
            <w:rStyle w:val="Hyperlink"/>
            <w:noProof w:val="0"/>
          </w:rPr>
          <w:t>ELPAC Scoring Sheet</w:t>
        </w:r>
      </w:hyperlink>
      <w:r w:rsidR="007F3E6A">
        <w:rPr>
          <w:noProof w:val="0"/>
          <w:color w:val="auto"/>
        </w:rPr>
        <w:t>)</w:t>
      </w:r>
      <w:r w:rsidR="00004735" w:rsidRPr="00004735">
        <w:rPr>
          <w:noProof w:val="0"/>
          <w:color w:val="auto"/>
        </w:rPr>
        <w:t xml:space="preserve">. </w:t>
      </w:r>
      <w:r w:rsidRPr="00E17811">
        <w:rPr>
          <w:noProof w:val="0"/>
          <w:color w:val="auto"/>
        </w:rPr>
        <w:t xml:space="preserve">To be considered </w:t>
      </w:r>
      <w:r w:rsidR="007F3E6A">
        <w:rPr>
          <w:noProof w:val="0"/>
          <w:color w:val="auto"/>
        </w:rPr>
        <w:t xml:space="preserve">proficient, eligible </w:t>
      </w:r>
      <w:r w:rsidRPr="00E17811">
        <w:rPr>
          <w:noProof w:val="0"/>
          <w:color w:val="auto"/>
        </w:rPr>
        <w:t>for reclassification</w:t>
      </w:r>
      <w:r w:rsidR="007F3E6A">
        <w:rPr>
          <w:noProof w:val="0"/>
          <w:color w:val="auto"/>
        </w:rPr>
        <w:t>,</w:t>
      </w:r>
      <w:r w:rsidRPr="00E17811">
        <w:rPr>
          <w:noProof w:val="0"/>
          <w:color w:val="auto"/>
        </w:rPr>
        <w:t xml:space="preserve"> or exit from EL status, students currently identified as EL students must score at level 4 for their overall composite score.</w:t>
      </w:r>
    </w:p>
    <w:p w14:paraId="0761D7BB" w14:textId="5BD2B6DD" w:rsidR="000B78F2" w:rsidRPr="00E17811" w:rsidRDefault="000B78F2" w:rsidP="007B711B">
      <w:pPr>
        <w:pStyle w:val="Paragraph"/>
        <w:spacing w:after="240" w:line="240" w:lineRule="auto"/>
        <w:rPr>
          <w:noProof w:val="0"/>
          <w:color w:val="auto"/>
        </w:rPr>
      </w:pPr>
      <w:r w:rsidRPr="00E17811">
        <w:rPr>
          <w:noProof w:val="0"/>
          <w:color w:val="auto"/>
        </w:rPr>
        <w:t>To identify the potential needs of migratory student in English language proficiency, this profile examines differences in ELPAC performance overall and by domain for migratory PFS students, migratory students, and all students who are identified as EL students for SYs 2017–18 through 2018–19 and SYs 2020–21 through 2022–23. No ELPAC assessment data is available for SY 2019–20 because of the COVID-19 pandemic.</w:t>
      </w:r>
    </w:p>
    <w:p w14:paraId="4F9DCE1D" w14:textId="77777777" w:rsidR="000B78F2" w:rsidRPr="00CD0419" w:rsidRDefault="000B78F2" w:rsidP="007B711B">
      <w:pPr>
        <w:pStyle w:val="Heading4"/>
        <w:spacing w:after="240"/>
        <w:rPr>
          <w:rFonts w:cs="Arial"/>
        </w:rPr>
      </w:pPr>
      <w:bookmarkStart w:id="139" w:name="_Toc135948108"/>
      <w:bookmarkStart w:id="140" w:name="_Toc154499365"/>
      <w:r w:rsidRPr="00CD0419">
        <w:rPr>
          <w:rFonts w:cs="Arial"/>
        </w:rPr>
        <w:t>Overall English Language Proficiency Assessment for California Score</w:t>
      </w:r>
      <w:bookmarkEnd w:id="139"/>
      <w:bookmarkEnd w:id="140"/>
    </w:p>
    <w:p w14:paraId="73F91CAD" w14:textId="416DE911" w:rsidR="000B78F2" w:rsidRPr="00E17811" w:rsidRDefault="000B78F2" w:rsidP="007B711B">
      <w:pPr>
        <w:pStyle w:val="Paragraph"/>
        <w:spacing w:after="240" w:line="240" w:lineRule="auto"/>
        <w:rPr>
          <w:noProof w:val="0"/>
          <w:color w:val="auto"/>
        </w:rPr>
      </w:pPr>
      <w:r w:rsidRPr="00E17811">
        <w:rPr>
          <w:noProof w:val="0"/>
          <w:color w:val="auto"/>
        </w:rPr>
        <w:t>Between SYs 2017–18 and 2018–19, all three student populations experienced declines in the percentage of students scoring at level 4 for overall performance on the Summative ELPAC. The percentage of migratory students and all students scoring at level 4 continued to decline between SYs 2018–19 and 2020–21. They did not start to increase until SY 2021–22, when, over the five school years examined, the percentage of migratory PFS students scoring at level 4 increased, leading to a narrower performance gap between migratory and all students on overall performance.</w:t>
      </w:r>
    </w:p>
    <w:p w14:paraId="36CE1980" w14:textId="77777777" w:rsidR="000B78F2" w:rsidRPr="00CD0419" w:rsidRDefault="000B78F2" w:rsidP="007B711B">
      <w:pPr>
        <w:pStyle w:val="Heading4"/>
        <w:spacing w:after="240"/>
        <w:rPr>
          <w:rFonts w:cs="Arial"/>
        </w:rPr>
      </w:pPr>
      <w:r w:rsidRPr="00CD0419">
        <w:rPr>
          <w:rFonts w:cs="Arial"/>
        </w:rPr>
        <w:t>Key Findings</w:t>
      </w:r>
    </w:p>
    <w:p w14:paraId="1BB518B2" w14:textId="7B6E321B" w:rsidR="000B78F2" w:rsidRPr="00E17811" w:rsidRDefault="000B78F2" w:rsidP="008B0B71">
      <w:pPr>
        <w:pStyle w:val="List-Level1"/>
        <w:spacing w:after="240" w:line="240" w:lineRule="auto"/>
        <w:ind w:left="720" w:hanging="360"/>
        <w:rPr>
          <w:color w:val="auto"/>
        </w:rPr>
      </w:pPr>
      <w:r w:rsidRPr="00E17811">
        <w:rPr>
          <w:color w:val="auto"/>
        </w:rPr>
        <w:t>By SY 2020–21, migratory PFS students narrowed their earlier performance gap with migratory students from a difference of 13.6 percentage points in SY 2017–</w:t>
      </w:r>
      <w:r w:rsidR="00D313A0" w:rsidRPr="00E17811">
        <w:rPr>
          <w:color w:val="auto"/>
        </w:rPr>
        <w:t> </w:t>
      </w:r>
      <w:r w:rsidR="00D313A0">
        <w:rPr>
          <w:color w:val="auto"/>
        </w:rPr>
        <w:t>1</w:t>
      </w:r>
      <w:r w:rsidRPr="00E17811">
        <w:rPr>
          <w:color w:val="auto"/>
        </w:rPr>
        <w:t xml:space="preserve">8 to a difference of </w:t>
      </w:r>
      <w:r w:rsidR="00D313A0">
        <w:rPr>
          <w:color w:val="auto"/>
        </w:rPr>
        <w:t>0</w:t>
      </w:r>
      <w:r w:rsidRPr="00E17811">
        <w:rPr>
          <w:color w:val="auto"/>
        </w:rPr>
        <w:t>.4 percentage point on the overall performance of the ELPAC.</w:t>
      </w:r>
    </w:p>
    <w:p w14:paraId="0D812C4D" w14:textId="77777777" w:rsidR="000B78F2" w:rsidRPr="00E17811" w:rsidRDefault="000B78F2" w:rsidP="008B0B71">
      <w:pPr>
        <w:pStyle w:val="List-Level1"/>
        <w:spacing w:after="240" w:line="240" w:lineRule="auto"/>
        <w:ind w:left="720" w:hanging="360"/>
        <w:rPr>
          <w:color w:val="auto"/>
        </w:rPr>
      </w:pPr>
      <w:r w:rsidRPr="00E17811">
        <w:rPr>
          <w:color w:val="auto"/>
        </w:rPr>
        <w:t>In SY 2022–23, migratory PFS students were 6.7 percentage points less likely than all students to score at level 4. Migratory students overall were 4.7 percentage points less likely than all students to score at level 4.</w:t>
      </w:r>
    </w:p>
    <w:p w14:paraId="1B60E68A" w14:textId="1183E60D" w:rsidR="00E17811" w:rsidRPr="00152822" w:rsidRDefault="00CF457C" w:rsidP="00152822">
      <w:pPr>
        <w:pStyle w:val="Paragraph"/>
        <w:spacing w:after="120" w:line="240" w:lineRule="auto"/>
        <w:rPr>
          <w:noProof w:val="0"/>
          <w:color w:val="auto"/>
        </w:rPr>
      </w:pPr>
      <w:bookmarkStart w:id="141" w:name="_Toc188030516"/>
      <w:r>
        <w:rPr>
          <w:noProof w:val="0"/>
          <w:color w:val="auto"/>
        </w:rPr>
        <w:t>Figure 17 (and in a different format, table 19)</w:t>
      </w:r>
      <w:r w:rsidR="000B78F2" w:rsidRPr="00E17811">
        <w:rPr>
          <w:noProof w:val="0"/>
          <w:color w:val="auto"/>
        </w:rPr>
        <w:t xml:space="preserve"> </w:t>
      </w:r>
      <w:r>
        <w:rPr>
          <w:noProof w:val="0"/>
          <w:color w:val="auto"/>
        </w:rPr>
        <w:t>illustrates</w:t>
      </w:r>
      <w:r w:rsidR="000B78F2" w:rsidRPr="00E17811">
        <w:rPr>
          <w:noProof w:val="0"/>
          <w:color w:val="auto"/>
        </w:rPr>
        <w:t xml:space="preserve"> the percentage of all students, migratory students, and migratory PFS students who scored at level 4 for overall performance for SYs 2017–18, 2018–19, 2020–21, 2021–22, and 2022–23.</w:t>
      </w:r>
      <w:r w:rsidR="00FD0C46">
        <w:rPr>
          <w:rFonts w:cs="Arial"/>
          <w:b/>
          <w:bCs/>
          <w:color w:val="1F3864" w:themeColor="accent5" w:themeShade="80"/>
        </w:rPr>
        <w:br w:type="page"/>
      </w:r>
      <w:r w:rsidR="0036562A" w:rsidRPr="00792C07">
        <w:rPr>
          <w:rStyle w:val="Heading5Char"/>
          <w:rFonts w:eastAsiaTheme="minorEastAsia"/>
        </w:rPr>
        <w:lastRenderedPageBreak/>
        <w:t xml:space="preserve">Figure </w:t>
      </w:r>
      <w:r w:rsidR="0036562A" w:rsidRPr="00792C07">
        <w:rPr>
          <w:rStyle w:val="Heading5Char"/>
          <w:rFonts w:eastAsiaTheme="minorEastAsia"/>
        </w:rPr>
        <w:fldChar w:fldCharType="begin"/>
      </w:r>
      <w:r w:rsidR="0036562A" w:rsidRPr="00792C07">
        <w:rPr>
          <w:rStyle w:val="Heading5Char"/>
          <w:rFonts w:eastAsiaTheme="minorEastAsia"/>
        </w:rPr>
        <w:instrText xml:space="preserve"> SEQ Figure \* ARABIC </w:instrText>
      </w:r>
      <w:r w:rsidR="0036562A" w:rsidRPr="00792C07">
        <w:rPr>
          <w:rStyle w:val="Heading5Char"/>
          <w:rFonts w:eastAsiaTheme="minorEastAsia"/>
        </w:rPr>
        <w:fldChar w:fldCharType="separate"/>
      </w:r>
      <w:r w:rsidR="00AB15FE" w:rsidRPr="00792C07">
        <w:rPr>
          <w:rStyle w:val="Heading5Char"/>
          <w:rFonts w:eastAsiaTheme="minorEastAsia"/>
        </w:rPr>
        <w:t>17</w:t>
      </w:r>
      <w:r w:rsidR="0036562A" w:rsidRPr="00792C07">
        <w:rPr>
          <w:rStyle w:val="Heading5Char"/>
          <w:rFonts w:eastAsiaTheme="minorEastAsia"/>
        </w:rPr>
        <w:fldChar w:fldCharType="end"/>
      </w:r>
      <w:r w:rsidR="0036562A" w:rsidRPr="00792C07">
        <w:rPr>
          <w:rStyle w:val="Heading5Char"/>
          <w:rFonts w:eastAsiaTheme="minorEastAsia"/>
        </w:rPr>
        <w:t>. Percentage of All Students, Migratory Students, and Migratory Priority-for-Service Students Scoring at Level 4 for Overall Performance on the Summative English Language Proficiency Assessments for California for All Grades, by Student Population, School Years 2017–18, 2018–19, and 2020–21 Through 2022–23</w:t>
      </w:r>
      <w:bookmarkEnd w:id="141"/>
    </w:p>
    <w:p w14:paraId="016B1ADA" w14:textId="77777777" w:rsidR="000B78F2" w:rsidRDefault="000B78F2" w:rsidP="00CF280A">
      <w:pPr>
        <w:pStyle w:val="Figure"/>
      </w:pPr>
      <w:r w:rsidRPr="00DB7E06">
        <w:drawing>
          <wp:inline distT="0" distB="0" distL="0" distR="0" wp14:anchorId="708D98CE" wp14:editId="7D2A6E37">
            <wp:extent cx="5943600" cy="2978590"/>
            <wp:effectExtent l="0" t="0" r="0" b="12700"/>
            <wp:docPr id="1151895991" name="Chart 1" descr="Figure 17 is a line graph showing the percentage of students scoring at level 4 on the Summative ELPAC for SYs 2017–18 to 2022–23. See Table 19 for the same data in table format.">
              <a:extLst xmlns:a="http://schemas.openxmlformats.org/drawingml/2006/main">
                <a:ext uri="{FF2B5EF4-FFF2-40B4-BE49-F238E27FC236}">
                  <a16:creationId xmlns:a16="http://schemas.microsoft.com/office/drawing/2014/main" id="{561871FD-D441-1D48-BDCC-90D911D5CE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C05262E" w14:textId="0DBE5C08" w:rsidR="000B78F2" w:rsidRDefault="000B78F2" w:rsidP="00CF280A">
      <w:pPr>
        <w:spacing w:after="240"/>
      </w:pPr>
      <w:r w:rsidRPr="00C52BB4">
        <w:t xml:space="preserve">Source: CDE ELPAC data files, SYs 2017–18 through 2022–23, and the MSIN </w:t>
      </w:r>
      <w:r w:rsidR="009E352E">
        <w:t>databases</w:t>
      </w:r>
      <w:r w:rsidRPr="00C52BB4">
        <w:t xml:space="preserve"> for the MEP, 2017–18 through 2022–23 performance periods. Accessed February 2023 for SYs 2017–18 through 2021–22 and December 2023 for SY 2022–23.</w:t>
      </w:r>
    </w:p>
    <w:p w14:paraId="55BD31D1" w14:textId="3E43DD19" w:rsidR="0036562A" w:rsidRPr="0036562A" w:rsidRDefault="0036562A" w:rsidP="00792C07">
      <w:pPr>
        <w:pStyle w:val="Heading5"/>
        <w:rPr>
          <w:color w:val="002060"/>
        </w:rPr>
      </w:pPr>
      <w:bookmarkStart w:id="142" w:name="_Toc188030584"/>
      <w:r w:rsidRPr="0036562A">
        <w:t xml:space="preserve">Table </w:t>
      </w:r>
      <w:fldSimple w:instr=" SEQ Table \* ARABIC ">
        <w:r w:rsidR="00D04DC5">
          <w:t>19</w:t>
        </w:r>
      </w:fldSimple>
      <w:r w:rsidRPr="0036562A">
        <w:t>. Percentage of All Students, Migratory Students, and Migratory Priority-for-Service Students Scoring at Level 4 for Overall Performance on the Summative English Language Proficiency Assessments for California for All Grades, by Student Population, School Years 2017–18, 2018–19, and 2020–21 Through 2022–23</w:t>
      </w:r>
      <w:bookmarkEnd w:id="142"/>
    </w:p>
    <w:tbl>
      <w:tblPr>
        <w:tblStyle w:val="ListTable3-Accent5"/>
        <w:tblW w:w="9618" w:type="dxa"/>
        <w:tblLayout w:type="fixed"/>
        <w:tblCellMar>
          <w:right w:w="108" w:type="dxa"/>
        </w:tblCellMar>
        <w:tblLook w:val="04A0" w:firstRow="1" w:lastRow="0" w:firstColumn="1" w:lastColumn="0" w:noHBand="0" w:noVBand="1"/>
      </w:tblPr>
      <w:tblGrid>
        <w:gridCol w:w="1140"/>
        <w:gridCol w:w="1783"/>
        <w:gridCol w:w="1339"/>
        <w:gridCol w:w="1339"/>
        <w:gridCol w:w="1339"/>
        <w:gridCol w:w="1339"/>
        <w:gridCol w:w="1339"/>
      </w:tblGrid>
      <w:tr w:rsidR="00FD0C46" w:rsidRPr="005723F8" w14:paraId="6C42F401" w14:textId="77777777" w:rsidTr="00FD0C46">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140" w:type="dxa"/>
            <w:hideMark/>
          </w:tcPr>
          <w:p w14:paraId="30C4A790" w14:textId="77777777" w:rsidR="00FD0C46" w:rsidRPr="005723F8" w:rsidRDefault="00FD0C46" w:rsidP="009E56F2">
            <w:pPr>
              <w:pStyle w:val="TableHeaderRow"/>
            </w:pPr>
            <w:bookmarkStart w:id="143" w:name="OLE_LINK9"/>
            <w:r w:rsidRPr="005723F8">
              <w:t>Grade</w:t>
            </w:r>
          </w:p>
        </w:tc>
        <w:tc>
          <w:tcPr>
            <w:tcW w:w="1783" w:type="dxa"/>
            <w:noWrap/>
            <w:hideMark/>
          </w:tcPr>
          <w:p w14:paraId="035D1C87" w14:textId="77777777" w:rsidR="00FD0C46" w:rsidRPr="005723F8" w:rsidRDefault="00FD0C46" w:rsidP="009E56F2">
            <w:pPr>
              <w:pStyle w:val="TableHeaderRow"/>
              <w:cnfStyle w:val="100000000000" w:firstRow="1" w:lastRow="0" w:firstColumn="0" w:lastColumn="0" w:oddVBand="0" w:evenVBand="0" w:oddHBand="0" w:evenHBand="0" w:firstRowFirstColumn="0" w:firstRowLastColumn="0" w:lastRowFirstColumn="0" w:lastRowLastColumn="0"/>
            </w:pPr>
            <w:r w:rsidRPr="005723F8">
              <w:t>Student Population</w:t>
            </w:r>
          </w:p>
        </w:tc>
        <w:tc>
          <w:tcPr>
            <w:tcW w:w="1339" w:type="dxa"/>
            <w:hideMark/>
          </w:tcPr>
          <w:p w14:paraId="261C1906" w14:textId="77777777" w:rsidR="00FD0C46" w:rsidRPr="005723F8" w:rsidRDefault="00FD0C46" w:rsidP="009E56F2">
            <w:pPr>
              <w:pStyle w:val="TableHeaderRow"/>
              <w:cnfStyle w:val="100000000000" w:firstRow="1" w:lastRow="0" w:firstColumn="0" w:lastColumn="0" w:oddVBand="0" w:evenVBand="0" w:oddHBand="0" w:evenHBand="0" w:firstRowFirstColumn="0" w:firstRowLastColumn="0" w:lastRowFirstColumn="0" w:lastRowLastColumn="0"/>
            </w:pPr>
            <w:r w:rsidRPr="005723F8">
              <w:t>2017–18</w:t>
            </w:r>
          </w:p>
        </w:tc>
        <w:tc>
          <w:tcPr>
            <w:tcW w:w="1339" w:type="dxa"/>
            <w:hideMark/>
          </w:tcPr>
          <w:p w14:paraId="1EF8B494" w14:textId="77777777" w:rsidR="00FD0C46" w:rsidRPr="005723F8" w:rsidRDefault="00FD0C46" w:rsidP="009E56F2">
            <w:pPr>
              <w:pStyle w:val="TableHeaderRow"/>
              <w:cnfStyle w:val="100000000000" w:firstRow="1" w:lastRow="0" w:firstColumn="0" w:lastColumn="0" w:oddVBand="0" w:evenVBand="0" w:oddHBand="0" w:evenHBand="0" w:firstRowFirstColumn="0" w:firstRowLastColumn="0" w:lastRowFirstColumn="0" w:lastRowLastColumn="0"/>
            </w:pPr>
            <w:r w:rsidRPr="005723F8">
              <w:t>2018–19</w:t>
            </w:r>
          </w:p>
        </w:tc>
        <w:tc>
          <w:tcPr>
            <w:tcW w:w="1339" w:type="dxa"/>
            <w:hideMark/>
          </w:tcPr>
          <w:p w14:paraId="46344A7C" w14:textId="77777777" w:rsidR="00FD0C46" w:rsidRPr="005723F8" w:rsidRDefault="00FD0C46" w:rsidP="009E56F2">
            <w:pPr>
              <w:pStyle w:val="TableHeaderRow"/>
              <w:cnfStyle w:val="100000000000" w:firstRow="1" w:lastRow="0" w:firstColumn="0" w:lastColumn="0" w:oddVBand="0" w:evenVBand="0" w:oddHBand="0" w:evenHBand="0" w:firstRowFirstColumn="0" w:firstRowLastColumn="0" w:lastRowFirstColumn="0" w:lastRowLastColumn="0"/>
            </w:pPr>
            <w:r w:rsidRPr="005723F8">
              <w:t>2020–21</w:t>
            </w:r>
          </w:p>
        </w:tc>
        <w:tc>
          <w:tcPr>
            <w:tcW w:w="1339" w:type="dxa"/>
          </w:tcPr>
          <w:p w14:paraId="5F1A6424" w14:textId="77777777" w:rsidR="00FD0C46" w:rsidRPr="005723F8" w:rsidRDefault="00FD0C46" w:rsidP="009E56F2">
            <w:pPr>
              <w:pStyle w:val="TableHeaderRow"/>
              <w:cnfStyle w:val="100000000000" w:firstRow="1" w:lastRow="0" w:firstColumn="0" w:lastColumn="0" w:oddVBand="0" w:evenVBand="0" w:oddHBand="0" w:evenHBand="0" w:firstRowFirstColumn="0" w:firstRowLastColumn="0" w:lastRowFirstColumn="0" w:lastRowLastColumn="0"/>
            </w:pPr>
            <w:r w:rsidRPr="005723F8">
              <w:t>2021–22</w:t>
            </w:r>
          </w:p>
        </w:tc>
        <w:tc>
          <w:tcPr>
            <w:tcW w:w="1339" w:type="dxa"/>
          </w:tcPr>
          <w:p w14:paraId="1280A4E7" w14:textId="77777777" w:rsidR="00FD0C46" w:rsidRPr="005723F8" w:rsidRDefault="00FD0C46" w:rsidP="009E56F2">
            <w:pPr>
              <w:pStyle w:val="TableHeaderRow"/>
              <w:cnfStyle w:val="100000000000" w:firstRow="1" w:lastRow="0" w:firstColumn="0" w:lastColumn="0" w:oddVBand="0" w:evenVBand="0" w:oddHBand="0" w:evenHBand="0" w:firstRowFirstColumn="0" w:firstRowLastColumn="0" w:lastRowFirstColumn="0" w:lastRowLastColumn="0"/>
            </w:pPr>
            <w:r>
              <w:t>2022–23</w:t>
            </w:r>
          </w:p>
        </w:tc>
      </w:tr>
      <w:tr w:rsidR="00FD0C46" w:rsidRPr="005723F8" w14:paraId="7AA1EB8B" w14:textId="77777777" w:rsidTr="00E0112A">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140" w:type="dxa"/>
            <w:shd w:val="clear" w:color="auto" w:fill="BDD6EE" w:themeFill="accent1" w:themeFillTint="66"/>
            <w:hideMark/>
          </w:tcPr>
          <w:p w14:paraId="5F97AC25" w14:textId="77777777" w:rsidR="00FD0C46" w:rsidRPr="005723F8" w:rsidRDefault="00FD0C46" w:rsidP="0041205C">
            <w:pPr>
              <w:pStyle w:val="TableCategoryText"/>
            </w:pPr>
            <w:r w:rsidRPr="005723F8">
              <w:t>All</w:t>
            </w:r>
          </w:p>
        </w:tc>
        <w:tc>
          <w:tcPr>
            <w:tcW w:w="1783" w:type="dxa"/>
            <w:shd w:val="clear" w:color="auto" w:fill="D9E2F3" w:themeFill="accent5" w:themeFillTint="33"/>
            <w:noWrap/>
            <w:hideMark/>
          </w:tcPr>
          <w:p w14:paraId="58B3E2ED" w14:textId="77777777" w:rsidR="00FD0C46" w:rsidRPr="0041205C" w:rsidRDefault="00FD0C46" w:rsidP="00E0112A">
            <w:pPr>
              <w:pStyle w:val="TableBodyText"/>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All students</w:t>
            </w:r>
          </w:p>
        </w:tc>
        <w:tc>
          <w:tcPr>
            <w:tcW w:w="1339" w:type="dxa"/>
            <w:shd w:val="clear" w:color="auto" w:fill="D9E2F3" w:themeFill="accent5" w:themeFillTint="33"/>
          </w:tcPr>
          <w:p w14:paraId="081595FD" w14:textId="77777777" w:rsidR="00FD0C46" w:rsidRPr="0041205C" w:rsidRDefault="00FD0C46" w:rsidP="00E0112A">
            <w:pPr>
              <w:pStyle w:val="TableBodyText"/>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30.6%</w:t>
            </w:r>
          </w:p>
        </w:tc>
        <w:tc>
          <w:tcPr>
            <w:tcW w:w="1339" w:type="dxa"/>
            <w:shd w:val="clear" w:color="auto" w:fill="D9E2F3" w:themeFill="accent5" w:themeFillTint="33"/>
          </w:tcPr>
          <w:p w14:paraId="3F27B000" w14:textId="77777777" w:rsidR="00FD0C46" w:rsidRPr="0041205C" w:rsidRDefault="00FD0C46" w:rsidP="00E0112A">
            <w:pPr>
              <w:pStyle w:val="TableBodyText"/>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16.4%</w:t>
            </w:r>
          </w:p>
        </w:tc>
        <w:tc>
          <w:tcPr>
            <w:tcW w:w="1339" w:type="dxa"/>
            <w:shd w:val="clear" w:color="auto" w:fill="D9E2F3" w:themeFill="accent5" w:themeFillTint="33"/>
          </w:tcPr>
          <w:p w14:paraId="7097C677" w14:textId="77777777" w:rsidR="00FD0C46" w:rsidRPr="0041205C" w:rsidRDefault="00FD0C46" w:rsidP="00E0112A">
            <w:pPr>
              <w:pStyle w:val="TableBodyText"/>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14.0%</w:t>
            </w:r>
          </w:p>
        </w:tc>
        <w:tc>
          <w:tcPr>
            <w:tcW w:w="1339" w:type="dxa"/>
            <w:shd w:val="clear" w:color="auto" w:fill="D9E2F3" w:themeFill="accent5" w:themeFillTint="33"/>
          </w:tcPr>
          <w:p w14:paraId="09A5B49A" w14:textId="77777777" w:rsidR="00FD0C46" w:rsidRPr="0041205C" w:rsidRDefault="00FD0C46" w:rsidP="00E0112A">
            <w:pPr>
              <w:pStyle w:val="TableBodyText"/>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15.6%</w:t>
            </w:r>
          </w:p>
        </w:tc>
        <w:tc>
          <w:tcPr>
            <w:tcW w:w="1339" w:type="dxa"/>
            <w:shd w:val="clear" w:color="auto" w:fill="D9E2F3" w:themeFill="accent5" w:themeFillTint="33"/>
          </w:tcPr>
          <w:p w14:paraId="350E24AE" w14:textId="77777777" w:rsidR="00FD0C46" w:rsidRPr="0041205C" w:rsidRDefault="00FD0C46" w:rsidP="00E0112A">
            <w:pPr>
              <w:pStyle w:val="TableBodyText"/>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16.5%</w:t>
            </w:r>
          </w:p>
        </w:tc>
      </w:tr>
      <w:tr w:rsidR="00FD0C46" w:rsidRPr="005723F8" w14:paraId="5A4485C7" w14:textId="77777777" w:rsidTr="00E0112A">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140" w:type="dxa"/>
            <w:shd w:val="clear" w:color="auto" w:fill="BDD6EE" w:themeFill="accent1" w:themeFillTint="66"/>
            <w:hideMark/>
          </w:tcPr>
          <w:p w14:paraId="30D62683" w14:textId="77777777" w:rsidR="00FD0C46" w:rsidRPr="005723F8" w:rsidRDefault="00FD0C46" w:rsidP="0041205C">
            <w:pPr>
              <w:pStyle w:val="TableCategoryText"/>
            </w:pPr>
            <w:r w:rsidRPr="005723F8">
              <w:t>All</w:t>
            </w:r>
          </w:p>
        </w:tc>
        <w:tc>
          <w:tcPr>
            <w:tcW w:w="1783" w:type="dxa"/>
            <w:shd w:val="clear" w:color="auto" w:fill="D9E2F3" w:themeFill="accent5" w:themeFillTint="33"/>
            <w:noWrap/>
            <w:hideMark/>
          </w:tcPr>
          <w:p w14:paraId="2290428A" w14:textId="77777777" w:rsidR="00FD0C46" w:rsidRPr="0041205C" w:rsidRDefault="00FD0C46" w:rsidP="00E0112A">
            <w:pPr>
              <w:pStyle w:val="TableBodyText"/>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Migratory students</w:t>
            </w:r>
          </w:p>
        </w:tc>
        <w:tc>
          <w:tcPr>
            <w:tcW w:w="1339" w:type="dxa"/>
            <w:shd w:val="clear" w:color="auto" w:fill="D9E2F3" w:themeFill="accent5" w:themeFillTint="33"/>
          </w:tcPr>
          <w:p w14:paraId="13555E89" w14:textId="77777777" w:rsidR="00FD0C46" w:rsidRPr="0041205C" w:rsidRDefault="00FD0C46" w:rsidP="00E0112A">
            <w:pPr>
              <w:pStyle w:val="TableBodyText"/>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21.6%</w:t>
            </w:r>
          </w:p>
        </w:tc>
        <w:tc>
          <w:tcPr>
            <w:tcW w:w="1339" w:type="dxa"/>
            <w:shd w:val="clear" w:color="auto" w:fill="D9E2F3" w:themeFill="accent5" w:themeFillTint="33"/>
          </w:tcPr>
          <w:p w14:paraId="4D185C4D" w14:textId="77777777" w:rsidR="00FD0C46" w:rsidRPr="0041205C" w:rsidRDefault="00FD0C46" w:rsidP="00E0112A">
            <w:pPr>
              <w:pStyle w:val="TableBodyText"/>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11.5%</w:t>
            </w:r>
          </w:p>
        </w:tc>
        <w:tc>
          <w:tcPr>
            <w:tcW w:w="1339" w:type="dxa"/>
            <w:shd w:val="clear" w:color="auto" w:fill="D9E2F3" w:themeFill="accent5" w:themeFillTint="33"/>
          </w:tcPr>
          <w:p w14:paraId="3A99C818" w14:textId="77777777" w:rsidR="00FD0C46" w:rsidRPr="0041205C" w:rsidRDefault="00FD0C46" w:rsidP="00E0112A">
            <w:pPr>
              <w:pStyle w:val="TableBodyText"/>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8.4%</w:t>
            </w:r>
          </w:p>
        </w:tc>
        <w:tc>
          <w:tcPr>
            <w:tcW w:w="1339" w:type="dxa"/>
            <w:shd w:val="clear" w:color="auto" w:fill="D9E2F3" w:themeFill="accent5" w:themeFillTint="33"/>
          </w:tcPr>
          <w:p w14:paraId="389E1D8E" w14:textId="77777777" w:rsidR="00FD0C46" w:rsidRPr="0041205C" w:rsidRDefault="00FD0C46" w:rsidP="00E0112A">
            <w:pPr>
              <w:pStyle w:val="TableBodyText"/>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10.5%</w:t>
            </w:r>
          </w:p>
        </w:tc>
        <w:tc>
          <w:tcPr>
            <w:tcW w:w="1339" w:type="dxa"/>
            <w:shd w:val="clear" w:color="auto" w:fill="D9E2F3" w:themeFill="accent5" w:themeFillTint="33"/>
          </w:tcPr>
          <w:p w14:paraId="24E0AC73" w14:textId="77777777" w:rsidR="00FD0C46" w:rsidRPr="0041205C" w:rsidRDefault="00FD0C46" w:rsidP="00E0112A">
            <w:pPr>
              <w:pStyle w:val="TableBodyText"/>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11.8%</w:t>
            </w:r>
          </w:p>
        </w:tc>
      </w:tr>
      <w:tr w:rsidR="00FD0C46" w:rsidRPr="005723F8" w14:paraId="00E1EBD3" w14:textId="77777777" w:rsidTr="00E0112A">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140" w:type="dxa"/>
            <w:shd w:val="clear" w:color="auto" w:fill="BDD6EE" w:themeFill="accent1" w:themeFillTint="66"/>
            <w:hideMark/>
          </w:tcPr>
          <w:p w14:paraId="11CD0082" w14:textId="77777777" w:rsidR="00FD0C46" w:rsidRPr="005723F8" w:rsidRDefault="00FD0C46" w:rsidP="0041205C">
            <w:pPr>
              <w:pStyle w:val="TableCategoryText"/>
            </w:pPr>
            <w:r w:rsidRPr="005723F8">
              <w:t>All</w:t>
            </w:r>
          </w:p>
        </w:tc>
        <w:tc>
          <w:tcPr>
            <w:tcW w:w="1783" w:type="dxa"/>
            <w:shd w:val="clear" w:color="auto" w:fill="D9E2F3" w:themeFill="accent5" w:themeFillTint="33"/>
            <w:noWrap/>
            <w:hideMark/>
          </w:tcPr>
          <w:p w14:paraId="00992D35" w14:textId="77777777" w:rsidR="00FD0C46" w:rsidRPr="0041205C" w:rsidRDefault="00FD0C46" w:rsidP="00E0112A">
            <w:pPr>
              <w:pStyle w:val="TableBodyText"/>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Migratory PFS students</w:t>
            </w:r>
          </w:p>
        </w:tc>
        <w:tc>
          <w:tcPr>
            <w:tcW w:w="1339" w:type="dxa"/>
            <w:shd w:val="clear" w:color="auto" w:fill="D9E2F3" w:themeFill="accent5" w:themeFillTint="33"/>
          </w:tcPr>
          <w:p w14:paraId="0F6803A7" w14:textId="77777777" w:rsidR="00FD0C46" w:rsidRPr="0041205C" w:rsidRDefault="00FD0C46" w:rsidP="00E0112A">
            <w:pPr>
              <w:pStyle w:val="TableBodyText"/>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8.0%</w:t>
            </w:r>
          </w:p>
        </w:tc>
        <w:tc>
          <w:tcPr>
            <w:tcW w:w="1339" w:type="dxa"/>
            <w:shd w:val="clear" w:color="auto" w:fill="D9E2F3" w:themeFill="accent5" w:themeFillTint="33"/>
          </w:tcPr>
          <w:p w14:paraId="2460D664" w14:textId="77777777" w:rsidR="00FD0C46" w:rsidRPr="0041205C" w:rsidRDefault="00FD0C46" w:rsidP="00E0112A">
            <w:pPr>
              <w:pStyle w:val="TableBodyText"/>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5.0%</w:t>
            </w:r>
          </w:p>
        </w:tc>
        <w:tc>
          <w:tcPr>
            <w:tcW w:w="1339" w:type="dxa"/>
            <w:shd w:val="clear" w:color="auto" w:fill="D9E2F3" w:themeFill="accent5" w:themeFillTint="33"/>
          </w:tcPr>
          <w:p w14:paraId="320D8C90" w14:textId="77777777" w:rsidR="00FD0C46" w:rsidRPr="0041205C" w:rsidRDefault="00FD0C46" w:rsidP="00E0112A">
            <w:pPr>
              <w:pStyle w:val="TableBodyText"/>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8.0%</w:t>
            </w:r>
          </w:p>
        </w:tc>
        <w:tc>
          <w:tcPr>
            <w:tcW w:w="1339" w:type="dxa"/>
            <w:shd w:val="clear" w:color="auto" w:fill="D9E2F3" w:themeFill="accent5" w:themeFillTint="33"/>
          </w:tcPr>
          <w:p w14:paraId="4CD6446B" w14:textId="77777777" w:rsidR="00FD0C46" w:rsidRPr="0041205C" w:rsidRDefault="00FD0C46" w:rsidP="00E0112A">
            <w:pPr>
              <w:pStyle w:val="TableBodyText"/>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9.0%</w:t>
            </w:r>
          </w:p>
        </w:tc>
        <w:tc>
          <w:tcPr>
            <w:tcW w:w="1339" w:type="dxa"/>
            <w:shd w:val="clear" w:color="auto" w:fill="D9E2F3" w:themeFill="accent5" w:themeFillTint="33"/>
          </w:tcPr>
          <w:p w14:paraId="530BA5BB" w14:textId="77777777" w:rsidR="00FD0C46" w:rsidRPr="0041205C" w:rsidRDefault="00FD0C46" w:rsidP="00E0112A">
            <w:pPr>
              <w:pStyle w:val="TableBodyText"/>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9.8%</w:t>
            </w:r>
          </w:p>
        </w:tc>
      </w:tr>
    </w:tbl>
    <w:bookmarkEnd w:id="143"/>
    <w:p w14:paraId="7620BEE9" w14:textId="04DF3F47" w:rsidR="00FD0C46" w:rsidRPr="00FD0C46" w:rsidRDefault="00FD0C46" w:rsidP="00FD0C46">
      <w:pPr>
        <w:pStyle w:val="TableorFiguresNotesSources"/>
        <w:rPr>
          <w:color w:val="auto"/>
        </w:rPr>
      </w:pPr>
      <w:r w:rsidRPr="00FD0C46">
        <w:rPr>
          <w:color w:val="auto"/>
        </w:rPr>
        <w:lastRenderedPageBreak/>
        <w:t xml:space="preserve">Source: CDE ELPAC data files, SY 2017–18 through SY 2022–23, and the MSIN </w:t>
      </w:r>
      <w:r w:rsidR="009E352E">
        <w:rPr>
          <w:color w:val="auto"/>
        </w:rPr>
        <w:t>databases</w:t>
      </w:r>
      <w:r w:rsidRPr="00FD0C46">
        <w:rPr>
          <w:color w:val="auto"/>
        </w:rPr>
        <w:t xml:space="preserve"> for the MEP,</w:t>
      </w:r>
      <w:r w:rsidR="003B43E6">
        <w:rPr>
          <w:color w:val="auto"/>
        </w:rPr>
        <w:t xml:space="preserve"> </w:t>
      </w:r>
      <w:r w:rsidRPr="00FD0C46">
        <w:rPr>
          <w:color w:val="auto"/>
        </w:rPr>
        <w:t>2017–18 through 2022–23 performance periods. Accessed February 2023 for SY 2017–18 through SY 2021–22 and December 2023 for SY 2022–</w:t>
      </w:r>
      <w:r w:rsidR="00E0112A">
        <w:rPr>
          <w:color w:val="auto"/>
        </w:rPr>
        <w:t> </w:t>
      </w:r>
      <w:r w:rsidRPr="00FD0C46">
        <w:rPr>
          <w:color w:val="auto"/>
        </w:rPr>
        <w:t>23.</w:t>
      </w:r>
    </w:p>
    <w:p w14:paraId="1D4CE919" w14:textId="6769E6BF" w:rsidR="00605C16" w:rsidRDefault="00605C16" w:rsidP="007B711B">
      <w:pPr>
        <w:pStyle w:val="Heading3"/>
        <w:spacing w:after="240"/>
      </w:pPr>
      <w:bookmarkStart w:id="144" w:name="_Toc188361321"/>
      <w:r w:rsidRPr="002F0E3F">
        <w:t>High School Graduation and Dropout</w:t>
      </w:r>
      <w:bookmarkEnd w:id="117"/>
      <w:bookmarkEnd w:id="118"/>
      <w:bookmarkEnd w:id="144"/>
    </w:p>
    <w:p w14:paraId="21E10AC1" w14:textId="5C37EED7" w:rsidR="00D304C4" w:rsidRPr="00D304C4" w:rsidRDefault="00D304C4" w:rsidP="00D304C4">
      <w:pPr>
        <w:pStyle w:val="Heading4"/>
      </w:pPr>
      <w:r>
        <w:t>High School Graduation and Dropout Rates</w:t>
      </w:r>
    </w:p>
    <w:p w14:paraId="2A973468" w14:textId="7C118085" w:rsidR="00605C16" w:rsidRDefault="001641C5" w:rsidP="007B711B">
      <w:pPr>
        <w:spacing w:after="240"/>
        <w:rPr>
          <w:rFonts w:cs="Arial"/>
        </w:rPr>
      </w:pPr>
      <w:r>
        <w:rPr>
          <w:rFonts w:cs="Arial"/>
        </w:rPr>
        <w:t xml:space="preserve">Although the COVID-19 pandemic </w:t>
      </w:r>
      <w:r w:rsidR="00261754">
        <w:rPr>
          <w:rFonts w:cs="Arial"/>
        </w:rPr>
        <w:t xml:space="preserve">increased </w:t>
      </w:r>
      <w:r>
        <w:rPr>
          <w:rFonts w:cs="Arial"/>
        </w:rPr>
        <w:t>conseq</w:t>
      </w:r>
      <w:r w:rsidRPr="00D313A0">
        <w:rPr>
          <w:rFonts w:cs="Arial"/>
        </w:rPr>
        <w:t xml:space="preserve">uences </w:t>
      </w:r>
      <w:r w:rsidR="00261754" w:rsidRPr="00D313A0">
        <w:rPr>
          <w:rFonts w:cs="Arial"/>
        </w:rPr>
        <w:t xml:space="preserve">for </w:t>
      </w:r>
      <w:r w:rsidRPr="00D313A0">
        <w:rPr>
          <w:rFonts w:cs="Arial"/>
        </w:rPr>
        <w:t xml:space="preserve">student populations who were disproportionately affected by virtual learning, the graduation and dropout rate gaps </w:t>
      </w:r>
      <w:r w:rsidR="00D313A0" w:rsidRPr="00D313A0">
        <w:rPr>
          <w:rFonts w:cs="Arial"/>
        </w:rPr>
        <w:t xml:space="preserve">between migratory and all students </w:t>
      </w:r>
      <w:r w:rsidRPr="00D313A0">
        <w:rPr>
          <w:rFonts w:cs="Arial"/>
        </w:rPr>
        <w:t xml:space="preserve">increased </w:t>
      </w:r>
      <w:r w:rsidR="00D313A0" w:rsidRPr="00D313A0">
        <w:rPr>
          <w:rFonts w:cs="Arial"/>
        </w:rPr>
        <w:t xml:space="preserve">only </w:t>
      </w:r>
      <w:r w:rsidRPr="00D313A0">
        <w:rPr>
          <w:rFonts w:cs="Arial"/>
        </w:rPr>
        <w:t>minimally.</w:t>
      </w:r>
      <w:r>
        <w:rPr>
          <w:rFonts w:cs="Arial"/>
        </w:rPr>
        <w:t xml:space="preserve"> For this focus area, t</w:t>
      </w:r>
      <w:r w:rsidR="00940EE4" w:rsidRPr="002F0E3F">
        <w:rPr>
          <w:rFonts w:cs="Arial"/>
        </w:rPr>
        <w:t xml:space="preserve">he </w:t>
      </w:r>
      <w:r w:rsidR="00D304C4">
        <w:rPr>
          <w:rFonts w:cs="Arial"/>
        </w:rPr>
        <w:t>CDE</w:t>
      </w:r>
      <w:r w:rsidR="00940EE4" w:rsidRPr="002F0E3F">
        <w:rPr>
          <w:rFonts w:cs="Arial"/>
        </w:rPr>
        <w:t xml:space="preserve"> reviewed </w:t>
      </w:r>
      <w:r w:rsidR="00D304C4">
        <w:rPr>
          <w:rFonts w:cs="Arial"/>
        </w:rPr>
        <w:t xml:space="preserve">the longitudinal data for the </w:t>
      </w:r>
      <w:r w:rsidR="00940EE4" w:rsidRPr="002F0E3F">
        <w:rPr>
          <w:rFonts w:cs="Arial"/>
        </w:rPr>
        <w:t xml:space="preserve">four-year adjusted cohort graduation and dropout </w:t>
      </w:r>
      <w:r w:rsidR="00D304C4">
        <w:rPr>
          <w:rFonts w:cs="Arial"/>
        </w:rPr>
        <w:t xml:space="preserve">outcome </w:t>
      </w:r>
      <w:r w:rsidR="00940EE4" w:rsidRPr="002F0E3F">
        <w:rPr>
          <w:rFonts w:cs="Arial"/>
        </w:rPr>
        <w:t xml:space="preserve">data </w:t>
      </w:r>
      <w:r w:rsidR="00D304C4">
        <w:rPr>
          <w:rFonts w:cs="Arial"/>
        </w:rPr>
        <w:t>from DataQuest</w:t>
      </w:r>
      <w:r w:rsidR="00940EE4" w:rsidRPr="002F0E3F">
        <w:rPr>
          <w:rFonts w:cs="Arial"/>
        </w:rPr>
        <w:t xml:space="preserve">. </w:t>
      </w:r>
      <w:r w:rsidR="00605C16" w:rsidRPr="002F0E3F">
        <w:rPr>
          <w:rFonts w:cs="Arial"/>
        </w:rPr>
        <w:t xml:space="preserve">Examining the trends in </w:t>
      </w:r>
      <w:r w:rsidR="003C1331">
        <w:rPr>
          <w:rFonts w:cs="Arial"/>
        </w:rPr>
        <w:t>m</w:t>
      </w:r>
      <w:r w:rsidR="007C22BD" w:rsidRPr="002F0E3F">
        <w:rPr>
          <w:rFonts w:cs="Arial"/>
        </w:rPr>
        <w:t xml:space="preserve">igratory and </w:t>
      </w:r>
      <w:r w:rsidR="003C1331">
        <w:rPr>
          <w:rFonts w:cs="Arial"/>
        </w:rPr>
        <w:t>all s</w:t>
      </w:r>
      <w:r w:rsidR="00605C16" w:rsidRPr="002F0E3F">
        <w:rPr>
          <w:rFonts w:cs="Arial"/>
        </w:rPr>
        <w:t xml:space="preserve">tudents’ graduation and dropout rates revealed </w:t>
      </w:r>
      <w:r w:rsidR="00D304C4">
        <w:rPr>
          <w:rFonts w:cs="Arial"/>
        </w:rPr>
        <w:t>several</w:t>
      </w:r>
      <w:r w:rsidR="00605C16" w:rsidRPr="002F0E3F">
        <w:rPr>
          <w:rFonts w:cs="Arial"/>
        </w:rPr>
        <w:t xml:space="preserve"> key finding</w:t>
      </w:r>
      <w:r w:rsidR="00D304C4">
        <w:rPr>
          <w:rFonts w:cs="Arial"/>
        </w:rPr>
        <w:t>s</w:t>
      </w:r>
      <w:r>
        <w:rPr>
          <w:rFonts w:cs="Arial"/>
        </w:rPr>
        <w:t>.</w:t>
      </w:r>
    </w:p>
    <w:p w14:paraId="2F7AE34E" w14:textId="77777777" w:rsidR="001641C5" w:rsidRPr="000C5448" w:rsidRDefault="001641C5" w:rsidP="001641C5">
      <w:pPr>
        <w:pStyle w:val="Heading4"/>
        <w:spacing w:after="240"/>
        <w:rPr>
          <w:rFonts w:cs="Arial"/>
        </w:rPr>
      </w:pPr>
      <w:bookmarkStart w:id="145" w:name="_Toc154499386"/>
      <w:bookmarkStart w:id="146" w:name="_Toc163813435"/>
      <w:r>
        <w:rPr>
          <w:rFonts w:cs="Arial"/>
        </w:rPr>
        <w:t>Key Findings</w:t>
      </w:r>
      <w:bookmarkEnd w:id="145"/>
      <w:bookmarkEnd w:id="146"/>
    </w:p>
    <w:p w14:paraId="4C94F32E" w14:textId="0936BC4A" w:rsidR="001641C5" w:rsidRDefault="003C1331" w:rsidP="009670FC">
      <w:pPr>
        <w:pStyle w:val="ListParagraph"/>
        <w:numPr>
          <w:ilvl w:val="0"/>
          <w:numId w:val="45"/>
        </w:numPr>
        <w:spacing w:after="240"/>
        <w:contextualSpacing w:val="0"/>
        <w:rPr>
          <w:rFonts w:cs="Arial"/>
        </w:rPr>
      </w:pPr>
      <w:r>
        <w:rPr>
          <w:rFonts w:cs="Arial"/>
        </w:rPr>
        <w:t>In 2022–23, migratory students were 3.4</w:t>
      </w:r>
      <w:r w:rsidR="00EA754F">
        <w:t> </w:t>
      </w:r>
      <w:r>
        <w:rPr>
          <w:rFonts w:cs="Arial"/>
        </w:rPr>
        <w:t>percent less likely to graduate and 1.9</w:t>
      </w:r>
      <w:r w:rsidR="00EA754F">
        <w:t> </w:t>
      </w:r>
      <w:r>
        <w:rPr>
          <w:rFonts w:cs="Arial"/>
        </w:rPr>
        <w:t>percent more like</w:t>
      </w:r>
      <w:r w:rsidR="00E17811">
        <w:rPr>
          <w:rFonts w:cs="Arial"/>
        </w:rPr>
        <w:t>ly</w:t>
      </w:r>
      <w:r>
        <w:rPr>
          <w:rFonts w:cs="Arial"/>
        </w:rPr>
        <w:t xml:space="preserve"> to drop out of high school </w:t>
      </w:r>
      <w:r w:rsidR="00FD0C46">
        <w:rPr>
          <w:rFonts w:cs="Arial"/>
        </w:rPr>
        <w:t>than</w:t>
      </w:r>
      <w:r>
        <w:rPr>
          <w:rFonts w:cs="Arial"/>
        </w:rPr>
        <w:t xml:space="preserve"> their peers in </w:t>
      </w:r>
      <w:proofErr w:type="gramStart"/>
      <w:r>
        <w:rPr>
          <w:rFonts w:cs="Arial"/>
        </w:rPr>
        <w:t xml:space="preserve">the </w:t>
      </w:r>
      <w:r w:rsidR="00931056">
        <w:rPr>
          <w:rFonts w:cs="Arial"/>
        </w:rPr>
        <w:t>all</w:t>
      </w:r>
      <w:proofErr w:type="gramEnd"/>
      <w:r w:rsidR="001641C5">
        <w:rPr>
          <w:rFonts w:cs="Arial"/>
        </w:rPr>
        <w:t xml:space="preserve"> </w:t>
      </w:r>
      <w:proofErr w:type="gramStart"/>
      <w:r w:rsidR="00931056">
        <w:rPr>
          <w:rFonts w:cs="Arial"/>
        </w:rPr>
        <w:t>student</w:t>
      </w:r>
      <w:r w:rsidR="001641C5">
        <w:rPr>
          <w:rFonts w:cs="Arial"/>
        </w:rPr>
        <w:t>s</w:t>
      </w:r>
      <w:proofErr w:type="gramEnd"/>
      <w:r>
        <w:rPr>
          <w:rFonts w:cs="Arial"/>
        </w:rPr>
        <w:t xml:space="preserve"> group.</w:t>
      </w:r>
    </w:p>
    <w:p w14:paraId="3E60FB7C" w14:textId="77777777" w:rsidR="001641C5" w:rsidRPr="001641C5" w:rsidRDefault="00D03B5F" w:rsidP="009670FC">
      <w:pPr>
        <w:pStyle w:val="ListParagraph"/>
        <w:numPr>
          <w:ilvl w:val="0"/>
          <w:numId w:val="45"/>
        </w:numPr>
        <w:spacing w:after="240"/>
        <w:contextualSpacing w:val="0"/>
        <w:rPr>
          <w:rFonts w:cs="Arial"/>
        </w:rPr>
      </w:pPr>
      <w:r w:rsidRPr="001641C5">
        <w:t xml:space="preserve">Compared with all students, migratory students had lower four-year cohort graduation rates for SYs 2017–18 through 2022–23. </w:t>
      </w:r>
    </w:p>
    <w:p w14:paraId="75AA3E6E" w14:textId="53B03795" w:rsidR="001641C5" w:rsidRPr="001641C5" w:rsidRDefault="00D03B5F" w:rsidP="009670FC">
      <w:pPr>
        <w:pStyle w:val="ListParagraph"/>
        <w:numPr>
          <w:ilvl w:val="1"/>
          <w:numId w:val="45"/>
        </w:numPr>
        <w:spacing w:after="240"/>
        <w:contextualSpacing w:val="0"/>
        <w:rPr>
          <w:rFonts w:cs="Arial"/>
        </w:rPr>
      </w:pPr>
      <w:r w:rsidRPr="001641C5">
        <w:t>The gap in graduation rates increased from SYs 2018–19 through 2020–</w:t>
      </w:r>
      <w:r w:rsidR="00D313A0" w:rsidRPr="00E17811">
        <w:t> </w:t>
      </w:r>
      <w:r w:rsidRPr="001641C5">
        <w:t xml:space="preserve">21 and then narrowed in SY 2021–22, when both student populations experienced marked increases in their graduation rates. </w:t>
      </w:r>
    </w:p>
    <w:p w14:paraId="3C27A3CD" w14:textId="77777777" w:rsidR="001641C5" w:rsidRPr="001641C5" w:rsidRDefault="00D03B5F" w:rsidP="009670FC">
      <w:pPr>
        <w:pStyle w:val="ListParagraph"/>
        <w:numPr>
          <w:ilvl w:val="1"/>
          <w:numId w:val="45"/>
        </w:numPr>
        <w:spacing w:after="240"/>
        <w:contextualSpacing w:val="0"/>
        <w:rPr>
          <w:rFonts w:cs="Arial"/>
        </w:rPr>
      </w:pPr>
      <w:r w:rsidRPr="001641C5">
        <w:t xml:space="preserve">The gap increased again in SY 2022–23, when migratory students experienced a larger decline in their graduation rate. </w:t>
      </w:r>
    </w:p>
    <w:p w14:paraId="7CDD6DCD" w14:textId="77777777" w:rsidR="001641C5" w:rsidRPr="001641C5" w:rsidRDefault="001641C5" w:rsidP="009670FC">
      <w:pPr>
        <w:pStyle w:val="Paragraph"/>
        <w:numPr>
          <w:ilvl w:val="0"/>
          <w:numId w:val="45"/>
        </w:numPr>
        <w:spacing w:after="240" w:line="240" w:lineRule="auto"/>
        <w:rPr>
          <w:rFonts w:cs="Arial"/>
        </w:rPr>
      </w:pPr>
      <w:r w:rsidRPr="000C5448">
        <w:rPr>
          <w:noProof w:val="0"/>
          <w:color w:val="auto"/>
        </w:rPr>
        <w:t xml:space="preserve">In SY 2022–23, the four-year dropout rate for migratory students was 1.9 percentage points higher than that of all students. </w:t>
      </w:r>
    </w:p>
    <w:p w14:paraId="11D595D0" w14:textId="03A33E2B" w:rsidR="001641C5" w:rsidRPr="001641C5" w:rsidRDefault="001641C5" w:rsidP="009670FC">
      <w:pPr>
        <w:pStyle w:val="Paragraph"/>
        <w:numPr>
          <w:ilvl w:val="0"/>
          <w:numId w:val="45"/>
        </w:numPr>
        <w:spacing w:after="240" w:line="240" w:lineRule="auto"/>
        <w:rPr>
          <w:rFonts w:cs="Arial"/>
        </w:rPr>
      </w:pPr>
      <w:r w:rsidRPr="000C5448">
        <w:rPr>
          <w:noProof w:val="0"/>
          <w:color w:val="auto"/>
        </w:rPr>
        <w:t xml:space="preserve">The dropout rates for both student populations </w:t>
      </w:r>
      <w:r>
        <w:rPr>
          <w:noProof w:val="0"/>
          <w:color w:val="auto"/>
        </w:rPr>
        <w:t xml:space="preserve">(i.e., migratory students and all students) </w:t>
      </w:r>
      <w:r w:rsidRPr="000C5448">
        <w:rPr>
          <w:noProof w:val="0"/>
          <w:color w:val="auto"/>
        </w:rPr>
        <w:t xml:space="preserve">declined over the past six school years. </w:t>
      </w:r>
    </w:p>
    <w:p w14:paraId="4169AD24" w14:textId="6C03738D" w:rsidR="00D03B5F" w:rsidRPr="0036562A" w:rsidRDefault="00CF457C" w:rsidP="0036562A">
      <w:pPr>
        <w:pStyle w:val="Paragraph"/>
        <w:spacing w:line="240" w:lineRule="auto"/>
        <w:rPr>
          <w:noProof w:val="0"/>
          <w:color w:val="auto"/>
        </w:rPr>
      </w:pPr>
      <w:r>
        <w:rPr>
          <w:color w:val="auto"/>
        </w:rPr>
        <w:t>Figure 18</w:t>
      </w:r>
      <w:r w:rsidR="00D03B5F" w:rsidRPr="00E0112A">
        <w:rPr>
          <w:color w:val="auto"/>
        </w:rPr>
        <w:t xml:space="preserve"> shows the four-year cohort graduation rates for migratory and all students for SYs 2017–18 through 2022–23.</w:t>
      </w:r>
      <w:r w:rsidR="001641C5" w:rsidRPr="00E0112A">
        <w:rPr>
          <w:color w:val="auto"/>
        </w:rPr>
        <w:t xml:space="preserve"> </w:t>
      </w:r>
      <w:r>
        <w:rPr>
          <w:noProof w:val="0"/>
          <w:color w:val="auto"/>
        </w:rPr>
        <w:t>Figure 19</w:t>
      </w:r>
      <w:r w:rsidR="001641C5" w:rsidRPr="00E0112A">
        <w:rPr>
          <w:noProof w:val="0"/>
          <w:color w:val="auto"/>
        </w:rPr>
        <w:t xml:space="preserve"> shows the dropout rates for migratory and all students from SYs 2017–18 through 2022–2</w:t>
      </w:r>
      <w:r w:rsidR="001641C5" w:rsidRPr="000C5448">
        <w:rPr>
          <w:noProof w:val="0"/>
          <w:color w:val="auto"/>
        </w:rPr>
        <w:t>3.</w:t>
      </w:r>
      <w:r>
        <w:rPr>
          <w:noProof w:val="0"/>
          <w:color w:val="auto"/>
        </w:rPr>
        <w:t xml:space="preserve"> Tables 20 and 21 </w:t>
      </w:r>
      <w:r w:rsidR="00252151">
        <w:rPr>
          <w:noProof w:val="0"/>
          <w:color w:val="auto"/>
        </w:rPr>
        <w:t>display</w:t>
      </w:r>
      <w:r>
        <w:rPr>
          <w:noProof w:val="0"/>
          <w:color w:val="auto"/>
        </w:rPr>
        <w:t xml:space="preserve"> the data from figures 18 and 19 respectively, in table form.</w:t>
      </w:r>
    </w:p>
    <w:p w14:paraId="180177B4" w14:textId="3393577C" w:rsidR="00D03B5F" w:rsidRDefault="0036562A" w:rsidP="0036562A">
      <w:pPr>
        <w:pStyle w:val="Caption"/>
      </w:pPr>
      <w:bookmarkStart w:id="147" w:name="_Toc188016104"/>
      <w:bookmarkStart w:id="148" w:name="_Toc188030517"/>
      <w:r w:rsidRPr="00792C07">
        <w:rPr>
          <w:rStyle w:val="Heading5Char"/>
          <w:b/>
          <w:bCs/>
        </w:rPr>
        <w:lastRenderedPageBreak/>
        <w:t xml:space="preserve">Figure </w:t>
      </w:r>
      <w:r w:rsidRPr="00792C07">
        <w:rPr>
          <w:rStyle w:val="Heading5Char"/>
          <w:b/>
          <w:bCs/>
        </w:rPr>
        <w:fldChar w:fldCharType="begin"/>
      </w:r>
      <w:r w:rsidRPr="00792C07">
        <w:rPr>
          <w:rStyle w:val="Heading5Char"/>
          <w:b/>
          <w:bCs/>
        </w:rPr>
        <w:instrText xml:space="preserve"> SEQ Figure \* ARABIC </w:instrText>
      </w:r>
      <w:r w:rsidRPr="00792C07">
        <w:rPr>
          <w:rStyle w:val="Heading5Char"/>
          <w:b/>
          <w:bCs/>
        </w:rPr>
        <w:fldChar w:fldCharType="separate"/>
      </w:r>
      <w:r w:rsidR="00AB15FE" w:rsidRPr="00792C07">
        <w:rPr>
          <w:rStyle w:val="Heading5Char"/>
          <w:b/>
          <w:bCs/>
        </w:rPr>
        <w:t>18</w:t>
      </w:r>
      <w:r w:rsidRPr="00792C07">
        <w:rPr>
          <w:rStyle w:val="Heading5Char"/>
          <w:b/>
          <w:bCs/>
        </w:rPr>
        <w:fldChar w:fldCharType="end"/>
      </w:r>
      <w:r w:rsidRPr="00792C07">
        <w:rPr>
          <w:rStyle w:val="Heading5Char"/>
          <w:b/>
          <w:bCs/>
        </w:rPr>
        <w:t>. Four-Year Cohort Graduation Rates for Migratory and All Students, School Years 2017–18 Through 2022–23</w:t>
      </w:r>
      <w:r w:rsidR="00D03B5F">
        <w:rPr>
          <w:noProof/>
        </w:rPr>
        <w:drawing>
          <wp:inline distT="0" distB="0" distL="0" distR="0" wp14:anchorId="5630524A" wp14:editId="35393B01">
            <wp:extent cx="5943600" cy="3159660"/>
            <wp:effectExtent l="0" t="0" r="0" b="3175"/>
            <wp:docPr id="229450827" name="Chart 1" descr="Figure 18 is a line graph showing the graduation rates for all and migratory students for SY 2017–18 through SY 2022–23. See Table 20 for the data presented in table format.">
              <a:extLst xmlns:a="http://schemas.openxmlformats.org/drawingml/2006/main">
                <a:ext uri="{FF2B5EF4-FFF2-40B4-BE49-F238E27FC236}">
                  <a16:creationId xmlns:a16="http://schemas.microsoft.com/office/drawing/2014/main" id="{EDF1F02A-FDC2-C440-B060-B0E3BCB949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bookmarkEnd w:id="147"/>
      <w:bookmarkEnd w:id="148"/>
    </w:p>
    <w:p w14:paraId="14F2AC5F" w14:textId="77777777" w:rsidR="00D03B5F" w:rsidRDefault="00D03B5F" w:rsidP="00792C07">
      <w:pPr>
        <w:pStyle w:val="TableorFiguresNotesSources"/>
        <w:spacing w:before="240" w:after="240" w:line="240" w:lineRule="auto"/>
        <w:rPr>
          <w:color w:val="auto"/>
        </w:rPr>
      </w:pPr>
      <w:r w:rsidRPr="000C5448">
        <w:rPr>
          <w:color w:val="auto"/>
        </w:rPr>
        <w:t>Source: CDE Dataquest, “Four-Year Cohort Adjusted Cohort Outcome” Table for SYs 2017–18 through 2022–23. Accessed September 14, 2022, for SYs 2017–18 through 2021–22 and January 26, 2024, for SY 2022–23.</w:t>
      </w:r>
    </w:p>
    <w:p w14:paraId="6C4DF59E" w14:textId="03D731CE" w:rsidR="00FD0C46" w:rsidRPr="00AB15FE" w:rsidRDefault="00AB15FE" w:rsidP="00792C07">
      <w:pPr>
        <w:pStyle w:val="Heading5"/>
      </w:pPr>
      <w:bookmarkStart w:id="149" w:name="_Toc154499644"/>
      <w:bookmarkStart w:id="150" w:name="_Toc160787229"/>
      <w:bookmarkStart w:id="151" w:name="_Toc188030585"/>
      <w:r w:rsidRPr="00AB15FE">
        <w:t xml:space="preserve">Table </w:t>
      </w:r>
      <w:fldSimple w:instr=" SEQ Table \* ARABIC ">
        <w:r w:rsidR="00D04DC5">
          <w:t>20</w:t>
        </w:r>
      </w:fldSimple>
      <w:r w:rsidRPr="00AB15FE">
        <w:t>. Four-Year Cohort Graduation Rates for Migratory and All Students, School Year 2017–18 Through School Year 2022–23</w:t>
      </w:r>
      <w:bookmarkEnd w:id="149"/>
      <w:bookmarkEnd w:id="150"/>
      <w:bookmarkEnd w:id="151"/>
    </w:p>
    <w:tbl>
      <w:tblPr>
        <w:tblStyle w:val="ListTable3-Accent5"/>
        <w:tblW w:w="0" w:type="auto"/>
        <w:tblLayout w:type="fixed"/>
        <w:tblCellMar>
          <w:right w:w="108" w:type="dxa"/>
        </w:tblCellMar>
        <w:tblLook w:val="04A0" w:firstRow="1" w:lastRow="0" w:firstColumn="1" w:lastColumn="0" w:noHBand="0" w:noVBand="1"/>
      </w:tblPr>
      <w:tblGrid>
        <w:gridCol w:w="1584"/>
        <w:gridCol w:w="1339"/>
        <w:gridCol w:w="1339"/>
        <w:gridCol w:w="1339"/>
        <w:gridCol w:w="1339"/>
        <w:gridCol w:w="1339"/>
        <w:gridCol w:w="1339"/>
      </w:tblGrid>
      <w:tr w:rsidR="00FD0C46" w:rsidRPr="005723F8" w14:paraId="70E7D17D" w14:textId="77777777" w:rsidTr="009E56F2">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584" w:type="dxa"/>
            <w:hideMark/>
          </w:tcPr>
          <w:p w14:paraId="05D4946B" w14:textId="77777777" w:rsidR="00FD0C46" w:rsidRPr="005723F8" w:rsidRDefault="00FD0C46" w:rsidP="009E56F2">
            <w:pPr>
              <w:pStyle w:val="TableHeaderRow"/>
            </w:pPr>
            <w:r w:rsidRPr="005723F8">
              <w:t>Graduation Rate</w:t>
            </w:r>
          </w:p>
        </w:tc>
        <w:tc>
          <w:tcPr>
            <w:tcW w:w="1339" w:type="dxa"/>
            <w:noWrap/>
            <w:hideMark/>
          </w:tcPr>
          <w:p w14:paraId="474E78DB" w14:textId="77777777" w:rsidR="00FD0C46" w:rsidRPr="005723F8" w:rsidRDefault="00FD0C46" w:rsidP="009E56F2">
            <w:pPr>
              <w:pStyle w:val="TableHeaderRow"/>
              <w:cnfStyle w:val="100000000000" w:firstRow="1" w:lastRow="0" w:firstColumn="0" w:lastColumn="0" w:oddVBand="0" w:evenVBand="0" w:oddHBand="0" w:evenHBand="0" w:firstRowFirstColumn="0" w:firstRowLastColumn="0" w:lastRowFirstColumn="0" w:lastRowLastColumn="0"/>
            </w:pPr>
            <w:r w:rsidRPr="005723F8">
              <w:t>2017–18</w:t>
            </w:r>
          </w:p>
        </w:tc>
        <w:tc>
          <w:tcPr>
            <w:tcW w:w="1339" w:type="dxa"/>
            <w:noWrap/>
            <w:hideMark/>
          </w:tcPr>
          <w:p w14:paraId="287F34F0" w14:textId="77777777" w:rsidR="00FD0C46" w:rsidRPr="005723F8" w:rsidRDefault="00FD0C46" w:rsidP="009E56F2">
            <w:pPr>
              <w:pStyle w:val="TableHeaderRow"/>
              <w:cnfStyle w:val="100000000000" w:firstRow="1" w:lastRow="0" w:firstColumn="0" w:lastColumn="0" w:oddVBand="0" w:evenVBand="0" w:oddHBand="0" w:evenHBand="0" w:firstRowFirstColumn="0" w:firstRowLastColumn="0" w:lastRowFirstColumn="0" w:lastRowLastColumn="0"/>
            </w:pPr>
            <w:r w:rsidRPr="005723F8">
              <w:t>2018–19</w:t>
            </w:r>
          </w:p>
        </w:tc>
        <w:tc>
          <w:tcPr>
            <w:tcW w:w="1339" w:type="dxa"/>
            <w:noWrap/>
            <w:hideMark/>
          </w:tcPr>
          <w:p w14:paraId="331EAAB0" w14:textId="77777777" w:rsidR="00FD0C46" w:rsidRPr="005723F8" w:rsidRDefault="00FD0C46" w:rsidP="009E56F2">
            <w:pPr>
              <w:pStyle w:val="TableHeaderRow"/>
              <w:cnfStyle w:val="100000000000" w:firstRow="1" w:lastRow="0" w:firstColumn="0" w:lastColumn="0" w:oddVBand="0" w:evenVBand="0" w:oddHBand="0" w:evenHBand="0" w:firstRowFirstColumn="0" w:firstRowLastColumn="0" w:lastRowFirstColumn="0" w:lastRowLastColumn="0"/>
            </w:pPr>
            <w:r w:rsidRPr="005723F8">
              <w:t>2019–20</w:t>
            </w:r>
          </w:p>
        </w:tc>
        <w:tc>
          <w:tcPr>
            <w:tcW w:w="1339" w:type="dxa"/>
            <w:noWrap/>
            <w:hideMark/>
          </w:tcPr>
          <w:p w14:paraId="3A86F110" w14:textId="77777777" w:rsidR="00FD0C46" w:rsidRPr="005723F8" w:rsidRDefault="00FD0C46" w:rsidP="009E56F2">
            <w:pPr>
              <w:pStyle w:val="TableHeaderRow"/>
              <w:cnfStyle w:val="100000000000" w:firstRow="1" w:lastRow="0" w:firstColumn="0" w:lastColumn="0" w:oddVBand="0" w:evenVBand="0" w:oddHBand="0" w:evenHBand="0" w:firstRowFirstColumn="0" w:firstRowLastColumn="0" w:lastRowFirstColumn="0" w:lastRowLastColumn="0"/>
            </w:pPr>
            <w:r w:rsidRPr="005723F8">
              <w:t>2020–21</w:t>
            </w:r>
          </w:p>
        </w:tc>
        <w:tc>
          <w:tcPr>
            <w:tcW w:w="1339" w:type="dxa"/>
            <w:noWrap/>
            <w:hideMark/>
          </w:tcPr>
          <w:p w14:paraId="65DAC575" w14:textId="77777777" w:rsidR="00FD0C46" w:rsidRPr="005723F8" w:rsidRDefault="00FD0C46" w:rsidP="009E56F2">
            <w:pPr>
              <w:pStyle w:val="TableHeaderRow"/>
              <w:cnfStyle w:val="100000000000" w:firstRow="1" w:lastRow="0" w:firstColumn="0" w:lastColumn="0" w:oddVBand="0" w:evenVBand="0" w:oddHBand="0" w:evenHBand="0" w:firstRowFirstColumn="0" w:firstRowLastColumn="0" w:lastRowFirstColumn="0" w:lastRowLastColumn="0"/>
            </w:pPr>
            <w:r w:rsidRPr="005723F8">
              <w:t>2021–22</w:t>
            </w:r>
          </w:p>
        </w:tc>
        <w:tc>
          <w:tcPr>
            <w:tcW w:w="1339" w:type="dxa"/>
          </w:tcPr>
          <w:p w14:paraId="14D600C2" w14:textId="77777777" w:rsidR="00FD0C46" w:rsidRPr="005723F8" w:rsidRDefault="00FD0C46" w:rsidP="009E56F2">
            <w:pPr>
              <w:pStyle w:val="TableHeaderRow"/>
              <w:cnfStyle w:val="100000000000" w:firstRow="1" w:lastRow="0" w:firstColumn="0" w:lastColumn="0" w:oddVBand="0" w:evenVBand="0" w:oddHBand="0" w:evenHBand="0" w:firstRowFirstColumn="0" w:firstRowLastColumn="0" w:lastRowFirstColumn="0" w:lastRowLastColumn="0"/>
            </w:pPr>
            <w:r>
              <w:t>2022–23</w:t>
            </w:r>
          </w:p>
        </w:tc>
      </w:tr>
      <w:tr w:rsidR="00FD0C46" w:rsidRPr="005723F8" w14:paraId="048A5FBF" w14:textId="77777777" w:rsidTr="00FD0C4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584" w:type="dxa"/>
            <w:shd w:val="clear" w:color="auto" w:fill="BDD6EE" w:themeFill="accent1" w:themeFillTint="66"/>
            <w:hideMark/>
          </w:tcPr>
          <w:p w14:paraId="085C9F66" w14:textId="77777777" w:rsidR="00FD0C46" w:rsidRPr="005723F8" w:rsidRDefault="00FD0C46" w:rsidP="0041205C">
            <w:pPr>
              <w:pStyle w:val="TableCategoryText"/>
            </w:pPr>
            <w:r w:rsidRPr="005723F8">
              <w:t xml:space="preserve">All </w:t>
            </w:r>
            <w:r>
              <w:t>students</w:t>
            </w:r>
          </w:p>
        </w:tc>
        <w:tc>
          <w:tcPr>
            <w:tcW w:w="1339" w:type="dxa"/>
            <w:shd w:val="clear" w:color="auto" w:fill="D9E2F3" w:themeFill="accent5" w:themeFillTint="33"/>
            <w:noWrap/>
            <w:hideMark/>
          </w:tcPr>
          <w:p w14:paraId="645BD09D" w14:textId="77777777" w:rsidR="00FD0C46" w:rsidRPr="0041205C" w:rsidRDefault="00FD0C46"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83.0%</w:t>
            </w:r>
          </w:p>
        </w:tc>
        <w:tc>
          <w:tcPr>
            <w:tcW w:w="1339" w:type="dxa"/>
            <w:shd w:val="clear" w:color="auto" w:fill="D9E2F3" w:themeFill="accent5" w:themeFillTint="33"/>
            <w:noWrap/>
            <w:hideMark/>
          </w:tcPr>
          <w:p w14:paraId="315EF898" w14:textId="77777777" w:rsidR="00FD0C46" w:rsidRPr="0041205C" w:rsidRDefault="00FD0C46"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84.5%</w:t>
            </w:r>
          </w:p>
        </w:tc>
        <w:tc>
          <w:tcPr>
            <w:tcW w:w="1339" w:type="dxa"/>
            <w:shd w:val="clear" w:color="auto" w:fill="D9E2F3" w:themeFill="accent5" w:themeFillTint="33"/>
            <w:noWrap/>
            <w:hideMark/>
          </w:tcPr>
          <w:p w14:paraId="2373A5BA" w14:textId="77777777" w:rsidR="00FD0C46" w:rsidRPr="0041205C" w:rsidRDefault="00FD0C46"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84.2%</w:t>
            </w:r>
          </w:p>
        </w:tc>
        <w:tc>
          <w:tcPr>
            <w:tcW w:w="1339" w:type="dxa"/>
            <w:shd w:val="clear" w:color="auto" w:fill="D9E2F3" w:themeFill="accent5" w:themeFillTint="33"/>
            <w:noWrap/>
            <w:hideMark/>
          </w:tcPr>
          <w:p w14:paraId="26A9A77D" w14:textId="77777777" w:rsidR="00FD0C46" w:rsidRPr="0041205C" w:rsidRDefault="00FD0C46"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83.6%</w:t>
            </w:r>
          </w:p>
        </w:tc>
        <w:tc>
          <w:tcPr>
            <w:tcW w:w="1339" w:type="dxa"/>
            <w:shd w:val="clear" w:color="auto" w:fill="D9E2F3" w:themeFill="accent5" w:themeFillTint="33"/>
            <w:noWrap/>
            <w:hideMark/>
          </w:tcPr>
          <w:p w14:paraId="558B34DC" w14:textId="77777777" w:rsidR="00FD0C46" w:rsidRPr="0041205C" w:rsidRDefault="00FD0C46"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87.0%</w:t>
            </w:r>
          </w:p>
        </w:tc>
        <w:tc>
          <w:tcPr>
            <w:tcW w:w="1339" w:type="dxa"/>
            <w:shd w:val="clear" w:color="auto" w:fill="D9E2F3" w:themeFill="accent5" w:themeFillTint="33"/>
          </w:tcPr>
          <w:p w14:paraId="5877BC94" w14:textId="77777777" w:rsidR="00FD0C46" w:rsidRPr="0041205C" w:rsidRDefault="00FD0C46"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86.2%</w:t>
            </w:r>
          </w:p>
        </w:tc>
      </w:tr>
      <w:tr w:rsidR="00FD0C46" w:rsidRPr="005723F8" w14:paraId="40408C27" w14:textId="77777777" w:rsidTr="00FD0C46">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584" w:type="dxa"/>
            <w:shd w:val="clear" w:color="auto" w:fill="BDD6EE" w:themeFill="accent1" w:themeFillTint="66"/>
          </w:tcPr>
          <w:p w14:paraId="4B87DE07" w14:textId="77777777" w:rsidR="00FD0C46" w:rsidRPr="005723F8" w:rsidRDefault="00FD0C46" w:rsidP="0041205C">
            <w:pPr>
              <w:pStyle w:val="TableCategoryText"/>
            </w:pPr>
            <w:r w:rsidRPr="005723F8">
              <w:t xml:space="preserve">Migratory </w:t>
            </w:r>
            <w:r>
              <w:t>students</w:t>
            </w:r>
          </w:p>
        </w:tc>
        <w:tc>
          <w:tcPr>
            <w:tcW w:w="1339" w:type="dxa"/>
            <w:shd w:val="clear" w:color="auto" w:fill="D9E2F3" w:themeFill="accent5" w:themeFillTint="33"/>
            <w:noWrap/>
          </w:tcPr>
          <w:p w14:paraId="365DA2DD" w14:textId="77777777" w:rsidR="00FD0C46" w:rsidRPr="0041205C" w:rsidRDefault="00FD0C46"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81.7%</w:t>
            </w:r>
          </w:p>
        </w:tc>
        <w:tc>
          <w:tcPr>
            <w:tcW w:w="1339" w:type="dxa"/>
            <w:shd w:val="clear" w:color="auto" w:fill="D9E2F3" w:themeFill="accent5" w:themeFillTint="33"/>
            <w:noWrap/>
          </w:tcPr>
          <w:p w14:paraId="413DB67A" w14:textId="77777777" w:rsidR="00FD0C46" w:rsidRPr="0041205C" w:rsidRDefault="00FD0C46"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81.6%</w:t>
            </w:r>
          </w:p>
        </w:tc>
        <w:tc>
          <w:tcPr>
            <w:tcW w:w="1339" w:type="dxa"/>
            <w:shd w:val="clear" w:color="auto" w:fill="D9E2F3" w:themeFill="accent5" w:themeFillTint="33"/>
            <w:noWrap/>
          </w:tcPr>
          <w:p w14:paraId="778E3704" w14:textId="77777777" w:rsidR="00FD0C46" w:rsidRPr="0041205C" w:rsidRDefault="00FD0C46"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81.5%</w:t>
            </w:r>
          </w:p>
        </w:tc>
        <w:tc>
          <w:tcPr>
            <w:tcW w:w="1339" w:type="dxa"/>
            <w:shd w:val="clear" w:color="auto" w:fill="D9E2F3" w:themeFill="accent5" w:themeFillTint="33"/>
            <w:noWrap/>
          </w:tcPr>
          <w:p w14:paraId="25E18659" w14:textId="77777777" w:rsidR="00FD0C46" w:rsidRPr="0041205C" w:rsidRDefault="00FD0C46"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79.4%</w:t>
            </w:r>
          </w:p>
        </w:tc>
        <w:tc>
          <w:tcPr>
            <w:tcW w:w="1339" w:type="dxa"/>
            <w:shd w:val="clear" w:color="auto" w:fill="D9E2F3" w:themeFill="accent5" w:themeFillTint="33"/>
            <w:noWrap/>
          </w:tcPr>
          <w:p w14:paraId="57EBBB67" w14:textId="77777777" w:rsidR="00FD0C46" w:rsidRPr="0041205C" w:rsidRDefault="00FD0C46"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85.0%</w:t>
            </w:r>
          </w:p>
        </w:tc>
        <w:tc>
          <w:tcPr>
            <w:tcW w:w="1339" w:type="dxa"/>
            <w:shd w:val="clear" w:color="auto" w:fill="D9E2F3" w:themeFill="accent5" w:themeFillTint="33"/>
          </w:tcPr>
          <w:p w14:paraId="09814BAB" w14:textId="77777777" w:rsidR="00FD0C46" w:rsidRPr="0041205C" w:rsidRDefault="00FD0C46"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82.8%</w:t>
            </w:r>
          </w:p>
        </w:tc>
      </w:tr>
    </w:tbl>
    <w:p w14:paraId="074D9461" w14:textId="77777777" w:rsidR="00FD0C46" w:rsidRPr="00FD0C46" w:rsidRDefault="00FD0C46" w:rsidP="00AB15FE">
      <w:pPr>
        <w:pStyle w:val="TableorFiguresNotesSources"/>
        <w:spacing w:after="240" w:line="240" w:lineRule="auto"/>
        <w:rPr>
          <w:color w:val="auto"/>
        </w:rPr>
      </w:pPr>
      <w:r w:rsidRPr="00FD0C46">
        <w:rPr>
          <w:color w:val="auto"/>
        </w:rPr>
        <w:t>Source: CDE Dataquest, “Four-Year Cohort Adjusted Cohort Outcome” Table for SY 2017–18 through SY 2022–23. Accessed September 14, 2022, for SY 2017–18 through SY 2021–22 and January 26, 2024, for SY 2022–23.</w:t>
      </w:r>
    </w:p>
    <w:p w14:paraId="1DB5CA1F" w14:textId="77777777" w:rsidR="00152822" w:rsidRDefault="00152822">
      <w:pPr>
        <w:rPr>
          <w:rFonts w:eastAsia="Times New Roman" w:cs="Arial"/>
          <w:b/>
          <w:color w:val="1F3864" w:themeColor="accent5" w:themeShade="80"/>
          <w:lang w:eastAsia="zh-CN"/>
        </w:rPr>
      </w:pPr>
      <w:r>
        <w:rPr>
          <w:color w:val="1F3864" w:themeColor="accent5" w:themeShade="80"/>
        </w:rPr>
        <w:br w:type="page"/>
      </w:r>
    </w:p>
    <w:p w14:paraId="64D8721B" w14:textId="62136926" w:rsidR="000C5448" w:rsidRPr="00AB15FE" w:rsidRDefault="00AB15FE" w:rsidP="00792C07">
      <w:pPr>
        <w:pStyle w:val="Heading5"/>
      </w:pPr>
      <w:bookmarkStart w:id="152" w:name="_Toc188030518"/>
      <w:r w:rsidRPr="00AB15FE">
        <w:lastRenderedPageBreak/>
        <w:t xml:space="preserve">Figure </w:t>
      </w:r>
      <w:fldSimple w:instr=" SEQ Figure \* ARABIC ">
        <w:r>
          <w:rPr>
            <w:noProof/>
          </w:rPr>
          <w:t>19</w:t>
        </w:r>
      </w:fldSimple>
      <w:r w:rsidRPr="00AB15FE">
        <w:t>. Dropout Rates for Migratory and All Students, School Years 2017–18 Through 2022–23</w:t>
      </w:r>
      <w:bookmarkEnd w:id="152"/>
    </w:p>
    <w:p w14:paraId="2D78FC5F" w14:textId="77777777" w:rsidR="00D03B5F" w:rsidRPr="001E1687" w:rsidRDefault="00D03B5F" w:rsidP="00CF280A">
      <w:pPr>
        <w:pStyle w:val="Figure"/>
      </w:pPr>
      <w:r>
        <w:drawing>
          <wp:inline distT="0" distB="0" distL="0" distR="0" wp14:anchorId="07E971E4" wp14:editId="7A0E2950">
            <wp:extent cx="5943600" cy="3328035"/>
            <wp:effectExtent l="0" t="0" r="0" b="5715"/>
            <wp:docPr id="1975062845" name="Chart 1" descr="Figure 19 is a line graph showing the dropout rates for all and migratory students for SY 2017–18 through SY 2022–23. Table 21 displays the same data in table format.">
              <a:extLst xmlns:a="http://schemas.openxmlformats.org/drawingml/2006/main">
                <a:ext uri="{FF2B5EF4-FFF2-40B4-BE49-F238E27FC236}">
                  <a16:creationId xmlns:a16="http://schemas.microsoft.com/office/drawing/2014/main" id="{07076F1C-1748-C340-9528-51342CF74B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D1AF0C6" w14:textId="77777777" w:rsidR="003C1331" w:rsidRDefault="00D03B5F" w:rsidP="00FD0C46">
      <w:pPr>
        <w:pStyle w:val="TableorFiguresNotesSources"/>
        <w:spacing w:before="0" w:after="240" w:line="240" w:lineRule="auto"/>
        <w:rPr>
          <w:color w:val="auto"/>
        </w:rPr>
      </w:pPr>
      <w:r w:rsidRPr="003C1331">
        <w:rPr>
          <w:color w:val="auto"/>
        </w:rPr>
        <w:t>Source: CDE Dataquest, “Four-Year Cohort Adjusted Cohort Outcome” Table for SYs 2017–18 through 2022–23. Accessed September 14,</w:t>
      </w:r>
      <w:r w:rsidR="003C1331" w:rsidRPr="003C1331">
        <w:rPr>
          <w:color w:val="auto"/>
        </w:rPr>
        <w:t xml:space="preserve"> 2022, for SYs 2017–18 through 2021–22 and January 26, 2024, for SY 2022–23.</w:t>
      </w:r>
    </w:p>
    <w:p w14:paraId="78751063" w14:textId="0B48A7CC" w:rsidR="00AB15FE" w:rsidRPr="00AB15FE" w:rsidRDefault="00AB15FE" w:rsidP="00792C07">
      <w:pPr>
        <w:pStyle w:val="Heading5"/>
      </w:pPr>
      <w:bookmarkStart w:id="153" w:name="_Toc188030586"/>
      <w:r w:rsidRPr="00AB15FE">
        <w:t xml:space="preserve">Table </w:t>
      </w:r>
      <w:fldSimple w:instr=" SEQ Table \* ARABIC ">
        <w:r w:rsidR="00D04DC5">
          <w:t>21</w:t>
        </w:r>
      </w:fldSimple>
      <w:r w:rsidRPr="00AB15FE">
        <w:t>. Dropout Rates for Migratory and All Students, School Year 2017–18 Through School Year 2022–23</w:t>
      </w:r>
      <w:bookmarkEnd w:id="153"/>
    </w:p>
    <w:tbl>
      <w:tblPr>
        <w:tblStyle w:val="ListTable3-Accent5"/>
        <w:tblW w:w="9618" w:type="dxa"/>
        <w:tblLayout w:type="fixed"/>
        <w:tblCellMar>
          <w:right w:w="108" w:type="dxa"/>
        </w:tblCellMar>
        <w:tblLook w:val="04A0" w:firstRow="1" w:lastRow="0" w:firstColumn="1" w:lastColumn="0" w:noHBand="0" w:noVBand="1"/>
      </w:tblPr>
      <w:tblGrid>
        <w:gridCol w:w="1584"/>
        <w:gridCol w:w="1339"/>
        <w:gridCol w:w="1339"/>
        <w:gridCol w:w="1339"/>
        <w:gridCol w:w="1339"/>
        <w:gridCol w:w="1339"/>
        <w:gridCol w:w="1339"/>
      </w:tblGrid>
      <w:tr w:rsidR="00FD0C46" w:rsidRPr="005723F8" w14:paraId="45AA8A78" w14:textId="77777777" w:rsidTr="00E61D52">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584" w:type="dxa"/>
            <w:hideMark/>
          </w:tcPr>
          <w:p w14:paraId="0F5B397F" w14:textId="77777777" w:rsidR="00FD0C46" w:rsidRPr="005723F8" w:rsidRDefault="00FD0C46" w:rsidP="009E56F2">
            <w:pPr>
              <w:pStyle w:val="TableHeaderRow"/>
            </w:pPr>
            <w:r w:rsidRPr="005723F8">
              <w:t>Dropout Rate</w:t>
            </w:r>
          </w:p>
        </w:tc>
        <w:tc>
          <w:tcPr>
            <w:tcW w:w="1339" w:type="dxa"/>
            <w:noWrap/>
            <w:hideMark/>
          </w:tcPr>
          <w:p w14:paraId="39B98944" w14:textId="77777777" w:rsidR="00FD0C46" w:rsidRPr="005723F8" w:rsidRDefault="00FD0C46" w:rsidP="009E56F2">
            <w:pPr>
              <w:pStyle w:val="TableHeaderRow"/>
              <w:cnfStyle w:val="100000000000" w:firstRow="1" w:lastRow="0" w:firstColumn="0" w:lastColumn="0" w:oddVBand="0" w:evenVBand="0" w:oddHBand="0" w:evenHBand="0" w:firstRowFirstColumn="0" w:firstRowLastColumn="0" w:lastRowFirstColumn="0" w:lastRowLastColumn="0"/>
            </w:pPr>
            <w:r w:rsidRPr="005723F8">
              <w:t>2017–18</w:t>
            </w:r>
          </w:p>
        </w:tc>
        <w:tc>
          <w:tcPr>
            <w:tcW w:w="1339" w:type="dxa"/>
            <w:noWrap/>
            <w:hideMark/>
          </w:tcPr>
          <w:p w14:paraId="1DD3BE29" w14:textId="77777777" w:rsidR="00FD0C46" w:rsidRPr="005723F8" w:rsidRDefault="00FD0C46" w:rsidP="009E56F2">
            <w:pPr>
              <w:pStyle w:val="TableHeaderRow"/>
              <w:cnfStyle w:val="100000000000" w:firstRow="1" w:lastRow="0" w:firstColumn="0" w:lastColumn="0" w:oddVBand="0" w:evenVBand="0" w:oddHBand="0" w:evenHBand="0" w:firstRowFirstColumn="0" w:firstRowLastColumn="0" w:lastRowFirstColumn="0" w:lastRowLastColumn="0"/>
            </w:pPr>
            <w:r w:rsidRPr="005723F8">
              <w:t>2018–19</w:t>
            </w:r>
          </w:p>
        </w:tc>
        <w:tc>
          <w:tcPr>
            <w:tcW w:w="1339" w:type="dxa"/>
            <w:noWrap/>
            <w:hideMark/>
          </w:tcPr>
          <w:p w14:paraId="5F32F72C" w14:textId="77777777" w:rsidR="00FD0C46" w:rsidRPr="005723F8" w:rsidRDefault="00FD0C46" w:rsidP="009E56F2">
            <w:pPr>
              <w:pStyle w:val="TableHeaderRow"/>
              <w:cnfStyle w:val="100000000000" w:firstRow="1" w:lastRow="0" w:firstColumn="0" w:lastColumn="0" w:oddVBand="0" w:evenVBand="0" w:oddHBand="0" w:evenHBand="0" w:firstRowFirstColumn="0" w:firstRowLastColumn="0" w:lastRowFirstColumn="0" w:lastRowLastColumn="0"/>
            </w:pPr>
            <w:r w:rsidRPr="005723F8">
              <w:t>2019–20</w:t>
            </w:r>
          </w:p>
        </w:tc>
        <w:tc>
          <w:tcPr>
            <w:tcW w:w="1339" w:type="dxa"/>
            <w:noWrap/>
            <w:hideMark/>
          </w:tcPr>
          <w:p w14:paraId="41412960" w14:textId="77777777" w:rsidR="00FD0C46" w:rsidRPr="005723F8" w:rsidRDefault="00FD0C46" w:rsidP="009E56F2">
            <w:pPr>
              <w:pStyle w:val="TableHeaderRow"/>
              <w:cnfStyle w:val="100000000000" w:firstRow="1" w:lastRow="0" w:firstColumn="0" w:lastColumn="0" w:oddVBand="0" w:evenVBand="0" w:oddHBand="0" w:evenHBand="0" w:firstRowFirstColumn="0" w:firstRowLastColumn="0" w:lastRowFirstColumn="0" w:lastRowLastColumn="0"/>
            </w:pPr>
            <w:r w:rsidRPr="005723F8">
              <w:t>2020–21</w:t>
            </w:r>
          </w:p>
        </w:tc>
        <w:tc>
          <w:tcPr>
            <w:tcW w:w="1339" w:type="dxa"/>
            <w:noWrap/>
            <w:hideMark/>
          </w:tcPr>
          <w:p w14:paraId="7BDD3245" w14:textId="77777777" w:rsidR="00FD0C46" w:rsidRPr="005723F8" w:rsidRDefault="00FD0C46" w:rsidP="009E56F2">
            <w:pPr>
              <w:pStyle w:val="TableHeaderRow"/>
              <w:cnfStyle w:val="100000000000" w:firstRow="1" w:lastRow="0" w:firstColumn="0" w:lastColumn="0" w:oddVBand="0" w:evenVBand="0" w:oddHBand="0" w:evenHBand="0" w:firstRowFirstColumn="0" w:firstRowLastColumn="0" w:lastRowFirstColumn="0" w:lastRowLastColumn="0"/>
            </w:pPr>
            <w:r w:rsidRPr="005723F8">
              <w:t>2021–22</w:t>
            </w:r>
          </w:p>
        </w:tc>
        <w:tc>
          <w:tcPr>
            <w:tcW w:w="1339" w:type="dxa"/>
          </w:tcPr>
          <w:p w14:paraId="6FDE7E92" w14:textId="77777777" w:rsidR="00FD0C46" w:rsidRPr="005723F8" w:rsidRDefault="00FD0C46" w:rsidP="009E56F2">
            <w:pPr>
              <w:pStyle w:val="TableHeaderRow"/>
              <w:cnfStyle w:val="100000000000" w:firstRow="1" w:lastRow="0" w:firstColumn="0" w:lastColumn="0" w:oddVBand="0" w:evenVBand="0" w:oddHBand="0" w:evenHBand="0" w:firstRowFirstColumn="0" w:firstRowLastColumn="0" w:lastRowFirstColumn="0" w:lastRowLastColumn="0"/>
            </w:pPr>
            <w:r>
              <w:t>2022–23</w:t>
            </w:r>
          </w:p>
        </w:tc>
      </w:tr>
      <w:tr w:rsidR="00E61D52" w:rsidRPr="005723F8" w14:paraId="4D81C491" w14:textId="77777777" w:rsidTr="00E61D52">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584" w:type="dxa"/>
            <w:shd w:val="clear" w:color="auto" w:fill="BDD6EE" w:themeFill="accent1" w:themeFillTint="66"/>
            <w:hideMark/>
          </w:tcPr>
          <w:p w14:paraId="008EC1B1" w14:textId="77777777" w:rsidR="00E61D52" w:rsidRPr="005723F8" w:rsidRDefault="00E61D52" w:rsidP="0041205C">
            <w:pPr>
              <w:pStyle w:val="TableCategoryText"/>
            </w:pPr>
            <w:r w:rsidRPr="005723F8">
              <w:t xml:space="preserve">All </w:t>
            </w:r>
            <w:r>
              <w:t>students</w:t>
            </w:r>
          </w:p>
        </w:tc>
        <w:tc>
          <w:tcPr>
            <w:tcW w:w="1339" w:type="dxa"/>
            <w:shd w:val="clear" w:color="auto" w:fill="D9E2F3" w:themeFill="accent5" w:themeFillTint="33"/>
            <w:noWrap/>
            <w:hideMark/>
          </w:tcPr>
          <w:p w14:paraId="7FA94D68" w14:textId="77777777" w:rsidR="00E61D52" w:rsidRPr="0041205C" w:rsidRDefault="00E61D52"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9.6%</w:t>
            </w:r>
          </w:p>
        </w:tc>
        <w:tc>
          <w:tcPr>
            <w:tcW w:w="1339" w:type="dxa"/>
            <w:shd w:val="clear" w:color="auto" w:fill="D9E2F3" w:themeFill="accent5" w:themeFillTint="33"/>
            <w:noWrap/>
            <w:hideMark/>
          </w:tcPr>
          <w:p w14:paraId="1D0B9222" w14:textId="77777777" w:rsidR="00E61D52" w:rsidRPr="0041205C" w:rsidRDefault="00E61D52"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9.0%</w:t>
            </w:r>
          </w:p>
        </w:tc>
        <w:tc>
          <w:tcPr>
            <w:tcW w:w="1339" w:type="dxa"/>
            <w:shd w:val="clear" w:color="auto" w:fill="D9E2F3" w:themeFill="accent5" w:themeFillTint="33"/>
            <w:noWrap/>
            <w:hideMark/>
          </w:tcPr>
          <w:p w14:paraId="5FF1F166" w14:textId="77777777" w:rsidR="00E61D52" w:rsidRPr="0041205C" w:rsidRDefault="00E61D52"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8.9%</w:t>
            </w:r>
          </w:p>
        </w:tc>
        <w:tc>
          <w:tcPr>
            <w:tcW w:w="1339" w:type="dxa"/>
            <w:shd w:val="clear" w:color="auto" w:fill="D9E2F3" w:themeFill="accent5" w:themeFillTint="33"/>
            <w:noWrap/>
            <w:hideMark/>
          </w:tcPr>
          <w:p w14:paraId="5FC6C818" w14:textId="77777777" w:rsidR="00E61D52" w:rsidRPr="0041205C" w:rsidRDefault="00E61D52"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9.4%</w:t>
            </w:r>
          </w:p>
        </w:tc>
        <w:tc>
          <w:tcPr>
            <w:tcW w:w="1339" w:type="dxa"/>
            <w:shd w:val="clear" w:color="auto" w:fill="D9E2F3" w:themeFill="accent5" w:themeFillTint="33"/>
            <w:noWrap/>
            <w:hideMark/>
          </w:tcPr>
          <w:p w14:paraId="67F72C17" w14:textId="77777777" w:rsidR="00E61D52" w:rsidRPr="0041205C" w:rsidRDefault="00E61D52"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7.8%</w:t>
            </w:r>
          </w:p>
        </w:tc>
        <w:tc>
          <w:tcPr>
            <w:tcW w:w="1339" w:type="dxa"/>
            <w:shd w:val="clear" w:color="auto" w:fill="D9E2F3" w:themeFill="accent5" w:themeFillTint="33"/>
          </w:tcPr>
          <w:p w14:paraId="1063535D" w14:textId="77777777" w:rsidR="00E61D52" w:rsidRPr="0041205C" w:rsidRDefault="00E61D52"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41205C">
              <w:rPr>
                <w:color w:val="auto"/>
              </w:rPr>
              <w:t>8.2%</w:t>
            </w:r>
          </w:p>
        </w:tc>
      </w:tr>
      <w:tr w:rsidR="00FD0C46" w:rsidRPr="005723F8" w14:paraId="21BF3CFA" w14:textId="77777777" w:rsidTr="00E61D52">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584" w:type="dxa"/>
            <w:shd w:val="clear" w:color="auto" w:fill="BDD6EE" w:themeFill="accent1" w:themeFillTint="66"/>
            <w:hideMark/>
          </w:tcPr>
          <w:p w14:paraId="3A8EF8EF" w14:textId="77777777" w:rsidR="00FD0C46" w:rsidRPr="005723F8" w:rsidRDefault="00FD0C46" w:rsidP="0041205C">
            <w:pPr>
              <w:pStyle w:val="TableCategoryText"/>
            </w:pPr>
            <w:r w:rsidRPr="005723F8">
              <w:t xml:space="preserve">Migratory </w:t>
            </w:r>
            <w:r>
              <w:t>students</w:t>
            </w:r>
          </w:p>
        </w:tc>
        <w:tc>
          <w:tcPr>
            <w:tcW w:w="1339" w:type="dxa"/>
            <w:shd w:val="clear" w:color="auto" w:fill="D9E2F3" w:themeFill="accent5" w:themeFillTint="33"/>
            <w:noWrap/>
            <w:hideMark/>
          </w:tcPr>
          <w:p w14:paraId="19F0AC6A" w14:textId="77777777" w:rsidR="00FD0C46" w:rsidRPr="0041205C" w:rsidRDefault="00FD0C46"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10.5%</w:t>
            </w:r>
          </w:p>
        </w:tc>
        <w:tc>
          <w:tcPr>
            <w:tcW w:w="1339" w:type="dxa"/>
            <w:shd w:val="clear" w:color="auto" w:fill="D9E2F3" w:themeFill="accent5" w:themeFillTint="33"/>
            <w:noWrap/>
            <w:hideMark/>
          </w:tcPr>
          <w:p w14:paraId="41130BD7" w14:textId="77777777" w:rsidR="00FD0C46" w:rsidRPr="0041205C" w:rsidRDefault="00FD0C46"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11.2%</w:t>
            </w:r>
          </w:p>
        </w:tc>
        <w:tc>
          <w:tcPr>
            <w:tcW w:w="1339" w:type="dxa"/>
            <w:shd w:val="clear" w:color="auto" w:fill="D9E2F3" w:themeFill="accent5" w:themeFillTint="33"/>
            <w:noWrap/>
            <w:hideMark/>
          </w:tcPr>
          <w:p w14:paraId="12BA0CD4" w14:textId="77777777" w:rsidR="00FD0C46" w:rsidRPr="0041205C" w:rsidRDefault="00FD0C46"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11.1%</w:t>
            </w:r>
          </w:p>
        </w:tc>
        <w:tc>
          <w:tcPr>
            <w:tcW w:w="1339" w:type="dxa"/>
            <w:shd w:val="clear" w:color="auto" w:fill="D9E2F3" w:themeFill="accent5" w:themeFillTint="33"/>
            <w:noWrap/>
            <w:hideMark/>
          </w:tcPr>
          <w:p w14:paraId="068ACCB4" w14:textId="77777777" w:rsidR="00FD0C46" w:rsidRPr="0041205C" w:rsidRDefault="00FD0C46"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10.7%</w:t>
            </w:r>
          </w:p>
        </w:tc>
        <w:tc>
          <w:tcPr>
            <w:tcW w:w="1339" w:type="dxa"/>
            <w:shd w:val="clear" w:color="auto" w:fill="D9E2F3" w:themeFill="accent5" w:themeFillTint="33"/>
            <w:noWrap/>
            <w:hideMark/>
          </w:tcPr>
          <w:p w14:paraId="15DBC4E6" w14:textId="77777777" w:rsidR="00FD0C46" w:rsidRPr="0041205C" w:rsidRDefault="00FD0C46"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9.4%</w:t>
            </w:r>
          </w:p>
        </w:tc>
        <w:tc>
          <w:tcPr>
            <w:tcW w:w="1339" w:type="dxa"/>
            <w:shd w:val="clear" w:color="auto" w:fill="D9E2F3" w:themeFill="accent5" w:themeFillTint="33"/>
          </w:tcPr>
          <w:p w14:paraId="2B1D652D" w14:textId="77777777" w:rsidR="00FD0C46" w:rsidRPr="0041205C" w:rsidRDefault="00FD0C46" w:rsidP="009E56F2">
            <w:pPr>
              <w:pStyle w:val="TableBodyText"/>
              <w:cnfStyle w:val="000000010000" w:firstRow="0" w:lastRow="0" w:firstColumn="0" w:lastColumn="0" w:oddVBand="0" w:evenVBand="0" w:oddHBand="0" w:evenHBand="1" w:firstRowFirstColumn="0" w:firstRowLastColumn="0" w:lastRowFirstColumn="0" w:lastRowLastColumn="0"/>
              <w:rPr>
                <w:color w:val="auto"/>
              </w:rPr>
            </w:pPr>
            <w:r w:rsidRPr="0041205C">
              <w:rPr>
                <w:color w:val="auto"/>
              </w:rPr>
              <w:t>10.1%</w:t>
            </w:r>
          </w:p>
        </w:tc>
      </w:tr>
    </w:tbl>
    <w:p w14:paraId="20165FA0" w14:textId="77777777" w:rsidR="00FD0C46" w:rsidRPr="00FD0C46" w:rsidRDefault="00FD0C46" w:rsidP="00E61D52">
      <w:pPr>
        <w:pStyle w:val="TableorFiguresNotesSources"/>
        <w:spacing w:before="0" w:after="240"/>
        <w:rPr>
          <w:color w:val="auto"/>
        </w:rPr>
      </w:pPr>
      <w:bookmarkStart w:id="154" w:name="_Toc135994084"/>
      <w:r w:rsidRPr="00FD0C46">
        <w:rPr>
          <w:color w:val="auto"/>
        </w:rPr>
        <w:t>Source: CDE Dataquest, “Four-Year Cohort Adjusted Cohort Outcome” Table for SY 2017–18 through SY 2022–23. Accessed September 14, 2022, for SY 2017–18 through SY 2021–22 and January 26, 2024, for SY 2022–23.</w:t>
      </w:r>
      <w:bookmarkEnd w:id="154"/>
    </w:p>
    <w:p w14:paraId="7F621450" w14:textId="77777777" w:rsidR="00605C16" w:rsidRPr="000C5448" w:rsidRDefault="00605C16" w:rsidP="007B711B">
      <w:pPr>
        <w:pStyle w:val="Heading3"/>
        <w:spacing w:after="240"/>
      </w:pPr>
      <w:bookmarkStart w:id="155" w:name="_Toc469510915"/>
      <w:bookmarkStart w:id="156" w:name="_Toc472607017"/>
      <w:bookmarkStart w:id="157" w:name="_Toc496195912"/>
      <w:bookmarkStart w:id="158" w:name="_Toc188361322"/>
      <w:r w:rsidRPr="00791079">
        <w:lastRenderedPageBreak/>
        <w:t>Out-</w:t>
      </w:r>
      <w:r w:rsidRPr="000C5448">
        <w:t>of-School Youth</w:t>
      </w:r>
      <w:bookmarkEnd w:id="155"/>
      <w:bookmarkEnd w:id="156"/>
      <w:bookmarkEnd w:id="157"/>
      <w:bookmarkEnd w:id="158"/>
    </w:p>
    <w:p w14:paraId="70B22D42" w14:textId="0901F612" w:rsidR="00605C16" w:rsidRPr="000C5448" w:rsidRDefault="00605C16" w:rsidP="007B711B">
      <w:pPr>
        <w:spacing w:after="240"/>
        <w:rPr>
          <w:rFonts w:cs="Arial"/>
        </w:rPr>
      </w:pPr>
      <w:r w:rsidRPr="000C5448">
        <w:rPr>
          <w:rFonts w:cs="Arial"/>
        </w:rPr>
        <w:t>California’s migratory OSY are youth</w:t>
      </w:r>
      <w:r w:rsidR="00261754">
        <w:rPr>
          <w:rFonts w:cs="Arial"/>
        </w:rPr>
        <w:t>s aged</w:t>
      </w:r>
      <w:r w:rsidRPr="000C5448">
        <w:rPr>
          <w:rFonts w:cs="Arial"/>
        </w:rPr>
        <w:t xml:space="preserve"> up </w:t>
      </w:r>
      <w:r w:rsidR="00261754">
        <w:rPr>
          <w:rFonts w:cs="Arial"/>
        </w:rPr>
        <w:t>to</w:t>
      </w:r>
      <w:r w:rsidRPr="000C5448">
        <w:rPr>
          <w:rFonts w:cs="Arial"/>
        </w:rPr>
        <w:t xml:space="preserve"> </w:t>
      </w:r>
      <w:r w:rsidR="00ED2F05">
        <w:rPr>
          <w:rFonts w:cs="Arial"/>
        </w:rPr>
        <w:t>twenty-one</w:t>
      </w:r>
      <w:r w:rsidRPr="000C5448">
        <w:rPr>
          <w:rFonts w:cs="Arial"/>
        </w:rPr>
        <w:t xml:space="preserve"> </w:t>
      </w:r>
      <w:r w:rsidR="00261754">
        <w:rPr>
          <w:rFonts w:cs="Arial"/>
        </w:rPr>
        <w:t xml:space="preserve">years </w:t>
      </w:r>
      <w:r w:rsidRPr="000C5448">
        <w:rPr>
          <w:rFonts w:cs="Arial"/>
        </w:rPr>
        <w:t>who are currently not enrolled in a K–12 school, and have not graduated from high school, or passed a high school equivalency examination. Migratory OSY may include youth</w:t>
      </w:r>
      <w:r w:rsidR="006E7B6E">
        <w:rPr>
          <w:rFonts w:cs="Arial"/>
        </w:rPr>
        <w:t>s</w:t>
      </w:r>
      <w:r w:rsidRPr="000C5448">
        <w:rPr>
          <w:rFonts w:cs="Arial"/>
        </w:rPr>
        <w:t xml:space="preserve"> who have dropped out of school, are working on credit recovery outside of a K–12 </w:t>
      </w:r>
      <w:r w:rsidR="00F8556E" w:rsidRPr="000C5448">
        <w:rPr>
          <w:rFonts w:cs="Arial"/>
        </w:rPr>
        <w:t>school or</w:t>
      </w:r>
      <w:r w:rsidRPr="000C5448">
        <w:rPr>
          <w:rFonts w:cs="Arial"/>
        </w:rPr>
        <w:t xml:space="preserve"> are here-to-work. Here-to-work OSY are youth</w:t>
      </w:r>
      <w:r w:rsidR="006E7B6E">
        <w:rPr>
          <w:rFonts w:cs="Arial"/>
        </w:rPr>
        <w:t>s</w:t>
      </w:r>
      <w:r w:rsidRPr="000C5448">
        <w:rPr>
          <w:rFonts w:cs="Arial"/>
        </w:rPr>
        <w:t xml:space="preserve"> who have moved to the United States with the primary purpose of working, many of whom are traveling and working without a guardian. </w:t>
      </w:r>
    </w:p>
    <w:p w14:paraId="4D315F10" w14:textId="77777777" w:rsidR="00791079" w:rsidRPr="000C5448" w:rsidRDefault="00791079" w:rsidP="007B711B">
      <w:pPr>
        <w:pStyle w:val="Heading4"/>
        <w:spacing w:after="240"/>
      </w:pPr>
      <w:bookmarkStart w:id="159" w:name="_Toc154499396"/>
      <w:bookmarkStart w:id="160" w:name="_Toc163813444"/>
      <w:r w:rsidRPr="000C5448">
        <w:rPr>
          <w:rFonts w:cs="Arial"/>
        </w:rPr>
        <w:t>Changes in Out-of-School Youths’</w:t>
      </w:r>
      <w:r w:rsidRPr="000C5448">
        <w:t xml:space="preserve"> Interest in Migrant Education Program Educational Services</w:t>
      </w:r>
      <w:bookmarkEnd w:id="159"/>
      <w:bookmarkEnd w:id="160"/>
    </w:p>
    <w:p w14:paraId="28B9ABBA" w14:textId="77777777" w:rsidR="00CD0419" w:rsidRDefault="00791079" w:rsidP="000C5448">
      <w:pPr>
        <w:pStyle w:val="Paragraph"/>
        <w:spacing w:after="240" w:line="240" w:lineRule="auto"/>
        <w:rPr>
          <w:noProof w:val="0"/>
          <w:color w:val="auto"/>
        </w:rPr>
      </w:pPr>
      <w:r w:rsidRPr="000C5448">
        <w:rPr>
          <w:noProof w:val="0"/>
          <w:color w:val="auto"/>
        </w:rPr>
        <w:t xml:space="preserve">Because OSYs are no longer enrolled in school, the local MEPs cannot rely on academic performance data to help identify the educational needs of these youths. The </w:t>
      </w:r>
      <w:r w:rsidR="00FE38B3">
        <w:rPr>
          <w:noProof w:val="0"/>
          <w:color w:val="auto"/>
        </w:rPr>
        <w:t>Individual Needs Assessment (INA)/Individual Learning Plan (ILP)</w:t>
      </w:r>
      <w:r w:rsidRPr="000C5448">
        <w:rPr>
          <w:noProof w:val="0"/>
          <w:color w:val="auto"/>
        </w:rPr>
        <w:t xml:space="preserve"> forms for OSYs ask youths specifically about their interest in certain educational services, including English literacy, home language literacy, and</w:t>
      </w:r>
      <w:r w:rsidR="002275FF">
        <w:rPr>
          <w:noProof w:val="0"/>
          <w:color w:val="auto"/>
        </w:rPr>
        <w:t xml:space="preserve"> general education diploma</w:t>
      </w:r>
      <w:r w:rsidRPr="000C5448">
        <w:rPr>
          <w:noProof w:val="0"/>
          <w:color w:val="auto"/>
        </w:rPr>
        <w:t xml:space="preserve"> </w:t>
      </w:r>
      <w:r w:rsidR="002275FF">
        <w:rPr>
          <w:noProof w:val="0"/>
          <w:color w:val="auto"/>
        </w:rPr>
        <w:t>(</w:t>
      </w:r>
      <w:r w:rsidRPr="000C5448">
        <w:rPr>
          <w:noProof w:val="0"/>
          <w:color w:val="auto"/>
        </w:rPr>
        <w:t>GED</w:t>
      </w:r>
      <w:r w:rsidR="002275FF">
        <w:rPr>
          <w:noProof w:val="0"/>
          <w:color w:val="auto"/>
        </w:rPr>
        <w:t>)</w:t>
      </w:r>
      <w:r w:rsidRPr="000C5448">
        <w:rPr>
          <w:noProof w:val="0"/>
          <w:color w:val="auto"/>
        </w:rPr>
        <w:t>/</w:t>
      </w:r>
      <w:r w:rsidR="002275FF">
        <w:rPr>
          <w:noProof w:val="0"/>
          <w:color w:val="auto"/>
        </w:rPr>
        <w:t>high school equivalency program (</w:t>
      </w:r>
      <w:r w:rsidRPr="000C5448">
        <w:rPr>
          <w:noProof w:val="0"/>
          <w:color w:val="auto"/>
        </w:rPr>
        <w:t>HEP</w:t>
      </w:r>
      <w:r w:rsidR="002275FF">
        <w:rPr>
          <w:noProof w:val="0"/>
          <w:color w:val="auto"/>
        </w:rPr>
        <w:t>)</w:t>
      </w:r>
      <w:r w:rsidRPr="000C5448">
        <w:rPr>
          <w:noProof w:val="0"/>
          <w:color w:val="auto"/>
        </w:rPr>
        <w:t xml:space="preserve">. </w:t>
      </w:r>
    </w:p>
    <w:p w14:paraId="236D27F6" w14:textId="646198BD" w:rsidR="00CD0419" w:rsidRDefault="00CD0419" w:rsidP="00CD0419">
      <w:pPr>
        <w:pStyle w:val="Heading4"/>
        <w:spacing w:after="240"/>
      </w:pPr>
      <w:r>
        <w:t>Key Findings</w:t>
      </w:r>
    </w:p>
    <w:p w14:paraId="3EB4EE0F" w14:textId="77777777" w:rsidR="00CD0419" w:rsidRPr="00CD0419" w:rsidRDefault="00791079" w:rsidP="009670FC">
      <w:pPr>
        <w:pStyle w:val="Paragraph"/>
        <w:numPr>
          <w:ilvl w:val="0"/>
          <w:numId w:val="45"/>
        </w:numPr>
        <w:spacing w:after="240" w:line="240" w:lineRule="auto"/>
        <w:rPr>
          <w:noProof w:val="0"/>
          <w:color w:val="auto"/>
        </w:rPr>
      </w:pPr>
      <w:r w:rsidRPr="000C5448">
        <w:rPr>
          <w:noProof w:val="0"/>
          <w:color w:val="auto"/>
        </w:rPr>
        <w:t>Between the 2020–21 and 2022–23 performance periods, the percentage of OSYs who indicated an interest in an educational service on their INA/ILP forms decreased from 77 percent to 44 percent.</w:t>
      </w:r>
      <w:r w:rsidRPr="000C5448">
        <w:rPr>
          <w:b/>
          <w:bCs/>
          <w:noProof w:val="0"/>
          <w:color w:val="auto"/>
        </w:rPr>
        <w:t xml:space="preserve"> </w:t>
      </w:r>
    </w:p>
    <w:p w14:paraId="0DF5283B" w14:textId="10B76800" w:rsidR="00CD0419" w:rsidRDefault="00CD0419" w:rsidP="009670FC">
      <w:pPr>
        <w:pStyle w:val="Paragraph"/>
        <w:numPr>
          <w:ilvl w:val="0"/>
          <w:numId w:val="45"/>
        </w:numPr>
        <w:spacing w:after="240" w:line="240" w:lineRule="auto"/>
        <w:rPr>
          <w:noProof w:val="0"/>
          <w:color w:val="auto"/>
        </w:rPr>
      </w:pPr>
      <w:r>
        <w:rPr>
          <w:noProof w:val="0"/>
          <w:color w:val="auto"/>
        </w:rPr>
        <w:t>The number of completed INAs for OSY has increased considerably from 2020–</w:t>
      </w:r>
      <w:r w:rsidR="004B26DA">
        <w:rPr>
          <w:noProof w:val="0"/>
          <w:color w:val="auto"/>
        </w:rPr>
        <w:t> </w:t>
      </w:r>
      <w:r>
        <w:rPr>
          <w:noProof w:val="0"/>
          <w:color w:val="auto"/>
        </w:rPr>
        <w:t>21 with the implementation of the standardized, electronic INA.</w:t>
      </w:r>
    </w:p>
    <w:p w14:paraId="7716CEAD" w14:textId="77777777" w:rsidR="00CD0419" w:rsidRDefault="00CD0419" w:rsidP="009670FC">
      <w:pPr>
        <w:pStyle w:val="Paragraph"/>
        <w:numPr>
          <w:ilvl w:val="0"/>
          <w:numId w:val="45"/>
        </w:numPr>
        <w:spacing w:line="240" w:lineRule="auto"/>
        <w:rPr>
          <w:noProof w:val="0"/>
          <w:color w:val="auto"/>
        </w:rPr>
      </w:pPr>
      <w:r w:rsidRPr="000C5448">
        <w:rPr>
          <w:noProof w:val="0"/>
          <w:color w:val="auto"/>
        </w:rPr>
        <w:t xml:space="preserve">Measured as a percentage of youths who indicated an interest in a type of service on their INA/ILP, OSYs’ interest in English literacy declined by 27 percentage points between the 2020–21 and 2022–23 performance periods (from 60 percent to 33 percent). </w:t>
      </w:r>
    </w:p>
    <w:p w14:paraId="44E0A39D" w14:textId="77777777" w:rsidR="00CD0419" w:rsidRDefault="00CD0419" w:rsidP="009670FC">
      <w:pPr>
        <w:pStyle w:val="Paragraph"/>
        <w:numPr>
          <w:ilvl w:val="0"/>
          <w:numId w:val="45"/>
        </w:numPr>
        <w:spacing w:line="240" w:lineRule="auto"/>
        <w:rPr>
          <w:noProof w:val="0"/>
          <w:color w:val="auto"/>
        </w:rPr>
      </w:pPr>
      <w:r w:rsidRPr="000C5448">
        <w:rPr>
          <w:noProof w:val="0"/>
          <w:color w:val="auto"/>
        </w:rPr>
        <w:t>Their interest in GED/HEP also declined during that time, from 35 percent to 24 percent. Despite these large declines, English literacy and GED/HEP services continue to be the educational services that OSYs are most interested in.</w:t>
      </w:r>
    </w:p>
    <w:p w14:paraId="0CF71562" w14:textId="133BF443" w:rsidR="00E0112A" w:rsidRDefault="00252151" w:rsidP="00252151">
      <w:pPr>
        <w:pStyle w:val="Paragraph"/>
        <w:spacing w:line="240" w:lineRule="auto"/>
        <w:rPr>
          <w:rFonts w:eastAsia="Times New Roman" w:cs="Arial"/>
          <w:b/>
          <w:color w:val="1F3864" w:themeColor="accent5" w:themeShade="80"/>
        </w:rPr>
      </w:pPr>
      <w:r>
        <w:rPr>
          <w:noProof w:val="0"/>
          <w:color w:val="auto"/>
        </w:rPr>
        <w:t>Table 22</w:t>
      </w:r>
      <w:r w:rsidR="00791079" w:rsidRPr="000C5448">
        <w:rPr>
          <w:noProof w:val="0"/>
          <w:color w:val="auto"/>
        </w:rPr>
        <w:t xml:space="preserve"> shows the number of OSYs who completed an INA/ILP each performance period and the number and percentage who indicated an interest in educational services.</w:t>
      </w:r>
      <w:r w:rsidR="00CD0419">
        <w:rPr>
          <w:noProof w:val="0"/>
          <w:color w:val="auto"/>
        </w:rPr>
        <w:t xml:space="preserve"> </w:t>
      </w:r>
      <w:r>
        <w:rPr>
          <w:noProof w:val="0"/>
          <w:color w:val="auto"/>
        </w:rPr>
        <w:t>Figure 20 illustrates</w:t>
      </w:r>
      <w:r w:rsidR="00CD0419" w:rsidRPr="000C5448">
        <w:rPr>
          <w:noProof w:val="0"/>
          <w:color w:val="auto"/>
        </w:rPr>
        <w:t xml:space="preserve"> the percentage of OSYs who indicated an interest in a particular educational service type from the 2020–21 through the 2022–23 performance periods.</w:t>
      </w:r>
      <w:r>
        <w:rPr>
          <w:noProof w:val="0"/>
          <w:color w:val="auto"/>
        </w:rPr>
        <w:t xml:space="preserve"> Table 23 displays data from figure 20 in table format.</w:t>
      </w:r>
      <w:r w:rsidR="00E0112A">
        <w:rPr>
          <w:color w:val="1F3864" w:themeColor="accent5" w:themeShade="80"/>
        </w:rPr>
        <w:br w:type="page"/>
      </w:r>
    </w:p>
    <w:p w14:paraId="4D3072A3" w14:textId="2D018B2E" w:rsidR="000C5448" w:rsidRPr="00AB15FE" w:rsidRDefault="00AB15FE" w:rsidP="00792C07">
      <w:pPr>
        <w:pStyle w:val="Heading5"/>
      </w:pPr>
      <w:bookmarkStart w:id="161" w:name="_Toc188030587"/>
      <w:r w:rsidRPr="00AB15FE">
        <w:lastRenderedPageBreak/>
        <w:t xml:space="preserve">Table </w:t>
      </w:r>
      <w:fldSimple w:instr=" SEQ Table \* ARABIC ">
        <w:r w:rsidR="00D04DC5">
          <w:rPr>
            <w:noProof/>
          </w:rPr>
          <w:t>22</w:t>
        </w:r>
      </w:fldSimple>
      <w:r w:rsidRPr="00AB15FE">
        <w:t>. Number and Percentage of Out-of-School Youths Indicating an Interest in an Educational Service, 2020–21 Through 2022–23 Performance Periods</w:t>
      </w:r>
      <w:bookmarkEnd w:id="161"/>
    </w:p>
    <w:tbl>
      <w:tblPr>
        <w:tblStyle w:val="GridTable4-Accent5"/>
        <w:tblW w:w="9388" w:type="dxa"/>
        <w:tblLayout w:type="fixed"/>
        <w:tblLook w:val="04A0" w:firstRow="1" w:lastRow="0" w:firstColumn="1" w:lastColumn="0" w:noHBand="0" w:noVBand="1"/>
      </w:tblPr>
      <w:tblGrid>
        <w:gridCol w:w="1885"/>
        <w:gridCol w:w="2070"/>
        <w:gridCol w:w="2790"/>
        <w:gridCol w:w="2643"/>
      </w:tblGrid>
      <w:tr w:rsidR="00791079" w:rsidRPr="000C11B2" w14:paraId="4D6E3373" w14:textId="77777777" w:rsidTr="009D10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85" w:type="dxa"/>
          </w:tcPr>
          <w:p w14:paraId="27ECA607" w14:textId="77777777" w:rsidR="00791079" w:rsidRPr="00E0112A" w:rsidRDefault="00791079" w:rsidP="00CF280A">
            <w:pPr>
              <w:pStyle w:val="TableHeaderRow"/>
              <w:spacing w:line="240" w:lineRule="auto"/>
              <w:rPr>
                <w:szCs w:val="24"/>
              </w:rPr>
            </w:pPr>
            <w:r w:rsidRPr="00E0112A">
              <w:rPr>
                <w:szCs w:val="24"/>
              </w:rPr>
              <w:t>Performance Period</w:t>
            </w:r>
          </w:p>
        </w:tc>
        <w:tc>
          <w:tcPr>
            <w:tcW w:w="2070" w:type="dxa"/>
          </w:tcPr>
          <w:p w14:paraId="3CAA1789" w14:textId="77777777" w:rsidR="00791079" w:rsidRPr="00E0112A" w:rsidRDefault="00791079" w:rsidP="00CF280A">
            <w:pPr>
              <w:pStyle w:val="TableHeaderRow"/>
              <w:spacing w:line="240" w:lineRule="auto"/>
              <w:cnfStyle w:val="100000000000" w:firstRow="1" w:lastRow="0" w:firstColumn="0" w:lastColumn="0" w:oddVBand="0" w:evenVBand="0" w:oddHBand="0" w:evenHBand="0" w:firstRowFirstColumn="0" w:firstRowLastColumn="0" w:lastRowFirstColumn="0" w:lastRowLastColumn="0"/>
              <w:rPr>
                <w:szCs w:val="24"/>
              </w:rPr>
            </w:pPr>
            <w:r w:rsidRPr="00E0112A">
              <w:rPr>
                <w:szCs w:val="24"/>
              </w:rPr>
              <w:t>Number of OSYs Completing an INA/ILP</w:t>
            </w:r>
          </w:p>
        </w:tc>
        <w:tc>
          <w:tcPr>
            <w:tcW w:w="2790" w:type="dxa"/>
          </w:tcPr>
          <w:p w14:paraId="6455B710" w14:textId="77777777" w:rsidR="00791079" w:rsidRPr="00E0112A" w:rsidRDefault="00791079" w:rsidP="00CF280A">
            <w:pPr>
              <w:pStyle w:val="TableHeaderRow"/>
              <w:spacing w:line="240" w:lineRule="auto"/>
              <w:cnfStyle w:val="100000000000" w:firstRow="1" w:lastRow="0" w:firstColumn="0" w:lastColumn="0" w:oddVBand="0" w:evenVBand="0" w:oddHBand="0" w:evenHBand="0" w:firstRowFirstColumn="0" w:firstRowLastColumn="0" w:lastRowFirstColumn="0" w:lastRowLastColumn="0"/>
              <w:rPr>
                <w:szCs w:val="24"/>
              </w:rPr>
            </w:pPr>
            <w:r w:rsidRPr="00E0112A">
              <w:rPr>
                <w:szCs w:val="24"/>
              </w:rPr>
              <w:t>Number Indicating an Interest in Educational Services</w:t>
            </w:r>
          </w:p>
        </w:tc>
        <w:tc>
          <w:tcPr>
            <w:tcW w:w="2643" w:type="dxa"/>
          </w:tcPr>
          <w:p w14:paraId="475CC7EA" w14:textId="77777777" w:rsidR="00791079" w:rsidRPr="00E0112A" w:rsidRDefault="00791079" w:rsidP="00CF280A">
            <w:pPr>
              <w:pStyle w:val="TableHeaderRow"/>
              <w:spacing w:line="240" w:lineRule="auto"/>
              <w:cnfStyle w:val="100000000000" w:firstRow="1" w:lastRow="0" w:firstColumn="0" w:lastColumn="0" w:oddVBand="0" w:evenVBand="0" w:oddHBand="0" w:evenHBand="0" w:firstRowFirstColumn="0" w:firstRowLastColumn="0" w:lastRowFirstColumn="0" w:lastRowLastColumn="0"/>
              <w:rPr>
                <w:szCs w:val="24"/>
              </w:rPr>
            </w:pPr>
            <w:r w:rsidRPr="00E0112A">
              <w:rPr>
                <w:szCs w:val="24"/>
              </w:rPr>
              <w:t>Percentage Indicating an Interest in Educational Services</w:t>
            </w:r>
          </w:p>
        </w:tc>
      </w:tr>
      <w:tr w:rsidR="00791079" w:rsidRPr="000C11B2" w14:paraId="21A4CDE5" w14:textId="77777777" w:rsidTr="009D10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Pr>
          <w:p w14:paraId="17B89BA5" w14:textId="77777777" w:rsidR="00791079" w:rsidRPr="00E0112A" w:rsidRDefault="00791079" w:rsidP="0041205C">
            <w:pPr>
              <w:pStyle w:val="TableCategoryText"/>
            </w:pPr>
            <w:r w:rsidRPr="00E0112A">
              <w:t>2020–21</w:t>
            </w:r>
          </w:p>
        </w:tc>
        <w:tc>
          <w:tcPr>
            <w:tcW w:w="2070" w:type="dxa"/>
          </w:tcPr>
          <w:p w14:paraId="2037CCC1" w14:textId="77777777" w:rsidR="00791079" w:rsidRPr="00E0112A" w:rsidRDefault="00791079" w:rsidP="00CF280A">
            <w:pPr>
              <w:pStyle w:val="TableBodyText"/>
              <w:spacing w:line="240" w:lineRule="auto"/>
              <w:cnfStyle w:val="000000100000" w:firstRow="0" w:lastRow="0" w:firstColumn="0" w:lastColumn="0" w:oddVBand="0" w:evenVBand="0" w:oddHBand="1" w:evenHBand="0" w:firstRowFirstColumn="0" w:firstRowLastColumn="0" w:lastRowFirstColumn="0" w:lastRowLastColumn="0"/>
              <w:rPr>
                <w:color w:val="auto"/>
                <w:szCs w:val="24"/>
              </w:rPr>
            </w:pPr>
            <w:r w:rsidRPr="00E0112A">
              <w:rPr>
                <w:color w:val="auto"/>
                <w:szCs w:val="24"/>
              </w:rPr>
              <w:t>1,724</w:t>
            </w:r>
          </w:p>
        </w:tc>
        <w:tc>
          <w:tcPr>
            <w:tcW w:w="2790" w:type="dxa"/>
          </w:tcPr>
          <w:p w14:paraId="17B6CA5A" w14:textId="77777777" w:rsidR="00791079" w:rsidRPr="00E0112A" w:rsidRDefault="00791079" w:rsidP="00CF280A">
            <w:pPr>
              <w:pStyle w:val="TableBodyText"/>
              <w:spacing w:line="240" w:lineRule="auto"/>
              <w:cnfStyle w:val="000000100000" w:firstRow="0" w:lastRow="0" w:firstColumn="0" w:lastColumn="0" w:oddVBand="0" w:evenVBand="0" w:oddHBand="1" w:evenHBand="0" w:firstRowFirstColumn="0" w:firstRowLastColumn="0" w:lastRowFirstColumn="0" w:lastRowLastColumn="0"/>
              <w:rPr>
                <w:color w:val="auto"/>
                <w:szCs w:val="24"/>
              </w:rPr>
            </w:pPr>
            <w:r w:rsidRPr="00E0112A">
              <w:rPr>
                <w:color w:val="auto"/>
                <w:szCs w:val="24"/>
              </w:rPr>
              <w:t>1,324</w:t>
            </w:r>
          </w:p>
        </w:tc>
        <w:tc>
          <w:tcPr>
            <w:tcW w:w="2643" w:type="dxa"/>
          </w:tcPr>
          <w:p w14:paraId="5A7DA80C" w14:textId="77777777" w:rsidR="00791079" w:rsidRPr="00E0112A" w:rsidRDefault="00791079" w:rsidP="00CF280A">
            <w:pPr>
              <w:pStyle w:val="TableBodyText"/>
              <w:spacing w:line="240" w:lineRule="auto"/>
              <w:cnfStyle w:val="000000100000" w:firstRow="0" w:lastRow="0" w:firstColumn="0" w:lastColumn="0" w:oddVBand="0" w:evenVBand="0" w:oddHBand="1" w:evenHBand="0" w:firstRowFirstColumn="0" w:firstRowLastColumn="0" w:lastRowFirstColumn="0" w:lastRowLastColumn="0"/>
              <w:rPr>
                <w:color w:val="auto"/>
                <w:szCs w:val="24"/>
              </w:rPr>
            </w:pPr>
            <w:r w:rsidRPr="00E0112A">
              <w:rPr>
                <w:color w:val="auto"/>
                <w:szCs w:val="24"/>
              </w:rPr>
              <w:t>77%</w:t>
            </w:r>
          </w:p>
        </w:tc>
      </w:tr>
      <w:tr w:rsidR="00791079" w:rsidRPr="000C11B2" w14:paraId="6D6152A5" w14:textId="77777777" w:rsidTr="009D10E5">
        <w:trPr>
          <w:cantSplit/>
        </w:trPr>
        <w:tc>
          <w:tcPr>
            <w:cnfStyle w:val="001000000000" w:firstRow="0" w:lastRow="0" w:firstColumn="1" w:lastColumn="0" w:oddVBand="0" w:evenVBand="0" w:oddHBand="0" w:evenHBand="0" w:firstRowFirstColumn="0" w:firstRowLastColumn="0" w:lastRowFirstColumn="0" w:lastRowLastColumn="0"/>
            <w:tcW w:w="1885" w:type="dxa"/>
          </w:tcPr>
          <w:p w14:paraId="4A7B957E" w14:textId="77777777" w:rsidR="00791079" w:rsidRPr="00E0112A" w:rsidRDefault="00791079" w:rsidP="0041205C">
            <w:pPr>
              <w:pStyle w:val="TableCategoryText"/>
            </w:pPr>
            <w:r w:rsidRPr="00E0112A">
              <w:t>2021–22</w:t>
            </w:r>
          </w:p>
        </w:tc>
        <w:tc>
          <w:tcPr>
            <w:tcW w:w="2070" w:type="dxa"/>
          </w:tcPr>
          <w:p w14:paraId="0222F1AC" w14:textId="77777777" w:rsidR="00791079" w:rsidRPr="00E0112A" w:rsidRDefault="00791079" w:rsidP="00CF280A">
            <w:pPr>
              <w:pStyle w:val="TableBodyText"/>
              <w:spacing w:line="240" w:lineRule="auto"/>
              <w:cnfStyle w:val="000000000000" w:firstRow="0" w:lastRow="0" w:firstColumn="0" w:lastColumn="0" w:oddVBand="0" w:evenVBand="0" w:oddHBand="0" w:evenHBand="0" w:firstRowFirstColumn="0" w:firstRowLastColumn="0" w:lastRowFirstColumn="0" w:lastRowLastColumn="0"/>
              <w:rPr>
                <w:color w:val="auto"/>
                <w:szCs w:val="24"/>
              </w:rPr>
            </w:pPr>
            <w:r w:rsidRPr="00E0112A">
              <w:rPr>
                <w:color w:val="auto"/>
                <w:szCs w:val="24"/>
              </w:rPr>
              <w:t>3,086</w:t>
            </w:r>
          </w:p>
        </w:tc>
        <w:tc>
          <w:tcPr>
            <w:tcW w:w="2790" w:type="dxa"/>
          </w:tcPr>
          <w:p w14:paraId="119E005F" w14:textId="77777777" w:rsidR="00791079" w:rsidRPr="00E0112A" w:rsidRDefault="00791079" w:rsidP="00CF280A">
            <w:pPr>
              <w:pStyle w:val="TableBodyText"/>
              <w:spacing w:line="240" w:lineRule="auto"/>
              <w:cnfStyle w:val="000000000000" w:firstRow="0" w:lastRow="0" w:firstColumn="0" w:lastColumn="0" w:oddVBand="0" w:evenVBand="0" w:oddHBand="0" w:evenHBand="0" w:firstRowFirstColumn="0" w:firstRowLastColumn="0" w:lastRowFirstColumn="0" w:lastRowLastColumn="0"/>
              <w:rPr>
                <w:color w:val="auto"/>
                <w:szCs w:val="24"/>
              </w:rPr>
            </w:pPr>
            <w:r w:rsidRPr="00E0112A">
              <w:rPr>
                <w:color w:val="auto"/>
                <w:szCs w:val="24"/>
              </w:rPr>
              <w:t>1,764</w:t>
            </w:r>
          </w:p>
        </w:tc>
        <w:tc>
          <w:tcPr>
            <w:tcW w:w="2643" w:type="dxa"/>
          </w:tcPr>
          <w:p w14:paraId="7580E86B" w14:textId="77777777" w:rsidR="00791079" w:rsidRPr="00E0112A" w:rsidRDefault="00791079" w:rsidP="00CF280A">
            <w:pPr>
              <w:pStyle w:val="TableBodyText"/>
              <w:spacing w:line="240" w:lineRule="auto"/>
              <w:cnfStyle w:val="000000000000" w:firstRow="0" w:lastRow="0" w:firstColumn="0" w:lastColumn="0" w:oddVBand="0" w:evenVBand="0" w:oddHBand="0" w:evenHBand="0" w:firstRowFirstColumn="0" w:firstRowLastColumn="0" w:lastRowFirstColumn="0" w:lastRowLastColumn="0"/>
              <w:rPr>
                <w:color w:val="auto"/>
                <w:szCs w:val="24"/>
              </w:rPr>
            </w:pPr>
            <w:r w:rsidRPr="00E0112A">
              <w:rPr>
                <w:color w:val="auto"/>
                <w:szCs w:val="24"/>
              </w:rPr>
              <w:t>57%</w:t>
            </w:r>
          </w:p>
        </w:tc>
      </w:tr>
      <w:tr w:rsidR="00791079" w:rsidRPr="000C11B2" w14:paraId="799D84A5" w14:textId="77777777" w:rsidTr="009D10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Pr>
          <w:p w14:paraId="49AC74DC" w14:textId="77777777" w:rsidR="00791079" w:rsidRPr="00E0112A" w:rsidRDefault="00791079" w:rsidP="0041205C">
            <w:pPr>
              <w:pStyle w:val="TableCategoryText"/>
            </w:pPr>
            <w:r w:rsidRPr="00E0112A">
              <w:t>2022–23</w:t>
            </w:r>
          </w:p>
        </w:tc>
        <w:tc>
          <w:tcPr>
            <w:tcW w:w="2070" w:type="dxa"/>
          </w:tcPr>
          <w:p w14:paraId="780BEB91" w14:textId="77777777" w:rsidR="00791079" w:rsidRPr="00E0112A" w:rsidRDefault="00791079" w:rsidP="00CF280A">
            <w:pPr>
              <w:pStyle w:val="TableBodyText"/>
              <w:spacing w:line="240" w:lineRule="auto"/>
              <w:cnfStyle w:val="000000100000" w:firstRow="0" w:lastRow="0" w:firstColumn="0" w:lastColumn="0" w:oddVBand="0" w:evenVBand="0" w:oddHBand="1" w:evenHBand="0" w:firstRowFirstColumn="0" w:firstRowLastColumn="0" w:lastRowFirstColumn="0" w:lastRowLastColumn="0"/>
              <w:rPr>
                <w:color w:val="auto"/>
                <w:szCs w:val="24"/>
              </w:rPr>
            </w:pPr>
            <w:r w:rsidRPr="00E0112A">
              <w:rPr>
                <w:color w:val="auto"/>
                <w:szCs w:val="24"/>
              </w:rPr>
              <w:t>3,017</w:t>
            </w:r>
          </w:p>
        </w:tc>
        <w:tc>
          <w:tcPr>
            <w:tcW w:w="2790" w:type="dxa"/>
          </w:tcPr>
          <w:p w14:paraId="7C591D19" w14:textId="77777777" w:rsidR="00791079" w:rsidRPr="00E0112A" w:rsidRDefault="00791079" w:rsidP="00CF280A">
            <w:pPr>
              <w:pStyle w:val="TableBodyText"/>
              <w:spacing w:line="240" w:lineRule="auto"/>
              <w:cnfStyle w:val="000000100000" w:firstRow="0" w:lastRow="0" w:firstColumn="0" w:lastColumn="0" w:oddVBand="0" w:evenVBand="0" w:oddHBand="1" w:evenHBand="0" w:firstRowFirstColumn="0" w:firstRowLastColumn="0" w:lastRowFirstColumn="0" w:lastRowLastColumn="0"/>
              <w:rPr>
                <w:color w:val="auto"/>
                <w:szCs w:val="24"/>
              </w:rPr>
            </w:pPr>
            <w:r w:rsidRPr="00E0112A">
              <w:rPr>
                <w:color w:val="auto"/>
                <w:szCs w:val="24"/>
              </w:rPr>
              <w:t>1,318</w:t>
            </w:r>
          </w:p>
        </w:tc>
        <w:tc>
          <w:tcPr>
            <w:tcW w:w="2643" w:type="dxa"/>
          </w:tcPr>
          <w:p w14:paraId="01BE3901" w14:textId="77777777" w:rsidR="00791079" w:rsidRPr="00E0112A" w:rsidRDefault="00791079" w:rsidP="00CF280A">
            <w:pPr>
              <w:pStyle w:val="TableBodyText"/>
              <w:spacing w:line="240" w:lineRule="auto"/>
              <w:cnfStyle w:val="000000100000" w:firstRow="0" w:lastRow="0" w:firstColumn="0" w:lastColumn="0" w:oddVBand="0" w:evenVBand="0" w:oddHBand="1" w:evenHBand="0" w:firstRowFirstColumn="0" w:firstRowLastColumn="0" w:lastRowFirstColumn="0" w:lastRowLastColumn="0"/>
              <w:rPr>
                <w:color w:val="auto"/>
                <w:szCs w:val="24"/>
              </w:rPr>
            </w:pPr>
            <w:r w:rsidRPr="00E0112A">
              <w:rPr>
                <w:color w:val="auto"/>
                <w:szCs w:val="24"/>
              </w:rPr>
              <w:t>44%</w:t>
            </w:r>
          </w:p>
        </w:tc>
      </w:tr>
    </w:tbl>
    <w:p w14:paraId="2AF6B15F" w14:textId="0FA231BD" w:rsidR="00791079" w:rsidRPr="000C5448" w:rsidRDefault="00791079" w:rsidP="00CF280A">
      <w:pPr>
        <w:pStyle w:val="TableorFiguresNotesSources"/>
        <w:spacing w:after="240" w:line="240" w:lineRule="auto"/>
        <w:rPr>
          <w:color w:val="auto"/>
        </w:rPr>
      </w:pPr>
      <w:r w:rsidRPr="000C5448">
        <w:rPr>
          <w:color w:val="auto"/>
        </w:rPr>
        <w:t xml:space="preserve">Source: The MSIN </w:t>
      </w:r>
      <w:r w:rsidR="009E352E">
        <w:rPr>
          <w:color w:val="auto"/>
        </w:rPr>
        <w:t>databases</w:t>
      </w:r>
      <w:r w:rsidRPr="000C5448">
        <w:rPr>
          <w:color w:val="auto"/>
        </w:rPr>
        <w:t xml:space="preserve"> for the MEP,</w:t>
      </w:r>
      <w:r w:rsidR="003B43E6">
        <w:rPr>
          <w:color w:val="auto"/>
        </w:rPr>
        <w:t xml:space="preserve"> </w:t>
      </w:r>
      <w:r w:rsidRPr="000C5448">
        <w:rPr>
          <w:color w:val="auto"/>
        </w:rPr>
        <w:t>2020–21 through 2022–23 performance periods. Accessed December 2023.</w:t>
      </w:r>
    </w:p>
    <w:p w14:paraId="44D05D0A" w14:textId="789BBA17" w:rsidR="000C5448" w:rsidRPr="00AB15FE" w:rsidRDefault="00AB15FE" w:rsidP="00792C07">
      <w:pPr>
        <w:pStyle w:val="Heading5"/>
      </w:pPr>
      <w:bookmarkStart w:id="162" w:name="_Toc188030519"/>
      <w:r w:rsidRPr="00AB15FE">
        <w:t xml:space="preserve">Figure </w:t>
      </w:r>
      <w:fldSimple w:instr=" SEQ Figure \* ARABIC ">
        <w:r>
          <w:rPr>
            <w:noProof/>
          </w:rPr>
          <w:t>20</w:t>
        </w:r>
      </w:fldSimple>
      <w:r w:rsidRPr="00AB15FE">
        <w:t>. Percentage of Out-of-School Youths Indicating an Interest in an Educational Service, by Service Type, 2020–21 Through 2022–23 Performance Periods</w:t>
      </w:r>
      <w:bookmarkEnd w:id="162"/>
    </w:p>
    <w:p w14:paraId="6413695D" w14:textId="77777777" w:rsidR="00791079" w:rsidRDefault="00791079" w:rsidP="00CF280A">
      <w:pPr>
        <w:pStyle w:val="Figure"/>
      </w:pPr>
      <w:r>
        <w:drawing>
          <wp:inline distT="0" distB="0" distL="0" distR="0" wp14:anchorId="0825DFB0" wp14:editId="0726CDF7">
            <wp:extent cx="5486400" cy="4168775"/>
            <wp:effectExtent l="0" t="0" r="0" b="3175"/>
            <wp:docPr id="879100311" name="Chart 1" descr="Figure 20 is a line graphs showing changes in the percentage of OSYs indicating an interest in English literacy, GED/HEP, and home language literacy services, 2020–21 to 2022–23. Table 23 displays the same data in table format.">
              <a:extLst xmlns:a="http://schemas.openxmlformats.org/drawingml/2006/main">
                <a:ext uri="{FF2B5EF4-FFF2-40B4-BE49-F238E27FC236}">
                  <a16:creationId xmlns:a16="http://schemas.microsoft.com/office/drawing/2014/main" id="{A957E341-F52A-5C43-BE7C-ED384242BF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F93DA6B" w14:textId="215F9AE8" w:rsidR="00791079" w:rsidRDefault="00791079" w:rsidP="00CF280A">
      <w:pPr>
        <w:pStyle w:val="TableorFiguresNotesSources"/>
        <w:spacing w:after="240" w:line="240" w:lineRule="auto"/>
        <w:rPr>
          <w:color w:val="auto"/>
        </w:rPr>
      </w:pPr>
      <w:r w:rsidRPr="000C5448">
        <w:rPr>
          <w:color w:val="auto"/>
        </w:rPr>
        <w:t xml:space="preserve">Source: The MSIN </w:t>
      </w:r>
      <w:r w:rsidR="009E352E">
        <w:rPr>
          <w:color w:val="auto"/>
        </w:rPr>
        <w:t>databases</w:t>
      </w:r>
      <w:r w:rsidRPr="000C5448">
        <w:rPr>
          <w:color w:val="auto"/>
        </w:rPr>
        <w:t xml:space="preserve"> for the MEP,</w:t>
      </w:r>
      <w:r w:rsidR="003B43E6">
        <w:rPr>
          <w:color w:val="auto"/>
        </w:rPr>
        <w:t xml:space="preserve"> </w:t>
      </w:r>
      <w:r w:rsidRPr="000C5448">
        <w:rPr>
          <w:color w:val="auto"/>
        </w:rPr>
        <w:t>2020–21 through 2022–23 performance periods. Accessed December 2023.</w:t>
      </w:r>
    </w:p>
    <w:p w14:paraId="41164A8C" w14:textId="68FBEC4F" w:rsidR="00AB15FE" w:rsidRPr="00AB15FE" w:rsidRDefault="00AB15FE" w:rsidP="00792C07">
      <w:pPr>
        <w:pStyle w:val="Heading5"/>
      </w:pPr>
      <w:bookmarkStart w:id="163" w:name="_Toc188030588"/>
      <w:r w:rsidRPr="00AB15FE">
        <w:lastRenderedPageBreak/>
        <w:t xml:space="preserve">Table </w:t>
      </w:r>
      <w:fldSimple w:instr=" SEQ Table \* ARABIC ">
        <w:r w:rsidR="00D04DC5">
          <w:t>23</w:t>
        </w:r>
      </w:fldSimple>
      <w:r w:rsidRPr="00AB15FE">
        <w:t>. Percentage of Out-of-School Youths Indicating an Interest in an Educational Service, by Service Type, 2020–21 Through 2022–23 Performance Periods</w:t>
      </w:r>
      <w:bookmarkEnd w:id="163"/>
    </w:p>
    <w:tbl>
      <w:tblPr>
        <w:tblStyle w:val="ListTable3-Accent5"/>
        <w:tblW w:w="0" w:type="auto"/>
        <w:tblLayout w:type="fixed"/>
        <w:tblCellMar>
          <w:right w:w="108" w:type="dxa"/>
        </w:tblCellMar>
        <w:tblLook w:val="04A0" w:firstRow="1" w:lastRow="0" w:firstColumn="1" w:lastColumn="0" w:noHBand="0" w:noVBand="1"/>
      </w:tblPr>
      <w:tblGrid>
        <w:gridCol w:w="4608"/>
        <w:gridCol w:w="1584"/>
        <w:gridCol w:w="1584"/>
        <w:gridCol w:w="1584"/>
      </w:tblGrid>
      <w:tr w:rsidR="00E61D52" w:rsidRPr="00C2628E" w14:paraId="616F9A0E" w14:textId="77777777" w:rsidTr="009E56F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608" w:type="dxa"/>
          </w:tcPr>
          <w:p w14:paraId="63239BCA" w14:textId="77777777" w:rsidR="00E61D52" w:rsidRPr="00C2628E" w:rsidRDefault="00E61D52" w:rsidP="009E56F2">
            <w:pPr>
              <w:pStyle w:val="TableHeaderRow"/>
            </w:pPr>
            <w:r>
              <w:t xml:space="preserve">Educational Service </w:t>
            </w:r>
          </w:p>
        </w:tc>
        <w:tc>
          <w:tcPr>
            <w:tcW w:w="1584" w:type="dxa"/>
          </w:tcPr>
          <w:p w14:paraId="681C8C6A" w14:textId="77777777" w:rsidR="00E61D52" w:rsidRPr="00C2628E" w:rsidRDefault="00E61D52" w:rsidP="009E56F2">
            <w:pPr>
              <w:pStyle w:val="TableHeaderRow"/>
              <w:cnfStyle w:val="100000000000" w:firstRow="1" w:lastRow="0" w:firstColumn="0" w:lastColumn="0" w:oddVBand="0" w:evenVBand="0" w:oddHBand="0" w:evenHBand="0" w:firstRowFirstColumn="0" w:firstRowLastColumn="0" w:lastRowFirstColumn="0" w:lastRowLastColumn="0"/>
            </w:pPr>
            <w:r w:rsidRPr="00C2628E">
              <w:t>2020–21</w:t>
            </w:r>
          </w:p>
          <w:p w14:paraId="2A43BE43" w14:textId="77777777" w:rsidR="00E61D52" w:rsidRPr="00C2628E" w:rsidRDefault="00E61D52" w:rsidP="009E56F2">
            <w:pPr>
              <w:pStyle w:val="TableHeaderRow"/>
              <w:cnfStyle w:val="100000000000" w:firstRow="1" w:lastRow="0" w:firstColumn="0" w:lastColumn="0" w:oddVBand="0" w:evenVBand="0" w:oddHBand="0" w:evenHBand="0" w:firstRowFirstColumn="0" w:firstRowLastColumn="0" w:lastRowFirstColumn="0" w:lastRowLastColumn="0"/>
            </w:pPr>
            <w:r w:rsidRPr="00C2628E">
              <w:t>(N=1,724)</w:t>
            </w:r>
          </w:p>
        </w:tc>
        <w:tc>
          <w:tcPr>
            <w:tcW w:w="1584" w:type="dxa"/>
          </w:tcPr>
          <w:p w14:paraId="03E6DE92" w14:textId="77777777" w:rsidR="00E61D52" w:rsidRPr="00C2628E" w:rsidRDefault="00E61D52" w:rsidP="009E56F2">
            <w:pPr>
              <w:pStyle w:val="TableHeaderRow"/>
              <w:cnfStyle w:val="100000000000" w:firstRow="1" w:lastRow="0" w:firstColumn="0" w:lastColumn="0" w:oddVBand="0" w:evenVBand="0" w:oddHBand="0" w:evenHBand="0" w:firstRowFirstColumn="0" w:firstRowLastColumn="0" w:lastRowFirstColumn="0" w:lastRowLastColumn="0"/>
            </w:pPr>
            <w:r w:rsidRPr="00C2628E">
              <w:t>2021–22</w:t>
            </w:r>
          </w:p>
          <w:p w14:paraId="4AF52C6E" w14:textId="77777777" w:rsidR="00E61D52" w:rsidRPr="00C2628E" w:rsidRDefault="00E61D52" w:rsidP="009E56F2">
            <w:pPr>
              <w:pStyle w:val="TableHeaderRow"/>
              <w:cnfStyle w:val="100000000000" w:firstRow="1" w:lastRow="0" w:firstColumn="0" w:lastColumn="0" w:oddVBand="0" w:evenVBand="0" w:oddHBand="0" w:evenHBand="0" w:firstRowFirstColumn="0" w:firstRowLastColumn="0" w:lastRowFirstColumn="0" w:lastRowLastColumn="0"/>
            </w:pPr>
            <w:r w:rsidRPr="00C2628E">
              <w:t>(N=3,086)</w:t>
            </w:r>
          </w:p>
        </w:tc>
        <w:tc>
          <w:tcPr>
            <w:tcW w:w="1584" w:type="dxa"/>
          </w:tcPr>
          <w:p w14:paraId="3AB643F0" w14:textId="77777777" w:rsidR="00E61D52" w:rsidRDefault="00E61D52" w:rsidP="009E56F2">
            <w:pPr>
              <w:pStyle w:val="TableHeaderRow"/>
              <w:cnfStyle w:val="100000000000" w:firstRow="1" w:lastRow="0" w:firstColumn="0" w:lastColumn="0" w:oddVBand="0" w:evenVBand="0" w:oddHBand="0" w:evenHBand="0" w:firstRowFirstColumn="0" w:firstRowLastColumn="0" w:lastRowFirstColumn="0" w:lastRowLastColumn="0"/>
              <w:rPr>
                <w:b w:val="0"/>
              </w:rPr>
            </w:pPr>
            <w:r>
              <w:t>2022–23</w:t>
            </w:r>
          </w:p>
          <w:p w14:paraId="7D592F11" w14:textId="77777777" w:rsidR="00E61D52" w:rsidRPr="00C2628E" w:rsidRDefault="00E61D52" w:rsidP="009E56F2">
            <w:pPr>
              <w:pStyle w:val="TableHeaderRow"/>
              <w:cnfStyle w:val="100000000000" w:firstRow="1" w:lastRow="0" w:firstColumn="0" w:lastColumn="0" w:oddVBand="0" w:evenVBand="0" w:oddHBand="0" w:evenHBand="0" w:firstRowFirstColumn="0" w:firstRowLastColumn="0" w:lastRowFirstColumn="0" w:lastRowLastColumn="0"/>
            </w:pPr>
            <w:r>
              <w:t>(N=3,017)</w:t>
            </w:r>
          </w:p>
        </w:tc>
      </w:tr>
      <w:tr w:rsidR="00E61D52" w:rsidRPr="00C2628E" w14:paraId="46256797" w14:textId="77777777" w:rsidTr="00E61D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08" w:type="dxa"/>
            <w:shd w:val="clear" w:color="auto" w:fill="BDD6EE" w:themeFill="accent1" w:themeFillTint="66"/>
          </w:tcPr>
          <w:p w14:paraId="11760718" w14:textId="77777777" w:rsidR="00E61D52" w:rsidRDefault="00E61D52" w:rsidP="0041205C">
            <w:pPr>
              <w:pStyle w:val="TableCategoryText"/>
            </w:pPr>
            <w:r w:rsidRPr="00C2628E">
              <w:t xml:space="preserve">English </w:t>
            </w:r>
            <w:r>
              <w:t>l</w:t>
            </w:r>
            <w:r w:rsidRPr="00C2628E">
              <w:t>iteracy</w:t>
            </w:r>
          </w:p>
          <w:p w14:paraId="77FAEECB" w14:textId="77777777" w:rsidR="00E61D52" w:rsidRPr="00C2628E" w:rsidRDefault="00E61D52" w:rsidP="0041205C">
            <w:pPr>
              <w:pStyle w:val="TableCategoryText"/>
            </w:pPr>
            <w:r w:rsidRPr="00C2628E">
              <w:t>(ELA, ESL, ELD)</w:t>
            </w:r>
          </w:p>
        </w:tc>
        <w:tc>
          <w:tcPr>
            <w:tcW w:w="1584" w:type="dxa"/>
            <w:shd w:val="clear" w:color="auto" w:fill="D9E2F3" w:themeFill="accent5" w:themeFillTint="33"/>
          </w:tcPr>
          <w:p w14:paraId="70A7E218" w14:textId="77777777" w:rsidR="00E61D52" w:rsidRPr="00E0112A" w:rsidRDefault="00E61D52" w:rsidP="009E56F2">
            <w:pPr>
              <w:pStyle w:val="TableBodyText"/>
              <w:keepNext/>
              <w:cnfStyle w:val="000000100000" w:firstRow="0" w:lastRow="0" w:firstColumn="0" w:lastColumn="0" w:oddVBand="0" w:evenVBand="0" w:oddHBand="1" w:evenHBand="0" w:firstRowFirstColumn="0" w:firstRowLastColumn="0" w:lastRowFirstColumn="0" w:lastRowLastColumn="0"/>
              <w:rPr>
                <w:color w:val="auto"/>
              </w:rPr>
            </w:pPr>
            <w:r w:rsidRPr="00E0112A">
              <w:rPr>
                <w:color w:val="auto"/>
              </w:rPr>
              <w:t>60%</w:t>
            </w:r>
          </w:p>
        </w:tc>
        <w:tc>
          <w:tcPr>
            <w:tcW w:w="1584" w:type="dxa"/>
            <w:shd w:val="clear" w:color="auto" w:fill="D9E2F3" w:themeFill="accent5" w:themeFillTint="33"/>
          </w:tcPr>
          <w:p w14:paraId="7399B8C3" w14:textId="77777777" w:rsidR="00E61D52" w:rsidRPr="00E0112A" w:rsidRDefault="00E61D52" w:rsidP="009E56F2">
            <w:pPr>
              <w:pStyle w:val="TableBodyText"/>
              <w:keepNext/>
              <w:cnfStyle w:val="000000100000" w:firstRow="0" w:lastRow="0" w:firstColumn="0" w:lastColumn="0" w:oddVBand="0" w:evenVBand="0" w:oddHBand="1" w:evenHBand="0" w:firstRowFirstColumn="0" w:firstRowLastColumn="0" w:lastRowFirstColumn="0" w:lastRowLastColumn="0"/>
              <w:rPr>
                <w:color w:val="auto"/>
              </w:rPr>
            </w:pPr>
            <w:r w:rsidRPr="00E0112A">
              <w:rPr>
                <w:color w:val="auto"/>
              </w:rPr>
              <w:t>45%</w:t>
            </w:r>
          </w:p>
        </w:tc>
        <w:tc>
          <w:tcPr>
            <w:tcW w:w="1584" w:type="dxa"/>
            <w:shd w:val="clear" w:color="auto" w:fill="D9E2F3" w:themeFill="accent5" w:themeFillTint="33"/>
          </w:tcPr>
          <w:p w14:paraId="6B520F64" w14:textId="77777777" w:rsidR="00E61D52" w:rsidRPr="00E0112A" w:rsidRDefault="00E61D52" w:rsidP="009E56F2">
            <w:pPr>
              <w:pStyle w:val="TableBodyText"/>
              <w:keepNext/>
              <w:cnfStyle w:val="000000100000" w:firstRow="0" w:lastRow="0" w:firstColumn="0" w:lastColumn="0" w:oddVBand="0" w:evenVBand="0" w:oddHBand="1" w:evenHBand="0" w:firstRowFirstColumn="0" w:firstRowLastColumn="0" w:lastRowFirstColumn="0" w:lastRowLastColumn="0"/>
              <w:rPr>
                <w:color w:val="auto"/>
              </w:rPr>
            </w:pPr>
            <w:r w:rsidRPr="00E0112A">
              <w:rPr>
                <w:color w:val="auto"/>
              </w:rPr>
              <w:t>33%</w:t>
            </w:r>
          </w:p>
        </w:tc>
      </w:tr>
      <w:tr w:rsidR="00E61D52" w:rsidRPr="00C2628E" w14:paraId="2EA53933" w14:textId="77777777" w:rsidTr="00E61D5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08" w:type="dxa"/>
            <w:shd w:val="clear" w:color="auto" w:fill="BDD6EE" w:themeFill="accent1" w:themeFillTint="66"/>
          </w:tcPr>
          <w:p w14:paraId="2403D3DD" w14:textId="77777777" w:rsidR="00E61D52" w:rsidRPr="00C2628E" w:rsidRDefault="00E61D52" w:rsidP="0041205C">
            <w:pPr>
              <w:pStyle w:val="TableCategoryText"/>
            </w:pPr>
            <w:r w:rsidRPr="00C2628E">
              <w:t>GED/HEP</w:t>
            </w:r>
          </w:p>
        </w:tc>
        <w:tc>
          <w:tcPr>
            <w:tcW w:w="1584" w:type="dxa"/>
            <w:shd w:val="clear" w:color="auto" w:fill="D9E2F3" w:themeFill="accent5" w:themeFillTint="33"/>
          </w:tcPr>
          <w:p w14:paraId="41E38E1E" w14:textId="77777777" w:rsidR="00E61D52" w:rsidRPr="00E0112A" w:rsidRDefault="00E61D52" w:rsidP="009E56F2">
            <w:pPr>
              <w:pStyle w:val="TableBodyText"/>
              <w:keepNext/>
              <w:cnfStyle w:val="000000010000" w:firstRow="0" w:lastRow="0" w:firstColumn="0" w:lastColumn="0" w:oddVBand="0" w:evenVBand="0" w:oddHBand="0" w:evenHBand="1" w:firstRowFirstColumn="0" w:firstRowLastColumn="0" w:lastRowFirstColumn="0" w:lastRowLastColumn="0"/>
              <w:rPr>
                <w:color w:val="auto"/>
              </w:rPr>
            </w:pPr>
            <w:r w:rsidRPr="00E0112A">
              <w:rPr>
                <w:color w:val="auto"/>
              </w:rPr>
              <w:t>35%</w:t>
            </w:r>
          </w:p>
        </w:tc>
        <w:tc>
          <w:tcPr>
            <w:tcW w:w="1584" w:type="dxa"/>
            <w:shd w:val="clear" w:color="auto" w:fill="D9E2F3" w:themeFill="accent5" w:themeFillTint="33"/>
          </w:tcPr>
          <w:p w14:paraId="51CFDDA7" w14:textId="77777777" w:rsidR="00E61D52" w:rsidRPr="00E0112A" w:rsidRDefault="00E61D52" w:rsidP="009E56F2">
            <w:pPr>
              <w:pStyle w:val="TableBodyText"/>
              <w:keepNext/>
              <w:cnfStyle w:val="000000010000" w:firstRow="0" w:lastRow="0" w:firstColumn="0" w:lastColumn="0" w:oddVBand="0" w:evenVBand="0" w:oddHBand="0" w:evenHBand="1" w:firstRowFirstColumn="0" w:firstRowLastColumn="0" w:lastRowFirstColumn="0" w:lastRowLastColumn="0"/>
              <w:rPr>
                <w:color w:val="auto"/>
              </w:rPr>
            </w:pPr>
            <w:r w:rsidRPr="00E0112A">
              <w:rPr>
                <w:color w:val="auto"/>
              </w:rPr>
              <w:t>21%</w:t>
            </w:r>
          </w:p>
        </w:tc>
        <w:tc>
          <w:tcPr>
            <w:tcW w:w="1584" w:type="dxa"/>
            <w:shd w:val="clear" w:color="auto" w:fill="D9E2F3" w:themeFill="accent5" w:themeFillTint="33"/>
          </w:tcPr>
          <w:p w14:paraId="2E7737D2" w14:textId="77777777" w:rsidR="00E61D52" w:rsidRPr="00E0112A" w:rsidRDefault="00E61D52" w:rsidP="009E56F2">
            <w:pPr>
              <w:pStyle w:val="TableBodyText"/>
              <w:keepNext/>
              <w:cnfStyle w:val="000000010000" w:firstRow="0" w:lastRow="0" w:firstColumn="0" w:lastColumn="0" w:oddVBand="0" w:evenVBand="0" w:oddHBand="0" w:evenHBand="1" w:firstRowFirstColumn="0" w:firstRowLastColumn="0" w:lastRowFirstColumn="0" w:lastRowLastColumn="0"/>
              <w:rPr>
                <w:color w:val="auto"/>
              </w:rPr>
            </w:pPr>
            <w:r w:rsidRPr="00E0112A">
              <w:rPr>
                <w:color w:val="auto"/>
              </w:rPr>
              <w:t>24%</w:t>
            </w:r>
          </w:p>
        </w:tc>
      </w:tr>
      <w:tr w:rsidR="00E61D52" w:rsidRPr="00C2628E" w14:paraId="04351372" w14:textId="77777777" w:rsidTr="00E61D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08" w:type="dxa"/>
            <w:shd w:val="clear" w:color="auto" w:fill="BDD6EE" w:themeFill="accent1" w:themeFillTint="66"/>
          </w:tcPr>
          <w:p w14:paraId="13901F10" w14:textId="77777777" w:rsidR="00E61D52" w:rsidRPr="00C2628E" w:rsidRDefault="00E61D52" w:rsidP="0041205C">
            <w:pPr>
              <w:pStyle w:val="TableCategoryText"/>
            </w:pPr>
            <w:r w:rsidRPr="00C2628E">
              <w:t>Home language literacy</w:t>
            </w:r>
          </w:p>
        </w:tc>
        <w:tc>
          <w:tcPr>
            <w:tcW w:w="1584" w:type="dxa"/>
            <w:shd w:val="clear" w:color="auto" w:fill="D9E2F3" w:themeFill="accent5" w:themeFillTint="33"/>
          </w:tcPr>
          <w:p w14:paraId="1B0471DF" w14:textId="77777777" w:rsidR="00E61D52" w:rsidRPr="00E0112A" w:rsidRDefault="00E61D52"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E0112A">
              <w:rPr>
                <w:color w:val="auto"/>
              </w:rPr>
              <w:t>2%</w:t>
            </w:r>
          </w:p>
        </w:tc>
        <w:tc>
          <w:tcPr>
            <w:tcW w:w="1584" w:type="dxa"/>
            <w:shd w:val="clear" w:color="auto" w:fill="D9E2F3" w:themeFill="accent5" w:themeFillTint="33"/>
          </w:tcPr>
          <w:p w14:paraId="14912F50" w14:textId="77777777" w:rsidR="00E61D52" w:rsidRPr="00E0112A" w:rsidRDefault="00E61D52"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E0112A">
              <w:rPr>
                <w:color w:val="auto"/>
              </w:rPr>
              <w:t>2%</w:t>
            </w:r>
          </w:p>
        </w:tc>
        <w:tc>
          <w:tcPr>
            <w:tcW w:w="1584" w:type="dxa"/>
            <w:shd w:val="clear" w:color="auto" w:fill="D9E2F3" w:themeFill="accent5" w:themeFillTint="33"/>
          </w:tcPr>
          <w:p w14:paraId="20D0C57D" w14:textId="77777777" w:rsidR="00E61D52" w:rsidRPr="00E0112A" w:rsidRDefault="00E61D52" w:rsidP="009E56F2">
            <w:pPr>
              <w:pStyle w:val="TableBodyText"/>
              <w:cnfStyle w:val="000000100000" w:firstRow="0" w:lastRow="0" w:firstColumn="0" w:lastColumn="0" w:oddVBand="0" w:evenVBand="0" w:oddHBand="1" w:evenHBand="0" w:firstRowFirstColumn="0" w:firstRowLastColumn="0" w:lastRowFirstColumn="0" w:lastRowLastColumn="0"/>
              <w:rPr>
                <w:color w:val="auto"/>
              </w:rPr>
            </w:pPr>
            <w:r w:rsidRPr="00E0112A">
              <w:rPr>
                <w:color w:val="auto"/>
              </w:rPr>
              <w:t>4%</w:t>
            </w:r>
          </w:p>
        </w:tc>
      </w:tr>
    </w:tbl>
    <w:p w14:paraId="0337B763" w14:textId="7759575B" w:rsidR="00E61D52" w:rsidRPr="00E61D52" w:rsidRDefault="00E61D52" w:rsidP="00E61D52">
      <w:pPr>
        <w:pStyle w:val="TableorFiguresNotesSources"/>
        <w:rPr>
          <w:color w:val="auto"/>
        </w:rPr>
      </w:pPr>
      <w:r w:rsidRPr="00E61D52">
        <w:rPr>
          <w:color w:val="auto"/>
        </w:rPr>
        <w:t xml:space="preserve">Source: The MSIN </w:t>
      </w:r>
      <w:r w:rsidR="009E352E">
        <w:rPr>
          <w:color w:val="auto"/>
        </w:rPr>
        <w:t>databases</w:t>
      </w:r>
      <w:r w:rsidRPr="00E61D52">
        <w:rPr>
          <w:color w:val="auto"/>
        </w:rPr>
        <w:t xml:space="preserve"> for the MEP, 2020–21 through 2022–23 performance periods. Accessed December 2023.</w:t>
      </w:r>
    </w:p>
    <w:p w14:paraId="057BF4AC" w14:textId="74E8B6DE" w:rsidR="00605C16" w:rsidRPr="000C5448" w:rsidRDefault="00605C16" w:rsidP="00E0112A">
      <w:pPr>
        <w:pStyle w:val="Heading3"/>
        <w:spacing w:after="240"/>
      </w:pPr>
      <w:bookmarkStart w:id="164" w:name="_Toc496195913"/>
      <w:bookmarkStart w:id="165" w:name="_Toc188361323"/>
      <w:bookmarkEnd w:id="119"/>
      <w:r w:rsidRPr="000C5448">
        <w:t>Health</w:t>
      </w:r>
      <w:bookmarkEnd w:id="164"/>
      <w:bookmarkEnd w:id="165"/>
    </w:p>
    <w:p w14:paraId="08A83B96" w14:textId="77777777" w:rsidR="00791079" w:rsidRPr="000C5448" w:rsidRDefault="00791079" w:rsidP="007B711B">
      <w:pPr>
        <w:pStyle w:val="Heading4"/>
      </w:pPr>
      <w:bookmarkStart w:id="166" w:name="_Toc154499389"/>
      <w:bookmarkStart w:id="167" w:name="_Toc163813438"/>
      <w:bookmarkStart w:id="168" w:name="_Toc496195915"/>
      <w:bookmarkEnd w:id="39"/>
      <w:r w:rsidRPr="000C5448">
        <w:t>Changes in Migratory Children’s Health Needs</w:t>
      </w:r>
      <w:bookmarkEnd w:id="166"/>
      <w:bookmarkEnd w:id="167"/>
    </w:p>
    <w:p w14:paraId="3902A31D" w14:textId="24FBECA1" w:rsidR="00791079" w:rsidRDefault="00A45127" w:rsidP="00CF280A">
      <w:pPr>
        <w:pStyle w:val="Paragraph"/>
        <w:spacing w:line="240" w:lineRule="auto"/>
        <w:rPr>
          <w:noProof w:val="0"/>
          <w:color w:val="auto"/>
        </w:rPr>
      </w:pPr>
      <w:r>
        <w:rPr>
          <w:noProof w:val="0"/>
          <w:color w:val="auto"/>
        </w:rPr>
        <w:t xml:space="preserve">The CDE does not have access to any health data other than what is collected through the INA. </w:t>
      </w:r>
      <w:r w:rsidR="00791079" w:rsidRPr="000C5448">
        <w:rPr>
          <w:noProof w:val="0"/>
          <w:color w:val="auto"/>
        </w:rPr>
        <w:t>Measured as a percentage of children with a health need</w:t>
      </w:r>
      <w:r>
        <w:rPr>
          <w:noProof w:val="0"/>
          <w:color w:val="auto"/>
        </w:rPr>
        <w:t xml:space="preserve"> (e.g., dental, vision, medical, mental health)</w:t>
      </w:r>
      <w:r w:rsidR="00791079" w:rsidRPr="000C5448">
        <w:rPr>
          <w:noProof w:val="0"/>
          <w:color w:val="auto"/>
        </w:rPr>
        <w:t xml:space="preserve"> indicated on their INA/ILPs, migratory children have had an increasing need for vision services, fluctuating needs for dental services, and a declining need for medical services.</w:t>
      </w:r>
    </w:p>
    <w:p w14:paraId="6C9C2DBA" w14:textId="5FE9D9FD" w:rsidR="001641C5" w:rsidRPr="000C5448" w:rsidRDefault="001641C5" w:rsidP="001641C5">
      <w:pPr>
        <w:pStyle w:val="Heading4"/>
      </w:pPr>
      <w:r>
        <w:t>Key Findings</w:t>
      </w:r>
    </w:p>
    <w:p w14:paraId="1707A1BD" w14:textId="77777777" w:rsidR="00A45127" w:rsidRDefault="00791079" w:rsidP="009670FC">
      <w:pPr>
        <w:pStyle w:val="Paragraph"/>
        <w:numPr>
          <w:ilvl w:val="0"/>
          <w:numId w:val="58"/>
        </w:numPr>
        <w:spacing w:line="240" w:lineRule="auto"/>
        <w:rPr>
          <w:noProof w:val="0"/>
          <w:color w:val="auto"/>
        </w:rPr>
      </w:pPr>
      <w:r w:rsidRPr="000C5448">
        <w:rPr>
          <w:noProof w:val="0"/>
          <w:color w:val="auto"/>
        </w:rPr>
        <w:t>During the 2020–21 performance period, 3.7 percent of migratory children with a</w:t>
      </w:r>
      <w:r w:rsidR="00A45127">
        <w:rPr>
          <w:noProof w:val="0"/>
          <w:color w:val="auto"/>
        </w:rPr>
        <w:t xml:space="preserve"> completed</w:t>
      </w:r>
      <w:r w:rsidRPr="000C5448">
        <w:rPr>
          <w:noProof w:val="0"/>
          <w:color w:val="auto"/>
        </w:rPr>
        <w:t xml:space="preserve"> INA/ILP </w:t>
      </w:r>
      <w:r w:rsidR="00A45127">
        <w:rPr>
          <w:noProof w:val="0"/>
          <w:color w:val="auto"/>
        </w:rPr>
        <w:t>indicated a n</w:t>
      </w:r>
      <w:r w:rsidRPr="000C5448">
        <w:rPr>
          <w:noProof w:val="0"/>
          <w:color w:val="auto"/>
        </w:rPr>
        <w:t xml:space="preserve">eed for vision services. That percentage increased to 4.1 percent during the 2021–22 and 2022–23 performance periods. </w:t>
      </w:r>
    </w:p>
    <w:p w14:paraId="648CB4D6" w14:textId="61C9B91D" w:rsidR="00A45127" w:rsidRDefault="00791079" w:rsidP="009670FC">
      <w:pPr>
        <w:pStyle w:val="Paragraph"/>
        <w:numPr>
          <w:ilvl w:val="0"/>
          <w:numId w:val="58"/>
        </w:numPr>
        <w:spacing w:line="240" w:lineRule="auto"/>
        <w:rPr>
          <w:noProof w:val="0"/>
          <w:color w:val="auto"/>
        </w:rPr>
      </w:pPr>
      <w:r w:rsidRPr="000C5448">
        <w:rPr>
          <w:noProof w:val="0"/>
          <w:color w:val="auto"/>
        </w:rPr>
        <w:t xml:space="preserve">Between the 2020–21 and 2021–22 performance periods, the need for dental health services declined from 3.5 percent to 2.7 percent of children who had an INA/ILP. During the 2022–23 performance period, that need increased slightly to </w:t>
      </w:r>
      <w:r w:rsidR="009F750A">
        <w:rPr>
          <w:noProof w:val="0"/>
          <w:color w:val="auto"/>
        </w:rPr>
        <w:t>three</w:t>
      </w:r>
      <w:r w:rsidRPr="000C5448">
        <w:rPr>
          <w:noProof w:val="0"/>
          <w:color w:val="auto"/>
        </w:rPr>
        <w:t xml:space="preserve"> percent of children. </w:t>
      </w:r>
    </w:p>
    <w:p w14:paraId="35385D29" w14:textId="1AD47B59" w:rsidR="00791079" w:rsidRPr="000C5448" w:rsidRDefault="00791079" w:rsidP="009670FC">
      <w:pPr>
        <w:pStyle w:val="Paragraph"/>
        <w:numPr>
          <w:ilvl w:val="0"/>
          <w:numId w:val="58"/>
        </w:numPr>
        <w:spacing w:line="240" w:lineRule="auto"/>
        <w:rPr>
          <w:noProof w:val="0"/>
          <w:color w:val="auto"/>
        </w:rPr>
      </w:pPr>
      <w:r w:rsidRPr="000C5448">
        <w:rPr>
          <w:noProof w:val="0"/>
          <w:color w:val="auto"/>
        </w:rPr>
        <w:t>Over the same three-year period, the need for medical services declined from 1.9 percent to 1.3 percent. The need for mental health services remained steady at about 0.9 percent.</w:t>
      </w:r>
    </w:p>
    <w:p w14:paraId="40B56251" w14:textId="2B90F63D" w:rsidR="00E61D52" w:rsidRPr="00E0112A" w:rsidRDefault="00252151" w:rsidP="00E0112A">
      <w:pPr>
        <w:pStyle w:val="Paragraph"/>
        <w:spacing w:line="240" w:lineRule="auto"/>
        <w:rPr>
          <w:noProof w:val="0"/>
          <w:color w:val="auto"/>
        </w:rPr>
      </w:pPr>
      <w:r>
        <w:rPr>
          <w:noProof w:val="0"/>
          <w:color w:val="auto"/>
        </w:rPr>
        <w:t>Figure 2</w:t>
      </w:r>
      <w:r w:rsidR="00D04DC5">
        <w:rPr>
          <w:noProof w:val="0"/>
          <w:color w:val="auto"/>
        </w:rPr>
        <w:t>1</w:t>
      </w:r>
      <w:r>
        <w:rPr>
          <w:noProof w:val="0"/>
          <w:color w:val="auto"/>
        </w:rPr>
        <w:t xml:space="preserve"> (and in another format, table 24)</w:t>
      </w:r>
      <w:r w:rsidR="00791079" w:rsidRPr="000C5448">
        <w:rPr>
          <w:noProof w:val="0"/>
          <w:color w:val="auto"/>
        </w:rPr>
        <w:t xml:space="preserve"> shows the prevalence of health needs among migratory children with an indicated health need on their INA/ILPs during </w:t>
      </w:r>
      <w:r w:rsidR="009A6377">
        <w:rPr>
          <w:noProof w:val="0"/>
          <w:color w:val="auto"/>
        </w:rPr>
        <w:t xml:space="preserve">the </w:t>
      </w:r>
      <w:r w:rsidR="00791079" w:rsidRPr="000C5448">
        <w:rPr>
          <w:noProof w:val="0"/>
          <w:color w:val="auto"/>
        </w:rPr>
        <w:t>past three performance periods.</w:t>
      </w:r>
      <w:bookmarkStart w:id="169" w:name="_Toc135994144"/>
    </w:p>
    <w:p w14:paraId="76FC6561" w14:textId="0C3D8052" w:rsidR="009A6377" w:rsidRPr="00D04DC5" w:rsidRDefault="00AB15FE" w:rsidP="00792C07">
      <w:pPr>
        <w:pStyle w:val="Heading5"/>
      </w:pPr>
      <w:bookmarkStart w:id="170" w:name="_Toc188030520"/>
      <w:r w:rsidRPr="00D04DC5">
        <w:lastRenderedPageBreak/>
        <w:t xml:space="preserve">Figure </w:t>
      </w:r>
      <w:fldSimple w:instr=" SEQ Figure \* ARABIC ">
        <w:r w:rsidRPr="00D04DC5">
          <w:rPr>
            <w:noProof/>
          </w:rPr>
          <w:t>21</w:t>
        </w:r>
      </w:fldSimple>
      <w:r w:rsidRPr="00D04DC5">
        <w:t>. Prevalence of Health Needs Among Migratory Children and Youths with an Indicated Health Need on an Individual Needs Assessment and Learning Plan, by Need Type, 2020–21 Through 2022–23 Performance Periods</w:t>
      </w:r>
      <w:bookmarkEnd w:id="170"/>
    </w:p>
    <w:p w14:paraId="3323396D" w14:textId="77777777" w:rsidR="00791079" w:rsidRDefault="00791079" w:rsidP="00E0112A">
      <w:pPr>
        <w:pStyle w:val="Figure"/>
        <w:spacing w:after="0"/>
      </w:pPr>
      <w:r>
        <w:drawing>
          <wp:inline distT="0" distB="0" distL="0" distR="0" wp14:anchorId="149CF972" wp14:editId="3FDCECB0">
            <wp:extent cx="5943600" cy="3891280"/>
            <wp:effectExtent l="0" t="0" r="0" b="13970"/>
            <wp:docPr id="1179296342" name="Chart 1" descr="Figure 21 is a line graphs showing the prevalence of health needs among migratory children with a health need indicated on their INA/ILP,  2020–21 to 2022–23. Table 24 displays the same data in table format.">
              <a:extLst xmlns:a="http://schemas.openxmlformats.org/drawingml/2006/main">
                <a:ext uri="{FF2B5EF4-FFF2-40B4-BE49-F238E27FC236}">
                  <a16:creationId xmlns:a16="http://schemas.microsoft.com/office/drawing/2014/main" id="{E979CE45-FAF8-394E-A1FD-CF0F33D79E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61B6920" w14:textId="7BAC9E34" w:rsidR="00791079" w:rsidRPr="009A6377" w:rsidRDefault="00791079" w:rsidP="00E61D52">
      <w:pPr>
        <w:pStyle w:val="TableorFiguresNotesSources"/>
        <w:spacing w:before="0" w:after="240" w:line="240" w:lineRule="auto"/>
        <w:rPr>
          <w:color w:val="auto"/>
        </w:rPr>
      </w:pPr>
      <w:r w:rsidRPr="009A6377">
        <w:rPr>
          <w:color w:val="auto"/>
        </w:rPr>
        <w:t xml:space="preserve">Source: The MSIN </w:t>
      </w:r>
      <w:r w:rsidR="009E352E">
        <w:rPr>
          <w:color w:val="auto"/>
        </w:rPr>
        <w:t>databases</w:t>
      </w:r>
      <w:r w:rsidRPr="009A6377">
        <w:rPr>
          <w:color w:val="auto"/>
        </w:rPr>
        <w:t xml:space="preserve"> for the MEP, 2020–21 </w:t>
      </w:r>
      <w:r w:rsidRPr="009A6377">
        <w:rPr>
          <w:color w:val="auto"/>
          <w:szCs w:val="24"/>
        </w:rPr>
        <w:t xml:space="preserve">through </w:t>
      </w:r>
      <w:r w:rsidRPr="009A6377">
        <w:rPr>
          <w:color w:val="auto"/>
        </w:rPr>
        <w:t>2022–23 performance periods. Accessed December 2023.</w:t>
      </w:r>
    </w:p>
    <w:p w14:paraId="0DEF1FD7" w14:textId="4D9E7280" w:rsidR="00D04DC5" w:rsidRPr="00D04DC5" w:rsidRDefault="00D04DC5" w:rsidP="00792C07">
      <w:pPr>
        <w:pStyle w:val="Heading5"/>
      </w:pPr>
      <w:bookmarkStart w:id="171" w:name="_Toc188030589"/>
      <w:bookmarkEnd w:id="169"/>
      <w:r w:rsidRPr="00D04DC5">
        <w:t xml:space="preserve">Table </w:t>
      </w:r>
      <w:fldSimple w:instr=" SEQ Table \* ARABIC ">
        <w:r>
          <w:t>24</w:t>
        </w:r>
      </w:fldSimple>
      <w:r w:rsidRPr="00D04DC5">
        <w:t>. Prevalence of Health Needs Among Migratory Children with an Indicated Health Need on an Individual Needs Assessment and Learning Plan, by Need Type, 2020–21 Through 2022–23 Performance Periods</w:t>
      </w:r>
      <w:bookmarkEnd w:id="171"/>
    </w:p>
    <w:tbl>
      <w:tblPr>
        <w:tblStyle w:val="ListTable3-Accent5"/>
        <w:tblW w:w="0" w:type="auto"/>
        <w:tblLayout w:type="fixed"/>
        <w:tblCellMar>
          <w:right w:w="108" w:type="dxa"/>
        </w:tblCellMar>
        <w:tblLook w:val="04A0" w:firstRow="1" w:lastRow="0" w:firstColumn="1" w:lastColumn="0" w:noHBand="0" w:noVBand="1"/>
      </w:tblPr>
      <w:tblGrid>
        <w:gridCol w:w="2347"/>
        <w:gridCol w:w="2347"/>
        <w:gridCol w:w="2347"/>
        <w:gridCol w:w="2347"/>
      </w:tblGrid>
      <w:tr w:rsidR="00E61D52" w:rsidRPr="000C11B2" w14:paraId="34C06A8A" w14:textId="77777777" w:rsidTr="00E0112A">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2347" w:type="dxa"/>
          </w:tcPr>
          <w:p w14:paraId="6849EA22" w14:textId="77777777" w:rsidR="00E61D52" w:rsidRPr="00481629" w:rsidRDefault="00E61D52" w:rsidP="009E56F2">
            <w:pPr>
              <w:pStyle w:val="TableHeaderRow"/>
            </w:pPr>
            <w:r w:rsidRPr="00481629">
              <w:t>Health Need</w:t>
            </w:r>
          </w:p>
        </w:tc>
        <w:tc>
          <w:tcPr>
            <w:tcW w:w="2347" w:type="dxa"/>
          </w:tcPr>
          <w:p w14:paraId="76A80EDD" w14:textId="77777777" w:rsidR="00E61D52" w:rsidRPr="00481629" w:rsidRDefault="00E61D52" w:rsidP="009E56F2">
            <w:pPr>
              <w:pStyle w:val="TableHeaderRow"/>
              <w:cnfStyle w:val="100000000000" w:firstRow="1" w:lastRow="0" w:firstColumn="0" w:lastColumn="0" w:oddVBand="0" w:evenVBand="0" w:oddHBand="0" w:evenHBand="0" w:firstRowFirstColumn="0" w:firstRowLastColumn="0" w:lastRowFirstColumn="0" w:lastRowLastColumn="0"/>
            </w:pPr>
            <w:r w:rsidRPr="00481629">
              <w:t>2020–21</w:t>
            </w:r>
          </w:p>
          <w:p w14:paraId="284F1F6F" w14:textId="77777777" w:rsidR="00E61D52" w:rsidRPr="00481629" w:rsidRDefault="00E61D52" w:rsidP="009E56F2">
            <w:pPr>
              <w:pStyle w:val="TableHeaderRow"/>
              <w:cnfStyle w:val="100000000000" w:firstRow="1" w:lastRow="0" w:firstColumn="0" w:lastColumn="0" w:oddVBand="0" w:evenVBand="0" w:oddHBand="0" w:evenHBand="0" w:firstRowFirstColumn="0" w:firstRowLastColumn="0" w:lastRowFirstColumn="0" w:lastRowLastColumn="0"/>
            </w:pPr>
            <w:r w:rsidRPr="00481629">
              <w:t>(N=4,1</w:t>
            </w:r>
            <w:r>
              <w:t>73</w:t>
            </w:r>
            <w:r w:rsidRPr="00481629">
              <w:t>)</w:t>
            </w:r>
          </w:p>
        </w:tc>
        <w:tc>
          <w:tcPr>
            <w:tcW w:w="2347" w:type="dxa"/>
          </w:tcPr>
          <w:p w14:paraId="7E75B592" w14:textId="77777777" w:rsidR="00E61D52" w:rsidRPr="00481629" w:rsidRDefault="00E61D52" w:rsidP="009E56F2">
            <w:pPr>
              <w:pStyle w:val="TableHeaderRow"/>
              <w:cnfStyle w:val="100000000000" w:firstRow="1" w:lastRow="0" w:firstColumn="0" w:lastColumn="0" w:oddVBand="0" w:evenVBand="0" w:oddHBand="0" w:evenHBand="0" w:firstRowFirstColumn="0" w:firstRowLastColumn="0" w:lastRowFirstColumn="0" w:lastRowLastColumn="0"/>
            </w:pPr>
            <w:r w:rsidRPr="00481629">
              <w:t>2021–22</w:t>
            </w:r>
          </w:p>
          <w:p w14:paraId="04C3907D" w14:textId="77777777" w:rsidR="00E61D52" w:rsidRPr="00481629" w:rsidRDefault="00E61D52" w:rsidP="009E56F2">
            <w:pPr>
              <w:pStyle w:val="TableHeaderRow"/>
              <w:cnfStyle w:val="100000000000" w:firstRow="1" w:lastRow="0" w:firstColumn="0" w:lastColumn="0" w:oddVBand="0" w:evenVBand="0" w:oddHBand="0" w:evenHBand="0" w:firstRowFirstColumn="0" w:firstRowLastColumn="0" w:lastRowFirstColumn="0" w:lastRowLastColumn="0"/>
            </w:pPr>
            <w:r w:rsidRPr="00481629">
              <w:t>(N=</w:t>
            </w:r>
            <w:r>
              <w:t>4,921</w:t>
            </w:r>
            <w:r w:rsidRPr="00481629">
              <w:t>)</w:t>
            </w:r>
          </w:p>
        </w:tc>
        <w:tc>
          <w:tcPr>
            <w:tcW w:w="2347" w:type="dxa"/>
          </w:tcPr>
          <w:p w14:paraId="5D8AB4FE" w14:textId="77777777" w:rsidR="00E61D52" w:rsidRPr="00481629" w:rsidRDefault="00E61D52" w:rsidP="009E56F2">
            <w:pPr>
              <w:pStyle w:val="TableHeaderRow"/>
              <w:cnfStyle w:val="100000000000" w:firstRow="1" w:lastRow="0" w:firstColumn="0" w:lastColumn="0" w:oddVBand="0" w:evenVBand="0" w:oddHBand="0" w:evenHBand="0" w:firstRowFirstColumn="0" w:firstRowLastColumn="0" w:lastRowFirstColumn="0" w:lastRowLastColumn="0"/>
            </w:pPr>
            <w:r w:rsidRPr="00481629">
              <w:t>202</w:t>
            </w:r>
            <w:r>
              <w:t>2</w:t>
            </w:r>
            <w:r w:rsidRPr="00481629">
              <w:t>–2</w:t>
            </w:r>
            <w:r>
              <w:t>3</w:t>
            </w:r>
          </w:p>
          <w:p w14:paraId="2D4E6D36" w14:textId="77777777" w:rsidR="00E61D52" w:rsidRPr="00481629" w:rsidRDefault="00E61D52" w:rsidP="009E56F2">
            <w:pPr>
              <w:pStyle w:val="TableHeaderRow"/>
              <w:cnfStyle w:val="100000000000" w:firstRow="1" w:lastRow="0" w:firstColumn="0" w:lastColumn="0" w:oddVBand="0" w:evenVBand="0" w:oddHBand="0" w:evenHBand="0" w:firstRowFirstColumn="0" w:firstRowLastColumn="0" w:lastRowFirstColumn="0" w:lastRowLastColumn="0"/>
            </w:pPr>
            <w:r w:rsidRPr="00481629">
              <w:t>(N=</w:t>
            </w:r>
            <w:r>
              <w:t>4,728</w:t>
            </w:r>
            <w:r w:rsidRPr="00481629">
              <w:t>)</w:t>
            </w:r>
          </w:p>
        </w:tc>
      </w:tr>
      <w:tr w:rsidR="00E61D52" w:rsidRPr="000C11B2" w14:paraId="6FAA78EB" w14:textId="77777777" w:rsidTr="00E0112A">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347" w:type="dxa"/>
            <w:shd w:val="clear" w:color="auto" w:fill="BDD6EE" w:themeFill="accent1" w:themeFillTint="66"/>
          </w:tcPr>
          <w:p w14:paraId="54C3F345" w14:textId="77777777" w:rsidR="00E61D52" w:rsidRPr="000C11B2" w:rsidRDefault="00E61D52" w:rsidP="0041205C">
            <w:pPr>
              <w:pStyle w:val="TableCategoryText"/>
            </w:pPr>
            <w:r>
              <w:t>Vision</w:t>
            </w:r>
          </w:p>
        </w:tc>
        <w:tc>
          <w:tcPr>
            <w:tcW w:w="2347" w:type="dxa"/>
            <w:shd w:val="clear" w:color="auto" w:fill="D9E2F3" w:themeFill="accent5" w:themeFillTint="33"/>
          </w:tcPr>
          <w:p w14:paraId="7C586E50" w14:textId="77777777" w:rsidR="00E61D52" w:rsidRPr="00E0112A" w:rsidRDefault="00E61D52" w:rsidP="00E0112A">
            <w:pPr>
              <w:pStyle w:val="TableBodyText"/>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E0112A">
              <w:rPr>
                <w:color w:val="auto"/>
              </w:rPr>
              <w:t>3.7%</w:t>
            </w:r>
          </w:p>
        </w:tc>
        <w:tc>
          <w:tcPr>
            <w:tcW w:w="2347" w:type="dxa"/>
            <w:shd w:val="clear" w:color="auto" w:fill="D9E2F3" w:themeFill="accent5" w:themeFillTint="33"/>
          </w:tcPr>
          <w:p w14:paraId="678CE181" w14:textId="77777777" w:rsidR="00E61D52" w:rsidRPr="00E0112A" w:rsidRDefault="00E61D52" w:rsidP="00E0112A">
            <w:pPr>
              <w:pStyle w:val="TableBodyText"/>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E0112A">
              <w:rPr>
                <w:color w:val="auto"/>
              </w:rPr>
              <w:t>4.1%</w:t>
            </w:r>
          </w:p>
        </w:tc>
        <w:tc>
          <w:tcPr>
            <w:tcW w:w="2347" w:type="dxa"/>
            <w:shd w:val="clear" w:color="auto" w:fill="D9E2F3" w:themeFill="accent5" w:themeFillTint="33"/>
          </w:tcPr>
          <w:p w14:paraId="22B4082D" w14:textId="77777777" w:rsidR="00E61D52" w:rsidRPr="00E0112A" w:rsidRDefault="00E61D52" w:rsidP="00E0112A">
            <w:pPr>
              <w:pStyle w:val="TableBodyText"/>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E0112A">
              <w:rPr>
                <w:color w:val="auto"/>
              </w:rPr>
              <w:t>4.1%</w:t>
            </w:r>
          </w:p>
        </w:tc>
      </w:tr>
      <w:tr w:rsidR="00E61D52" w:rsidRPr="000C11B2" w14:paraId="47CB419C" w14:textId="77777777" w:rsidTr="00E0112A">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347" w:type="dxa"/>
            <w:shd w:val="clear" w:color="auto" w:fill="BDD6EE" w:themeFill="accent1" w:themeFillTint="66"/>
          </w:tcPr>
          <w:p w14:paraId="79EDAFA7" w14:textId="77777777" w:rsidR="00E61D52" w:rsidRPr="000C11B2" w:rsidRDefault="00E61D52" w:rsidP="0041205C">
            <w:pPr>
              <w:pStyle w:val="TableCategoryText"/>
            </w:pPr>
            <w:r>
              <w:t>Dental</w:t>
            </w:r>
          </w:p>
        </w:tc>
        <w:tc>
          <w:tcPr>
            <w:tcW w:w="2347" w:type="dxa"/>
            <w:shd w:val="clear" w:color="auto" w:fill="D9E2F3" w:themeFill="accent5" w:themeFillTint="33"/>
          </w:tcPr>
          <w:p w14:paraId="2E78833E" w14:textId="77777777" w:rsidR="00E61D52" w:rsidRPr="00E0112A" w:rsidRDefault="00E61D52" w:rsidP="00E0112A">
            <w:pPr>
              <w:pStyle w:val="TableBodyText"/>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00E0112A">
              <w:rPr>
                <w:color w:val="auto"/>
              </w:rPr>
              <w:t>3.5%</w:t>
            </w:r>
          </w:p>
        </w:tc>
        <w:tc>
          <w:tcPr>
            <w:tcW w:w="2347" w:type="dxa"/>
            <w:shd w:val="clear" w:color="auto" w:fill="D9E2F3" w:themeFill="accent5" w:themeFillTint="33"/>
          </w:tcPr>
          <w:p w14:paraId="604FB8D0" w14:textId="77777777" w:rsidR="00E61D52" w:rsidRPr="00E0112A" w:rsidRDefault="00E61D52" w:rsidP="00E0112A">
            <w:pPr>
              <w:pStyle w:val="TableBodyText"/>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00E0112A">
              <w:rPr>
                <w:color w:val="auto"/>
              </w:rPr>
              <w:t>2.7%</w:t>
            </w:r>
          </w:p>
        </w:tc>
        <w:tc>
          <w:tcPr>
            <w:tcW w:w="2347" w:type="dxa"/>
            <w:shd w:val="clear" w:color="auto" w:fill="D9E2F3" w:themeFill="accent5" w:themeFillTint="33"/>
          </w:tcPr>
          <w:p w14:paraId="6D71F4DA" w14:textId="77777777" w:rsidR="00E61D52" w:rsidRPr="00E0112A" w:rsidRDefault="00E61D52" w:rsidP="00E0112A">
            <w:pPr>
              <w:pStyle w:val="TableBodyText"/>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00E0112A">
              <w:rPr>
                <w:color w:val="auto"/>
              </w:rPr>
              <w:t>3.0%</w:t>
            </w:r>
          </w:p>
        </w:tc>
      </w:tr>
      <w:tr w:rsidR="00E61D52" w:rsidRPr="000C11B2" w14:paraId="7D581F04" w14:textId="77777777" w:rsidTr="00E0112A">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347" w:type="dxa"/>
            <w:shd w:val="clear" w:color="auto" w:fill="BDD6EE" w:themeFill="accent1" w:themeFillTint="66"/>
          </w:tcPr>
          <w:p w14:paraId="5BA0E599" w14:textId="77777777" w:rsidR="00E61D52" w:rsidRDefault="00E61D52" w:rsidP="0041205C">
            <w:pPr>
              <w:pStyle w:val="TableCategoryText"/>
            </w:pPr>
            <w:r>
              <w:t>Medical</w:t>
            </w:r>
          </w:p>
        </w:tc>
        <w:tc>
          <w:tcPr>
            <w:tcW w:w="2347" w:type="dxa"/>
            <w:shd w:val="clear" w:color="auto" w:fill="D9E2F3" w:themeFill="accent5" w:themeFillTint="33"/>
          </w:tcPr>
          <w:p w14:paraId="4694F5F3" w14:textId="77777777" w:rsidR="00E61D52" w:rsidRPr="00E0112A" w:rsidRDefault="00E61D52" w:rsidP="00E0112A">
            <w:pPr>
              <w:pStyle w:val="TableBodyText"/>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E0112A">
              <w:rPr>
                <w:color w:val="auto"/>
              </w:rPr>
              <w:t>1.9%</w:t>
            </w:r>
          </w:p>
        </w:tc>
        <w:tc>
          <w:tcPr>
            <w:tcW w:w="2347" w:type="dxa"/>
            <w:shd w:val="clear" w:color="auto" w:fill="D9E2F3" w:themeFill="accent5" w:themeFillTint="33"/>
          </w:tcPr>
          <w:p w14:paraId="5BAC3D2C" w14:textId="77777777" w:rsidR="00E61D52" w:rsidRPr="00E0112A" w:rsidRDefault="00E61D52" w:rsidP="00E0112A">
            <w:pPr>
              <w:pStyle w:val="TableBodyText"/>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E0112A">
              <w:rPr>
                <w:color w:val="auto"/>
              </w:rPr>
              <w:t>1.3%</w:t>
            </w:r>
          </w:p>
        </w:tc>
        <w:tc>
          <w:tcPr>
            <w:tcW w:w="2347" w:type="dxa"/>
            <w:shd w:val="clear" w:color="auto" w:fill="D9E2F3" w:themeFill="accent5" w:themeFillTint="33"/>
          </w:tcPr>
          <w:p w14:paraId="79B3AF47" w14:textId="77777777" w:rsidR="00E61D52" w:rsidRPr="00E0112A" w:rsidRDefault="00E61D52" w:rsidP="00E0112A">
            <w:pPr>
              <w:pStyle w:val="TableBodyText"/>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sidRPr="00E0112A">
              <w:rPr>
                <w:color w:val="auto"/>
              </w:rPr>
              <w:t>1.3%</w:t>
            </w:r>
          </w:p>
        </w:tc>
      </w:tr>
      <w:tr w:rsidR="00E61D52" w:rsidRPr="000C11B2" w14:paraId="5AD5A897" w14:textId="77777777" w:rsidTr="00E0112A">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347" w:type="dxa"/>
            <w:shd w:val="clear" w:color="auto" w:fill="BDD6EE" w:themeFill="accent1" w:themeFillTint="66"/>
          </w:tcPr>
          <w:p w14:paraId="38AACFC5" w14:textId="77777777" w:rsidR="00E61D52" w:rsidRDefault="00E61D52" w:rsidP="0041205C">
            <w:pPr>
              <w:pStyle w:val="TableCategoryText"/>
            </w:pPr>
            <w:r>
              <w:t>Mental health</w:t>
            </w:r>
          </w:p>
        </w:tc>
        <w:tc>
          <w:tcPr>
            <w:tcW w:w="2347" w:type="dxa"/>
            <w:shd w:val="clear" w:color="auto" w:fill="D9E2F3" w:themeFill="accent5" w:themeFillTint="33"/>
          </w:tcPr>
          <w:p w14:paraId="0BF18107" w14:textId="77777777" w:rsidR="00E61D52" w:rsidRPr="00E0112A" w:rsidRDefault="00E61D52" w:rsidP="00E0112A">
            <w:pPr>
              <w:pStyle w:val="TableBodyText"/>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00E0112A">
              <w:rPr>
                <w:color w:val="auto"/>
              </w:rPr>
              <w:t>0.9%</w:t>
            </w:r>
          </w:p>
        </w:tc>
        <w:tc>
          <w:tcPr>
            <w:tcW w:w="2347" w:type="dxa"/>
            <w:shd w:val="clear" w:color="auto" w:fill="D9E2F3" w:themeFill="accent5" w:themeFillTint="33"/>
          </w:tcPr>
          <w:p w14:paraId="4AEF8F75" w14:textId="77777777" w:rsidR="00E61D52" w:rsidRPr="00E0112A" w:rsidRDefault="00E61D52" w:rsidP="00E0112A">
            <w:pPr>
              <w:pStyle w:val="TableBodyText"/>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00E0112A">
              <w:rPr>
                <w:color w:val="auto"/>
              </w:rPr>
              <w:t>0.8%</w:t>
            </w:r>
          </w:p>
        </w:tc>
        <w:tc>
          <w:tcPr>
            <w:tcW w:w="2347" w:type="dxa"/>
            <w:shd w:val="clear" w:color="auto" w:fill="D9E2F3" w:themeFill="accent5" w:themeFillTint="33"/>
          </w:tcPr>
          <w:p w14:paraId="635F51E5" w14:textId="77777777" w:rsidR="00E61D52" w:rsidRPr="00E0112A" w:rsidRDefault="00E61D52" w:rsidP="00E0112A">
            <w:pPr>
              <w:pStyle w:val="TableBodyText"/>
              <w:spacing w:after="0" w:line="240" w:lineRule="auto"/>
              <w:cnfStyle w:val="000000010000" w:firstRow="0" w:lastRow="0" w:firstColumn="0" w:lastColumn="0" w:oddVBand="0" w:evenVBand="0" w:oddHBand="0" w:evenHBand="1" w:firstRowFirstColumn="0" w:firstRowLastColumn="0" w:lastRowFirstColumn="0" w:lastRowLastColumn="0"/>
              <w:rPr>
                <w:color w:val="auto"/>
              </w:rPr>
            </w:pPr>
            <w:r w:rsidRPr="00E0112A">
              <w:rPr>
                <w:color w:val="auto"/>
              </w:rPr>
              <w:t>0.9%</w:t>
            </w:r>
          </w:p>
        </w:tc>
      </w:tr>
    </w:tbl>
    <w:p w14:paraId="51B17FFF" w14:textId="765FDEB8" w:rsidR="00E61D52" w:rsidRPr="00E61D52" w:rsidRDefault="00E61D52" w:rsidP="00E61D52">
      <w:pPr>
        <w:pStyle w:val="TableorFiguresNotesSources"/>
        <w:rPr>
          <w:color w:val="auto"/>
        </w:rPr>
      </w:pPr>
      <w:r w:rsidRPr="00E61D52">
        <w:rPr>
          <w:color w:val="auto"/>
        </w:rPr>
        <w:lastRenderedPageBreak/>
        <w:t xml:space="preserve">Source: The MSIN </w:t>
      </w:r>
      <w:r w:rsidR="00ED2F05">
        <w:rPr>
          <w:color w:val="auto"/>
        </w:rPr>
        <w:t>d</w:t>
      </w:r>
      <w:r w:rsidRPr="00E61D52">
        <w:rPr>
          <w:color w:val="auto"/>
        </w:rPr>
        <w:t>atabases for the MEP, 2020–21 through 2022–23 performance periods. Accessed December 2023.</w:t>
      </w:r>
    </w:p>
    <w:p w14:paraId="0CBD5D6B" w14:textId="388E3D1C" w:rsidR="007B149B" w:rsidRPr="002F0E3F" w:rsidRDefault="00B46E1D" w:rsidP="00A45127">
      <w:pPr>
        <w:pStyle w:val="Heading2"/>
        <w:spacing w:after="240"/>
      </w:pPr>
      <w:bookmarkStart w:id="172" w:name="_Toc188361324"/>
      <w:r w:rsidRPr="002F0E3F">
        <w:t xml:space="preserve">Section IV: </w:t>
      </w:r>
      <w:r w:rsidR="00922269" w:rsidRPr="002F0E3F">
        <w:t>Results and Findings</w:t>
      </w:r>
      <w:bookmarkEnd w:id="168"/>
      <w:bookmarkEnd w:id="172"/>
    </w:p>
    <w:p w14:paraId="57B5960E" w14:textId="60910B66" w:rsidR="006775A8" w:rsidRPr="002F0E3F" w:rsidRDefault="001B4407" w:rsidP="007B711B">
      <w:pPr>
        <w:pStyle w:val="NormalWeb"/>
        <w:spacing w:before="0" w:beforeAutospacing="0" w:after="240" w:afterAutospacing="0"/>
        <w:rPr>
          <w:rFonts w:ascii="Arial" w:hAnsi="Arial" w:cs="Arial"/>
        </w:rPr>
      </w:pPr>
      <w:r w:rsidRPr="002F0E3F">
        <w:rPr>
          <w:rFonts w:ascii="Arial" w:hAnsi="Arial" w:cs="Arial"/>
        </w:rPr>
        <w:t>T</w:t>
      </w:r>
      <w:r w:rsidR="00180545" w:rsidRPr="002F0E3F">
        <w:rPr>
          <w:rFonts w:ascii="Arial" w:hAnsi="Arial" w:cs="Arial"/>
        </w:rPr>
        <w:t>his section of the statewide CNA identifies the outputs</w:t>
      </w:r>
      <w:r w:rsidR="007E33B4" w:rsidRPr="002F0E3F">
        <w:rPr>
          <w:rFonts w:ascii="Arial" w:hAnsi="Arial" w:cs="Arial"/>
        </w:rPr>
        <w:t xml:space="preserve"> </w:t>
      </w:r>
      <w:r w:rsidR="00180545" w:rsidRPr="002F0E3F">
        <w:rPr>
          <w:rFonts w:ascii="Arial" w:hAnsi="Arial" w:cs="Arial"/>
        </w:rPr>
        <w:t>developed by the CNA</w:t>
      </w:r>
      <w:r w:rsidR="00BA1DC5">
        <w:rPr>
          <w:rFonts w:ascii="Arial" w:hAnsi="Arial" w:cs="Arial"/>
        </w:rPr>
        <w:t xml:space="preserve"> </w:t>
      </w:r>
      <w:r w:rsidR="0028194C" w:rsidRPr="002F0E3F">
        <w:rPr>
          <w:rFonts w:ascii="Arial" w:hAnsi="Arial" w:cs="Arial"/>
        </w:rPr>
        <w:t>SDP</w:t>
      </w:r>
      <w:r w:rsidR="00180545" w:rsidRPr="002F0E3F">
        <w:rPr>
          <w:rFonts w:ascii="Arial" w:hAnsi="Arial" w:cs="Arial"/>
        </w:rPr>
        <w:t xml:space="preserve"> Committee, </w:t>
      </w:r>
      <w:r w:rsidR="00BA1DC5">
        <w:rPr>
          <w:rFonts w:ascii="Arial" w:hAnsi="Arial" w:cs="Arial"/>
        </w:rPr>
        <w:t>including the SPAC subcommittees,</w:t>
      </w:r>
      <w:r w:rsidR="00180545" w:rsidRPr="002F0E3F">
        <w:rPr>
          <w:rFonts w:ascii="Arial" w:hAnsi="Arial" w:cs="Arial"/>
        </w:rPr>
        <w:t xml:space="preserve"> and the CDE Management and Data Team</w:t>
      </w:r>
      <w:r w:rsidR="001E694E" w:rsidRPr="002F0E3F">
        <w:rPr>
          <w:rFonts w:ascii="Arial" w:hAnsi="Arial" w:cs="Arial"/>
        </w:rPr>
        <w:t xml:space="preserve"> for each of the </w:t>
      </w:r>
      <w:r w:rsidR="00BA1DC5">
        <w:rPr>
          <w:rFonts w:ascii="Arial" w:hAnsi="Arial" w:cs="Arial"/>
        </w:rPr>
        <w:t>ten</w:t>
      </w:r>
      <w:r w:rsidR="001E694E" w:rsidRPr="002F0E3F">
        <w:rPr>
          <w:rFonts w:ascii="Arial" w:hAnsi="Arial" w:cs="Arial"/>
        </w:rPr>
        <w:t xml:space="preserve"> focus areas</w:t>
      </w:r>
      <w:r w:rsidR="00180545" w:rsidRPr="002F0E3F">
        <w:rPr>
          <w:rFonts w:ascii="Arial" w:hAnsi="Arial" w:cs="Arial"/>
        </w:rPr>
        <w:t xml:space="preserve">. </w:t>
      </w:r>
      <w:r w:rsidR="00BA1DC5">
        <w:rPr>
          <w:rFonts w:ascii="Arial" w:hAnsi="Arial" w:cs="Arial"/>
        </w:rPr>
        <w:t xml:space="preserve">CNA SDP </w:t>
      </w:r>
      <w:r w:rsidR="001E694E" w:rsidRPr="002F0E3F">
        <w:rPr>
          <w:rFonts w:ascii="Arial" w:hAnsi="Arial" w:cs="Arial"/>
        </w:rPr>
        <w:t>Subcommittees were charged with developing the following outputs for their specific focus areas:</w:t>
      </w:r>
    </w:p>
    <w:p w14:paraId="008A3260" w14:textId="6ED5D4FC" w:rsidR="00A14DAA" w:rsidRDefault="00844916">
      <w:pPr>
        <w:pStyle w:val="NormalWeb"/>
        <w:numPr>
          <w:ilvl w:val="0"/>
          <w:numId w:val="5"/>
        </w:numPr>
        <w:spacing w:before="0" w:beforeAutospacing="0" w:after="240" w:afterAutospacing="0"/>
        <w:rPr>
          <w:rFonts w:ascii="Arial" w:hAnsi="Arial" w:cs="Arial"/>
        </w:rPr>
      </w:pPr>
      <w:r w:rsidRPr="002F0E3F">
        <w:rPr>
          <w:rFonts w:ascii="Arial" w:hAnsi="Arial" w:cs="Arial"/>
        </w:rPr>
        <w:t>Data summaries</w:t>
      </w:r>
      <w:r w:rsidR="00E6010A" w:rsidRPr="002F0E3F">
        <w:rPr>
          <w:rFonts w:ascii="Arial" w:hAnsi="Arial" w:cs="Arial"/>
        </w:rPr>
        <w:t xml:space="preserve"> highlight</w:t>
      </w:r>
      <w:r w:rsidR="00BA1DC5">
        <w:rPr>
          <w:rFonts w:ascii="Arial" w:hAnsi="Arial" w:cs="Arial"/>
        </w:rPr>
        <w:t>ing</w:t>
      </w:r>
      <w:r w:rsidR="00A14DAA" w:rsidRPr="002F0E3F">
        <w:rPr>
          <w:rFonts w:ascii="Arial" w:hAnsi="Arial" w:cs="Arial"/>
        </w:rPr>
        <w:t xml:space="preserve"> the data findings relative to</w:t>
      </w:r>
      <w:r w:rsidR="00E6010A" w:rsidRPr="002F0E3F">
        <w:rPr>
          <w:rFonts w:ascii="Arial" w:hAnsi="Arial" w:cs="Arial"/>
        </w:rPr>
        <w:t xml:space="preserve"> </w:t>
      </w:r>
      <w:r w:rsidR="00BA1DC5">
        <w:rPr>
          <w:rFonts w:ascii="Arial" w:hAnsi="Arial" w:cs="Arial"/>
        </w:rPr>
        <w:t>an identified</w:t>
      </w:r>
      <w:r w:rsidR="00E6010A" w:rsidRPr="002F0E3F">
        <w:rPr>
          <w:rFonts w:ascii="Arial" w:hAnsi="Arial" w:cs="Arial"/>
        </w:rPr>
        <w:t xml:space="preserve"> concern</w:t>
      </w:r>
    </w:p>
    <w:p w14:paraId="73CE6070" w14:textId="1A4A2B00" w:rsidR="00BA1DC5" w:rsidRPr="00BA1DC5" w:rsidRDefault="00BA1DC5">
      <w:pPr>
        <w:pStyle w:val="NormalWeb"/>
        <w:numPr>
          <w:ilvl w:val="0"/>
          <w:numId w:val="5"/>
        </w:numPr>
        <w:spacing w:before="0" w:beforeAutospacing="0" w:after="240" w:afterAutospacing="0"/>
        <w:rPr>
          <w:rFonts w:ascii="Arial" w:hAnsi="Arial" w:cs="Arial"/>
        </w:rPr>
      </w:pPr>
      <w:r w:rsidRPr="002F0E3F">
        <w:rPr>
          <w:rFonts w:ascii="Arial" w:hAnsi="Arial" w:cs="Arial"/>
        </w:rPr>
        <w:t xml:space="preserve">Concern </w:t>
      </w:r>
      <w:r>
        <w:rPr>
          <w:rFonts w:ascii="Arial" w:hAnsi="Arial" w:cs="Arial"/>
        </w:rPr>
        <w:t>s</w:t>
      </w:r>
      <w:r w:rsidRPr="002F0E3F">
        <w:rPr>
          <w:rFonts w:ascii="Arial" w:hAnsi="Arial" w:cs="Arial"/>
        </w:rPr>
        <w:t>tatements based on statewide data</w:t>
      </w:r>
    </w:p>
    <w:p w14:paraId="50BB3B8E" w14:textId="5BD20400" w:rsidR="001E694E" w:rsidRPr="002F0E3F" w:rsidRDefault="0007334F">
      <w:pPr>
        <w:pStyle w:val="NormalWeb"/>
        <w:numPr>
          <w:ilvl w:val="0"/>
          <w:numId w:val="5"/>
        </w:numPr>
        <w:spacing w:before="0" w:beforeAutospacing="0" w:after="240" w:afterAutospacing="0"/>
        <w:rPr>
          <w:rFonts w:ascii="Arial" w:hAnsi="Arial" w:cs="Arial"/>
        </w:rPr>
      </w:pPr>
      <w:r w:rsidRPr="002F0E3F">
        <w:rPr>
          <w:rFonts w:ascii="Arial" w:hAnsi="Arial" w:cs="Arial"/>
        </w:rPr>
        <w:t>Need statements</w:t>
      </w:r>
      <w:r w:rsidR="00E535FE" w:rsidRPr="002F0E3F">
        <w:rPr>
          <w:rFonts w:ascii="Arial" w:hAnsi="Arial" w:cs="Arial"/>
        </w:rPr>
        <w:t xml:space="preserve"> </w:t>
      </w:r>
      <w:r w:rsidR="00844916" w:rsidRPr="002F0E3F">
        <w:rPr>
          <w:rFonts w:ascii="Arial" w:hAnsi="Arial" w:cs="Arial"/>
        </w:rPr>
        <w:t>establish</w:t>
      </w:r>
      <w:r w:rsidR="00BA1DC5">
        <w:rPr>
          <w:rFonts w:ascii="Arial" w:hAnsi="Arial" w:cs="Arial"/>
        </w:rPr>
        <w:t>ing</w:t>
      </w:r>
      <w:r w:rsidR="00844916" w:rsidRPr="002F0E3F">
        <w:rPr>
          <w:rFonts w:ascii="Arial" w:hAnsi="Arial" w:cs="Arial"/>
        </w:rPr>
        <w:t xml:space="preserve"> a numerical gap (when possible)</w:t>
      </w:r>
      <w:r w:rsidR="00A14DAA" w:rsidRPr="002F0E3F">
        <w:rPr>
          <w:rFonts w:ascii="Arial" w:hAnsi="Arial" w:cs="Arial"/>
        </w:rPr>
        <w:t xml:space="preserve"> of “what is” and “what should be”</w:t>
      </w:r>
    </w:p>
    <w:p w14:paraId="39E896A5" w14:textId="073BB289" w:rsidR="00844916" w:rsidRPr="002F0E3F" w:rsidRDefault="00844916">
      <w:pPr>
        <w:pStyle w:val="NormalWeb"/>
        <w:numPr>
          <w:ilvl w:val="0"/>
          <w:numId w:val="5"/>
        </w:numPr>
        <w:spacing w:before="0" w:beforeAutospacing="0" w:after="240" w:afterAutospacing="0"/>
        <w:rPr>
          <w:rFonts w:ascii="Arial" w:hAnsi="Arial" w:cs="Arial"/>
        </w:rPr>
      </w:pPr>
      <w:r w:rsidRPr="002F0E3F">
        <w:rPr>
          <w:rFonts w:ascii="Arial" w:hAnsi="Arial" w:cs="Arial"/>
        </w:rPr>
        <w:t>Initial strategies</w:t>
      </w:r>
      <w:r w:rsidR="00BA701C">
        <w:rPr>
          <w:rFonts w:ascii="Arial" w:hAnsi="Arial" w:cs="Arial"/>
        </w:rPr>
        <w:t xml:space="preserve"> selected based on a review of evidence-based best practices</w:t>
      </w:r>
      <w:r w:rsidRPr="002F0E3F">
        <w:rPr>
          <w:rFonts w:ascii="Arial" w:hAnsi="Arial" w:cs="Arial"/>
        </w:rPr>
        <w:t xml:space="preserve"> to address specifically identified needs </w:t>
      </w:r>
    </w:p>
    <w:p w14:paraId="142FD557" w14:textId="61568F30" w:rsidR="00FC7A51" w:rsidRPr="002F0E3F" w:rsidRDefault="00FC7A51" w:rsidP="007B711B">
      <w:pPr>
        <w:pStyle w:val="NormalWeb"/>
        <w:spacing w:before="0" w:beforeAutospacing="0" w:after="240" w:afterAutospacing="0"/>
        <w:rPr>
          <w:rFonts w:ascii="Arial" w:hAnsi="Arial" w:cs="Arial"/>
        </w:rPr>
      </w:pPr>
      <w:r w:rsidRPr="009C5A15">
        <w:rPr>
          <w:rFonts w:ascii="Arial" w:hAnsi="Arial" w:cs="Arial"/>
        </w:rPr>
        <w:t xml:space="preserve">The </w:t>
      </w:r>
      <w:r w:rsidR="009B33CE" w:rsidRPr="009C5A15">
        <w:rPr>
          <w:rFonts w:ascii="Arial" w:hAnsi="Arial" w:cs="Arial"/>
        </w:rPr>
        <w:t xml:space="preserve">discussion of the </w:t>
      </w:r>
      <w:r w:rsidR="009C5A15" w:rsidRPr="009C5A15">
        <w:rPr>
          <w:rFonts w:ascii="Arial" w:hAnsi="Arial" w:cs="Arial"/>
        </w:rPr>
        <w:t>following focus area</w:t>
      </w:r>
      <w:r w:rsidR="009B33CE" w:rsidRPr="009C5A15">
        <w:rPr>
          <w:rFonts w:ascii="Arial" w:hAnsi="Arial" w:cs="Arial"/>
        </w:rPr>
        <w:t xml:space="preserve"> </w:t>
      </w:r>
      <w:r w:rsidR="00FB59FE" w:rsidRPr="009C5A15">
        <w:rPr>
          <w:rFonts w:ascii="Arial" w:hAnsi="Arial" w:cs="Arial"/>
        </w:rPr>
        <w:t>illustrate</w:t>
      </w:r>
      <w:r w:rsidR="009C5A15" w:rsidRPr="009C5A15">
        <w:rPr>
          <w:rFonts w:ascii="Arial" w:hAnsi="Arial" w:cs="Arial"/>
        </w:rPr>
        <w:t>s</w:t>
      </w:r>
      <w:r w:rsidRPr="009C5A15">
        <w:rPr>
          <w:rFonts w:ascii="Arial" w:hAnsi="Arial" w:cs="Arial"/>
        </w:rPr>
        <w:t xml:space="preserve"> </w:t>
      </w:r>
      <w:r w:rsidR="00F1025E" w:rsidRPr="009C5A15">
        <w:rPr>
          <w:rFonts w:ascii="Arial" w:hAnsi="Arial" w:cs="Arial"/>
        </w:rPr>
        <w:t>the process that took place as the</w:t>
      </w:r>
      <w:r w:rsidR="00FB59FE" w:rsidRPr="009C5A15">
        <w:rPr>
          <w:rFonts w:ascii="Arial" w:hAnsi="Arial" w:cs="Arial"/>
        </w:rPr>
        <w:t xml:space="preserve"> committee reviewed</w:t>
      </w:r>
      <w:r w:rsidR="00F1025E" w:rsidRPr="009C5A15">
        <w:rPr>
          <w:rFonts w:ascii="Arial" w:hAnsi="Arial" w:cs="Arial"/>
        </w:rPr>
        <w:t xml:space="preserve"> data to develop concern and need statements as well as </w:t>
      </w:r>
      <w:r w:rsidR="00FB59FE" w:rsidRPr="009C5A15">
        <w:rPr>
          <w:rFonts w:ascii="Arial" w:hAnsi="Arial" w:cs="Arial"/>
        </w:rPr>
        <w:t xml:space="preserve">selected </w:t>
      </w:r>
      <w:r w:rsidR="00F1025E" w:rsidRPr="009C5A15">
        <w:rPr>
          <w:rFonts w:ascii="Arial" w:hAnsi="Arial" w:cs="Arial"/>
        </w:rPr>
        <w:t>initial strategies</w:t>
      </w:r>
      <w:r w:rsidRPr="009C5A15">
        <w:rPr>
          <w:rFonts w:ascii="Arial" w:hAnsi="Arial" w:cs="Arial"/>
        </w:rPr>
        <w:t>.</w:t>
      </w:r>
      <w:r w:rsidR="00E51AF0" w:rsidRPr="009C5A15">
        <w:rPr>
          <w:rFonts w:ascii="Arial" w:hAnsi="Arial" w:cs="Arial"/>
        </w:rPr>
        <w:t xml:space="preserve"> In addition to the narrative of the process, key decision points are outlined in tables for ease of review. </w:t>
      </w:r>
      <w:r w:rsidR="009B33CE" w:rsidRPr="009C5A15">
        <w:rPr>
          <w:rFonts w:ascii="Arial" w:hAnsi="Arial" w:cs="Arial"/>
        </w:rPr>
        <w:t>Subsequent focus areas begin by identifying the key data points discussed at the stakeholder subcommittee meetings and key decision points for each focus area are summarized</w:t>
      </w:r>
      <w:r w:rsidR="009C5A15">
        <w:rPr>
          <w:rFonts w:ascii="Arial" w:hAnsi="Arial" w:cs="Arial"/>
        </w:rPr>
        <w:t>.</w:t>
      </w:r>
    </w:p>
    <w:p w14:paraId="0A181E9C" w14:textId="77777777" w:rsidR="00B95910" w:rsidRPr="002F0E3F" w:rsidRDefault="00C34B84" w:rsidP="007B711B">
      <w:pPr>
        <w:pStyle w:val="Heading3"/>
      </w:pPr>
      <w:bookmarkStart w:id="173" w:name="_Toc496195917"/>
      <w:bookmarkStart w:id="174" w:name="_Toc188361325"/>
      <w:r w:rsidRPr="002F0E3F">
        <w:t>English Language Arts</w:t>
      </w:r>
      <w:bookmarkEnd w:id="173"/>
      <w:bookmarkEnd w:id="174"/>
    </w:p>
    <w:p w14:paraId="5A5AFC65" w14:textId="36F97816" w:rsidR="00B11E37" w:rsidRPr="002F0E3F" w:rsidRDefault="009B5FB5" w:rsidP="007B711B">
      <w:pPr>
        <w:pStyle w:val="NormalWeb"/>
        <w:spacing w:after="240" w:afterAutospacing="0"/>
        <w:rPr>
          <w:rFonts w:ascii="Arial" w:hAnsi="Arial" w:cs="Arial"/>
        </w:rPr>
      </w:pPr>
      <w:r w:rsidRPr="002F0E3F">
        <w:rPr>
          <w:rFonts w:ascii="Arial" w:hAnsi="Arial" w:cs="Arial"/>
        </w:rPr>
        <w:t>T</w:t>
      </w:r>
      <w:r w:rsidR="001A454B" w:rsidRPr="002F0E3F">
        <w:rPr>
          <w:rFonts w:ascii="Arial" w:hAnsi="Arial" w:cs="Arial"/>
        </w:rPr>
        <w:t>he 2</w:t>
      </w:r>
      <w:r w:rsidR="00BA12C9" w:rsidRPr="002F0E3F">
        <w:rPr>
          <w:rFonts w:ascii="Arial" w:hAnsi="Arial" w:cs="Arial"/>
        </w:rPr>
        <w:t>0</w:t>
      </w:r>
      <w:r w:rsidR="001A454B" w:rsidRPr="002F0E3F">
        <w:rPr>
          <w:rFonts w:ascii="Arial" w:hAnsi="Arial" w:cs="Arial"/>
        </w:rPr>
        <w:t xml:space="preserve">15 </w:t>
      </w:r>
      <w:r w:rsidR="00BA6891" w:rsidRPr="002F0E3F">
        <w:rPr>
          <w:rFonts w:ascii="Arial" w:hAnsi="Arial" w:cs="Arial"/>
          <w:i/>
        </w:rPr>
        <w:t>English Language Arts and English Language Development</w:t>
      </w:r>
      <w:r w:rsidR="001A454B" w:rsidRPr="002F0E3F">
        <w:rPr>
          <w:rFonts w:ascii="Arial" w:hAnsi="Arial" w:cs="Arial"/>
          <w:i/>
        </w:rPr>
        <w:t xml:space="preserve"> Framework for California Public Schools Kindergarten </w:t>
      </w:r>
      <w:r w:rsidR="00E9346C">
        <w:rPr>
          <w:rFonts w:ascii="Arial" w:hAnsi="Arial" w:cs="Arial"/>
          <w:i/>
        </w:rPr>
        <w:t>T</w:t>
      </w:r>
      <w:r w:rsidR="001A454B" w:rsidRPr="002F0E3F">
        <w:rPr>
          <w:rFonts w:ascii="Arial" w:hAnsi="Arial" w:cs="Arial"/>
          <w:i/>
        </w:rPr>
        <w:t>hrough Grade Twelve</w:t>
      </w:r>
      <w:r w:rsidR="001A454B" w:rsidRPr="002F0E3F">
        <w:rPr>
          <w:rFonts w:ascii="Arial" w:hAnsi="Arial" w:cs="Arial"/>
        </w:rPr>
        <w:t xml:space="preserve"> </w:t>
      </w:r>
      <w:r w:rsidR="00BA6891" w:rsidRPr="002F0E3F">
        <w:rPr>
          <w:rFonts w:ascii="Arial" w:hAnsi="Arial" w:cs="Arial"/>
        </w:rPr>
        <w:t>(</w:t>
      </w:r>
      <w:r w:rsidR="00B83E71" w:rsidRPr="002F0E3F">
        <w:rPr>
          <w:rFonts w:ascii="Arial" w:hAnsi="Arial" w:cs="Arial"/>
        </w:rPr>
        <w:t xml:space="preserve">Framework) </w:t>
      </w:r>
      <w:r w:rsidR="00A467D0" w:rsidRPr="002F0E3F">
        <w:rPr>
          <w:rFonts w:ascii="Arial" w:hAnsi="Arial" w:cs="Arial"/>
        </w:rPr>
        <w:t>emphasi</w:t>
      </w:r>
      <w:r w:rsidR="006E7B6E">
        <w:rPr>
          <w:rFonts w:ascii="Arial" w:hAnsi="Arial" w:cs="Arial"/>
        </w:rPr>
        <w:t>ze</w:t>
      </w:r>
      <w:r w:rsidR="00A467D0" w:rsidRPr="002F0E3F">
        <w:rPr>
          <w:rFonts w:ascii="Arial" w:hAnsi="Arial" w:cs="Arial"/>
        </w:rPr>
        <w:t xml:space="preserve"> the need to develop both literacy and language to increase readiness for college, careers and civic life.</w:t>
      </w:r>
      <w:r w:rsidR="00EE3D37" w:rsidRPr="002F0E3F">
        <w:rPr>
          <w:rStyle w:val="FootnoteReference"/>
          <w:rFonts w:ascii="Arial" w:hAnsi="Arial" w:cs="Arial"/>
        </w:rPr>
        <w:footnoteReference w:id="9"/>
      </w:r>
      <w:r w:rsidRPr="002F0E3F">
        <w:rPr>
          <w:rFonts w:ascii="Arial" w:hAnsi="Arial" w:cs="Arial"/>
        </w:rPr>
        <w:t xml:space="preserve"> </w:t>
      </w:r>
      <w:r w:rsidR="00B11E37" w:rsidRPr="002F0E3F">
        <w:rPr>
          <w:rFonts w:ascii="Arial" w:hAnsi="Arial" w:cs="Arial"/>
        </w:rPr>
        <w:t xml:space="preserve">As noted in the Framework, reading, writing, speaking, listening, and language </w:t>
      </w:r>
      <w:r w:rsidR="00F8556E" w:rsidRPr="002F0E3F">
        <w:rPr>
          <w:rFonts w:ascii="Arial" w:hAnsi="Arial" w:cs="Arial"/>
        </w:rPr>
        <w:t>is</w:t>
      </w:r>
      <w:r w:rsidR="00B11E37" w:rsidRPr="002F0E3F">
        <w:rPr>
          <w:rFonts w:ascii="Arial" w:hAnsi="Arial" w:cs="Arial"/>
        </w:rPr>
        <w:t xml:space="preserve"> interdependent. </w:t>
      </w:r>
      <w:r w:rsidR="007E0E6D" w:rsidRPr="002F0E3F">
        <w:rPr>
          <w:rFonts w:ascii="Arial" w:hAnsi="Arial" w:cs="Arial"/>
        </w:rPr>
        <w:t xml:space="preserve">Reading allows children to gain, </w:t>
      </w:r>
      <w:r w:rsidR="000D602E" w:rsidRPr="002F0E3F">
        <w:rPr>
          <w:rFonts w:ascii="Arial" w:hAnsi="Arial" w:cs="Arial"/>
        </w:rPr>
        <w:t>revise,</w:t>
      </w:r>
      <w:r w:rsidR="007E0E6D" w:rsidRPr="002F0E3F">
        <w:rPr>
          <w:rFonts w:ascii="Arial" w:hAnsi="Arial" w:cs="Arial"/>
        </w:rPr>
        <w:t xml:space="preserve"> or expand their knowledge</w:t>
      </w:r>
      <w:r w:rsidR="000D602E" w:rsidRPr="002F0E3F">
        <w:rPr>
          <w:rFonts w:ascii="Arial" w:hAnsi="Arial" w:cs="Arial"/>
        </w:rPr>
        <w:t xml:space="preserve">, </w:t>
      </w:r>
      <w:r w:rsidR="007E0E6D" w:rsidRPr="002F0E3F">
        <w:rPr>
          <w:rFonts w:ascii="Arial" w:hAnsi="Arial" w:cs="Arial"/>
        </w:rPr>
        <w:t>while writing is a way to express understanding of concepts</w:t>
      </w:r>
      <w:r w:rsidR="00943B32" w:rsidRPr="002F0E3F">
        <w:rPr>
          <w:rFonts w:ascii="Arial" w:hAnsi="Arial" w:cs="Arial"/>
        </w:rPr>
        <w:t xml:space="preserve"> or to communicate ideas. </w:t>
      </w:r>
      <w:r w:rsidR="00F06E40" w:rsidRPr="002F0E3F">
        <w:rPr>
          <w:rFonts w:ascii="Arial" w:hAnsi="Arial" w:cs="Arial"/>
        </w:rPr>
        <w:t xml:space="preserve">Children verbally </w:t>
      </w:r>
      <w:r w:rsidR="00D45978" w:rsidRPr="002F0E3F">
        <w:rPr>
          <w:rFonts w:ascii="Arial" w:hAnsi="Arial" w:cs="Arial"/>
        </w:rPr>
        <w:t>express their opinions, clarify information, collaborate on projects,</w:t>
      </w:r>
      <w:r w:rsidRPr="002F0E3F">
        <w:rPr>
          <w:rFonts w:ascii="Arial" w:hAnsi="Arial" w:cs="Arial"/>
        </w:rPr>
        <w:t xml:space="preserve"> and engage in the learning process. Utilization of language arts throughout the content areas develops language</w:t>
      </w:r>
      <w:r w:rsidR="00D313A0">
        <w:rPr>
          <w:rFonts w:ascii="Arial" w:hAnsi="Arial" w:cs="Arial"/>
        </w:rPr>
        <w:t xml:space="preserve"> skills</w:t>
      </w:r>
      <w:r w:rsidRPr="002F0E3F">
        <w:rPr>
          <w:rFonts w:ascii="Arial" w:hAnsi="Arial" w:cs="Arial"/>
        </w:rPr>
        <w:t xml:space="preserve"> at all grade levels.</w:t>
      </w:r>
    </w:p>
    <w:p w14:paraId="6F919198" w14:textId="6593BC4E" w:rsidR="00B95910" w:rsidRPr="002F0E3F" w:rsidRDefault="00D97CF6" w:rsidP="007B711B">
      <w:pPr>
        <w:spacing w:after="240"/>
        <w:rPr>
          <w:rFonts w:cs="Arial"/>
        </w:rPr>
      </w:pPr>
      <w:r w:rsidRPr="002F0E3F">
        <w:rPr>
          <w:rFonts w:cs="Arial"/>
        </w:rPr>
        <w:t>To develop the key decision points for ELA</w:t>
      </w:r>
      <w:r w:rsidR="008E278A" w:rsidRPr="002F0E3F">
        <w:rPr>
          <w:rFonts w:cs="Arial"/>
        </w:rPr>
        <w:t xml:space="preserve"> </w:t>
      </w:r>
      <w:r w:rsidRPr="002F0E3F">
        <w:rPr>
          <w:rFonts w:cs="Arial"/>
        </w:rPr>
        <w:t>included in this report, t</w:t>
      </w:r>
      <w:r w:rsidR="00B95910" w:rsidRPr="002F0E3F">
        <w:rPr>
          <w:rFonts w:cs="Arial"/>
        </w:rPr>
        <w:t xml:space="preserve">he </w:t>
      </w:r>
      <w:r w:rsidR="005508BF" w:rsidRPr="002F0E3F">
        <w:rPr>
          <w:rFonts w:cs="Arial"/>
        </w:rPr>
        <w:t>ELA</w:t>
      </w:r>
      <w:r w:rsidR="00682F08" w:rsidRPr="002F0E3F">
        <w:rPr>
          <w:rFonts w:cs="Arial"/>
        </w:rPr>
        <w:t xml:space="preserve"> </w:t>
      </w:r>
      <w:r w:rsidR="008E4DAC">
        <w:rPr>
          <w:rFonts w:cs="Arial"/>
        </w:rPr>
        <w:t>s</w:t>
      </w:r>
      <w:r w:rsidR="00682F08" w:rsidRPr="002F0E3F">
        <w:rPr>
          <w:rFonts w:cs="Arial"/>
        </w:rPr>
        <w:t>ubcommittee</w:t>
      </w:r>
      <w:r w:rsidRPr="002F0E3F">
        <w:rPr>
          <w:rFonts w:cs="Arial"/>
        </w:rPr>
        <w:t xml:space="preserve"> </w:t>
      </w:r>
      <w:r w:rsidR="00B95910" w:rsidRPr="002F0E3F">
        <w:rPr>
          <w:rFonts w:cs="Arial"/>
        </w:rPr>
        <w:t>re</w:t>
      </w:r>
      <w:r w:rsidR="00682F08" w:rsidRPr="002F0E3F">
        <w:rPr>
          <w:rFonts w:cs="Arial"/>
        </w:rPr>
        <w:t>viewe</w:t>
      </w:r>
      <w:r w:rsidR="00BA701C">
        <w:rPr>
          <w:rFonts w:cs="Arial"/>
        </w:rPr>
        <w:t>d</w:t>
      </w:r>
      <w:r w:rsidR="00FC2A79" w:rsidRPr="002F0E3F">
        <w:rPr>
          <w:rFonts w:cs="Arial"/>
        </w:rPr>
        <w:t xml:space="preserve"> </w:t>
      </w:r>
      <w:r w:rsidR="00C3554F">
        <w:rPr>
          <w:rFonts w:cs="Arial"/>
        </w:rPr>
        <w:t>the</w:t>
      </w:r>
      <w:r w:rsidR="00BA701C">
        <w:rPr>
          <w:rFonts w:cs="Arial"/>
        </w:rPr>
        <w:t xml:space="preserve"> statewide results for the ELA Smarter Balanced </w:t>
      </w:r>
      <w:r w:rsidR="007D340C">
        <w:rPr>
          <w:rFonts w:cs="Arial"/>
        </w:rPr>
        <w:t xml:space="preserve">Summative </w:t>
      </w:r>
      <w:r w:rsidR="00BA701C">
        <w:rPr>
          <w:rFonts w:cs="Arial"/>
        </w:rPr>
        <w:lastRenderedPageBreak/>
        <w:t>Assessment</w:t>
      </w:r>
      <w:r w:rsidR="00C3554F">
        <w:rPr>
          <w:rFonts w:cs="Arial"/>
        </w:rPr>
        <w:t xml:space="preserve"> </w:t>
      </w:r>
      <w:r w:rsidR="00BA1DC5">
        <w:rPr>
          <w:rFonts w:cs="Arial"/>
        </w:rPr>
        <w:t>overall</w:t>
      </w:r>
      <w:r w:rsidR="00BA701C">
        <w:rPr>
          <w:rFonts w:cs="Arial"/>
        </w:rPr>
        <w:t xml:space="preserve"> standards</w:t>
      </w:r>
      <w:r w:rsidR="00BA1DC5">
        <w:rPr>
          <w:rFonts w:cs="Arial"/>
        </w:rPr>
        <w:t xml:space="preserve"> and </w:t>
      </w:r>
      <w:r w:rsidR="00C3554F">
        <w:rPr>
          <w:rFonts w:cs="Arial"/>
        </w:rPr>
        <w:t xml:space="preserve">all </w:t>
      </w:r>
      <w:r w:rsidR="00BA1DC5">
        <w:rPr>
          <w:rFonts w:cs="Arial"/>
        </w:rPr>
        <w:t>claim</w:t>
      </w:r>
      <w:r w:rsidR="00BA701C">
        <w:rPr>
          <w:rFonts w:cs="Arial"/>
        </w:rPr>
        <w:t>s</w:t>
      </w:r>
      <w:r w:rsidR="00BA1DC5">
        <w:rPr>
          <w:rFonts w:cs="Arial"/>
        </w:rPr>
        <w:t>.</w:t>
      </w:r>
      <w:r w:rsidR="0043497B" w:rsidRPr="002F0E3F">
        <w:rPr>
          <w:rFonts w:cs="Arial"/>
        </w:rPr>
        <w:t xml:space="preserve"> </w:t>
      </w:r>
      <w:r w:rsidR="00B95910" w:rsidRPr="002F0E3F">
        <w:rPr>
          <w:rFonts w:cs="Arial"/>
        </w:rPr>
        <w:t xml:space="preserve">Through discussion, the </w:t>
      </w:r>
      <w:r w:rsidR="005508BF" w:rsidRPr="002F0E3F">
        <w:rPr>
          <w:rFonts w:cs="Arial"/>
        </w:rPr>
        <w:t>ELA</w:t>
      </w:r>
      <w:r w:rsidR="007B1AD6" w:rsidRPr="002F0E3F">
        <w:rPr>
          <w:rFonts w:cs="Arial"/>
        </w:rPr>
        <w:t xml:space="preserve"> </w:t>
      </w:r>
      <w:r w:rsidR="008E4DAC">
        <w:rPr>
          <w:rFonts w:cs="Arial"/>
        </w:rPr>
        <w:t>s</w:t>
      </w:r>
      <w:r w:rsidR="007B1AD6" w:rsidRPr="002F0E3F">
        <w:rPr>
          <w:rFonts w:cs="Arial"/>
        </w:rPr>
        <w:t>ubcommittee identified t</w:t>
      </w:r>
      <w:r w:rsidR="00C3554F">
        <w:rPr>
          <w:rFonts w:cs="Arial"/>
        </w:rPr>
        <w:t>hree</w:t>
      </w:r>
      <w:r w:rsidR="007B1AD6" w:rsidRPr="002F0E3F">
        <w:rPr>
          <w:rFonts w:cs="Arial"/>
        </w:rPr>
        <w:t xml:space="preserve"> priority concern statements</w:t>
      </w:r>
      <w:r w:rsidR="00C3554F">
        <w:rPr>
          <w:rFonts w:cs="Arial"/>
        </w:rPr>
        <w:t xml:space="preserve"> for the ELA focus area</w:t>
      </w:r>
      <w:r w:rsidR="007B1AD6" w:rsidRPr="002F0E3F">
        <w:rPr>
          <w:rFonts w:cs="Arial"/>
        </w:rPr>
        <w:t xml:space="preserve">. Subcommittee members then developed the needs statements and selected initial evidence-based strategies to address those needs as reported </w:t>
      </w:r>
      <w:r w:rsidR="00600D9C" w:rsidRPr="002F0E3F">
        <w:rPr>
          <w:rFonts w:cs="Arial"/>
        </w:rPr>
        <w:t xml:space="preserve">in the </w:t>
      </w:r>
      <w:r w:rsidR="001F6CFD" w:rsidRPr="002F0E3F">
        <w:rPr>
          <w:rFonts w:cs="Arial"/>
        </w:rPr>
        <w:t>tables within this section</w:t>
      </w:r>
      <w:r w:rsidR="007B1AD6" w:rsidRPr="002F0E3F">
        <w:rPr>
          <w:rFonts w:cs="Arial"/>
        </w:rPr>
        <w:t xml:space="preserve">. A review of the data </w:t>
      </w:r>
      <w:r w:rsidR="0069626D" w:rsidRPr="002F0E3F">
        <w:rPr>
          <w:rFonts w:cs="Arial"/>
        </w:rPr>
        <w:t xml:space="preserve">is necessary to understand the selection of these </w:t>
      </w:r>
      <w:r w:rsidR="008573DA">
        <w:rPr>
          <w:rFonts w:cs="Arial"/>
        </w:rPr>
        <w:t>specific</w:t>
      </w:r>
      <w:r w:rsidR="0069626D" w:rsidRPr="002F0E3F">
        <w:rPr>
          <w:rFonts w:cs="Arial"/>
        </w:rPr>
        <w:t xml:space="preserve"> concerns. </w:t>
      </w:r>
    </w:p>
    <w:p w14:paraId="3E8B6B6E" w14:textId="40BC8B96" w:rsidR="00FA3BBB" w:rsidRPr="002F0E3F" w:rsidRDefault="00FA3BBB" w:rsidP="007B711B">
      <w:pPr>
        <w:pStyle w:val="Heading4"/>
      </w:pPr>
      <w:r w:rsidRPr="002F0E3F">
        <w:t xml:space="preserve">Key Data Points from </w:t>
      </w:r>
      <w:r w:rsidR="006450FC">
        <w:t>C</w:t>
      </w:r>
      <w:r w:rsidR="007E2DFC">
        <w:t>ommittee</w:t>
      </w:r>
      <w:r w:rsidRPr="002F0E3F">
        <w:t xml:space="preserve"> Discussions</w:t>
      </w:r>
    </w:p>
    <w:p w14:paraId="05A53481" w14:textId="345F0F51" w:rsidR="00A929C9" w:rsidRPr="002F0E3F" w:rsidRDefault="004F611C" w:rsidP="007B711B">
      <w:pPr>
        <w:spacing w:after="240"/>
        <w:rPr>
          <w:rFonts w:cs="Arial"/>
        </w:rPr>
      </w:pPr>
      <w:r w:rsidRPr="002F0E3F">
        <w:rPr>
          <w:rFonts w:cs="Arial"/>
        </w:rPr>
        <w:t>I</w:t>
      </w:r>
      <w:r w:rsidR="004B078F" w:rsidRPr="002F0E3F">
        <w:rPr>
          <w:rFonts w:cs="Arial"/>
        </w:rPr>
        <w:t>dentify</w:t>
      </w:r>
      <w:r w:rsidRPr="002F0E3F">
        <w:rPr>
          <w:rFonts w:cs="Arial"/>
        </w:rPr>
        <w:t>ing</w:t>
      </w:r>
      <w:r w:rsidR="004B078F" w:rsidRPr="002F0E3F">
        <w:rPr>
          <w:rFonts w:cs="Arial"/>
        </w:rPr>
        <w:t xml:space="preserve"> m</w:t>
      </w:r>
      <w:r w:rsidRPr="002F0E3F">
        <w:rPr>
          <w:rFonts w:cs="Arial"/>
        </w:rPr>
        <w:t xml:space="preserve">igratory student needs in ELA included </w:t>
      </w:r>
      <w:r w:rsidR="007E2DFC">
        <w:rPr>
          <w:rFonts w:cs="Arial"/>
        </w:rPr>
        <w:t>a</w:t>
      </w:r>
      <w:r w:rsidR="00A929C9" w:rsidRPr="002F0E3F">
        <w:rPr>
          <w:rFonts w:cs="Arial"/>
        </w:rPr>
        <w:t xml:space="preserve"> </w:t>
      </w:r>
      <w:r w:rsidRPr="002F0E3F">
        <w:rPr>
          <w:rFonts w:cs="Arial"/>
        </w:rPr>
        <w:t>review of</w:t>
      </w:r>
      <w:r w:rsidR="00217108" w:rsidRPr="002F0E3F">
        <w:rPr>
          <w:rFonts w:cs="Arial"/>
        </w:rPr>
        <w:t xml:space="preserve"> the overall ELA achievement levels</w:t>
      </w:r>
      <w:r w:rsidR="007E2DFC">
        <w:rPr>
          <w:rFonts w:cs="Arial"/>
        </w:rPr>
        <w:t xml:space="preserve"> </w:t>
      </w:r>
      <w:r w:rsidR="00217108" w:rsidRPr="002F0E3F">
        <w:rPr>
          <w:rFonts w:cs="Arial"/>
        </w:rPr>
        <w:t xml:space="preserve">and </w:t>
      </w:r>
      <w:r w:rsidR="007E2DFC">
        <w:rPr>
          <w:rFonts w:cs="Arial"/>
        </w:rPr>
        <w:t>all the</w:t>
      </w:r>
      <w:r w:rsidR="00217108" w:rsidRPr="002F0E3F">
        <w:rPr>
          <w:rFonts w:cs="Arial"/>
        </w:rPr>
        <w:t xml:space="preserve"> ELA claim data</w:t>
      </w:r>
      <w:r w:rsidR="00AF4E08" w:rsidRPr="002F0E3F">
        <w:rPr>
          <w:rFonts w:cs="Arial"/>
        </w:rPr>
        <w:t xml:space="preserve"> from the CAASPP </w:t>
      </w:r>
      <w:r w:rsidR="007E2DFC">
        <w:rPr>
          <w:rFonts w:cs="Arial"/>
        </w:rPr>
        <w:t xml:space="preserve">from 2017–18 through </w:t>
      </w:r>
      <w:r w:rsidR="00AF4E08" w:rsidRPr="002F0E3F">
        <w:rPr>
          <w:rFonts w:cs="Arial"/>
        </w:rPr>
        <w:t>20</w:t>
      </w:r>
      <w:r w:rsidR="00C3554F">
        <w:rPr>
          <w:rFonts w:cs="Arial"/>
        </w:rPr>
        <w:t>22</w:t>
      </w:r>
      <w:r w:rsidR="00AF4E08" w:rsidRPr="002F0E3F">
        <w:rPr>
          <w:rFonts w:cs="Arial"/>
        </w:rPr>
        <w:t>–</w:t>
      </w:r>
      <w:r w:rsidR="00C3554F">
        <w:rPr>
          <w:rFonts w:cs="Arial"/>
        </w:rPr>
        <w:t>23</w:t>
      </w:r>
      <w:r w:rsidR="00217108" w:rsidRPr="002F0E3F">
        <w:rPr>
          <w:rFonts w:cs="Arial"/>
        </w:rPr>
        <w:t>.</w:t>
      </w:r>
      <w:r w:rsidR="000B6D4D" w:rsidRPr="002F0E3F">
        <w:rPr>
          <w:rStyle w:val="FootnoteReference"/>
          <w:rFonts w:cs="Arial"/>
        </w:rPr>
        <w:footnoteReference w:id="10"/>
      </w:r>
      <w:r w:rsidR="00217108" w:rsidRPr="002F0E3F">
        <w:rPr>
          <w:rFonts w:cs="Arial"/>
        </w:rPr>
        <w:t xml:space="preserve"> </w:t>
      </w:r>
      <w:r w:rsidR="007E2DFC">
        <w:rPr>
          <w:rFonts w:cs="Arial"/>
        </w:rPr>
        <w:t>As noted earlier in the report, c</w:t>
      </w:r>
      <w:r w:rsidR="0017183D" w:rsidRPr="002F0E3F">
        <w:rPr>
          <w:rFonts w:cs="Arial"/>
        </w:rPr>
        <w:t>laim data</w:t>
      </w:r>
      <w:r w:rsidR="004B078F" w:rsidRPr="002F0E3F">
        <w:rPr>
          <w:rFonts w:cs="Arial"/>
        </w:rPr>
        <w:t xml:space="preserve"> for</w:t>
      </w:r>
      <w:r w:rsidR="00217108" w:rsidRPr="002F0E3F">
        <w:rPr>
          <w:rFonts w:cs="Arial"/>
        </w:rPr>
        <w:t xml:space="preserve"> the </w:t>
      </w:r>
      <w:r w:rsidR="00BA0231" w:rsidRPr="002F0E3F">
        <w:rPr>
          <w:rFonts w:cs="Arial"/>
        </w:rPr>
        <w:t xml:space="preserve">CAASPP </w:t>
      </w:r>
      <w:r w:rsidR="004B078F" w:rsidRPr="002F0E3F">
        <w:rPr>
          <w:rFonts w:cs="Arial"/>
        </w:rPr>
        <w:t>includes four areas</w:t>
      </w:r>
      <w:r w:rsidR="00BA0231" w:rsidRPr="002F0E3F">
        <w:rPr>
          <w:rFonts w:cs="Arial"/>
        </w:rPr>
        <w:t>: 1) reading, 2) writing, 3) listening</w:t>
      </w:r>
      <w:r w:rsidR="00375F10" w:rsidRPr="002F0E3F">
        <w:rPr>
          <w:rFonts w:cs="Arial"/>
        </w:rPr>
        <w:t>,</w:t>
      </w:r>
      <w:r w:rsidR="00BA0231" w:rsidRPr="002F0E3F">
        <w:rPr>
          <w:rFonts w:cs="Arial"/>
        </w:rPr>
        <w:t xml:space="preserve"> and 4) research/inquiry. Below are the key data points discussed while reviewing the CAASPP </w:t>
      </w:r>
      <w:r w:rsidR="007E2DFC">
        <w:rPr>
          <w:rFonts w:cs="Arial"/>
        </w:rPr>
        <w:t xml:space="preserve">ELA </w:t>
      </w:r>
      <w:r w:rsidR="00BA0231" w:rsidRPr="002F0E3F">
        <w:rPr>
          <w:rFonts w:cs="Arial"/>
        </w:rPr>
        <w:t>data.</w:t>
      </w:r>
    </w:p>
    <w:p w14:paraId="2DDBEEAA" w14:textId="1349F08F" w:rsidR="007B0B63" w:rsidRPr="00C3554F" w:rsidRDefault="00194648" w:rsidP="00A73C2D">
      <w:pPr>
        <w:spacing w:after="240"/>
      </w:pPr>
      <w:r>
        <w:rPr>
          <w:rFonts w:cs="Arial"/>
        </w:rPr>
        <w:t>Figure</w:t>
      </w:r>
      <w:r w:rsidR="00C3554F" w:rsidRPr="007E2DFC">
        <w:rPr>
          <w:rFonts w:cs="Arial"/>
        </w:rPr>
        <w:t xml:space="preserve"> </w:t>
      </w:r>
      <w:r w:rsidR="004B26DA">
        <w:rPr>
          <w:rFonts w:cs="Arial"/>
        </w:rPr>
        <w:t>8</w:t>
      </w:r>
      <w:r w:rsidR="00CC16CA" w:rsidRPr="007E2DFC">
        <w:rPr>
          <w:rFonts w:cs="Arial"/>
        </w:rPr>
        <w:t xml:space="preserve"> (p.</w:t>
      </w:r>
      <w:r w:rsidR="0039066D" w:rsidRPr="007E2DFC">
        <w:rPr>
          <w:rFonts w:cs="Arial"/>
        </w:rPr>
        <w:t xml:space="preserve"> </w:t>
      </w:r>
      <w:r w:rsidR="007E2DFC" w:rsidRPr="007E2DFC">
        <w:rPr>
          <w:rFonts w:cs="Arial"/>
        </w:rPr>
        <w:t>2</w:t>
      </w:r>
      <w:r w:rsidR="00502711">
        <w:rPr>
          <w:rFonts w:cs="Arial"/>
        </w:rPr>
        <w:t>4</w:t>
      </w:r>
      <w:r w:rsidR="00603F5B" w:rsidRPr="007E2DFC">
        <w:rPr>
          <w:rFonts w:cs="Arial"/>
        </w:rPr>
        <w:t>)</w:t>
      </w:r>
      <w:r w:rsidR="00276AFC" w:rsidRPr="002F0E3F">
        <w:rPr>
          <w:rFonts w:cs="Arial"/>
        </w:rPr>
        <w:t xml:space="preserve"> </w:t>
      </w:r>
      <w:r w:rsidR="007E2DFC" w:rsidRPr="004B4809">
        <w:t>Percentage of All Students, Migratory Students, and Migratory Priority-for-Service Students Scoring at Standard Met or Exceeded for Overall Achievement on California’s English Language Arts Assessment for All Grades, School Years 2017–18, 2018–19, 2021–22, and 2022–23</w:t>
      </w:r>
      <w:r w:rsidR="007E2DFC">
        <w:t xml:space="preserve"> </w:t>
      </w:r>
      <w:r w:rsidR="00DD14A9" w:rsidRPr="00C3554F">
        <w:t>show</w:t>
      </w:r>
      <w:r w:rsidR="00943965" w:rsidRPr="00C3554F">
        <w:t>s</w:t>
      </w:r>
      <w:r w:rsidR="00DD14A9" w:rsidRPr="00C3554F">
        <w:t xml:space="preserve"> that:</w:t>
      </w:r>
    </w:p>
    <w:p w14:paraId="16A83276" w14:textId="7F1734FE" w:rsidR="008433DB" w:rsidRDefault="008433DB" w:rsidP="009670FC">
      <w:pPr>
        <w:pStyle w:val="ListParagraph"/>
        <w:numPr>
          <w:ilvl w:val="0"/>
          <w:numId w:val="45"/>
        </w:numPr>
        <w:spacing w:after="240"/>
        <w:contextualSpacing w:val="0"/>
        <w:rPr>
          <w:rFonts w:cs="Arial"/>
        </w:rPr>
      </w:pPr>
      <w:r>
        <w:rPr>
          <w:rFonts w:cs="Arial"/>
        </w:rPr>
        <w:t xml:space="preserve">In 2022–23, </w:t>
      </w:r>
      <w:r w:rsidRPr="008433DB">
        <w:rPr>
          <w:rFonts w:cs="Arial"/>
        </w:rPr>
        <w:t>23.4</w:t>
      </w:r>
      <w:r w:rsidR="00EA754F">
        <w:t> </w:t>
      </w:r>
      <w:r w:rsidRPr="008433DB">
        <w:rPr>
          <w:rFonts w:cs="Arial"/>
        </w:rPr>
        <w:t>percent of migratory students were proficient on the CAASPP Smarter Balanced Overall ELA Standards.</w:t>
      </w:r>
    </w:p>
    <w:p w14:paraId="6A82CAFF" w14:textId="38C67981" w:rsidR="008433DB" w:rsidRDefault="008433DB" w:rsidP="009670FC">
      <w:pPr>
        <w:pStyle w:val="ListParagraph"/>
        <w:numPr>
          <w:ilvl w:val="0"/>
          <w:numId w:val="45"/>
        </w:numPr>
        <w:spacing w:after="240"/>
        <w:contextualSpacing w:val="0"/>
        <w:rPr>
          <w:rFonts w:cs="Arial"/>
        </w:rPr>
      </w:pPr>
      <w:r w:rsidRPr="008433DB">
        <w:rPr>
          <w:rFonts w:cs="Arial"/>
        </w:rPr>
        <w:t>Demonstrating a 23.2</w:t>
      </w:r>
      <w:r w:rsidR="00EA754F">
        <w:t> </w:t>
      </w:r>
      <w:r w:rsidRPr="008433DB">
        <w:rPr>
          <w:rFonts w:cs="Arial"/>
        </w:rPr>
        <w:t>percent gap with migratory students’ proficiency level, 46.6</w:t>
      </w:r>
      <w:r w:rsidR="003B1A44">
        <w:t> </w:t>
      </w:r>
      <w:r w:rsidRPr="008433DB">
        <w:rPr>
          <w:rFonts w:cs="Arial"/>
        </w:rPr>
        <w:t>percent of all students were proficient on the CAASPP Smarter Balanced Overall ELA Standards</w:t>
      </w:r>
      <w:r>
        <w:rPr>
          <w:rFonts w:cs="Arial"/>
        </w:rPr>
        <w:t xml:space="preserve"> in 2022–23. </w:t>
      </w:r>
    </w:p>
    <w:p w14:paraId="32AF0231" w14:textId="020C4E80" w:rsidR="00D627E5" w:rsidRPr="00963D4A" w:rsidRDefault="00194648" w:rsidP="00D627E5">
      <w:pPr>
        <w:spacing w:after="240"/>
        <w:rPr>
          <w:rFonts w:cs="Arial"/>
        </w:rPr>
      </w:pPr>
      <w:r>
        <w:rPr>
          <w:rFonts w:cs="Arial"/>
        </w:rPr>
        <w:t>Figure</w:t>
      </w:r>
      <w:r w:rsidR="007E2DFC">
        <w:rPr>
          <w:rFonts w:cs="Arial"/>
        </w:rPr>
        <w:t xml:space="preserve"> </w:t>
      </w:r>
      <w:r w:rsidR="004B26DA">
        <w:rPr>
          <w:rFonts w:cs="Arial"/>
        </w:rPr>
        <w:t>9</w:t>
      </w:r>
      <w:r w:rsidR="00A929C9" w:rsidRPr="008433DB">
        <w:rPr>
          <w:rFonts w:cs="Arial"/>
        </w:rPr>
        <w:t xml:space="preserve"> (p.</w:t>
      </w:r>
      <w:r w:rsidR="006D518E" w:rsidRPr="008433DB">
        <w:rPr>
          <w:rFonts w:cs="Arial"/>
        </w:rPr>
        <w:t xml:space="preserve"> </w:t>
      </w:r>
      <w:r w:rsidR="007E2DFC">
        <w:rPr>
          <w:rFonts w:cs="Arial"/>
        </w:rPr>
        <w:t>2</w:t>
      </w:r>
      <w:r w:rsidR="00502711">
        <w:rPr>
          <w:rFonts w:cs="Arial"/>
        </w:rPr>
        <w:t>6</w:t>
      </w:r>
      <w:r w:rsidR="00A929C9" w:rsidRPr="008433DB">
        <w:rPr>
          <w:rFonts w:cs="Arial"/>
        </w:rPr>
        <w:t>)</w:t>
      </w:r>
      <w:r w:rsidR="00E77BF3" w:rsidRPr="008433DB">
        <w:rPr>
          <w:rFonts w:cs="Arial"/>
        </w:rPr>
        <w:t xml:space="preserve"> </w:t>
      </w:r>
      <w:r w:rsidR="007E2DFC" w:rsidRPr="00F43231">
        <w:t xml:space="preserve">Percentage of All Students, Migratory Students, and Migratory Priority-for-Service Students Scoring </w:t>
      </w:r>
      <w:r w:rsidR="007519D8">
        <w:t>A</w:t>
      </w:r>
      <w:r w:rsidR="00D55EE4">
        <w:t xml:space="preserve">bove </w:t>
      </w:r>
      <w:r w:rsidR="007519D8">
        <w:t>S</w:t>
      </w:r>
      <w:r w:rsidR="00D55EE4">
        <w:t>tandard</w:t>
      </w:r>
      <w:r w:rsidR="007E2DFC" w:rsidRPr="00F43231">
        <w:t xml:space="preserve"> on the California Assessment of Student Performance and Progress English Language Arts Reading Claim for All Grades, School Years 2017–18, 2018–19, 2021–22, and 2022–23</w:t>
      </w:r>
      <w:r w:rsidR="007E2DFC">
        <w:t xml:space="preserve"> </w:t>
      </w:r>
      <w:r w:rsidR="00DD14A9" w:rsidRPr="008433DB">
        <w:rPr>
          <w:rFonts w:cs="Arial"/>
        </w:rPr>
        <w:t>illustrates the following data points:</w:t>
      </w:r>
    </w:p>
    <w:p w14:paraId="7EF3DC47" w14:textId="4E049381" w:rsidR="00D627E5" w:rsidRPr="00D627E5" w:rsidRDefault="00D627E5" w:rsidP="009670FC">
      <w:pPr>
        <w:pStyle w:val="ListParagraph"/>
        <w:numPr>
          <w:ilvl w:val="2"/>
          <w:numId w:val="6"/>
        </w:numPr>
        <w:spacing w:after="240"/>
        <w:contextualSpacing w:val="0"/>
        <w:rPr>
          <w:rFonts w:cs="Arial"/>
        </w:rPr>
      </w:pPr>
      <w:r>
        <w:rPr>
          <w:rFonts w:cs="Arial"/>
        </w:rPr>
        <w:t xml:space="preserve">In 2022–23, </w:t>
      </w:r>
      <w:r w:rsidRPr="00963D4A">
        <w:rPr>
          <w:rFonts w:cs="Arial"/>
        </w:rPr>
        <w:t>6.8</w:t>
      </w:r>
      <w:r w:rsidR="00EA754F">
        <w:t> </w:t>
      </w:r>
      <w:r w:rsidRPr="00963D4A">
        <w:rPr>
          <w:rFonts w:cs="Arial"/>
        </w:rPr>
        <w:t>percent of migratory students</w:t>
      </w:r>
      <w:r>
        <w:rPr>
          <w:rFonts w:cs="Arial"/>
        </w:rPr>
        <w:t xml:space="preserve"> scored </w:t>
      </w:r>
      <w:r w:rsidR="00D55EE4">
        <w:rPr>
          <w:rFonts w:cs="Arial"/>
        </w:rPr>
        <w:t>above standard</w:t>
      </w:r>
      <w:r w:rsidRPr="00963D4A">
        <w:rPr>
          <w:rFonts w:cs="Arial"/>
        </w:rPr>
        <w:t xml:space="preserve"> on the reading claim.</w:t>
      </w:r>
      <w:r>
        <w:rPr>
          <w:rFonts w:cs="Arial"/>
        </w:rPr>
        <w:t xml:space="preserve"> </w:t>
      </w:r>
      <w:r w:rsidRPr="002F0E3F">
        <w:rPr>
          <w:rFonts w:cs="Arial"/>
        </w:rPr>
        <w:t>Ninety-three</w:t>
      </w:r>
      <w:r w:rsidR="003B1A44">
        <w:t> </w:t>
      </w:r>
      <w:r w:rsidRPr="002F0E3F">
        <w:rPr>
          <w:rFonts w:cs="Arial"/>
        </w:rPr>
        <w:t xml:space="preserve">percent of </w:t>
      </w:r>
      <w:r w:rsidR="003E2EC2">
        <w:rPr>
          <w:rFonts w:cs="Arial"/>
        </w:rPr>
        <w:t>m</w:t>
      </w:r>
      <w:r w:rsidRPr="002F0E3F">
        <w:rPr>
          <w:rFonts w:cs="Arial"/>
        </w:rPr>
        <w:t xml:space="preserve">igratory </w:t>
      </w:r>
      <w:r w:rsidR="003E2EC2">
        <w:rPr>
          <w:rFonts w:cs="Arial"/>
        </w:rPr>
        <w:t>s</w:t>
      </w:r>
      <w:r w:rsidRPr="002F0E3F">
        <w:rPr>
          <w:rFonts w:cs="Arial"/>
        </w:rPr>
        <w:t xml:space="preserve">tudents are </w:t>
      </w:r>
      <w:r w:rsidR="005234F9">
        <w:rPr>
          <w:rFonts w:cs="Arial"/>
        </w:rPr>
        <w:t>near</w:t>
      </w:r>
      <w:r w:rsidRPr="002F0E3F">
        <w:rPr>
          <w:rFonts w:cs="Arial"/>
        </w:rPr>
        <w:t xml:space="preserve"> or </w:t>
      </w:r>
      <w:r w:rsidR="00D55EE4">
        <w:rPr>
          <w:rFonts w:cs="Arial"/>
        </w:rPr>
        <w:t>below standard</w:t>
      </w:r>
      <w:r w:rsidRPr="002F0E3F">
        <w:rPr>
          <w:rFonts w:cs="Arial"/>
        </w:rPr>
        <w:t xml:space="preserve"> in reading. </w:t>
      </w:r>
    </w:p>
    <w:p w14:paraId="715E79A1" w14:textId="0BEFA3B6" w:rsidR="00581E0D" w:rsidRPr="00D627E5" w:rsidRDefault="00D627E5" w:rsidP="009670FC">
      <w:pPr>
        <w:pStyle w:val="ListParagraph"/>
        <w:numPr>
          <w:ilvl w:val="0"/>
          <w:numId w:val="6"/>
        </w:numPr>
        <w:spacing w:after="240"/>
        <w:contextualSpacing w:val="0"/>
        <w:rPr>
          <w:rFonts w:cs="Arial"/>
        </w:rPr>
      </w:pPr>
      <w:r>
        <w:rPr>
          <w:rFonts w:cs="Arial"/>
        </w:rPr>
        <w:t>Approximately 19</w:t>
      </w:r>
      <w:r w:rsidR="00EA754F">
        <w:t> </w:t>
      </w:r>
      <w:r w:rsidRPr="004E1874">
        <w:rPr>
          <w:rFonts w:cs="Arial"/>
        </w:rPr>
        <w:t xml:space="preserve">percent of the </w:t>
      </w:r>
      <w:proofErr w:type="gramStart"/>
      <w:r w:rsidRPr="004E1874">
        <w:rPr>
          <w:rFonts w:cs="Arial"/>
        </w:rPr>
        <w:t>all</w:t>
      </w:r>
      <w:r w:rsidR="005015BB">
        <w:rPr>
          <w:rFonts w:cs="Arial"/>
        </w:rPr>
        <w:t xml:space="preserve"> </w:t>
      </w:r>
      <w:r w:rsidRPr="004E1874">
        <w:rPr>
          <w:rFonts w:cs="Arial"/>
        </w:rPr>
        <w:t>student</w:t>
      </w:r>
      <w:proofErr w:type="gramEnd"/>
      <w:r w:rsidRPr="004E1874">
        <w:rPr>
          <w:rFonts w:cs="Arial"/>
        </w:rPr>
        <w:t xml:space="preserve"> group </w:t>
      </w:r>
      <w:r>
        <w:rPr>
          <w:rFonts w:cs="Arial"/>
        </w:rPr>
        <w:t xml:space="preserve">scored </w:t>
      </w:r>
      <w:r w:rsidR="00D55EE4">
        <w:rPr>
          <w:rFonts w:cs="Arial"/>
        </w:rPr>
        <w:t>above standard</w:t>
      </w:r>
      <w:r w:rsidRPr="004E1874">
        <w:rPr>
          <w:rFonts w:cs="Arial"/>
        </w:rPr>
        <w:t xml:space="preserve"> on the reading claim</w:t>
      </w:r>
      <w:r>
        <w:rPr>
          <w:rFonts w:cs="Arial"/>
        </w:rPr>
        <w:t xml:space="preserve"> in 2022–23 demonstrating a gap of </w:t>
      </w:r>
      <w:r w:rsidR="005015BB">
        <w:rPr>
          <w:rFonts w:cs="Arial"/>
        </w:rPr>
        <w:t>nearly</w:t>
      </w:r>
      <w:r>
        <w:rPr>
          <w:rFonts w:cs="Arial"/>
        </w:rPr>
        <w:t xml:space="preserve"> 12</w:t>
      </w:r>
      <w:r w:rsidR="00EA754F">
        <w:t> </w:t>
      </w:r>
      <w:r>
        <w:rPr>
          <w:rFonts w:cs="Arial"/>
        </w:rPr>
        <w:t>percentage points.</w:t>
      </w:r>
    </w:p>
    <w:p w14:paraId="19A759C7" w14:textId="252E736B" w:rsidR="00D627E5" w:rsidRPr="00D627E5" w:rsidRDefault="00194648" w:rsidP="00D627E5">
      <w:pPr>
        <w:pStyle w:val="Caption"/>
        <w:rPr>
          <w:b w:val="0"/>
          <w:bCs/>
          <w:sz w:val="24"/>
          <w:szCs w:val="24"/>
        </w:rPr>
      </w:pPr>
      <w:r>
        <w:rPr>
          <w:b w:val="0"/>
          <w:bCs/>
          <w:sz w:val="24"/>
          <w:szCs w:val="24"/>
        </w:rPr>
        <w:lastRenderedPageBreak/>
        <w:t xml:space="preserve">Figure </w:t>
      </w:r>
      <w:r w:rsidR="004B26DA">
        <w:rPr>
          <w:b w:val="0"/>
          <w:bCs/>
          <w:sz w:val="24"/>
          <w:szCs w:val="24"/>
        </w:rPr>
        <w:t>10</w:t>
      </w:r>
      <w:r w:rsidR="00D627E5" w:rsidRPr="00D627E5">
        <w:rPr>
          <w:b w:val="0"/>
          <w:bCs/>
          <w:sz w:val="24"/>
          <w:szCs w:val="24"/>
        </w:rPr>
        <w:t xml:space="preserve"> </w:t>
      </w:r>
      <w:r w:rsidR="00BA0231" w:rsidRPr="00D627E5">
        <w:rPr>
          <w:b w:val="0"/>
          <w:bCs/>
          <w:sz w:val="24"/>
          <w:szCs w:val="24"/>
        </w:rPr>
        <w:t xml:space="preserve">(p. </w:t>
      </w:r>
      <w:r w:rsidR="00502711">
        <w:rPr>
          <w:b w:val="0"/>
          <w:bCs/>
          <w:sz w:val="24"/>
          <w:szCs w:val="24"/>
        </w:rPr>
        <w:t>28</w:t>
      </w:r>
      <w:r w:rsidR="00BA0231" w:rsidRPr="00D627E5">
        <w:rPr>
          <w:b w:val="0"/>
          <w:bCs/>
          <w:sz w:val="24"/>
          <w:szCs w:val="24"/>
        </w:rPr>
        <w:t>)</w:t>
      </w:r>
      <w:r w:rsidR="00D627E5" w:rsidRPr="00D627E5">
        <w:rPr>
          <w:b w:val="0"/>
          <w:bCs/>
          <w:sz w:val="24"/>
          <w:szCs w:val="24"/>
        </w:rPr>
        <w:t xml:space="preserve"> </w:t>
      </w:r>
      <w:r w:rsidR="00D627E5" w:rsidRPr="00D627E5">
        <w:rPr>
          <w:b w:val="0"/>
          <w:bCs/>
          <w:noProof/>
          <w:sz w:val="24"/>
          <w:szCs w:val="24"/>
        </w:rPr>
        <w:t xml:space="preserve">Percentage of All Students, Migratory Students, and Migratory Priority-for-Service Students Scoring </w:t>
      </w:r>
      <w:r w:rsidR="005015BB">
        <w:rPr>
          <w:b w:val="0"/>
          <w:bCs/>
          <w:noProof/>
          <w:sz w:val="24"/>
          <w:szCs w:val="24"/>
        </w:rPr>
        <w:t>A</w:t>
      </w:r>
      <w:r w:rsidR="00D55EE4">
        <w:rPr>
          <w:b w:val="0"/>
          <w:bCs/>
          <w:noProof/>
          <w:sz w:val="24"/>
          <w:szCs w:val="24"/>
        </w:rPr>
        <w:t xml:space="preserve">bove </w:t>
      </w:r>
      <w:r w:rsidR="005015BB">
        <w:rPr>
          <w:b w:val="0"/>
          <w:bCs/>
          <w:noProof/>
          <w:sz w:val="24"/>
          <w:szCs w:val="24"/>
        </w:rPr>
        <w:t>S</w:t>
      </w:r>
      <w:r w:rsidR="00D55EE4">
        <w:rPr>
          <w:b w:val="0"/>
          <w:bCs/>
          <w:noProof/>
          <w:sz w:val="24"/>
          <w:szCs w:val="24"/>
        </w:rPr>
        <w:t>tandard</w:t>
      </w:r>
      <w:r w:rsidR="00D627E5" w:rsidRPr="00D627E5">
        <w:rPr>
          <w:b w:val="0"/>
          <w:bCs/>
          <w:noProof/>
          <w:sz w:val="24"/>
          <w:szCs w:val="24"/>
        </w:rPr>
        <w:t xml:space="preserve"> on the English Language Arts Writing Claim for All Grades, School Years 2017–18, 2018–19, 2021–22, and 2022–23</w:t>
      </w:r>
    </w:p>
    <w:p w14:paraId="011199A4" w14:textId="442BE615" w:rsidR="00BA0231" w:rsidRPr="002F0E3F" w:rsidRDefault="00DD14A9" w:rsidP="007B711B">
      <w:pPr>
        <w:spacing w:after="240"/>
        <w:rPr>
          <w:rFonts w:cs="Arial"/>
        </w:rPr>
      </w:pPr>
      <w:r w:rsidRPr="002F0E3F">
        <w:rPr>
          <w:rFonts w:cs="Arial"/>
        </w:rPr>
        <w:t>illustrates these key data points:</w:t>
      </w:r>
    </w:p>
    <w:p w14:paraId="50544A1E" w14:textId="03C44609" w:rsidR="00D627E5" w:rsidRDefault="00D627E5" w:rsidP="009670FC">
      <w:pPr>
        <w:pStyle w:val="ListParagraph"/>
        <w:numPr>
          <w:ilvl w:val="0"/>
          <w:numId w:val="7"/>
        </w:numPr>
        <w:spacing w:after="240"/>
        <w:contextualSpacing w:val="0"/>
        <w:rPr>
          <w:rFonts w:cs="Arial"/>
        </w:rPr>
      </w:pPr>
      <w:proofErr w:type="gramStart"/>
      <w:r>
        <w:rPr>
          <w:rFonts w:cs="Arial"/>
        </w:rPr>
        <w:t>Similar to</w:t>
      </w:r>
      <w:proofErr w:type="gramEnd"/>
      <w:r>
        <w:rPr>
          <w:rFonts w:cs="Arial"/>
        </w:rPr>
        <w:t xml:space="preserve"> the reading claim, only </w:t>
      </w:r>
      <w:r w:rsidRPr="00963D4A">
        <w:rPr>
          <w:rFonts w:cs="Arial"/>
        </w:rPr>
        <w:t>6.8</w:t>
      </w:r>
      <w:r w:rsidR="00EA754F">
        <w:t> </w:t>
      </w:r>
      <w:r w:rsidRPr="00963D4A">
        <w:rPr>
          <w:rFonts w:cs="Arial"/>
        </w:rPr>
        <w:t xml:space="preserve">percent of migratory students </w:t>
      </w:r>
      <w:r>
        <w:rPr>
          <w:rFonts w:cs="Arial"/>
        </w:rPr>
        <w:t xml:space="preserve">scored </w:t>
      </w:r>
      <w:r w:rsidR="00D55EE4">
        <w:rPr>
          <w:rFonts w:cs="Arial"/>
        </w:rPr>
        <w:t>above standard</w:t>
      </w:r>
      <w:r w:rsidRPr="00963D4A">
        <w:rPr>
          <w:rFonts w:cs="Arial"/>
        </w:rPr>
        <w:t xml:space="preserve"> on the </w:t>
      </w:r>
      <w:r>
        <w:rPr>
          <w:rFonts w:cs="Arial"/>
        </w:rPr>
        <w:t xml:space="preserve">2022–23 CAASPP ELA </w:t>
      </w:r>
      <w:r w:rsidR="005015BB">
        <w:rPr>
          <w:rFonts w:cs="Arial"/>
        </w:rPr>
        <w:t>w</w:t>
      </w:r>
      <w:r>
        <w:rPr>
          <w:rFonts w:cs="Arial"/>
        </w:rPr>
        <w:t>riting</w:t>
      </w:r>
      <w:r w:rsidRPr="00963D4A">
        <w:rPr>
          <w:rFonts w:cs="Arial"/>
        </w:rPr>
        <w:t xml:space="preserve"> </w:t>
      </w:r>
      <w:r w:rsidR="005015BB">
        <w:rPr>
          <w:rFonts w:cs="Arial"/>
        </w:rPr>
        <w:t>c</w:t>
      </w:r>
      <w:r w:rsidRPr="00963D4A">
        <w:rPr>
          <w:rFonts w:cs="Arial"/>
        </w:rPr>
        <w:t>laim.</w:t>
      </w:r>
    </w:p>
    <w:p w14:paraId="0D3F2BEC" w14:textId="690DB337" w:rsidR="00BA0231" w:rsidRDefault="00D627E5" w:rsidP="009670FC">
      <w:pPr>
        <w:pStyle w:val="ListParagraph"/>
        <w:numPr>
          <w:ilvl w:val="0"/>
          <w:numId w:val="7"/>
        </w:numPr>
        <w:spacing w:after="240"/>
        <w:contextualSpacing w:val="0"/>
        <w:rPr>
          <w:rFonts w:cs="Arial"/>
        </w:rPr>
      </w:pPr>
      <w:r>
        <w:rPr>
          <w:rFonts w:cs="Arial"/>
        </w:rPr>
        <w:t xml:space="preserve">In 2022–23, </w:t>
      </w:r>
      <w:r w:rsidRPr="00827A8E">
        <w:rPr>
          <w:rFonts w:cs="Arial"/>
        </w:rPr>
        <w:t>19.2</w:t>
      </w:r>
      <w:r w:rsidR="00EA754F">
        <w:t> </w:t>
      </w:r>
      <w:r w:rsidRPr="00827A8E">
        <w:rPr>
          <w:rFonts w:cs="Arial"/>
        </w:rPr>
        <w:t xml:space="preserve">percent of the all-student group </w:t>
      </w:r>
      <w:r>
        <w:rPr>
          <w:rFonts w:cs="Arial"/>
        </w:rPr>
        <w:t xml:space="preserve">scored </w:t>
      </w:r>
      <w:r w:rsidR="00D55EE4">
        <w:rPr>
          <w:rFonts w:cs="Arial"/>
        </w:rPr>
        <w:t>above standard</w:t>
      </w:r>
      <w:r w:rsidRPr="00827A8E">
        <w:rPr>
          <w:rFonts w:cs="Arial"/>
        </w:rPr>
        <w:t xml:space="preserve"> on the writing claim.</w:t>
      </w:r>
    </w:p>
    <w:p w14:paraId="02173855" w14:textId="73469578" w:rsidR="00BE33BD" w:rsidRPr="00D627E5" w:rsidRDefault="00BE33BD" w:rsidP="009670FC">
      <w:pPr>
        <w:pStyle w:val="ListParagraph"/>
        <w:numPr>
          <w:ilvl w:val="0"/>
          <w:numId w:val="7"/>
        </w:numPr>
        <w:spacing w:after="240"/>
        <w:contextualSpacing w:val="0"/>
        <w:rPr>
          <w:rFonts w:cs="Arial"/>
        </w:rPr>
      </w:pPr>
      <w:r>
        <w:rPr>
          <w:rFonts w:cs="Arial"/>
        </w:rPr>
        <w:t>The gap between migratory and all students is slightly bigger for writing than in reading with a 12.4</w:t>
      </w:r>
      <w:r w:rsidR="00EA754F">
        <w:t> </w:t>
      </w:r>
      <w:r>
        <w:rPr>
          <w:rFonts w:cs="Arial"/>
        </w:rPr>
        <w:t>percentage point difference.</w:t>
      </w:r>
    </w:p>
    <w:p w14:paraId="4B84BB86" w14:textId="69FBB903" w:rsidR="00BA12C9" w:rsidRPr="002F0E3F" w:rsidRDefault="001F78F4" w:rsidP="007B711B">
      <w:pPr>
        <w:spacing w:after="240"/>
        <w:rPr>
          <w:rFonts w:cs="Arial"/>
        </w:rPr>
      </w:pPr>
      <w:r w:rsidRPr="002F0E3F">
        <w:rPr>
          <w:rFonts w:cs="Arial"/>
        </w:rPr>
        <w:t>Th</w:t>
      </w:r>
      <w:r w:rsidR="00A4561B">
        <w:rPr>
          <w:rFonts w:cs="Arial"/>
        </w:rPr>
        <w:t xml:space="preserve">e </w:t>
      </w:r>
      <w:r w:rsidRPr="002F0E3F">
        <w:rPr>
          <w:rFonts w:cs="Arial"/>
        </w:rPr>
        <w:t xml:space="preserve">ELA </w:t>
      </w:r>
      <w:r w:rsidR="008E4DAC">
        <w:rPr>
          <w:rFonts w:cs="Arial"/>
        </w:rPr>
        <w:t>s</w:t>
      </w:r>
      <w:r w:rsidRPr="002F0E3F">
        <w:rPr>
          <w:rFonts w:cs="Arial"/>
        </w:rPr>
        <w:t>ubcom</w:t>
      </w:r>
      <w:r w:rsidR="00894353" w:rsidRPr="002F0E3F">
        <w:rPr>
          <w:rFonts w:cs="Arial"/>
        </w:rPr>
        <w:t>mittee genera</w:t>
      </w:r>
      <w:r w:rsidR="00A4561B">
        <w:rPr>
          <w:rFonts w:cs="Arial"/>
        </w:rPr>
        <w:t>ted</w:t>
      </w:r>
      <w:r w:rsidR="00894353" w:rsidRPr="002F0E3F">
        <w:rPr>
          <w:rFonts w:cs="Arial"/>
        </w:rPr>
        <w:t xml:space="preserve"> the following</w:t>
      </w:r>
      <w:r w:rsidR="00572894" w:rsidRPr="002F0E3F">
        <w:rPr>
          <w:rFonts w:cs="Arial"/>
        </w:rPr>
        <w:t xml:space="preserve"> priority </w:t>
      </w:r>
      <w:r w:rsidRPr="002F0E3F">
        <w:rPr>
          <w:rFonts w:cs="Arial"/>
        </w:rPr>
        <w:t>concern</w:t>
      </w:r>
      <w:r w:rsidR="00572894" w:rsidRPr="002F0E3F">
        <w:rPr>
          <w:rFonts w:cs="Arial"/>
        </w:rPr>
        <w:t>s</w:t>
      </w:r>
      <w:r w:rsidR="00A4561B">
        <w:rPr>
          <w:rFonts w:cs="Arial"/>
        </w:rPr>
        <w:t xml:space="preserve"> based on the data above</w:t>
      </w:r>
      <w:r w:rsidRPr="002F0E3F">
        <w:rPr>
          <w:rFonts w:cs="Arial"/>
        </w:rPr>
        <w:t>.</w:t>
      </w:r>
      <w:r w:rsidR="00894353" w:rsidRPr="002F0E3F">
        <w:rPr>
          <w:rFonts w:cs="Arial"/>
        </w:rPr>
        <w:t xml:space="preserve"> Given that almost half of California’s migratory students are </w:t>
      </w:r>
      <w:r w:rsidR="00D627E5">
        <w:rPr>
          <w:rFonts w:cs="Arial"/>
        </w:rPr>
        <w:t xml:space="preserve">multilingual </w:t>
      </w:r>
      <w:r w:rsidR="00894353" w:rsidRPr="002F0E3F">
        <w:rPr>
          <w:rFonts w:cs="Arial"/>
        </w:rPr>
        <w:t>s</w:t>
      </w:r>
      <w:r w:rsidR="00D627E5">
        <w:rPr>
          <w:rFonts w:cs="Arial"/>
        </w:rPr>
        <w:t>tudents</w:t>
      </w:r>
      <w:r w:rsidR="00894353" w:rsidRPr="002F0E3F">
        <w:rPr>
          <w:rFonts w:cs="Arial"/>
        </w:rPr>
        <w:t xml:space="preserve">, and that writing is the last skill </w:t>
      </w:r>
      <w:r w:rsidR="005015BB">
        <w:rPr>
          <w:rFonts w:cs="Arial"/>
        </w:rPr>
        <w:t>developed</w:t>
      </w:r>
      <w:r w:rsidR="005015BB" w:rsidRPr="002F0E3F">
        <w:rPr>
          <w:rFonts w:cs="Arial"/>
        </w:rPr>
        <w:t xml:space="preserve"> </w:t>
      </w:r>
      <w:r w:rsidR="00894353" w:rsidRPr="002F0E3F">
        <w:rPr>
          <w:rFonts w:cs="Arial"/>
        </w:rPr>
        <w:t xml:space="preserve">in English language acquisition, the CDE and </w:t>
      </w:r>
      <w:r w:rsidR="00BE33BD">
        <w:rPr>
          <w:rFonts w:cs="Arial"/>
        </w:rPr>
        <w:t>the CNA SDP Committee</w:t>
      </w:r>
      <w:r w:rsidR="00894353" w:rsidRPr="002F0E3F">
        <w:rPr>
          <w:rFonts w:cs="Arial"/>
        </w:rPr>
        <w:t xml:space="preserve"> decided to include three priority concerns for ELA to support ELD as well as overall academic achievement.</w:t>
      </w:r>
    </w:p>
    <w:p w14:paraId="3E1AE5C3" w14:textId="148E56E9" w:rsidR="00894353" w:rsidRPr="002F0E3F" w:rsidRDefault="00E4537B" w:rsidP="007B711B">
      <w:pPr>
        <w:pStyle w:val="Heading4"/>
      </w:pPr>
      <w:r w:rsidRPr="002F0E3F">
        <w:t xml:space="preserve">English </w:t>
      </w:r>
      <w:r w:rsidR="00B15C75">
        <w:t>L</w:t>
      </w:r>
      <w:r w:rsidRPr="002F0E3F">
        <w:t xml:space="preserve">anguage </w:t>
      </w:r>
      <w:r w:rsidR="00B15C75">
        <w:t>A</w:t>
      </w:r>
      <w:r w:rsidRPr="002F0E3F">
        <w:t xml:space="preserve">rts: </w:t>
      </w:r>
      <w:r w:rsidR="00894353" w:rsidRPr="002F0E3F">
        <w:t>Concern Statement #1</w:t>
      </w:r>
    </w:p>
    <w:p w14:paraId="28ED3AC4" w14:textId="33F85B0B" w:rsidR="00894353" w:rsidRPr="002F0E3F" w:rsidRDefault="0046479E" w:rsidP="007B711B">
      <w:pPr>
        <w:spacing w:after="240"/>
        <w:rPr>
          <w:rFonts w:cs="Arial"/>
        </w:rPr>
      </w:pPr>
      <w:r>
        <w:rPr>
          <w:rFonts w:cs="Arial"/>
        </w:rPr>
        <w:t xml:space="preserve">Overall </w:t>
      </w:r>
      <w:r w:rsidR="00782E2F">
        <w:rPr>
          <w:rFonts w:cs="Arial"/>
        </w:rPr>
        <w:t>ELA</w:t>
      </w:r>
      <w:r w:rsidR="00505973">
        <w:rPr>
          <w:rFonts w:cs="Arial"/>
        </w:rPr>
        <w:t xml:space="preserve"> proficiency for all students across California i</w:t>
      </w:r>
      <w:r>
        <w:rPr>
          <w:rFonts w:cs="Arial"/>
        </w:rPr>
        <w:t>n 2022–23 was</w:t>
      </w:r>
      <w:r w:rsidR="00505973">
        <w:rPr>
          <w:rFonts w:cs="Arial"/>
        </w:rPr>
        <w:t xml:space="preserve"> not high regardless of student population (e.g., all students, migratory students, socioeconomically disadvantaged students, etc.)</w:t>
      </w:r>
      <w:r w:rsidR="00EC1A71">
        <w:rPr>
          <w:rFonts w:cs="Arial"/>
        </w:rPr>
        <w:t xml:space="preserve"> with the exception of Asian students who had the highest proficiency levels at 74.7</w:t>
      </w:r>
      <w:r w:rsidR="00A4561B">
        <w:t> </w:t>
      </w:r>
      <w:r w:rsidR="00EC1A71">
        <w:rPr>
          <w:rFonts w:cs="Arial"/>
        </w:rPr>
        <w:t>percent followed by Filipino students at 70.05</w:t>
      </w:r>
      <w:r w:rsidR="00A4561B">
        <w:t> </w:t>
      </w:r>
      <w:r w:rsidR="00EC1A71">
        <w:rPr>
          <w:rFonts w:cs="Arial"/>
        </w:rPr>
        <w:t xml:space="preserve">percent </w:t>
      </w:r>
      <w:r w:rsidR="00BF192B">
        <w:rPr>
          <w:rFonts w:cs="Arial"/>
        </w:rPr>
        <w:t xml:space="preserve">and </w:t>
      </w:r>
      <w:r w:rsidR="0009557B">
        <w:rPr>
          <w:rFonts w:cs="Arial"/>
        </w:rPr>
        <w:t>white students at 60.72</w:t>
      </w:r>
      <w:r w:rsidR="00A4561B">
        <w:t> </w:t>
      </w:r>
      <w:r w:rsidR="0009557B">
        <w:rPr>
          <w:rFonts w:cs="Arial"/>
        </w:rPr>
        <w:t xml:space="preserve">percent as shown on the </w:t>
      </w:r>
      <w:hyperlink r:id="rId43" w:history="1">
        <w:r w:rsidR="0009557B" w:rsidRPr="0009557B">
          <w:rPr>
            <w:rStyle w:val="Hyperlink"/>
            <w:rFonts w:cs="Arial"/>
          </w:rPr>
          <w:t>CAASPP Dashboard</w:t>
        </w:r>
      </w:hyperlink>
      <w:r w:rsidR="005267BF">
        <w:rPr>
          <w:rStyle w:val="FootnoteReference"/>
          <w:rFonts w:cs="Arial"/>
        </w:rPr>
        <w:footnoteReference w:id="11"/>
      </w:r>
      <w:r w:rsidR="0009557B">
        <w:rPr>
          <w:rFonts w:cs="Arial"/>
        </w:rPr>
        <w:t>.</w:t>
      </w:r>
      <w:r w:rsidR="00505973">
        <w:rPr>
          <w:rFonts w:cs="Arial"/>
        </w:rPr>
        <w:t xml:space="preserve"> </w:t>
      </w:r>
      <w:r w:rsidR="00782E2F">
        <w:rPr>
          <w:rFonts w:cs="Arial"/>
        </w:rPr>
        <w:t>Unfortunately</w:t>
      </w:r>
      <w:r w:rsidR="00505973">
        <w:rPr>
          <w:rFonts w:cs="Arial"/>
        </w:rPr>
        <w:t xml:space="preserve">, </w:t>
      </w:r>
      <w:proofErr w:type="gramStart"/>
      <w:r w:rsidR="0009557B">
        <w:rPr>
          <w:rFonts w:cs="Arial"/>
        </w:rPr>
        <w:t>o</w:t>
      </w:r>
      <w:r>
        <w:rPr>
          <w:rFonts w:cs="Arial"/>
        </w:rPr>
        <w:t>verall</w:t>
      </w:r>
      <w:proofErr w:type="gramEnd"/>
      <w:r>
        <w:rPr>
          <w:rFonts w:cs="Arial"/>
        </w:rPr>
        <w:t xml:space="preserve"> ELA </w:t>
      </w:r>
      <w:r w:rsidR="00505973">
        <w:rPr>
          <w:rFonts w:cs="Arial"/>
        </w:rPr>
        <w:t xml:space="preserve">proficiency levels for underserved </w:t>
      </w:r>
      <w:r w:rsidR="00782E2F">
        <w:rPr>
          <w:rFonts w:cs="Arial"/>
        </w:rPr>
        <w:t>populations such as migratory students are</w:t>
      </w:r>
      <w:r>
        <w:rPr>
          <w:rFonts w:cs="Arial"/>
        </w:rPr>
        <w:t xml:space="preserve"> significantly lower</w:t>
      </w:r>
      <w:r w:rsidR="005267BF">
        <w:rPr>
          <w:rFonts w:cs="Arial"/>
        </w:rPr>
        <w:t xml:space="preserve"> as noted in the key data points section above</w:t>
      </w:r>
      <w:r>
        <w:rPr>
          <w:rFonts w:cs="Arial"/>
        </w:rPr>
        <w:t>.</w:t>
      </w:r>
      <w:r w:rsidR="00782E2F">
        <w:rPr>
          <w:rFonts w:cs="Arial"/>
        </w:rPr>
        <w:t xml:space="preserve"> </w:t>
      </w:r>
      <w:r w:rsidR="00505973">
        <w:rPr>
          <w:rFonts w:cs="Arial"/>
        </w:rPr>
        <w:t>After reviewing CAASPP overall</w:t>
      </w:r>
      <w:r w:rsidR="005267BF">
        <w:rPr>
          <w:rFonts w:cs="Arial"/>
        </w:rPr>
        <w:t xml:space="preserve"> ELA proficiency</w:t>
      </w:r>
      <w:r w:rsidR="00505973">
        <w:rPr>
          <w:rFonts w:cs="Arial"/>
        </w:rPr>
        <w:t xml:space="preserve"> and all claim data, t</w:t>
      </w:r>
      <w:r w:rsidR="00894353" w:rsidRPr="002F0E3F">
        <w:rPr>
          <w:rFonts w:cs="Arial"/>
        </w:rPr>
        <w:t xml:space="preserve">he ELA </w:t>
      </w:r>
      <w:r w:rsidR="008E4DAC">
        <w:rPr>
          <w:rFonts w:cs="Arial"/>
        </w:rPr>
        <w:t>s</w:t>
      </w:r>
      <w:r w:rsidR="00894353" w:rsidRPr="002F0E3F">
        <w:rPr>
          <w:rFonts w:cs="Arial"/>
        </w:rPr>
        <w:t xml:space="preserve">ubcommittee was concerned about the gap in </w:t>
      </w:r>
      <w:r w:rsidR="001E02AB">
        <w:rPr>
          <w:rFonts w:cs="Arial"/>
        </w:rPr>
        <w:t>overall ELA</w:t>
      </w:r>
      <w:r w:rsidR="00894353" w:rsidRPr="002F0E3F">
        <w:rPr>
          <w:rFonts w:cs="Arial"/>
        </w:rPr>
        <w:t xml:space="preserve"> performance </w:t>
      </w:r>
      <w:r w:rsidR="007E0E72" w:rsidRPr="002F0E3F">
        <w:rPr>
          <w:rFonts w:cs="Arial"/>
        </w:rPr>
        <w:t xml:space="preserve">between </w:t>
      </w:r>
      <w:r w:rsidR="00BE33BD">
        <w:rPr>
          <w:rFonts w:cs="Arial"/>
        </w:rPr>
        <w:t>migratory and all s</w:t>
      </w:r>
      <w:r w:rsidR="00894353" w:rsidRPr="002F0E3F">
        <w:rPr>
          <w:rFonts w:cs="Arial"/>
        </w:rPr>
        <w:t>tudents. This concern was expressed as:</w:t>
      </w:r>
    </w:p>
    <w:p w14:paraId="2FF42B46" w14:textId="27798F09" w:rsidR="00894353" w:rsidRPr="002F0E3F" w:rsidRDefault="00BE33BD" w:rsidP="007B711B">
      <w:pPr>
        <w:spacing w:after="240" w:line="276" w:lineRule="auto"/>
        <w:ind w:left="360" w:right="720"/>
        <w:jc w:val="center"/>
        <w:rPr>
          <w:rFonts w:cs="Arial"/>
        </w:rPr>
      </w:pPr>
      <w:r w:rsidRPr="00963D4A">
        <w:rPr>
          <w:rFonts w:cs="Arial"/>
        </w:rPr>
        <w:t>We are concerned the achievement gap between migratory students and all students was 23.2</w:t>
      </w:r>
      <w:r w:rsidR="00EA754F">
        <w:t> </w:t>
      </w:r>
      <w:r w:rsidRPr="00963D4A">
        <w:rPr>
          <w:rFonts w:cs="Arial"/>
        </w:rPr>
        <w:t>percent on the overall ELA standards in 2022–23</w:t>
      </w:r>
      <w:r w:rsidR="00894353" w:rsidRPr="002F0E3F">
        <w:rPr>
          <w:rFonts w:cs="Arial"/>
        </w:rPr>
        <w:t>.</w:t>
      </w:r>
    </w:p>
    <w:p w14:paraId="452CED81" w14:textId="3DB2B7E5" w:rsidR="00894353" w:rsidRPr="002F0E3F" w:rsidRDefault="00894353" w:rsidP="007B711B">
      <w:pPr>
        <w:spacing w:after="240"/>
        <w:rPr>
          <w:rFonts w:cs="Arial"/>
        </w:rPr>
      </w:pPr>
      <w:r w:rsidRPr="002F0E3F">
        <w:rPr>
          <w:rFonts w:cs="Arial"/>
        </w:rPr>
        <w:t xml:space="preserve">The </w:t>
      </w:r>
      <w:r w:rsidR="008E4DAC">
        <w:rPr>
          <w:rFonts w:cs="Arial"/>
        </w:rPr>
        <w:t>s</w:t>
      </w:r>
      <w:r w:rsidRPr="002F0E3F">
        <w:rPr>
          <w:rFonts w:cs="Arial"/>
        </w:rPr>
        <w:t>ubcommittee reasoned that migratory students might fall behind in ELA overall achievement</w:t>
      </w:r>
      <w:r w:rsidR="005015BB">
        <w:rPr>
          <w:rFonts w:cs="Arial"/>
        </w:rPr>
        <w:t xml:space="preserve"> because of</w:t>
      </w:r>
      <w:r w:rsidR="00A4561B">
        <w:rPr>
          <w:rFonts w:cs="Arial"/>
        </w:rPr>
        <w:t xml:space="preserve"> </w:t>
      </w:r>
      <w:r w:rsidRPr="002F0E3F">
        <w:rPr>
          <w:rFonts w:cs="Arial"/>
        </w:rPr>
        <w:t>limited English proficiency, struggling with grade level material, lack of explicit writing instruction</w:t>
      </w:r>
      <w:r w:rsidR="00BE33BD">
        <w:rPr>
          <w:rFonts w:cs="Arial"/>
        </w:rPr>
        <w:t xml:space="preserve"> involving a thorough teaching of the writing process</w:t>
      </w:r>
      <w:r w:rsidRPr="002F0E3F">
        <w:rPr>
          <w:rFonts w:cs="Arial"/>
        </w:rPr>
        <w:t>, limited access to academic English</w:t>
      </w:r>
      <w:r w:rsidR="00883CED">
        <w:rPr>
          <w:rFonts w:cs="Arial"/>
        </w:rPr>
        <w:t>,</w:t>
      </w:r>
      <w:r w:rsidRPr="002F0E3F">
        <w:rPr>
          <w:rFonts w:cs="Arial"/>
        </w:rPr>
        <w:t xml:space="preserve"> and minimal opportunities </w:t>
      </w:r>
      <w:r w:rsidR="00BE33BD">
        <w:rPr>
          <w:rFonts w:cs="Arial"/>
        </w:rPr>
        <w:t>for high-quality genre writing</w:t>
      </w:r>
      <w:r w:rsidRPr="002F0E3F">
        <w:rPr>
          <w:rFonts w:cs="Arial"/>
        </w:rPr>
        <w:t xml:space="preserve">. Additionally, a </w:t>
      </w:r>
      <w:r w:rsidR="00BE33BD">
        <w:rPr>
          <w:rFonts w:cs="Arial"/>
        </w:rPr>
        <w:t>couple of</w:t>
      </w:r>
      <w:r w:rsidRPr="002F0E3F">
        <w:rPr>
          <w:rFonts w:cs="Arial"/>
        </w:rPr>
        <w:t xml:space="preserve"> </w:t>
      </w:r>
      <w:r w:rsidR="00BE33BD">
        <w:rPr>
          <w:rFonts w:cs="Arial"/>
        </w:rPr>
        <w:t>committee members</w:t>
      </w:r>
      <w:r w:rsidRPr="002F0E3F">
        <w:rPr>
          <w:rFonts w:cs="Arial"/>
        </w:rPr>
        <w:t xml:space="preserve"> advised the committee that </w:t>
      </w:r>
      <w:r w:rsidR="00E11722">
        <w:rPr>
          <w:rFonts w:cs="Arial"/>
        </w:rPr>
        <w:lastRenderedPageBreak/>
        <w:t xml:space="preserve">younger </w:t>
      </w:r>
      <w:r w:rsidRPr="002F0E3F">
        <w:rPr>
          <w:rFonts w:cs="Arial"/>
        </w:rPr>
        <w:t xml:space="preserve">migratory students </w:t>
      </w:r>
      <w:r w:rsidR="000D602E" w:rsidRPr="002F0E3F">
        <w:rPr>
          <w:rFonts w:cs="Arial"/>
        </w:rPr>
        <w:t>might</w:t>
      </w:r>
      <w:r w:rsidRPr="002F0E3F">
        <w:rPr>
          <w:rFonts w:cs="Arial"/>
        </w:rPr>
        <w:t xml:space="preserve"> not have the technology skills </w:t>
      </w:r>
      <w:r w:rsidR="00883CED">
        <w:rPr>
          <w:rFonts w:cs="Arial"/>
        </w:rPr>
        <w:t xml:space="preserve">needed </w:t>
      </w:r>
      <w:r w:rsidRPr="002F0E3F">
        <w:rPr>
          <w:rFonts w:cs="Arial"/>
        </w:rPr>
        <w:t xml:space="preserve">to </w:t>
      </w:r>
      <w:r w:rsidR="00E11722">
        <w:rPr>
          <w:rFonts w:cs="Arial"/>
        </w:rPr>
        <w:t xml:space="preserve">be successful with </w:t>
      </w:r>
      <w:r w:rsidRPr="002F0E3F">
        <w:rPr>
          <w:rFonts w:cs="Arial"/>
        </w:rPr>
        <w:t>an online exam</w:t>
      </w:r>
      <w:r w:rsidR="001800D1" w:rsidRPr="002F0E3F">
        <w:rPr>
          <w:rFonts w:cs="Arial"/>
        </w:rPr>
        <w:t xml:space="preserve">, </w:t>
      </w:r>
      <w:r w:rsidRPr="002F0E3F">
        <w:rPr>
          <w:rFonts w:cs="Arial"/>
        </w:rPr>
        <w:t xml:space="preserve">as the CAASPP is administered exclusively online. </w:t>
      </w:r>
    </w:p>
    <w:p w14:paraId="67A035DE" w14:textId="4D73B12E" w:rsidR="00894353" w:rsidRPr="002F0E3F" w:rsidRDefault="00894353" w:rsidP="007B711B">
      <w:pPr>
        <w:pStyle w:val="Heading4"/>
      </w:pPr>
      <w:r w:rsidRPr="002F0E3F">
        <w:t>Need Statement</w:t>
      </w:r>
    </w:p>
    <w:p w14:paraId="083F74D9" w14:textId="069555CD" w:rsidR="00894353" w:rsidRPr="002F0E3F" w:rsidRDefault="00894353" w:rsidP="007B711B">
      <w:pPr>
        <w:spacing w:after="240"/>
        <w:rPr>
          <w:rFonts w:cs="Arial"/>
        </w:rPr>
      </w:pPr>
      <w:r w:rsidRPr="002F0E3F">
        <w:rPr>
          <w:rFonts w:cs="Arial"/>
        </w:rPr>
        <w:t xml:space="preserve">As mentioned previously, the present need is defined as the gap between “what is” and “what should be.” </w:t>
      </w:r>
      <w:r w:rsidR="007E0E72" w:rsidRPr="002F0E3F">
        <w:rPr>
          <w:rFonts w:cs="Arial"/>
        </w:rPr>
        <w:t>In 20</w:t>
      </w:r>
      <w:r w:rsidR="00BE33BD">
        <w:rPr>
          <w:rFonts w:cs="Arial"/>
        </w:rPr>
        <w:t>22</w:t>
      </w:r>
      <w:r w:rsidR="007E0E72" w:rsidRPr="002F0E3F">
        <w:rPr>
          <w:rFonts w:cs="Arial"/>
        </w:rPr>
        <w:t>–</w:t>
      </w:r>
      <w:r w:rsidR="00BE33BD">
        <w:rPr>
          <w:rFonts w:cs="Arial"/>
        </w:rPr>
        <w:t>23</w:t>
      </w:r>
      <w:r w:rsidR="007E0E72" w:rsidRPr="002F0E3F">
        <w:rPr>
          <w:rFonts w:cs="Arial"/>
        </w:rPr>
        <w:t>, 2</w:t>
      </w:r>
      <w:r w:rsidR="00BE33BD">
        <w:rPr>
          <w:rFonts w:cs="Arial"/>
        </w:rPr>
        <w:t>3.4</w:t>
      </w:r>
      <w:r w:rsidR="00EA754F">
        <w:t> </w:t>
      </w:r>
      <w:r w:rsidRPr="002F0E3F">
        <w:rPr>
          <w:rFonts w:cs="Arial"/>
        </w:rPr>
        <w:t xml:space="preserve">percent of </w:t>
      </w:r>
      <w:r w:rsidR="00BE33BD">
        <w:rPr>
          <w:rFonts w:cs="Arial"/>
        </w:rPr>
        <w:t>m</w:t>
      </w:r>
      <w:r w:rsidRPr="002F0E3F">
        <w:rPr>
          <w:rFonts w:cs="Arial"/>
        </w:rPr>
        <w:t xml:space="preserve">igratory </w:t>
      </w:r>
      <w:r w:rsidR="00BE33BD">
        <w:rPr>
          <w:rFonts w:cs="Arial"/>
        </w:rPr>
        <w:t>s</w:t>
      </w:r>
      <w:r w:rsidRPr="002F0E3F">
        <w:rPr>
          <w:rFonts w:cs="Arial"/>
        </w:rPr>
        <w:t>tudents,</w:t>
      </w:r>
      <w:r w:rsidR="007E0E72" w:rsidRPr="002F0E3F">
        <w:rPr>
          <w:rFonts w:cs="Arial"/>
        </w:rPr>
        <w:t xml:space="preserve"> compared with </w:t>
      </w:r>
      <w:r w:rsidR="00BE33BD">
        <w:rPr>
          <w:rFonts w:cs="Arial"/>
        </w:rPr>
        <w:t>46.6</w:t>
      </w:r>
      <w:r w:rsidR="00EA754F">
        <w:t> </w:t>
      </w:r>
      <w:r w:rsidRPr="002F0E3F">
        <w:rPr>
          <w:rFonts w:cs="Arial"/>
        </w:rPr>
        <w:t xml:space="preserve">percent of </w:t>
      </w:r>
      <w:r w:rsidR="00BE33BD">
        <w:rPr>
          <w:rFonts w:cs="Arial"/>
        </w:rPr>
        <w:t>all s</w:t>
      </w:r>
      <w:r w:rsidRPr="002F0E3F">
        <w:rPr>
          <w:rFonts w:cs="Arial"/>
        </w:rPr>
        <w:t xml:space="preserve">tudents, </w:t>
      </w:r>
      <w:r w:rsidR="00F771C8" w:rsidRPr="002F0E3F">
        <w:rPr>
          <w:rFonts w:cs="Arial"/>
        </w:rPr>
        <w:t>met or exceeded the</w:t>
      </w:r>
      <w:r w:rsidRPr="002F0E3F">
        <w:rPr>
          <w:rFonts w:cs="Arial"/>
        </w:rPr>
        <w:t xml:space="preserve"> </w:t>
      </w:r>
      <w:r w:rsidR="007E0E72" w:rsidRPr="002F0E3F">
        <w:rPr>
          <w:rFonts w:cs="Arial"/>
        </w:rPr>
        <w:t>ELA achievement</w:t>
      </w:r>
      <w:r w:rsidR="00F771C8" w:rsidRPr="002F0E3F">
        <w:rPr>
          <w:rFonts w:cs="Arial"/>
        </w:rPr>
        <w:t xml:space="preserve"> standards</w:t>
      </w:r>
      <w:r w:rsidRPr="002F0E3F">
        <w:rPr>
          <w:rFonts w:cs="Arial"/>
        </w:rPr>
        <w:t xml:space="preserve"> demonstrating a </w:t>
      </w:r>
      <w:r w:rsidR="007E0E72" w:rsidRPr="002F0E3F">
        <w:rPr>
          <w:rFonts w:cs="Arial"/>
        </w:rPr>
        <w:t>2</w:t>
      </w:r>
      <w:r w:rsidR="00BE33BD">
        <w:rPr>
          <w:rFonts w:cs="Arial"/>
        </w:rPr>
        <w:t>3.2</w:t>
      </w:r>
      <w:r w:rsidR="00EA754F">
        <w:t> </w:t>
      </w:r>
      <w:r w:rsidRPr="002F0E3F">
        <w:rPr>
          <w:rFonts w:cs="Arial"/>
        </w:rPr>
        <w:t xml:space="preserve">percent gap. The ELA </w:t>
      </w:r>
      <w:r w:rsidR="008E4DAC">
        <w:rPr>
          <w:rFonts w:cs="Arial"/>
        </w:rPr>
        <w:t>s</w:t>
      </w:r>
      <w:r w:rsidRPr="002F0E3F">
        <w:rPr>
          <w:rFonts w:cs="Arial"/>
        </w:rPr>
        <w:t>u</w:t>
      </w:r>
      <w:r w:rsidR="007E0E72" w:rsidRPr="002F0E3F">
        <w:rPr>
          <w:rFonts w:cs="Arial"/>
        </w:rPr>
        <w:t>bcommittee articulated the need</w:t>
      </w:r>
      <w:r w:rsidRPr="002F0E3F">
        <w:rPr>
          <w:rFonts w:cs="Arial"/>
        </w:rPr>
        <w:t xml:space="preserve"> statement as such:</w:t>
      </w:r>
    </w:p>
    <w:p w14:paraId="05724B3A" w14:textId="19AA9DC0" w:rsidR="00F771C8" w:rsidRPr="002F0E3F" w:rsidRDefault="00BE33BD" w:rsidP="007B711B">
      <w:pPr>
        <w:spacing w:after="240" w:line="276" w:lineRule="auto"/>
        <w:ind w:left="360" w:right="720"/>
        <w:jc w:val="center"/>
        <w:rPr>
          <w:rFonts w:cs="Arial"/>
        </w:rPr>
      </w:pPr>
      <w:r>
        <w:rPr>
          <w:rFonts w:cs="Arial"/>
        </w:rPr>
        <w:t>Migratory students need to improve their proficiency on the overall ELA standards by an additional 23.2</w:t>
      </w:r>
      <w:r w:rsidR="00EA754F">
        <w:t> </w:t>
      </w:r>
      <w:r>
        <w:rPr>
          <w:rFonts w:cs="Arial"/>
        </w:rPr>
        <w:t>percent.</w:t>
      </w:r>
    </w:p>
    <w:p w14:paraId="0CBCB1DC" w14:textId="38E0F497" w:rsidR="00894353" w:rsidRPr="002F0E3F" w:rsidRDefault="002B6C55" w:rsidP="007B711B">
      <w:pPr>
        <w:spacing w:after="240"/>
        <w:rPr>
          <w:rFonts w:cs="Arial"/>
        </w:rPr>
      </w:pPr>
      <w:r>
        <w:rPr>
          <w:rFonts w:cs="Arial"/>
        </w:rPr>
        <w:t xml:space="preserve">The subcommittee discussed the possibility of </w:t>
      </w:r>
      <w:r w:rsidR="00894353" w:rsidRPr="002F0E3F">
        <w:rPr>
          <w:rFonts w:cs="Arial"/>
        </w:rPr>
        <w:t>MEP</w:t>
      </w:r>
      <w:r>
        <w:rPr>
          <w:rFonts w:cs="Arial"/>
        </w:rPr>
        <w:t>s re</w:t>
      </w:r>
      <w:r w:rsidR="007E0E72" w:rsidRPr="002F0E3F">
        <w:rPr>
          <w:rFonts w:cs="Arial"/>
        </w:rPr>
        <w:t>focus</w:t>
      </w:r>
      <w:r>
        <w:rPr>
          <w:rFonts w:cs="Arial"/>
        </w:rPr>
        <w:t>ing</w:t>
      </w:r>
      <w:r w:rsidR="00F771C8" w:rsidRPr="002F0E3F">
        <w:rPr>
          <w:rFonts w:cs="Arial"/>
        </w:rPr>
        <w:t xml:space="preserve"> on targeting</w:t>
      </w:r>
      <w:r w:rsidR="007E0E72" w:rsidRPr="002F0E3F">
        <w:rPr>
          <w:rFonts w:cs="Arial"/>
        </w:rPr>
        <w:t xml:space="preserve"> ELA services</w:t>
      </w:r>
      <w:r w:rsidR="00894353" w:rsidRPr="002F0E3F">
        <w:rPr>
          <w:rFonts w:cs="Arial"/>
        </w:rPr>
        <w:t xml:space="preserve"> </w:t>
      </w:r>
      <w:r w:rsidR="00F771C8" w:rsidRPr="002F0E3F">
        <w:rPr>
          <w:rFonts w:cs="Arial"/>
        </w:rPr>
        <w:t>towards</w:t>
      </w:r>
      <w:r w:rsidR="00894353" w:rsidRPr="002F0E3F">
        <w:rPr>
          <w:rFonts w:cs="Arial"/>
        </w:rPr>
        <w:t xml:space="preserve"> migratory students </w:t>
      </w:r>
      <w:r>
        <w:rPr>
          <w:rFonts w:cs="Arial"/>
        </w:rPr>
        <w:t>with the purpose of</w:t>
      </w:r>
      <w:r w:rsidR="00894353" w:rsidRPr="002F0E3F">
        <w:rPr>
          <w:rFonts w:cs="Arial"/>
        </w:rPr>
        <w:t xml:space="preserve"> moving from </w:t>
      </w:r>
      <w:r w:rsidR="00D55EE4">
        <w:rPr>
          <w:rFonts w:cs="Arial"/>
        </w:rPr>
        <w:t>below standard</w:t>
      </w:r>
      <w:r w:rsidR="00894353" w:rsidRPr="002F0E3F">
        <w:rPr>
          <w:rFonts w:cs="Arial"/>
        </w:rPr>
        <w:t xml:space="preserve"> to </w:t>
      </w:r>
      <w:r w:rsidR="00BE33BD" w:rsidRPr="002F0E3F">
        <w:rPr>
          <w:rFonts w:cs="Arial"/>
        </w:rPr>
        <w:t>proficiency and</w:t>
      </w:r>
      <w:r w:rsidR="00894353" w:rsidRPr="002F0E3F">
        <w:rPr>
          <w:rFonts w:cs="Arial"/>
        </w:rPr>
        <w:t xml:space="preserve"> </w:t>
      </w:r>
      <w:r w:rsidR="00F771C8" w:rsidRPr="002F0E3F">
        <w:rPr>
          <w:rFonts w:cs="Arial"/>
        </w:rPr>
        <w:t xml:space="preserve">supporting </w:t>
      </w:r>
      <w:r w:rsidR="00B70026" w:rsidRPr="002F0E3F">
        <w:rPr>
          <w:rFonts w:cs="Arial"/>
        </w:rPr>
        <w:t xml:space="preserve">ELA </w:t>
      </w:r>
      <w:r w:rsidR="00F771C8" w:rsidRPr="002F0E3F">
        <w:rPr>
          <w:rFonts w:cs="Arial"/>
        </w:rPr>
        <w:t xml:space="preserve">proficient </w:t>
      </w:r>
      <w:r w:rsidR="00894353" w:rsidRPr="002F0E3F">
        <w:rPr>
          <w:rFonts w:cs="Arial"/>
        </w:rPr>
        <w:t xml:space="preserve">migratory students </w:t>
      </w:r>
      <w:r w:rsidR="00F771C8" w:rsidRPr="002F0E3F">
        <w:rPr>
          <w:rFonts w:cs="Arial"/>
        </w:rPr>
        <w:t xml:space="preserve">to increase their knowledge </w:t>
      </w:r>
      <w:r w:rsidR="00883CED">
        <w:rPr>
          <w:rFonts w:cs="Arial"/>
        </w:rPr>
        <w:t xml:space="preserve">of </w:t>
      </w:r>
      <w:r w:rsidR="00F771C8" w:rsidRPr="002F0E3F">
        <w:rPr>
          <w:rFonts w:cs="Arial"/>
        </w:rPr>
        <w:t>and skillset</w:t>
      </w:r>
      <w:r w:rsidR="00883CED">
        <w:rPr>
          <w:rFonts w:cs="Arial"/>
        </w:rPr>
        <w:t xml:space="preserve"> of</w:t>
      </w:r>
      <w:r w:rsidR="00883CED" w:rsidRPr="002F0E3F">
        <w:rPr>
          <w:rFonts w:cs="Arial"/>
        </w:rPr>
        <w:t xml:space="preserve"> </w:t>
      </w:r>
      <w:r w:rsidR="00F771C8" w:rsidRPr="002F0E3F">
        <w:rPr>
          <w:rFonts w:cs="Arial"/>
        </w:rPr>
        <w:t xml:space="preserve">the ELA standards. </w:t>
      </w:r>
      <w:r w:rsidR="001F25B5">
        <w:rPr>
          <w:rFonts w:cs="Arial"/>
        </w:rPr>
        <w:t xml:space="preserve">Ultimately, the subcommittee decided to leave those policy decisions </w:t>
      </w:r>
      <w:r w:rsidR="00A4561B">
        <w:rPr>
          <w:rFonts w:cs="Arial"/>
        </w:rPr>
        <w:t xml:space="preserve">(i.e., deciding which group of students within the greater population of students who scored below proficiency) </w:t>
      </w:r>
      <w:r w:rsidR="001F25B5">
        <w:rPr>
          <w:rFonts w:cs="Arial"/>
        </w:rPr>
        <w:t>to each MEP subgrantee</w:t>
      </w:r>
      <w:r w:rsidR="00A4561B">
        <w:rPr>
          <w:rFonts w:cs="Arial"/>
        </w:rPr>
        <w:t xml:space="preserve"> </w:t>
      </w:r>
      <w:proofErr w:type="gramStart"/>
      <w:r w:rsidR="00A4561B">
        <w:rPr>
          <w:rFonts w:cs="Arial"/>
        </w:rPr>
        <w:t>as long as</w:t>
      </w:r>
      <w:proofErr w:type="gramEnd"/>
      <w:r w:rsidR="00A4561B">
        <w:rPr>
          <w:rFonts w:cs="Arial"/>
        </w:rPr>
        <w:t xml:space="preserve"> the MPO for the strategy is met</w:t>
      </w:r>
      <w:r w:rsidR="001F25B5">
        <w:rPr>
          <w:rFonts w:cs="Arial"/>
        </w:rPr>
        <w:t xml:space="preserve">. </w:t>
      </w:r>
      <w:r w:rsidR="00E11722">
        <w:rPr>
          <w:rFonts w:cs="Arial"/>
        </w:rPr>
        <w:t>The following strategies were suggested for the need to increase overall ELA proficiency.</w:t>
      </w:r>
    </w:p>
    <w:p w14:paraId="3E000AD5" w14:textId="77777777" w:rsidR="00894353" w:rsidRPr="002F0E3F" w:rsidRDefault="00894353" w:rsidP="007B711B">
      <w:pPr>
        <w:pStyle w:val="Heading4"/>
      </w:pPr>
      <w:r w:rsidRPr="002F0E3F">
        <w:t>Initial Strategies to Address Need</w:t>
      </w:r>
    </w:p>
    <w:p w14:paraId="22AC52EA" w14:textId="41753C7A" w:rsidR="00894353" w:rsidRPr="002F0E3F" w:rsidRDefault="00894353" w:rsidP="007B711B">
      <w:pPr>
        <w:spacing w:after="240"/>
        <w:rPr>
          <w:rFonts w:cs="Arial"/>
        </w:rPr>
      </w:pPr>
      <w:r w:rsidRPr="002F0E3F">
        <w:rPr>
          <w:rFonts w:cs="Arial"/>
        </w:rPr>
        <w:t>Based on</w:t>
      </w:r>
      <w:r w:rsidR="00BE33BD">
        <w:rPr>
          <w:rFonts w:cs="Arial"/>
        </w:rPr>
        <w:t xml:space="preserve"> their analysis of the CAASPP data, reflection and discussion as well as the research on evidence-based practices for the focus area,</w:t>
      </w:r>
      <w:r w:rsidRPr="002F0E3F">
        <w:rPr>
          <w:rFonts w:cs="Arial"/>
        </w:rPr>
        <w:t xml:space="preserve"> the ELA </w:t>
      </w:r>
      <w:r w:rsidR="008E4DAC">
        <w:rPr>
          <w:rFonts w:cs="Arial"/>
        </w:rPr>
        <w:t>s</w:t>
      </w:r>
      <w:r w:rsidRPr="002F0E3F">
        <w:rPr>
          <w:rFonts w:cs="Arial"/>
        </w:rPr>
        <w:t>ubcommittee suggested the following strateg</w:t>
      </w:r>
      <w:r w:rsidR="00210FA1">
        <w:rPr>
          <w:rFonts w:cs="Arial"/>
        </w:rPr>
        <w:t>y</w:t>
      </w:r>
      <w:r w:rsidRPr="002F0E3F">
        <w:rPr>
          <w:rFonts w:cs="Arial"/>
        </w:rPr>
        <w:t xml:space="preserve"> to improving </w:t>
      </w:r>
      <w:r w:rsidR="00B70026" w:rsidRPr="002F0E3F">
        <w:rPr>
          <w:rFonts w:cs="Arial"/>
        </w:rPr>
        <w:t>overall ELA</w:t>
      </w:r>
      <w:r w:rsidRPr="002F0E3F">
        <w:rPr>
          <w:rFonts w:cs="Arial"/>
        </w:rPr>
        <w:t xml:space="preserve"> achievement:</w:t>
      </w:r>
    </w:p>
    <w:p w14:paraId="47F5A410" w14:textId="4F94431B" w:rsidR="00CA3E03" w:rsidRPr="002F0E3F" w:rsidRDefault="00CA3E03" w:rsidP="009670FC">
      <w:pPr>
        <w:pStyle w:val="ListParagraph"/>
        <w:numPr>
          <w:ilvl w:val="0"/>
          <w:numId w:val="8"/>
        </w:numPr>
        <w:spacing w:after="240"/>
        <w:ind w:left="720"/>
        <w:contextualSpacing w:val="0"/>
        <w:rPr>
          <w:rFonts w:cs="Arial"/>
        </w:rPr>
      </w:pPr>
      <w:r w:rsidRPr="002F0E3F">
        <w:rPr>
          <w:rFonts w:cs="Arial"/>
        </w:rPr>
        <w:t xml:space="preserve">Provide supplementary ELA services </w:t>
      </w:r>
      <w:r w:rsidR="00D55998">
        <w:rPr>
          <w:rFonts w:cs="Arial"/>
        </w:rPr>
        <w:t>focused on foundational skills (e.g., phonological awareness, phonics, language comprehension, reading fluency, and writing) for migratory</w:t>
      </w:r>
      <w:r w:rsidRPr="002F0E3F">
        <w:rPr>
          <w:rFonts w:cs="Arial"/>
        </w:rPr>
        <w:t xml:space="preserve"> students who are scoring </w:t>
      </w:r>
      <w:r w:rsidR="00D55EE4">
        <w:rPr>
          <w:rFonts w:cs="Arial"/>
        </w:rPr>
        <w:t>below standard</w:t>
      </w:r>
      <w:r w:rsidRPr="002F0E3F">
        <w:rPr>
          <w:rFonts w:cs="Arial"/>
        </w:rPr>
        <w:t xml:space="preserve"> or </w:t>
      </w:r>
      <w:r w:rsidR="0017520C">
        <w:rPr>
          <w:rFonts w:cs="Arial"/>
        </w:rPr>
        <w:t>s</w:t>
      </w:r>
      <w:r w:rsidRPr="002F0E3F">
        <w:rPr>
          <w:rFonts w:cs="Arial"/>
        </w:rPr>
        <w:t xml:space="preserve">tandard </w:t>
      </w:r>
      <w:r w:rsidR="0017520C">
        <w:rPr>
          <w:rFonts w:cs="Arial"/>
        </w:rPr>
        <w:t>n</w:t>
      </w:r>
      <w:r w:rsidRPr="002F0E3F">
        <w:rPr>
          <w:rFonts w:cs="Arial"/>
        </w:rPr>
        <w:t xml:space="preserve">early </w:t>
      </w:r>
      <w:r w:rsidR="0017520C">
        <w:rPr>
          <w:rFonts w:cs="Arial"/>
        </w:rPr>
        <w:t>m</w:t>
      </w:r>
      <w:r w:rsidRPr="002F0E3F">
        <w:rPr>
          <w:rFonts w:cs="Arial"/>
        </w:rPr>
        <w:t>et in ELA achievement.</w:t>
      </w:r>
    </w:p>
    <w:p w14:paraId="35A3D779" w14:textId="77777777" w:rsidR="00CA3E03" w:rsidRPr="002F0E3F" w:rsidRDefault="00CA3E03" w:rsidP="009670FC">
      <w:pPr>
        <w:pStyle w:val="ListParagraph"/>
        <w:numPr>
          <w:ilvl w:val="1"/>
          <w:numId w:val="8"/>
        </w:numPr>
        <w:spacing w:after="240"/>
        <w:ind w:left="1062"/>
        <w:contextualSpacing w:val="0"/>
        <w:rPr>
          <w:rFonts w:cs="Arial"/>
        </w:rPr>
      </w:pPr>
      <w:r w:rsidRPr="002F0E3F">
        <w:rPr>
          <w:rFonts w:cs="Arial"/>
        </w:rPr>
        <w:t>Instruction should be differentiated and meet students at their readiness levels.</w:t>
      </w:r>
    </w:p>
    <w:p w14:paraId="698E18BE" w14:textId="7154F5AA" w:rsidR="00CA3E03" w:rsidRPr="002F0E3F" w:rsidRDefault="00CA3E03" w:rsidP="009670FC">
      <w:pPr>
        <w:pStyle w:val="ListParagraph"/>
        <w:numPr>
          <w:ilvl w:val="1"/>
          <w:numId w:val="8"/>
        </w:numPr>
        <w:spacing w:after="240"/>
        <w:ind w:left="1062"/>
        <w:contextualSpacing w:val="0"/>
        <w:rPr>
          <w:rFonts w:cs="Arial"/>
        </w:rPr>
      </w:pPr>
      <w:r w:rsidRPr="002F0E3F">
        <w:rPr>
          <w:rFonts w:cs="Arial"/>
        </w:rPr>
        <w:t>Explicitly teach academic</w:t>
      </w:r>
      <w:r w:rsidR="00D55998">
        <w:rPr>
          <w:rFonts w:cs="Arial"/>
        </w:rPr>
        <w:t>, content-specific</w:t>
      </w:r>
      <w:r w:rsidRPr="002F0E3F">
        <w:rPr>
          <w:rFonts w:cs="Arial"/>
        </w:rPr>
        <w:t xml:space="preserve"> vocabulary and provide numerous opportunities for students to engage with the vocabulary.</w:t>
      </w:r>
    </w:p>
    <w:p w14:paraId="0B581E6C" w14:textId="053B314A" w:rsidR="00CA3E03" w:rsidRPr="002F0E3F" w:rsidRDefault="00CA3E03" w:rsidP="009670FC">
      <w:pPr>
        <w:pStyle w:val="ListParagraph"/>
        <w:numPr>
          <w:ilvl w:val="1"/>
          <w:numId w:val="8"/>
        </w:numPr>
        <w:spacing w:after="240"/>
        <w:ind w:left="1062"/>
        <w:contextualSpacing w:val="0"/>
        <w:rPr>
          <w:rFonts w:cs="Arial"/>
        </w:rPr>
      </w:pPr>
      <w:r w:rsidRPr="002F0E3F">
        <w:rPr>
          <w:rFonts w:cs="Arial"/>
        </w:rPr>
        <w:t>Group students according to i</w:t>
      </w:r>
      <w:r w:rsidR="00D55998">
        <w:rPr>
          <w:rFonts w:cs="Arial"/>
        </w:rPr>
        <w:t>nterests or individual skill levels.</w:t>
      </w:r>
    </w:p>
    <w:p w14:paraId="4E93D034" w14:textId="0A36B154" w:rsidR="00CA3E03" w:rsidRDefault="00D55998" w:rsidP="009670FC">
      <w:pPr>
        <w:pStyle w:val="ListParagraph"/>
        <w:numPr>
          <w:ilvl w:val="1"/>
          <w:numId w:val="8"/>
        </w:numPr>
        <w:spacing w:after="240"/>
        <w:ind w:left="1062"/>
        <w:contextualSpacing w:val="0"/>
        <w:rPr>
          <w:rFonts w:cs="Arial"/>
        </w:rPr>
      </w:pPr>
      <w:r w:rsidRPr="00E11722">
        <w:rPr>
          <w:rFonts w:cs="Arial"/>
        </w:rPr>
        <w:t>Services must be long enough in duration for students to engage with the standards-based content multiple times. Instructional services for ELA must be at least 1</w:t>
      </w:r>
      <w:r w:rsidR="00E11722" w:rsidRPr="00E11722">
        <w:rPr>
          <w:rFonts w:cs="Arial"/>
        </w:rPr>
        <w:t>8</w:t>
      </w:r>
      <w:r w:rsidRPr="00E11722">
        <w:rPr>
          <w:rFonts w:cs="Arial"/>
        </w:rPr>
        <w:t xml:space="preserve"> hours over a </w:t>
      </w:r>
      <w:r w:rsidR="00E11722" w:rsidRPr="00E11722">
        <w:rPr>
          <w:rFonts w:cs="Arial"/>
        </w:rPr>
        <w:t>nine</w:t>
      </w:r>
      <w:r w:rsidRPr="00E11722">
        <w:rPr>
          <w:rFonts w:cs="Arial"/>
        </w:rPr>
        <w:t>-week period</w:t>
      </w:r>
      <w:r w:rsidR="00E11722" w:rsidRPr="00E11722">
        <w:rPr>
          <w:rFonts w:cs="Arial"/>
        </w:rPr>
        <w:t xml:space="preserve"> or 30 hours during the regular school year and 20 hours in the summer</w:t>
      </w:r>
      <w:r w:rsidRPr="00E11722">
        <w:rPr>
          <w:rFonts w:cs="Arial"/>
        </w:rPr>
        <w:t>.</w:t>
      </w:r>
    </w:p>
    <w:p w14:paraId="37DAF4E6" w14:textId="2984D757" w:rsidR="00FF1E89" w:rsidRPr="00FF1E89" w:rsidRDefault="00FF1E89" w:rsidP="00FF1E89">
      <w:pPr>
        <w:spacing w:after="240"/>
        <w:rPr>
          <w:rFonts w:cs="Arial"/>
        </w:rPr>
      </w:pPr>
      <w:r>
        <w:rPr>
          <w:rFonts w:cs="Arial"/>
        </w:rPr>
        <w:lastRenderedPageBreak/>
        <w:t>Many of these strategies lend themselves well to the second priority concern focused on reading fluency and comprehension</w:t>
      </w:r>
      <w:r w:rsidR="006A62A5">
        <w:rPr>
          <w:rFonts w:cs="Arial"/>
        </w:rPr>
        <w:t>.</w:t>
      </w:r>
    </w:p>
    <w:p w14:paraId="13AFAB6F" w14:textId="36C68282" w:rsidR="00B95910" w:rsidRPr="002F0E3F" w:rsidRDefault="00E4537B" w:rsidP="007B711B">
      <w:pPr>
        <w:pStyle w:val="Heading4"/>
      </w:pPr>
      <w:r w:rsidRPr="002F0E3F">
        <w:t xml:space="preserve">English </w:t>
      </w:r>
      <w:r w:rsidR="00B15C75">
        <w:t>L</w:t>
      </w:r>
      <w:r w:rsidRPr="002F0E3F">
        <w:t xml:space="preserve">anguage </w:t>
      </w:r>
      <w:r w:rsidR="00B15C75">
        <w:t>A</w:t>
      </w:r>
      <w:r w:rsidRPr="002F0E3F">
        <w:t xml:space="preserve">rts: </w:t>
      </w:r>
      <w:r w:rsidR="00FA3BBB" w:rsidRPr="002F0E3F">
        <w:t>Concern Statement</w:t>
      </w:r>
      <w:r w:rsidR="00E158A6" w:rsidRPr="002F0E3F">
        <w:t xml:space="preserve"> #2</w:t>
      </w:r>
      <w:r w:rsidR="00960DE2" w:rsidRPr="002F0E3F">
        <w:t xml:space="preserve"> </w:t>
      </w:r>
    </w:p>
    <w:p w14:paraId="3B0628D1" w14:textId="1C2E8963" w:rsidR="001E02AB" w:rsidRPr="002F0E3F" w:rsidRDefault="001E02AB" w:rsidP="001E02AB">
      <w:pPr>
        <w:spacing w:after="240"/>
        <w:rPr>
          <w:rFonts w:cs="Arial"/>
        </w:rPr>
      </w:pPr>
      <w:r>
        <w:rPr>
          <w:rFonts w:cs="Arial"/>
        </w:rPr>
        <w:t>Includ</w:t>
      </w:r>
      <w:r w:rsidR="00505973">
        <w:rPr>
          <w:rFonts w:cs="Arial"/>
        </w:rPr>
        <w:t>ed</w:t>
      </w:r>
      <w:r>
        <w:rPr>
          <w:rFonts w:cs="Arial"/>
        </w:rPr>
        <w:t xml:space="preserve"> in the previous SDP, reading strategies continue to be a top priority for this CNA SDP Committee given the large</w:t>
      </w:r>
      <w:r w:rsidR="007D340C">
        <w:rPr>
          <w:rFonts w:cs="Arial"/>
        </w:rPr>
        <w:t>, persistent</w:t>
      </w:r>
      <w:r>
        <w:rPr>
          <w:rFonts w:cs="Arial"/>
        </w:rPr>
        <w:t xml:space="preserve"> achievement gap between migratory and all student groups. </w:t>
      </w:r>
      <w:r w:rsidRPr="002F0E3F">
        <w:rPr>
          <w:rFonts w:cs="Arial"/>
        </w:rPr>
        <w:t xml:space="preserve">The ELA </w:t>
      </w:r>
      <w:r w:rsidR="008376CA">
        <w:rPr>
          <w:rFonts w:cs="Arial"/>
        </w:rPr>
        <w:t>s</w:t>
      </w:r>
      <w:r w:rsidRPr="002F0E3F">
        <w:rPr>
          <w:rFonts w:cs="Arial"/>
        </w:rPr>
        <w:t>ubcommittee expressed</w:t>
      </w:r>
      <w:r>
        <w:rPr>
          <w:rFonts w:cs="Arial"/>
        </w:rPr>
        <w:t xml:space="preserve"> their concern for the reading achievement gap</w:t>
      </w:r>
      <w:r w:rsidRPr="002F0E3F">
        <w:rPr>
          <w:rFonts w:cs="Arial"/>
        </w:rPr>
        <w:t xml:space="preserve"> as:</w:t>
      </w:r>
    </w:p>
    <w:p w14:paraId="18D1F3F7" w14:textId="35878642" w:rsidR="00D55998" w:rsidRDefault="00D55998" w:rsidP="00D55998">
      <w:pPr>
        <w:spacing w:after="240"/>
        <w:ind w:left="-20"/>
        <w:jc w:val="center"/>
        <w:rPr>
          <w:rFonts w:cs="Arial"/>
        </w:rPr>
      </w:pPr>
      <w:r w:rsidRPr="00963D4A">
        <w:rPr>
          <w:rFonts w:cs="Arial"/>
        </w:rPr>
        <w:t>We are concerned that in 2022–23 only 6.8</w:t>
      </w:r>
      <w:r w:rsidR="002C0BDD">
        <w:t> </w:t>
      </w:r>
      <w:r w:rsidRPr="00963D4A">
        <w:rPr>
          <w:rFonts w:cs="Arial"/>
        </w:rPr>
        <w:t>percent of migratory students met or exceeded the standard for the reading claim compared to 18.7</w:t>
      </w:r>
      <w:r w:rsidR="002C0BDD">
        <w:t> </w:t>
      </w:r>
      <w:r w:rsidRPr="00963D4A">
        <w:rPr>
          <w:rFonts w:cs="Arial"/>
        </w:rPr>
        <w:t>percent of all students demonstrating a gap of 11.9</w:t>
      </w:r>
      <w:r w:rsidR="002C0BDD">
        <w:t> </w:t>
      </w:r>
      <w:r w:rsidRPr="00963D4A">
        <w:rPr>
          <w:rFonts w:cs="Arial"/>
        </w:rPr>
        <w:t>percent.</w:t>
      </w:r>
    </w:p>
    <w:p w14:paraId="4DFE9177" w14:textId="76C4CD5A" w:rsidR="007768C9" w:rsidRPr="002F0E3F" w:rsidRDefault="00E11722" w:rsidP="007B711B">
      <w:pPr>
        <w:spacing w:after="240"/>
        <w:rPr>
          <w:rFonts w:cs="Arial"/>
        </w:rPr>
      </w:pPr>
      <w:r>
        <w:rPr>
          <w:rFonts w:cs="Arial"/>
        </w:rPr>
        <w:t xml:space="preserve">The </w:t>
      </w:r>
      <w:r w:rsidR="008376CA">
        <w:rPr>
          <w:rFonts w:cs="Arial"/>
        </w:rPr>
        <w:t>s</w:t>
      </w:r>
      <w:r w:rsidR="001F25B5">
        <w:rPr>
          <w:rFonts w:cs="Arial"/>
        </w:rPr>
        <w:t>ub</w:t>
      </w:r>
      <w:r>
        <w:rPr>
          <w:rFonts w:cs="Arial"/>
        </w:rPr>
        <w:t>committee recognized that while the state would identify statewide strategies, the difference is really made within local services. Therefore, the committee prioritized a</w:t>
      </w:r>
      <w:r w:rsidR="00970C38">
        <w:rPr>
          <w:rFonts w:cs="Arial"/>
        </w:rPr>
        <w:t>n emphasis</w:t>
      </w:r>
      <w:r>
        <w:rPr>
          <w:rFonts w:cs="Arial"/>
        </w:rPr>
        <w:t xml:space="preserve"> on reading, </w:t>
      </w:r>
      <w:r w:rsidR="005267BF">
        <w:rPr>
          <w:rFonts w:cs="Arial"/>
        </w:rPr>
        <w:t xml:space="preserve">focusing on </w:t>
      </w:r>
      <w:r>
        <w:rPr>
          <w:rFonts w:cs="Arial"/>
        </w:rPr>
        <w:t>high-quality</w:t>
      </w:r>
      <w:r w:rsidR="007D340C">
        <w:rPr>
          <w:rFonts w:cs="Arial"/>
        </w:rPr>
        <w:t xml:space="preserve"> reading</w:t>
      </w:r>
      <w:r>
        <w:rPr>
          <w:rFonts w:cs="Arial"/>
        </w:rPr>
        <w:t xml:space="preserve"> instruction</w:t>
      </w:r>
      <w:r w:rsidR="005267BF">
        <w:rPr>
          <w:rFonts w:cs="Arial"/>
        </w:rPr>
        <w:t xml:space="preserve"> </w:t>
      </w:r>
      <w:r w:rsidR="00970C38">
        <w:rPr>
          <w:rFonts w:cs="Arial"/>
        </w:rPr>
        <w:t>a</w:t>
      </w:r>
      <w:r w:rsidR="005267BF">
        <w:rPr>
          <w:rFonts w:cs="Arial"/>
        </w:rPr>
        <w:t>s the most effective way to</w:t>
      </w:r>
      <w:r>
        <w:rPr>
          <w:rFonts w:cs="Arial"/>
        </w:rPr>
        <w:t xml:space="preserve"> yield gains in reading fluency and comprehension. </w:t>
      </w:r>
      <w:r w:rsidR="00970C38">
        <w:rPr>
          <w:rFonts w:cs="Arial"/>
        </w:rPr>
        <w:t>The need statement for reading is articulated</w:t>
      </w:r>
      <w:r w:rsidR="00A0663E">
        <w:rPr>
          <w:rFonts w:cs="Arial"/>
        </w:rPr>
        <w:t xml:space="preserve"> in the next section.</w:t>
      </w:r>
    </w:p>
    <w:p w14:paraId="3A1F5AA6" w14:textId="78897C55" w:rsidR="00DF1283" w:rsidRPr="002F0E3F" w:rsidRDefault="00DF1283" w:rsidP="007B711B">
      <w:pPr>
        <w:pStyle w:val="Heading4"/>
      </w:pPr>
      <w:r w:rsidRPr="002F0E3F">
        <w:t>Need Statement</w:t>
      </w:r>
    </w:p>
    <w:p w14:paraId="5FE552AB" w14:textId="4FF37953" w:rsidR="009E3ACA" w:rsidRPr="002F0E3F" w:rsidRDefault="0043497B" w:rsidP="007B711B">
      <w:pPr>
        <w:spacing w:after="240"/>
        <w:rPr>
          <w:rFonts w:cs="Arial"/>
        </w:rPr>
      </w:pPr>
      <w:r w:rsidRPr="002F0E3F">
        <w:rPr>
          <w:rFonts w:cs="Arial"/>
        </w:rPr>
        <w:t>In 20</w:t>
      </w:r>
      <w:r w:rsidR="00D55998">
        <w:rPr>
          <w:rFonts w:cs="Arial"/>
        </w:rPr>
        <w:t>22</w:t>
      </w:r>
      <w:r w:rsidRPr="002F0E3F">
        <w:rPr>
          <w:rFonts w:cs="Arial"/>
        </w:rPr>
        <w:t>–</w:t>
      </w:r>
      <w:r w:rsidR="00D55998">
        <w:rPr>
          <w:rFonts w:cs="Arial"/>
        </w:rPr>
        <w:t>23</w:t>
      </w:r>
      <w:r w:rsidR="00817F87" w:rsidRPr="002F0E3F">
        <w:rPr>
          <w:rFonts w:cs="Arial"/>
        </w:rPr>
        <w:t xml:space="preserve">, </w:t>
      </w:r>
      <w:r w:rsidR="00D55998">
        <w:rPr>
          <w:rFonts w:cs="Arial"/>
        </w:rPr>
        <w:t xml:space="preserve">approximately </w:t>
      </w:r>
      <w:r w:rsidR="009F750A">
        <w:rPr>
          <w:rFonts w:cs="Arial"/>
        </w:rPr>
        <w:t>seven</w:t>
      </w:r>
      <w:r w:rsidR="0017520C">
        <w:t> </w:t>
      </w:r>
      <w:r w:rsidR="00DD14A9" w:rsidRPr="002F0E3F">
        <w:rPr>
          <w:rFonts w:cs="Arial"/>
        </w:rPr>
        <w:t>pe</w:t>
      </w:r>
      <w:r w:rsidR="00732D55" w:rsidRPr="002F0E3F">
        <w:rPr>
          <w:rFonts w:cs="Arial"/>
        </w:rPr>
        <w:t xml:space="preserve">rcent of </w:t>
      </w:r>
      <w:r w:rsidR="00D55998">
        <w:rPr>
          <w:rFonts w:cs="Arial"/>
        </w:rPr>
        <w:t>m</w:t>
      </w:r>
      <w:r w:rsidR="00732D55" w:rsidRPr="002F0E3F">
        <w:rPr>
          <w:rFonts w:cs="Arial"/>
        </w:rPr>
        <w:t xml:space="preserve">igratory </w:t>
      </w:r>
      <w:r w:rsidR="00D55998">
        <w:rPr>
          <w:rFonts w:cs="Arial"/>
        </w:rPr>
        <w:t>s</w:t>
      </w:r>
      <w:r w:rsidR="00DD14A9" w:rsidRPr="002F0E3F">
        <w:rPr>
          <w:rFonts w:cs="Arial"/>
        </w:rPr>
        <w:t>tudents</w:t>
      </w:r>
      <w:r w:rsidR="009E3ACA" w:rsidRPr="002F0E3F">
        <w:rPr>
          <w:rFonts w:cs="Arial"/>
        </w:rPr>
        <w:t>,</w:t>
      </w:r>
      <w:r w:rsidR="00817F87" w:rsidRPr="002F0E3F">
        <w:rPr>
          <w:rFonts w:cs="Arial"/>
        </w:rPr>
        <w:t xml:space="preserve"> compared with </w:t>
      </w:r>
      <w:r w:rsidR="00D55998">
        <w:rPr>
          <w:rFonts w:cs="Arial"/>
        </w:rPr>
        <w:t>close to 19</w:t>
      </w:r>
      <w:r w:rsidR="002C0BDD">
        <w:t> </w:t>
      </w:r>
      <w:r w:rsidR="00732D55" w:rsidRPr="002F0E3F">
        <w:rPr>
          <w:rFonts w:cs="Arial"/>
        </w:rPr>
        <w:t xml:space="preserve">percent of </w:t>
      </w:r>
      <w:r w:rsidR="00D55998">
        <w:rPr>
          <w:rFonts w:cs="Arial"/>
        </w:rPr>
        <w:t>a</w:t>
      </w:r>
      <w:r w:rsidR="00732D55" w:rsidRPr="002F0E3F">
        <w:rPr>
          <w:rFonts w:cs="Arial"/>
        </w:rPr>
        <w:t xml:space="preserve">ll </w:t>
      </w:r>
      <w:r w:rsidR="00D55998">
        <w:rPr>
          <w:rFonts w:cs="Arial"/>
        </w:rPr>
        <w:t>s</w:t>
      </w:r>
      <w:r w:rsidR="00BF709B" w:rsidRPr="002F0E3F">
        <w:rPr>
          <w:rFonts w:cs="Arial"/>
        </w:rPr>
        <w:t>tudents</w:t>
      </w:r>
      <w:r w:rsidR="00817F87" w:rsidRPr="002F0E3F">
        <w:rPr>
          <w:rFonts w:cs="Arial"/>
        </w:rPr>
        <w:t xml:space="preserve">, scored </w:t>
      </w:r>
      <w:r w:rsidR="005234F9">
        <w:rPr>
          <w:rFonts w:cs="Arial"/>
        </w:rPr>
        <w:t>near</w:t>
      </w:r>
      <w:r w:rsidR="00817F87" w:rsidRPr="002F0E3F">
        <w:rPr>
          <w:rFonts w:cs="Arial"/>
        </w:rPr>
        <w:t xml:space="preserve"> or </w:t>
      </w:r>
      <w:r w:rsidR="00D55EE4">
        <w:rPr>
          <w:rFonts w:cs="Arial"/>
        </w:rPr>
        <w:t>above standard</w:t>
      </w:r>
      <w:r w:rsidR="001F6CFD" w:rsidRPr="002F0E3F">
        <w:rPr>
          <w:rFonts w:cs="Arial"/>
        </w:rPr>
        <w:t xml:space="preserve"> </w:t>
      </w:r>
      <w:r w:rsidR="00B15C75">
        <w:rPr>
          <w:rFonts w:cs="Arial"/>
        </w:rPr>
        <w:t>on the</w:t>
      </w:r>
      <w:r w:rsidR="001F6CFD" w:rsidRPr="002F0E3F">
        <w:rPr>
          <w:rFonts w:cs="Arial"/>
        </w:rPr>
        <w:t xml:space="preserve"> reading </w:t>
      </w:r>
      <w:r w:rsidR="00B15C75">
        <w:rPr>
          <w:rFonts w:cs="Arial"/>
        </w:rPr>
        <w:t xml:space="preserve">claim </w:t>
      </w:r>
      <w:r w:rsidR="001F6CFD" w:rsidRPr="002F0E3F">
        <w:rPr>
          <w:rFonts w:cs="Arial"/>
        </w:rPr>
        <w:t xml:space="preserve">demonstrating a </w:t>
      </w:r>
      <w:r w:rsidR="00E11722">
        <w:rPr>
          <w:rFonts w:cs="Arial"/>
        </w:rPr>
        <w:t>12</w:t>
      </w:r>
      <w:r w:rsidR="00E11722">
        <w:t>-percentage</w:t>
      </w:r>
      <w:r w:rsidR="006B77AE" w:rsidRPr="002F0E3F">
        <w:rPr>
          <w:rFonts w:cs="Arial"/>
        </w:rPr>
        <w:t xml:space="preserve"> point difference</w:t>
      </w:r>
      <w:r w:rsidR="00DD14A9" w:rsidRPr="002F0E3F">
        <w:rPr>
          <w:rFonts w:cs="Arial"/>
        </w:rPr>
        <w:t xml:space="preserve"> between </w:t>
      </w:r>
      <w:r w:rsidR="00D55998">
        <w:rPr>
          <w:rFonts w:cs="Arial"/>
        </w:rPr>
        <w:t>m</w:t>
      </w:r>
      <w:r w:rsidRPr="002F0E3F">
        <w:rPr>
          <w:rFonts w:cs="Arial"/>
        </w:rPr>
        <w:t xml:space="preserve">igratory </w:t>
      </w:r>
      <w:r w:rsidR="00D55998">
        <w:rPr>
          <w:rFonts w:cs="Arial"/>
        </w:rPr>
        <w:t>s</w:t>
      </w:r>
      <w:r w:rsidRPr="002F0E3F">
        <w:rPr>
          <w:rFonts w:cs="Arial"/>
        </w:rPr>
        <w:t>tudents and</w:t>
      </w:r>
      <w:r w:rsidR="00D55998">
        <w:rPr>
          <w:rFonts w:cs="Arial"/>
        </w:rPr>
        <w:t xml:space="preserve"> </w:t>
      </w:r>
      <w:proofErr w:type="gramStart"/>
      <w:r w:rsidR="00D55998">
        <w:rPr>
          <w:rFonts w:cs="Arial"/>
        </w:rPr>
        <w:t>the</w:t>
      </w:r>
      <w:r w:rsidRPr="002F0E3F">
        <w:rPr>
          <w:rFonts w:cs="Arial"/>
        </w:rPr>
        <w:t xml:space="preserve"> </w:t>
      </w:r>
      <w:r w:rsidR="00D55998">
        <w:rPr>
          <w:rFonts w:cs="Arial"/>
        </w:rPr>
        <w:t>a</w:t>
      </w:r>
      <w:r w:rsidRPr="002F0E3F">
        <w:rPr>
          <w:rFonts w:cs="Arial"/>
        </w:rPr>
        <w:t>ll</w:t>
      </w:r>
      <w:proofErr w:type="gramEnd"/>
      <w:r w:rsidRPr="002F0E3F">
        <w:rPr>
          <w:rFonts w:cs="Arial"/>
        </w:rPr>
        <w:t xml:space="preserve"> </w:t>
      </w:r>
      <w:r w:rsidR="00D55998">
        <w:rPr>
          <w:rFonts w:cs="Arial"/>
        </w:rPr>
        <w:t>s</w:t>
      </w:r>
      <w:r w:rsidR="00DD14A9" w:rsidRPr="002F0E3F">
        <w:rPr>
          <w:rFonts w:cs="Arial"/>
        </w:rPr>
        <w:t xml:space="preserve">tudents comparison group. </w:t>
      </w:r>
      <w:r w:rsidR="002C25C2" w:rsidRPr="002F0E3F">
        <w:rPr>
          <w:rFonts w:cs="Arial"/>
        </w:rPr>
        <w:t xml:space="preserve">The ELA </w:t>
      </w:r>
      <w:r w:rsidR="008376CA">
        <w:rPr>
          <w:rFonts w:cs="Arial"/>
        </w:rPr>
        <w:t>s</w:t>
      </w:r>
      <w:r w:rsidR="002C25C2" w:rsidRPr="002F0E3F">
        <w:rPr>
          <w:rFonts w:cs="Arial"/>
        </w:rPr>
        <w:t xml:space="preserve">ubcommittee articulated the needs statement </w:t>
      </w:r>
      <w:r w:rsidR="00E11722">
        <w:rPr>
          <w:rFonts w:cs="Arial"/>
        </w:rPr>
        <w:t xml:space="preserve">for reading </w:t>
      </w:r>
      <w:r w:rsidR="002C25C2" w:rsidRPr="002F0E3F">
        <w:rPr>
          <w:rFonts w:cs="Arial"/>
        </w:rPr>
        <w:t>as:</w:t>
      </w:r>
    </w:p>
    <w:p w14:paraId="0EC2D6A1" w14:textId="6916FBBA" w:rsidR="00D55998" w:rsidRDefault="00D55998" w:rsidP="00D55998">
      <w:pPr>
        <w:spacing w:after="240"/>
        <w:jc w:val="center"/>
        <w:rPr>
          <w:rFonts w:cs="Arial"/>
        </w:rPr>
      </w:pPr>
      <w:r w:rsidRPr="00963D4A">
        <w:rPr>
          <w:rFonts w:cs="Arial"/>
        </w:rPr>
        <w:t xml:space="preserve">MEP students need to increase their proficiency on the CAASPP ELA </w:t>
      </w:r>
      <w:r w:rsidR="009C588B">
        <w:rPr>
          <w:rFonts w:cs="Arial"/>
        </w:rPr>
        <w:t>r</w:t>
      </w:r>
      <w:r w:rsidRPr="00963D4A">
        <w:rPr>
          <w:rFonts w:cs="Arial"/>
        </w:rPr>
        <w:t xml:space="preserve">eading </w:t>
      </w:r>
      <w:r w:rsidR="009C588B">
        <w:rPr>
          <w:rFonts w:cs="Arial"/>
        </w:rPr>
        <w:t>c</w:t>
      </w:r>
      <w:r w:rsidRPr="00963D4A">
        <w:rPr>
          <w:rFonts w:cs="Arial"/>
        </w:rPr>
        <w:t>laim by an additional 11.9</w:t>
      </w:r>
      <w:bookmarkStart w:id="175" w:name="_Hlk186216846"/>
      <w:r w:rsidR="002C0BDD">
        <w:t> </w:t>
      </w:r>
      <w:bookmarkEnd w:id="175"/>
      <w:r w:rsidRPr="00963D4A">
        <w:rPr>
          <w:rFonts w:cs="Arial"/>
        </w:rPr>
        <w:t>percent.</w:t>
      </w:r>
    </w:p>
    <w:p w14:paraId="74E42419" w14:textId="24E5A1B0" w:rsidR="00EA0F87" w:rsidRPr="002F0E3F" w:rsidRDefault="00A0663E" w:rsidP="00D55998">
      <w:pPr>
        <w:spacing w:after="240"/>
        <w:rPr>
          <w:rFonts w:cs="Arial"/>
        </w:rPr>
      </w:pPr>
      <w:r>
        <w:rPr>
          <w:rFonts w:cs="Arial"/>
        </w:rPr>
        <w:t>Students require</w:t>
      </w:r>
      <w:r w:rsidR="00E11722">
        <w:rPr>
          <w:rFonts w:cs="Arial"/>
        </w:rPr>
        <w:t xml:space="preserve"> ample opportunit</w:t>
      </w:r>
      <w:r>
        <w:rPr>
          <w:rFonts w:cs="Arial"/>
        </w:rPr>
        <w:t>ies</w:t>
      </w:r>
      <w:r w:rsidR="00E11722">
        <w:rPr>
          <w:rFonts w:cs="Arial"/>
        </w:rPr>
        <w:t xml:space="preserve"> to practice reading</w:t>
      </w:r>
      <w:r>
        <w:rPr>
          <w:rFonts w:cs="Arial"/>
        </w:rPr>
        <w:t xml:space="preserve"> (</w:t>
      </w:r>
      <w:r w:rsidR="0017520C">
        <w:rPr>
          <w:rFonts w:cs="Arial"/>
        </w:rPr>
        <w:t>e.g.,</w:t>
      </w:r>
      <w:r>
        <w:rPr>
          <w:rFonts w:cs="Arial"/>
        </w:rPr>
        <w:t xml:space="preserve"> </w:t>
      </w:r>
      <w:r w:rsidR="00E11722">
        <w:rPr>
          <w:rFonts w:cs="Arial"/>
        </w:rPr>
        <w:t>using their knowledge of phonics and phonological awareness</w:t>
      </w:r>
      <w:r>
        <w:rPr>
          <w:rFonts w:cs="Arial"/>
        </w:rPr>
        <w:t>)</w:t>
      </w:r>
      <w:r w:rsidR="00E11722">
        <w:rPr>
          <w:rFonts w:cs="Arial"/>
        </w:rPr>
        <w:t xml:space="preserve"> for purpose and understanding. Intentional, standards-based instruction centered on foundational reading skills is paramount to create a solid </w:t>
      </w:r>
      <w:r w:rsidR="004E4526">
        <w:rPr>
          <w:rFonts w:cs="Arial"/>
        </w:rPr>
        <w:t>foundation for literacy</w:t>
      </w:r>
      <w:r w:rsidR="005267BF">
        <w:rPr>
          <w:rFonts w:cs="Arial"/>
        </w:rPr>
        <w:t>, and especially important to migratory students who are also identified as</w:t>
      </w:r>
      <w:r w:rsidR="00A32ADA">
        <w:rPr>
          <w:rFonts w:cs="Arial"/>
        </w:rPr>
        <w:t xml:space="preserve"> </w:t>
      </w:r>
      <w:r w:rsidR="00D54E2C">
        <w:rPr>
          <w:rFonts w:cs="Arial"/>
        </w:rPr>
        <w:t>PFS</w:t>
      </w:r>
      <w:r w:rsidR="00A32ADA">
        <w:rPr>
          <w:rFonts w:cs="Arial"/>
        </w:rPr>
        <w:t>,</w:t>
      </w:r>
      <w:r w:rsidR="005267BF">
        <w:rPr>
          <w:rFonts w:cs="Arial"/>
        </w:rPr>
        <w:t xml:space="preserve"> newcomer students in all grade levels (e.g., elementary and secondary)</w:t>
      </w:r>
      <w:r w:rsidR="00A32ADA">
        <w:rPr>
          <w:rFonts w:cs="Arial"/>
        </w:rPr>
        <w:t>,</w:t>
      </w:r>
      <w:r w:rsidR="005267BF">
        <w:rPr>
          <w:rFonts w:cs="Arial"/>
        </w:rPr>
        <w:t xml:space="preserve"> and</w:t>
      </w:r>
      <w:r w:rsidR="003A578D">
        <w:rPr>
          <w:rFonts w:cs="Arial"/>
        </w:rPr>
        <w:t>/or</w:t>
      </w:r>
      <w:r w:rsidR="005267BF">
        <w:rPr>
          <w:rFonts w:cs="Arial"/>
        </w:rPr>
        <w:t xml:space="preserve"> multilingual learners whose primary language is not English.</w:t>
      </w:r>
    </w:p>
    <w:p w14:paraId="6F49BB74" w14:textId="77777777" w:rsidR="00EA0F87" w:rsidRPr="002F0E3F" w:rsidRDefault="00EA0F87" w:rsidP="007B711B">
      <w:pPr>
        <w:pStyle w:val="Heading4"/>
      </w:pPr>
      <w:r w:rsidRPr="002F0E3F">
        <w:t>Initial Strategies to Address Need</w:t>
      </w:r>
    </w:p>
    <w:p w14:paraId="7AA95264" w14:textId="785A7ABD" w:rsidR="0097606B" w:rsidRPr="002F0E3F" w:rsidRDefault="00210FA1" w:rsidP="007B711B">
      <w:pPr>
        <w:spacing w:after="240"/>
        <w:rPr>
          <w:rFonts w:cs="Arial"/>
        </w:rPr>
      </w:pPr>
      <w:r w:rsidRPr="002F0E3F">
        <w:rPr>
          <w:rFonts w:cs="Arial"/>
        </w:rPr>
        <w:t>Based on</w:t>
      </w:r>
      <w:r>
        <w:rPr>
          <w:rFonts w:cs="Arial"/>
        </w:rPr>
        <w:t xml:space="preserve"> their analysis of the CAASPP data, reflection and discussion as well as the research on evidence-based practices for the focus area,</w:t>
      </w:r>
      <w:r w:rsidRPr="002F0E3F">
        <w:rPr>
          <w:rFonts w:cs="Arial"/>
        </w:rPr>
        <w:t xml:space="preserve"> the ELA </w:t>
      </w:r>
      <w:r w:rsidR="008376CA">
        <w:rPr>
          <w:rFonts w:cs="Arial"/>
        </w:rPr>
        <w:t>s</w:t>
      </w:r>
      <w:r w:rsidRPr="002F0E3F">
        <w:rPr>
          <w:rFonts w:cs="Arial"/>
        </w:rPr>
        <w:t>ubcommittee suggested the following strategies</w:t>
      </w:r>
      <w:r w:rsidR="009E3ACA" w:rsidRPr="002F0E3F">
        <w:rPr>
          <w:rFonts w:cs="Arial"/>
        </w:rPr>
        <w:t xml:space="preserve"> to</w:t>
      </w:r>
      <w:r w:rsidR="00F04C80" w:rsidRPr="002F0E3F">
        <w:rPr>
          <w:rFonts w:cs="Arial"/>
        </w:rPr>
        <w:t xml:space="preserve"> </w:t>
      </w:r>
      <w:proofErr w:type="gramStart"/>
      <w:r w:rsidR="00F04C80" w:rsidRPr="002F0E3F">
        <w:rPr>
          <w:rFonts w:cs="Arial"/>
        </w:rPr>
        <w:t>improving</w:t>
      </w:r>
      <w:proofErr w:type="gramEnd"/>
      <w:r w:rsidR="00F04C80" w:rsidRPr="002F0E3F">
        <w:rPr>
          <w:rFonts w:cs="Arial"/>
        </w:rPr>
        <w:t xml:space="preserve"> reading </w:t>
      </w:r>
      <w:r>
        <w:rPr>
          <w:rFonts w:cs="Arial"/>
        </w:rPr>
        <w:t>proficiency</w:t>
      </w:r>
      <w:r w:rsidR="00F04C80" w:rsidRPr="002F0E3F">
        <w:rPr>
          <w:rFonts w:cs="Arial"/>
        </w:rPr>
        <w:t>:</w:t>
      </w:r>
    </w:p>
    <w:p w14:paraId="652DB3BC" w14:textId="11281866" w:rsidR="00CA3E03" w:rsidRPr="00210FA1" w:rsidRDefault="00CA3E03" w:rsidP="009670FC">
      <w:pPr>
        <w:pStyle w:val="ListParagraph"/>
        <w:numPr>
          <w:ilvl w:val="0"/>
          <w:numId w:val="25"/>
        </w:numPr>
        <w:spacing w:after="240"/>
        <w:ind w:left="720"/>
        <w:contextualSpacing w:val="0"/>
        <w:rPr>
          <w:rFonts w:cs="Arial"/>
        </w:rPr>
      </w:pPr>
      <w:r w:rsidRPr="002F0E3F">
        <w:rPr>
          <w:rFonts w:cs="Arial"/>
        </w:rPr>
        <w:t xml:space="preserve">Provide supplementary ELA services for migratory students with targeted </w:t>
      </w:r>
      <w:r w:rsidR="00210FA1">
        <w:rPr>
          <w:rFonts w:cs="Arial"/>
        </w:rPr>
        <w:t>instruction on foundational skills</w:t>
      </w:r>
      <w:r w:rsidRPr="002F0E3F">
        <w:rPr>
          <w:rFonts w:cs="Arial"/>
        </w:rPr>
        <w:t xml:space="preserve"> for students who are scoring </w:t>
      </w:r>
      <w:r w:rsidR="0017520C">
        <w:rPr>
          <w:rFonts w:cs="Arial"/>
        </w:rPr>
        <w:t>b</w:t>
      </w:r>
      <w:r w:rsidR="0017520C" w:rsidRPr="002F0E3F">
        <w:rPr>
          <w:rFonts w:cs="Arial"/>
        </w:rPr>
        <w:t xml:space="preserve">elow </w:t>
      </w:r>
      <w:r w:rsidRPr="002F0E3F">
        <w:rPr>
          <w:rFonts w:cs="Arial"/>
        </w:rPr>
        <w:t xml:space="preserve">or </w:t>
      </w:r>
      <w:r w:rsidR="00D55EE4">
        <w:rPr>
          <w:rFonts w:cs="Arial"/>
        </w:rPr>
        <w:t>near standard</w:t>
      </w:r>
      <w:r w:rsidRPr="002F0E3F">
        <w:rPr>
          <w:rFonts w:cs="Arial"/>
        </w:rPr>
        <w:t xml:space="preserve"> in reading.</w:t>
      </w:r>
    </w:p>
    <w:p w14:paraId="270F8412" w14:textId="77777777" w:rsidR="00B1476B" w:rsidRDefault="00210FA1" w:rsidP="009670FC">
      <w:pPr>
        <w:pStyle w:val="ListParagraph"/>
        <w:numPr>
          <w:ilvl w:val="0"/>
          <w:numId w:val="25"/>
        </w:numPr>
        <w:spacing w:after="240"/>
        <w:ind w:left="720"/>
        <w:contextualSpacing w:val="0"/>
        <w:rPr>
          <w:rFonts w:cs="Arial"/>
        </w:rPr>
      </w:pPr>
      <w:proofErr w:type="gramStart"/>
      <w:r>
        <w:rPr>
          <w:rFonts w:cs="Arial"/>
        </w:rPr>
        <w:lastRenderedPageBreak/>
        <w:t>During</w:t>
      </w:r>
      <w:proofErr w:type="gramEnd"/>
      <w:r>
        <w:rPr>
          <w:rFonts w:cs="Arial"/>
        </w:rPr>
        <w:t xml:space="preserve"> reading instruction, </w:t>
      </w:r>
      <w:r w:rsidR="00F95BD1">
        <w:rPr>
          <w:rFonts w:cs="Arial"/>
        </w:rPr>
        <w:t xml:space="preserve">use model texts to </w:t>
      </w:r>
      <w:r>
        <w:rPr>
          <w:rFonts w:cs="Arial"/>
        </w:rPr>
        <w:t xml:space="preserve">teach the purpose, structure, and typical language of one of the </w:t>
      </w:r>
      <w:r w:rsidR="00ED6CFE">
        <w:rPr>
          <w:rFonts w:cs="Arial"/>
        </w:rPr>
        <w:t>following genres (and subgenre examples)</w:t>
      </w:r>
      <w:r>
        <w:rPr>
          <w:rFonts w:cs="Arial"/>
        </w:rPr>
        <w:t>:</w:t>
      </w:r>
    </w:p>
    <w:p w14:paraId="46A74488" w14:textId="6E98BFCE" w:rsidR="00B1476B" w:rsidRDefault="0017520C" w:rsidP="009670FC">
      <w:pPr>
        <w:pStyle w:val="ListParagraph"/>
        <w:numPr>
          <w:ilvl w:val="1"/>
          <w:numId w:val="25"/>
        </w:numPr>
        <w:spacing w:after="240"/>
        <w:contextualSpacing w:val="0"/>
        <w:rPr>
          <w:rFonts w:cs="Arial"/>
        </w:rPr>
      </w:pPr>
      <w:r>
        <w:rPr>
          <w:rFonts w:cs="Arial"/>
        </w:rPr>
        <w:t>Kindergarten</w:t>
      </w:r>
      <w:r w:rsidR="00B1476B" w:rsidRPr="00B1476B">
        <w:rPr>
          <w:rFonts w:cs="Arial"/>
        </w:rPr>
        <w:t xml:space="preserve"> through </w:t>
      </w:r>
      <w:r>
        <w:rPr>
          <w:rFonts w:cs="Arial"/>
        </w:rPr>
        <w:t>f</w:t>
      </w:r>
      <w:r w:rsidR="00B1476B" w:rsidRPr="00B1476B">
        <w:rPr>
          <w:rFonts w:cs="Arial"/>
        </w:rPr>
        <w:t xml:space="preserve">ifth </w:t>
      </w:r>
      <w:r>
        <w:rPr>
          <w:rFonts w:cs="Arial"/>
        </w:rPr>
        <w:t>g</w:t>
      </w:r>
      <w:r w:rsidR="00B1476B" w:rsidRPr="00B1476B">
        <w:rPr>
          <w:rFonts w:cs="Arial"/>
        </w:rPr>
        <w:t>rade (California Common Core State Standards for ELA, p. 41)</w:t>
      </w:r>
    </w:p>
    <w:p w14:paraId="180330EA" w14:textId="77777777" w:rsidR="00A86FC2" w:rsidRDefault="00B1476B" w:rsidP="009670FC">
      <w:pPr>
        <w:pStyle w:val="ListParagraph"/>
        <w:numPr>
          <w:ilvl w:val="2"/>
          <w:numId w:val="25"/>
        </w:numPr>
        <w:spacing w:after="240"/>
        <w:contextualSpacing w:val="0"/>
        <w:rPr>
          <w:rFonts w:cs="Arial"/>
        </w:rPr>
      </w:pPr>
      <w:r w:rsidRPr="00B1476B">
        <w:rPr>
          <w:rFonts w:cs="Arial"/>
        </w:rPr>
        <w:t xml:space="preserve">Literature </w:t>
      </w:r>
    </w:p>
    <w:p w14:paraId="373D8528" w14:textId="77777777" w:rsidR="00A86FC2" w:rsidRDefault="00B1476B" w:rsidP="009670FC">
      <w:pPr>
        <w:pStyle w:val="ListParagraph"/>
        <w:numPr>
          <w:ilvl w:val="3"/>
          <w:numId w:val="25"/>
        </w:numPr>
        <w:spacing w:after="240"/>
        <w:contextualSpacing w:val="0"/>
        <w:rPr>
          <w:rFonts w:cs="Arial"/>
        </w:rPr>
      </w:pPr>
      <w:r w:rsidRPr="00A86FC2">
        <w:rPr>
          <w:rFonts w:cs="Arial"/>
        </w:rPr>
        <w:t>Stories (e.g., children’s adventure stories, folktales, legends, fables, fantasy, realistic fiction, and myth)</w:t>
      </w:r>
    </w:p>
    <w:p w14:paraId="6BCD7F61" w14:textId="77777777" w:rsidR="00A86FC2" w:rsidRDefault="00B1476B" w:rsidP="009670FC">
      <w:pPr>
        <w:pStyle w:val="ListParagraph"/>
        <w:numPr>
          <w:ilvl w:val="2"/>
          <w:numId w:val="25"/>
        </w:numPr>
        <w:spacing w:after="240"/>
        <w:ind w:left="2534" w:hanging="187"/>
        <w:contextualSpacing w:val="0"/>
        <w:rPr>
          <w:rFonts w:cs="Arial"/>
        </w:rPr>
      </w:pPr>
      <w:r w:rsidRPr="00A86FC2">
        <w:rPr>
          <w:rFonts w:cs="Arial"/>
        </w:rPr>
        <w:t xml:space="preserve">Informational </w:t>
      </w:r>
    </w:p>
    <w:p w14:paraId="4D257DE8" w14:textId="14B9ECD5" w:rsidR="00B1476B" w:rsidRPr="00A86FC2" w:rsidRDefault="00B1476B" w:rsidP="009670FC">
      <w:pPr>
        <w:pStyle w:val="ListParagraph"/>
        <w:numPr>
          <w:ilvl w:val="3"/>
          <w:numId w:val="25"/>
        </w:numPr>
        <w:spacing w:after="240"/>
        <w:contextualSpacing w:val="0"/>
        <w:rPr>
          <w:rFonts w:cs="Arial"/>
        </w:rPr>
      </w:pPr>
      <w:r w:rsidRPr="00A86FC2">
        <w:rPr>
          <w:rFonts w:cs="Arial"/>
        </w:rPr>
        <w:t>Literary Nonfiction (e.g., biographies and autobiographies; books about history, social studies, science and the arts; technical texts, including directions, forms, and information displayed in graphs, charts, or maps; and digital sources on a range of topics).</w:t>
      </w:r>
    </w:p>
    <w:p w14:paraId="5204D275" w14:textId="71EC9549" w:rsidR="00A86FC2" w:rsidRDefault="00B1476B" w:rsidP="009670FC">
      <w:pPr>
        <w:pStyle w:val="ListParagraph"/>
        <w:numPr>
          <w:ilvl w:val="1"/>
          <w:numId w:val="25"/>
        </w:numPr>
        <w:spacing w:after="240"/>
        <w:contextualSpacing w:val="0"/>
        <w:rPr>
          <w:rFonts w:cs="Arial"/>
        </w:rPr>
      </w:pPr>
      <w:r w:rsidRPr="00A86FC2">
        <w:rPr>
          <w:rFonts w:cs="Arial"/>
        </w:rPr>
        <w:t xml:space="preserve">Sixth </w:t>
      </w:r>
      <w:r w:rsidR="0017520C">
        <w:rPr>
          <w:rFonts w:cs="Arial"/>
        </w:rPr>
        <w:t>t</w:t>
      </w:r>
      <w:r w:rsidRPr="00A86FC2">
        <w:rPr>
          <w:rFonts w:cs="Arial"/>
        </w:rPr>
        <w:t xml:space="preserve">hrough </w:t>
      </w:r>
      <w:r w:rsidR="0017520C">
        <w:rPr>
          <w:rFonts w:cs="Arial"/>
        </w:rPr>
        <w:t>t</w:t>
      </w:r>
      <w:r w:rsidRPr="00A86FC2">
        <w:rPr>
          <w:rFonts w:cs="Arial"/>
        </w:rPr>
        <w:t xml:space="preserve">welfth </w:t>
      </w:r>
      <w:r w:rsidR="0017520C">
        <w:rPr>
          <w:rFonts w:cs="Arial"/>
        </w:rPr>
        <w:t>g</w:t>
      </w:r>
      <w:r w:rsidRPr="00A86FC2">
        <w:rPr>
          <w:rFonts w:cs="Arial"/>
        </w:rPr>
        <w:t>rade (California Common Core State Standards for ELA, p. 77)</w:t>
      </w:r>
    </w:p>
    <w:p w14:paraId="69A396C0" w14:textId="5629C59F" w:rsidR="00A86FC2" w:rsidRDefault="00B1476B" w:rsidP="009670FC">
      <w:pPr>
        <w:pStyle w:val="ListParagraph"/>
        <w:numPr>
          <w:ilvl w:val="2"/>
          <w:numId w:val="25"/>
        </w:numPr>
        <w:spacing w:after="240"/>
        <w:contextualSpacing w:val="0"/>
        <w:rPr>
          <w:rFonts w:cs="Arial"/>
        </w:rPr>
      </w:pPr>
      <w:r w:rsidRPr="00A86FC2">
        <w:rPr>
          <w:rFonts w:cs="Arial"/>
        </w:rPr>
        <w:t>Literat</w:t>
      </w:r>
      <w:r w:rsidR="00251FDF">
        <w:rPr>
          <w:rFonts w:cs="Arial"/>
        </w:rPr>
        <w:t>ure</w:t>
      </w:r>
      <w:r w:rsidRPr="00A86FC2">
        <w:rPr>
          <w:rFonts w:cs="Arial"/>
        </w:rPr>
        <w:t xml:space="preserve"> </w:t>
      </w:r>
    </w:p>
    <w:p w14:paraId="22262C5A" w14:textId="77777777" w:rsidR="00A86FC2" w:rsidRDefault="00B1476B" w:rsidP="009670FC">
      <w:pPr>
        <w:pStyle w:val="ListParagraph"/>
        <w:numPr>
          <w:ilvl w:val="3"/>
          <w:numId w:val="25"/>
        </w:numPr>
        <w:spacing w:after="240"/>
        <w:contextualSpacing w:val="0"/>
        <w:rPr>
          <w:rFonts w:cs="Arial"/>
        </w:rPr>
      </w:pPr>
      <w:r w:rsidRPr="00A86FC2">
        <w:rPr>
          <w:rFonts w:cs="Arial"/>
        </w:rPr>
        <w:t>Stories (e.g., adventure stories, historical fiction, mysteries, myths, science fiction, realistic fiction, allegories, parodies, satire, and graphic novels)</w:t>
      </w:r>
    </w:p>
    <w:p w14:paraId="147595F2" w14:textId="77777777" w:rsidR="00A86FC2" w:rsidRDefault="00B1476B" w:rsidP="009670FC">
      <w:pPr>
        <w:pStyle w:val="ListParagraph"/>
        <w:numPr>
          <w:ilvl w:val="2"/>
          <w:numId w:val="25"/>
        </w:numPr>
        <w:spacing w:after="240"/>
        <w:contextualSpacing w:val="0"/>
        <w:rPr>
          <w:rFonts w:cs="Arial"/>
        </w:rPr>
      </w:pPr>
      <w:r w:rsidRPr="00A86FC2">
        <w:rPr>
          <w:rFonts w:cs="Arial"/>
        </w:rPr>
        <w:t xml:space="preserve">Informational </w:t>
      </w:r>
    </w:p>
    <w:p w14:paraId="24139E58" w14:textId="3212C0A7" w:rsidR="00ED6CFE" w:rsidRPr="00A86FC2" w:rsidRDefault="00B1476B" w:rsidP="009670FC">
      <w:pPr>
        <w:pStyle w:val="ListParagraph"/>
        <w:numPr>
          <w:ilvl w:val="3"/>
          <w:numId w:val="25"/>
        </w:numPr>
        <w:spacing w:after="240"/>
        <w:contextualSpacing w:val="0"/>
        <w:rPr>
          <w:rFonts w:cs="Arial"/>
        </w:rPr>
      </w:pPr>
      <w:r w:rsidRPr="00A86FC2">
        <w:rPr>
          <w:rFonts w:cs="Arial"/>
        </w:rPr>
        <w:t>Literary Nonfiction (e.g., expository, argument, and functional text in the form of personal essays, speeches, opinion pieces, essays about art or literature, biographies, memoirs, journalism, historical, scientific, technical or economic accounts).</w:t>
      </w:r>
      <w:r w:rsidR="00ED6CFE" w:rsidRPr="00A86FC2">
        <w:rPr>
          <w:rFonts w:cs="Arial"/>
        </w:rPr>
        <w:t xml:space="preserve"> </w:t>
      </w:r>
    </w:p>
    <w:p w14:paraId="2DB3E6E8" w14:textId="3F7BF155" w:rsidR="007D340C" w:rsidRPr="007D340C" w:rsidRDefault="007D340C" w:rsidP="007D340C">
      <w:pPr>
        <w:spacing w:after="240"/>
        <w:rPr>
          <w:rFonts w:cs="Arial"/>
        </w:rPr>
      </w:pPr>
      <w:r>
        <w:rPr>
          <w:rFonts w:cs="Arial"/>
        </w:rPr>
        <w:t xml:space="preserve">All these strategies </w:t>
      </w:r>
      <w:r w:rsidR="00982AE6">
        <w:rPr>
          <w:rFonts w:cs="Arial"/>
        </w:rPr>
        <w:t xml:space="preserve">indicate </w:t>
      </w:r>
      <w:r>
        <w:rPr>
          <w:rFonts w:cs="Arial"/>
        </w:rPr>
        <w:t xml:space="preserve">the need for multiple opportunities to read for fluency and comprehension. In preparing for these opportunities, students need to have a solid foundation in phonological awareness and </w:t>
      </w:r>
      <w:r w:rsidR="00DA1724">
        <w:rPr>
          <w:rFonts w:cs="Arial"/>
        </w:rPr>
        <w:t>phonics so they may read for understanding. High-quality reading instructional</w:t>
      </w:r>
      <w:r w:rsidR="003A578D">
        <w:rPr>
          <w:rFonts w:cs="Arial"/>
        </w:rPr>
        <w:t xml:space="preserve"> strategies</w:t>
      </w:r>
      <w:r w:rsidR="00DA1724">
        <w:rPr>
          <w:rFonts w:cs="Arial"/>
        </w:rPr>
        <w:t xml:space="preserve"> including building foundational literacy skills</w:t>
      </w:r>
      <w:r w:rsidR="003A578D">
        <w:rPr>
          <w:rFonts w:cs="Arial"/>
        </w:rPr>
        <w:t xml:space="preserve"> and in-depth exploration of genres</w:t>
      </w:r>
      <w:r w:rsidR="00DA1724">
        <w:rPr>
          <w:rFonts w:cs="Arial"/>
        </w:rPr>
        <w:t xml:space="preserve"> is necessary for multilingual learners with limited English language proficiency regardless of grade level enrollment (i.e., elementary or secondary). </w:t>
      </w:r>
      <w:r w:rsidR="001F77B4">
        <w:rPr>
          <w:rFonts w:cs="Arial"/>
        </w:rPr>
        <w:t>A strong foundation in reading and understanding will ultimately be a benefit as students develop their writing skills.</w:t>
      </w:r>
    </w:p>
    <w:p w14:paraId="79FA2B03" w14:textId="24904A07" w:rsidR="007B1AD6" w:rsidRPr="002F0E3F" w:rsidRDefault="00E4537B" w:rsidP="007B711B">
      <w:pPr>
        <w:pStyle w:val="Heading4"/>
      </w:pPr>
      <w:r w:rsidRPr="002F0E3F">
        <w:lastRenderedPageBreak/>
        <w:t xml:space="preserve">English </w:t>
      </w:r>
      <w:r w:rsidR="00B15C75">
        <w:t>L</w:t>
      </w:r>
      <w:r w:rsidRPr="002F0E3F">
        <w:t xml:space="preserve">anguage </w:t>
      </w:r>
      <w:r w:rsidR="00B15C75">
        <w:t>A</w:t>
      </w:r>
      <w:r w:rsidRPr="002F0E3F">
        <w:t>rts:</w:t>
      </w:r>
      <w:r w:rsidR="005F0DA4" w:rsidRPr="002F0E3F">
        <w:t xml:space="preserve"> </w:t>
      </w:r>
      <w:r w:rsidR="00FA3BBB" w:rsidRPr="002F0E3F">
        <w:t>Concern Statement</w:t>
      </w:r>
      <w:r w:rsidR="00D378D4" w:rsidRPr="002F0E3F">
        <w:t xml:space="preserve"> #3</w:t>
      </w:r>
      <w:r w:rsidR="00960DE2" w:rsidRPr="002F0E3F">
        <w:t xml:space="preserve"> </w:t>
      </w:r>
    </w:p>
    <w:p w14:paraId="0D510E06" w14:textId="0B6C13EF" w:rsidR="00455C67" w:rsidRPr="002F0E3F" w:rsidRDefault="004E4526" w:rsidP="007B711B">
      <w:pPr>
        <w:spacing w:after="240"/>
        <w:rPr>
          <w:rFonts w:cs="Arial"/>
        </w:rPr>
      </w:pPr>
      <w:r>
        <w:rPr>
          <w:rFonts w:cs="Arial"/>
        </w:rPr>
        <w:t>Finally, t</w:t>
      </w:r>
      <w:r w:rsidR="00605B36" w:rsidRPr="002F0E3F">
        <w:rPr>
          <w:rFonts w:cs="Arial"/>
        </w:rPr>
        <w:t xml:space="preserve">he ELA </w:t>
      </w:r>
      <w:r w:rsidR="008376CA">
        <w:rPr>
          <w:rFonts w:cs="Arial"/>
        </w:rPr>
        <w:t>s</w:t>
      </w:r>
      <w:r w:rsidR="0067772C" w:rsidRPr="002F0E3F">
        <w:rPr>
          <w:rFonts w:cs="Arial"/>
        </w:rPr>
        <w:t>ubcommittee expressed interest in</w:t>
      </w:r>
      <w:r w:rsidR="00B15C75">
        <w:rPr>
          <w:rFonts w:cs="Arial"/>
        </w:rPr>
        <w:t xml:space="preserve"> focusing on the </w:t>
      </w:r>
      <w:r w:rsidR="0067772C" w:rsidRPr="002F0E3F">
        <w:rPr>
          <w:rFonts w:cs="Arial"/>
        </w:rPr>
        <w:t>writing</w:t>
      </w:r>
      <w:r w:rsidR="00B15C75">
        <w:rPr>
          <w:rFonts w:cs="Arial"/>
        </w:rPr>
        <w:t xml:space="preserve"> claim</w:t>
      </w:r>
      <w:r w:rsidR="0067772C" w:rsidRPr="002F0E3F">
        <w:rPr>
          <w:rFonts w:cs="Arial"/>
        </w:rPr>
        <w:t xml:space="preserve"> </w:t>
      </w:r>
      <w:r>
        <w:rPr>
          <w:rFonts w:cs="Arial"/>
        </w:rPr>
        <w:t xml:space="preserve">data </w:t>
      </w:r>
      <w:r w:rsidR="00982AE6">
        <w:rPr>
          <w:rFonts w:cs="Arial"/>
        </w:rPr>
        <w:t>because of</w:t>
      </w:r>
      <w:r w:rsidR="0067772C" w:rsidRPr="002F0E3F">
        <w:rPr>
          <w:rFonts w:cs="Arial"/>
        </w:rPr>
        <w:t xml:space="preserve"> the gap in performa</w:t>
      </w:r>
      <w:r w:rsidR="00817F87" w:rsidRPr="002F0E3F">
        <w:rPr>
          <w:rFonts w:cs="Arial"/>
        </w:rPr>
        <w:t xml:space="preserve">nce between </w:t>
      </w:r>
      <w:r w:rsidR="00982AE6">
        <w:rPr>
          <w:rFonts w:cs="Arial"/>
        </w:rPr>
        <w:t>m</w:t>
      </w:r>
      <w:r w:rsidR="009E3ACA" w:rsidRPr="002F0E3F">
        <w:rPr>
          <w:rFonts w:cs="Arial"/>
        </w:rPr>
        <w:t>igratory,</w:t>
      </w:r>
      <w:r w:rsidR="00817F87" w:rsidRPr="002F0E3F">
        <w:rPr>
          <w:rFonts w:cs="Arial"/>
        </w:rPr>
        <w:t xml:space="preserve"> </w:t>
      </w:r>
      <w:r w:rsidR="00982AE6">
        <w:rPr>
          <w:rFonts w:cs="Arial"/>
        </w:rPr>
        <w:t>m</w:t>
      </w:r>
      <w:r w:rsidR="00817F87" w:rsidRPr="002F0E3F">
        <w:rPr>
          <w:rFonts w:cs="Arial"/>
        </w:rPr>
        <w:t>igratory PFS</w:t>
      </w:r>
      <w:r w:rsidR="00B15C75">
        <w:rPr>
          <w:rFonts w:cs="Arial"/>
        </w:rPr>
        <w:t>,</w:t>
      </w:r>
      <w:r w:rsidR="009E3ACA" w:rsidRPr="002F0E3F">
        <w:rPr>
          <w:rFonts w:cs="Arial"/>
        </w:rPr>
        <w:t xml:space="preserve"> and </w:t>
      </w:r>
      <w:r w:rsidR="00982AE6">
        <w:rPr>
          <w:rFonts w:cs="Arial"/>
        </w:rPr>
        <w:t>a</w:t>
      </w:r>
      <w:r w:rsidR="00817F87" w:rsidRPr="002F0E3F">
        <w:rPr>
          <w:rFonts w:cs="Arial"/>
        </w:rPr>
        <w:t xml:space="preserve">ll </w:t>
      </w:r>
      <w:r w:rsidR="00982AE6">
        <w:rPr>
          <w:rFonts w:cs="Arial"/>
        </w:rPr>
        <w:t>s</w:t>
      </w:r>
      <w:r w:rsidR="0067772C" w:rsidRPr="002F0E3F">
        <w:rPr>
          <w:rFonts w:cs="Arial"/>
        </w:rPr>
        <w:t>tudent</w:t>
      </w:r>
      <w:r w:rsidR="00982AE6">
        <w:rPr>
          <w:rFonts w:cs="Arial"/>
        </w:rPr>
        <w:t xml:space="preserve"> group</w:t>
      </w:r>
      <w:r w:rsidR="0067772C" w:rsidRPr="002F0E3F">
        <w:rPr>
          <w:rFonts w:cs="Arial"/>
        </w:rPr>
        <w:t>s. This concern was specifically expressed as:</w:t>
      </w:r>
    </w:p>
    <w:p w14:paraId="7993C070" w14:textId="46276B95" w:rsidR="00E158A6" w:rsidRPr="002F0E3F" w:rsidRDefault="00FA3BBB" w:rsidP="007B711B">
      <w:pPr>
        <w:spacing w:after="240" w:line="276" w:lineRule="auto"/>
        <w:ind w:left="360" w:right="720"/>
        <w:jc w:val="center"/>
        <w:rPr>
          <w:rFonts w:cs="Arial"/>
        </w:rPr>
      </w:pPr>
      <w:r w:rsidRPr="002F0E3F">
        <w:rPr>
          <w:rFonts w:cs="Arial"/>
        </w:rPr>
        <w:t>We</w:t>
      </w:r>
      <w:r w:rsidR="00E158A6" w:rsidRPr="002F0E3F">
        <w:rPr>
          <w:rFonts w:cs="Arial"/>
        </w:rPr>
        <w:t xml:space="preserve"> are </w:t>
      </w:r>
      <w:proofErr w:type="gramStart"/>
      <w:r w:rsidR="00E158A6" w:rsidRPr="002F0E3F">
        <w:rPr>
          <w:rFonts w:cs="Arial"/>
        </w:rPr>
        <w:t>concerned</w:t>
      </w:r>
      <w:proofErr w:type="gramEnd"/>
      <w:r w:rsidR="0065673C">
        <w:rPr>
          <w:rFonts w:cs="Arial"/>
        </w:rPr>
        <w:t xml:space="preserve"> </w:t>
      </w:r>
      <w:proofErr w:type="gramStart"/>
      <w:r w:rsidR="00E158A6" w:rsidRPr="002F0E3F">
        <w:rPr>
          <w:rFonts w:cs="Arial"/>
        </w:rPr>
        <w:t>the majority o</w:t>
      </w:r>
      <w:r w:rsidR="00D378D4" w:rsidRPr="002F0E3F">
        <w:rPr>
          <w:rFonts w:cs="Arial"/>
        </w:rPr>
        <w:t>f</w:t>
      </w:r>
      <w:proofErr w:type="gramEnd"/>
      <w:r w:rsidR="00D378D4" w:rsidRPr="002F0E3F">
        <w:rPr>
          <w:rFonts w:cs="Arial"/>
        </w:rPr>
        <w:t xml:space="preserve"> m</w:t>
      </w:r>
      <w:r w:rsidRPr="002F0E3F">
        <w:rPr>
          <w:rFonts w:cs="Arial"/>
        </w:rPr>
        <w:t>ig</w:t>
      </w:r>
      <w:r w:rsidR="00E158A6" w:rsidRPr="002F0E3F">
        <w:rPr>
          <w:rFonts w:cs="Arial"/>
        </w:rPr>
        <w:t xml:space="preserve">ratory </w:t>
      </w:r>
      <w:r w:rsidR="00D378D4" w:rsidRPr="002F0E3F">
        <w:rPr>
          <w:rFonts w:cs="Arial"/>
        </w:rPr>
        <w:t>s</w:t>
      </w:r>
      <w:r w:rsidR="00E158A6" w:rsidRPr="002F0E3F">
        <w:rPr>
          <w:rFonts w:cs="Arial"/>
        </w:rPr>
        <w:t xml:space="preserve">tudents are </w:t>
      </w:r>
      <w:proofErr w:type="gramStart"/>
      <w:r w:rsidR="00E158A6" w:rsidRPr="002F0E3F">
        <w:rPr>
          <w:rFonts w:cs="Arial"/>
        </w:rPr>
        <w:t xml:space="preserve">performing </w:t>
      </w:r>
      <w:r w:rsidR="004E4526">
        <w:rPr>
          <w:rFonts w:cs="Arial"/>
        </w:rPr>
        <w:t>at</w:t>
      </w:r>
      <w:proofErr w:type="gramEnd"/>
      <w:r w:rsidR="004E4526">
        <w:rPr>
          <w:rFonts w:cs="Arial"/>
        </w:rPr>
        <w:t xml:space="preserve"> </w:t>
      </w:r>
      <w:r w:rsidR="00D55EE4">
        <w:rPr>
          <w:rFonts w:cs="Arial"/>
        </w:rPr>
        <w:t>below standard</w:t>
      </w:r>
      <w:r w:rsidRPr="002F0E3F">
        <w:rPr>
          <w:rFonts w:cs="Arial"/>
        </w:rPr>
        <w:t xml:space="preserve"> in writing.</w:t>
      </w:r>
    </w:p>
    <w:p w14:paraId="344A74BC" w14:textId="438EE64E" w:rsidR="00213D82" w:rsidRPr="002F0E3F" w:rsidRDefault="00213D82" w:rsidP="007B711B">
      <w:pPr>
        <w:spacing w:after="240"/>
        <w:rPr>
          <w:rFonts w:cs="Arial"/>
        </w:rPr>
      </w:pPr>
      <w:r w:rsidRPr="002F0E3F">
        <w:rPr>
          <w:rFonts w:cs="Arial"/>
        </w:rPr>
        <w:t xml:space="preserve">The </w:t>
      </w:r>
      <w:r w:rsidR="00605B36" w:rsidRPr="002F0E3F">
        <w:rPr>
          <w:rFonts w:cs="Arial"/>
        </w:rPr>
        <w:t>sub</w:t>
      </w:r>
      <w:r w:rsidRPr="002F0E3F">
        <w:rPr>
          <w:rFonts w:cs="Arial"/>
        </w:rPr>
        <w:t xml:space="preserve">committee reasoned that migratory students might be behind their peers in writing due to </w:t>
      </w:r>
      <w:r w:rsidR="00F76C17">
        <w:rPr>
          <w:rFonts w:cs="Arial"/>
        </w:rPr>
        <w:t>developing</w:t>
      </w:r>
      <w:r w:rsidRPr="002F0E3F">
        <w:rPr>
          <w:rFonts w:cs="Arial"/>
        </w:rPr>
        <w:t xml:space="preserve"> English p</w:t>
      </w:r>
      <w:r w:rsidR="009E3ACA" w:rsidRPr="002F0E3F">
        <w:rPr>
          <w:rFonts w:cs="Arial"/>
        </w:rPr>
        <w:t>roficiency, struggles</w:t>
      </w:r>
      <w:r w:rsidRPr="002F0E3F">
        <w:rPr>
          <w:rFonts w:cs="Arial"/>
        </w:rPr>
        <w:t xml:space="preserve"> with grade level material, lack of explicit instruction </w:t>
      </w:r>
      <w:r w:rsidR="00B7355C" w:rsidRPr="002F0E3F">
        <w:rPr>
          <w:rFonts w:cs="Arial"/>
        </w:rPr>
        <w:t>in writing in different genres</w:t>
      </w:r>
      <w:r w:rsidR="00605B36" w:rsidRPr="002F0E3F">
        <w:rPr>
          <w:rFonts w:cs="Arial"/>
        </w:rPr>
        <w:t xml:space="preserve"> and </w:t>
      </w:r>
      <w:r w:rsidRPr="002F0E3F">
        <w:rPr>
          <w:rFonts w:cs="Arial"/>
        </w:rPr>
        <w:t>limited opportunities to practice</w:t>
      </w:r>
      <w:r w:rsidR="00175141" w:rsidRPr="002F0E3F">
        <w:rPr>
          <w:rFonts w:cs="Arial"/>
        </w:rPr>
        <w:t xml:space="preserve"> writing across genres</w:t>
      </w:r>
      <w:r w:rsidRPr="002F0E3F">
        <w:rPr>
          <w:rFonts w:cs="Arial"/>
        </w:rPr>
        <w:t xml:space="preserve"> at their independent </w:t>
      </w:r>
      <w:r w:rsidR="006E0AF6" w:rsidRPr="002F0E3F">
        <w:rPr>
          <w:rFonts w:cs="Arial"/>
        </w:rPr>
        <w:t>writing</w:t>
      </w:r>
      <w:r w:rsidRPr="002F0E3F">
        <w:rPr>
          <w:rFonts w:cs="Arial"/>
        </w:rPr>
        <w:t xml:space="preserve"> level.</w:t>
      </w:r>
      <w:r w:rsidR="004E4526">
        <w:rPr>
          <w:rFonts w:cs="Arial"/>
        </w:rPr>
        <w:t xml:space="preserve"> </w:t>
      </w:r>
    </w:p>
    <w:p w14:paraId="276D2771" w14:textId="6A61058E" w:rsidR="00FA3BBB" w:rsidRPr="002F0E3F" w:rsidRDefault="00FA3BBB" w:rsidP="007B711B">
      <w:pPr>
        <w:pStyle w:val="Heading4"/>
      </w:pPr>
      <w:r w:rsidRPr="002F0E3F">
        <w:t>Need Statement</w:t>
      </w:r>
    </w:p>
    <w:p w14:paraId="218ED70B" w14:textId="682AACAB" w:rsidR="00A1190A" w:rsidRPr="002F0E3F" w:rsidRDefault="00817F87" w:rsidP="007B711B">
      <w:pPr>
        <w:spacing w:after="240"/>
        <w:rPr>
          <w:rFonts w:cs="Arial"/>
        </w:rPr>
      </w:pPr>
      <w:r w:rsidRPr="002F0E3F">
        <w:rPr>
          <w:rFonts w:cs="Arial"/>
        </w:rPr>
        <w:t>Fifty</w:t>
      </w:r>
      <w:r w:rsidR="002C0BDD">
        <w:t> </w:t>
      </w:r>
      <w:r w:rsidRPr="002F0E3F">
        <w:rPr>
          <w:rFonts w:cs="Arial"/>
        </w:rPr>
        <w:t xml:space="preserve">percent of </w:t>
      </w:r>
      <w:r w:rsidR="008376CA">
        <w:rPr>
          <w:rFonts w:cs="Arial"/>
        </w:rPr>
        <w:t>m</w:t>
      </w:r>
      <w:r w:rsidR="00A1190A" w:rsidRPr="002F0E3F">
        <w:rPr>
          <w:rFonts w:cs="Arial"/>
        </w:rPr>
        <w:t>igrator</w:t>
      </w:r>
      <w:r w:rsidR="00B3764D" w:rsidRPr="002F0E3F">
        <w:rPr>
          <w:rFonts w:cs="Arial"/>
        </w:rPr>
        <w:t xml:space="preserve">y </w:t>
      </w:r>
      <w:r w:rsidR="008376CA">
        <w:rPr>
          <w:rFonts w:cs="Arial"/>
        </w:rPr>
        <w:t>s</w:t>
      </w:r>
      <w:r w:rsidRPr="002F0E3F">
        <w:rPr>
          <w:rFonts w:cs="Arial"/>
        </w:rPr>
        <w:t>tudents</w:t>
      </w:r>
      <w:r w:rsidR="00522A1A" w:rsidRPr="002F0E3F">
        <w:rPr>
          <w:rFonts w:cs="Arial"/>
        </w:rPr>
        <w:t>,</w:t>
      </w:r>
      <w:r w:rsidRPr="002F0E3F">
        <w:rPr>
          <w:rFonts w:cs="Arial"/>
        </w:rPr>
        <w:t xml:space="preserve"> compared with </w:t>
      </w:r>
      <w:r w:rsidR="006A4C26" w:rsidRPr="002F0E3F">
        <w:rPr>
          <w:rFonts w:cs="Arial"/>
        </w:rPr>
        <w:t>29</w:t>
      </w:r>
      <w:r w:rsidR="002C0BDD">
        <w:t> </w:t>
      </w:r>
      <w:r w:rsidRPr="002F0E3F">
        <w:rPr>
          <w:rFonts w:cs="Arial"/>
        </w:rPr>
        <w:t xml:space="preserve">percent of </w:t>
      </w:r>
      <w:r w:rsidR="008376CA">
        <w:rPr>
          <w:rFonts w:cs="Arial"/>
        </w:rPr>
        <w:t>a</w:t>
      </w:r>
      <w:r w:rsidRPr="002F0E3F">
        <w:rPr>
          <w:rFonts w:cs="Arial"/>
        </w:rPr>
        <w:t xml:space="preserve">ll </w:t>
      </w:r>
      <w:r w:rsidR="008376CA">
        <w:rPr>
          <w:rFonts w:cs="Arial"/>
        </w:rPr>
        <w:t>s</w:t>
      </w:r>
      <w:r w:rsidR="00423A42" w:rsidRPr="002F0E3F">
        <w:rPr>
          <w:rFonts w:cs="Arial"/>
        </w:rPr>
        <w:t>tudents</w:t>
      </w:r>
      <w:r w:rsidR="00522A1A" w:rsidRPr="002F0E3F">
        <w:rPr>
          <w:rFonts w:cs="Arial"/>
        </w:rPr>
        <w:t>,</w:t>
      </w:r>
      <w:r w:rsidR="00423A42" w:rsidRPr="002F0E3F">
        <w:rPr>
          <w:rFonts w:cs="Arial"/>
        </w:rPr>
        <w:t xml:space="preserve"> are </w:t>
      </w:r>
      <w:r w:rsidR="00D55EE4">
        <w:rPr>
          <w:rFonts w:cs="Arial"/>
        </w:rPr>
        <w:t>below standard</w:t>
      </w:r>
      <w:r w:rsidR="00A1190A" w:rsidRPr="002F0E3F">
        <w:rPr>
          <w:rFonts w:cs="Arial"/>
        </w:rPr>
        <w:t xml:space="preserve"> in </w:t>
      </w:r>
      <w:proofErr w:type="gramStart"/>
      <w:r w:rsidR="00A1190A" w:rsidRPr="002F0E3F">
        <w:rPr>
          <w:rFonts w:cs="Arial"/>
        </w:rPr>
        <w:t>writing</w:t>
      </w:r>
      <w:proofErr w:type="gramEnd"/>
      <w:r w:rsidR="00605B36" w:rsidRPr="002F0E3F">
        <w:rPr>
          <w:rFonts w:cs="Arial"/>
        </w:rPr>
        <w:t xml:space="preserve"> creating</w:t>
      </w:r>
      <w:r w:rsidR="00B3764D" w:rsidRPr="002F0E3F">
        <w:rPr>
          <w:rFonts w:cs="Arial"/>
        </w:rPr>
        <w:t xml:space="preserve"> a </w:t>
      </w:r>
      <w:proofErr w:type="gramStart"/>
      <w:r w:rsidR="0065673C" w:rsidRPr="002F0E3F">
        <w:rPr>
          <w:rFonts w:cs="Arial"/>
        </w:rPr>
        <w:t>21</w:t>
      </w:r>
      <w:r w:rsidR="00B1476B" w:rsidRPr="00B1476B">
        <w:t> </w:t>
      </w:r>
      <w:r w:rsidR="0065673C" w:rsidRPr="002F0E3F">
        <w:rPr>
          <w:rFonts w:cs="Arial"/>
        </w:rPr>
        <w:t>percentage</w:t>
      </w:r>
      <w:proofErr w:type="gramEnd"/>
      <w:r w:rsidR="00522A1A" w:rsidRPr="002F0E3F">
        <w:rPr>
          <w:rFonts w:cs="Arial"/>
        </w:rPr>
        <w:t xml:space="preserve"> point difference</w:t>
      </w:r>
      <w:r w:rsidR="00A1190A" w:rsidRPr="002F0E3F">
        <w:rPr>
          <w:rFonts w:cs="Arial"/>
        </w:rPr>
        <w:t xml:space="preserve"> between </w:t>
      </w:r>
      <w:r w:rsidRPr="002F0E3F">
        <w:rPr>
          <w:rFonts w:cs="Arial"/>
        </w:rPr>
        <w:t xml:space="preserve">migratory students and </w:t>
      </w:r>
      <w:proofErr w:type="gramStart"/>
      <w:r w:rsidRPr="002F0E3F">
        <w:rPr>
          <w:rFonts w:cs="Arial"/>
        </w:rPr>
        <w:t xml:space="preserve">the </w:t>
      </w:r>
      <w:r w:rsidR="008376CA">
        <w:rPr>
          <w:rFonts w:cs="Arial"/>
        </w:rPr>
        <w:t>a</w:t>
      </w:r>
      <w:r w:rsidRPr="002F0E3F">
        <w:rPr>
          <w:rFonts w:cs="Arial"/>
        </w:rPr>
        <w:t>ll</w:t>
      </w:r>
      <w:proofErr w:type="gramEnd"/>
      <w:r w:rsidRPr="002F0E3F">
        <w:rPr>
          <w:rFonts w:cs="Arial"/>
        </w:rPr>
        <w:t xml:space="preserve"> </w:t>
      </w:r>
      <w:proofErr w:type="gramStart"/>
      <w:r w:rsidR="008376CA">
        <w:rPr>
          <w:rFonts w:cs="Arial"/>
        </w:rPr>
        <w:t>s</w:t>
      </w:r>
      <w:r w:rsidR="00A1190A" w:rsidRPr="002F0E3F">
        <w:rPr>
          <w:rFonts w:cs="Arial"/>
        </w:rPr>
        <w:t>tudents</w:t>
      </w:r>
      <w:proofErr w:type="gramEnd"/>
      <w:r w:rsidR="00A1190A" w:rsidRPr="002F0E3F">
        <w:rPr>
          <w:rFonts w:cs="Arial"/>
        </w:rPr>
        <w:t xml:space="preserve"> comparison group. </w:t>
      </w:r>
      <w:r w:rsidR="00636985">
        <w:rPr>
          <w:rFonts w:cs="Arial"/>
        </w:rPr>
        <w:t>First and foremost, the MEP needs to work with parents to reduce chronic absenteeism. Once students are present at school, ELA instruction needs to focus on foundational writing skills.</w:t>
      </w:r>
      <w:r w:rsidR="00A1190A" w:rsidRPr="002F0E3F">
        <w:rPr>
          <w:rFonts w:cs="Arial"/>
        </w:rPr>
        <w:t xml:space="preserve"> The ELA </w:t>
      </w:r>
      <w:r w:rsidR="008376CA">
        <w:rPr>
          <w:rFonts w:cs="Arial"/>
        </w:rPr>
        <w:t>s</w:t>
      </w:r>
      <w:r w:rsidR="00A1190A" w:rsidRPr="002F0E3F">
        <w:rPr>
          <w:rFonts w:cs="Arial"/>
        </w:rPr>
        <w:t>ubcommittee articulated the needs statement as such:</w:t>
      </w:r>
    </w:p>
    <w:p w14:paraId="7FDC9549" w14:textId="238E17F9" w:rsidR="00455C67" w:rsidRPr="002F0E3F" w:rsidRDefault="00DF262A" w:rsidP="007B711B">
      <w:pPr>
        <w:spacing w:after="240"/>
        <w:ind w:left="360" w:right="720"/>
        <w:jc w:val="center"/>
        <w:rPr>
          <w:rFonts w:cs="Arial"/>
        </w:rPr>
      </w:pPr>
      <w:r w:rsidRPr="002F0E3F">
        <w:rPr>
          <w:rFonts w:cs="Arial"/>
        </w:rPr>
        <w:t>A</w:t>
      </w:r>
      <w:r w:rsidR="00817F87" w:rsidRPr="002F0E3F">
        <w:rPr>
          <w:rFonts w:cs="Arial"/>
        </w:rPr>
        <w:t>n additional 21</w:t>
      </w:r>
      <w:r w:rsidR="002C0BDD">
        <w:t> </w:t>
      </w:r>
      <w:r w:rsidR="00817F87" w:rsidRPr="002F0E3F">
        <w:rPr>
          <w:rFonts w:cs="Arial"/>
        </w:rPr>
        <w:t xml:space="preserve">percent of </w:t>
      </w:r>
      <w:r w:rsidR="008376CA">
        <w:rPr>
          <w:rFonts w:cs="Arial"/>
        </w:rPr>
        <w:t>m</w:t>
      </w:r>
      <w:r w:rsidR="00175141" w:rsidRPr="002F0E3F">
        <w:rPr>
          <w:rFonts w:cs="Arial"/>
        </w:rPr>
        <w:t>ig</w:t>
      </w:r>
      <w:r w:rsidR="00E158A6" w:rsidRPr="002F0E3F">
        <w:rPr>
          <w:rFonts w:cs="Arial"/>
        </w:rPr>
        <w:t xml:space="preserve">ratory </w:t>
      </w:r>
      <w:r w:rsidR="008376CA">
        <w:rPr>
          <w:rFonts w:cs="Arial"/>
        </w:rPr>
        <w:t>s</w:t>
      </w:r>
      <w:r w:rsidR="00423A42" w:rsidRPr="002F0E3F">
        <w:rPr>
          <w:rFonts w:cs="Arial"/>
        </w:rPr>
        <w:t xml:space="preserve">tudents will move from </w:t>
      </w:r>
      <w:r w:rsidR="00D55EE4">
        <w:rPr>
          <w:rFonts w:cs="Arial"/>
        </w:rPr>
        <w:t>below standard</w:t>
      </w:r>
      <w:r w:rsidR="00423A42" w:rsidRPr="002F0E3F">
        <w:rPr>
          <w:rFonts w:cs="Arial"/>
        </w:rPr>
        <w:t xml:space="preserve"> to </w:t>
      </w:r>
      <w:r w:rsidR="005234F9">
        <w:rPr>
          <w:rFonts w:cs="Arial"/>
        </w:rPr>
        <w:t>near</w:t>
      </w:r>
      <w:r w:rsidR="00423A42" w:rsidRPr="002F0E3F">
        <w:rPr>
          <w:rFonts w:cs="Arial"/>
        </w:rPr>
        <w:t xml:space="preserve"> or </w:t>
      </w:r>
      <w:r w:rsidR="00D55EE4">
        <w:rPr>
          <w:rFonts w:cs="Arial"/>
        </w:rPr>
        <w:t>above standard</w:t>
      </w:r>
      <w:r w:rsidR="00175141" w:rsidRPr="002F0E3F">
        <w:rPr>
          <w:rFonts w:cs="Arial"/>
        </w:rPr>
        <w:t xml:space="preserve"> in writing.</w:t>
      </w:r>
    </w:p>
    <w:p w14:paraId="4C581EFC" w14:textId="608FF713" w:rsidR="00572894" w:rsidRPr="002F0E3F" w:rsidRDefault="00572894" w:rsidP="007B711B">
      <w:pPr>
        <w:spacing w:after="240"/>
        <w:rPr>
          <w:rFonts w:cs="Arial"/>
        </w:rPr>
      </w:pPr>
      <w:r w:rsidRPr="002F0E3F">
        <w:rPr>
          <w:rFonts w:cs="Arial"/>
        </w:rPr>
        <w:t xml:space="preserve">MEPs need to </w:t>
      </w:r>
      <w:r w:rsidR="004E4526">
        <w:rPr>
          <w:rFonts w:cs="Arial"/>
        </w:rPr>
        <w:t>elevate current</w:t>
      </w:r>
      <w:r w:rsidRPr="002F0E3F">
        <w:rPr>
          <w:rFonts w:cs="Arial"/>
        </w:rPr>
        <w:t xml:space="preserve"> ELA instructional writing services</w:t>
      </w:r>
      <w:r w:rsidR="00423A42" w:rsidRPr="002F0E3F">
        <w:rPr>
          <w:rFonts w:cs="Arial"/>
        </w:rPr>
        <w:t xml:space="preserve"> to assist migratory students in closing the achievement gap in </w:t>
      </w:r>
      <w:r w:rsidR="005234F9">
        <w:rPr>
          <w:rFonts w:cs="Arial"/>
        </w:rPr>
        <w:t>near</w:t>
      </w:r>
      <w:r w:rsidR="00423A42" w:rsidRPr="002F0E3F">
        <w:rPr>
          <w:rFonts w:cs="Arial"/>
        </w:rPr>
        <w:t xml:space="preserve"> </w:t>
      </w:r>
      <w:r w:rsidR="00B97AC0">
        <w:rPr>
          <w:rFonts w:cs="Arial"/>
        </w:rPr>
        <w:t xml:space="preserve">standard </w:t>
      </w:r>
      <w:r w:rsidR="00423A42" w:rsidRPr="002F0E3F">
        <w:rPr>
          <w:rFonts w:cs="Arial"/>
        </w:rPr>
        <w:t xml:space="preserve">or </w:t>
      </w:r>
      <w:r w:rsidR="00D55EE4">
        <w:rPr>
          <w:rFonts w:cs="Arial"/>
        </w:rPr>
        <w:t>above standard</w:t>
      </w:r>
      <w:r w:rsidR="00423A42" w:rsidRPr="002F0E3F">
        <w:rPr>
          <w:rFonts w:cs="Arial"/>
        </w:rPr>
        <w:t xml:space="preserve"> achievement levels</w:t>
      </w:r>
      <w:r w:rsidR="00636985">
        <w:rPr>
          <w:rFonts w:cs="Arial"/>
        </w:rPr>
        <w:t xml:space="preserve"> for the Smarter Balanced ELA </w:t>
      </w:r>
      <w:r w:rsidR="00D54E2C">
        <w:rPr>
          <w:rFonts w:cs="Arial"/>
        </w:rPr>
        <w:t>a</w:t>
      </w:r>
      <w:r w:rsidR="00636985">
        <w:rPr>
          <w:rFonts w:cs="Arial"/>
        </w:rPr>
        <w:t xml:space="preserve">ssessment </w:t>
      </w:r>
      <w:r w:rsidR="00D54E2C">
        <w:rPr>
          <w:rFonts w:cs="Arial"/>
        </w:rPr>
        <w:t>w</w:t>
      </w:r>
      <w:r w:rsidR="00636985">
        <w:rPr>
          <w:rFonts w:cs="Arial"/>
        </w:rPr>
        <w:t xml:space="preserve">riting </w:t>
      </w:r>
      <w:r w:rsidR="00D54E2C">
        <w:rPr>
          <w:rFonts w:cs="Arial"/>
        </w:rPr>
        <w:t>c</w:t>
      </w:r>
      <w:r w:rsidR="00636985">
        <w:rPr>
          <w:rFonts w:cs="Arial"/>
        </w:rPr>
        <w:t>laim</w:t>
      </w:r>
      <w:r w:rsidRPr="002F0E3F">
        <w:rPr>
          <w:rFonts w:cs="Arial"/>
        </w:rPr>
        <w:t>.</w:t>
      </w:r>
      <w:r w:rsidR="004E4526">
        <w:rPr>
          <w:rFonts w:cs="Arial"/>
        </w:rPr>
        <w:t xml:space="preserve"> </w:t>
      </w:r>
      <w:proofErr w:type="gramStart"/>
      <w:r w:rsidR="004E4526">
        <w:rPr>
          <w:rFonts w:cs="Arial"/>
        </w:rPr>
        <w:t>Similar to</w:t>
      </w:r>
      <w:proofErr w:type="gramEnd"/>
      <w:r w:rsidR="004E4526">
        <w:rPr>
          <w:rFonts w:cs="Arial"/>
        </w:rPr>
        <w:t xml:space="preserve"> the need in reading, the committee recognized the only way to improve writing was to ensure high-quality instruction on the purpose of different genres and the writing process (e.g., </w:t>
      </w:r>
      <w:r w:rsidR="002306C4">
        <w:rPr>
          <w:rFonts w:cs="Arial"/>
        </w:rPr>
        <w:t>prewriting/</w:t>
      </w:r>
      <w:r w:rsidR="004E4526">
        <w:rPr>
          <w:rFonts w:cs="Arial"/>
        </w:rPr>
        <w:t>brainstorming, draft</w:t>
      </w:r>
      <w:r w:rsidR="002306C4">
        <w:rPr>
          <w:rFonts w:cs="Arial"/>
        </w:rPr>
        <w:t>ing</w:t>
      </w:r>
      <w:r w:rsidR="004E4526">
        <w:rPr>
          <w:rFonts w:cs="Arial"/>
        </w:rPr>
        <w:t>, revis</w:t>
      </w:r>
      <w:r w:rsidR="002306C4">
        <w:rPr>
          <w:rFonts w:cs="Arial"/>
        </w:rPr>
        <w:t>ing</w:t>
      </w:r>
      <w:r w:rsidR="004E4526">
        <w:rPr>
          <w:rFonts w:cs="Arial"/>
        </w:rPr>
        <w:t>, edit</w:t>
      </w:r>
      <w:r w:rsidR="002306C4">
        <w:rPr>
          <w:rFonts w:cs="Arial"/>
        </w:rPr>
        <w:t>ing</w:t>
      </w:r>
      <w:r w:rsidR="004E4526">
        <w:rPr>
          <w:rFonts w:cs="Arial"/>
        </w:rPr>
        <w:t>, publish</w:t>
      </w:r>
      <w:r w:rsidR="002306C4">
        <w:rPr>
          <w:rFonts w:cs="Arial"/>
        </w:rPr>
        <w:t>ing</w:t>
      </w:r>
      <w:r w:rsidR="004E4526">
        <w:rPr>
          <w:rFonts w:cs="Arial"/>
        </w:rPr>
        <w:t>).</w:t>
      </w:r>
      <w:r w:rsidR="002306C4">
        <w:rPr>
          <w:rFonts w:cs="Arial"/>
        </w:rPr>
        <w:t xml:space="preserve"> Although students need numerous opportunities to practice their writing, genre writing needs to be taught thoroughly to build students’ foundational writing skills that will set them up for success in later years of their educational journeys.</w:t>
      </w:r>
    </w:p>
    <w:p w14:paraId="6BA980FC" w14:textId="1B1AF9A1" w:rsidR="00572894" w:rsidRPr="002F0E3F" w:rsidRDefault="00572894" w:rsidP="007B711B">
      <w:pPr>
        <w:pStyle w:val="Heading4"/>
      </w:pPr>
      <w:r w:rsidRPr="002F0E3F">
        <w:t>Initial Strategies</w:t>
      </w:r>
      <w:r w:rsidR="00E91CBA">
        <w:t xml:space="preserve"> to Address Need</w:t>
      </w:r>
    </w:p>
    <w:p w14:paraId="60C642C6" w14:textId="650DB4D6" w:rsidR="00572894" w:rsidRPr="002F0E3F" w:rsidRDefault="00210FA1" w:rsidP="007B711B">
      <w:pPr>
        <w:spacing w:after="240"/>
        <w:rPr>
          <w:rFonts w:cs="Arial"/>
        </w:rPr>
      </w:pPr>
      <w:r w:rsidRPr="002F0E3F">
        <w:rPr>
          <w:rFonts w:cs="Arial"/>
        </w:rPr>
        <w:t>Based on</w:t>
      </w:r>
      <w:r>
        <w:rPr>
          <w:rFonts w:cs="Arial"/>
        </w:rPr>
        <w:t xml:space="preserve"> their analysis of the CAASPP data, reflection</w:t>
      </w:r>
      <w:r w:rsidR="00035944">
        <w:rPr>
          <w:rFonts w:cs="Arial"/>
        </w:rPr>
        <w:t>,</w:t>
      </w:r>
      <w:r>
        <w:rPr>
          <w:rFonts w:cs="Arial"/>
        </w:rPr>
        <w:t xml:space="preserve"> and discussion </w:t>
      </w:r>
      <w:r w:rsidR="00035944">
        <w:rPr>
          <w:rFonts w:cs="Arial"/>
        </w:rPr>
        <w:t>on</w:t>
      </w:r>
      <w:r>
        <w:rPr>
          <w:rFonts w:cs="Arial"/>
        </w:rPr>
        <w:t xml:space="preserve"> evidence-based practices </w:t>
      </w:r>
      <w:r w:rsidR="00035944">
        <w:rPr>
          <w:rFonts w:cs="Arial"/>
        </w:rPr>
        <w:t>to address the need in writing</w:t>
      </w:r>
      <w:r>
        <w:rPr>
          <w:rFonts w:cs="Arial"/>
        </w:rPr>
        <w:t>,</w:t>
      </w:r>
      <w:r w:rsidRPr="002F0E3F">
        <w:rPr>
          <w:rFonts w:cs="Arial"/>
        </w:rPr>
        <w:t xml:space="preserve"> the ELA </w:t>
      </w:r>
      <w:r w:rsidR="008376CA">
        <w:rPr>
          <w:rFonts w:cs="Arial"/>
        </w:rPr>
        <w:t>s</w:t>
      </w:r>
      <w:r w:rsidRPr="002F0E3F">
        <w:rPr>
          <w:rFonts w:cs="Arial"/>
        </w:rPr>
        <w:t>ubcommittee suggested the following strategies</w:t>
      </w:r>
      <w:r w:rsidR="00572894" w:rsidRPr="002F0E3F">
        <w:rPr>
          <w:rFonts w:cs="Arial"/>
        </w:rPr>
        <w:t xml:space="preserve"> to improve student writing achievement:</w:t>
      </w:r>
    </w:p>
    <w:p w14:paraId="30FC9041" w14:textId="70E48176" w:rsidR="00CA3E03" w:rsidRPr="002F0E3F" w:rsidRDefault="00CA3E03" w:rsidP="009670FC">
      <w:pPr>
        <w:pStyle w:val="ListParagraph"/>
        <w:numPr>
          <w:ilvl w:val="0"/>
          <w:numId w:val="9"/>
        </w:numPr>
        <w:spacing w:after="240"/>
        <w:ind w:left="702"/>
        <w:contextualSpacing w:val="0"/>
        <w:rPr>
          <w:rFonts w:cs="Arial"/>
        </w:rPr>
      </w:pPr>
      <w:r w:rsidRPr="002F0E3F">
        <w:rPr>
          <w:rFonts w:cs="Arial"/>
        </w:rPr>
        <w:t xml:space="preserve">Provide </w:t>
      </w:r>
      <w:r w:rsidR="00035944">
        <w:rPr>
          <w:rFonts w:cs="Arial"/>
        </w:rPr>
        <w:t>thorough, explicit writing</w:t>
      </w:r>
      <w:r w:rsidR="00636985">
        <w:rPr>
          <w:rFonts w:cs="Arial"/>
        </w:rPr>
        <w:t xml:space="preserve"> instruction </w:t>
      </w:r>
      <w:r w:rsidR="00CA19F0">
        <w:rPr>
          <w:rFonts w:cs="Arial"/>
        </w:rPr>
        <w:t>for</w:t>
      </w:r>
      <w:r w:rsidR="00035944">
        <w:rPr>
          <w:rFonts w:cs="Arial"/>
        </w:rPr>
        <w:t xml:space="preserve"> one genre of writing (excluding poetry) </w:t>
      </w:r>
      <w:r w:rsidR="00CA19F0">
        <w:rPr>
          <w:rFonts w:cs="Arial"/>
        </w:rPr>
        <w:t>using the writing process, using a model text from the reading strategy, and using a student</w:t>
      </w:r>
      <w:r w:rsidR="005E64AC">
        <w:rPr>
          <w:rFonts w:cs="Arial"/>
        </w:rPr>
        <w:t>-</w:t>
      </w:r>
      <w:r w:rsidR="00CA19F0">
        <w:rPr>
          <w:rFonts w:cs="Arial"/>
        </w:rPr>
        <w:t>friendly rubric.</w:t>
      </w:r>
    </w:p>
    <w:p w14:paraId="6436DDC9" w14:textId="77777777" w:rsidR="00CA3E03" w:rsidRPr="002F0E3F" w:rsidRDefault="00CA3E03" w:rsidP="009670FC">
      <w:pPr>
        <w:pStyle w:val="ListParagraph"/>
        <w:numPr>
          <w:ilvl w:val="1"/>
          <w:numId w:val="9"/>
        </w:numPr>
        <w:spacing w:after="240"/>
        <w:ind w:left="1062"/>
        <w:contextualSpacing w:val="0"/>
        <w:rPr>
          <w:rFonts w:cs="Arial"/>
        </w:rPr>
      </w:pPr>
      <w:r w:rsidRPr="002F0E3F">
        <w:rPr>
          <w:rFonts w:cs="Arial"/>
        </w:rPr>
        <w:t xml:space="preserve">Instruction should be differentiated and </w:t>
      </w:r>
      <w:proofErr w:type="gramStart"/>
      <w:r w:rsidRPr="002F0E3F">
        <w:rPr>
          <w:rFonts w:cs="Arial"/>
        </w:rPr>
        <w:t>meet students</w:t>
      </w:r>
      <w:proofErr w:type="gramEnd"/>
      <w:r w:rsidRPr="002F0E3F">
        <w:rPr>
          <w:rFonts w:cs="Arial"/>
        </w:rPr>
        <w:t xml:space="preserve"> at their readiness level.</w:t>
      </w:r>
    </w:p>
    <w:p w14:paraId="130ED42F" w14:textId="77777777" w:rsidR="00142340" w:rsidRDefault="00CA3E03" w:rsidP="009670FC">
      <w:pPr>
        <w:pStyle w:val="ListParagraph"/>
        <w:numPr>
          <w:ilvl w:val="1"/>
          <w:numId w:val="9"/>
        </w:numPr>
        <w:spacing w:after="240"/>
        <w:ind w:left="1062"/>
        <w:contextualSpacing w:val="0"/>
        <w:rPr>
          <w:rFonts w:cs="Arial"/>
        </w:rPr>
      </w:pPr>
      <w:r w:rsidRPr="002F0E3F">
        <w:rPr>
          <w:rFonts w:cs="Arial"/>
        </w:rPr>
        <w:lastRenderedPageBreak/>
        <w:t xml:space="preserve">Explicitly teach the development of rich language and the structure of writing in different genres. </w:t>
      </w:r>
    </w:p>
    <w:p w14:paraId="0226B796" w14:textId="13709317" w:rsidR="002922E5" w:rsidRPr="002922E5" w:rsidRDefault="002922E5" w:rsidP="009670FC">
      <w:pPr>
        <w:pStyle w:val="ListParagraph"/>
        <w:numPr>
          <w:ilvl w:val="2"/>
          <w:numId w:val="9"/>
        </w:numPr>
        <w:spacing w:after="240"/>
        <w:contextualSpacing w:val="0"/>
        <w:rPr>
          <w:rFonts w:cs="Arial"/>
        </w:rPr>
      </w:pPr>
      <w:r>
        <w:rPr>
          <w:rFonts w:cs="Arial"/>
        </w:rPr>
        <w:t>K</w:t>
      </w:r>
      <w:r w:rsidR="005E64AC">
        <w:rPr>
          <w:rFonts w:cs="Arial"/>
        </w:rPr>
        <w:t>indergarten</w:t>
      </w:r>
      <w:r>
        <w:rPr>
          <w:rFonts w:cs="Arial"/>
        </w:rPr>
        <w:t xml:space="preserve"> through </w:t>
      </w:r>
      <w:r w:rsidR="005E64AC">
        <w:rPr>
          <w:rFonts w:cs="Arial"/>
        </w:rPr>
        <w:t>f</w:t>
      </w:r>
      <w:r>
        <w:rPr>
          <w:rFonts w:cs="Arial"/>
        </w:rPr>
        <w:t xml:space="preserve">ifth </w:t>
      </w:r>
      <w:r w:rsidR="005E64AC">
        <w:rPr>
          <w:rFonts w:cs="Arial"/>
        </w:rPr>
        <w:t>g</w:t>
      </w:r>
      <w:r>
        <w:rPr>
          <w:rFonts w:cs="Arial"/>
        </w:rPr>
        <w:t>rade (California Common Core State Standards for ELA, p. 41)</w:t>
      </w:r>
    </w:p>
    <w:p w14:paraId="6C438FFD" w14:textId="774DE3BD" w:rsidR="00142340" w:rsidRPr="00142340" w:rsidRDefault="00142340" w:rsidP="009670FC">
      <w:pPr>
        <w:pStyle w:val="ListParagraph"/>
        <w:numPr>
          <w:ilvl w:val="3"/>
          <w:numId w:val="9"/>
        </w:numPr>
        <w:spacing w:after="240"/>
        <w:contextualSpacing w:val="0"/>
        <w:rPr>
          <w:rFonts w:cs="Arial"/>
        </w:rPr>
      </w:pPr>
      <w:r w:rsidRPr="00142340">
        <w:rPr>
          <w:rFonts w:cs="Arial"/>
        </w:rPr>
        <w:t xml:space="preserve">Literature </w:t>
      </w:r>
    </w:p>
    <w:p w14:paraId="5D22E418" w14:textId="208486C1" w:rsidR="00142340" w:rsidRDefault="00142340" w:rsidP="009670FC">
      <w:pPr>
        <w:pStyle w:val="ListParagraph"/>
        <w:numPr>
          <w:ilvl w:val="4"/>
          <w:numId w:val="9"/>
        </w:numPr>
        <w:spacing w:after="240"/>
        <w:contextualSpacing w:val="0"/>
        <w:rPr>
          <w:rFonts w:cs="Arial"/>
        </w:rPr>
      </w:pPr>
      <w:r>
        <w:rPr>
          <w:rFonts w:cs="Arial"/>
        </w:rPr>
        <w:t>Stories (e.g.,</w:t>
      </w:r>
      <w:r w:rsidR="00566EBC">
        <w:rPr>
          <w:rFonts w:cs="Arial"/>
        </w:rPr>
        <w:t xml:space="preserve"> children’s adventure stories, folktales, legends, fables, fantasy, realistic fiction, and myth</w:t>
      </w:r>
      <w:r>
        <w:rPr>
          <w:rFonts w:cs="Arial"/>
        </w:rPr>
        <w:t>)</w:t>
      </w:r>
    </w:p>
    <w:p w14:paraId="1A0D9FC6" w14:textId="3A2C8502" w:rsidR="00142340" w:rsidRPr="00142340" w:rsidRDefault="00142340" w:rsidP="009670FC">
      <w:pPr>
        <w:pStyle w:val="ListParagraph"/>
        <w:numPr>
          <w:ilvl w:val="3"/>
          <w:numId w:val="9"/>
        </w:numPr>
        <w:spacing w:after="240"/>
        <w:contextualSpacing w:val="0"/>
        <w:rPr>
          <w:rFonts w:cs="Arial"/>
        </w:rPr>
      </w:pPr>
      <w:r w:rsidRPr="00142340">
        <w:rPr>
          <w:rFonts w:cs="Arial"/>
        </w:rPr>
        <w:t xml:space="preserve">Informational </w:t>
      </w:r>
    </w:p>
    <w:p w14:paraId="17B72734" w14:textId="684AFFF4" w:rsidR="00142340" w:rsidRDefault="00142340" w:rsidP="009670FC">
      <w:pPr>
        <w:pStyle w:val="ListParagraph"/>
        <w:numPr>
          <w:ilvl w:val="4"/>
          <w:numId w:val="9"/>
        </w:numPr>
        <w:spacing w:after="240"/>
        <w:contextualSpacing w:val="0"/>
        <w:rPr>
          <w:rFonts w:cs="Arial"/>
        </w:rPr>
      </w:pPr>
      <w:r>
        <w:rPr>
          <w:rFonts w:cs="Arial"/>
        </w:rPr>
        <w:t>Literary Nonfiction (e.g., biographies</w:t>
      </w:r>
      <w:r w:rsidR="00566EBC">
        <w:rPr>
          <w:rFonts w:cs="Arial"/>
        </w:rPr>
        <w:t xml:space="preserve"> and autobiographies; books about history, social studies, science and the arts; technical texts, including directions, forms, and information displayed in graphs, charts, or maps; and digital sources on a range of topics</w:t>
      </w:r>
      <w:r>
        <w:rPr>
          <w:rFonts w:cs="Arial"/>
        </w:rPr>
        <w:t>).</w:t>
      </w:r>
    </w:p>
    <w:p w14:paraId="11241586" w14:textId="1970497A" w:rsidR="002922E5" w:rsidRDefault="002922E5" w:rsidP="009670FC">
      <w:pPr>
        <w:pStyle w:val="ListParagraph"/>
        <w:numPr>
          <w:ilvl w:val="2"/>
          <w:numId w:val="9"/>
        </w:numPr>
        <w:spacing w:after="240"/>
        <w:contextualSpacing w:val="0"/>
        <w:rPr>
          <w:rFonts w:cs="Arial"/>
        </w:rPr>
      </w:pPr>
      <w:r>
        <w:rPr>
          <w:rFonts w:cs="Arial"/>
        </w:rPr>
        <w:t xml:space="preserve">Sixth </w:t>
      </w:r>
      <w:r w:rsidR="005E64AC">
        <w:rPr>
          <w:rFonts w:cs="Arial"/>
        </w:rPr>
        <w:t>t</w:t>
      </w:r>
      <w:r>
        <w:rPr>
          <w:rFonts w:cs="Arial"/>
        </w:rPr>
        <w:t xml:space="preserve">hrough </w:t>
      </w:r>
      <w:r w:rsidR="005E64AC">
        <w:rPr>
          <w:rFonts w:cs="Arial"/>
        </w:rPr>
        <w:t>t</w:t>
      </w:r>
      <w:r>
        <w:rPr>
          <w:rFonts w:cs="Arial"/>
        </w:rPr>
        <w:t xml:space="preserve">welfth </w:t>
      </w:r>
      <w:r w:rsidR="005E64AC">
        <w:rPr>
          <w:rFonts w:cs="Arial"/>
        </w:rPr>
        <w:t>g</w:t>
      </w:r>
      <w:r>
        <w:rPr>
          <w:rFonts w:cs="Arial"/>
        </w:rPr>
        <w:t>rade (California Common Core State Standards for ELA, p. 77)</w:t>
      </w:r>
    </w:p>
    <w:p w14:paraId="305A77B1" w14:textId="77777777" w:rsidR="002922E5" w:rsidRPr="00142340" w:rsidRDefault="002922E5" w:rsidP="009670FC">
      <w:pPr>
        <w:pStyle w:val="ListParagraph"/>
        <w:numPr>
          <w:ilvl w:val="3"/>
          <w:numId w:val="9"/>
        </w:numPr>
        <w:spacing w:after="240"/>
        <w:contextualSpacing w:val="0"/>
        <w:rPr>
          <w:rFonts w:cs="Arial"/>
        </w:rPr>
      </w:pPr>
      <w:r w:rsidRPr="00142340">
        <w:rPr>
          <w:rFonts w:cs="Arial"/>
        </w:rPr>
        <w:t xml:space="preserve">Literature </w:t>
      </w:r>
    </w:p>
    <w:p w14:paraId="19AE9C1E" w14:textId="598CFC29" w:rsidR="002922E5" w:rsidRDefault="002922E5" w:rsidP="009670FC">
      <w:pPr>
        <w:pStyle w:val="ListParagraph"/>
        <w:numPr>
          <w:ilvl w:val="4"/>
          <w:numId w:val="9"/>
        </w:numPr>
        <w:spacing w:after="240"/>
        <w:contextualSpacing w:val="0"/>
        <w:rPr>
          <w:rFonts w:cs="Arial"/>
        </w:rPr>
      </w:pPr>
      <w:r>
        <w:rPr>
          <w:rFonts w:cs="Arial"/>
        </w:rPr>
        <w:t xml:space="preserve">Stories (e.g., </w:t>
      </w:r>
      <w:r w:rsidR="00566EBC">
        <w:rPr>
          <w:rFonts w:cs="Arial"/>
        </w:rPr>
        <w:t>adventure stories, historical fiction, mysteries, myths, science fiction, realistic fiction, allegories, parodies, satire, and graphic novels</w:t>
      </w:r>
      <w:r>
        <w:rPr>
          <w:rFonts w:cs="Arial"/>
        </w:rPr>
        <w:t>)</w:t>
      </w:r>
    </w:p>
    <w:p w14:paraId="5AA7E411" w14:textId="77777777" w:rsidR="002922E5" w:rsidRPr="00142340" w:rsidRDefault="002922E5" w:rsidP="009670FC">
      <w:pPr>
        <w:pStyle w:val="ListParagraph"/>
        <w:numPr>
          <w:ilvl w:val="3"/>
          <w:numId w:val="9"/>
        </w:numPr>
        <w:spacing w:after="240"/>
        <w:contextualSpacing w:val="0"/>
        <w:rPr>
          <w:rFonts w:cs="Arial"/>
        </w:rPr>
      </w:pPr>
      <w:r w:rsidRPr="00142340">
        <w:rPr>
          <w:rFonts w:cs="Arial"/>
        </w:rPr>
        <w:t xml:space="preserve">Informational </w:t>
      </w:r>
    </w:p>
    <w:p w14:paraId="6C298D71" w14:textId="0AEE4B83" w:rsidR="002922E5" w:rsidRPr="002922E5" w:rsidRDefault="002922E5" w:rsidP="009670FC">
      <w:pPr>
        <w:pStyle w:val="ListParagraph"/>
        <w:numPr>
          <w:ilvl w:val="4"/>
          <w:numId w:val="9"/>
        </w:numPr>
        <w:spacing w:after="240"/>
        <w:contextualSpacing w:val="0"/>
        <w:rPr>
          <w:rFonts w:cs="Arial"/>
        </w:rPr>
      </w:pPr>
      <w:r>
        <w:rPr>
          <w:rFonts w:cs="Arial"/>
        </w:rPr>
        <w:t xml:space="preserve">Literary Nonfiction (e.g., expository, argument, </w:t>
      </w:r>
      <w:r w:rsidR="008A0DD2">
        <w:rPr>
          <w:rFonts w:cs="Arial"/>
        </w:rPr>
        <w:t xml:space="preserve">and functional text in the form of </w:t>
      </w:r>
      <w:r>
        <w:rPr>
          <w:rFonts w:cs="Arial"/>
        </w:rPr>
        <w:t xml:space="preserve">personal essays, </w:t>
      </w:r>
      <w:r w:rsidR="008A0DD2">
        <w:rPr>
          <w:rFonts w:cs="Arial"/>
        </w:rPr>
        <w:t xml:space="preserve">speeches, opinion pieces, </w:t>
      </w:r>
      <w:r>
        <w:rPr>
          <w:rFonts w:cs="Arial"/>
        </w:rPr>
        <w:t>essays about art or literature, biographies, memoirs, journalism, historical, scientific, technical or economic accounts).</w:t>
      </w:r>
    </w:p>
    <w:p w14:paraId="39BA69E0" w14:textId="3414AEDC" w:rsidR="00CA3E03" w:rsidRPr="002F0E3F" w:rsidRDefault="00CA3E03" w:rsidP="009670FC">
      <w:pPr>
        <w:pStyle w:val="ListParagraph"/>
        <w:numPr>
          <w:ilvl w:val="1"/>
          <w:numId w:val="9"/>
        </w:numPr>
        <w:spacing w:after="240"/>
        <w:ind w:left="1062"/>
        <w:contextualSpacing w:val="0"/>
        <w:rPr>
          <w:rFonts w:cs="Arial"/>
        </w:rPr>
      </w:pPr>
      <w:r w:rsidRPr="002F0E3F">
        <w:rPr>
          <w:rFonts w:cs="Arial"/>
        </w:rPr>
        <w:t xml:space="preserve">Provide a rubric for students that outlines the elements required by the genre </w:t>
      </w:r>
      <w:r w:rsidR="00142340">
        <w:rPr>
          <w:rFonts w:cs="Arial"/>
        </w:rPr>
        <w:t xml:space="preserve">(e.g., engaging introduction, main idea, specific text organization, etc.) </w:t>
      </w:r>
      <w:r w:rsidRPr="002F0E3F">
        <w:rPr>
          <w:rFonts w:cs="Arial"/>
        </w:rPr>
        <w:t>to write a proficient example</w:t>
      </w:r>
      <w:r w:rsidR="00142340">
        <w:rPr>
          <w:rFonts w:cs="Arial"/>
        </w:rPr>
        <w:t xml:space="preserve">. The </w:t>
      </w:r>
      <w:proofErr w:type="gramStart"/>
      <w:r w:rsidR="00142340">
        <w:rPr>
          <w:rFonts w:cs="Arial"/>
        </w:rPr>
        <w:t>rubric</w:t>
      </w:r>
      <w:proofErr w:type="gramEnd"/>
      <w:r w:rsidR="00142340">
        <w:rPr>
          <w:rFonts w:cs="Arial"/>
        </w:rPr>
        <w:t xml:space="preserve"> should be based </w:t>
      </w:r>
      <w:r w:rsidR="00B15C75">
        <w:rPr>
          <w:rFonts w:cs="Arial"/>
        </w:rPr>
        <w:t>on</w:t>
      </w:r>
      <w:r w:rsidR="00142340">
        <w:rPr>
          <w:rFonts w:cs="Arial"/>
        </w:rPr>
        <w:t xml:space="preserve"> the standards for the grade level and</w:t>
      </w:r>
      <w:r w:rsidRPr="002F0E3F">
        <w:rPr>
          <w:rFonts w:cs="Arial"/>
        </w:rPr>
        <w:t xml:space="preserve"> identifies what is needed for different levels of writing proficiency.</w:t>
      </w:r>
    </w:p>
    <w:p w14:paraId="6E1B0585" w14:textId="3E62D868" w:rsidR="00DA1724" w:rsidRDefault="00B15C75" w:rsidP="009670FC">
      <w:pPr>
        <w:pStyle w:val="ListParagraph"/>
        <w:numPr>
          <w:ilvl w:val="0"/>
          <w:numId w:val="9"/>
        </w:numPr>
        <w:spacing w:after="240"/>
        <w:ind w:left="720"/>
        <w:rPr>
          <w:rFonts w:cs="Arial"/>
        </w:rPr>
      </w:pPr>
      <w:bookmarkStart w:id="176" w:name="_Toc496195918"/>
      <w:r w:rsidRPr="00B15C75">
        <w:rPr>
          <w:rFonts w:cs="Arial"/>
        </w:rPr>
        <w:t xml:space="preserve">Provide professional learning opportunities for the writing genre selected training teachers the purpose and definition of each genre, the specific text organization </w:t>
      </w:r>
      <w:r w:rsidRPr="00B15C75">
        <w:rPr>
          <w:rFonts w:cs="Arial"/>
        </w:rPr>
        <w:lastRenderedPageBreak/>
        <w:t>for the genre, grade specific standards included in the genre (e.g., sensory language, transitional words and phrases, use narrative techniques such as dialogue, etc.).</w:t>
      </w:r>
    </w:p>
    <w:p w14:paraId="494EC07F" w14:textId="60C072DC" w:rsidR="00197B9A" w:rsidRPr="00197B9A" w:rsidRDefault="00360929" w:rsidP="00197B9A">
      <w:pPr>
        <w:spacing w:after="240"/>
        <w:rPr>
          <w:rFonts w:cs="Arial"/>
        </w:rPr>
      </w:pPr>
      <w:r>
        <w:rPr>
          <w:rFonts w:cs="Arial"/>
        </w:rPr>
        <w:t>Best practices like use of a model text for reading and writing instruction and student-friendly rubrics</w:t>
      </w:r>
      <w:r w:rsidR="006E3D11">
        <w:rPr>
          <w:rFonts w:cs="Arial"/>
        </w:rPr>
        <w:t xml:space="preserve"> further reinforce student learning </w:t>
      </w:r>
      <w:r w:rsidR="008A0DD2">
        <w:rPr>
          <w:rFonts w:cs="Arial"/>
        </w:rPr>
        <w:t>of the purpose, structure and typical language of different genres</w:t>
      </w:r>
      <w:r>
        <w:rPr>
          <w:rFonts w:cs="Arial"/>
        </w:rPr>
        <w:t>.</w:t>
      </w:r>
      <w:r w:rsidR="00197B9A">
        <w:rPr>
          <w:rFonts w:cs="Arial"/>
        </w:rPr>
        <w:t xml:space="preserve"> Th</w:t>
      </w:r>
      <w:r>
        <w:rPr>
          <w:rFonts w:cs="Arial"/>
        </w:rPr>
        <w:t>ese</w:t>
      </w:r>
      <w:r w:rsidR="00197B9A">
        <w:rPr>
          <w:rFonts w:cs="Arial"/>
        </w:rPr>
        <w:t xml:space="preserve"> evidence-based</w:t>
      </w:r>
      <w:r>
        <w:rPr>
          <w:rFonts w:cs="Arial"/>
        </w:rPr>
        <w:t xml:space="preserve"> strategies</w:t>
      </w:r>
      <w:r w:rsidR="00197B9A">
        <w:rPr>
          <w:rFonts w:cs="Arial"/>
        </w:rPr>
        <w:t xml:space="preserve"> illustrate a direct connection to students between reading and writing and </w:t>
      </w:r>
      <w:r w:rsidR="00251FDF">
        <w:rPr>
          <w:rFonts w:cs="Arial"/>
        </w:rPr>
        <w:t>provide</w:t>
      </w:r>
      <w:r w:rsidR="00197B9A">
        <w:rPr>
          <w:rFonts w:cs="Arial"/>
        </w:rPr>
        <w:t xml:space="preserve"> a model for writing for a specific genre. </w:t>
      </w:r>
      <w:r w:rsidR="008A0DD2">
        <w:rPr>
          <w:rFonts w:cs="Arial"/>
        </w:rPr>
        <w:t>MEPs should consider centering p</w:t>
      </w:r>
      <w:r w:rsidR="00197B9A">
        <w:rPr>
          <w:rFonts w:cs="Arial"/>
        </w:rPr>
        <w:t xml:space="preserve">rofessional learning around integrating reading and writing using evidence-based instructional strategies that engage all students of varying abilities. </w:t>
      </w:r>
    </w:p>
    <w:p w14:paraId="0244230C" w14:textId="77777777" w:rsidR="00463E15" w:rsidRPr="002F0E3F" w:rsidRDefault="00C34B84" w:rsidP="007B711B">
      <w:pPr>
        <w:pStyle w:val="Heading3"/>
      </w:pPr>
      <w:bookmarkStart w:id="177" w:name="_Toc188361326"/>
      <w:r w:rsidRPr="002F0E3F">
        <w:t>Mathematics</w:t>
      </w:r>
      <w:bookmarkEnd w:id="176"/>
      <w:bookmarkEnd w:id="177"/>
    </w:p>
    <w:p w14:paraId="0B013FD4" w14:textId="5570A41D" w:rsidR="00EA5FEC" w:rsidRPr="00197B9A" w:rsidRDefault="00C47406" w:rsidP="007B711B">
      <w:pPr>
        <w:spacing w:after="240"/>
        <w:rPr>
          <w:rFonts w:cs="Arial"/>
          <w:color w:val="000000"/>
        </w:rPr>
      </w:pPr>
      <w:r w:rsidRPr="00197B9A">
        <w:rPr>
          <w:rFonts w:cs="Arial"/>
          <w:color w:val="221E1F"/>
        </w:rPr>
        <w:t xml:space="preserve">Mathematics is essential to living in and understanding the world. As the </w:t>
      </w:r>
      <w:r w:rsidRPr="00197B9A">
        <w:rPr>
          <w:rFonts w:cs="Arial"/>
          <w:i/>
          <w:color w:val="221E1F"/>
        </w:rPr>
        <w:t>Mathematics Framework for California Public Schools: Kindergarten Through Twelve</w:t>
      </w:r>
      <w:r w:rsidR="00B3764D" w:rsidRPr="00197B9A">
        <w:rPr>
          <w:rFonts w:cs="Arial"/>
          <w:color w:val="221E1F"/>
        </w:rPr>
        <w:t xml:space="preserve"> (</w:t>
      </w:r>
      <w:r w:rsidR="00267B24" w:rsidRPr="00197B9A">
        <w:rPr>
          <w:rFonts w:cs="Arial"/>
          <w:color w:val="221E1F"/>
        </w:rPr>
        <w:t>Framework) notes,</w:t>
      </w:r>
      <w:r w:rsidRPr="00197B9A">
        <w:rPr>
          <w:rFonts w:cs="Arial"/>
          <w:color w:val="221E1F"/>
        </w:rPr>
        <w:t xml:space="preserve"> we apply mathematics when we check our </w:t>
      </w:r>
      <w:r w:rsidR="00267B24" w:rsidRPr="00197B9A">
        <w:rPr>
          <w:rFonts w:cs="Arial"/>
          <w:color w:val="221E1F"/>
        </w:rPr>
        <w:t>wallets to make a purchase</w:t>
      </w:r>
      <w:r w:rsidRPr="00197B9A">
        <w:rPr>
          <w:rFonts w:cs="Arial"/>
          <w:color w:val="221E1F"/>
        </w:rPr>
        <w:t xml:space="preserve">, measure ingredients </w:t>
      </w:r>
      <w:r w:rsidR="00267B24" w:rsidRPr="00197B9A">
        <w:rPr>
          <w:rFonts w:cs="Arial"/>
          <w:color w:val="221E1F"/>
        </w:rPr>
        <w:t>when we cook</w:t>
      </w:r>
      <w:r w:rsidRPr="00197B9A">
        <w:rPr>
          <w:rFonts w:cs="Arial"/>
          <w:color w:val="221E1F"/>
        </w:rPr>
        <w:t xml:space="preserve"> or evaluate the evidence in a debate on local government spending.</w:t>
      </w:r>
      <w:r w:rsidRPr="00197B9A">
        <w:rPr>
          <w:rStyle w:val="FootnoteReference"/>
          <w:rFonts w:cs="Arial"/>
          <w:color w:val="221E1F"/>
        </w:rPr>
        <w:footnoteReference w:id="12"/>
      </w:r>
      <w:r w:rsidRPr="00197B9A">
        <w:rPr>
          <w:rFonts w:cs="Arial"/>
          <w:color w:val="221E1F"/>
        </w:rPr>
        <w:t xml:space="preserve"> </w:t>
      </w:r>
      <w:r w:rsidR="00EA5FEC" w:rsidRPr="00197B9A">
        <w:rPr>
          <w:rFonts w:cs="Arial"/>
          <w:color w:val="000000"/>
        </w:rPr>
        <w:t xml:space="preserve">Students who learn mathematics based on the California Common Core State Standards Mathematics (CA CCSSM) now </w:t>
      </w:r>
      <w:r w:rsidR="007343AA">
        <w:rPr>
          <w:rFonts w:cs="Arial"/>
          <w:color w:val="000000"/>
        </w:rPr>
        <w:t>have</w:t>
      </w:r>
      <w:r w:rsidR="007343AA" w:rsidRPr="00197B9A">
        <w:rPr>
          <w:rFonts w:cs="Arial"/>
          <w:color w:val="000000"/>
        </w:rPr>
        <w:t xml:space="preserve"> </w:t>
      </w:r>
      <w:r w:rsidR="00EA5FEC" w:rsidRPr="00197B9A">
        <w:rPr>
          <w:rFonts w:cs="Arial"/>
          <w:color w:val="000000"/>
        </w:rPr>
        <w:t>increased language demands during mathematics instruction</w:t>
      </w:r>
      <w:r w:rsidR="00267B24" w:rsidRPr="00197B9A">
        <w:rPr>
          <w:rFonts w:cs="Arial"/>
          <w:color w:val="000000"/>
        </w:rPr>
        <w:t xml:space="preserve"> that reflect the skills necessary to fully participate in today’s world</w:t>
      </w:r>
      <w:r w:rsidR="00EA5FEC" w:rsidRPr="00197B9A">
        <w:rPr>
          <w:rFonts w:cs="Arial"/>
          <w:color w:val="000000"/>
        </w:rPr>
        <w:t xml:space="preserve">. Students are asked to engage in discussions about mathematics topics, explain their reasoning, </w:t>
      </w:r>
      <w:r w:rsidR="00267B24" w:rsidRPr="00197B9A">
        <w:rPr>
          <w:rFonts w:cs="Arial"/>
          <w:color w:val="000000"/>
        </w:rPr>
        <w:t>demonstrate their understanding</w:t>
      </w:r>
      <w:r w:rsidR="00EA5FEC" w:rsidRPr="00197B9A">
        <w:rPr>
          <w:rFonts w:cs="Arial"/>
          <w:color w:val="000000"/>
        </w:rPr>
        <w:t xml:space="preserve"> and listen to and critique the reasoning of others. These increased language demands may pose challenges for all students and even greater challenges for </w:t>
      </w:r>
      <w:r w:rsidR="00002AD4" w:rsidRPr="00197B9A">
        <w:rPr>
          <w:rFonts w:cs="Arial"/>
          <w:color w:val="000000"/>
        </w:rPr>
        <w:t xml:space="preserve">migratory students, especially those who are </w:t>
      </w:r>
      <w:r w:rsidR="00197B9A">
        <w:rPr>
          <w:rFonts w:cs="Arial"/>
          <w:color w:val="000000"/>
        </w:rPr>
        <w:t>multilingual learner students</w:t>
      </w:r>
      <w:r w:rsidR="00002AD4" w:rsidRPr="00197B9A">
        <w:rPr>
          <w:rFonts w:cs="Arial"/>
          <w:color w:val="000000"/>
        </w:rPr>
        <w:t>,</w:t>
      </w:r>
      <w:r w:rsidR="00EA5FEC" w:rsidRPr="00197B9A">
        <w:rPr>
          <w:rFonts w:cs="Arial"/>
          <w:color w:val="000000"/>
        </w:rPr>
        <w:t xml:space="preserve"> and students who </w:t>
      </w:r>
      <w:r w:rsidR="00002AD4" w:rsidRPr="00197B9A">
        <w:rPr>
          <w:rFonts w:cs="Arial"/>
          <w:color w:val="000000"/>
        </w:rPr>
        <w:t>perform</w:t>
      </w:r>
      <w:r w:rsidR="00EA5FEC" w:rsidRPr="00197B9A">
        <w:rPr>
          <w:rFonts w:cs="Arial"/>
          <w:color w:val="000000"/>
        </w:rPr>
        <w:t xml:space="preserve"> below grade level</w:t>
      </w:r>
      <w:r w:rsidR="00002AD4" w:rsidRPr="00197B9A">
        <w:rPr>
          <w:rFonts w:cs="Arial"/>
          <w:color w:val="000000"/>
        </w:rPr>
        <w:t xml:space="preserve"> in reading and writing</w:t>
      </w:r>
      <w:r w:rsidR="00EA5FEC" w:rsidRPr="00197B9A">
        <w:rPr>
          <w:rFonts w:cs="Arial"/>
          <w:color w:val="000000"/>
        </w:rPr>
        <w:t>.</w:t>
      </w:r>
    </w:p>
    <w:p w14:paraId="49FA71E6" w14:textId="7335B034" w:rsidR="00EA5FEC" w:rsidRPr="00197B9A" w:rsidRDefault="00EA5FEC" w:rsidP="007B711B">
      <w:pPr>
        <w:spacing w:after="240"/>
        <w:rPr>
          <w:rFonts w:cs="Arial"/>
          <w:color w:val="000000"/>
        </w:rPr>
      </w:pPr>
      <w:r w:rsidRPr="00197B9A">
        <w:rPr>
          <w:rFonts w:cs="Arial"/>
          <w:color w:val="000000"/>
        </w:rPr>
        <w:t>The CA CCSSM call</w:t>
      </w:r>
      <w:r w:rsidR="007343AA">
        <w:rPr>
          <w:rFonts w:cs="Arial"/>
          <w:color w:val="000000"/>
        </w:rPr>
        <w:t>s</w:t>
      </w:r>
      <w:r w:rsidRPr="00197B9A">
        <w:rPr>
          <w:rFonts w:cs="Arial"/>
          <w:color w:val="000000"/>
        </w:rPr>
        <w:t xml:space="preserve"> for students to describe, explain, demonstrate and understand mathematical content </w:t>
      </w:r>
      <w:r w:rsidR="007343AA">
        <w:rPr>
          <w:rFonts w:cs="Arial"/>
          <w:color w:val="000000"/>
        </w:rPr>
        <w:t>and</w:t>
      </w:r>
      <w:r w:rsidR="007343AA" w:rsidRPr="00197B9A">
        <w:rPr>
          <w:rFonts w:cs="Arial"/>
          <w:color w:val="000000"/>
        </w:rPr>
        <w:t xml:space="preserve"> </w:t>
      </w:r>
      <w:r w:rsidRPr="00197B9A">
        <w:rPr>
          <w:rFonts w:cs="Arial"/>
          <w:color w:val="000000"/>
        </w:rPr>
        <w:t>require</w:t>
      </w:r>
      <w:r w:rsidR="007343AA">
        <w:rPr>
          <w:rFonts w:cs="Arial"/>
          <w:color w:val="000000"/>
        </w:rPr>
        <w:t>s</w:t>
      </w:r>
      <w:r w:rsidRPr="00197B9A">
        <w:rPr>
          <w:rFonts w:cs="Arial"/>
          <w:color w:val="000000"/>
        </w:rPr>
        <w:t xml:space="preserve"> students to engage in speaking and writing about mathematics at all grade levels. Thus, learning how to connect mathematical content to language is imperative.</w:t>
      </w:r>
    </w:p>
    <w:p w14:paraId="27F052C6" w14:textId="4BE83F6C" w:rsidR="00EA5FEC" w:rsidRPr="00197B9A" w:rsidRDefault="00002AD4" w:rsidP="007B711B">
      <w:pPr>
        <w:pStyle w:val="Default"/>
        <w:spacing w:after="240"/>
        <w:rPr>
          <w:rFonts w:ascii="Arial" w:hAnsi="Arial" w:cs="Arial"/>
        </w:rPr>
      </w:pPr>
      <w:r w:rsidRPr="00197B9A">
        <w:rPr>
          <w:rFonts w:ascii="Arial" w:hAnsi="Arial" w:cs="Arial"/>
        </w:rPr>
        <w:t xml:space="preserve">Instruction must </w:t>
      </w:r>
      <w:r w:rsidR="00197B9A" w:rsidRPr="00197B9A">
        <w:rPr>
          <w:rFonts w:ascii="Arial" w:hAnsi="Arial" w:cs="Arial"/>
        </w:rPr>
        <w:t>consider</w:t>
      </w:r>
      <w:r w:rsidRPr="00197B9A">
        <w:rPr>
          <w:rFonts w:ascii="Arial" w:hAnsi="Arial" w:cs="Arial"/>
        </w:rPr>
        <w:t xml:space="preserve"> the students’ mathematical knowledge and skillset as well as their proficiency in English and/or their primary language</w:t>
      </w:r>
      <w:r w:rsidR="00EA5FEC" w:rsidRPr="00197B9A">
        <w:rPr>
          <w:rFonts w:ascii="Arial" w:hAnsi="Arial" w:cs="Arial"/>
        </w:rPr>
        <w:t>. Moschkovich (2</w:t>
      </w:r>
      <w:r w:rsidRPr="00197B9A">
        <w:rPr>
          <w:rFonts w:ascii="Arial" w:hAnsi="Arial" w:cs="Arial"/>
        </w:rPr>
        <w:t>012) cautions that communication through</w:t>
      </w:r>
      <w:r w:rsidR="00EA5FEC" w:rsidRPr="00197B9A">
        <w:rPr>
          <w:rFonts w:ascii="Arial" w:hAnsi="Arial" w:cs="Arial"/>
        </w:rPr>
        <w:t xml:space="preserve"> mathematics is more than learning vocabulary.</w:t>
      </w:r>
      <w:r w:rsidR="00C47406" w:rsidRPr="00197B9A">
        <w:rPr>
          <w:rStyle w:val="FootnoteReference"/>
          <w:rFonts w:ascii="Arial" w:hAnsi="Arial" w:cs="Arial"/>
        </w:rPr>
        <w:footnoteReference w:id="13"/>
      </w:r>
      <w:r w:rsidR="00EA5FEC" w:rsidRPr="00197B9A">
        <w:rPr>
          <w:rFonts w:ascii="Arial" w:hAnsi="Arial" w:cs="Arial"/>
        </w:rPr>
        <w:t xml:space="preserve"> Students </w:t>
      </w:r>
      <w:r w:rsidR="00EA5FEC" w:rsidRPr="00197B9A">
        <w:rPr>
          <w:rFonts w:ascii="Arial" w:hAnsi="Arial" w:cs="Arial"/>
        </w:rPr>
        <w:lastRenderedPageBreak/>
        <w:t>must also be able to participate in discussions</w:t>
      </w:r>
      <w:r w:rsidR="004D1753" w:rsidRPr="00197B9A">
        <w:rPr>
          <w:rFonts w:ascii="Arial" w:hAnsi="Arial" w:cs="Arial"/>
        </w:rPr>
        <w:t xml:space="preserve"> about mathematical ideas, </w:t>
      </w:r>
      <w:r w:rsidR="00197B9A" w:rsidRPr="00197B9A">
        <w:rPr>
          <w:rFonts w:ascii="Arial" w:hAnsi="Arial" w:cs="Arial"/>
        </w:rPr>
        <w:t>generalize</w:t>
      </w:r>
      <w:r w:rsidR="00787C03" w:rsidRPr="00197B9A">
        <w:rPr>
          <w:rFonts w:ascii="Arial" w:hAnsi="Arial" w:cs="Arial"/>
        </w:rPr>
        <w:t>,</w:t>
      </w:r>
      <w:r w:rsidR="00EA5FEC" w:rsidRPr="00197B9A">
        <w:rPr>
          <w:rFonts w:ascii="Arial" w:hAnsi="Arial" w:cs="Arial"/>
        </w:rPr>
        <w:t xml:space="preserve"> and support their claims</w:t>
      </w:r>
      <w:r w:rsidRPr="00197B9A">
        <w:rPr>
          <w:rFonts w:ascii="Arial" w:hAnsi="Arial" w:cs="Arial"/>
        </w:rPr>
        <w:t>.</w:t>
      </w:r>
    </w:p>
    <w:p w14:paraId="49A43266" w14:textId="5180CF63" w:rsidR="00EA5FEC" w:rsidRPr="002F0E3F" w:rsidRDefault="00EA5FEC" w:rsidP="007B711B">
      <w:pPr>
        <w:pStyle w:val="Default"/>
        <w:spacing w:after="240"/>
        <w:rPr>
          <w:rFonts w:ascii="Arial" w:hAnsi="Arial" w:cs="Arial"/>
        </w:rPr>
      </w:pPr>
      <w:r w:rsidRPr="004027AB">
        <w:rPr>
          <w:rFonts w:ascii="Arial" w:hAnsi="Arial" w:cs="Arial"/>
        </w:rPr>
        <w:t xml:space="preserve">Even students </w:t>
      </w:r>
      <w:r w:rsidR="00002AD4" w:rsidRPr="004027AB">
        <w:rPr>
          <w:rFonts w:ascii="Arial" w:hAnsi="Arial" w:cs="Arial"/>
        </w:rPr>
        <w:t>with</w:t>
      </w:r>
      <w:r w:rsidRPr="004027AB">
        <w:rPr>
          <w:rFonts w:ascii="Arial" w:hAnsi="Arial" w:cs="Arial"/>
        </w:rPr>
        <w:t xml:space="preserve"> good conversational English skills may lack the academic language necessary to fully access mathematics curriculum (Francis et al. 2006).</w:t>
      </w:r>
      <w:r w:rsidR="004D1753" w:rsidRPr="004027AB">
        <w:rPr>
          <w:rStyle w:val="FootnoteReference"/>
          <w:rFonts w:ascii="Arial" w:hAnsi="Arial" w:cs="Arial"/>
        </w:rPr>
        <w:footnoteReference w:id="14"/>
      </w:r>
      <w:r w:rsidRPr="004027AB">
        <w:rPr>
          <w:rFonts w:ascii="Arial" w:hAnsi="Arial" w:cs="Arial"/>
        </w:rPr>
        <w:t xml:space="preserve"> Francis et al. (2006) examined research on instruction and intervention in mathematics for </w:t>
      </w:r>
      <w:r w:rsidR="00292B74" w:rsidRPr="004027AB">
        <w:rPr>
          <w:rFonts w:ascii="Arial" w:hAnsi="Arial" w:cs="Arial"/>
        </w:rPr>
        <w:t>EL</w:t>
      </w:r>
      <w:r w:rsidR="004027AB">
        <w:rPr>
          <w:rFonts w:ascii="Arial" w:hAnsi="Arial" w:cs="Arial"/>
        </w:rPr>
        <w:t xml:space="preserve"> </w:t>
      </w:r>
      <w:r w:rsidR="00292B74" w:rsidRPr="004027AB">
        <w:rPr>
          <w:rFonts w:ascii="Arial" w:hAnsi="Arial" w:cs="Arial"/>
        </w:rPr>
        <w:t>s</w:t>
      </w:r>
      <w:r w:rsidR="004027AB">
        <w:rPr>
          <w:rFonts w:ascii="Arial" w:hAnsi="Arial" w:cs="Arial"/>
        </w:rPr>
        <w:t>tudents</w:t>
      </w:r>
      <w:r w:rsidRPr="004027AB">
        <w:rPr>
          <w:rFonts w:ascii="Arial" w:hAnsi="Arial" w:cs="Arial"/>
        </w:rPr>
        <w:t xml:space="preserve">. The consensus among the researchers was that a lack of development of academic language is a primary cause of </w:t>
      </w:r>
      <w:r w:rsidR="004027AB">
        <w:rPr>
          <w:rFonts w:ascii="Arial" w:hAnsi="Arial" w:cs="Arial"/>
        </w:rPr>
        <w:t>EL students’</w:t>
      </w:r>
      <w:r w:rsidRPr="004027AB">
        <w:rPr>
          <w:rFonts w:ascii="Arial" w:hAnsi="Arial" w:cs="Arial"/>
        </w:rPr>
        <w:t xml:space="preserve"> academic difficulties and that more attention needs to be paid to the development of academic language. Like Moschkovich, Francis et al. (2006) </w:t>
      </w:r>
      <w:r w:rsidR="00A85878" w:rsidRPr="004027AB">
        <w:rPr>
          <w:rFonts w:ascii="Arial" w:hAnsi="Arial" w:cs="Arial"/>
        </w:rPr>
        <w:t>notes</w:t>
      </w:r>
      <w:r w:rsidRPr="004027AB">
        <w:rPr>
          <w:rFonts w:ascii="Arial" w:hAnsi="Arial" w:cs="Arial"/>
        </w:rPr>
        <w:t xml:space="preserve"> that understanding and using academic language involve</w:t>
      </w:r>
      <w:r w:rsidR="00A85878" w:rsidRPr="004027AB">
        <w:rPr>
          <w:rFonts w:ascii="Arial" w:hAnsi="Arial" w:cs="Arial"/>
        </w:rPr>
        <w:t>s</w:t>
      </w:r>
      <w:r w:rsidRPr="004027AB">
        <w:rPr>
          <w:rFonts w:ascii="Arial" w:hAnsi="Arial" w:cs="Arial"/>
        </w:rPr>
        <w:t xml:space="preserve"> many </w:t>
      </w:r>
      <w:r w:rsidR="00A54FEE" w:rsidRPr="004027AB">
        <w:rPr>
          <w:rFonts w:ascii="Arial" w:hAnsi="Arial" w:cs="Arial"/>
        </w:rPr>
        <w:t>skills, which</w:t>
      </w:r>
      <w:r w:rsidRPr="004027AB">
        <w:rPr>
          <w:rFonts w:ascii="Arial" w:hAnsi="Arial" w:cs="Arial"/>
        </w:rPr>
        <w:t xml:space="preserve"> include using increasingly complex words, </w:t>
      </w:r>
      <w:r w:rsidR="00A85878" w:rsidRPr="004027AB">
        <w:rPr>
          <w:rFonts w:ascii="Arial" w:hAnsi="Arial" w:cs="Arial"/>
        </w:rPr>
        <w:t>correctly</w:t>
      </w:r>
      <w:r w:rsidRPr="004027AB">
        <w:rPr>
          <w:rFonts w:ascii="Arial" w:hAnsi="Arial" w:cs="Arial"/>
        </w:rPr>
        <w:t xml:space="preserve"> using sentence structures and syntax, underst</w:t>
      </w:r>
      <w:r w:rsidR="00A85878" w:rsidRPr="004027AB">
        <w:rPr>
          <w:rFonts w:ascii="Arial" w:hAnsi="Arial" w:cs="Arial"/>
        </w:rPr>
        <w:t>anding text</w:t>
      </w:r>
      <w:r w:rsidR="00593766" w:rsidRPr="004027AB">
        <w:rPr>
          <w:rFonts w:ascii="Arial" w:hAnsi="Arial" w:cs="Arial"/>
        </w:rPr>
        <w:t xml:space="preserve"> organization </w:t>
      </w:r>
      <w:r w:rsidRPr="004027AB">
        <w:rPr>
          <w:rFonts w:ascii="Arial" w:hAnsi="Arial" w:cs="Arial"/>
        </w:rPr>
        <w:t xml:space="preserve">and producing </w:t>
      </w:r>
      <w:r w:rsidR="00A85878" w:rsidRPr="004027AB">
        <w:rPr>
          <w:rFonts w:ascii="Arial" w:hAnsi="Arial" w:cs="Arial"/>
        </w:rPr>
        <w:t>grade, and content, appropriate writing.</w:t>
      </w:r>
    </w:p>
    <w:p w14:paraId="3B2E3CEF" w14:textId="7E25A6F2" w:rsidR="006821A8" w:rsidRPr="002F0E3F" w:rsidRDefault="006821A8" w:rsidP="007B711B">
      <w:pPr>
        <w:pStyle w:val="Heading4"/>
      </w:pPr>
      <w:r w:rsidRPr="002F0E3F">
        <w:t xml:space="preserve">Key Data Points from </w:t>
      </w:r>
      <w:r w:rsidR="006450FC">
        <w:t>C</w:t>
      </w:r>
      <w:r w:rsidR="005137E7">
        <w:t>ommittee</w:t>
      </w:r>
      <w:r w:rsidRPr="002F0E3F">
        <w:t xml:space="preserve"> Discussions</w:t>
      </w:r>
    </w:p>
    <w:p w14:paraId="1F0FAD62" w14:textId="3A15027B" w:rsidR="00D05F66" w:rsidRDefault="00D05F66" w:rsidP="007B711B">
      <w:pPr>
        <w:spacing w:after="240"/>
        <w:rPr>
          <w:rFonts w:cs="Arial"/>
        </w:rPr>
      </w:pPr>
      <w:r>
        <w:rPr>
          <w:rFonts w:cs="Arial"/>
        </w:rPr>
        <w:t xml:space="preserve">After reviewing the overall math achievement and all claim data, the Math </w:t>
      </w:r>
      <w:r w:rsidR="008376CA">
        <w:rPr>
          <w:rFonts w:cs="Arial"/>
        </w:rPr>
        <w:t>s</w:t>
      </w:r>
      <w:r>
        <w:rPr>
          <w:rFonts w:cs="Arial"/>
        </w:rPr>
        <w:t xml:space="preserve">ubcommittee </w:t>
      </w:r>
      <w:r w:rsidR="00D44913">
        <w:rPr>
          <w:rFonts w:cs="Arial"/>
        </w:rPr>
        <w:t>finalized their top two concerns for</w:t>
      </w:r>
      <w:r>
        <w:rPr>
          <w:rFonts w:cs="Arial"/>
        </w:rPr>
        <w:t xml:space="preserve"> overall math achievement and proficiency in </w:t>
      </w:r>
      <w:r w:rsidR="00D44913">
        <w:rPr>
          <w:rFonts w:cs="Arial"/>
        </w:rPr>
        <w:t>c</w:t>
      </w:r>
      <w:r>
        <w:rPr>
          <w:rFonts w:cs="Arial"/>
        </w:rPr>
        <w:t xml:space="preserve">oncepts and </w:t>
      </w:r>
      <w:r w:rsidR="00D44913">
        <w:rPr>
          <w:rFonts w:cs="Arial"/>
        </w:rPr>
        <w:t>p</w:t>
      </w:r>
      <w:r>
        <w:rPr>
          <w:rFonts w:cs="Arial"/>
        </w:rPr>
        <w:t>rocedures</w:t>
      </w:r>
      <w:r w:rsidR="00D44913">
        <w:rPr>
          <w:rFonts w:cs="Arial"/>
        </w:rPr>
        <w:t xml:space="preserve"> (math claim 1)</w:t>
      </w:r>
      <w:r>
        <w:rPr>
          <w:rFonts w:cs="Arial"/>
        </w:rPr>
        <w:t xml:space="preserve">. The following key data points reflect the subcommittee’s discussion around the data for these two </w:t>
      </w:r>
      <w:r w:rsidR="00194648">
        <w:rPr>
          <w:rFonts w:cs="Arial"/>
        </w:rPr>
        <w:t>figure</w:t>
      </w:r>
      <w:r>
        <w:rPr>
          <w:rFonts w:cs="Arial"/>
        </w:rPr>
        <w:t xml:space="preserve">s. </w:t>
      </w:r>
    </w:p>
    <w:p w14:paraId="227591CD" w14:textId="2A9C21F9" w:rsidR="00502711" w:rsidRDefault="00194648" w:rsidP="00502711">
      <w:pPr>
        <w:spacing w:after="240"/>
        <w:rPr>
          <w:rFonts w:cs="Arial"/>
        </w:rPr>
      </w:pPr>
      <w:r>
        <w:rPr>
          <w:rFonts w:cs="Arial"/>
        </w:rPr>
        <w:t>Figure</w:t>
      </w:r>
      <w:r w:rsidR="002D639A" w:rsidRPr="00502711">
        <w:rPr>
          <w:rFonts w:cs="Arial"/>
        </w:rPr>
        <w:t xml:space="preserve"> 1</w:t>
      </w:r>
      <w:r w:rsidR="004B26DA">
        <w:rPr>
          <w:rFonts w:cs="Arial"/>
        </w:rPr>
        <w:t>3</w:t>
      </w:r>
      <w:r w:rsidR="00FF2831" w:rsidRPr="00502711">
        <w:rPr>
          <w:rFonts w:cs="Arial"/>
        </w:rPr>
        <w:t xml:space="preserve"> (p. </w:t>
      </w:r>
      <w:r w:rsidR="00502711" w:rsidRPr="00502711">
        <w:rPr>
          <w:rFonts w:cs="Arial"/>
        </w:rPr>
        <w:t>34</w:t>
      </w:r>
      <w:r w:rsidR="006D518E" w:rsidRPr="00502711">
        <w:rPr>
          <w:rFonts w:cs="Arial"/>
        </w:rPr>
        <w:t>)</w:t>
      </w:r>
      <w:r w:rsidR="006821A8" w:rsidRPr="00502711">
        <w:rPr>
          <w:rFonts w:cs="Arial"/>
        </w:rPr>
        <w:t xml:space="preserve"> </w:t>
      </w:r>
      <w:r w:rsidR="00D05F66">
        <w:t>Percentage</w:t>
      </w:r>
      <w:r w:rsidR="00D05F66" w:rsidRPr="00502711">
        <w:rPr>
          <w:rFonts w:cs="Arial"/>
        </w:rPr>
        <w:t xml:space="preserve"> of </w:t>
      </w:r>
      <w:r w:rsidR="00D05F66">
        <w:t>All Students, Migratory Students, and Migratory Priority-for-Service Students</w:t>
      </w:r>
      <w:r w:rsidR="00D05F66" w:rsidRPr="00502711">
        <w:rPr>
          <w:rFonts w:cs="Arial"/>
        </w:rPr>
        <w:t xml:space="preserve"> Scoring at Standard Met or Exceeded for Overall Achievement </w:t>
      </w:r>
      <w:r w:rsidR="00D05F66" w:rsidRPr="00E64994">
        <w:t xml:space="preserve">on </w:t>
      </w:r>
      <w:r w:rsidR="00D05F66" w:rsidRPr="00502711">
        <w:rPr>
          <w:rFonts w:cs="Arial"/>
        </w:rPr>
        <w:t>California’s Mathematics Assessment for All Grades, School Years 2017–18, 2018–19, 2021–22, and 2022–23</w:t>
      </w:r>
      <w:r w:rsidR="003B7767" w:rsidRPr="00502711">
        <w:rPr>
          <w:rFonts w:cs="Arial"/>
        </w:rPr>
        <w:t xml:space="preserve"> demonstrate</w:t>
      </w:r>
      <w:r w:rsidR="00D05F66" w:rsidRPr="00502711">
        <w:rPr>
          <w:rFonts w:cs="Arial"/>
        </w:rPr>
        <w:t>s</w:t>
      </w:r>
      <w:r w:rsidR="00DA0536" w:rsidRPr="00502711">
        <w:rPr>
          <w:rFonts w:cs="Arial"/>
        </w:rPr>
        <w:t xml:space="preserve"> th</w:t>
      </w:r>
      <w:r w:rsidR="00D05F66" w:rsidRPr="00502711">
        <w:rPr>
          <w:rFonts w:cs="Arial"/>
        </w:rPr>
        <w:t>e following data</w:t>
      </w:r>
      <w:r w:rsidR="00DA0536" w:rsidRPr="00502711">
        <w:rPr>
          <w:rFonts w:cs="Arial"/>
        </w:rPr>
        <w:t>:</w:t>
      </w:r>
      <w:bookmarkStart w:id="178" w:name="_Hlk178607770"/>
    </w:p>
    <w:p w14:paraId="761F9464" w14:textId="2914B30A" w:rsidR="002D639A" w:rsidRPr="00211B00" w:rsidRDefault="002D639A" w:rsidP="00502711">
      <w:pPr>
        <w:pStyle w:val="ListParagraph"/>
        <w:numPr>
          <w:ilvl w:val="0"/>
          <w:numId w:val="65"/>
        </w:numPr>
        <w:spacing w:after="240"/>
      </w:pPr>
      <w:r w:rsidRPr="00502711">
        <w:rPr>
          <w:rFonts w:cs="Arial"/>
        </w:rPr>
        <w:t xml:space="preserve">While the achievement gap for the CAASPP </w:t>
      </w:r>
      <w:r w:rsidR="00502711">
        <w:rPr>
          <w:rFonts w:cs="Arial"/>
        </w:rPr>
        <w:t>o</w:t>
      </w:r>
      <w:r w:rsidRPr="00502711">
        <w:rPr>
          <w:rFonts w:cs="Arial"/>
        </w:rPr>
        <w:t xml:space="preserve">verall </w:t>
      </w:r>
      <w:r w:rsidR="00502711">
        <w:rPr>
          <w:rFonts w:cs="Arial"/>
        </w:rPr>
        <w:t>m</w:t>
      </w:r>
      <w:r w:rsidRPr="00502711">
        <w:rPr>
          <w:rFonts w:cs="Arial"/>
        </w:rPr>
        <w:t xml:space="preserve">ath </w:t>
      </w:r>
      <w:r w:rsidR="00502711">
        <w:rPr>
          <w:rFonts w:cs="Arial"/>
        </w:rPr>
        <w:t>s</w:t>
      </w:r>
      <w:r w:rsidRPr="00502711">
        <w:rPr>
          <w:rFonts w:cs="Arial"/>
        </w:rPr>
        <w:t xml:space="preserve">tandards has remained </w:t>
      </w:r>
      <w:proofErr w:type="gramStart"/>
      <w:r w:rsidRPr="00502711">
        <w:rPr>
          <w:rFonts w:cs="Arial"/>
        </w:rPr>
        <w:t>fairly consistent</w:t>
      </w:r>
      <w:proofErr w:type="gramEnd"/>
      <w:r w:rsidRPr="00502711">
        <w:rPr>
          <w:rFonts w:cs="Arial"/>
        </w:rPr>
        <w:t xml:space="preserve"> from 2018–19 through 2022–23, the largest </w:t>
      </w:r>
      <w:r w:rsidRPr="00211B00">
        <w:t xml:space="preserve">achievement gap of 20.3 percentage points was recorded in SY 2022–23. </w:t>
      </w:r>
      <w:r w:rsidRPr="00502711">
        <w:rPr>
          <w:rFonts w:cs="Arial"/>
        </w:rPr>
        <w:t xml:space="preserve"> </w:t>
      </w:r>
    </w:p>
    <w:p w14:paraId="348CC507" w14:textId="7C1443B3" w:rsidR="002D639A" w:rsidRDefault="002D639A" w:rsidP="009670FC">
      <w:pPr>
        <w:pStyle w:val="List-Level1"/>
        <w:numPr>
          <w:ilvl w:val="0"/>
          <w:numId w:val="46"/>
        </w:numPr>
        <w:spacing w:after="240" w:line="240" w:lineRule="auto"/>
        <w:rPr>
          <w:color w:val="auto"/>
        </w:rPr>
      </w:pPr>
      <w:r>
        <w:rPr>
          <w:color w:val="auto"/>
        </w:rPr>
        <w:t>In 2022–23, 14.3</w:t>
      </w:r>
      <w:r w:rsidR="002C0BDD">
        <w:t> </w:t>
      </w:r>
      <w:r>
        <w:rPr>
          <w:color w:val="auto"/>
        </w:rPr>
        <w:t xml:space="preserve">percent of migratory students met or exceeded the CAASPP </w:t>
      </w:r>
      <w:r w:rsidR="00502711">
        <w:rPr>
          <w:color w:val="auto"/>
        </w:rPr>
        <w:t>o</w:t>
      </w:r>
      <w:r>
        <w:rPr>
          <w:color w:val="auto"/>
        </w:rPr>
        <w:t xml:space="preserve">verall </w:t>
      </w:r>
      <w:r w:rsidR="00502711">
        <w:rPr>
          <w:color w:val="auto"/>
        </w:rPr>
        <w:t>m</w:t>
      </w:r>
      <w:r>
        <w:rPr>
          <w:color w:val="auto"/>
        </w:rPr>
        <w:t xml:space="preserve">ath </w:t>
      </w:r>
      <w:r w:rsidR="00502711">
        <w:rPr>
          <w:color w:val="auto"/>
        </w:rPr>
        <w:t>s</w:t>
      </w:r>
      <w:r>
        <w:rPr>
          <w:color w:val="auto"/>
        </w:rPr>
        <w:t>tandards while 34.6</w:t>
      </w:r>
      <w:r w:rsidR="002C0BDD">
        <w:t> </w:t>
      </w:r>
      <w:r>
        <w:rPr>
          <w:color w:val="auto"/>
        </w:rPr>
        <w:t xml:space="preserve">percent of all students met or exceeded the overall math standards. </w:t>
      </w:r>
    </w:p>
    <w:p w14:paraId="176F6B65" w14:textId="77777777" w:rsidR="002D639A" w:rsidRPr="00211B00" w:rsidRDefault="002D639A" w:rsidP="009670FC">
      <w:pPr>
        <w:pStyle w:val="List-Level1"/>
        <w:numPr>
          <w:ilvl w:val="0"/>
          <w:numId w:val="46"/>
        </w:numPr>
        <w:spacing w:after="240" w:line="240" w:lineRule="auto"/>
        <w:rPr>
          <w:color w:val="auto"/>
        </w:rPr>
      </w:pPr>
      <w:r w:rsidRPr="00211B00">
        <w:rPr>
          <w:color w:val="auto"/>
        </w:rPr>
        <w:t>In 2022–23, migratory PFS students were 27.8 percentage points less likely than all students to score at standard met or standard exceeded. Migratory students overall were 20.3 percentage points less likely than all students to score at standard met or standard exceede</w:t>
      </w:r>
      <w:r w:rsidRPr="000C0CC2">
        <w:rPr>
          <w:color w:val="auto"/>
        </w:rPr>
        <w:t>d.</w:t>
      </w:r>
    </w:p>
    <w:bookmarkEnd w:id="178"/>
    <w:p w14:paraId="155E0710" w14:textId="0342C9F9" w:rsidR="006D518E" w:rsidRPr="001703F5" w:rsidRDefault="00194648" w:rsidP="00A73C2D">
      <w:pPr>
        <w:pStyle w:val="Caption"/>
        <w:spacing w:after="240"/>
        <w:rPr>
          <w:b w:val="0"/>
          <w:bCs/>
          <w:sz w:val="24"/>
          <w:szCs w:val="24"/>
        </w:rPr>
      </w:pPr>
      <w:r>
        <w:rPr>
          <w:b w:val="0"/>
          <w:bCs/>
          <w:sz w:val="24"/>
          <w:szCs w:val="24"/>
        </w:rPr>
        <w:t>Figure</w:t>
      </w:r>
      <w:r w:rsidR="002D639A" w:rsidRPr="001703F5">
        <w:rPr>
          <w:b w:val="0"/>
          <w:bCs/>
          <w:sz w:val="24"/>
          <w:szCs w:val="24"/>
        </w:rPr>
        <w:t xml:space="preserve"> 1</w:t>
      </w:r>
      <w:r w:rsidR="004B26DA">
        <w:rPr>
          <w:b w:val="0"/>
          <w:bCs/>
          <w:sz w:val="24"/>
          <w:szCs w:val="24"/>
        </w:rPr>
        <w:t>4</w:t>
      </w:r>
      <w:r w:rsidR="00A73C2D">
        <w:rPr>
          <w:b w:val="0"/>
          <w:bCs/>
          <w:sz w:val="24"/>
          <w:szCs w:val="24"/>
        </w:rPr>
        <w:t xml:space="preserve"> </w:t>
      </w:r>
      <w:r w:rsidR="00FF2831" w:rsidRPr="001703F5">
        <w:rPr>
          <w:b w:val="0"/>
          <w:bCs/>
          <w:sz w:val="24"/>
          <w:szCs w:val="24"/>
        </w:rPr>
        <w:t xml:space="preserve">(p. </w:t>
      </w:r>
      <w:r w:rsidR="002D639A" w:rsidRPr="001703F5">
        <w:rPr>
          <w:b w:val="0"/>
          <w:bCs/>
          <w:sz w:val="24"/>
          <w:szCs w:val="24"/>
        </w:rPr>
        <w:t>3</w:t>
      </w:r>
      <w:r w:rsidR="00502711">
        <w:rPr>
          <w:b w:val="0"/>
          <w:bCs/>
          <w:sz w:val="24"/>
          <w:szCs w:val="24"/>
        </w:rPr>
        <w:t>6</w:t>
      </w:r>
      <w:r w:rsidR="006D518E" w:rsidRPr="001703F5">
        <w:rPr>
          <w:b w:val="0"/>
          <w:bCs/>
          <w:sz w:val="24"/>
          <w:szCs w:val="24"/>
        </w:rPr>
        <w:t xml:space="preserve">) </w:t>
      </w:r>
      <w:r w:rsidR="001703F5" w:rsidRPr="001703F5">
        <w:rPr>
          <w:b w:val="0"/>
          <w:bCs/>
          <w:sz w:val="24"/>
          <w:szCs w:val="24"/>
        </w:rPr>
        <w:t xml:space="preserve">Percentage of All Students, Migratory Students, and Migratory Priority-for-Service Students Scoring </w:t>
      </w:r>
      <w:r w:rsidR="00D55EE4">
        <w:rPr>
          <w:b w:val="0"/>
          <w:bCs/>
          <w:sz w:val="24"/>
          <w:szCs w:val="24"/>
        </w:rPr>
        <w:t>above standard</w:t>
      </w:r>
      <w:r w:rsidR="001703F5" w:rsidRPr="001703F5">
        <w:rPr>
          <w:b w:val="0"/>
          <w:bCs/>
          <w:sz w:val="24"/>
          <w:szCs w:val="24"/>
        </w:rPr>
        <w:t xml:space="preserve"> on the Mathematics Concepts and </w:t>
      </w:r>
      <w:r w:rsidR="001703F5" w:rsidRPr="001703F5">
        <w:rPr>
          <w:b w:val="0"/>
          <w:bCs/>
          <w:sz w:val="24"/>
          <w:szCs w:val="24"/>
        </w:rPr>
        <w:lastRenderedPageBreak/>
        <w:t xml:space="preserve">Procedures Claim for All Grades, School Years 2017–18, 2018–19, 2021–22, and 2022–23 </w:t>
      </w:r>
      <w:r w:rsidR="006D518E" w:rsidRPr="001703F5">
        <w:rPr>
          <w:b w:val="0"/>
          <w:bCs/>
          <w:sz w:val="24"/>
          <w:szCs w:val="24"/>
        </w:rPr>
        <w:t>show that:</w:t>
      </w:r>
    </w:p>
    <w:p w14:paraId="7ABBD4D6" w14:textId="3F4A53E1" w:rsidR="002D639A" w:rsidRDefault="002D639A" w:rsidP="009670FC">
      <w:pPr>
        <w:pStyle w:val="ListParagraph"/>
        <w:numPr>
          <w:ilvl w:val="0"/>
          <w:numId w:val="46"/>
        </w:numPr>
        <w:spacing w:after="240"/>
        <w:contextualSpacing w:val="0"/>
        <w:rPr>
          <w:rFonts w:cs="Arial"/>
        </w:rPr>
      </w:pPr>
      <w:r>
        <w:rPr>
          <w:rFonts w:cs="Arial"/>
        </w:rPr>
        <w:t>Just over 19</w:t>
      </w:r>
      <w:r w:rsidR="002C0BDD">
        <w:t> </w:t>
      </w:r>
      <w:r>
        <w:rPr>
          <w:rFonts w:cs="Arial"/>
        </w:rPr>
        <w:t>percent of all students, 5.8</w:t>
      </w:r>
      <w:r w:rsidR="002C0BDD">
        <w:t> </w:t>
      </w:r>
      <w:r>
        <w:rPr>
          <w:rFonts w:cs="Arial"/>
        </w:rPr>
        <w:t>percent of migratory students, and 2.2</w:t>
      </w:r>
      <w:r w:rsidR="002C0BDD">
        <w:t> </w:t>
      </w:r>
      <w:r>
        <w:rPr>
          <w:rFonts w:cs="Arial"/>
        </w:rPr>
        <w:t xml:space="preserve">percent of migratory PFS students scored </w:t>
      </w:r>
      <w:r w:rsidR="00D55EE4">
        <w:rPr>
          <w:rFonts w:cs="Arial"/>
        </w:rPr>
        <w:t>above standard</w:t>
      </w:r>
      <w:r>
        <w:rPr>
          <w:rFonts w:cs="Arial"/>
        </w:rPr>
        <w:t xml:space="preserve"> on the </w:t>
      </w:r>
      <w:proofErr w:type="gramStart"/>
      <w:r>
        <w:rPr>
          <w:rFonts w:cs="Arial"/>
        </w:rPr>
        <w:t>Mathematics</w:t>
      </w:r>
      <w:proofErr w:type="gramEnd"/>
      <w:r>
        <w:rPr>
          <w:rFonts w:cs="Arial"/>
        </w:rPr>
        <w:t xml:space="preserve"> </w:t>
      </w:r>
      <w:r w:rsidR="009C588B">
        <w:rPr>
          <w:rFonts w:cs="Arial"/>
        </w:rPr>
        <w:t>c</w:t>
      </w:r>
      <w:r>
        <w:rPr>
          <w:rFonts w:cs="Arial"/>
        </w:rPr>
        <w:t xml:space="preserve">oncepts and </w:t>
      </w:r>
      <w:r w:rsidR="009C588B">
        <w:rPr>
          <w:rFonts w:cs="Arial"/>
        </w:rPr>
        <w:t>p</w:t>
      </w:r>
      <w:r>
        <w:rPr>
          <w:rFonts w:cs="Arial"/>
        </w:rPr>
        <w:t xml:space="preserve">rocedures </w:t>
      </w:r>
      <w:r w:rsidR="009C588B">
        <w:rPr>
          <w:rFonts w:cs="Arial"/>
        </w:rPr>
        <w:t>c</w:t>
      </w:r>
      <w:r>
        <w:rPr>
          <w:rFonts w:cs="Arial"/>
        </w:rPr>
        <w:t>laim for all grades.</w:t>
      </w:r>
    </w:p>
    <w:p w14:paraId="12E10803" w14:textId="08F04FF2" w:rsidR="002D639A" w:rsidRDefault="002D639A" w:rsidP="009670FC">
      <w:pPr>
        <w:pStyle w:val="ListParagraph"/>
        <w:numPr>
          <w:ilvl w:val="0"/>
          <w:numId w:val="46"/>
        </w:numPr>
        <w:spacing w:after="160" w:line="259" w:lineRule="auto"/>
        <w:rPr>
          <w:rFonts w:cs="Arial"/>
        </w:rPr>
      </w:pPr>
      <w:r w:rsidRPr="006A65F2">
        <w:rPr>
          <w:rFonts w:cs="Arial"/>
        </w:rPr>
        <w:t xml:space="preserve">In SY 2022–23, migratory PFS students were 17.1 percentage points less likely than all students to score at </w:t>
      </w:r>
      <w:r w:rsidR="00D55EE4">
        <w:rPr>
          <w:rFonts w:cs="Arial"/>
        </w:rPr>
        <w:t>above standard</w:t>
      </w:r>
      <w:r w:rsidRPr="006A65F2">
        <w:rPr>
          <w:rFonts w:cs="Arial"/>
        </w:rPr>
        <w:t xml:space="preserve">, and migratory students overall were 13.5 percentage points less likely than all students to score at </w:t>
      </w:r>
      <w:r w:rsidR="00D55EE4">
        <w:rPr>
          <w:rFonts w:cs="Arial"/>
        </w:rPr>
        <w:t>above standard</w:t>
      </w:r>
      <w:r w:rsidRPr="006A65F2">
        <w:rPr>
          <w:rFonts w:cs="Arial"/>
        </w:rPr>
        <w:t>.</w:t>
      </w:r>
    </w:p>
    <w:p w14:paraId="4423634C" w14:textId="542D9F51" w:rsidR="00A73C2D" w:rsidRPr="00D54E2C" w:rsidRDefault="00D54E2C" w:rsidP="00D54E2C">
      <w:pPr>
        <w:pStyle w:val="pf0"/>
        <w:rPr>
          <w:rFonts w:ascii="Arial" w:hAnsi="Arial" w:cs="Arial"/>
          <w:lang w:val="en-US"/>
        </w:rPr>
      </w:pPr>
      <w:r w:rsidRPr="00D54E2C">
        <w:rPr>
          <w:rStyle w:val="cf01"/>
          <w:rFonts w:ascii="Arial" w:hAnsi="Arial" w:cs="Arial"/>
          <w:sz w:val="24"/>
          <w:szCs w:val="24"/>
          <w:lang w:val="en-US"/>
        </w:rPr>
        <w:t>The following concern statements, need statements and initial strategies address these key data points</w:t>
      </w:r>
      <w:r w:rsidR="00A73C2D" w:rsidRPr="00D54E2C">
        <w:rPr>
          <w:rFonts w:ascii="Arial" w:hAnsi="Arial" w:cs="Arial"/>
          <w:lang w:val="en-US"/>
        </w:rPr>
        <w:t xml:space="preserve"> for the </w:t>
      </w:r>
      <w:proofErr w:type="gramStart"/>
      <w:r w:rsidR="00A73C2D" w:rsidRPr="00D54E2C">
        <w:rPr>
          <w:rFonts w:ascii="Arial" w:hAnsi="Arial" w:cs="Arial"/>
          <w:lang w:val="en-US"/>
        </w:rPr>
        <w:t>Mathematics</w:t>
      </w:r>
      <w:proofErr w:type="gramEnd"/>
      <w:r w:rsidR="00A73C2D" w:rsidRPr="00D54E2C">
        <w:rPr>
          <w:rFonts w:ascii="Arial" w:hAnsi="Arial" w:cs="Arial"/>
          <w:lang w:val="en-US"/>
        </w:rPr>
        <w:t xml:space="preserve"> focus area.</w:t>
      </w:r>
    </w:p>
    <w:p w14:paraId="1CF6ABE2" w14:textId="656D7134" w:rsidR="005F0DA4" w:rsidRPr="002F0E3F" w:rsidRDefault="005F0DA4" w:rsidP="007B711B">
      <w:pPr>
        <w:pStyle w:val="Heading4"/>
      </w:pPr>
      <w:r w:rsidRPr="002F0E3F">
        <w:t>Math</w:t>
      </w:r>
      <w:r w:rsidR="001703F5">
        <w:t>ematics</w:t>
      </w:r>
      <w:r w:rsidR="00E4537B" w:rsidRPr="002F0E3F">
        <w:t>:</w:t>
      </w:r>
      <w:r w:rsidRPr="002F0E3F">
        <w:t xml:space="preserve"> Concern Statement #1</w:t>
      </w:r>
    </w:p>
    <w:p w14:paraId="3E2CB3CD" w14:textId="1F92D271" w:rsidR="005F0DA4" w:rsidRPr="002F0E3F" w:rsidRDefault="005F0DA4" w:rsidP="007B711B">
      <w:pPr>
        <w:spacing w:after="240"/>
        <w:rPr>
          <w:rFonts w:cs="Arial"/>
        </w:rPr>
      </w:pPr>
      <w:r w:rsidRPr="002F0E3F">
        <w:rPr>
          <w:rFonts w:cs="Arial"/>
        </w:rPr>
        <w:t xml:space="preserve">The Math </w:t>
      </w:r>
      <w:r w:rsidR="00251FDF">
        <w:rPr>
          <w:rFonts w:cs="Arial"/>
        </w:rPr>
        <w:t>s</w:t>
      </w:r>
      <w:r w:rsidRPr="002F0E3F">
        <w:rPr>
          <w:rFonts w:cs="Arial"/>
        </w:rPr>
        <w:t>ubcommittee</w:t>
      </w:r>
      <w:r w:rsidR="00E17DAC">
        <w:rPr>
          <w:rFonts w:cs="Arial"/>
        </w:rPr>
        <w:t xml:space="preserve"> </w:t>
      </w:r>
      <w:r w:rsidRPr="002F0E3F">
        <w:rPr>
          <w:rFonts w:cs="Arial"/>
        </w:rPr>
        <w:t>noted</w:t>
      </w:r>
      <w:r w:rsidR="00E17DAC">
        <w:rPr>
          <w:rFonts w:cs="Arial"/>
        </w:rPr>
        <w:t xml:space="preserve"> similar concerns in math as the ELA </w:t>
      </w:r>
      <w:r w:rsidR="00F8556E">
        <w:rPr>
          <w:rFonts w:cs="Arial"/>
        </w:rPr>
        <w:t>Subcommittee</w:t>
      </w:r>
      <w:r w:rsidR="00E17DAC">
        <w:rPr>
          <w:rFonts w:cs="Arial"/>
        </w:rPr>
        <w:t xml:space="preserve"> did in ELA prioritizing overall proficiency and foundational skills. The subcommittee saw</w:t>
      </w:r>
      <w:r w:rsidR="004027AB">
        <w:rPr>
          <w:rFonts w:cs="Arial"/>
        </w:rPr>
        <w:t xml:space="preserve"> a</w:t>
      </w:r>
      <w:r w:rsidRPr="002F0E3F">
        <w:rPr>
          <w:rFonts w:cs="Arial"/>
        </w:rPr>
        <w:t xml:space="preserve"> </w:t>
      </w:r>
      <w:r w:rsidR="004027AB">
        <w:rPr>
          <w:rFonts w:cs="Arial"/>
        </w:rPr>
        <w:t>persistent gap</w:t>
      </w:r>
      <w:r w:rsidRPr="002F0E3F">
        <w:rPr>
          <w:rFonts w:cs="Arial"/>
        </w:rPr>
        <w:t xml:space="preserve"> </w:t>
      </w:r>
      <w:r w:rsidR="00E17DAC">
        <w:rPr>
          <w:rFonts w:cs="Arial"/>
        </w:rPr>
        <w:t>i</w:t>
      </w:r>
      <w:r w:rsidR="004027AB">
        <w:rPr>
          <w:rFonts w:cs="Arial"/>
        </w:rPr>
        <w:t xml:space="preserve">n the CAASPP </w:t>
      </w:r>
      <w:r w:rsidR="00E0112A">
        <w:rPr>
          <w:rFonts w:cs="Arial"/>
        </w:rPr>
        <w:t>o</w:t>
      </w:r>
      <w:r w:rsidRPr="002F0E3F">
        <w:rPr>
          <w:rFonts w:cs="Arial"/>
        </w:rPr>
        <w:t xml:space="preserve">verall </w:t>
      </w:r>
      <w:r w:rsidR="00E0112A">
        <w:rPr>
          <w:rFonts w:cs="Arial"/>
        </w:rPr>
        <w:t>m</w:t>
      </w:r>
      <w:r w:rsidRPr="002F0E3F">
        <w:rPr>
          <w:rFonts w:cs="Arial"/>
        </w:rPr>
        <w:t xml:space="preserve">ath </w:t>
      </w:r>
      <w:r w:rsidR="00502711">
        <w:rPr>
          <w:rFonts w:cs="Arial"/>
        </w:rPr>
        <w:t>achievement</w:t>
      </w:r>
      <w:r w:rsidR="00E17DAC">
        <w:rPr>
          <w:rFonts w:cs="Arial"/>
        </w:rPr>
        <w:t xml:space="preserve"> data</w:t>
      </w:r>
      <w:r w:rsidRPr="002F0E3F">
        <w:rPr>
          <w:rFonts w:cs="Arial"/>
        </w:rPr>
        <w:t xml:space="preserve"> between </w:t>
      </w:r>
      <w:r w:rsidR="00E17DAC">
        <w:rPr>
          <w:rFonts w:cs="Arial"/>
        </w:rPr>
        <w:t>m</w:t>
      </w:r>
      <w:r w:rsidRPr="002F0E3F">
        <w:rPr>
          <w:rFonts w:cs="Arial"/>
        </w:rPr>
        <w:t xml:space="preserve">igratory, </w:t>
      </w:r>
      <w:r w:rsidR="00E17DAC">
        <w:rPr>
          <w:rFonts w:cs="Arial"/>
        </w:rPr>
        <w:t>m</w:t>
      </w:r>
      <w:r w:rsidRPr="002F0E3F">
        <w:rPr>
          <w:rFonts w:cs="Arial"/>
        </w:rPr>
        <w:t>igratory PFS</w:t>
      </w:r>
      <w:r w:rsidR="00AB52FF">
        <w:rPr>
          <w:rFonts w:cs="Arial"/>
        </w:rPr>
        <w:t>,</w:t>
      </w:r>
      <w:r w:rsidRPr="002F0E3F">
        <w:rPr>
          <w:rFonts w:cs="Arial"/>
        </w:rPr>
        <w:t xml:space="preserve"> and </w:t>
      </w:r>
      <w:r w:rsidR="00E17DAC">
        <w:rPr>
          <w:rFonts w:cs="Arial"/>
        </w:rPr>
        <w:t>a</w:t>
      </w:r>
      <w:r w:rsidRPr="002F0E3F">
        <w:rPr>
          <w:rFonts w:cs="Arial"/>
        </w:rPr>
        <w:t xml:space="preserve">ll </w:t>
      </w:r>
      <w:r w:rsidR="00E17DAC">
        <w:rPr>
          <w:rFonts w:cs="Arial"/>
        </w:rPr>
        <w:t>s</w:t>
      </w:r>
      <w:r w:rsidRPr="002F0E3F">
        <w:rPr>
          <w:rFonts w:cs="Arial"/>
        </w:rPr>
        <w:t xml:space="preserve">tudents. Subcommittee members expressed their concern </w:t>
      </w:r>
      <w:proofErr w:type="gramStart"/>
      <w:r w:rsidRPr="002F0E3F">
        <w:rPr>
          <w:rFonts w:cs="Arial"/>
        </w:rPr>
        <w:t>as the</w:t>
      </w:r>
      <w:proofErr w:type="gramEnd"/>
      <w:r w:rsidRPr="002F0E3F">
        <w:rPr>
          <w:rFonts w:cs="Arial"/>
        </w:rPr>
        <w:t xml:space="preserve"> </w:t>
      </w:r>
      <w:proofErr w:type="gramStart"/>
      <w:r w:rsidRPr="002F0E3F">
        <w:rPr>
          <w:rFonts w:cs="Arial"/>
        </w:rPr>
        <w:t>following</w:t>
      </w:r>
      <w:proofErr w:type="gramEnd"/>
      <w:r w:rsidRPr="002F0E3F">
        <w:rPr>
          <w:rFonts w:cs="Arial"/>
        </w:rPr>
        <w:t>:</w:t>
      </w:r>
    </w:p>
    <w:p w14:paraId="53FA89E0" w14:textId="02E7242D" w:rsidR="005F0DA4" w:rsidRPr="002F0E3F" w:rsidRDefault="00AB52FF" w:rsidP="007B711B">
      <w:pPr>
        <w:spacing w:after="240" w:line="276" w:lineRule="auto"/>
        <w:ind w:left="360" w:right="720"/>
        <w:jc w:val="center"/>
        <w:rPr>
          <w:rFonts w:cs="Arial"/>
        </w:rPr>
      </w:pPr>
      <w:r>
        <w:rPr>
          <w:rFonts w:cs="Arial"/>
        </w:rPr>
        <w:t xml:space="preserve">We are </w:t>
      </w:r>
      <w:proofErr w:type="gramStart"/>
      <w:r>
        <w:rPr>
          <w:rFonts w:cs="Arial"/>
        </w:rPr>
        <w:t>concerned</w:t>
      </w:r>
      <w:proofErr w:type="gramEnd"/>
      <w:r>
        <w:rPr>
          <w:rFonts w:cs="Arial"/>
        </w:rPr>
        <w:t xml:space="preserve"> the achievement gap for the CAASPP </w:t>
      </w:r>
      <w:r w:rsidR="00E0112A">
        <w:rPr>
          <w:rFonts w:cs="Arial"/>
        </w:rPr>
        <w:t>o</w:t>
      </w:r>
      <w:r>
        <w:rPr>
          <w:rFonts w:cs="Arial"/>
        </w:rPr>
        <w:t xml:space="preserve">verall </w:t>
      </w:r>
      <w:r w:rsidR="00E0112A">
        <w:rPr>
          <w:rFonts w:cs="Arial"/>
        </w:rPr>
        <w:t>m</w:t>
      </w:r>
      <w:r>
        <w:rPr>
          <w:rFonts w:cs="Arial"/>
        </w:rPr>
        <w:t xml:space="preserve">ath </w:t>
      </w:r>
      <w:r w:rsidR="00E0112A">
        <w:rPr>
          <w:rFonts w:cs="Arial"/>
        </w:rPr>
        <w:t>achievement</w:t>
      </w:r>
      <w:r>
        <w:rPr>
          <w:rFonts w:cs="Arial"/>
        </w:rPr>
        <w:t xml:space="preserve"> is not decreasing</w:t>
      </w:r>
      <w:r w:rsidR="005F0DA4" w:rsidRPr="002F0E3F">
        <w:rPr>
          <w:rFonts w:cs="Arial"/>
        </w:rPr>
        <w:t>.</w:t>
      </w:r>
    </w:p>
    <w:p w14:paraId="4D883E60" w14:textId="6434B8BF" w:rsidR="005F0DA4" w:rsidRPr="002F0E3F" w:rsidRDefault="005F0DA4" w:rsidP="007B711B">
      <w:pPr>
        <w:spacing w:after="240"/>
        <w:rPr>
          <w:rFonts w:cs="Arial"/>
        </w:rPr>
      </w:pPr>
      <w:r w:rsidRPr="002F0E3F">
        <w:rPr>
          <w:rFonts w:cs="Arial"/>
        </w:rPr>
        <w:t>The subcommittee believe</w:t>
      </w:r>
      <w:r w:rsidR="00D54E2C">
        <w:rPr>
          <w:rFonts w:cs="Arial"/>
        </w:rPr>
        <w:t>d</w:t>
      </w:r>
      <w:r w:rsidRPr="002F0E3F">
        <w:rPr>
          <w:rFonts w:cs="Arial"/>
        </w:rPr>
        <w:t xml:space="preserve"> the implementation of Common Core State Standards and the requirement </w:t>
      </w:r>
      <w:r w:rsidR="00BA11E0">
        <w:rPr>
          <w:rFonts w:cs="Arial"/>
        </w:rPr>
        <w:t>for students to</w:t>
      </w:r>
      <w:r w:rsidRPr="002F0E3F">
        <w:rPr>
          <w:rFonts w:cs="Arial"/>
        </w:rPr>
        <w:t xml:space="preserve"> explain </w:t>
      </w:r>
      <w:r w:rsidR="00BA11E0">
        <w:rPr>
          <w:rFonts w:cs="Arial"/>
        </w:rPr>
        <w:t>their</w:t>
      </w:r>
      <w:r w:rsidRPr="002F0E3F">
        <w:rPr>
          <w:rFonts w:cs="Arial"/>
        </w:rPr>
        <w:t xml:space="preserve"> reasoning behind solving problems through English may negatively affect migratory </w:t>
      </w:r>
      <w:r w:rsidR="00E17DAC">
        <w:rPr>
          <w:rFonts w:cs="Arial"/>
        </w:rPr>
        <w:t>multilingual</w:t>
      </w:r>
      <w:r w:rsidRPr="002F0E3F">
        <w:rPr>
          <w:rFonts w:cs="Arial"/>
        </w:rPr>
        <w:t xml:space="preserve"> students</w:t>
      </w:r>
      <w:r w:rsidR="00E17DAC">
        <w:rPr>
          <w:rFonts w:cs="Arial"/>
        </w:rPr>
        <w:t>; however, the claim data reveals there are opportunities to elevate performance on foundational skills (e.g., concepts and procedures) to support migratory students’ ability to build their knowledge and skills for more complex mathematical concepts and procedures.</w:t>
      </w:r>
    </w:p>
    <w:p w14:paraId="7ECDC735" w14:textId="7699DAF5" w:rsidR="005F0DA4" w:rsidRPr="002F0E3F" w:rsidRDefault="005F0DA4" w:rsidP="007B711B">
      <w:pPr>
        <w:pStyle w:val="Heading4"/>
      </w:pPr>
      <w:r w:rsidRPr="002F0E3F">
        <w:t>Need Statement</w:t>
      </w:r>
    </w:p>
    <w:p w14:paraId="37603065" w14:textId="11B53000" w:rsidR="005F0DA4" w:rsidRPr="002F0E3F" w:rsidRDefault="00AB52FF" w:rsidP="007B711B">
      <w:pPr>
        <w:spacing w:after="240"/>
        <w:rPr>
          <w:rFonts w:cs="Arial"/>
        </w:rPr>
      </w:pPr>
      <w:r>
        <w:rPr>
          <w:rFonts w:cs="Arial"/>
        </w:rPr>
        <w:t>Just over 14</w:t>
      </w:r>
      <w:r w:rsidR="002C0BDD">
        <w:t> </w:t>
      </w:r>
      <w:r w:rsidR="005F0DA4" w:rsidRPr="002F0E3F">
        <w:rPr>
          <w:rFonts w:cs="Arial"/>
        </w:rPr>
        <w:t xml:space="preserve">percent of </w:t>
      </w:r>
      <w:r>
        <w:rPr>
          <w:rFonts w:cs="Arial"/>
        </w:rPr>
        <w:t>m</w:t>
      </w:r>
      <w:r w:rsidR="005F0DA4" w:rsidRPr="002F0E3F">
        <w:rPr>
          <w:rFonts w:cs="Arial"/>
        </w:rPr>
        <w:t xml:space="preserve">igratory </w:t>
      </w:r>
      <w:r>
        <w:rPr>
          <w:rFonts w:cs="Arial"/>
        </w:rPr>
        <w:t>s</w:t>
      </w:r>
      <w:r w:rsidR="005F0DA4" w:rsidRPr="002F0E3F">
        <w:rPr>
          <w:rFonts w:cs="Arial"/>
        </w:rPr>
        <w:t xml:space="preserve">tudents, </w:t>
      </w:r>
      <w:r w:rsidR="00BA11E0">
        <w:rPr>
          <w:rFonts w:cs="Arial"/>
        </w:rPr>
        <w:t>in comparison to a</w:t>
      </w:r>
      <w:r>
        <w:rPr>
          <w:rFonts w:cs="Arial"/>
        </w:rPr>
        <w:t>pproximately 35</w:t>
      </w:r>
      <w:r w:rsidR="002C0BDD">
        <w:t> </w:t>
      </w:r>
      <w:r w:rsidR="005F0DA4" w:rsidRPr="002F0E3F">
        <w:rPr>
          <w:rFonts w:cs="Arial"/>
        </w:rPr>
        <w:t xml:space="preserve">percent of </w:t>
      </w:r>
      <w:r>
        <w:rPr>
          <w:rFonts w:cs="Arial"/>
        </w:rPr>
        <w:t>a</w:t>
      </w:r>
      <w:r w:rsidR="005F0DA4" w:rsidRPr="002F0E3F">
        <w:rPr>
          <w:rFonts w:cs="Arial"/>
        </w:rPr>
        <w:t xml:space="preserve">ll </w:t>
      </w:r>
      <w:r>
        <w:rPr>
          <w:rFonts w:cs="Arial"/>
        </w:rPr>
        <w:t>s</w:t>
      </w:r>
      <w:r w:rsidR="005F0DA4" w:rsidRPr="002F0E3F">
        <w:rPr>
          <w:rFonts w:cs="Arial"/>
        </w:rPr>
        <w:t xml:space="preserve">tudents, scored </w:t>
      </w:r>
      <w:r w:rsidR="00D55EE4">
        <w:rPr>
          <w:rFonts w:cs="Arial"/>
        </w:rPr>
        <w:t>below standard</w:t>
      </w:r>
      <w:r w:rsidR="005F0DA4" w:rsidRPr="002F0E3F">
        <w:rPr>
          <w:rFonts w:cs="Arial"/>
        </w:rPr>
        <w:t xml:space="preserve"> </w:t>
      </w:r>
      <w:r>
        <w:rPr>
          <w:rFonts w:cs="Arial"/>
        </w:rPr>
        <w:t>on the overall</w:t>
      </w:r>
      <w:r w:rsidR="005F0DA4" w:rsidRPr="002F0E3F">
        <w:rPr>
          <w:rFonts w:cs="Arial"/>
        </w:rPr>
        <w:t xml:space="preserve"> math </w:t>
      </w:r>
      <w:r>
        <w:rPr>
          <w:rFonts w:cs="Arial"/>
        </w:rPr>
        <w:t xml:space="preserve">achievement </w:t>
      </w:r>
      <w:r w:rsidR="00BA11E0">
        <w:rPr>
          <w:rFonts w:cs="Arial"/>
        </w:rPr>
        <w:t>resulting in</w:t>
      </w:r>
      <w:r>
        <w:rPr>
          <w:rFonts w:cs="Arial"/>
        </w:rPr>
        <w:t xml:space="preserve"> a 2</w:t>
      </w:r>
      <w:r w:rsidR="0065673C">
        <w:rPr>
          <w:rFonts w:cs="Arial"/>
        </w:rPr>
        <w:t>0</w:t>
      </w:r>
      <w:r w:rsidR="008376CA">
        <w:t> </w:t>
      </w:r>
      <w:r w:rsidR="00502711">
        <w:t>-</w:t>
      </w:r>
      <w:r w:rsidRPr="002F0E3F">
        <w:rPr>
          <w:rFonts w:cs="Arial"/>
        </w:rPr>
        <w:t>percentage</w:t>
      </w:r>
      <w:r w:rsidR="005F0DA4" w:rsidRPr="002F0E3F">
        <w:rPr>
          <w:rFonts w:cs="Arial"/>
        </w:rPr>
        <w:t xml:space="preserve"> point difference. When comparing </w:t>
      </w:r>
      <w:r w:rsidR="005E64AC">
        <w:rPr>
          <w:rFonts w:cs="Arial"/>
        </w:rPr>
        <w:t>m</w:t>
      </w:r>
      <w:r w:rsidR="005F0DA4" w:rsidRPr="002F0E3F">
        <w:rPr>
          <w:rFonts w:cs="Arial"/>
        </w:rPr>
        <w:t xml:space="preserve">igratory PFS and </w:t>
      </w:r>
      <w:r w:rsidR="005E64AC">
        <w:rPr>
          <w:rFonts w:cs="Arial"/>
        </w:rPr>
        <w:t>a</w:t>
      </w:r>
      <w:r w:rsidR="005F0DA4" w:rsidRPr="002F0E3F">
        <w:rPr>
          <w:rFonts w:cs="Arial"/>
        </w:rPr>
        <w:t xml:space="preserve">ll </w:t>
      </w:r>
      <w:proofErr w:type="gramStart"/>
      <w:r w:rsidR="005E64AC">
        <w:rPr>
          <w:rFonts w:cs="Arial"/>
        </w:rPr>
        <w:t>s</w:t>
      </w:r>
      <w:r w:rsidR="005F0DA4" w:rsidRPr="002F0E3F">
        <w:rPr>
          <w:rFonts w:cs="Arial"/>
        </w:rPr>
        <w:t>tudents</w:t>
      </w:r>
      <w:proofErr w:type="gramEnd"/>
      <w:r w:rsidR="005E64AC">
        <w:rPr>
          <w:rFonts w:cs="Arial"/>
        </w:rPr>
        <w:t xml:space="preserve"> groups</w:t>
      </w:r>
      <w:r w:rsidR="005F0DA4" w:rsidRPr="002F0E3F">
        <w:rPr>
          <w:rFonts w:cs="Arial"/>
        </w:rPr>
        <w:t xml:space="preserve">, the gap widens to </w:t>
      </w:r>
      <w:r w:rsidR="005E64AC">
        <w:rPr>
          <w:rFonts w:cs="Arial"/>
        </w:rPr>
        <w:t>nearly</w:t>
      </w:r>
      <w:r>
        <w:rPr>
          <w:rFonts w:cs="Arial"/>
        </w:rPr>
        <w:t xml:space="preserve"> 28</w:t>
      </w:r>
      <w:r w:rsidR="008376CA">
        <w:t> </w:t>
      </w:r>
      <w:r w:rsidR="005F0DA4" w:rsidRPr="002F0E3F">
        <w:rPr>
          <w:rFonts w:cs="Arial"/>
        </w:rPr>
        <w:t xml:space="preserve">percentage points. </w:t>
      </w:r>
      <w:r w:rsidR="0065673C">
        <w:rPr>
          <w:rFonts w:cs="Arial"/>
        </w:rPr>
        <w:t>Intentional, standards-based</w:t>
      </w:r>
      <w:r w:rsidR="005F0DA4" w:rsidRPr="002F0E3F">
        <w:rPr>
          <w:rFonts w:cs="Arial"/>
        </w:rPr>
        <w:t xml:space="preserve"> </w:t>
      </w:r>
      <w:r>
        <w:rPr>
          <w:rFonts w:cs="Arial"/>
        </w:rPr>
        <w:t>instruction</w:t>
      </w:r>
      <w:r w:rsidR="0065673C">
        <w:rPr>
          <w:rFonts w:cs="Arial"/>
        </w:rPr>
        <w:t xml:space="preserve"> with high rigor that engages students</w:t>
      </w:r>
      <w:r w:rsidR="005F0DA4" w:rsidRPr="002F0E3F">
        <w:rPr>
          <w:rFonts w:cs="Arial"/>
        </w:rPr>
        <w:t xml:space="preserve"> </w:t>
      </w:r>
      <w:r w:rsidR="0065673C">
        <w:rPr>
          <w:rFonts w:cs="Arial"/>
        </w:rPr>
        <w:t>is needed</w:t>
      </w:r>
      <w:r w:rsidR="005F0DA4" w:rsidRPr="002F0E3F">
        <w:rPr>
          <w:rFonts w:cs="Arial"/>
        </w:rPr>
        <w:t xml:space="preserve"> to move migratory students from </w:t>
      </w:r>
      <w:r w:rsidR="00D55EE4">
        <w:rPr>
          <w:rFonts w:cs="Arial"/>
        </w:rPr>
        <w:t>below standard</w:t>
      </w:r>
      <w:r w:rsidR="005F0DA4" w:rsidRPr="002F0E3F">
        <w:rPr>
          <w:rFonts w:cs="Arial"/>
        </w:rPr>
        <w:t xml:space="preserve"> to </w:t>
      </w:r>
      <w:r w:rsidR="0065673C">
        <w:rPr>
          <w:rFonts w:cs="Arial"/>
        </w:rPr>
        <w:t>meeting or exceeding the standard</w:t>
      </w:r>
      <w:r w:rsidR="005F0DA4" w:rsidRPr="002F0E3F">
        <w:rPr>
          <w:rFonts w:cs="Arial"/>
        </w:rPr>
        <w:t xml:space="preserve"> to close the </w:t>
      </w:r>
      <w:r w:rsidR="0065673C">
        <w:rPr>
          <w:rFonts w:cs="Arial"/>
        </w:rPr>
        <w:t xml:space="preserve">overall math </w:t>
      </w:r>
      <w:r w:rsidR="005F0DA4" w:rsidRPr="002F0E3F">
        <w:rPr>
          <w:rFonts w:cs="Arial"/>
        </w:rPr>
        <w:t xml:space="preserve">achievement gap. The </w:t>
      </w:r>
      <w:r w:rsidR="008376CA">
        <w:rPr>
          <w:rFonts w:cs="Arial"/>
        </w:rPr>
        <w:t>Math subcommittee</w:t>
      </w:r>
      <w:r w:rsidR="005F0DA4" w:rsidRPr="002F0E3F">
        <w:rPr>
          <w:rFonts w:cs="Arial"/>
        </w:rPr>
        <w:t xml:space="preserve"> articulated the needs statement as such:</w:t>
      </w:r>
    </w:p>
    <w:p w14:paraId="1354AD98" w14:textId="38FF802E" w:rsidR="00AB52FF" w:rsidRDefault="00AB52FF" w:rsidP="00AB52FF">
      <w:pPr>
        <w:spacing w:after="240"/>
        <w:jc w:val="center"/>
        <w:rPr>
          <w:rFonts w:cs="Arial"/>
        </w:rPr>
      </w:pPr>
      <w:r>
        <w:rPr>
          <w:rFonts w:cs="Arial"/>
        </w:rPr>
        <w:t>An additional 20.3</w:t>
      </w:r>
      <w:r w:rsidR="002C0BDD">
        <w:t> </w:t>
      </w:r>
      <w:r>
        <w:rPr>
          <w:rFonts w:cs="Arial"/>
        </w:rPr>
        <w:t xml:space="preserve">percent of migratory students need to be proficient in mathematics as measured by the CAASPP </w:t>
      </w:r>
      <w:r w:rsidR="00502711">
        <w:rPr>
          <w:rFonts w:cs="Arial"/>
        </w:rPr>
        <w:t>m</w:t>
      </w:r>
      <w:r>
        <w:rPr>
          <w:rFonts w:cs="Arial"/>
        </w:rPr>
        <w:t>ath assessment.</w:t>
      </w:r>
    </w:p>
    <w:p w14:paraId="670E8D14" w14:textId="4A0C836E" w:rsidR="005F0DA4" w:rsidRPr="002F0E3F" w:rsidRDefault="00BA11E0" w:rsidP="007B711B">
      <w:pPr>
        <w:spacing w:after="240"/>
        <w:rPr>
          <w:rFonts w:cs="Arial"/>
        </w:rPr>
      </w:pPr>
      <w:r>
        <w:rPr>
          <w:rFonts w:cs="Arial"/>
        </w:rPr>
        <w:lastRenderedPageBreak/>
        <w:t xml:space="preserve">The </w:t>
      </w:r>
      <w:r w:rsidR="005F0DA4" w:rsidRPr="002F0E3F">
        <w:rPr>
          <w:rFonts w:cs="Arial"/>
        </w:rPr>
        <w:t>MEP need</w:t>
      </w:r>
      <w:r>
        <w:rPr>
          <w:rFonts w:cs="Arial"/>
        </w:rPr>
        <w:t>s</w:t>
      </w:r>
      <w:r w:rsidR="005F0DA4" w:rsidRPr="002F0E3F">
        <w:rPr>
          <w:rFonts w:cs="Arial"/>
        </w:rPr>
        <w:t xml:space="preserve"> to either develop new, or focus current, math services on </w:t>
      </w:r>
      <w:r w:rsidR="0022106F">
        <w:rPr>
          <w:rFonts w:cs="Arial"/>
        </w:rPr>
        <w:t xml:space="preserve">building knowledge and skills for key standards in mathematics </w:t>
      </w:r>
      <w:proofErr w:type="gramStart"/>
      <w:r w:rsidR="0022106F">
        <w:rPr>
          <w:rFonts w:cs="Arial"/>
        </w:rPr>
        <w:t>in order to</w:t>
      </w:r>
      <w:proofErr w:type="gramEnd"/>
      <w:r w:rsidR="0022106F">
        <w:rPr>
          <w:rFonts w:cs="Arial"/>
        </w:rPr>
        <w:t xml:space="preserve"> increase students’ proficiency levels and increas</w:t>
      </w:r>
      <w:r w:rsidR="00B92980">
        <w:rPr>
          <w:rFonts w:cs="Arial"/>
        </w:rPr>
        <w:t>e</w:t>
      </w:r>
      <w:r w:rsidR="0022106F">
        <w:rPr>
          <w:rFonts w:cs="Arial"/>
        </w:rPr>
        <w:t xml:space="preserve"> </w:t>
      </w:r>
      <w:r w:rsidR="00007573">
        <w:rPr>
          <w:rFonts w:cs="Arial"/>
        </w:rPr>
        <w:t xml:space="preserve">future </w:t>
      </w:r>
      <w:r w:rsidR="0022106F">
        <w:rPr>
          <w:rFonts w:cs="Arial"/>
        </w:rPr>
        <w:t>access to math-</w:t>
      </w:r>
      <w:r w:rsidR="00007573">
        <w:rPr>
          <w:rFonts w:cs="Arial"/>
        </w:rPr>
        <w:t>dependent</w:t>
      </w:r>
      <w:r w:rsidR="0022106F">
        <w:rPr>
          <w:rFonts w:cs="Arial"/>
        </w:rPr>
        <w:t xml:space="preserve"> career and college </w:t>
      </w:r>
      <w:r w:rsidR="00F05F9A">
        <w:rPr>
          <w:rFonts w:cs="Arial"/>
        </w:rPr>
        <w:t>opportunities</w:t>
      </w:r>
      <w:r w:rsidR="005F0DA4" w:rsidRPr="002F0E3F">
        <w:rPr>
          <w:rFonts w:cs="Arial"/>
        </w:rPr>
        <w:t>.</w:t>
      </w:r>
    </w:p>
    <w:p w14:paraId="34473506" w14:textId="65688A98" w:rsidR="005F0DA4" w:rsidRPr="002F0E3F" w:rsidRDefault="005F0DA4" w:rsidP="007B711B">
      <w:pPr>
        <w:pStyle w:val="Heading4"/>
      </w:pPr>
      <w:r w:rsidRPr="001A3EC1">
        <w:t>Initial Strategies</w:t>
      </w:r>
      <w:r w:rsidR="006450FC">
        <w:t xml:space="preserve"> to Address Need</w:t>
      </w:r>
    </w:p>
    <w:p w14:paraId="2AC9F99A" w14:textId="7975A11C" w:rsidR="005F0DA4" w:rsidRPr="002F0E3F" w:rsidRDefault="00DF2080" w:rsidP="007B711B">
      <w:pPr>
        <w:spacing w:after="240"/>
        <w:rPr>
          <w:rFonts w:cs="Arial"/>
        </w:rPr>
      </w:pPr>
      <w:r w:rsidRPr="00DF2080">
        <w:rPr>
          <w:rFonts w:cs="Arial"/>
        </w:rPr>
        <w:t>After discussing the student achievement data and evidence-based practices, the subcommittee suggested the following strategies to improv</w:t>
      </w:r>
      <w:r>
        <w:rPr>
          <w:rFonts w:cs="Arial"/>
        </w:rPr>
        <w:t>e</w:t>
      </w:r>
      <w:r w:rsidRPr="00DF2080">
        <w:rPr>
          <w:rFonts w:cs="Arial"/>
        </w:rPr>
        <w:t xml:space="preserve"> </w:t>
      </w:r>
      <w:r w:rsidR="005F0DA4" w:rsidRPr="002F0E3F">
        <w:rPr>
          <w:rFonts w:cs="Arial"/>
        </w:rPr>
        <w:t>student overall math achievement:</w:t>
      </w:r>
    </w:p>
    <w:p w14:paraId="47B017A0" w14:textId="15D286D3" w:rsidR="00CA3E03" w:rsidRDefault="00B06227" w:rsidP="009670FC">
      <w:pPr>
        <w:pStyle w:val="ListParagraph"/>
        <w:numPr>
          <w:ilvl w:val="6"/>
          <w:numId w:val="9"/>
        </w:numPr>
        <w:spacing w:after="240"/>
        <w:ind w:left="720"/>
        <w:contextualSpacing w:val="0"/>
        <w:rPr>
          <w:rFonts w:cs="Arial"/>
        </w:rPr>
      </w:pPr>
      <w:r>
        <w:rPr>
          <w:rFonts w:cs="Arial"/>
        </w:rPr>
        <w:t>Offer math services that focus on locally identified standards-based, data-driven needs (e.g., math claim</w:t>
      </w:r>
      <w:r w:rsidR="004A2D05">
        <w:rPr>
          <w:rFonts w:cs="Arial"/>
        </w:rPr>
        <w:t>s</w:t>
      </w:r>
      <w:r>
        <w:rPr>
          <w:rFonts w:cs="Arial"/>
        </w:rPr>
        <w:t xml:space="preserve"> with largest achievement gap, math benchmark data). </w:t>
      </w:r>
    </w:p>
    <w:p w14:paraId="6B6DC2F8" w14:textId="262760F0" w:rsidR="00BF306B" w:rsidRDefault="00BF306B" w:rsidP="009670FC">
      <w:pPr>
        <w:pStyle w:val="ListParagraph"/>
        <w:numPr>
          <w:ilvl w:val="6"/>
          <w:numId w:val="9"/>
        </w:numPr>
        <w:spacing w:after="240"/>
        <w:ind w:left="720"/>
        <w:contextualSpacing w:val="0"/>
        <w:rPr>
          <w:rFonts w:cs="Arial"/>
        </w:rPr>
      </w:pPr>
      <w:bookmarkStart w:id="179" w:name="_Hlk179896081"/>
      <w:r>
        <w:rPr>
          <w:rFonts w:cs="Arial"/>
        </w:rPr>
        <w:t>All math services must include curriculum with culturally sustaining pedagogy embedded within lessons.</w:t>
      </w:r>
      <w:bookmarkEnd w:id="179"/>
    </w:p>
    <w:p w14:paraId="55140B61" w14:textId="45FD488B" w:rsidR="002B7C2F" w:rsidRPr="002B7C2F" w:rsidRDefault="00C15744" w:rsidP="002B7C2F">
      <w:pPr>
        <w:spacing w:after="240"/>
        <w:rPr>
          <w:rFonts w:cs="Arial"/>
        </w:rPr>
      </w:pPr>
      <w:r>
        <w:rPr>
          <w:rFonts w:cs="Arial"/>
        </w:rPr>
        <w:t>Instruction needs to be responsive to the</w:t>
      </w:r>
      <w:r w:rsidR="00FD6DE2">
        <w:rPr>
          <w:rFonts w:cs="Arial"/>
        </w:rPr>
        <w:t xml:space="preserve"> specific mathematical</w:t>
      </w:r>
      <w:r>
        <w:rPr>
          <w:rFonts w:cs="Arial"/>
        </w:rPr>
        <w:t xml:space="preserve"> needs of migratory students. </w:t>
      </w:r>
      <w:r w:rsidR="00FD6DE2">
        <w:rPr>
          <w:rFonts w:cs="Arial"/>
        </w:rPr>
        <w:t xml:space="preserve">Educators need to provide differentiated instruction to meet students where they are with the purpose of developing </w:t>
      </w:r>
      <w:r w:rsidR="00F8556E">
        <w:rPr>
          <w:rFonts w:cs="Arial"/>
        </w:rPr>
        <w:t>strong</w:t>
      </w:r>
      <w:r w:rsidR="00FD6DE2">
        <w:rPr>
          <w:rFonts w:cs="Arial"/>
        </w:rPr>
        <w:t xml:space="preserve"> foundational skills allowing students to build their mathematical skillset annually.</w:t>
      </w:r>
    </w:p>
    <w:p w14:paraId="1152B90E" w14:textId="6D01CD97" w:rsidR="00417874" w:rsidRPr="002F0E3F" w:rsidRDefault="00417874" w:rsidP="007B711B">
      <w:pPr>
        <w:pStyle w:val="Heading4"/>
      </w:pPr>
      <w:r w:rsidRPr="002F0E3F">
        <w:t>Math</w:t>
      </w:r>
      <w:r w:rsidR="00E4537B" w:rsidRPr="002F0E3F">
        <w:t>:</w:t>
      </w:r>
      <w:r w:rsidRPr="002F0E3F">
        <w:t xml:space="preserve"> Concern Statement #2</w:t>
      </w:r>
      <w:r w:rsidR="00960DE2" w:rsidRPr="002F0E3F">
        <w:t xml:space="preserve"> </w:t>
      </w:r>
    </w:p>
    <w:p w14:paraId="2D920948" w14:textId="4AE09981" w:rsidR="00417874" w:rsidRPr="002F0E3F" w:rsidRDefault="00BA0576" w:rsidP="007B711B">
      <w:pPr>
        <w:spacing w:after="240"/>
        <w:rPr>
          <w:rFonts w:cs="Arial"/>
        </w:rPr>
      </w:pPr>
      <w:r>
        <w:rPr>
          <w:rFonts w:cs="Arial"/>
        </w:rPr>
        <w:t>After reviewing the</w:t>
      </w:r>
      <w:r w:rsidR="00417874" w:rsidRPr="002F0E3F">
        <w:rPr>
          <w:rFonts w:cs="Arial"/>
        </w:rPr>
        <w:t xml:space="preserve"> CAASPP math </w:t>
      </w:r>
      <w:r>
        <w:rPr>
          <w:rFonts w:cs="Arial"/>
        </w:rPr>
        <w:t>claim data</w:t>
      </w:r>
      <w:r w:rsidR="00417874" w:rsidRPr="002F0E3F">
        <w:rPr>
          <w:rFonts w:cs="Arial"/>
        </w:rPr>
        <w:t xml:space="preserve"> the </w:t>
      </w:r>
      <w:r w:rsidR="008376CA">
        <w:rPr>
          <w:rFonts w:cs="Arial"/>
        </w:rPr>
        <w:t>Math subcommittee</w:t>
      </w:r>
      <w:r w:rsidR="00417874" w:rsidRPr="002F0E3F">
        <w:rPr>
          <w:rFonts w:cs="Arial"/>
        </w:rPr>
        <w:t xml:space="preserve"> identified a significant </w:t>
      </w:r>
      <w:r>
        <w:rPr>
          <w:rFonts w:cs="Arial"/>
        </w:rPr>
        <w:t>need</w:t>
      </w:r>
      <w:r w:rsidR="00417874" w:rsidRPr="002F0E3F">
        <w:rPr>
          <w:rFonts w:cs="Arial"/>
        </w:rPr>
        <w:t xml:space="preserve"> </w:t>
      </w:r>
      <w:r>
        <w:rPr>
          <w:rFonts w:cs="Arial"/>
        </w:rPr>
        <w:t>for</w:t>
      </w:r>
      <w:r w:rsidR="00417874" w:rsidRPr="002F0E3F">
        <w:rPr>
          <w:rFonts w:cs="Arial"/>
        </w:rPr>
        <w:t xml:space="preserve"> </w:t>
      </w:r>
      <w:r w:rsidR="0042733B">
        <w:rPr>
          <w:rFonts w:cs="Arial"/>
        </w:rPr>
        <w:t>c</w:t>
      </w:r>
      <w:r w:rsidR="00417874" w:rsidRPr="002F0E3F">
        <w:rPr>
          <w:rFonts w:cs="Arial"/>
        </w:rPr>
        <w:t xml:space="preserve">laim 1 – </w:t>
      </w:r>
      <w:r w:rsidR="0042733B">
        <w:rPr>
          <w:rFonts w:cs="Arial"/>
        </w:rPr>
        <w:t>m</w:t>
      </w:r>
      <w:r w:rsidR="00417874" w:rsidRPr="002F0E3F">
        <w:rPr>
          <w:rFonts w:cs="Arial"/>
        </w:rPr>
        <w:t xml:space="preserve">athematical </w:t>
      </w:r>
      <w:r w:rsidR="0042733B">
        <w:rPr>
          <w:rFonts w:cs="Arial"/>
        </w:rPr>
        <w:t>c</w:t>
      </w:r>
      <w:r w:rsidR="00417874" w:rsidRPr="002F0E3F">
        <w:rPr>
          <w:rFonts w:cs="Arial"/>
        </w:rPr>
        <w:t xml:space="preserve">oncepts and </w:t>
      </w:r>
      <w:r w:rsidR="0042733B">
        <w:rPr>
          <w:rFonts w:cs="Arial"/>
        </w:rPr>
        <w:t>p</w:t>
      </w:r>
      <w:r w:rsidR="00417874" w:rsidRPr="002F0E3F">
        <w:rPr>
          <w:rFonts w:cs="Arial"/>
        </w:rPr>
        <w:t xml:space="preserve">rocedures. Subcommittee members expressed their concern </w:t>
      </w:r>
      <w:proofErr w:type="gramStart"/>
      <w:r w:rsidR="00417874" w:rsidRPr="002F0E3F">
        <w:rPr>
          <w:rFonts w:cs="Arial"/>
        </w:rPr>
        <w:t>as the</w:t>
      </w:r>
      <w:proofErr w:type="gramEnd"/>
      <w:r w:rsidR="00417874" w:rsidRPr="002F0E3F">
        <w:rPr>
          <w:rFonts w:cs="Arial"/>
        </w:rPr>
        <w:t xml:space="preserve"> </w:t>
      </w:r>
      <w:proofErr w:type="gramStart"/>
      <w:r w:rsidR="00417874" w:rsidRPr="002F0E3F">
        <w:rPr>
          <w:rFonts w:cs="Arial"/>
        </w:rPr>
        <w:t>following</w:t>
      </w:r>
      <w:proofErr w:type="gramEnd"/>
      <w:r w:rsidR="00417874" w:rsidRPr="002F0E3F">
        <w:rPr>
          <w:rFonts w:cs="Arial"/>
        </w:rPr>
        <w:t>:</w:t>
      </w:r>
    </w:p>
    <w:p w14:paraId="67B28611" w14:textId="1D0A5F6A" w:rsidR="00BA0576" w:rsidRDefault="00BA0576" w:rsidP="00BA0576">
      <w:pPr>
        <w:spacing w:after="240"/>
        <w:jc w:val="center"/>
        <w:rPr>
          <w:rFonts w:cs="Arial"/>
        </w:rPr>
      </w:pPr>
      <w:r>
        <w:rPr>
          <w:rFonts w:cs="Arial"/>
        </w:rPr>
        <w:t xml:space="preserve">We are concerned the achievement gap isn’t closing for the CAASPP Math </w:t>
      </w:r>
      <w:r w:rsidR="0042733B">
        <w:rPr>
          <w:rFonts w:cs="Arial"/>
        </w:rPr>
        <w:t>c</w:t>
      </w:r>
      <w:r>
        <w:rPr>
          <w:rFonts w:cs="Arial"/>
        </w:rPr>
        <w:t xml:space="preserve">laim </w:t>
      </w:r>
      <w:r w:rsidR="0042733B">
        <w:rPr>
          <w:rFonts w:cs="Arial"/>
        </w:rPr>
        <w:t>1 – c</w:t>
      </w:r>
      <w:r>
        <w:rPr>
          <w:rFonts w:cs="Arial"/>
        </w:rPr>
        <w:t xml:space="preserve">oncepts and </w:t>
      </w:r>
      <w:r w:rsidR="0042733B">
        <w:rPr>
          <w:rFonts w:cs="Arial"/>
        </w:rPr>
        <w:t>p</w:t>
      </w:r>
      <w:r>
        <w:rPr>
          <w:rFonts w:cs="Arial"/>
        </w:rPr>
        <w:t>rocedures.</w:t>
      </w:r>
    </w:p>
    <w:p w14:paraId="4163B1AD" w14:textId="2740DA2D" w:rsidR="00417874" w:rsidRPr="002F0E3F" w:rsidRDefault="00417874" w:rsidP="007B711B">
      <w:pPr>
        <w:spacing w:after="240"/>
        <w:rPr>
          <w:rFonts w:cs="Arial"/>
        </w:rPr>
      </w:pPr>
      <w:r w:rsidRPr="002F0E3F">
        <w:rPr>
          <w:rFonts w:cs="Arial"/>
        </w:rPr>
        <w:t xml:space="preserve">The subcommittee </w:t>
      </w:r>
      <w:r w:rsidR="0042733B">
        <w:rPr>
          <w:rFonts w:cs="Arial"/>
        </w:rPr>
        <w:t>agreed that</w:t>
      </w:r>
      <w:r w:rsidRPr="002F0E3F">
        <w:rPr>
          <w:rFonts w:cs="Arial"/>
        </w:rPr>
        <w:t xml:space="preserve"> the requirement to explain </w:t>
      </w:r>
      <w:r w:rsidR="00B92980">
        <w:rPr>
          <w:rFonts w:cs="Arial"/>
        </w:rPr>
        <w:t>the</w:t>
      </w:r>
      <w:r w:rsidR="00B92980" w:rsidRPr="002F0E3F">
        <w:rPr>
          <w:rFonts w:cs="Arial"/>
        </w:rPr>
        <w:t xml:space="preserve"> </w:t>
      </w:r>
      <w:r w:rsidRPr="002F0E3F">
        <w:rPr>
          <w:rFonts w:cs="Arial"/>
        </w:rPr>
        <w:t xml:space="preserve">reasoning behind solving problems through </w:t>
      </w:r>
      <w:r w:rsidR="00B92980">
        <w:rPr>
          <w:rFonts w:cs="Arial"/>
        </w:rPr>
        <w:t xml:space="preserve">the </w:t>
      </w:r>
      <w:r w:rsidRPr="002F0E3F">
        <w:rPr>
          <w:rFonts w:cs="Arial"/>
        </w:rPr>
        <w:t xml:space="preserve">English </w:t>
      </w:r>
      <w:r w:rsidR="00B92980">
        <w:rPr>
          <w:rFonts w:cs="Arial"/>
        </w:rPr>
        <w:t xml:space="preserve">language </w:t>
      </w:r>
      <w:r w:rsidRPr="002F0E3F">
        <w:rPr>
          <w:rFonts w:cs="Arial"/>
        </w:rPr>
        <w:t>may negatively affect migratory EL students</w:t>
      </w:r>
      <w:r w:rsidR="00BA0576">
        <w:rPr>
          <w:rFonts w:cs="Arial"/>
        </w:rPr>
        <w:t xml:space="preserve">’ overall </w:t>
      </w:r>
    </w:p>
    <w:p w14:paraId="28A4084D" w14:textId="0771DEDF" w:rsidR="00417874" w:rsidRPr="002F0E3F" w:rsidRDefault="00417874" w:rsidP="007B711B">
      <w:pPr>
        <w:pStyle w:val="Heading4"/>
      </w:pPr>
      <w:r w:rsidRPr="002F0E3F">
        <w:t>Need Statement</w:t>
      </w:r>
    </w:p>
    <w:p w14:paraId="37DF2C45" w14:textId="04175989" w:rsidR="00417874" w:rsidRPr="002F0E3F" w:rsidRDefault="00417874" w:rsidP="007B711B">
      <w:pPr>
        <w:spacing w:after="240"/>
        <w:rPr>
          <w:rFonts w:cs="Arial"/>
        </w:rPr>
      </w:pPr>
      <w:r w:rsidRPr="002F0E3F">
        <w:rPr>
          <w:rFonts w:cs="Arial"/>
        </w:rPr>
        <w:t>In 20</w:t>
      </w:r>
      <w:r w:rsidR="00BA0576">
        <w:rPr>
          <w:rFonts w:cs="Arial"/>
        </w:rPr>
        <w:t>22</w:t>
      </w:r>
      <w:r w:rsidRPr="002F0E3F">
        <w:rPr>
          <w:rFonts w:cs="Arial"/>
        </w:rPr>
        <w:t>–</w:t>
      </w:r>
      <w:r w:rsidR="00BA0576">
        <w:rPr>
          <w:rFonts w:cs="Arial"/>
        </w:rPr>
        <w:t>23</w:t>
      </w:r>
      <w:r w:rsidRPr="002F0E3F">
        <w:rPr>
          <w:rFonts w:cs="Arial"/>
        </w:rPr>
        <w:t xml:space="preserve">, </w:t>
      </w:r>
      <w:r w:rsidR="00BA0576">
        <w:rPr>
          <w:rFonts w:cs="Arial"/>
        </w:rPr>
        <w:t>5.8</w:t>
      </w:r>
      <w:r w:rsidR="002C0BDD">
        <w:t> </w:t>
      </w:r>
      <w:r w:rsidRPr="002F0E3F">
        <w:rPr>
          <w:rFonts w:cs="Arial"/>
        </w:rPr>
        <w:t xml:space="preserve">percent scored at </w:t>
      </w:r>
      <w:r w:rsidR="00D55EE4">
        <w:rPr>
          <w:rFonts w:cs="Arial"/>
        </w:rPr>
        <w:t>above standard</w:t>
      </w:r>
      <w:r w:rsidRPr="002F0E3F">
        <w:rPr>
          <w:rFonts w:cs="Arial"/>
        </w:rPr>
        <w:t xml:space="preserve"> on </w:t>
      </w:r>
      <w:r w:rsidR="0042733B">
        <w:rPr>
          <w:rFonts w:cs="Arial"/>
        </w:rPr>
        <w:t>c</w:t>
      </w:r>
      <w:r w:rsidRPr="002F0E3F">
        <w:rPr>
          <w:rFonts w:cs="Arial"/>
        </w:rPr>
        <w:t>laim 1 which is a</w:t>
      </w:r>
      <w:r w:rsidR="00BF306B">
        <w:rPr>
          <w:rFonts w:cs="Arial"/>
        </w:rPr>
        <w:t xml:space="preserve"> 6.3</w:t>
      </w:r>
      <w:r w:rsidR="002C0BDD">
        <w:t> </w:t>
      </w:r>
      <w:r w:rsidRPr="002F0E3F">
        <w:rPr>
          <w:rFonts w:cs="Arial"/>
        </w:rPr>
        <w:t>percent decrease from 201</w:t>
      </w:r>
      <w:r w:rsidR="00BF306B">
        <w:rPr>
          <w:rFonts w:cs="Arial"/>
        </w:rPr>
        <w:t>7</w:t>
      </w:r>
      <w:r w:rsidRPr="002F0E3F">
        <w:rPr>
          <w:rFonts w:cs="Arial"/>
        </w:rPr>
        <w:t>–1</w:t>
      </w:r>
      <w:r w:rsidR="00BF306B">
        <w:rPr>
          <w:rFonts w:cs="Arial"/>
        </w:rPr>
        <w:t>8</w:t>
      </w:r>
      <w:r w:rsidRPr="002F0E3F">
        <w:rPr>
          <w:rFonts w:cs="Arial"/>
        </w:rPr>
        <w:t xml:space="preserve">. Migratory </w:t>
      </w:r>
      <w:r w:rsidR="008376CA">
        <w:rPr>
          <w:rFonts w:cs="Arial"/>
        </w:rPr>
        <w:t>s</w:t>
      </w:r>
      <w:r w:rsidRPr="002F0E3F">
        <w:rPr>
          <w:rFonts w:cs="Arial"/>
        </w:rPr>
        <w:t xml:space="preserve">tudents are </w:t>
      </w:r>
      <w:r w:rsidR="00BF306B">
        <w:rPr>
          <w:rFonts w:cs="Arial"/>
        </w:rPr>
        <w:t>13.5</w:t>
      </w:r>
      <w:r w:rsidR="002C0BDD">
        <w:t> </w:t>
      </w:r>
      <w:r w:rsidRPr="002F0E3F">
        <w:rPr>
          <w:rFonts w:cs="Arial"/>
        </w:rPr>
        <w:t xml:space="preserve">percent less likely to score at </w:t>
      </w:r>
      <w:r w:rsidR="00D55EE4">
        <w:rPr>
          <w:rFonts w:cs="Arial"/>
        </w:rPr>
        <w:t>above standard</w:t>
      </w:r>
      <w:r w:rsidRPr="002F0E3F">
        <w:rPr>
          <w:rFonts w:cs="Arial"/>
        </w:rPr>
        <w:t xml:space="preserve"> level than </w:t>
      </w:r>
      <w:proofErr w:type="gramStart"/>
      <w:r w:rsidRPr="002F0E3F">
        <w:rPr>
          <w:rFonts w:cs="Arial"/>
        </w:rPr>
        <w:t xml:space="preserve">the </w:t>
      </w:r>
      <w:r w:rsidR="008376CA">
        <w:rPr>
          <w:rFonts w:cs="Arial"/>
        </w:rPr>
        <w:t>a</w:t>
      </w:r>
      <w:r w:rsidRPr="002F0E3F">
        <w:rPr>
          <w:rFonts w:cs="Arial"/>
        </w:rPr>
        <w:t>ll</w:t>
      </w:r>
      <w:proofErr w:type="gramEnd"/>
      <w:r w:rsidRPr="002F0E3F">
        <w:rPr>
          <w:rFonts w:cs="Arial"/>
        </w:rPr>
        <w:t xml:space="preserve"> </w:t>
      </w:r>
      <w:proofErr w:type="gramStart"/>
      <w:r w:rsidR="008376CA">
        <w:rPr>
          <w:rFonts w:cs="Arial"/>
        </w:rPr>
        <w:t>s</w:t>
      </w:r>
      <w:r w:rsidRPr="002F0E3F">
        <w:rPr>
          <w:rFonts w:cs="Arial"/>
        </w:rPr>
        <w:t>tudent</w:t>
      </w:r>
      <w:r w:rsidR="008376CA">
        <w:rPr>
          <w:rFonts w:cs="Arial"/>
        </w:rPr>
        <w:t>s</w:t>
      </w:r>
      <w:proofErr w:type="gramEnd"/>
      <w:r w:rsidRPr="002F0E3F">
        <w:rPr>
          <w:rFonts w:cs="Arial"/>
        </w:rPr>
        <w:t xml:space="preserve"> group in mathematical </w:t>
      </w:r>
      <w:r w:rsidR="00BF306B">
        <w:rPr>
          <w:rFonts w:cs="Arial"/>
        </w:rPr>
        <w:t>c</w:t>
      </w:r>
      <w:r w:rsidRPr="002F0E3F">
        <w:rPr>
          <w:rFonts w:cs="Arial"/>
        </w:rPr>
        <w:t xml:space="preserve">oncepts and procedures. Migratory PFS </w:t>
      </w:r>
      <w:r w:rsidR="008376CA">
        <w:rPr>
          <w:rFonts w:cs="Arial"/>
        </w:rPr>
        <w:t>s</w:t>
      </w:r>
      <w:r w:rsidRPr="002F0E3F">
        <w:rPr>
          <w:rFonts w:cs="Arial"/>
        </w:rPr>
        <w:t xml:space="preserve">tudents are </w:t>
      </w:r>
      <w:r w:rsidR="00BF306B">
        <w:rPr>
          <w:rFonts w:cs="Arial"/>
        </w:rPr>
        <w:t>about 17</w:t>
      </w:r>
      <w:r w:rsidR="002C0BDD">
        <w:t> </w:t>
      </w:r>
      <w:r w:rsidRPr="002F0E3F">
        <w:rPr>
          <w:rFonts w:cs="Arial"/>
        </w:rPr>
        <w:t xml:space="preserve">percentage points less likely to score </w:t>
      </w:r>
      <w:r w:rsidR="00D55EE4">
        <w:rPr>
          <w:rFonts w:cs="Arial"/>
        </w:rPr>
        <w:t>above standard</w:t>
      </w:r>
      <w:r w:rsidRPr="002F0E3F">
        <w:rPr>
          <w:rFonts w:cs="Arial"/>
        </w:rPr>
        <w:t xml:space="preserve"> when compared to </w:t>
      </w:r>
      <w:r w:rsidR="008376CA">
        <w:rPr>
          <w:rFonts w:cs="Arial"/>
        </w:rPr>
        <w:t>a</w:t>
      </w:r>
      <w:r w:rsidRPr="002F0E3F">
        <w:rPr>
          <w:rFonts w:cs="Arial"/>
        </w:rPr>
        <w:t xml:space="preserve">ll </w:t>
      </w:r>
      <w:r w:rsidR="008376CA">
        <w:rPr>
          <w:rFonts w:cs="Arial"/>
        </w:rPr>
        <w:t>s</w:t>
      </w:r>
      <w:r w:rsidR="008376CA" w:rsidRPr="002F0E3F">
        <w:rPr>
          <w:rFonts w:cs="Arial"/>
        </w:rPr>
        <w:t>t</w:t>
      </w:r>
      <w:r w:rsidR="008376CA">
        <w:rPr>
          <w:rFonts w:cs="Arial"/>
        </w:rPr>
        <w:t>u</w:t>
      </w:r>
      <w:r w:rsidR="008376CA" w:rsidRPr="002F0E3F">
        <w:rPr>
          <w:rFonts w:cs="Arial"/>
        </w:rPr>
        <w:t>dents</w:t>
      </w:r>
      <w:r w:rsidRPr="002F0E3F">
        <w:rPr>
          <w:rFonts w:cs="Arial"/>
        </w:rPr>
        <w:t xml:space="preserve">. The </w:t>
      </w:r>
      <w:r w:rsidR="008376CA">
        <w:rPr>
          <w:rFonts w:cs="Arial"/>
        </w:rPr>
        <w:t>Math subcommittee</w:t>
      </w:r>
      <w:r w:rsidRPr="002F0E3F">
        <w:rPr>
          <w:rFonts w:cs="Arial"/>
        </w:rPr>
        <w:t xml:space="preserve"> expressed the following need:</w:t>
      </w:r>
    </w:p>
    <w:p w14:paraId="044171EC" w14:textId="5B0A1006" w:rsidR="00BF306B" w:rsidRDefault="00BF306B" w:rsidP="00BF306B">
      <w:pPr>
        <w:spacing w:after="240"/>
        <w:jc w:val="center"/>
        <w:rPr>
          <w:rFonts w:cs="Arial"/>
        </w:rPr>
      </w:pPr>
      <w:r>
        <w:rPr>
          <w:rFonts w:cs="Arial"/>
        </w:rPr>
        <w:t>An additional 13.5</w:t>
      </w:r>
      <w:r w:rsidR="002C0BDD">
        <w:t> </w:t>
      </w:r>
      <w:r>
        <w:rPr>
          <w:rFonts w:cs="Arial"/>
        </w:rPr>
        <w:t>percent of migratory students need to score abo</w:t>
      </w:r>
      <w:r w:rsidR="00F96E15">
        <w:rPr>
          <w:rFonts w:cs="Arial"/>
        </w:rPr>
        <w:t>ve</w:t>
      </w:r>
      <w:r>
        <w:rPr>
          <w:rFonts w:cs="Arial"/>
        </w:rPr>
        <w:t xml:space="preserve"> standard on the CAASPP Math </w:t>
      </w:r>
      <w:r w:rsidR="0042733B">
        <w:rPr>
          <w:rFonts w:cs="Arial"/>
        </w:rPr>
        <w:t>c</w:t>
      </w:r>
      <w:r>
        <w:rPr>
          <w:rFonts w:cs="Arial"/>
        </w:rPr>
        <w:t xml:space="preserve">oncepts and </w:t>
      </w:r>
      <w:r w:rsidR="0042733B">
        <w:rPr>
          <w:rFonts w:cs="Arial"/>
        </w:rPr>
        <w:t>p</w:t>
      </w:r>
      <w:r>
        <w:rPr>
          <w:rFonts w:cs="Arial"/>
        </w:rPr>
        <w:t>rocedures.</w:t>
      </w:r>
    </w:p>
    <w:p w14:paraId="55837F37" w14:textId="70F72891" w:rsidR="00417874" w:rsidRPr="002F0E3F" w:rsidRDefault="00DE4085" w:rsidP="007B711B">
      <w:pPr>
        <w:spacing w:after="240"/>
        <w:rPr>
          <w:rFonts w:cs="Arial"/>
        </w:rPr>
      </w:pPr>
      <w:r>
        <w:rPr>
          <w:rFonts w:cs="Arial"/>
        </w:rPr>
        <w:lastRenderedPageBreak/>
        <w:t xml:space="preserve">To address this need, </w:t>
      </w:r>
      <w:r w:rsidR="00417874" w:rsidRPr="002F0E3F">
        <w:rPr>
          <w:rFonts w:cs="Arial"/>
        </w:rPr>
        <w:t xml:space="preserve">MEPs need to restructure their current math intervention services to </w:t>
      </w:r>
      <w:r w:rsidR="00BF306B">
        <w:rPr>
          <w:rFonts w:cs="Arial"/>
        </w:rPr>
        <w:t>focus on accelerating learning in</w:t>
      </w:r>
      <w:r w:rsidR="00417874" w:rsidRPr="002F0E3F">
        <w:rPr>
          <w:rFonts w:cs="Arial"/>
        </w:rPr>
        <w:t xml:space="preserve"> concepts and procedures to </w:t>
      </w:r>
      <w:r w:rsidR="0042733B">
        <w:rPr>
          <w:rFonts w:cs="Arial"/>
        </w:rPr>
        <w:t xml:space="preserve">support </w:t>
      </w:r>
      <w:r w:rsidR="00417874" w:rsidRPr="002F0E3F">
        <w:rPr>
          <w:rFonts w:cs="Arial"/>
        </w:rPr>
        <w:t>migratory students in closing the achievement gap.</w:t>
      </w:r>
    </w:p>
    <w:p w14:paraId="30B4514D" w14:textId="437CDDBD" w:rsidR="00417874" w:rsidRPr="002F0E3F" w:rsidRDefault="00417874" w:rsidP="007B711B">
      <w:pPr>
        <w:pStyle w:val="Heading4"/>
      </w:pPr>
      <w:r w:rsidRPr="002F0E3F">
        <w:t>Initial Strategies</w:t>
      </w:r>
      <w:r w:rsidR="006450FC">
        <w:t xml:space="preserve"> to Address Need</w:t>
      </w:r>
    </w:p>
    <w:p w14:paraId="109FB52B" w14:textId="788EE5A8" w:rsidR="00417874" w:rsidRPr="002F0E3F" w:rsidRDefault="00417874" w:rsidP="007B711B">
      <w:pPr>
        <w:spacing w:after="240"/>
        <w:rPr>
          <w:rFonts w:cs="Arial"/>
        </w:rPr>
      </w:pPr>
      <w:r w:rsidRPr="002F0E3F">
        <w:rPr>
          <w:rFonts w:cs="Arial"/>
        </w:rPr>
        <w:t xml:space="preserve">Once a review of the student achievement data and literature on evidence-based practices was completed, the </w:t>
      </w:r>
      <w:r w:rsidR="008376CA">
        <w:rPr>
          <w:rFonts w:cs="Arial"/>
        </w:rPr>
        <w:t>Math subcommittee</w:t>
      </w:r>
      <w:r w:rsidRPr="002F0E3F">
        <w:rPr>
          <w:rFonts w:cs="Arial"/>
        </w:rPr>
        <w:t xml:space="preserve"> suggested the following strategies to improve student math concepts and procedures:</w:t>
      </w:r>
    </w:p>
    <w:p w14:paraId="59F5DCF4" w14:textId="570889B5" w:rsidR="00CA3E03" w:rsidRPr="002F0E3F" w:rsidRDefault="00CA3E03" w:rsidP="009670FC">
      <w:pPr>
        <w:pStyle w:val="ListParagraph"/>
        <w:numPr>
          <w:ilvl w:val="0"/>
          <w:numId w:val="27"/>
        </w:numPr>
        <w:spacing w:after="240"/>
        <w:ind w:left="720"/>
        <w:contextualSpacing w:val="0"/>
        <w:rPr>
          <w:rFonts w:cs="Arial"/>
        </w:rPr>
      </w:pPr>
      <w:r w:rsidRPr="002F0E3F">
        <w:rPr>
          <w:rFonts w:cs="Arial"/>
        </w:rPr>
        <w:t xml:space="preserve">Offer supplemental math services with a focus on mathematical concepts and procedures for students scoring </w:t>
      </w:r>
      <w:r w:rsidR="00D55EE4">
        <w:rPr>
          <w:rFonts w:cs="Arial"/>
        </w:rPr>
        <w:t>below standard</w:t>
      </w:r>
      <w:r w:rsidRPr="002F0E3F">
        <w:rPr>
          <w:rFonts w:cs="Arial"/>
        </w:rPr>
        <w:t>.</w:t>
      </w:r>
    </w:p>
    <w:p w14:paraId="0159FA34" w14:textId="22A57FD8" w:rsidR="005569B0" w:rsidRDefault="005569B0" w:rsidP="009670FC">
      <w:pPr>
        <w:pStyle w:val="ListParagraph"/>
        <w:numPr>
          <w:ilvl w:val="0"/>
          <w:numId w:val="27"/>
        </w:numPr>
        <w:spacing w:after="240"/>
        <w:ind w:left="720"/>
        <w:contextualSpacing w:val="0"/>
        <w:rPr>
          <w:rFonts w:cs="Arial"/>
        </w:rPr>
      </w:pPr>
      <w:r>
        <w:rPr>
          <w:rFonts w:cs="Arial"/>
        </w:rPr>
        <w:t>Include math literac</w:t>
      </w:r>
      <w:r w:rsidRPr="005569B0">
        <w:rPr>
          <w:rFonts w:cs="Arial"/>
        </w:rPr>
        <w:t>y activities for parents focused on understanding their students’ assessment data, why proficiency is important, and how they can support student achievement.</w:t>
      </w:r>
    </w:p>
    <w:p w14:paraId="21D2B617" w14:textId="3B246163" w:rsidR="00FD6DE2" w:rsidRPr="00FD6DE2" w:rsidRDefault="00FD6DE2" w:rsidP="00FD6DE2">
      <w:pPr>
        <w:spacing w:after="240"/>
        <w:rPr>
          <w:rFonts w:cs="Arial"/>
        </w:rPr>
      </w:pPr>
      <w:r>
        <w:rPr>
          <w:rFonts w:cs="Arial"/>
        </w:rPr>
        <w:t xml:space="preserve">Like ELA, focus is needed on developing math foundational skills to prepare students to meet increasingly complex mathematical standards as they progress through </w:t>
      </w:r>
      <w:r w:rsidR="00E8700C">
        <w:rPr>
          <w:rFonts w:cs="Arial"/>
        </w:rPr>
        <w:t>kindergarten through</w:t>
      </w:r>
      <w:r w:rsidR="00E8700C" w:rsidRPr="008A5FBF">
        <w:rPr>
          <w:rFonts w:cs="Arial"/>
        </w:rPr>
        <w:t xml:space="preserve"> grade</w:t>
      </w:r>
      <w:r w:rsidR="00E8700C">
        <w:rPr>
          <w:rFonts w:cs="Arial"/>
        </w:rPr>
        <w:t xml:space="preserve"> twelve</w:t>
      </w:r>
      <w:r>
        <w:rPr>
          <w:rFonts w:cs="Arial"/>
        </w:rPr>
        <w:t xml:space="preserve"> education. Increasing students’ English language proficiency is key to reducing language barriers to teaching and learning all content areas including math. The next section reviews the committee’s key decisions for ELD.</w:t>
      </w:r>
    </w:p>
    <w:p w14:paraId="04E787EC" w14:textId="77777777" w:rsidR="0039066D" w:rsidRPr="002F0E3F" w:rsidRDefault="0039066D" w:rsidP="007B711B">
      <w:pPr>
        <w:pStyle w:val="Heading3"/>
      </w:pPr>
      <w:bookmarkStart w:id="180" w:name="_Toc496195919"/>
      <w:bookmarkStart w:id="181" w:name="_Toc188361327"/>
      <w:r w:rsidRPr="002F0E3F">
        <w:t>English Language Development</w:t>
      </w:r>
      <w:bookmarkEnd w:id="180"/>
      <w:bookmarkEnd w:id="181"/>
    </w:p>
    <w:p w14:paraId="41561132" w14:textId="22878B7F" w:rsidR="0039066D" w:rsidRPr="002F0E3F" w:rsidRDefault="0039066D" w:rsidP="007B711B">
      <w:pPr>
        <w:spacing w:after="240"/>
        <w:rPr>
          <w:rFonts w:cs="Arial"/>
        </w:rPr>
      </w:pPr>
      <w:r w:rsidRPr="0089266F">
        <w:rPr>
          <w:rFonts w:cs="Arial"/>
        </w:rPr>
        <w:t xml:space="preserve">The purpose of </w:t>
      </w:r>
      <w:r w:rsidR="00790520" w:rsidRPr="0089266F">
        <w:rPr>
          <w:rFonts w:cs="Arial"/>
        </w:rPr>
        <w:t>ELD</w:t>
      </w:r>
      <w:r w:rsidRPr="0089266F">
        <w:rPr>
          <w:rFonts w:cs="Arial"/>
        </w:rPr>
        <w:t xml:space="preserve"> is to learn an</w:t>
      </w:r>
      <w:r w:rsidR="00BA6891" w:rsidRPr="0089266F">
        <w:rPr>
          <w:rFonts w:cs="Arial"/>
        </w:rPr>
        <w:t xml:space="preserve">d acquire the English language </w:t>
      </w:r>
      <w:r w:rsidRPr="0089266F">
        <w:rPr>
          <w:rFonts w:cs="Arial"/>
        </w:rPr>
        <w:t xml:space="preserve">to a level of proficiency that minimizes the language barriers when engaging in the academic content. </w:t>
      </w:r>
      <w:r w:rsidR="00ED3FA0" w:rsidRPr="0089266F">
        <w:rPr>
          <w:rFonts w:cs="Arial"/>
        </w:rPr>
        <w:t xml:space="preserve">As </w:t>
      </w:r>
      <w:r w:rsidR="005569B0" w:rsidRPr="0089266F">
        <w:rPr>
          <w:rFonts w:cs="Arial"/>
        </w:rPr>
        <w:t xml:space="preserve">multilingual </w:t>
      </w:r>
      <w:proofErr w:type="spellStart"/>
      <w:r w:rsidR="005569B0" w:rsidRPr="0089266F">
        <w:rPr>
          <w:rFonts w:cs="Arial"/>
        </w:rPr>
        <w:t>students</w:t>
      </w:r>
      <w:proofErr w:type="spellEnd"/>
      <w:r w:rsidRPr="0089266F">
        <w:rPr>
          <w:rFonts w:cs="Arial"/>
        </w:rPr>
        <w:t xml:space="preserve"> progress through school, the language they </w:t>
      </w:r>
      <w:r w:rsidR="006740D4">
        <w:rPr>
          <w:rFonts w:cs="Arial"/>
        </w:rPr>
        <w:t>encounter</w:t>
      </w:r>
      <w:r w:rsidRPr="0089266F">
        <w:rPr>
          <w:rFonts w:cs="Arial"/>
        </w:rPr>
        <w:t xml:space="preserve"> in texts, both oral and written, becomes increasingly complex. Their continuing development of academic us</w:t>
      </w:r>
      <w:r w:rsidR="006740D4">
        <w:rPr>
          <w:rFonts w:cs="Arial"/>
        </w:rPr>
        <w:t>age</w:t>
      </w:r>
      <w:r w:rsidRPr="0089266F">
        <w:rPr>
          <w:rFonts w:cs="Arial"/>
        </w:rPr>
        <w:t xml:space="preserve"> of English depends on highly skilled teachers who understand how to identify and address the </w:t>
      </w:r>
      <w:proofErr w:type="gramStart"/>
      <w:r w:rsidRPr="0089266F">
        <w:rPr>
          <w:rFonts w:cs="Arial"/>
        </w:rPr>
        <w:t>particular language</w:t>
      </w:r>
      <w:proofErr w:type="gramEnd"/>
      <w:r w:rsidRPr="0089266F">
        <w:rPr>
          <w:rFonts w:cs="Arial"/>
        </w:rPr>
        <w:t xml:space="preserve"> learning needs of their EL students.</w:t>
      </w:r>
      <w:r w:rsidRPr="0089266F">
        <w:rPr>
          <w:rStyle w:val="FootnoteReference"/>
          <w:rFonts w:cs="Arial"/>
        </w:rPr>
        <w:footnoteReference w:id="15"/>
      </w:r>
      <w:r w:rsidRPr="0089266F">
        <w:rPr>
          <w:rFonts w:cs="Arial"/>
        </w:rPr>
        <w:t xml:space="preserve"> </w:t>
      </w:r>
      <w:r w:rsidR="006740D4">
        <w:rPr>
          <w:rFonts w:cs="Arial"/>
          <w:color w:val="000000"/>
        </w:rPr>
        <w:t>Students</w:t>
      </w:r>
      <w:r w:rsidR="006740D4" w:rsidRPr="0089266F">
        <w:rPr>
          <w:rFonts w:cs="Arial"/>
          <w:color w:val="000000"/>
        </w:rPr>
        <w:t xml:space="preserve"> </w:t>
      </w:r>
      <w:r w:rsidRPr="0089266F">
        <w:rPr>
          <w:rFonts w:cs="Arial"/>
          <w:color w:val="000000"/>
        </w:rPr>
        <w:t>build confidence and proficiency in demonstrating their content knowledge through oral presentations, writing and creating, collaborative conversations</w:t>
      </w:r>
      <w:r w:rsidR="00A57672">
        <w:rPr>
          <w:rFonts w:cs="Arial"/>
          <w:color w:val="000000"/>
        </w:rPr>
        <w:t>,</w:t>
      </w:r>
      <w:r w:rsidRPr="0089266F">
        <w:rPr>
          <w:rFonts w:cs="Arial"/>
          <w:color w:val="000000"/>
        </w:rPr>
        <w:t xml:space="preserve"> and using multimedia. In addition, when teachers support children’s development of language awareness, or knowledge of how English works in different situations, EL </w:t>
      </w:r>
      <w:r w:rsidR="006740D4">
        <w:rPr>
          <w:rFonts w:cs="Arial"/>
          <w:color w:val="000000"/>
        </w:rPr>
        <w:t>students</w:t>
      </w:r>
      <w:r w:rsidR="006740D4" w:rsidRPr="0089266F">
        <w:rPr>
          <w:rFonts w:cs="Arial"/>
          <w:color w:val="000000"/>
        </w:rPr>
        <w:t xml:space="preserve"> </w:t>
      </w:r>
      <w:r w:rsidRPr="0089266F">
        <w:rPr>
          <w:rFonts w:cs="Arial"/>
          <w:color w:val="000000"/>
        </w:rPr>
        <w:t>gain an understanding of how language functions as a complex, dynamic</w:t>
      </w:r>
      <w:r w:rsidR="006740D4">
        <w:rPr>
          <w:rFonts w:cs="Arial"/>
          <w:color w:val="000000"/>
        </w:rPr>
        <w:t>,</w:t>
      </w:r>
      <w:r w:rsidRPr="0089266F">
        <w:rPr>
          <w:rFonts w:cs="Arial"/>
          <w:color w:val="000000"/>
        </w:rPr>
        <w:t xml:space="preserve"> and social resource for making meaning.</w:t>
      </w:r>
      <w:r w:rsidR="0089266F" w:rsidRPr="0089266F">
        <w:rPr>
          <w:rFonts w:cs="Arial"/>
          <w:color w:val="000000"/>
          <w:vertAlign w:val="superscript"/>
        </w:rPr>
        <w:t>14</w:t>
      </w:r>
      <w:r w:rsidRPr="0089266F">
        <w:rPr>
          <w:rFonts w:cs="Arial"/>
          <w:color w:val="000000"/>
        </w:rPr>
        <w:t xml:space="preserve"> Daily and across subject matter, </w:t>
      </w:r>
      <w:r w:rsidR="0089266F" w:rsidRPr="0089266F">
        <w:rPr>
          <w:rFonts w:cs="Arial"/>
          <w:color w:val="000000"/>
        </w:rPr>
        <w:t>multilingual</w:t>
      </w:r>
      <w:r w:rsidRPr="0089266F">
        <w:rPr>
          <w:rFonts w:cs="Arial"/>
          <w:color w:val="000000"/>
        </w:rPr>
        <w:t xml:space="preserve"> children develop proficiency in understanding and using increasingly advanced levels of English through intellectually rich practices and activities.</w:t>
      </w:r>
    </w:p>
    <w:p w14:paraId="1DDE884D" w14:textId="6BC8A070" w:rsidR="0039066D" w:rsidRPr="002F0E3F" w:rsidRDefault="0039066D" w:rsidP="007B711B">
      <w:pPr>
        <w:pStyle w:val="Heading4"/>
      </w:pPr>
      <w:r w:rsidRPr="002F0E3F">
        <w:lastRenderedPageBreak/>
        <w:t xml:space="preserve">Key Data Points from </w:t>
      </w:r>
      <w:r w:rsidR="006450FC">
        <w:t>Committee</w:t>
      </w:r>
      <w:r w:rsidRPr="002F0E3F">
        <w:t xml:space="preserve"> Discussions</w:t>
      </w:r>
    </w:p>
    <w:p w14:paraId="7D1FC357" w14:textId="17E8B525" w:rsidR="0039066D" w:rsidRPr="002F0E3F" w:rsidRDefault="00BC077A" w:rsidP="007B711B">
      <w:pPr>
        <w:spacing w:after="240"/>
        <w:rPr>
          <w:rFonts w:cs="Arial"/>
        </w:rPr>
      </w:pPr>
      <w:r>
        <w:rPr>
          <w:rFonts w:cs="Arial"/>
        </w:rPr>
        <w:t>Participants</w:t>
      </w:r>
      <w:r w:rsidR="0039066D" w:rsidRPr="002F0E3F">
        <w:rPr>
          <w:rFonts w:cs="Arial"/>
        </w:rPr>
        <w:t xml:space="preserve"> serving on the </w:t>
      </w:r>
      <w:r w:rsidR="008376CA">
        <w:rPr>
          <w:rFonts w:cs="Arial"/>
        </w:rPr>
        <w:t>ELD subcommittee</w:t>
      </w:r>
      <w:r w:rsidR="0039066D" w:rsidRPr="002F0E3F">
        <w:rPr>
          <w:rFonts w:cs="Arial"/>
        </w:rPr>
        <w:t xml:space="preserve"> reviewed</w:t>
      </w:r>
      <w:r w:rsidR="000031E4">
        <w:rPr>
          <w:rFonts w:cs="Arial"/>
        </w:rPr>
        <w:t xml:space="preserve"> ELPAC data from</w:t>
      </w:r>
      <w:r w:rsidR="008C7BB6">
        <w:rPr>
          <w:rFonts w:cs="Arial"/>
        </w:rPr>
        <w:t xml:space="preserve"> SYs</w:t>
      </w:r>
      <w:r w:rsidR="000031E4">
        <w:rPr>
          <w:rFonts w:cs="Arial"/>
        </w:rPr>
        <w:t xml:space="preserve"> </w:t>
      </w:r>
      <w:r w:rsidR="009F750A">
        <w:rPr>
          <w:rFonts w:cs="Arial"/>
        </w:rPr>
        <w:t xml:space="preserve">    </w:t>
      </w:r>
      <w:r w:rsidR="000031E4">
        <w:rPr>
          <w:rFonts w:cs="Arial"/>
        </w:rPr>
        <w:t>201</w:t>
      </w:r>
      <w:r w:rsidR="00543FD3">
        <w:rPr>
          <w:rFonts w:cs="Arial"/>
        </w:rPr>
        <w:t>7</w:t>
      </w:r>
      <w:r w:rsidR="000031E4">
        <w:rPr>
          <w:rFonts w:cs="Arial"/>
        </w:rPr>
        <w:t>–1</w:t>
      </w:r>
      <w:r w:rsidR="00543FD3">
        <w:rPr>
          <w:rFonts w:cs="Arial"/>
        </w:rPr>
        <w:t>8</w:t>
      </w:r>
      <w:r w:rsidR="000031E4">
        <w:rPr>
          <w:rFonts w:cs="Arial"/>
        </w:rPr>
        <w:t xml:space="preserve"> through 2022–23</w:t>
      </w:r>
      <w:r w:rsidR="0039066D" w:rsidRPr="002F0E3F">
        <w:rPr>
          <w:rFonts w:cs="Arial"/>
        </w:rPr>
        <w:t xml:space="preserve">. </w:t>
      </w:r>
      <w:r w:rsidR="00543FD3">
        <w:rPr>
          <w:rFonts w:cs="Arial"/>
        </w:rPr>
        <w:t>Although participants had ELPAC data from 2017–18, it should be noted that the cut scores identifyin</w:t>
      </w:r>
      <w:r w:rsidR="0089266F">
        <w:rPr>
          <w:rFonts w:cs="Arial"/>
        </w:rPr>
        <w:t>g</w:t>
      </w:r>
      <w:r w:rsidR="00543FD3">
        <w:rPr>
          <w:rFonts w:cs="Arial"/>
        </w:rPr>
        <w:t xml:space="preserve"> levels</w:t>
      </w:r>
      <w:r w:rsidR="0089266F">
        <w:rPr>
          <w:rFonts w:cs="Arial"/>
        </w:rPr>
        <w:t xml:space="preserve"> of English language proficiency</w:t>
      </w:r>
      <w:r w:rsidR="00543FD3">
        <w:rPr>
          <w:rFonts w:cs="Arial"/>
        </w:rPr>
        <w:t xml:space="preserve"> were redone for the 2018–19 </w:t>
      </w:r>
      <w:r w:rsidR="0089266F">
        <w:rPr>
          <w:rFonts w:cs="Arial"/>
        </w:rPr>
        <w:t>assessment</w:t>
      </w:r>
      <w:r w:rsidR="00543FD3">
        <w:rPr>
          <w:rFonts w:cs="Arial"/>
        </w:rPr>
        <w:t xml:space="preserve"> year; therefore, data from 2017–18 does not accurately reflect </w:t>
      </w:r>
      <w:r w:rsidR="0089266F">
        <w:rPr>
          <w:rFonts w:cs="Arial"/>
        </w:rPr>
        <w:t>student English language proficiency.</w:t>
      </w:r>
      <w:r w:rsidR="00543FD3">
        <w:rPr>
          <w:rFonts w:cs="Arial"/>
        </w:rPr>
        <w:t xml:space="preserve"> </w:t>
      </w:r>
      <w:r w:rsidR="0039066D" w:rsidRPr="002F0E3F">
        <w:rPr>
          <w:rFonts w:cs="Arial"/>
        </w:rPr>
        <w:t xml:space="preserve">As stated in the abridged </w:t>
      </w:r>
      <w:r w:rsidR="009E352E">
        <w:rPr>
          <w:rFonts w:cs="Arial"/>
        </w:rPr>
        <w:t>Migratory Student Profile</w:t>
      </w:r>
      <w:r>
        <w:rPr>
          <w:rFonts w:cs="Arial"/>
        </w:rPr>
        <w:t xml:space="preserve"> contained in this document</w:t>
      </w:r>
      <w:r w:rsidR="0039066D" w:rsidRPr="002F0E3F">
        <w:rPr>
          <w:rFonts w:cs="Arial"/>
        </w:rPr>
        <w:t xml:space="preserve">, the </w:t>
      </w:r>
      <w:r>
        <w:rPr>
          <w:rFonts w:cs="Arial"/>
        </w:rPr>
        <w:t>ELPAC</w:t>
      </w:r>
      <w:r w:rsidR="0039066D" w:rsidRPr="002F0E3F">
        <w:rPr>
          <w:rFonts w:cs="Arial"/>
        </w:rPr>
        <w:t xml:space="preserve"> measures a student's English language proficiency </w:t>
      </w:r>
      <w:r w:rsidR="001B6CFF" w:rsidRPr="002F0E3F">
        <w:rPr>
          <w:rFonts w:cs="Arial"/>
        </w:rPr>
        <w:t xml:space="preserve">in listening, speaking, </w:t>
      </w:r>
      <w:r w:rsidR="00A54FEE" w:rsidRPr="002F0E3F">
        <w:rPr>
          <w:rFonts w:cs="Arial"/>
        </w:rPr>
        <w:t>reading,</w:t>
      </w:r>
      <w:r w:rsidR="0039066D" w:rsidRPr="002F0E3F">
        <w:rPr>
          <w:rFonts w:cs="Arial"/>
        </w:rPr>
        <w:t xml:space="preserve"> and writing, and scores</w:t>
      </w:r>
      <w:r w:rsidR="00ED3FA0" w:rsidRPr="002F0E3F">
        <w:rPr>
          <w:rFonts w:cs="Arial"/>
        </w:rPr>
        <w:t xml:space="preserve"> students on a five-point scale</w:t>
      </w:r>
      <w:r w:rsidR="0039066D" w:rsidRPr="002F0E3F">
        <w:rPr>
          <w:rFonts w:cs="Arial"/>
        </w:rPr>
        <w:t xml:space="preserve"> ranging from </w:t>
      </w:r>
      <w:r w:rsidR="00AD08B5">
        <w:rPr>
          <w:rFonts w:cs="Arial"/>
        </w:rPr>
        <w:t>b</w:t>
      </w:r>
      <w:r w:rsidR="0039066D" w:rsidRPr="002F0E3F">
        <w:rPr>
          <w:rFonts w:cs="Arial"/>
        </w:rPr>
        <w:t xml:space="preserve">eginning to </w:t>
      </w:r>
      <w:r w:rsidR="00AD08B5">
        <w:rPr>
          <w:rFonts w:cs="Arial"/>
        </w:rPr>
        <w:t>a</w:t>
      </w:r>
      <w:r w:rsidR="0039066D" w:rsidRPr="002F0E3F">
        <w:rPr>
          <w:rFonts w:cs="Arial"/>
        </w:rPr>
        <w:t>dvanced</w:t>
      </w:r>
      <w:r w:rsidR="00502711">
        <w:rPr>
          <w:rFonts w:cs="Arial"/>
        </w:rPr>
        <w:t xml:space="preserve"> levels</w:t>
      </w:r>
      <w:r w:rsidR="0039066D" w:rsidRPr="002F0E3F">
        <w:rPr>
          <w:rFonts w:cs="Arial"/>
        </w:rPr>
        <w:t xml:space="preserve">. The </w:t>
      </w:r>
      <w:r w:rsidR="008376CA">
        <w:rPr>
          <w:rFonts w:cs="Arial"/>
        </w:rPr>
        <w:t>ELD subcommittee</w:t>
      </w:r>
      <w:r w:rsidR="0039066D" w:rsidRPr="002F0E3F">
        <w:rPr>
          <w:rFonts w:cs="Arial"/>
        </w:rPr>
        <w:t xml:space="preserve"> analyzed the overall </w:t>
      </w:r>
      <w:r w:rsidR="0089266F">
        <w:rPr>
          <w:rFonts w:cs="Arial"/>
        </w:rPr>
        <w:t>ELPAC</w:t>
      </w:r>
      <w:r w:rsidR="0039066D" w:rsidRPr="002F0E3F">
        <w:rPr>
          <w:rFonts w:cs="Arial"/>
        </w:rPr>
        <w:t xml:space="preserve"> </w:t>
      </w:r>
      <w:r w:rsidR="0089266F">
        <w:rPr>
          <w:rFonts w:cs="Arial"/>
        </w:rPr>
        <w:t>proficiency as well as data for the</w:t>
      </w:r>
      <w:r w:rsidR="0039066D" w:rsidRPr="002F0E3F">
        <w:rPr>
          <w:rFonts w:cs="Arial"/>
        </w:rPr>
        <w:t xml:space="preserve"> specific </w:t>
      </w:r>
      <w:r w:rsidR="0089266F">
        <w:rPr>
          <w:rFonts w:cs="Arial"/>
        </w:rPr>
        <w:t>ELPAC</w:t>
      </w:r>
      <w:r w:rsidR="0009541E" w:rsidRPr="002F0E3F">
        <w:rPr>
          <w:rFonts w:cs="Arial"/>
        </w:rPr>
        <w:t xml:space="preserve"> domains for </w:t>
      </w:r>
      <w:r w:rsidR="00AD08B5">
        <w:rPr>
          <w:rFonts w:cs="Arial"/>
        </w:rPr>
        <w:t>m</w:t>
      </w:r>
      <w:r w:rsidR="0039066D" w:rsidRPr="002F0E3F">
        <w:rPr>
          <w:rFonts w:cs="Arial"/>
        </w:rPr>
        <w:t>igratory</w:t>
      </w:r>
      <w:r w:rsidR="0094226E" w:rsidRPr="002F0E3F">
        <w:rPr>
          <w:rFonts w:cs="Arial"/>
        </w:rPr>
        <w:t xml:space="preserve"> </w:t>
      </w:r>
      <w:r w:rsidR="0089266F">
        <w:rPr>
          <w:rFonts w:cs="Arial"/>
        </w:rPr>
        <w:t xml:space="preserve">multilingual learners and </w:t>
      </w:r>
      <w:r w:rsidR="00AD08B5">
        <w:rPr>
          <w:rFonts w:cs="Arial"/>
        </w:rPr>
        <w:t>a</w:t>
      </w:r>
      <w:r w:rsidR="0089266F">
        <w:rPr>
          <w:rFonts w:cs="Arial"/>
        </w:rPr>
        <w:t xml:space="preserve">ll </w:t>
      </w:r>
      <w:proofErr w:type="gramStart"/>
      <w:r w:rsidR="0089266F">
        <w:rPr>
          <w:rFonts w:cs="Arial"/>
        </w:rPr>
        <w:t>students</w:t>
      </w:r>
      <w:proofErr w:type="gramEnd"/>
      <w:r w:rsidR="0089266F">
        <w:rPr>
          <w:rFonts w:cs="Arial"/>
        </w:rPr>
        <w:t xml:space="preserve"> </w:t>
      </w:r>
      <w:r w:rsidR="00AD08B5">
        <w:rPr>
          <w:rFonts w:cs="Arial"/>
        </w:rPr>
        <w:t xml:space="preserve">groups </w:t>
      </w:r>
      <w:r w:rsidR="0089266F">
        <w:rPr>
          <w:rFonts w:cs="Arial"/>
        </w:rPr>
        <w:t>who are learning English</w:t>
      </w:r>
      <w:r w:rsidR="001B6CFF" w:rsidRPr="002F0E3F">
        <w:rPr>
          <w:rFonts w:cs="Arial"/>
        </w:rPr>
        <w:t xml:space="preserve">. </w:t>
      </w:r>
      <w:r w:rsidR="00583B1F">
        <w:rPr>
          <w:rFonts w:cs="Arial"/>
        </w:rPr>
        <w:t xml:space="preserve">Key data, by </w:t>
      </w:r>
      <w:r w:rsidR="00194648">
        <w:rPr>
          <w:rFonts w:cs="Arial"/>
        </w:rPr>
        <w:t>Figure</w:t>
      </w:r>
      <w:r w:rsidR="00583B1F">
        <w:rPr>
          <w:rFonts w:cs="Arial"/>
        </w:rPr>
        <w:t>, for the ELPAC is listed below:</w:t>
      </w:r>
    </w:p>
    <w:p w14:paraId="4695EAD9" w14:textId="742F65DA" w:rsidR="0039066D" w:rsidRPr="00D2583C" w:rsidRDefault="00194648" w:rsidP="00D1036B">
      <w:pPr>
        <w:spacing w:after="240"/>
      </w:pPr>
      <w:r>
        <w:rPr>
          <w:rFonts w:cs="Arial"/>
        </w:rPr>
        <w:t xml:space="preserve">Figure </w:t>
      </w:r>
      <w:r w:rsidR="004B26DA">
        <w:rPr>
          <w:rFonts w:cs="Arial"/>
        </w:rPr>
        <w:t>17</w:t>
      </w:r>
      <w:r w:rsidR="0039066D" w:rsidRPr="002F0E3F">
        <w:rPr>
          <w:rFonts w:cs="Arial"/>
        </w:rPr>
        <w:t>.</w:t>
      </w:r>
      <w:r w:rsidR="006A7EC1" w:rsidRPr="002F0E3F">
        <w:rPr>
          <w:rFonts w:cs="Arial"/>
        </w:rPr>
        <w:t xml:space="preserve"> (p. </w:t>
      </w:r>
      <w:r w:rsidR="00502711">
        <w:rPr>
          <w:rFonts w:cs="Arial"/>
        </w:rPr>
        <w:t>42</w:t>
      </w:r>
      <w:r w:rsidR="0039066D" w:rsidRPr="002F0E3F">
        <w:rPr>
          <w:rFonts w:cs="Arial"/>
        </w:rPr>
        <w:t xml:space="preserve">) </w:t>
      </w:r>
      <w:r w:rsidR="00D2583C" w:rsidRPr="00D2583C">
        <w:t xml:space="preserve">Percentage of All Students, Migratory Students, and Migratory Priority-for-Service Students Scoring at Level 4 for Overall Performance on the Summative English Language Proficiency Assessments for California for All Grades, by Student Population, School </w:t>
      </w:r>
      <w:r w:rsidR="00D2583C" w:rsidRPr="00D2583C">
        <w:rPr>
          <w:rFonts w:cs="Arial"/>
        </w:rPr>
        <w:t>Years 2017–18, 2018–19, and 2020–21 Through 2022–23</w:t>
      </w:r>
      <w:r w:rsidR="00D2583C">
        <w:t xml:space="preserve"> </w:t>
      </w:r>
      <w:r w:rsidR="0039066D" w:rsidRPr="002F0E3F">
        <w:rPr>
          <w:rFonts w:cs="Arial"/>
        </w:rPr>
        <w:t>shows that:</w:t>
      </w:r>
    </w:p>
    <w:p w14:paraId="078C995B" w14:textId="6D54C1B4" w:rsidR="00C27E5D" w:rsidRDefault="00C27E5D" w:rsidP="009670FC">
      <w:pPr>
        <w:pStyle w:val="ListParagraph"/>
        <w:numPr>
          <w:ilvl w:val="0"/>
          <w:numId w:val="14"/>
        </w:numPr>
        <w:spacing w:after="240"/>
        <w:ind w:left="720"/>
        <w:contextualSpacing w:val="0"/>
        <w:rPr>
          <w:rFonts w:cs="Arial"/>
        </w:rPr>
      </w:pPr>
      <w:r>
        <w:rPr>
          <w:rFonts w:cs="Arial"/>
        </w:rPr>
        <w:t>Migratory students’ proficiency of 21.6</w:t>
      </w:r>
      <w:r w:rsidR="002C0BDD">
        <w:t> </w:t>
      </w:r>
      <w:r>
        <w:rPr>
          <w:rFonts w:cs="Arial"/>
        </w:rPr>
        <w:t>percent in 2017–18 fell to 11.8</w:t>
      </w:r>
      <w:r w:rsidR="002C0BDD">
        <w:t> </w:t>
      </w:r>
      <w:r>
        <w:rPr>
          <w:rFonts w:cs="Arial"/>
        </w:rPr>
        <w:t>percent in 2022–23 on their overall performance on the ELPAC; however, this data is somewhat misleading as the cut scores for the newly developed ELPAC were changed for the 2018–19 school year. Therefore, from 2018–19 when the new scores were implemented, through 2022–23, there is a three</w:t>
      </w:r>
      <w:r w:rsidR="002C0BDD">
        <w:t> </w:t>
      </w:r>
      <w:r>
        <w:rPr>
          <w:rFonts w:cs="Arial"/>
        </w:rPr>
        <w:t xml:space="preserve">percent increase overall. </w:t>
      </w:r>
    </w:p>
    <w:p w14:paraId="51BD10FC" w14:textId="5030CC04" w:rsidR="0084483C" w:rsidRPr="00C27E5D" w:rsidRDefault="00D1036B" w:rsidP="009670FC">
      <w:pPr>
        <w:pStyle w:val="ListParagraph"/>
        <w:numPr>
          <w:ilvl w:val="0"/>
          <w:numId w:val="14"/>
        </w:numPr>
        <w:spacing w:after="240"/>
        <w:ind w:left="720"/>
        <w:contextualSpacing w:val="0"/>
        <w:rPr>
          <w:rFonts w:cs="Arial"/>
        </w:rPr>
      </w:pPr>
      <w:r>
        <w:rPr>
          <w:rFonts w:cs="Arial"/>
        </w:rPr>
        <w:t>From 2018–19 to 2022–23, the gap between all and migratory students decreased from 4.9</w:t>
      </w:r>
      <w:r w:rsidR="002C0BDD">
        <w:t> </w:t>
      </w:r>
      <w:r>
        <w:rPr>
          <w:rFonts w:cs="Arial"/>
        </w:rPr>
        <w:t>percent to 4.7</w:t>
      </w:r>
      <w:r w:rsidR="002C0BDD">
        <w:t> </w:t>
      </w:r>
      <w:r>
        <w:rPr>
          <w:rFonts w:cs="Arial"/>
        </w:rPr>
        <w:t>percent.</w:t>
      </w:r>
      <w:r w:rsidR="0084483C" w:rsidRPr="00C27E5D">
        <w:rPr>
          <w:rFonts w:cs="Arial"/>
        </w:rPr>
        <w:t xml:space="preserve">  </w:t>
      </w:r>
    </w:p>
    <w:p w14:paraId="00C12EE4" w14:textId="148A25DC" w:rsidR="0039066D" w:rsidRPr="00DE3024" w:rsidRDefault="00DE3024" w:rsidP="009670FC">
      <w:pPr>
        <w:pStyle w:val="ListParagraph"/>
        <w:numPr>
          <w:ilvl w:val="0"/>
          <w:numId w:val="14"/>
        </w:numPr>
        <w:spacing w:after="240"/>
        <w:ind w:left="720"/>
        <w:contextualSpacing w:val="0"/>
        <w:rPr>
          <w:rFonts w:cs="Arial"/>
        </w:rPr>
      </w:pPr>
      <w:r>
        <w:rPr>
          <w:rFonts w:cs="Arial"/>
        </w:rPr>
        <w:t xml:space="preserve">In 2022–23, </w:t>
      </w:r>
      <w:r w:rsidR="00D1036B">
        <w:rPr>
          <w:rFonts w:cs="Arial"/>
        </w:rPr>
        <w:t>11.8</w:t>
      </w:r>
      <w:r w:rsidR="002C0BDD">
        <w:t> </w:t>
      </w:r>
      <w:r w:rsidR="00D1036B">
        <w:rPr>
          <w:rFonts w:cs="Arial"/>
        </w:rPr>
        <w:t>percent of migratory students were proficient overall on the ELPAC</w:t>
      </w:r>
      <w:r>
        <w:rPr>
          <w:rFonts w:cs="Arial"/>
        </w:rPr>
        <w:t xml:space="preserve"> compared with </w:t>
      </w:r>
      <w:r w:rsidR="00D1036B" w:rsidRPr="00DE3024">
        <w:rPr>
          <w:rFonts w:cs="Arial"/>
        </w:rPr>
        <w:t>16.5</w:t>
      </w:r>
      <w:r w:rsidR="002C0BDD">
        <w:t> </w:t>
      </w:r>
      <w:r w:rsidR="00D1036B" w:rsidRPr="00DE3024">
        <w:rPr>
          <w:rFonts w:cs="Arial"/>
        </w:rPr>
        <w:t>percent of all students were proficient overall on the ELPAC.</w:t>
      </w:r>
    </w:p>
    <w:p w14:paraId="0E309DD3" w14:textId="649886E4" w:rsidR="0039066D" w:rsidRPr="002F0E3F" w:rsidRDefault="00194648" w:rsidP="007B711B">
      <w:pPr>
        <w:widowControl w:val="0"/>
        <w:tabs>
          <w:tab w:val="left" w:pos="720"/>
        </w:tabs>
        <w:autoSpaceDE w:val="0"/>
        <w:autoSpaceDN w:val="0"/>
        <w:adjustRightInd w:val="0"/>
        <w:spacing w:after="240"/>
        <w:rPr>
          <w:rFonts w:cs="Arial"/>
          <w:color w:val="000000"/>
        </w:rPr>
      </w:pPr>
      <w:r>
        <w:rPr>
          <w:rFonts w:cs="Arial"/>
          <w:color w:val="000000"/>
        </w:rPr>
        <w:t>Figure</w:t>
      </w:r>
      <w:r w:rsidR="00502711" w:rsidRPr="00502711">
        <w:rPr>
          <w:rFonts w:cs="Arial"/>
          <w:color w:val="000000"/>
        </w:rPr>
        <w:t xml:space="preserve"> 28</w:t>
      </w:r>
      <w:r w:rsidR="00583B1F">
        <w:rPr>
          <w:rFonts w:cs="Arial"/>
          <w:color w:val="000000"/>
        </w:rPr>
        <w:t xml:space="preserve"> (only included in</w:t>
      </w:r>
      <w:r w:rsidR="00502711" w:rsidRPr="00502711">
        <w:rPr>
          <w:rFonts w:cs="Arial"/>
          <w:color w:val="000000"/>
        </w:rPr>
        <w:t xml:space="preserve"> the</w:t>
      </w:r>
      <w:r w:rsidR="00210AFF" w:rsidRPr="00502711">
        <w:rPr>
          <w:rFonts w:cs="Arial"/>
          <w:color w:val="000000"/>
        </w:rPr>
        <w:t xml:space="preserve"> full </w:t>
      </w:r>
      <w:hyperlink r:id="rId44" w:history="1">
        <w:r w:rsidR="00502711">
          <w:rPr>
            <w:rStyle w:val="Hyperlink"/>
            <w:rFonts w:cs="Arial"/>
          </w:rPr>
          <w:t>Migratory Student Profile</w:t>
        </w:r>
      </w:hyperlink>
      <w:r w:rsidR="00583B1F">
        <w:rPr>
          <w:rFonts w:cs="Arial"/>
          <w:color w:val="000000"/>
        </w:rPr>
        <w:t xml:space="preserve">) </w:t>
      </w:r>
      <w:r w:rsidR="00BC077A" w:rsidRPr="00502711">
        <w:t>Percentage of</w:t>
      </w:r>
      <w:r w:rsidR="00BC077A">
        <w:t xml:space="preserve"> All Students, Migratory Students, and Migratory Priority-for-Service Students Scoring Well Developed on English Language Proficiency Assessments for California Reading Domain for All Grades, School Years 2017–18, 2018–19, and 2020–21 Through 2022–23</w:t>
      </w:r>
      <w:r w:rsidR="0039066D" w:rsidRPr="002F0E3F">
        <w:rPr>
          <w:rFonts w:cs="Arial"/>
          <w:color w:val="000000"/>
        </w:rPr>
        <w:t xml:space="preserve"> illustrate</w:t>
      </w:r>
      <w:r w:rsidR="00BC077A">
        <w:rPr>
          <w:rFonts w:cs="Arial"/>
          <w:color w:val="000000"/>
        </w:rPr>
        <w:t>s</w:t>
      </w:r>
      <w:r w:rsidR="0039066D" w:rsidRPr="002F0E3F">
        <w:rPr>
          <w:rFonts w:cs="Arial"/>
          <w:color w:val="000000"/>
        </w:rPr>
        <w:t xml:space="preserve"> the following:</w:t>
      </w:r>
    </w:p>
    <w:p w14:paraId="3D4657A2" w14:textId="4A823254" w:rsidR="0084483C" w:rsidRDefault="0084483C" w:rsidP="009670FC">
      <w:pPr>
        <w:pStyle w:val="ListParagraph"/>
        <w:numPr>
          <w:ilvl w:val="0"/>
          <w:numId w:val="16"/>
        </w:numPr>
        <w:spacing w:after="240"/>
        <w:contextualSpacing w:val="0"/>
        <w:rPr>
          <w:rFonts w:cs="Arial"/>
        </w:rPr>
      </w:pPr>
      <w:r>
        <w:rPr>
          <w:rFonts w:cs="Arial"/>
        </w:rPr>
        <w:t xml:space="preserve">Just under </w:t>
      </w:r>
      <w:r w:rsidR="009F750A">
        <w:rPr>
          <w:rFonts w:cs="Arial"/>
        </w:rPr>
        <w:t>eight</w:t>
      </w:r>
      <w:r w:rsidR="002C0BDD">
        <w:t> </w:t>
      </w:r>
      <w:r>
        <w:rPr>
          <w:rFonts w:cs="Arial"/>
        </w:rPr>
        <w:t>percent of migratory students, compared to 11</w:t>
      </w:r>
      <w:r w:rsidR="002C0BDD">
        <w:t> </w:t>
      </w:r>
      <w:r>
        <w:rPr>
          <w:rFonts w:cs="Arial"/>
        </w:rPr>
        <w:t>percent of all students, are proficient in the 2022–23 ELPAC reading domain.</w:t>
      </w:r>
    </w:p>
    <w:p w14:paraId="19DC1710" w14:textId="0E9EB8E6" w:rsidR="004F4F52" w:rsidRDefault="0084483C" w:rsidP="009670FC">
      <w:pPr>
        <w:pStyle w:val="ListParagraph"/>
        <w:numPr>
          <w:ilvl w:val="0"/>
          <w:numId w:val="16"/>
        </w:numPr>
        <w:spacing w:after="240"/>
        <w:contextualSpacing w:val="0"/>
        <w:rPr>
          <w:rFonts w:cs="Arial"/>
        </w:rPr>
      </w:pPr>
      <w:r>
        <w:rPr>
          <w:rFonts w:cs="Arial"/>
        </w:rPr>
        <w:t>In 2022–23, the achievement gap on the reading domain between migratory students and all students was 3.2</w:t>
      </w:r>
      <w:r w:rsidR="002C0BDD">
        <w:t> </w:t>
      </w:r>
      <w:r>
        <w:rPr>
          <w:rFonts w:cs="Arial"/>
        </w:rPr>
        <w:t xml:space="preserve">percent; </w:t>
      </w:r>
      <w:r w:rsidR="00C27E5D">
        <w:rPr>
          <w:rFonts w:cs="Arial"/>
        </w:rPr>
        <w:t>however,</w:t>
      </w:r>
      <w:r>
        <w:rPr>
          <w:rFonts w:cs="Arial"/>
        </w:rPr>
        <w:t xml:space="preserve"> the gap between migratory PFS students and all students grew to 4.5</w:t>
      </w:r>
      <w:r w:rsidR="002C0BDD">
        <w:t> </w:t>
      </w:r>
      <w:r>
        <w:rPr>
          <w:rFonts w:cs="Arial"/>
        </w:rPr>
        <w:t>percent.</w:t>
      </w:r>
    </w:p>
    <w:p w14:paraId="182EF791" w14:textId="69EFFC30" w:rsidR="000F5C69" w:rsidRPr="000F5C69" w:rsidRDefault="000F5C69" w:rsidP="000F5C69">
      <w:pPr>
        <w:spacing w:after="160" w:line="259" w:lineRule="auto"/>
        <w:rPr>
          <w:rFonts w:cs="Arial"/>
        </w:rPr>
      </w:pPr>
      <w:r>
        <w:rPr>
          <w:rFonts w:cs="Arial"/>
        </w:rPr>
        <w:lastRenderedPageBreak/>
        <w:t xml:space="preserve">After reflecting on the data above, </w:t>
      </w:r>
      <w:r w:rsidR="000D5406">
        <w:rPr>
          <w:rFonts w:cs="Arial"/>
        </w:rPr>
        <w:t>the committee finalized two concern and need statements for the ELD focus area.</w:t>
      </w:r>
    </w:p>
    <w:p w14:paraId="2B6D8A65" w14:textId="47975048" w:rsidR="004F4F52" w:rsidRPr="002F0E3F" w:rsidRDefault="00E4537B" w:rsidP="007B711B">
      <w:pPr>
        <w:pStyle w:val="Heading4"/>
      </w:pPr>
      <w:r w:rsidRPr="002F0E3F">
        <w:t xml:space="preserve">English </w:t>
      </w:r>
      <w:r w:rsidR="006450FC">
        <w:t>L</w:t>
      </w:r>
      <w:r w:rsidRPr="002F0E3F">
        <w:t xml:space="preserve">anguage </w:t>
      </w:r>
      <w:r w:rsidR="006450FC">
        <w:t>D</w:t>
      </w:r>
      <w:r w:rsidRPr="002F0E3F">
        <w:t xml:space="preserve">evelopment: </w:t>
      </w:r>
      <w:r w:rsidR="004F4F52" w:rsidRPr="002F0E3F">
        <w:t>Concern Statement #1</w:t>
      </w:r>
    </w:p>
    <w:p w14:paraId="24630668" w14:textId="72CA8A02" w:rsidR="004F4F52" w:rsidRPr="002F0E3F" w:rsidRDefault="00C27E5D" w:rsidP="007B711B">
      <w:pPr>
        <w:spacing w:after="240"/>
        <w:rPr>
          <w:rFonts w:cs="Arial"/>
        </w:rPr>
      </w:pPr>
      <w:r>
        <w:rPr>
          <w:rFonts w:cs="Arial"/>
        </w:rPr>
        <w:t xml:space="preserve">After </w:t>
      </w:r>
      <w:r w:rsidR="00FD6DE2">
        <w:rPr>
          <w:rFonts w:cs="Arial"/>
        </w:rPr>
        <w:t>evaluating</w:t>
      </w:r>
      <w:r>
        <w:rPr>
          <w:rFonts w:cs="Arial"/>
        </w:rPr>
        <w:t xml:space="preserve"> the data from the overall ELPAC scores and each domain by grade, the </w:t>
      </w:r>
      <w:r w:rsidR="008376CA">
        <w:rPr>
          <w:rFonts w:cs="Arial"/>
        </w:rPr>
        <w:t>ELD subcommittee</w:t>
      </w:r>
      <w:r w:rsidR="004F4F52" w:rsidRPr="002F0E3F">
        <w:rPr>
          <w:rFonts w:cs="Arial"/>
        </w:rPr>
        <w:t xml:space="preserve"> members</w:t>
      </w:r>
      <w:r w:rsidR="00FD6DE2">
        <w:rPr>
          <w:rFonts w:cs="Arial"/>
        </w:rPr>
        <w:t xml:space="preserve"> discussed their top concerns for ELD. The subcommittee</w:t>
      </w:r>
      <w:r w:rsidR="004F4F52" w:rsidRPr="002F0E3F">
        <w:rPr>
          <w:rFonts w:cs="Arial"/>
        </w:rPr>
        <w:t xml:space="preserve"> expressed their </w:t>
      </w:r>
      <w:r w:rsidR="009D0261">
        <w:rPr>
          <w:rFonts w:cs="Arial"/>
        </w:rPr>
        <w:t>primary</w:t>
      </w:r>
      <w:r>
        <w:rPr>
          <w:rFonts w:cs="Arial"/>
        </w:rPr>
        <w:t xml:space="preserve"> </w:t>
      </w:r>
      <w:r w:rsidR="004F4F52" w:rsidRPr="002F0E3F">
        <w:rPr>
          <w:rFonts w:cs="Arial"/>
        </w:rPr>
        <w:t xml:space="preserve">concern </w:t>
      </w:r>
      <w:r w:rsidR="009D0261">
        <w:rPr>
          <w:rFonts w:cs="Arial"/>
        </w:rPr>
        <w:t xml:space="preserve">for migratory students’ English language proficiency </w:t>
      </w:r>
      <w:r w:rsidR="004F4F52" w:rsidRPr="002F0E3F">
        <w:rPr>
          <w:rFonts w:cs="Arial"/>
        </w:rPr>
        <w:t>as follow</w:t>
      </w:r>
      <w:r w:rsidR="00E6221F">
        <w:rPr>
          <w:rFonts w:cs="Arial"/>
        </w:rPr>
        <w:t>s</w:t>
      </w:r>
      <w:r w:rsidR="004F4F52" w:rsidRPr="002F0E3F">
        <w:rPr>
          <w:rFonts w:cs="Arial"/>
        </w:rPr>
        <w:t>:</w:t>
      </w:r>
    </w:p>
    <w:p w14:paraId="05F982BA" w14:textId="6A31B0C9" w:rsidR="004F4F52" w:rsidRDefault="00C27E5D" w:rsidP="007B711B">
      <w:pPr>
        <w:spacing w:after="240" w:line="276" w:lineRule="auto"/>
        <w:ind w:left="360" w:right="720"/>
        <w:jc w:val="center"/>
        <w:rPr>
          <w:rFonts w:ascii="MS Gothic" w:eastAsia="MS Gothic" w:hAnsi="MS Gothic" w:cs="MS Gothic"/>
          <w:color w:val="000000"/>
        </w:rPr>
      </w:pPr>
      <w:r w:rsidRPr="009F572B">
        <w:rPr>
          <w:rFonts w:cs="Arial"/>
        </w:rPr>
        <w:t>We are concerned that only 7.8</w:t>
      </w:r>
      <w:r w:rsidR="002C0BDD">
        <w:t> </w:t>
      </w:r>
      <w:r w:rsidRPr="009F572B">
        <w:rPr>
          <w:rFonts w:cs="Arial"/>
        </w:rPr>
        <w:t>percent of migratory students are proficient in the ELPAC reading domain.</w:t>
      </w:r>
      <w:r w:rsidR="004F4F52" w:rsidRPr="002F0E3F">
        <w:rPr>
          <w:rFonts w:ascii="MS Gothic" w:eastAsia="MS Gothic" w:hAnsi="MS Gothic" w:cs="MS Gothic" w:hint="eastAsia"/>
          <w:color w:val="000000"/>
        </w:rPr>
        <w:t> </w:t>
      </w:r>
    </w:p>
    <w:p w14:paraId="2AA74FAB" w14:textId="3A3AA514" w:rsidR="00D55EE4" w:rsidRPr="002F0E3F" w:rsidRDefault="00D55EE4" w:rsidP="009E2152">
      <w:pPr>
        <w:spacing w:after="240"/>
        <w:rPr>
          <w:rFonts w:cs="Arial"/>
        </w:rPr>
      </w:pPr>
      <w:r>
        <w:rPr>
          <w:rFonts w:cs="Arial"/>
        </w:rPr>
        <w:t>With this concern in mind, the subcommittee worked on developing a need statement to reflect the achievement gap on the ELPAC reading domain.</w:t>
      </w:r>
    </w:p>
    <w:p w14:paraId="5018BCDC" w14:textId="28537F3E" w:rsidR="004F4F52" w:rsidRPr="002F0E3F" w:rsidRDefault="004F4F52" w:rsidP="007B711B">
      <w:pPr>
        <w:pStyle w:val="Heading4"/>
      </w:pPr>
      <w:r w:rsidRPr="002F0E3F">
        <w:t>Need Statement</w:t>
      </w:r>
    </w:p>
    <w:p w14:paraId="601232F7" w14:textId="7FD19DCC" w:rsidR="004F4F52" w:rsidRPr="002F0E3F" w:rsidRDefault="00C27E5D" w:rsidP="007B711B">
      <w:pPr>
        <w:spacing w:after="240"/>
        <w:rPr>
          <w:rFonts w:cs="Arial"/>
        </w:rPr>
      </w:pPr>
      <w:r>
        <w:rPr>
          <w:rFonts w:cs="Arial"/>
          <w:color w:val="000000"/>
        </w:rPr>
        <w:t xml:space="preserve">While just under </w:t>
      </w:r>
      <w:r w:rsidR="009F750A">
        <w:rPr>
          <w:rFonts w:cs="Arial"/>
          <w:color w:val="000000"/>
        </w:rPr>
        <w:t>eight</w:t>
      </w:r>
      <w:r w:rsidR="00BD663D">
        <w:rPr>
          <w:rFonts w:cs="Arial"/>
          <w:color w:val="000000"/>
        </w:rPr>
        <w:t> </w:t>
      </w:r>
      <w:r w:rsidR="009D0261">
        <w:rPr>
          <w:rFonts w:cs="Arial"/>
          <w:color w:val="000000"/>
        </w:rPr>
        <w:t xml:space="preserve">percent of </w:t>
      </w:r>
      <w:r>
        <w:rPr>
          <w:rFonts w:cs="Arial"/>
          <w:color w:val="000000"/>
        </w:rPr>
        <w:t xml:space="preserve">migratory </w:t>
      </w:r>
      <w:r w:rsidR="009D0261">
        <w:rPr>
          <w:rFonts w:cs="Arial"/>
          <w:color w:val="000000"/>
        </w:rPr>
        <w:t xml:space="preserve">EL </w:t>
      </w:r>
      <w:r>
        <w:rPr>
          <w:rFonts w:cs="Arial"/>
          <w:color w:val="000000"/>
        </w:rPr>
        <w:t>students</w:t>
      </w:r>
      <w:r w:rsidR="009D0261">
        <w:rPr>
          <w:rFonts w:cs="Arial"/>
          <w:color w:val="000000"/>
        </w:rPr>
        <w:t xml:space="preserve"> are proficient in the reading domain of the ELPAC, 11</w:t>
      </w:r>
      <w:r w:rsidR="002C0BDD">
        <w:t> </w:t>
      </w:r>
      <w:r w:rsidR="009D0261">
        <w:rPr>
          <w:rFonts w:cs="Arial"/>
          <w:color w:val="000000"/>
        </w:rPr>
        <w:t>percent of all students scored proficient in the ELPAC reading</w:t>
      </w:r>
      <w:r w:rsidR="00583B1F">
        <w:rPr>
          <w:rFonts w:cs="Arial"/>
          <w:color w:val="000000"/>
        </w:rPr>
        <w:t xml:space="preserve"> </w:t>
      </w:r>
      <w:r w:rsidR="009D0261">
        <w:rPr>
          <w:rFonts w:cs="Arial"/>
          <w:color w:val="000000"/>
        </w:rPr>
        <w:t>domain</w:t>
      </w:r>
      <w:r w:rsidR="004F4F52" w:rsidRPr="002F0E3F">
        <w:rPr>
          <w:rFonts w:cs="Arial"/>
        </w:rPr>
        <w:t>.</w:t>
      </w:r>
      <w:r w:rsidR="009D0261">
        <w:rPr>
          <w:rFonts w:cs="Arial"/>
        </w:rPr>
        <w:t xml:space="preserve"> This demonstrated a </w:t>
      </w:r>
      <w:r w:rsidR="005F5F9C">
        <w:rPr>
          <w:rFonts w:cs="Arial"/>
        </w:rPr>
        <w:t xml:space="preserve">gap of </w:t>
      </w:r>
      <w:r w:rsidR="009D0261">
        <w:rPr>
          <w:rFonts w:cs="Arial"/>
        </w:rPr>
        <w:t>3.2</w:t>
      </w:r>
      <w:r w:rsidR="002C0BDD">
        <w:t> </w:t>
      </w:r>
      <w:r w:rsidR="009D0261">
        <w:rPr>
          <w:rFonts w:cs="Arial"/>
        </w:rPr>
        <w:t xml:space="preserve">percent between </w:t>
      </w:r>
      <w:r w:rsidR="005F5F9C">
        <w:rPr>
          <w:rFonts w:cs="Arial"/>
        </w:rPr>
        <w:t xml:space="preserve">the </w:t>
      </w:r>
      <w:r w:rsidR="009D0261">
        <w:rPr>
          <w:rFonts w:cs="Arial"/>
        </w:rPr>
        <w:t>groups for the 2022–23 school year.</w:t>
      </w:r>
      <w:r w:rsidR="004F4F52" w:rsidRPr="002F0E3F">
        <w:rPr>
          <w:rFonts w:cs="Arial"/>
        </w:rPr>
        <w:t xml:space="preserve"> The </w:t>
      </w:r>
      <w:r w:rsidR="008376CA">
        <w:rPr>
          <w:rFonts w:cs="Arial"/>
        </w:rPr>
        <w:t>ELD subcommittee</w:t>
      </w:r>
      <w:r w:rsidR="004F4F52" w:rsidRPr="002F0E3F">
        <w:rPr>
          <w:rFonts w:cs="Arial"/>
        </w:rPr>
        <w:t xml:space="preserve"> identified the following need:</w:t>
      </w:r>
    </w:p>
    <w:p w14:paraId="79A04E29" w14:textId="1326672A" w:rsidR="009D0261" w:rsidRDefault="009D0261" w:rsidP="009D0261">
      <w:pPr>
        <w:spacing w:after="240"/>
        <w:jc w:val="center"/>
        <w:rPr>
          <w:rFonts w:cs="Arial"/>
        </w:rPr>
      </w:pPr>
      <w:r>
        <w:rPr>
          <w:rFonts w:cs="Arial"/>
        </w:rPr>
        <w:t>An additional 3.2</w:t>
      </w:r>
      <w:r w:rsidR="002C0BDD">
        <w:t> </w:t>
      </w:r>
      <w:r>
        <w:rPr>
          <w:rFonts w:cs="Arial"/>
        </w:rPr>
        <w:t>percent of migratory students need to be proficient in the reading domain of the ELPAC.</w:t>
      </w:r>
    </w:p>
    <w:p w14:paraId="0F5AF10A" w14:textId="279FA0C9" w:rsidR="004F4F52" w:rsidRPr="002F0E3F" w:rsidRDefault="009D0261" w:rsidP="007B711B">
      <w:pPr>
        <w:spacing w:after="240"/>
        <w:rPr>
          <w:rFonts w:cs="Arial"/>
        </w:rPr>
      </w:pPr>
      <w:r>
        <w:rPr>
          <w:rFonts w:cs="Arial"/>
        </w:rPr>
        <w:t xml:space="preserve">Even though the achievement gap is only approximately </w:t>
      </w:r>
      <w:r w:rsidR="009F750A">
        <w:rPr>
          <w:rFonts w:cs="Arial"/>
        </w:rPr>
        <w:t>three</w:t>
      </w:r>
      <w:r w:rsidR="002C0BDD">
        <w:t> </w:t>
      </w:r>
      <w:r>
        <w:rPr>
          <w:rFonts w:cs="Arial"/>
        </w:rPr>
        <w:t xml:space="preserve">percent, proficiency in the reading domain is extremely low for </w:t>
      </w:r>
      <w:r w:rsidR="005F5F9C">
        <w:rPr>
          <w:rFonts w:cs="Arial"/>
        </w:rPr>
        <w:t xml:space="preserve">the </w:t>
      </w:r>
      <w:r>
        <w:rPr>
          <w:rFonts w:cs="Arial"/>
        </w:rPr>
        <w:t>migratory, migratory PFS, and all</w:t>
      </w:r>
      <w:r w:rsidR="005F5F9C">
        <w:rPr>
          <w:rFonts w:cs="Arial"/>
        </w:rPr>
        <w:t xml:space="preserve"> </w:t>
      </w:r>
      <w:r>
        <w:rPr>
          <w:rFonts w:cs="Arial"/>
        </w:rPr>
        <w:t>student groups</w:t>
      </w:r>
      <w:r w:rsidR="004F4F52" w:rsidRPr="002F0E3F">
        <w:rPr>
          <w:rFonts w:cs="Arial"/>
        </w:rPr>
        <w:t>.</w:t>
      </w:r>
      <w:r>
        <w:rPr>
          <w:rFonts w:cs="Arial"/>
        </w:rPr>
        <w:t xml:space="preserve"> In fact, during the last two school years </w:t>
      </w:r>
      <w:r w:rsidR="005F5F9C">
        <w:rPr>
          <w:rFonts w:cs="Arial"/>
        </w:rPr>
        <w:t>reported</w:t>
      </w:r>
      <w:r>
        <w:rPr>
          <w:rFonts w:cs="Arial"/>
        </w:rPr>
        <w:t>, the ELPAC reading domain had the lowest percentages of proficiency for all three student groups compared to other ELPAC domains.</w:t>
      </w:r>
    </w:p>
    <w:p w14:paraId="2EDDD1CB" w14:textId="479AD60A" w:rsidR="004F4F52" w:rsidRPr="002F0E3F" w:rsidRDefault="004F4F52" w:rsidP="007B711B">
      <w:pPr>
        <w:pStyle w:val="Heading4"/>
      </w:pPr>
      <w:r w:rsidRPr="002F0E3F">
        <w:t>Initial Strategies</w:t>
      </w:r>
      <w:r w:rsidR="006450FC">
        <w:t xml:space="preserve"> to Address Need</w:t>
      </w:r>
    </w:p>
    <w:p w14:paraId="0EC62553" w14:textId="141ABBAF" w:rsidR="004F4F52" w:rsidRPr="002F0E3F" w:rsidRDefault="004F4F52" w:rsidP="007B711B">
      <w:pPr>
        <w:spacing w:after="240"/>
        <w:rPr>
          <w:rFonts w:cs="Arial"/>
        </w:rPr>
      </w:pPr>
      <w:r w:rsidRPr="002F0E3F">
        <w:rPr>
          <w:rFonts w:cs="Arial"/>
        </w:rPr>
        <w:t xml:space="preserve">Once a review of the literature on evidence-based practices for ELD was completed, the </w:t>
      </w:r>
      <w:r w:rsidR="005F5F9C">
        <w:rPr>
          <w:rFonts w:cs="Arial"/>
        </w:rPr>
        <w:t>s</w:t>
      </w:r>
      <w:r w:rsidRPr="002F0E3F">
        <w:rPr>
          <w:rFonts w:cs="Arial"/>
        </w:rPr>
        <w:t xml:space="preserve">ubcommittee </w:t>
      </w:r>
      <w:r w:rsidR="00803D7D" w:rsidRPr="002F0E3F">
        <w:rPr>
          <w:rFonts w:cs="Arial"/>
        </w:rPr>
        <w:t>proposed</w:t>
      </w:r>
      <w:r w:rsidRPr="002F0E3F">
        <w:rPr>
          <w:rFonts w:cs="Arial"/>
        </w:rPr>
        <w:t xml:space="preserve"> the following strategies to improve student English</w:t>
      </w:r>
      <w:r w:rsidR="00453F20">
        <w:rPr>
          <w:rFonts w:cs="Arial"/>
        </w:rPr>
        <w:t xml:space="preserve"> language</w:t>
      </w:r>
      <w:r w:rsidRPr="002F0E3F">
        <w:rPr>
          <w:rFonts w:cs="Arial"/>
        </w:rPr>
        <w:t xml:space="preserve"> proficiency:</w:t>
      </w:r>
    </w:p>
    <w:p w14:paraId="5B4A4E02" w14:textId="59CEEE35" w:rsidR="007B6C34" w:rsidRDefault="00C700D2" w:rsidP="009670FC">
      <w:pPr>
        <w:pStyle w:val="ListParagraph"/>
        <w:numPr>
          <w:ilvl w:val="0"/>
          <w:numId w:val="47"/>
        </w:numPr>
        <w:spacing w:after="240"/>
        <w:contextualSpacing w:val="0"/>
        <w:rPr>
          <w:rFonts w:cs="Arial"/>
        </w:rPr>
      </w:pPr>
      <w:r w:rsidRPr="00C700D2">
        <w:rPr>
          <w:rFonts w:cs="Arial"/>
        </w:rPr>
        <w:t>Strategic teaching of various categories (domain, discipline</w:t>
      </w:r>
      <w:r w:rsidR="005F5F9C">
        <w:rPr>
          <w:rFonts w:cs="Arial"/>
        </w:rPr>
        <w:t>,</w:t>
      </w:r>
      <w:r w:rsidRPr="00C700D2">
        <w:rPr>
          <w:rFonts w:cs="Arial"/>
        </w:rPr>
        <w:t xml:space="preserve"> and genre specific language) of vocabulary.</w:t>
      </w:r>
    </w:p>
    <w:p w14:paraId="05CEF922" w14:textId="5EB1D5D2" w:rsidR="00C700D2" w:rsidRDefault="00C700D2" w:rsidP="009670FC">
      <w:pPr>
        <w:pStyle w:val="ListParagraph"/>
        <w:numPr>
          <w:ilvl w:val="0"/>
          <w:numId w:val="47"/>
        </w:numPr>
        <w:spacing w:after="240"/>
        <w:contextualSpacing w:val="0"/>
        <w:rPr>
          <w:rFonts w:cs="Arial"/>
        </w:rPr>
      </w:pPr>
      <w:r>
        <w:rPr>
          <w:rFonts w:cs="Arial"/>
        </w:rPr>
        <w:t>Provide opportunities for students to learn through collaboration and academic discourse.</w:t>
      </w:r>
    </w:p>
    <w:p w14:paraId="1DB4651A" w14:textId="135DF973" w:rsidR="00C700D2" w:rsidRDefault="00C700D2" w:rsidP="009670FC">
      <w:pPr>
        <w:pStyle w:val="ListParagraph"/>
        <w:numPr>
          <w:ilvl w:val="0"/>
          <w:numId w:val="47"/>
        </w:numPr>
        <w:spacing w:after="240"/>
        <w:contextualSpacing w:val="0"/>
        <w:rPr>
          <w:rFonts w:cs="Arial"/>
        </w:rPr>
      </w:pPr>
      <w:r>
        <w:rPr>
          <w:rFonts w:cs="Arial"/>
        </w:rPr>
        <w:t>Teach independent word learning skills and phonological awareness.</w:t>
      </w:r>
    </w:p>
    <w:p w14:paraId="373BFED4" w14:textId="09C0CCB4" w:rsidR="00FD6DE2" w:rsidRPr="00FD6DE2" w:rsidRDefault="00453F20" w:rsidP="00FD6DE2">
      <w:pPr>
        <w:spacing w:after="240"/>
        <w:rPr>
          <w:rFonts w:cs="Arial"/>
        </w:rPr>
      </w:pPr>
      <w:r>
        <w:rPr>
          <w:rFonts w:cs="Arial"/>
        </w:rPr>
        <w:lastRenderedPageBreak/>
        <w:t xml:space="preserve">Reading fluency and comprehension, in </w:t>
      </w:r>
      <w:r w:rsidR="000C3997">
        <w:rPr>
          <w:rFonts w:cs="Arial"/>
        </w:rPr>
        <w:t>addition</w:t>
      </w:r>
      <w:r>
        <w:rPr>
          <w:rFonts w:cs="Arial"/>
        </w:rPr>
        <w:t xml:space="preserve"> to overall proficiency, continue to be a key theme throughout several focus </w:t>
      </w:r>
      <w:r w:rsidR="00F8556E">
        <w:rPr>
          <w:rFonts w:cs="Arial"/>
        </w:rPr>
        <w:t>areas</w:t>
      </w:r>
      <w:r>
        <w:rPr>
          <w:rFonts w:cs="Arial"/>
        </w:rPr>
        <w:t xml:space="preserve"> (e.g., ELA, math, ELD) discussions held by the CNA SDP Committee. </w:t>
      </w:r>
    </w:p>
    <w:p w14:paraId="4C9F83FC" w14:textId="331192D3" w:rsidR="007B6C34" w:rsidRPr="002F0E3F" w:rsidRDefault="00E4537B" w:rsidP="007B711B">
      <w:pPr>
        <w:pStyle w:val="Heading4"/>
      </w:pPr>
      <w:r w:rsidRPr="002F0E3F">
        <w:t xml:space="preserve">English </w:t>
      </w:r>
      <w:r w:rsidR="006450FC">
        <w:t>L</w:t>
      </w:r>
      <w:r w:rsidRPr="002F0E3F">
        <w:t xml:space="preserve">anguage </w:t>
      </w:r>
      <w:r w:rsidR="006450FC">
        <w:t>D</w:t>
      </w:r>
      <w:r w:rsidRPr="002F0E3F">
        <w:t>evelopment:</w:t>
      </w:r>
      <w:r w:rsidR="007B6C34" w:rsidRPr="002F0E3F">
        <w:t xml:space="preserve"> Concern Statement #2</w:t>
      </w:r>
      <w:r w:rsidR="00960DE2" w:rsidRPr="002F0E3F">
        <w:t xml:space="preserve"> </w:t>
      </w:r>
    </w:p>
    <w:p w14:paraId="1E972B8C" w14:textId="145D6301" w:rsidR="007B6C34" w:rsidRPr="002F0E3F" w:rsidRDefault="00C700D2" w:rsidP="007B711B">
      <w:pPr>
        <w:spacing w:after="240"/>
        <w:rPr>
          <w:rFonts w:cs="Arial"/>
        </w:rPr>
      </w:pPr>
      <w:r>
        <w:rPr>
          <w:rFonts w:cs="Arial"/>
        </w:rPr>
        <w:t xml:space="preserve">The second concern statement </w:t>
      </w:r>
      <w:r w:rsidR="005F5F9C">
        <w:rPr>
          <w:rFonts w:cs="Arial"/>
        </w:rPr>
        <w:t xml:space="preserve">related to </w:t>
      </w:r>
      <w:r>
        <w:rPr>
          <w:rFonts w:cs="Arial"/>
        </w:rPr>
        <w:t xml:space="preserve">overall English language proficiency for all students in </w:t>
      </w:r>
      <w:r w:rsidR="00E8700C">
        <w:rPr>
          <w:rFonts w:cs="Arial"/>
        </w:rPr>
        <w:t>grades K–12</w:t>
      </w:r>
      <w:r w:rsidR="007B6C34" w:rsidRPr="002F0E3F">
        <w:rPr>
          <w:rFonts w:cs="Arial"/>
        </w:rPr>
        <w:t xml:space="preserve">. </w:t>
      </w:r>
      <w:r w:rsidR="008376CA">
        <w:rPr>
          <w:rFonts w:cs="Arial"/>
        </w:rPr>
        <w:t>ELD subcommittee</w:t>
      </w:r>
      <w:r w:rsidR="007B6C34" w:rsidRPr="002F0E3F">
        <w:rPr>
          <w:rFonts w:cs="Arial"/>
        </w:rPr>
        <w:t xml:space="preserve"> members expressed their </w:t>
      </w:r>
      <w:r>
        <w:rPr>
          <w:rFonts w:cs="Arial"/>
        </w:rPr>
        <w:t xml:space="preserve">second </w:t>
      </w:r>
      <w:r w:rsidR="007B6C34" w:rsidRPr="002F0E3F">
        <w:rPr>
          <w:rFonts w:cs="Arial"/>
        </w:rPr>
        <w:t>concern as the following:</w:t>
      </w:r>
    </w:p>
    <w:p w14:paraId="286E5AE6" w14:textId="0AA00418" w:rsidR="007B6C34" w:rsidRDefault="00C700D2" w:rsidP="007B711B">
      <w:pPr>
        <w:spacing w:after="240" w:line="276" w:lineRule="auto"/>
        <w:ind w:left="360" w:right="720"/>
        <w:jc w:val="center"/>
        <w:rPr>
          <w:rFonts w:ascii="MS Gothic" w:eastAsia="MS Gothic" w:hAnsi="MS Gothic" w:cs="MS Gothic"/>
          <w:color w:val="000000"/>
        </w:rPr>
      </w:pPr>
      <w:r>
        <w:rPr>
          <w:rFonts w:cs="Arial"/>
        </w:rPr>
        <w:t>We are concerned that the gap between all students and migratory students’ proficiency has not significantly decreased from 2018–19 to 2022–23.</w:t>
      </w:r>
      <w:r w:rsidR="007B6C34" w:rsidRPr="002F0E3F">
        <w:rPr>
          <w:rFonts w:cs="Arial"/>
          <w:color w:val="000000"/>
        </w:rPr>
        <w:t xml:space="preserve"> </w:t>
      </w:r>
      <w:r w:rsidR="007B6C34" w:rsidRPr="002F0E3F">
        <w:rPr>
          <w:rFonts w:ascii="MS Gothic" w:eastAsia="MS Gothic" w:hAnsi="MS Gothic" w:cs="MS Gothic" w:hint="eastAsia"/>
          <w:color w:val="000000"/>
        </w:rPr>
        <w:t> </w:t>
      </w:r>
    </w:p>
    <w:p w14:paraId="4E1FB551" w14:textId="77777777" w:rsidR="00D55EE4" w:rsidRPr="002F0E3F" w:rsidRDefault="00D55EE4" w:rsidP="00D55EE4">
      <w:pPr>
        <w:spacing w:after="240"/>
        <w:ind w:right="720"/>
        <w:rPr>
          <w:rFonts w:cs="Arial"/>
        </w:rPr>
      </w:pPr>
      <w:proofErr w:type="gramStart"/>
      <w:r>
        <w:rPr>
          <w:rFonts w:cs="Arial"/>
        </w:rPr>
        <w:t>On the basis of</w:t>
      </w:r>
      <w:proofErr w:type="gramEnd"/>
      <w:r>
        <w:rPr>
          <w:rFonts w:cs="Arial"/>
        </w:rPr>
        <w:t xml:space="preserve"> this concern statement, the committee focused on developing the need statement to address the need for increased English language proficiency.</w:t>
      </w:r>
    </w:p>
    <w:p w14:paraId="2CA1F682" w14:textId="12EFB918" w:rsidR="007B6C34" w:rsidRPr="002F0E3F" w:rsidRDefault="007B6C34" w:rsidP="007B711B">
      <w:pPr>
        <w:pStyle w:val="Heading4"/>
      </w:pPr>
      <w:r w:rsidRPr="002F0E3F">
        <w:t>Need Statement</w:t>
      </w:r>
    </w:p>
    <w:p w14:paraId="5C7AA19B" w14:textId="31E7F44B" w:rsidR="007B6C34" w:rsidRPr="002F0E3F" w:rsidRDefault="00E35E5A" w:rsidP="007B711B">
      <w:pPr>
        <w:spacing w:after="240"/>
        <w:rPr>
          <w:rFonts w:cs="Arial"/>
        </w:rPr>
      </w:pPr>
      <w:r>
        <w:rPr>
          <w:rFonts w:cs="Arial"/>
        </w:rPr>
        <w:t xml:space="preserve">Overall English language proficiency was a prioritized concern for the </w:t>
      </w:r>
      <w:r w:rsidR="008376CA">
        <w:rPr>
          <w:rFonts w:cs="Arial"/>
        </w:rPr>
        <w:t>ELD subcommittee</w:t>
      </w:r>
      <w:r>
        <w:rPr>
          <w:rFonts w:cs="Arial"/>
        </w:rPr>
        <w:t xml:space="preserve">. </w:t>
      </w:r>
      <w:r w:rsidR="007B6C34" w:rsidRPr="002F0E3F">
        <w:rPr>
          <w:rFonts w:cs="Arial"/>
        </w:rPr>
        <w:t xml:space="preserve">There is </w:t>
      </w:r>
      <w:r w:rsidR="00C700D2">
        <w:rPr>
          <w:rFonts w:cs="Arial"/>
        </w:rPr>
        <w:t xml:space="preserve">close to </w:t>
      </w:r>
      <w:r w:rsidR="007B6C34" w:rsidRPr="002F0E3F">
        <w:rPr>
          <w:rFonts w:cs="Arial"/>
        </w:rPr>
        <w:t xml:space="preserve">a </w:t>
      </w:r>
      <w:proofErr w:type="gramStart"/>
      <w:r w:rsidR="009F750A">
        <w:rPr>
          <w:rFonts w:cs="Arial"/>
        </w:rPr>
        <w:t>five</w:t>
      </w:r>
      <w:r w:rsidR="00167888">
        <w:rPr>
          <w:rFonts w:cs="Arial"/>
        </w:rPr>
        <w:t> </w:t>
      </w:r>
      <w:r w:rsidRPr="002F0E3F">
        <w:rPr>
          <w:rFonts w:cs="Arial"/>
        </w:rPr>
        <w:t>percentage</w:t>
      </w:r>
      <w:proofErr w:type="gramEnd"/>
      <w:r w:rsidR="007B6C34" w:rsidRPr="002F0E3F">
        <w:rPr>
          <w:rFonts w:cs="Arial"/>
        </w:rPr>
        <w:t xml:space="preserve"> point gap between </w:t>
      </w:r>
      <w:r w:rsidR="00C700D2">
        <w:rPr>
          <w:rFonts w:cs="Arial"/>
        </w:rPr>
        <w:t>m</w:t>
      </w:r>
      <w:r w:rsidR="007B6C34" w:rsidRPr="002F0E3F">
        <w:rPr>
          <w:rFonts w:cs="Arial"/>
        </w:rPr>
        <w:t>igratory EL</w:t>
      </w:r>
      <w:r w:rsidR="00C700D2">
        <w:rPr>
          <w:rFonts w:cs="Arial"/>
        </w:rPr>
        <w:t xml:space="preserve"> </w:t>
      </w:r>
      <w:r w:rsidR="007B6C34" w:rsidRPr="002F0E3F">
        <w:rPr>
          <w:rFonts w:cs="Arial"/>
        </w:rPr>
        <w:t>s</w:t>
      </w:r>
      <w:r w:rsidR="00C700D2">
        <w:rPr>
          <w:rFonts w:cs="Arial"/>
        </w:rPr>
        <w:t>tudents</w:t>
      </w:r>
      <w:r w:rsidR="007B6C34" w:rsidRPr="002F0E3F">
        <w:rPr>
          <w:rFonts w:cs="Arial"/>
        </w:rPr>
        <w:t xml:space="preserve"> and </w:t>
      </w:r>
      <w:r w:rsidR="00C700D2">
        <w:rPr>
          <w:rFonts w:cs="Arial"/>
        </w:rPr>
        <w:t>a</w:t>
      </w:r>
      <w:r w:rsidR="007B6C34" w:rsidRPr="002F0E3F">
        <w:rPr>
          <w:rFonts w:cs="Arial"/>
        </w:rPr>
        <w:t>ll EL</w:t>
      </w:r>
      <w:r w:rsidR="00C700D2">
        <w:rPr>
          <w:rFonts w:cs="Arial"/>
        </w:rPr>
        <w:t xml:space="preserve"> student</w:t>
      </w:r>
      <w:r w:rsidR="007B6C34" w:rsidRPr="002F0E3F">
        <w:rPr>
          <w:rFonts w:cs="Arial"/>
        </w:rPr>
        <w:t xml:space="preserve"> </w:t>
      </w:r>
      <w:r w:rsidR="00F8556E" w:rsidRPr="002F0E3F">
        <w:rPr>
          <w:rFonts w:cs="Arial"/>
        </w:rPr>
        <w:t>groups</w:t>
      </w:r>
      <w:r w:rsidR="007B6C34" w:rsidRPr="002F0E3F">
        <w:rPr>
          <w:rFonts w:cs="Arial"/>
        </w:rPr>
        <w:t xml:space="preserve"> who scored </w:t>
      </w:r>
      <w:r w:rsidR="00C700D2">
        <w:rPr>
          <w:rFonts w:cs="Arial"/>
        </w:rPr>
        <w:t>proficient in the overall ELPAC</w:t>
      </w:r>
      <w:r w:rsidR="007B6C34" w:rsidRPr="002F0E3F">
        <w:rPr>
          <w:rFonts w:cs="Arial"/>
        </w:rPr>
        <w:t xml:space="preserve">. The </w:t>
      </w:r>
      <w:r w:rsidR="008376CA">
        <w:rPr>
          <w:rFonts w:cs="Arial"/>
        </w:rPr>
        <w:t>ELD subcommittee</w:t>
      </w:r>
      <w:r w:rsidR="007B6C34" w:rsidRPr="002F0E3F">
        <w:rPr>
          <w:rFonts w:cs="Arial"/>
        </w:rPr>
        <w:t xml:space="preserve"> identified the following need</w:t>
      </w:r>
      <w:r>
        <w:rPr>
          <w:rFonts w:cs="Arial"/>
        </w:rPr>
        <w:t xml:space="preserve"> based on their second concern</w:t>
      </w:r>
      <w:r w:rsidR="007B6C34" w:rsidRPr="002F0E3F">
        <w:rPr>
          <w:rFonts w:cs="Arial"/>
        </w:rPr>
        <w:t>:</w:t>
      </w:r>
    </w:p>
    <w:p w14:paraId="41602B45" w14:textId="22E94652" w:rsidR="00C700D2" w:rsidRDefault="00C700D2" w:rsidP="0089266F">
      <w:pPr>
        <w:spacing w:after="240"/>
        <w:ind w:left="-14"/>
        <w:jc w:val="center"/>
        <w:rPr>
          <w:rFonts w:cs="Arial"/>
        </w:rPr>
      </w:pPr>
      <w:bookmarkStart w:id="182" w:name="_Hlk175844112"/>
      <w:r>
        <w:rPr>
          <w:rFonts w:cs="Arial"/>
        </w:rPr>
        <w:t>An additional 4.7</w:t>
      </w:r>
      <w:r w:rsidR="002C0BDD">
        <w:t> </w:t>
      </w:r>
      <w:r>
        <w:rPr>
          <w:rFonts w:cs="Arial"/>
        </w:rPr>
        <w:t>percent of migratory students need to score at Level 4 on the overall ELPAC.</w:t>
      </w:r>
      <w:bookmarkEnd w:id="182"/>
    </w:p>
    <w:p w14:paraId="18F751B3" w14:textId="2C49355D" w:rsidR="007B6C34" w:rsidRPr="002F0E3F" w:rsidRDefault="00E000CB" w:rsidP="007B711B">
      <w:pPr>
        <w:spacing w:after="240"/>
        <w:rPr>
          <w:rFonts w:cs="Arial"/>
        </w:rPr>
      </w:pPr>
      <w:r>
        <w:rPr>
          <w:rFonts w:cs="Arial"/>
        </w:rPr>
        <w:t>Migrant programs</w:t>
      </w:r>
      <w:r w:rsidRPr="002F0E3F">
        <w:rPr>
          <w:rFonts w:cs="Arial"/>
        </w:rPr>
        <w:t xml:space="preserve"> </w:t>
      </w:r>
      <w:r w:rsidR="007B6C34" w:rsidRPr="002F0E3F">
        <w:rPr>
          <w:rFonts w:cs="Arial"/>
        </w:rPr>
        <w:t>need to evaluate their program services and instructional practices to ensure that teachers provide the language support</w:t>
      </w:r>
      <w:r w:rsidR="00B71D0B">
        <w:rPr>
          <w:rFonts w:cs="Arial"/>
        </w:rPr>
        <w:t xml:space="preserve"> and practice </w:t>
      </w:r>
      <w:r w:rsidR="007B6C34" w:rsidRPr="002F0E3F">
        <w:rPr>
          <w:rFonts w:cs="Arial"/>
        </w:rPr>
        <w:t>necessary to improve students’ English language proficiency especially at the high school level</w:t>
      </w:r>
      <w:r>
        <w:rPr>
          <w:rFonts w:cs="Arial"/>
        </w:rPr>
        <w:t>. In addition, the teachers need to embed</w:t>
      </w:r>
      <w:r w:rsidR="00E35E5A">
        <w:rPr>
          <w:rFonts w:cs="Arial"/>
        </w:rPr>
        <w:t xml:space="preserve"> integrated ELD into lessons in a thoughtful way to maximize students’ opportunity to practice </w:t>
      </w:r>
      <w:r w:rsidR="00E35E5A" w:rsidRPr="00E35E5A">
        <w:rPr>
          <w:rFonts w:cs="Arial"/>
        </w:rPr>
        <w:t>meaning making, effective expression, language development, content knowledge, and foundational skills</w:t>
      </w:r>
      <w:r w:rsidR="00E35E5A">
        <w:rPr>
          <w:rFonts w:cs="Arial"/>
        </w:rPr>
        <w:t>.</w:t>
      </w:r>
    </w:p>
    <w:p w14:paraId="630603B0" w14:textId="7B4E4141" w:rsidR="007B6C34" w:rsidRPr="002F0E3F" w:rsidRDefault="007B6C34" w:rsidP="007B711B">
      <w:pPr>
        <w:pStyle w:val="Heading4"/>
      </w:pPr>
      <w:r w:rsidRPr="002F0E3F">
        <w:t>Initial Strategies</w:t>
      </w:r>
      <w:r w:rsidR="006450FC">
        <w:t xml:space="preserve"> to Address Need</w:t>
      </w:r>
    </w:p>
    <w:p w14:paraId="78C85199" w14:textId="5909EE35" w:rsidR="007B6C34" w:rsidRPr="002F0E3F" w:rsidRDefault="000D5406" w:rsidP="007B711B">
      <w:pPr>
        <w:spacing w:after="240"/>
        <w:rPr>
          <w:rFonts w:cs="Arial"/>
        </w:rPr>
      </w:pPr>
      <w:r>
        <w:rPr>
          <w:rFonts w:cs="Arial"/>
        </w:rPr>
        <w:t>Continuing the work in English language proficiency from the previous CNA and SDP</w:t>
      </w:r>
      <w:r w:rsidR="007B6C34" w:rsidRPr="002F0E3F">
        <w:rPr>
          <w:rFonts w:cs="Arial"/>
        </w:rPr>
        <w:t xml:space="preserve">, the </w:t>
      </w:r>
      <w:r w:rsidR="00E35E5A">
        <w:rPr>
          <w:rFonts w:cs="Arial"/>
        </w:rPr>
        <w:t>s</w:t>
      </w:r>
      <w:r w:rsidR="007B6C34" w:rsidRPr="002F0E3F">
        <w:rPr>
          <w:rFonts w:cs="Arial"/>
        </w:rPr>
        <w:t xml:space="preserve">ubcommittee </w:t>
      </w:r>
      <w:r w:rsidR="00B71D0B">
        <w:rPr>
          <w:rFonts w:cs="Arial"/>
        </w:rPr>
        <w:t>recommended that California continue to implement integrated ELD, but revise the strategy for more clarity and specificity</w:t>
      </w:r>
      <w:r w:rsidR="007B6C34" w:rsidRPr="002F0E3F">
        <w:rPr>
          <w:rFonts w:cs="Arial"/>
        </w:rPr>
        <w:t>:</w:t>
      </w:r>
    </w:p>
    <w:p w14:paraId="2EB09E3F" w14:textId="5678229C" w:rsidR="00E35E5A" w:rsidRDefault="00E35E5A" w:rsidP="009670FC">
      <w:pPr>
        <w:pStyle w:val="ListParagraph"/>
        <w:numPr>
          <w:ilvl w:val="0"/>
          <w:numId w:val="48"/>
        </w:numPr>
        <w:spacing w:after="240"/>
        <w:contextualSpacing w:val="0"/>
        <w:rPr>
          <w:rFonts w:cs="Arial"/>
        </w:rPr>
      </w:pPr>
      <w:r w:rsidRPr="00E35E5A">
        <w:rPr>
          <w:rFonts w:cs="Arial"/>
        </w:rPr>
        <w:t xml:space="preserve">All instructional services provide integrated ELD to support academic language development and content knowledge. </w:t>
      </w:r>
      <w:r w:rsidR="00E000CB">
        <w:rPr>
          <w:rFonts w:cs="Arial"/>
        </w:rPr>
        <w:t>Teachers need to en</w:t>
      </w:r>
      <w:r w:rsidRPr="00E35E5A">
        <w:rPr>
          <w:rFonts w:cs="Arial"/>
        </w:rPr>
        <w:t>sure that integrated ELD:</w:t>
      </w:r>
    </w:p>
    <w:p w14:paraId="487FAFE8" w14:textId="150165C9" w:rsidR="00E35E5A" w:rsidRDefault="00E35E5A" w:rsidP="009670FC">
      <w:pPr>
        <w:pStyle w:val="ListParagraph"/>
        <w:numPr>
          <w:ilvl w:val="1"/>
          <w:numId w:val="48"/>
        </w:numPr>
        <w:spacing w:after="240"/>
        <w:contextualSpacing w:val="0"/>
        <w:rPr>
          <w:rFonts w:cs="Arial"/>
        </w:rPr>
      </w:pPr>
      <w:proofErr w:type="gramStart"/>
      <w:r w:rsidRPr="00E35E5A">
        <w:rPr>
          <w:rFonts w:cs="Arial"/>
        </w:rPr>
        <w:t>Is</w:t>
      </w:r>
      <w:proofErr w:type="gramEnd"/>
      <w:r w:rsidRPr="00E35E5A">
        <w:rPr>
          <w:rFonts w:cs="Arial"/>
        </w:rPr>
        <w:t xml:space="preserve"> differentiated according to student lang</w:t>
      </w:r>
      <w:r w:rsidR="00E000CB">
        <w:rPr>
          <w:rFonts w:cs="Arial"/>
        </w:rPr>
        <w:t>uage</w:t>
      </w:r>
      <w:r w:rsidRPr="00E35E5A">
        <w:rPr>
          <w:rFonts w:cs="Arial"/>
        </w:rPr>
        <w:t xml:space="preserve"> proficiency levels (e.g., student grouping, Bloom’s taxonomy, and scaffolds)</w:t>
      </w:r>
      <w:r>
        <w:rPr>
          <w:rFonts w:cs="Arial"/>
        </w:rPr>
        <w:t>.</w:t>
      </w:r>
    </w:p>
    <w:p w14:paraId="70AA8938" w14:textId="2FC3A45E" w:rsidR="00E35E5A" w:rsidRDefault="00E35E5A" w:rsidP="009670FC">
      <w:pPr>
        <w:pStyle w:val="ListParagraph"/>
        <w:numPr>
          <w:ilvl w:val="1"/>
          <w:numId w:val="48"/>
        </w:numPr>
        <w:spacing w:after="240"/>
        <w:contextualSpacing w:val="0"/>
        <w:rPr>
          <w:rFonts w:cs="Arial"/>
        </w:rPr>
      </w:pPr>
      <w:proofErr w:type="gramStart"/>
      <w:r w:rsidRPr="00E35E5A">
        <w:rPr>
          <w:rFonts w:cs="Arial"/>
        </w:rPr>
        <w:lastRenderedPageBreak/>
        <w:t>Is</w:t>
      </w:r>
      <w:proofErr w:type="gramEnd"/>
      <w:r w:rsidRPr="00E35E5A">
        <w:rPr>
          <w:rFonts w:cs="Arial"/>
        </w:rPr>
        <w:t xml:space="preserve"> integrating and making connections among the four domains: listening, speaking, reading, and writing.</w:t>
      </w:r>
    </w:p>
    <w:p w14:paraId="00EA6305" w14:textId="6AC9828A" w:rsidR="00E35E5A" w:rsidRDefault="00E35E5A" w:rsidP="009670FC">
      <w:pPr>
        <w:pStyle w:val="ListParagraph"/>
        <w:numPr>
          <w:ilvl w:val="1"/>
          <w:numId w:val="48"/>
        </w:numPr>
        <w:spacing w:after="240"/>
        <w:contextualSpacing w:val="0"/>
        <w:rPr>
          <w:rFonts w:cs="Arial"/>
        </w:rPr>
      </w:pPr>
      <w:r w:rsidRPr="00E35E5A">
        <w:rPr>
          <w:rFonts w:cs="Arial"/>
        </w:rPr>
        <w:t>Teaches independent word learning skills and phonological awareness.</w:t>
      </w:r>
    </w:p>
    <w:p w14:paraId="648D2BF8" w14:textId="1C1D4E75" w:rsidR="00E35E5A" w:rsidRDefault="00E35E5A" w:rsidP="009670FC">
      <w:pPr>
        <w:pStyle w:val="ListParagraph"/>
        <w:numPr>
          <w:ilvl w:val="1"/>
          <w:numId w:val="48"/>
        </w:numPr>
        <w:spacing w:after="240"/>
        <w:contextualSpacing w:val="0"/>
        <w:rPr>
          <w:rFonts w:cs="Arial"/>
        </w:rPr>
      </w:pPr>
      <w:r>
        <w:rPr>
          <w:rFonts w:cs="Arial"/>
        </w:rPr>
        <w:t>Provide</w:t>
      </w:r>
      <w:r w:rsidR="00AC772E">
        <w:rPr>
          <w:rFonts w:cs="Arial"/>
        </w:rPr>
        <w:t>s</w:t>
      </w:r>
      <w:r>
        <w:rPr>
          <w:rFonts w:cs="Arial"/>
        </w:rPr>
        <w:t xml:space="preserve"> opportunities for students to learn through collaboration and academic discourse.</w:t>
      </w:r>
    </w:p>
    <w:p w14:paraId="7CB95C3C" w14:textId="1F43657D" w:rsidR="00D55EE4" w:rsidRPr="00D55EE4" w:rsidRDefault="00D55EE4" w:rsidP="00D55EE4">
      <w:pPr>
        <w:spacing w:after="240"/>
        <w:rPr>
          <w:rFonts w:cs="Arial"/>
        </w:rPr>
      </w:pPr>
      <w:r>
        <w:rPr>
          <w:rFonts w:cs="Arial"/>
        </w:rPr>
        <w:t xml:space="preserve">These strategies seek to address the needs of migratory students in ELD at the primary and secondary levels of education. Migratory students with higher levels of English language proficiency in high school </w:t>
      </w:r>
      <w:r w:rsidR="00F96E15">
        <w:rPr>
          <w:rFonts w:cs="Arial"/>
        </w:rPr>
        <w:t xml:space="preserve">have </w:t>
      </w:r>
      <w:r>
        <w:rPr>
          <w:rFonts w:cs="Arial"/>
        </w:rPr>
        <w:t xml:space="preserve">an advantage </w:t>
      </w:r>
      <w:r w:rsidR="00F96E15">
        <w:rPr>
          <w:rFonts w:cs="Arial"/>
        </w:rPr>
        <w:t>over</w:t>
      </w:r>
      <w:r>
        <w:rPr>
          <w:rFonts w:cs="Arial"/>
        </w:rPr>
        <w:t xml:space="preserve"> their peers with lower English language proficiency peers. Therefore, the MEP needs to ensure that high school migratory students also have opportunities to develop their English </w:t>
      </w:r>
      <w:r w:rsidR="00E000CB">
        <w:rPr>
          <w:rFonts w:cs="Arial"/>
        </w:rPr>
        <w:t xml:space="preserve">that </w:t>
      </w:r>
      <w:r>
        <w:rPr>
          <w:rFonts w:cs="Arial"/>
        </w:rPr>
        <w:t>support their graduation from high school.</w:t>
      </w:r>
    </w:p>
    <w:p w14:paraId="1D6F1982" w14:textId="431FB7BB" w:rsidR="00C34B84" w:rsidRPr="002F0E3F" w:rsidRDefault="00C34B84" w:rsidP="007B711B">
      <w:pPr>
        <w:pStyle w:val="Heading3"/>
      </w:pPr>
      <w:bookmarkStart w:id="183" w:name="_Toc496195920"/>
      <w:bookmarkStart w:id="184" w:name="_Toc188361328"/>
      <w:r w:rsidRPr="002F0E3F">
        <w:t xml:space="preserve">High School </w:t>
      </w:r>
      <w:bookmarkEnd w:id="183"/>
      <w:bookmarkEnd w:id="184"/>
      <w:r w:rsidR="00D16652">
        <w:t>Outcomes</w:t>
      </w:r>
    </w:p>
    <w:p w14:paraId="4A3263FF" w14:textId="0154A2F8" w:rsidR="004D0F9B" w:rsidRDefault="004D0F9B" w:rsidP="007B711B">
      <w:pPr>
        <w:pStyle w:val="NormalWeb"/>
        <w:spacing w:before="0" w:beforeAutospacing="0" w:after="240" w:afterAutospacing="0"/>
        <w:rPr>
          <w:rFonts w:ascii="Arial" w:hAnsi="Arial" w:cs="Arial"/>
        </w:rPr>
      </w:pPr>
      <w:r w:rsidRPr="00D55EE4">
        <w:rPr>
          <w:rFonts w:ascii="Arial" w:hAnsi="Arial" w:cs="Arial"/>
        </w:rPr>
        <w:t xml:space="preserve">Research suggests that children in the U.S. with low reading test scores </w:t>
      </w:r>
      <w:r w:rsidR="00E000CB">
        <w:rPr>
          <w:rFonts w:ascii="Arial" w:hAnsi="Arial" w:cs="Arial"/>
        </w:rPr>
        <w:t xml:space="preserve">in grade three </w:t>
      </w:r>
      <w:r w:rsidRPr="00D55EE4">
        <w:rPr>
          <w:rFonts w:ascii="Arial" w:hAnsi="Arial" w:cs="Arial"/>
        </w:rPr>
        <w:t>were less likely to graduate from high school than children with higher reading scores (Hernandez, 2011).</w:t>
      </w:r>
      <w:r w:rsidR="00B80577" w:rsidRPr="00D55EE4">
        <w:rPr>
          <w:rStyle w:val="FootnoteReference"/>
          <w:rFonts w:ascii="Arial" w:hAnsi="Arial" w:cs="Arial"/>
        </w:rPr>
        <w:footnoteReference w:id="16"/>
      </w:r>
      <w:r w:rsidRPr="00D55EE4">
        <w:rPr>
          <w:rFonts w:ascii="Arial" w:hAnsi="Arial" w:cs="Arial"/>
        </w:rPr>
        <w:t xml:space="preserve"> Third grade is a pivotal year as there is a shift from “learning to read” to “reading to learn.” Interventions for struggling readers after third grade are seldom as effective as those interventions implemented in the early years. Hernandez (2011) reports that “one in six children who are not reading proficiently in third grade do not graduate from high school on time, a rate four times greater than that for proficient readers (p. 5).” The rates are highest for the low, below-basic readers: 23</w:t>
      </w:r>
      <w:r w:rsidR="002C0BDD" w:rsidRPr="00D55EE4">
        <w:t> </w:t>
      </w:r>
      <w:r w:rsidRPr="00D55EE4">
        <w:rPr>
          <w:rFonts w:ascii="Arial" w:hAnsi="Arial" w:cs="Arial"/>
        </w:rPr>
        <w:t xml:space="preserve">percent of these children drop out or fail to finish high school on time, compared to </w:t>
      </w:r>
      <w:r w:rsidR="009F750A">
        <w:rPr>
          <w:rFonts w:ascii="Arial" w:hAnsi="Arial" w:cs="Arial"/>
        </w:rPr>
        <w:t>nine</w:t>
      </w:r>
      <w:r w:rsidR="002C0BDD" w:rsidRPr="00D55EE4">
        <w:t> </w:t>
      </w:r>
      <w:r w:rsidRPr="00D55EE4">
        <w:rPr>
          <w:rFonts w:ascii="Arial" w:hAnsi="Arial" w:cs="Arial"/>
        </w:rPr>
        <w:t xml:space="preserve">percent of children with basic reading skills and </w:t>
      </w:r>
      <w:r w:rsidR="009F750A">
        <w:rPr>
          <w:rFonts w:ascii="Arial" w:hAnsi="Arial" w:cs="Arial"/>
        </w:rPr>
        <w:t>four</w:t>
      </w:r>
      <w:r w:rsidR="003B1A44" w:rsidRPr="00D55EE4">
        <w:t> </w:t>
      </w:r>
      <w:r w:rsidRPr="00D55EE4">
        <w:rPr>
          <w:rFonts w:ascii="Arial" w:hAnsi="Arial" w:cs="Arial"/>
        </w:rPr>
        <w:t xml:space="preserve">percent of proficient readers. </w:t>
      </w:r>
      <w:r w:rsidR="00A54FEE" w:rsidRPr="00D55EE4">
        <w:rPr>
          <w:rFonts w:ascii="Arial" w:hAnsi="Arial" w:cs="Arial"/>
        </w:rPr>
        <w:t>Therefore,</w:t>
      </w:r>
      <w:r w:rsidRPr="00D55EE4">
        <w:rPr>
          <w:rFonts w:ascii="Arial" w:hAnsi="Arial" w:cs="Arial"/>
        </w:rPr>
        <w:t xml:space="preserve"> efforts on early intervention should be a focus when trying to improve high school graduation rates.</w:t>
      </w:r>
    </w:p>
    <w:p w14:paraId="4A4F815C" w14:textId="0F24107D" w:rsidR="00880620" w:rsidRPr="00880620" w:rsidRDefault="00880620" w:rsidP="007B711B">
      <w:pPr>
        <w:pStyle w:val="NormalWeb"/>
        <w:spacing w:before="0" w:beforeAutospacing="0" w:after="240" w:afterAutospacing="0"/>
        <w:rPr>
          <w:rFonts w:ascii="Arial" w:hAnsi="Arial" w:cs="Arial"/>
        </w:rPr>
      </w:pPr>
      <w:r>
        <w:rPr>
          <w:rFonts w:ascii="Arial" w:hAnsi="Arial" w:cs="Arial"/>
        </w:rPr>
        <w:t xml:space="preserve">The </w:t>
      </w:r>
      <w:r w:rsidR="008376CA">
        <w:rPr>
          <w:rFonts w:ascii="Arial" w:hAnsi="Arial" w:cs="Arial"/>
        </w:rPr>
        <w:t xml:space="preserve">High School </w:t>
      </w:r>
      <w:r w:rsidR="00D16652">
        <w:rPr>
          <w:rFonts w:ascii="Arial" w:hAnsi="Arial" w:cs="Arial"/>
        </w:rPr>
        <w:t>Outcomes</w:t>
      </w:r>
      <w:r w:rsidR="008376CA">
        <w:rPr>
          <w:rFonts w:ascii="Arial" w:hAnsi="Arial" w:cs="Arial"/>
        </w:rPr>
        <w:t xml:space="preserve"> subcommittee</w:t>
      </w:r>
      <w:r w:rsidRPr="00880620">
        <w:rPr>
          <w:rFonts w:ascii="Arial" w:hAnsi="Arial" w:cs="Arial"/>
        </w:rPr>
        <w:t xml:space="preserve"> members </w:t>
      </w:r>
      <w:r>
        <w:rPr>
          <w:rFonts w:ascii="Arial" w:hAnsi="Arial" w:cs="Arial"/>
        </w:rPr>
        <w:t xml:space="preserve">reviewed several data sets representing different outcomes for high school students and then </w:t>
      </w:r>
      <w:r w:rsidRPr="00880620">
        <w:rPr>
          <w:rFonts w:ascii="Arial" w:hAnsi="Arial" w:cs="Arial"/>
        </w:rPr>
        <w:t xml:space="preserve">developed the </w:t>
      </w:r>
      <w:r>
        <w:rPr>
          <w:rFonts w:ascii="Arial" w:hAnsi="Arial" w:cs="Arial"/>
        </w:rPr>
        <w:t xml:space="preserve">concern and </w:t>
      </w:r>
      <w:r w:rsidRPr="00880620">
        <w:rPr>
          <w:rFonts w:ascii="Arial" w:hAnsi="Arial" w:cs="Arial"/>
        </w:rPr>
        <w:t xml:space="preserve">need statements and selected initial evidence-based strategies to address those needs. Several concerns were identified </w:t>
      </w:r>
      <w:r>
        <w:rPr>
          <w:rFonts w:ascii="Arial" w:hAnsi="Arial" w:cs="Arial"/>
        </w:rPr>
        <w:t>supported by the key data points outlined in the next section.</w:t>
      </w:r>
    </w:p>
    <w:p w14:paraId="631FE013" w14:textId="3BE1A663" w:rsidR="003D14FA" w:rsidRPr="002F0E3F" w:rsidRDefault="003D14FA" w:rsidP="007B711B">
      <w:pPr>
        <w:pStyle w:val="Heading4"/>
      </w:pPr>
      <w:r w:rsidRPr="002F0E3F">
        <w:t xml:space="preserve">Key Data Points from </w:t>
      </w:r>
      <w:r w:rsidR="006450FC">
        <w:t>Committee</w:t>
      </w:r>
      <w:r w:rsidRPr="002F0E3F">
        <w:t xml:space="preserve"> Discussions</w:t>
      </w:r>
    </w:p>
    <w:p w14:paraId="58E43582" w14:textId="365B8B1E" w:rsidR="00463E15" w:rsidRPr="002F0E3F" w:rsidRDefault="00880620" w:rsidP="007B711B">
      <w:pPr>
        <w:spacing w:after="240"/>
        <w:rPr>
          <w:rFonts w:cs="Arial"/>
        </w:rPr>
      </w:pPr>
      <w:r w:rsidRPr="002F0E3F">
        <w:rPr>
          <w:rFonts w:cs="Arial"/>
        </w:rPr>
        <w:t xml:space="preserve">The </w:t>
      </w:r>
      <w:r w:rsidR="008376CA">
        <w:rPr>
          <w:rFonts w:cs="Arial"/>
        </w:rPr>
        <w:t xml:space="preserve">High School </w:t>
      </w:r>
      <w:r w:rsidR="00D16652">
        <w:rPr>
          <w:rFonts w:cs="Arial"/>
        </w:rPr>
        <w:t>Outcomes</w:t>
      </w:r>
      <w:r w:rsidR="008376CA">
        <w:rPr>
          <w:rFonts w:cs="Arial"/>
        </w:rPr>
        <w:t xml:space="preserve"> subcommittee</w:t>
      </w:r>
      <w:r w:rsidRPr="002F0E3F">
        <w:rPr>
          <w:rFonts w:cs="Arial"/>
        </w:rPr>
        <w:t xml:space="preserve"> reviewed statewide high school graduation rates and dropout rates included in </w:t>
      </w:r>
      <w:r>
        <w:rPr>
          <w:rFonts w:cs="Arial"/>
        </w:rPr>
        <w:t>California’s Migra</w:t>
      </w:r>
      <w:r w:rsidRPr="002F0E3F">
        <w:rPr>
          <w:rFonts w:cs="Arial"/>
        </w:rPr>
        <w:t>t</w:t>
      </w:r>
      <w:r>
        <w:rPr>
          <w:rFonts w:cs="Arial"/>
        </w:rPr>
        <w:t>ory</w:t>
      </w:r>
      <w:r w:rsidRPr="002F0E3F">
        <w:rPr>
          <w:rFonts w:cs="Arial"/>
        </w:rPr>
        <w:t xml:space="preserve"> Student Profile, which provided data for </w:t>
      </w:r>
      <w:r>
        <w:rPr>
          <w:rFonts w:cs="Arial"/>
        </w:rPr>
        <w:t>m</w:t>
      </w:r>
      <w:r w:rsidRPr="002F0E3F">
        <w:rPr>
          <w:rFonts w:cs="Arial"/>
        </w:rPr>
        <w:t xml:space="preserve">igratory and </w:t>
      </w:r>
      <w:r>
        <w:rPr>
          <w:rFonts w:cs="Arial"/>
        </w:rPr>
        <w:t>a</w:t>
      </w:r>
      <w:r w:rsidRPr="002F0E3F">
        <w:rPr>
          <w:rFonts w:cs="Arial"/>
        </w:rPr>
        <w:t xml:space="preserve">ll </w:t>
      </w:r>
      <w:r>
        <w:rPr>
          <w:rFonts w:cs="Arial"/>
        </w:rPr>
        <w:t>s</w:t>
      </w:r>
      <w:r w:rsidRPr="002F0E3F">
        <w:rPr>
          <w:rFonts w:cs="Arial"/>
        </w:rPr>
        <w:t>tudents (including migratory students)</w:t>
      </w:r>
      <w:r w:rsidR="00A45127">
        <w:rPr>
          <w:rFonts w:cs="Arial"/>
        </w:rPr>
        <w:t xml:space="preserve"> over the past five years</w:t>
      </w:r>
      <w:r w:rsidRPr="002F0E3F">
        <w:rPr>
          <w:rFonts w:cs="Arial"/>
        </w:rPr>
        <w:t xml:space="preserve">. </w:t>
      </w:r>
      <w:r>
        <w:rPr>
          <w:rFonts w:cs="Arial"/>
        </w:rPr>
        <w:t xml:space="preserve">Additionally, data on four-year adjusted cohort outcome data (e.g., type of completion such as regular high school diploma or GED), the college-going rate for </w:t>
      </w:r>
      <w:r>
        <w:rPr>
          <w:rFonts w:cs="Arial"/>
        </w:rPr>
        <w:lastRenderedPageBreak/>
        <w:t xml:space="preserve">California high school students (e.g., based on institution type, whether it was in-state or out-of-state, etc.) provided the subcommittee with some information on students’ plans after high school. </w:t>
      </w:r>
      <w:r w:rsidR="00FF7A73">
        <w:rPr>
          <w:rFonts w:cs="Arial"/>
        </w:rPr>
        <w:t xml:space="preserve">The subcommittee also reviewed such </w:t>
      </w:r>
      <w:r>
        <w:rPr>
          <w:rFonts w:cs="Arial"/>
        </w:rPr>
        <w:t>MEP programmatic data</w:t>
      </w:r>
      <w:r w:rsidR="00FF7A73">
        <w:rPr>
          <w:rFonts w:cs="Arial"/>
        </w:rPr>
        <w:t xml:space="preserve"> </w:t>
      </w:r>
      <w:r>
        <w:rPr>
          <w:rFonts w:cs="Arial"/>
        </w:rPr>
        <w:t xml:space="preserve">as annual case management and credit accrual participation </w:t>
      </w:r>
      <w:proofErr w:type="gramStart"/>
      <w:r w:rsidR="00FF7A73">
        <w:rPr>
          <w:rFonts w:cs="Arial"/>
        </w:rPr>
        <w:t>in order to</w:t>
      </w:r>
      <w:proofErr w:type="gramEnd"/>
      <w:r>
        <w:rPr>
          <w:rFonts w:cs="Arial"/>
        </w:rPr>
        <w:t xml:space="preserve"> speak to different supports students in obtaining their high school diploma. </w:t>
      </w:r>
    </w:p>
    <w:p w14:paraId="45E598B0" w14:textId="502ACDF9" w:rsidR="00513448" w:rsidRPr="002F0E3F" w:rsidRDefault="004B26DA" w:rsidP="007B711B">
      <w:pPr>
        <w:spacing w:after="240"/>
        <w:rPr>
          <w:rFonts w:cs="Arial"/>
        </w:rPr>
      </w:pPr>
      <w:r>
        <w:rPr>
          <w:rFonts w:cs="Arial"/>
        </w:rPr>
        <w:t>Figure 18</w:t>
      </w:r>
      <w:r w:rsidR="00CF3D59">
        <w:rPr>
          <w:rFonts w:cs="Arial"/>
        </w:rPr>
        <w:t xml:space="preserve"> </w:t>
      </w:r>
      <w:r w:rsidR="00B80577" w:rsidRPr="002F0E3F">
        <w:rPr>
          <w:rFonts w:cs="Arial"/>
        </w:rPr>
        <w:t xml:space="preserve">(p. </w:t>
      </w:r>
      <w:r w:rsidR="00583B1F">
        <w:rPr>
          <w:rFonts w:cs="Arial"/>
        </w:rPr>
        <w:t>44</w:t>
      </w:r>
      <w:r w:rsidR="00DD797A" w:rsidRPr="002F0E3F">
        <w:rPr>
          <w:rFonts w:cs="Arial"/>
        </w:rPr>
        <w:t xml:space="preserve">) </w:t>
      </w:r>
      <w:r w:rsidR="00CF3D59" w:rsidRPr="00CF3D59">
        <w:t>Four-Year Cohort Graduation Rates for Migratory and All Students, School Years 2017–18 Through 2022–23</w:t>
      </w:r>
      <w:r w:rsidR="00513448" w:rsidRPr="002F0E3F">
        <w:rPr>
          <w:rFonts w:cs="Arial"/>
        </w:rPr>
        <w:t xml:space="preserve"> show</w:t>
      </w:r>
      <w:r w:rsidR="00366AF8" w:rsidRPr="002F0E3F">
        <w:rPr>
          <w:rFonts w:cs="Arial"/>
        </w:rPr>
        <w:t>s</w:t>
      </w:r>
      <w:r w:rsidR="00513448" w:rsidRPr="002F0E3F">
        <w:rPr>
          <w:rFonts w:cs="Arial"/>
        </w:rPr>
        <w:t xml:space="preserve"> that:</w:t>
      </w:r>
    </w:p>
    <w:p w14:paraId="141F7753" w14:textId="26FCB4F3" w:rsidR="00513448" w:rsidRPr="002F0E3F" w:rsidRDefault="00513448" w:rsidP="009670FC">
      <w:pPr>
        <w:pStyle w:val="ListParagraph"/>
        <w:numPr>
          <w:ilvl w:val="0"/>
          <w:numId w:val="10"/>
        </w:numPr>
        <w:spacing w:after="240"/>
        <w:contextualSpacing w:val="0"/>
        <w:rPr>
          <w:rFonts w:cs="Arial"/>
        </w:rPr>
      </w:pPr>
      <w:r w:rsidRPr="002F0E3F">
        <w:rPr>
          <w:rFonts w:cs="Arial"/>
        </w:rPr>
        <w:t xml:space="preserve">The gap in high school graduations rates </w:t>
      </w:r>
      <w:r w:rsidR="00F8556E" w:rsidRPr="002F0E3F">
        <w:rPr>
          <w:rFonts w:cs="Arial"/>
        </w:rPr>
        <w:t>from</w:t>
      </w:r>
      <w:r w:rsidRPr="002F0E3F">
        <w:rPr>
          <w:rFonts w:cs="Arial"/>
        </w:rPr>
        <w:t xml:space="preserve"> 2010–11 through 2013–14 was </w:t>
      </w:r>
      <w:r w:rsidR="00B80577" w:rsidRPr="002F0E3F">
        <w:rPr>
          <w:rFonts w:cs="Arial"/>
        </w:rPr>
        <w:t>stable</w:t>
      </w:r>
      <w:r w:rsidR="00366AF8" w:rsidRPr="002F0E3F">
        <w:rPr>
          <w:rFonts w:cs="Arial"/>
        </w:rPr>
        <w:t xml:space="preserve"> at approximately </w:t>
      </w:r>
      <w:r w:rsidR="009F750A">
        <w:rPr>
          <w:rFonts w:cs="Arial"/>
        </w:rPr>
        <w:t>five</w:t>
      </w:r>
      <w:r w:rsidR="002C0BDD">
        <w:t> </w:t>
      </w:r>
      <w:r w:rsidR="004E32F0" w:rsidRPr="002F0E3F">
        <w:rPr>
          <w:rFonts w:cs="Arial"/>
        </w:rPr>
        <w:t xml:space="preserve">percent with </w:t>
      </w:r>
      <w:r w:rsidR="00FF7A73">
        <w:rPr>
          <w:rFonts w:cs="Arial"/>
        </w:rPr>
        <w:t>a</w:t>
      </w:r>
      <w:r w:rsidR="004E32F0" w:rsidRPr="002F0E3F">
        <w:rPr>
          <w:rFonts w:cs="Arial"/>
        </w:rPr>
        <w:t xml:space="preserve">ll </w:t>
      </w:r>
      <w:r w:rsidR="00FF7A73">
        <w:rPr>
          <w:rFonts w:cs="Arial"/>
        </w:rPr>
        <w:t>s</w:t>
      </w:r>
      <w:r w:rsidRPr="002F0E3F">
        <w:rPr>
          <w:rFonts w:cs="Arial"/>
        </w:rPr>
        <w:t>tudents graduating at slightly higher rates.</w:t>
      </w:r>
    </w:p>
    <w:p w14:paraId="16316766" w14:textId="47B6923D" w:rsidR="00513448" w:rsidRDefault="004E32F0" w:rsidP="009670FC">
      <w:pPr>
        <w:pStyle w:val="ListParagraph"/>
        <w:numPr>
          <w:ilvl w:val="0"/>
          <w:numId w:val="10"/>
        </w:numPr>
        <w:spacing w:after="240"/>
        <w:contextualSpacing w:val="0"/>
        <w:rPr>
          <w:rFonts w:cs="Arial"/>
        </w:rPr>
      </w:pPr>
      <w:r w:rsidRPr="002F0E3F">
        <w:rPr>
          <w:rFonts w:cs="Arial"/>
        </w:rPr>
        <w:t xml:space="preserve">Migratory </w:t>
      </w:r>
      <w:r w:rsidR="00FF7A73">
        <w:rPr>
          <w:rFonts w:cs="Arial"/>
        </w:rPr>
        <w:t>s</w:t>
      </w:r>
      <w:r w:rsidR="00513448" w:rsidRPr="002F0E3F">
        <w:rPr>
          <w:rFonts w:cs="Arial"/>
        </w:rPr>
        <w:t xml:space="preserve">tudents closed the </w:t>
      </w:r>
      <w:r w:rsidR="00366AF8" w:rsidRPr="002F0E3F">
        <w:rPr>
          <w:rFonts w:cs="Arial"/>
        </w:rPr>
        <w:t xml:space="preserve">high school </w:t>
      </w:r>
      <w:r w:rsidR="00513448" w:rsidRPr="002F0E3F">
        <w:rPr>
          <w:rFonts w:cs="Arial"/>
        </w:rPr>
        <w:t xml:space="preserve">graduation </w:t>
      </w:r>
      <w:r w:rsidR="00366AF8" w:rsidRPr="002F0E3F">
        <w:rPr>
          <w:rFonts w:cs="Arial"/>
        </w:rPr>
        <w:t xml:space="preserve">gap in </w:t>
      </w:r>
      <w:r w:rsidR="00F8556E" w:rsidRPr="002F0E3F">
        <w:rPr>
          <w:rFonts w:cs="Arial"/>
        </w:rPr>
        <w:t>the school</w:t>
      </w:r>
      <w:r w:rsidR="00366AF8" w:rsidRPr="002F0E3F">
        <w:rPr>
          <w:rFonts w:cs="Arial"/>
        </w:rPr>
        <w:t xml:space="preserve"> year 2014–15 to a </w:t>
      </w:r>
      <w:r w:rsidR="009F750A">
        <w:rPr>
          <w:rFonts w:cs="Arial"/>
        </w:rPr>
        <w:t>one</w:t>
      </w:r>
      <w:r w:rsidR="002C0BDD">
        <w:t> </w:t>
      </w:r>
      <w:r w:rsidR="00366AF8" w:rsidRPr="002F0E3F">
        <w:rPr>
          <w:rFonts w:cs="Arial"/>
        </w:rPr>
        <w:t xml:space="preserve">percent gap. </w:t>
      </w:r>
    </w:p>
    <w:p w14:paraId="777D8CD2" w14:textId="00219EFE" w:rsidR="00F34171" w:rsidRPr="00F34171" w:rsidRDefault="00A93E27" w:rsidP="00F34171">
      <w:pPr>
        <w:spacing w:after="240"/>
        <w:rPr>
          <w:rFonts w:cs="Arial"/>
        </w:rPr>
      </w:pPr>
      <w:r>
        <w:rPr>
          <w:rFonts w:cs="Arial"/>
        </w:rPr>
        <w:t>In addition to identifying the cohort graduation</w:t>
      </w:r>
      <w:r w:rsidR="009E2152">
        <w:rPr>
          <w:rFonts w:cs="Arial"/>
        </w:rPr>
        <w:t xml:space="preserve"> and dropout</w:t>
      </w:r>
      <w:r>
        <w:rPr>
          <w:rFonts w:cs="Arial"/>
        </w:rPr>
        <w:t xml:space="preserve"> rate</w:t>
      </w:r>
      <w:r w:rsidR="009E2152">
        <w:rPr>
          <w:rFonts w:cs="Arial"/>
        </w:rPr>
        <w:t>s</w:t>
      </w:r>
      <w:r>
        <w:rPr>
          <w:rFonts w:cs="Arial"/>
        </w:rPr>
        <w:t xml:space="preserve">, </w:t>
      </w:r>
      <w:r w:rsidR="009E2152">
        <w:rPr>
          <w:rFonts w:cs="Arial"/>
        </w:rPr>
        <w:t xml:space="preserve">the subcommittee analyzed high school outcome </w:t>
      </w:r>
      <w:r>
        <w:rPr>
          <w:rFonts w:cs="Arial"/>
        </w:rPr>
        <w:t>data</w:t>
      </w:r>
      <w:r w:rsidR="009E2152">
        <w:rPr>
          <w:rFonts w:cs="Arial"/>
        </w:rPr>
        <w:t xml:space="preserve"> for migratory and all students. Outcome data included </w:t>
      </w:r>
      <w:r>
        <w:rPr>
          <w:rFonts w:cs="Arial"/>
        </w:rPr>
        <w:t xml:space="preserve">the percentage of migratory and all students who met the </w:t>
      </w:r>
      <w:r w:rsidR="0022001E">
        <w:rPr>
          <w:rFonts w:cs="Arial"/>
        </w:rPr>
        <w:t>UC/CSU</w:t>
      </w:r>
      <w:r>
        <w:rPr>
          <w:rFonts w:cs="Arial"/>
        </w:rPr>
        <w:t xml:space="preserve"> requirements, </w:t>
      </w:r>
      <w:r w:rsidR="009E2152">
        <w:rPr>
          <w:rFonts w:cs="Arial"/>
        </w:rPr>
        <w:t xml:space="preserve">the percentage </w:t>
      </w:r>
      <w:r>
        <w:rPr>
          <w:rFonts w:cs="Arial"/>
        </w:rPr>
        <w:t>who earned a Seal of Biliteracy or a Golden State Seal Merit Diploma</w:t>
      </w:r>
      <w:r w:rsidR="009E2152">
        <w:rPr>
          <w:rFonts w:cs="Arial"/>
        </w:rPr>
        <w:t>, and what types of colleges graduates attended</w:t>
      </w:r>
      <w:r>
        <w:rPr>
          <w:rFonts w:cs="Arial"/>
        </w:rPr>
        <w:t xml:space="preserve">. </w:t>
      </w:r>
      <w:r w:rsidR="00252151">
        <w:rPr>
          <w:rFonts w:cs="Arial"/>
        </w:rPr>
        <w:t>Table 25</w:t>
      </w:r>
      <w:r w:rsidR="00F34171">
        <w:rPr>
          <w:rFonts w:cs="Arial"/>
        </w:rPr>
        <w:t xml:space="preserve"> displays some of this high school graduation outcome data for migratory and all students. </w:t>
      </w:r>
    </w:p>
    <w:p w14:paraId="39243D0A" w14:textId="77777777" w:rsidR="00252151" w:rsidRDefault="00252151">
      <w:pPr>
        <w:rPr>
          <w:rFonts w:eastAsia="Times New Roman" w:cs="Arial"/>
          <w:b/>
          <w:lang w:eastAsia="zh-CN"/>
        </w:rPr>
      </w:pPr>
      <w:r>
        <w:br w:type="page"/>
      </w:r>
    </w:p>
    <w:p w14:paraId="76C70218" w14:textId="75E7922E" w:rsidR="00197528" w:rsidRPr="00D04DC5" w:rsidRDefault="00D04DC5" w:rsidP="00792C07">
      <w:pPr>
        <w:pStyle w:val="Heading5"/>
      </w:pPr>
      <w:bookmarkStart w:id="185" w:name="_Toc188030590"/>
      <w:r w:rsidRPr="00D04DC5">
        <w:lastRenderedPageBreak/>
        <w:t xml:space="preserve">Table </w:t>
      </w:r>
      <w:fldSimple w:instr=" SEQ Table \* ARABIC ">
        <w:r w:rsidRPr="00D04DC5">
          <w:rPr>
            <w:noProof/>
          </w:rPr>
          <w:t>25</w:t>
        </w:r>
      </w:fldSimple>
      <w:r w:rsidRPr="00D04DC5">
        <w:t>. Percentage of Migratory and All Students Meeting High School Graduation Requirements for Various Achievements in the 2022–23 Four-Year Adjusted Cohort Graduation Rate Report</w:t>
      </w:r>
      <w:bookmarkEnd w:id="185"/>
    </w:p>
    <w:tbl>
      <w:tblPr>
        <w:tblStyle w:val="PlainTable1"/>
        <w:tblW w:w="9805" w:type="dxa"/>
        <w:tblLayout w:type="fixed"/>
        <w:tblLook w:val="04A0" w:firstRow="1" w:lastRow="0" w:firstColumn="1" w:lastColumn="0" w:noHBand="0" w:noVBand="1"/>
      </w:tblPr>
      <w:tblGrid>
        <w:gridCol w:w="1255"/>
        <w:gridCol w:w="1170"/>
        <w:gridCol w:w="1350"/>
        <w:gridCol w:w="1440"/>
        <w:gridCol w:w="1800"/>
        <w:gridCol w:w="1350"/>
        <w:gridCol w:w="1440"/>
      </w:tblGrid>
      <w:tr w:rsidR="007F74BB" w:rsidRPr="00197528" w14:paraId="43DD1A5B" w14:textId="77777777" w:rsidTr="009D10E5">
        <w:trPr>
          <w:cnfStyle w:val="100000000000" w:firstRow="1" w:lastRow="0" w:firstColumn="0" w:lastColumn="0" w:oddVBand="0" w:evenVBand="0" w:oddHBand="0" w:evenHBand="0" w:firstRowFirstColumn="0" w:firstRowLastColumn="0" w:lastRowFirstColumn="0" w:lastRowLastColumn="0"/>
          <w:cantSplit/>
          <w:trHeight w:val="628"/>
          <w:tblHeader/>
        </w:trPr>
        <w:tc>
          <w:tcPr>
            <w:cnfStyle w:val="001000000000" w:firstRow="0" w:lastRow="0" w:firstColumn="1" w:lastColumn="0" w:oddVBand="0" w:evenVBand="0" w:oddHBand="0" w:evenHBand="0" w:firstRowFirstColumn="0" w:firstRowLastColumn="0" w:lastRowFirstColumn="0" w:lastRowLastColumn="0"/>
            <w:tcW w:w="1255" w:type="dxa"/>
            <w:shd w:val="clear" w:color="auto" w:fill="002060"/>
            <w:hideMark/>
          </w:tcPr>
          <w:p w14:paraId="5B8BA2C1" w14:textId="77777777" w:rsidR="007F74BB" w:rsidRPr="00197528" w:rsidRDefault="007F74BB" w:rsidP="007F74BB">
            <w:pPr>
              <w:spacing w:after="240"/>
              <w:jc w:val="center"/>
              <w:rPr>
                <w:rFonts w:cs="Arial"/>
                <w:b w:val="0"/>
                <w:bCs w:val="0"/>
                <w:lang w:val="es-MX"/>
              </w:rPr>
            </w:pPr>
            <w:r w:rsidRPr="00197528">
              <w:rPr>
                <w:rFonts w:cs="Arial"/>
                <w:b w:val="0"/>
                <w:bCs w:val="0"/>
                <w:lang w:val="es-MX"/>
              </w:rPr>
              <w:t>Race / Ethnicity</w:t>
            </w:r>
          </w:p>
        </w:tc>
        <w:tc>
          <w:tcPr>
            <w:tcW w:w="1170" w:type="dxa"/>
            <w:shd w:val="clear" w:color="auto" w:fill="002060"/>
            <w:hideMark/>
          </w:tcPr>
          <w:p w14:paraId="16EFB8D5" w14:textId="77777777" w:rsidR="007F74BB" w:rsidRPr="00197528" w:rsidRDefault="007F74BB" w:rsidP="007F74BB">
            <w:pPr>
              <w:spacing w:after="240"/>
              <w:jc w:val="center"/>
              <w:cnfStyle w:val="100000000000" w:firstRow="1" w:lastRow="0" w:firstColumn="0" w:lastColumn="0" w:oddVBand="0" w:evenVBand="0" w:oddHBand="0" w:evenHBand="0" w:firstRowFirstColumn="0" w:firstRowLastColumn="0" w:lastRowFirstColumn="0" w:lastRowLastColumn="0"/>
              <w:rPr>
                <w:rFonts w:cs="Arial"/>
                <w:b w:val="0"/>
                <w:bCs w:val="0"/>
                <w:lang w:val="es-MX"/>
              </w:rPr>
            </w:pPr>
            <w:r w:rsidRPr="00197528">
              <w:rPr>
                <w:rFonts w:cs="Arial"/>
                <w:b w:val="0"/>
                <w:bCs w:val="0"/>
                <w:lang w:val="es-MX"/>
              </w:rPr>
              <w:t>Cohort Students</w:t>
            </w:r>
          </w:p>
        </w:tc>
        <w:tc>
          <w:tcPr>
            <w:tcW w:w="1350" w:type="dxa"/>
            <w:shd w:val="clear" w:color="auto" w:fill="002060"/>
            <w:hideMark/>
          </w:tcPr>
          <w:p w14:paraId="05927A61" w14:textId="68C8C236" w:rsidR="007F74BB" w:rsidRPr="00197528" w:rsidRDefault="007F74BB" w:rsidP="007F74BB">
            <w:pPr>
              <w:spacing w:after="240"/>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97528">
              <w:rPr>
                <w:rFonts w:cs="Arial"/>
                <w:b w:val="0"/>
                <w:bCs w:val="0"/>
              </w:rPr>
              <w:t>Regular High School Diploma Graduates</w:t>
            </w:r>
          </w:p>
        </w:tc>
        <w:tc>
          <w:tcPr>
            <w:tcW w:w="1440" w:type="dxa"/>
            <w:shd w:val="clear" w:color="auto" w:fill="002060"/>
            <w:hideMark/>
          </w:tcPr>
          <w:p w14:paraId="5F6D9B27" w14:textId="77777777" w:rsidR="007F74BB" w:rsidRPr="00197528" w:rsidRDefault="007F74BB" w:rsidP="007F74BB">
            <w:pPr>
              <w:spacing w:after="240"/>
              <w:jc w:val="center"/>
              <w:cnfStyle w:val="100000000000" w:firstRow="1" w:lastRow="0" w:firstColumn="0" w:lastColumn="0" w:oddVBand="0" w:evenVBand="0" w:oddHBand="0" w:evenHBand="0" w:firstRowFirstColumn="0" w:firstRowLastColumn="0" w:lastRowFirstColumn="0" w:lastRowLastColumn="0"/>
              <w:rPr>
                <w:rFonts w:cs="Arial"/>
                <w:b w:val="0"/>
                <w:bCs w:val="0"/>
                <w:lang w:val="es-MX"/>
              </w:rPr>
            </w:pPr>
            <w:r w:rsidRPr="00197528">
              <w:rPr>
                <w:rFonts w:cs="Arial"/>
                <w:b w:val="0"/>
                <w:bCs w:val="0"/>
                <w:lang w:val="es-MX"/>
              </w:rPr>
              <w:t>Cohort Graduation Rate</w:t>
            </w:r>
          </w:p>
        </w:tc>
        <w:tc>
          <w:tcPr>
            <w:tcW w:w="1800" w:type="dxa"/>
            <w:shd w:val="clear" w:color="auto" w:fill="002060"/>
            <w:hideMark/>
          </w:tcPr>
          <w:p w14:paraId="0AE5FEB0" w14:textId="77777777" w:rsidR="007F74BB" w:rsidRPr="00197528" w:rsidRDefault="007F74BB" w:rsidP="007F74BB">
            <w:pPr>
              <w:spacing w:after="240"/>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97528">
              <w:rPr>
                <w:rFonts w:cs="Arial"/>
                <w:b w:val="0"/>
                <w:bCs w:val="0"/>
              </w:rPr>
              <w:t>Graduates Meeting UC/CSU Requirements</w:t>
            </w:r>
          </w:p>
        </w:tc>
        <w:tc>
          <w:tcPr>
            <w:tcW w:w="1350" w:type="dxa"/>
            <w:shd w:val="clear" w:color="auto" w:fill="002060"/>
            <w:hideMark/>
          </w:tcPr>
          <w:p w14:paraId="34685F69" w14:textId="77777777" w:rsidR="007F74BB" w:rsidRPr="00197528" w:rsidRDefault="007F74BB" w:rsidP="007F74BB">
            <w:pPr>
              <w:spacing w:after="240"/>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97528">
              <w:rPr>
                <w:rFonts w:cs="Arial"/>
                <w:b w:val="0"/>
                <w:bCs w:val="0"/>
              </w:rPr>
              <w:t>Graduates Earning a Seal of Biliteracy</w:t>
            </w:r>
          </w:p>
        </w:tc>
        <w:tc>
          <w:tcPr>
            <w:tcW w:w="1440" w:type="dxa"/>
            <w:shd w:val="clear" w:color="auto" w:fill="002060"/>
            <w:hideMark/>
          </w:tcPr>
          <w:p w14:paraId="2320FED6" w14:textId="77777777" w:rsidR="007F74BB" w:rsidRPr="00197528" w:rsidRDefault="007F74BB" w:rsidP="007F74BB">
            <w:pPr>
              <w:spacing w:after="240"/>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97528">
              <w:rPr>
                <w:rFonts w:cs="Arial"/>
                <w:b w:val="0"/>
                <w:bCs w:val="0"/>
              </w:rPr>
              <w:t>Graduates Earning a Golden State Seal Merit Diploma</w:t>
            </w:r>
          </w:p>
        </w:tc>
      </w:tr>
      <w:tr w:rsidR="007F74BB" w:rsidRPr="007F74BB" w14:paraId="054E45C1" w14:textId="77777777" w:rsidTr="009D10E5">
        <w:trPr>
          <w:cnfStyle w:val="000000100000" w:firstRow="0" w:lastRow="0" w:firstColumn="0" w:lastColumn="0" w:oddVBand="0" w:evenVBand="0" w:oddHBand="1" w:evenHBand="0" w:firstRowFirstColumn="0" w:firstRowLastColumn="0" w:lastRowFirstColumn="0" w:lastRowLastColumn="0"/>
          <w:cantSplit/>
          <w:trHeight w:val="380"/>
        </w:trPr>
        <w:tc>
          <w:tcPr>
            <w:cnfStyle w:val="001000000000" w:firstRow="0" w:lastRow="0" w:firstColumn="1" w:lastColumn="0" w:oddVBand="0" w:evenVBand="0" w:oddHBand="0" w:evenHBand="0" w:firstRowFirstColumn="0" w:firstRowLastColumn="0" w:lastRowFirstColumn="0" w:lastRowLastColumn="0"/>
            <w:tcW w:w="1255" w:type="dxa"/>
            <w:shd w:val="clear" w:color="auto" w:fill="FFFFFF" w:themeFill="background1"/>
            <w:hideMark/>
          </w:tcPr>
          <w:p w14:paraId="1448DAE5" w14:textId="77777777" w:rsidR="007F74BB" w:rsidRPr="007F74BB" w:rsidRDefault="007F74BB" w:rsidP="007F74BB">
            <w:pPr>
              <w:spacing w:after="240"/>
              <w:rPr>
                <w:rFonts w:cs="Arial"/>
                <w:b w:val="0"/>
                <w:bCs w:val="0"/>
                <w:lang w:val="es-MX"/>
              </w:rPr>
            </w:pPr>
            <w:r w:rsidRPr="007F74BB">
              <w:rPr>
                <w:rFonts w:cs="Arial"/>
                <w:b w:val="0"/>
                <w:bCs w:val="0"/>
                <w:lang w:val="es-MX"/>
              </w:rPr>
              <w:t>All Students</w:t>
            </w:r>
          </w:p>
        </w:tc>
        <w:tc>
          <w:tcPr>
            <w:tcW w:w="1170" w:type="dxa"/>
            <w:shd w:val="clear" w:color="auto" w:fill="FFFFFF" w:themeFill="background1"/>
            <w:hideMark/>
          </w:tcPr>
          <w:p w14:paraId="4A0241C2" w14:textId="77777777" w:rsidR="007F74BB" w:rsidRPr="007F74BB" w:rsidRDefault="007F74BB" w:rsidP="007F74BB">
            <w:pPr>
              <w:spacing w:after="240"/>
              <w:jc w:val="right"/>
              <w:cnfStyle w:val="000000100000" w:firstRow="0" w:lastRow="0" w:firstColumn="0" w:lastColumn="0" w:oddVBand="0" w:evenVBand="0" w:oddHBand="1" w:evenHBand="0" w:firstRowFirstColumn="0" w:firstRowLastColumn="0" w:lastRowFirstColumn="0" w:lastRowLastColumn="0"/>
              <w:rPr>
                <w:rFonts w:cs="Arial"/>
                <w:lang w:val="es-MX"/>
              </w:rPr>
            </w:pPr>
            <w:r w:rsidRPr="007F74BB">
              <w:rPr>
                <w:rFonts w:cs="Arial"/>
                <w:lang w:val="es-MX"/>
              </w:rPr>
              <w:t>495,492</w:t>
            </w:r>
          </w:p>
        </w:tc>
        <w:tc>
          <w:tcPr>
            <w:tcW w:w="1350" w:type="dxa"/>
            <w:shd w:val="clear" w:color="auto" w:fill="FFFFFF" w:themeFill="background1"/>
            <w:hideMark/>
          </w:tcPr>
          <w:p w14:paraId="53A17CA7" w14:textId="77777777" w:rsidR="007F74BB" w:rsidRPr="007F74BB" w:rsidRDefault="007F74BB" w:rsidP="007F74BB">
            <w:pPr>
              <w:spacing w:after="240"/>
              <w:jc w:val="right"/>
              <w:cnfStyle w:val="000000100000" w:firstRow="0" w:lastRow="0" w:firstColumn="0" w:lastColumn="0" w:oddVBand="0" w:evenVBand="0" w:oddHBand="1" w:evenHBand="0" w:firstRowFirstColumn="0" w:firstRowLastColumn="0" w:lastRowFirstColumn="0" w:lastRowLastColumn="0"/>
              <w:rPr>
                <w:rFonts w:cs="Arial"/>
                <w:lang w:val="es-MX"/>
              </w:rPr>
            </w:pPr>
            <w:r w:rsidRPr="007F74BB">
              <w:rPr>
                <w:rFonts w:cs="Arial"/>
                <w:lang w:val="es-MX"/>
              </w:rPr>
              <w:t>427,241</w:t>
            </w:r>
          </w:p>
        </w:tc>
        <w:tc>
          <w:tcPr>
            <w:tcW w:w="1440" w:type="dxa"/>
            <w:shd w:val="clear" w:color="auto" w:fill="FFFFFF" w:themeFill="background1"/>
            <w:hideMark/>
          </w:tcPr>
          <w:p w14:paraId="7537EFF3" w14:textId="77777777" w:rsidR="007F74BB" w:rsidRPr="007F74BB" w:rsidRDefault="007F74BB" w:rsidP="007F74BB">
            <w:pPr>
              <w:spacing w:after="240"/>
              <w:jc w:val="right"/>
              <w:cnfStyle w:val="000000100000" w:firstRow="0" w:lastRow="0" w:firstColumn="0" w:lastColumn="0" w:oddVBand="0" w:evenVBand="0" w:oddHBand="1" w:evenHBand="0" w:firstRowFirstColumn="0" w:firstRowLastColumn="0" w:lastRowFirstColumn="0" w:lastRowLastColumn="0"/>
              <w:rPr>
                <w:rFonts w:cs="Arial"/>
                <w:lang w:val="es-MX"/>
              </w:rPr>
            </w:pPr>
            <w:r w:rsidRPr="007F74BB">
              <w:rPr>
                <w:rFonts w:cs="Arial"/>
                <w:lang w:val="es-MX"/>
              </w:rPr>
              <w:t>86.20%</w:t>
            </w:r>
          </w:p>
        </w:tc>
        <w:tc>
          <w:tcPr>
            <w:tcW w:w="1800" w:type="dxa"/>
            <w:shd w:val="clear" w:color="auto" w:fill="FFFFFF" w:themeFill="background1"/>
            <w:hideMark/>
          </w:tcPr>
          <w:p w14:paraId="7DFD42F2" w14:textId="77777777" w:rsidR="007F74BB" w:rsidRPr="007F74BB" w:rsidRDefault="007F74BB" w:rsidP="007F74BB">
            <w:pPr>
              <w:spacing w:after="240"/>
              <w:jc w:val="right"/>
              <w:cnfStyle w:val="000000100000" w:firstRow="0" w:lastRow="0" w:firstColumn="0" w:lastColumn="0" w:oddVBand="0" w:evenVBand="0" w:oddHBand="1" w:evenHBand="0" w:firstRowFirstColumn="0" w:firstRowLastColumn="0" w:lastRowFirstColumn="0" w:lastRowLastColumn="0"/>
              <w:rPr>
                <w:rFonts w:cs="Arial"/>
                <w:lang w:val="es-MX"/>
              </w:rPr>
            </w:pPr>
            <w:r w:rsidRPr="007F74BB">
              <w:rPr>
                <w:rFonts w:cs="Arial"/>
                <w:lang w:val="es-MX"/>
              </w:rPr>
              <w:t>52.40%</w:t>
            </w:r>
          </w:p>
        </w:tc>
        <w:tc>
          <w:tcPr>
            <w:tcW w:w="1350" w:type="dxa"/>
            <w:shd w:val="clear" w:color="auto" w:fill="FFFFFF" w:themeFill="background1"/>
            <w:hideMark/>
          </w:tcPr>
          <w:p w14:paraId="77FE3FE9" w14:textId="77777777" w:rsidR="007F74BB" w:rsidRPr="007F74BB" w:rsidRDefault="007F74BB" w:rsidP="007F74BB">
            <w:pPr>
              <w:spacing w:after="240"/>
              <w:jc w:val="right"/>
              <w:cnfStyle w:val="000000100000" w:firstRow="0" w:lastRow="0" w:firstColumn="0" w:lastColumn="0" w:oddVBand="0" w:evenVBand="0" w:oddHBand="1" w:evenHBand="0" w:firstRowFirstColumn="0" w:firstRowLastColumn="0" w:lastRowFirstColumn="0" w:lastRowLastColumn="0"/>
              <w:rPr>
                <w:rFonts w:cs="Arial"/>
                <w:lang w:val="es-MX"/>
              </w:rPr>
            </w:pPr>
            <w:r w:rsidRPr="007F74BB">
              <w:rPr>
                <w:rFonts w:cs="Arial"/>
                <w:lang w:val="es-MX"/>
              </w:rPr>
              <w:t>12.40%</w:t>
            </w:r>
          </w:p>
        </w:tc>
        <w:tc>
          <w:tcPr>
            <w:tcW w:w="1440" w:type="dxa"/>
            <w:shd w:val="clear" w:color="auto" w:fill="FFFFFF" w:themeFill="background1"/>
            <w:hideMark/>
          </w:tcPr>
          <w:p w14:paraId="6FE6D38A" w14:textId="77777777" w:rsidR="007F74BB" w:rsidRPr="007F74BB" w:rsidRDefault="007F74BB" w:rsidP="007F74BB">
            <w:pPr>
              <w:spacing w:after="240"/>
              <w:jc w:val="right"/>
              <w:cnfStyle w:val="000000100000" w:firstRow="0" w:lastRow="0" w:firstColumn="0" w:lastColumn="0" w:oddVBand="0" w:evenVBand="0" w:oddHBand="1" w:evenHBand="0" w:firstRowFirstColumn="0" w:firstRowLastColumn="0" w:lastRowFirstColumn="0" w:lastRowLastColumn="0"/>
              <w:rPr>
                <w:rFonts w:cs="Arial"/>
                <w:lang w:val="es-MX"/>
              </w:rPr>
            </w:pPr>
            <w:r w:rsidRPr="007F74BB">
              <w:rPr>
                <w:rFonts w:cs="Arial"/>
                <w:lang w:val="es-MX"/>
              </w:rPr>
              <w:t>31.40%</w:t>
            </w:r>
          </w:p>
        </w:tc>
      </w:tr>
      <w:tr w:rsidR="007F74BB" w:rsidRPr="007F74BB" w14:paraId="5F106086" w14:textId="77777777" w:rsidTr="009D10E5">
        <w:trPr>
          <w:cantSplit/>
          <w:trHeight w:val="542"/>
        </w:trPr>
        <w:tc>
          <w:tcPr>
            <w:cnfStyle w:val="001000000000" w:firstRow="0" w:lastRow="0" w:firstColumn="1" w:lastColumn="0" w:oddVBand="0" w:evenVBand="0" w:oddHBand="0" w:evenHBand="0" w:firstRowFirstColumn="0" w:firstRowLastColumn="0" w:lastRowFirstColumn="0" w:lastRowLastColumn="0"/>
            <w:tcW w:w="1255" w:type="dxa"/>
            <w:shd w:val="clear" w:color="auto" w:fill="D9E2F3" w:themeFill="accent5" w:themeFillTint="33"/>
            <w:hideMark/>
          </w:tcPr>
          <w:p w14:paraId="26D6B0E4" w14:textId="77777777" w:rsidR="007F74BB" w:rsidRPr="007F74BB" w:rsidRDefault="007F74BB" w:rsidP="007F74BB">
            <w:pPr>
              <w:spacing w:after="240"/>
              <w:rPr>
                <w:rFonts w:cs="Arial"/>
                <w:b w:val="0"/>
                <w:bCs w:val="0"/>
                <w:lang w:val="es-MX"/>
              </w:rPr>
            </w:pPr>
            <w:r w:rsidRPr="007F74BB">
              <w:rPr>
                <w:rFonts w:cs="Arial"/>
                <w:b w:val="0"/>
                <w:bCs w:val="0"/>
                <w:lang w:val="es-MX"/>
              </w:rPr>
              <w:t>Migratory Students</w:t>
            </w:r>
          </w:p>
        </w:tc>
        <w:tc>
          <w:tcPr>
            <w:tcW w:w="1170" w:type="dxa"/>
            <w:shd w:val="clear" w:color="auto" w:fill="D9E2F3" w:themeFill="accent5" w:themeFillTint="33"/>
            <w:hideMark/>
          </w:tcPr>
          <w:p w14:paraId="154CE203" w14:textId="77777777" w:rsidR="007F74BB" w:rsidRPr="007F74BB" w:rsidRDefault="007F74BB" w:rsidP="007F74BB">
            <w:pPr>
              <w:spacing w:after="240"/>
              <w:jc w:val="right"/>
              <w:cnfStyle w:val="000000000000" w:firstRow="0" w:lastRow="0" w:firstColumn="0" w:lastColumn="0" w:oddVBand="0" w:evenVBand="0" w:oddHBand="0" w:evenHBand="0" w:firstRowFirstColumn="0" w:firstRowLastColumn="0" w:lastRowFirstColumn="0" w:lastRowLastColumn="0"/>
              <w:rPr>
                <w:rFonts w:cs="Arial"/>
                <w:lang w:val="es-MX"/>
              </w:rPr>
            </w:pPr>
            <w:r w:rsidRPr="007F74BB">
              <w:rPr>
                <w:rFonts w:cs="Arial"/>
                <w:lang w:val="es-MX"/>
              </w:rPr>
              <w:t>5,574</w:t>
            </w:r>
          </w:p>
        </w:tc>
        <w:tc>
          <w:tcPr>
            <w:tcW w:w="1350" w:type="dxa"/>
            <w:shd w:val="clear" w:color="auto" w:fill="D9E2F3" w:themeFill="accent5" w:themeFillTint="33"/>
            <w:hideMark/>
          </w:tcPr>
          <w:p w14:paraId="418755FF" w14:textId="77777777" w:rsidR="007F74BB" w:rsidRPr="007F74BB" w:rsidRDefault="007F74BB" w:rsidP="007F74BB">
            <w:pPr>
              <w:spacing w:after="240"/>
              <w:jc w:val="right"/>
              <w:cnfStyle w:val="000000000000" w:firstRow="0" w:lastRow="0" w:firstColumn="0" w:lastColumn="0" w:oddVBand="0" w:evenVBand="0" w:oddHBand="0" w:evenHBand="0" w:firstRowFirstColumn="0" w:firstRowLastColumn="0" w:lastRowFirstColumn="0" w:lastRowLastColumn="0"/>
              <w:rPr>
                <w:rFonts w:cs="Arial"/>
                <w:lang w:val="es-MX"/>
              </w:rPr>
            </w:pPr>
            <w:r w:rsidRPr="007F74BB">
              <w:rPr>
                <w:rFonts w:cs="Arial"/>
                <w:lang w:val="es-MX"/>
              </w:rPr>
              <w:t>4,618</w:t>
            </w:r>
          </w:p>
        </w:tc>
        <w:tc>
          <w:tcPr>
            <w:tcW w:w="1440" w:type="dxa"/>
            <w:shd w:val="clear" w:color="auto" w:fill="D9E2F3" w:themeFill="accent5" w:themeFillTint="33"/>
            <w:hideMark/>
          </w:tcPr>
          <w:p w14:paraId="7FFAE75B" w14:textId="77777777" w:rsidR="007F74BB" w:rsidRPr="007F74BB" w:rsidRDefault="007F74BB" w:rsidP="007F74BB">
            <w:pPr>
              <w:spacing w:after="240"/>
              <w:jc w:val="right"/>
              <w:cnfStyle w:val="000000000000" w:firstRow="0" w:lastRow="0" w:firstColumn="0" w:lastColumn="0" w:oddVBand="0" w:evenVBand="0" w:oddHBand="0" w:evenHBand="0" w:firstRowFirstColumn="0" w:firstRowLastColumn="0" w:lastRowFirstColumn="0" w:lastRowLastColumn="0"/>
              <w:rPr>
                <w:rFonts w:cs="Arial"/>
                <w:lang w:val="es-MX"/>
              </w:rPr>
            </w:pPr>
            <w:r w:rsidRPr="007F74BB">
              <w:rPr>
                <w:rFonts w:cs="Arial"/>
                <w:lang w:val="es-MX"/>
              </w:rPr>
              <w:t>82.80%</w:t>
            </w:r>
          </w:p>
        </w:tc>
        <w:tc>
          <w:tcPr>
            <w:tcW w:w="1800" w:type="dxa"/>
            <w:shd w:val="clear" w:color="auto" w:fill="D9E2F3" w:themeFill="accent5" w:themeFillTint="33"/>
            <w:hideMark/>
          </w:tcPr>
          <w:p w14:paraId="578A9873" w14:textId="77777777" w:rsidR="007F74BB" w:rsidRPr="007F74BB" w:rsidRDefault="007F74BB" w:rsidP="007F74BB">
            <w:pPr>
              <w:spacing w:after="240"/>
              <w:jc w:val="right"/>
              <w:cnfStyle w:val="000000000000" w:firstRow="0" w:lastRow="0" w:firstColumn="0" w:lastColumn="0" w:oddVBand="0" w:evenVBand="0" w:oddHBand="0" w:evenHBand="0" w:firstRowFirstColumn="0" w:firstRowLastColumn="0" w:lastRowFirstColumn="0" w:lastRowLastColumn="0"/>
              <w:rPr>
                <w:rFonts w:cs="Arial"/>
                <w:lang w:val="es-MX"/>
              </w:rPr>
            </w:pPr>
            <w:r w:rsidRPr="007F74BB">
              <w:rPr>
                <w:rFonts w:cs="Arial"/>
                <w:lang w:val="es-MX"/>
              </w:rPr>
              <w:t>31.10%</w:t>
            </w:r>
          </w:p>
        </w:tc>
        <w:tc>
          <w:tcPr>
            <w:tcW w:w="1350" w:type="dxa"/>
            <w:shd w:val="clear" w:color="auto" w:fill="D9E2F3" w:themeFill="accent5" w:themeFillTint="33"/>
            <w:hideMark/>
          </w:tcPr>
          <w:p w14:paraId="7B07607F" w14:textId="77777777" w:rsidR="007F74BB" w:rsidRPr="007F74BB" w:rsidRDefault="007F74BB" w:rsidP="007F74BB">
            <w:pPr>
              <w:spacing w:after="240"/>
              <w:jc w:val="right"/>
              <w:cnfStyle w:val="000000000000" w:firstRow="0" w:lastRow="0" w:firstColumn="0" w:lastColumn="0" w:oddVBand="0" w:evenVBand="0" w:oddHBand="0" w:evenHBand="0" w:firstRowFirstColumn="0" w:firstRowLastColumn="0" w:lastRowFirstColumn="0" w:lastRowLastColumn="0"/>
              <w:rPr>
                <w:rFonts w:cs="Arial"/>
                <w:lang w:val="es-MX"/>
              </w:rPr>
            </w:pPr>
            <w:r w:rsidRPr="007F74BB">
              <w:rPr>
                <w:rFonts w:cs="Arial"/>
                <w:lang w:val="es-MX"/>
              </w:rPr>
              <w:t>13.10%</w:t>
            </w:r>
          </w:p>
        </w:tc>
        <w:tc>
          <w:tcPr>
            <w:tcW w:w="1440" w:type="dxa"/>
            <w:shd w:val="clear" w:color="auto" w:fill="D9E2F3" w:themeFill="accent5" w:themeFillTint="33"/>
            <w:hideMark/>
          </w:tcPr>
          <w:p w14:paraId="650DD77A" w14:textId="77777777" w:rsidR="007F74BB" w:rsidRPr="007F74BB" w:rsidRDefault="007F74BB" w:rsidP="007F74BB">
            <w:pPr>
              <w:spacing w:after="240"/>
              <w:jc w:val="right"/>
              <w:cnfStyle w:val="000000000000" w:firstRow="0" w:lastRow="0" w:firstColumn="0" w:lastColumn="0" w:oddVBand="0" w:evenVBand="0" w:oddHBand="0" w:evenHBand="0" w:firstRowFirstColumn="0" w:firstRowLastColumn="0" w:lastRowFirstColumn="0" w:lastRowLastColumn="0"/>
              <w:rPr>
                <w:rFonts w:cs="Arial"/>
                <w:lang w:val="es-MX"/>
              </w:rPr>
            </w:pPr>
            <w:r w:rsidRPr="007F74BB">
              <w:rPr>
                <w:rFonts w:cs="Arial"/>
                <w:lang w:val="es-MX"/>
              </w:rPr>
              <w:t>18.80%</w:t>
            </w:r>
          </w:p>
        </w:tc>
      </w:tr>
    </w:tbl>
    <w:p w14:paraId="00586909" w14:textId="1E30BEF4" w:rsidR="00366AF8" w:rsidRPr="002F0E3F" w:rsidRDefault="001E28C8" w:rsidP="00583B1F">
      <w:pPr>
        <w:spacing w:after="240"/>
        <w:rPr>
          <w:rFonts w:cs="Arial"/>
        </w:rPr>
      </w:pPr>
      <w:r w:rsidRPr="001E28C8">
        <w:rPr>
          <w:rFonts w:cs="Arial"/>
        </w:rPr>
        <w:t>Source: CDE Data</w:t>
      </w:r>
      <w:r w:rsidR="006C7950">
        <w:rPr>
          <w:rFonts w:cs="Arial"/>
        </w:rPr>
        <w:t>Q</w:t>
      </w:r>
      <w:r w:rsidRPr="001E28C8">
        <w:rPr>
          <w:rFonts w:cs="Arial"/>
        </w:rPr>
        <w:t>uest, “Four-Year Adjusted Cohort Graduation Rate” SY 2022</w:t>
      </w:r>
      <w:r>
        <w:rPr>
          <w:rFonts w:cs="Arial"/>
        </w:rPr>
        <w:t>–</w:t>
      </w:r>
      <w:r w:rsidR="00197528">
        <w:rPr>
          <w:rFonts w:cs="Arial"/>
        </w:rPr>
        <w:t>2</w:t>
      </w:r>
      <w:r w:rsidRPr="001E28C8">
        <w:rPr>
          <w:rFonts w:cs="Arial"/>
        </w:rPr>
        <w:t>3</w:t>
      </w:r>
    </w:p>
    <w:p w14:paraId="392A2B76" w14:textId="5856D139" w:rsidR="001D17C0" w:rsidRPr="00C10B0A" w:rsidRDefault="001D17C0" w:rsidP="001D17C0">
      <w:pPr>
        <w:spacing w:after="240"/>
        <w:rPr>
          <w:rFonts w:cs="Arial"/>
        </w:rPr>
      </w:pPr>
      <w:r>
        <w:rPr>
          <w:rFonts w:cs="Arial"/>
        </w:rPr>
        <w:t xml:space="preserve">As identified by the DataQuest 2022–23 </w:t>
      </w:r>
      <w:r w:rsidRPr="007C5F6F">
        <w:rPr>
          <w:rFonts w:cs="Arial"/>
        </w:rPr>
        <w:t>Four-Year Adjusted Cohort Graduation Rate Report</w:t>
      </w:r>
      <w:r w:rsidR="00583B1F">
        <w:rPr>
          <w:rFonts w:cs="Arial"/>
        </w:rPr>
        <w:t>, the subcommittee identified the elevated the following data points:</w:t>
      </w:r>
      <w:r>
        <w:rPr>
          <w:rFonts w:cs="Arial"/>
        </w:rPr>
        <w:t xml:space="preserve"> </w:t>
      </w:r>
    </w:p>
    <w:p w14:paraId="21D21307" w14:textId="7123F724" w:rsidR="001D17C0" w:rsidRDefault="001D17C0" w:rsidP="009670FC">
      <w:pPr>
        <w:pStyle w:val="ListParagraph"/>
        <w:numPr>
          <w:ilvl w:val="0"/>
          <w:numId w:val="11"/>
        </w:numPr>
        <w:spacing w:after="240"/>
        <w:contextualSpacing w:val="0"/>
        <w:rPr>
          <w:rFonts w:cs="Arial"/>
        </w:rPr>
      </w:pPr>
      <w:r>
        <w:rPr>
          <w:rFonts w:cs="Arial"/>
        </w:rPr>
        <w:t>In 2022–23, only 31.1</w:t>
      </w:r>
      <w:r w:rsidR="002C0BDD">
        <w:t> </w:t>
      </w:r>
      <w:r>
        <w:rPr>
          <w:rFonts w:cs="Arial"/>
        </w:rPr>
        <w:t>percent of migratory students met the U</w:t>
      </w:r>
      <w:r w:rsidR="00A93E27">
        <w:rPr>
          <w:rFonts w:cs="Arial"/>
        </w:rPr>
        <w:t>C</w:t>
      </w:r>
      <w:r>
        <w:rPr>
          <w:rFonts w:cs="Arial"/>
        </w:rPr>
        <w:t xml:space="preserve">/CSU requirements. </w:t>
      </w:r>
    </w:p>
    <w:p w14:paraId="63A58478" w14:textId="01DFFD6A" w:rsidR="00366AF8" w:rsidRDefault="001D17C0" w:rsidP="009670FC">
      <w:pPr>
        <w:pStyle w:val="ListParagraph"/>
        <w:numPr>
          <w:ilvl w:val="0"/>
          <w:numId w:val="11"/>
        </w:numPr>
        <w:spacing w:after="240"/>
        <w:contextualSpacing w:val="0"/>
        <w:rPr>
          <w:rFonts w:cs="Arial"/>
        </w:rPr>
      </w:pPr>
      <w:r>
        <w:rPr>
          <w:rFonts w:cs="Arial"/>
        </w:rPr>
        <w:t>In 2022–23, 52.4</w:t>
      </w:r>
      <w:r w:rsidR="002C0BDD">
        <w:t> </w:t>
      </w:r>
      <w:r>
        <w:rPr>
          <w:rFonts w:cs="Arial"/>
        </w:rPr>
        <w:t>percent of all students met the UC/CSU requirements.</w:t>
      </w:r>
    </w:p>
    <w:p w14:paraId="4D8FCD41" w14:textId="7F2F004F" w:rsidR="00583B1F" w:rsidRPr="001D17C0" w:rsidRDefault="00583B1F" w:rsidP="009670FC">
      <w:pPr>
        <w:pStyle w:val="ListParagraph"/>
        <w:numPr>
          <w:ilvl w:val="0"/>
          <w:numId w:val="11"/>
        </w:numPr>
        <w:spacing w:after="240"/>
        <w:contextualSpacing w:val="0"/>
        <w:rPr>
          <w:rFonts w:cs="Arial"/>
        </w:rPr>
      </w:pPr>
      <w:r>
        <w:rPr>
          <w:rFonts w:cs="Arial"/>
        </w:rPr>
        <w:t>In 2022–23, the gap between migratory and all students who received the State Seal of Biliteracy was .7</w:t>
      </w:r>
      <w:r>
        <w:t> </w:t>
      </w:r>
      <w:r>
        <w:rPr>
          <w:rFonts w:cs="Arial"/>
        </w:rPr>
        <w:t>percent meanwhile migratory students were 12.6</w:t>
      </w:r>
      <w:r>
        <w:t xml:space="preserve"> percent less likely to </w:t>
      </w:r>
      <w:r w:rsidR="006C7950">
        <w:t xml:space="preserve">earn the State Golden Seal Merit Diploma. </w:t>
      </w:r>
    </w:p>
    <w:p w14:paraId="5FD7D3B2" w14:textId="2F011B42" w:rsidR="00463E15" w:rsidRPr="002F0E3F" w:rsidRDefault="0037731F" w:rsidP="007B711B">
      <w:pPr>
        <w:spacing w:after="240"/>
        <w:rPr>
          <w:rFonts w:cs="Arial"/>
        </w:rPr>
      </w:pPr>
      <w:r>
        <w:rPr>
          <w:rFonts w:cs="Arial"/>
        </w:rPr>
        <w:t>T</w:t>
      </w:r>
      <w:r w:rsidR="00463E15" w:rsidRPr="002F0E3F">
        <w:rPr>
          <w:rFonts w:cs="Arial"/>
        </w:rPr>
        <w:t xml:space="preserve">he </w:t>
      </w:r>
      <w:r w:rsidR="002D6B19" w:rsidRPr="002F0E3F">
        <w:rPr>
          <w:rFonts w:cs="Arial"/>
        </w:rPr>
        <w:t xml:space="preserve">High School Graduation </w:t>
      </w:r>
      <w:r>
        <w:rPr>
          <w:rFonts w:cs="Arial"/>
        </w:rPr>
        <w:t>s</w:t>
      </w:r>
      <w:r w:rsidR="00463E15" w:rsidRPr="002F0E3F">
        <w:rPr>
          <w:rFonts w:cs="Arial"/>
        </w:rPr>
        <w:t>ubcommittee</w:t>
      </w:r>
      <w:r w:rsidR="003849C3" w:rsidRPr="002F0E3F">
        <w:rPr>
          <w:rFonts w:cs="Arial"/>
        </w:rPr>
        <w:t xml:space="preserve"> generate</w:t>
      </w:r>
      <w:r>
        <w:rPr>
          <w:rFonts w:cs="Arial"/>
        </w:rPr>
        <w:t>d</w:t>
      </w:r>
      <w:r w:rsidR="00463E15" w:rsidRPr="002F0E3F">
        <w:rPr>
          <w:rFonts w:cs="Arial"/>
        </w:rPr>
        <w:t xml:space="preserve"> the following two priority concerns</w:t>
      </w:r>
      <w:r w:rsidR="00BB0F86" w:rsidRPr="002F0E3F">
        <w:rPr>
          <w:rFonts w:cs="Arial"/>
        </w:rPr>
        <w:t>, needs</w:t>
      </w:r>
      <w:r w:rsidR="001D174D" w:rsidRPr="002F0E3F">
        <w:rPr>
          <w:rFonts w:cs="Arial"/>
        </w:rPr>
        <w:t xml:space="preserve"> and initial strategies </w:t>
      </w:r>
      <w:proofErr w:type="gramStart"/>
      <w:r>
        <w:rPr>
          <w:rFonts w:cs="Arial"/>
        </w:rPr>
        <w:t>on the basis of</w:t>
      </w:r>
      <w:proofErr w:type="gramEnd"/>
      <w:r>
        <w:rPr>
          <w:rFonts w:cs="Arial"/>
        </w:rPr>
        <w:t xml:space="preserve"> d</w:t>
      </w:r>
      <w:r w:rsidRPr="002F0E3F">
        <w:rPr>
          <w:rFonts w:cs="Arial"/>
        </w:rPr>
        <w:t>iscussions during the subcommittee meeting and review of key high school student data</w:t>
      </w:r>
      <w:r w:rsidR="00123116" w:rsidRPr="002F0E3F">
        <w:rPr>
          <w:rFonts w:cs="Arial"/>
        </w:rPr>
        <w:t>.</w:t>
      </w:r>
    </w:p>
    <w:p w14:paraId="75E14747" w14:textId="5EF177E3" w:rsidR="00960DE2" w:rsidRPr="002F0E3F" w:rsidRDefault="00960DE2" w:rsidP="007B711B">
      <w:pPr>
        <w:pStyle w:val="Heading4"/>
      </w:pPr>
      <w:r w:rsidRPr="002F0E3F">
        <w:t xml:space="preserve">High School </w:t>
      </w:r>
      <w:r w:rsidR="00D16652">
        <w:t>Outcomes</w:t>
      </w:r>
      <w:r w:rsidR="00E4537B" w:rsidRPr="002F0E3F">
        <w:t>:</w:t>
      </w:r>
      <w:r w:rsidRPr="002F0E3F">
        <w:t xml:space="preserve"> Concern Statement #1 </w:t>
      </w:r>
    </w:p>
    <w:p w14:paraId="5E78530C" w14:textId="74589B2D" w:rsidR="00960DE2" w:rsidRPr="002F0E3F" w:rsidRDefault="00DC05BB" w:rsidP="007B711B">
      <w:pPr>
        <w:spacing w:after="240"/>
        <w:rPr>
          <w:rFonts w:cs="Arial"/>
        </w:rPr>
      </w:pPr>
      <w:r w:rsidRPr="00DC05BB">
        <w:rPr>
          <w:rFonts w:cs="Arial"/>
        </w:rPr>
        <w:t xml:space="preserve">While reviewing high school student outcome data, the </w:t>
      </w:r>
      <w:r w:rsidR="008376CA">
        <w:rPr>
          <w:rFonts w:cs="Arial"/>
        </w:rPr>
        <w:t xml:space="preserve">High School </w:t>
      </w:r>
      <w:r w:rsidR="00D16652">
        <w:rPr>
          <w:rFonts w:cs="Arial"/>
        </w:rPr>
        <w:t>Outcome</w:t>
      </w:r>
      <w:r w:rsidR="008376CA">
        <w:rPr>
          <w:rFonts w:cs="Arial"/>
        </w:rPr>
        <w:t xml:space="preserve"> subcommittee</w:t>
      </w:r>
      <w:r w:rsidRPr="00DC05BB">
        <w:rPr>
          <w:rFonts w:cs="Arial"/>
        </w:rPr>
        <w:t xml:space="preserve"> were especially </w:t>
      </w:r>
      <w:r>
        <w:rPr>
          <w:rFonts w:cs="Arial"/>
        </w:rPr>
        <w:t>concerned</w:t>
      </w:r>
      <w:r w:rsidRPr="00DC05BB">
        <w:rPr>
          <w:rFonts w:cs="Arial"/>
        </w:rPr>
        <w:t xml:space="preserve"> in the discrepancy between migratory students and all students who met the UC/CSU requirements.</w:t>
      </w:r>
      <w:r>
        <w:rPr>
          <w:rFonts w:cs="Arial"/>
        </w:rPr>
        <w:t xml:space="preserve"> </w:t>
      </w:r>
      <w:r w:rsidR="00960DE2" w:rsidRPr="002F0E3F">
        <w:rPr>
          <w:rFonts w:cs="Arial"/>
        </w:rPr>
        <w:t xml:space="preserve">Subcommittee members expressed their concern </w:t>
      </w:r>
      <w:proofErr w:type="gramStart"/>
      <w:r w:rsidR="00960DE2" w:rsidRPr="002F0E3F">
        <w:rPr>
          <w:rFonts w:cs="Arial"/>
        </w:rPr>
        <w:t>as the</w:t>
      </w:r>
      <w:proofErr w:type="gramEnd"/>
      <w:r w:rsidR="00960DE2" w:rsidRPr="002F0E3F">
        <w:rPr>
          <w:rFonts w:cs="Arial"/>
        </w:rPr>
        <w:t xml:space="preserve"> </w:t>
      </w:r>
      <w:proofErr w:type="gramStart"/>
      <w:r w:rsidR="00960DE2" w:rsidRPr="002F0E3F">
        <w:rPr>
          <w:rFonts w:cs="Arial"/>
        </w:rPr>
        <w:t>following</w:t>
      </w:r>
      <w:proofErr w:type="gramEnd"/>
      <w:r w:rsidR="00960DE2" w:rsidRPr="002F0E3F">
        <w:rPr>
          <w:rFonts w:cs="Arial"/>
        </w:rPr>
        <w:t>:</w:t>
      </w:r>
    </w:p>
    <w:p w14:paraId="4916CEB2" w14:textId="1DF10DBD" w:rsidR="00960DE2" w:rsidRDefault="001E28C8" w:rsidP="0083066F">
      <w:pPr>
        <w:spacing w:after="240"/>
        <w:ind w:left="360" w:right="720"/>
        <w:jc w:val="center"/>
        <w:rPr>
          <w:rFonts w:ascii="MS Gothic" w:eastAsia="MS Gothic" w:hAnsi="MS Gothic" w:cs="MS Gothic"/>
          <w:color w:val="000000"/>
        </w:rPr>
      </w:pPr>
      <w:r>
        <w:rPr>
          <w:rFonts w:cs="Arial"/>
        </w:rPr>
        <w:t>We are concerned that only 31.1</w:t>
      </w:r>
      <w:r w:rsidR="002C0BDD">
        <w:t> </w:t>
      </w:r>
      <w:r>
        <w:rPr>
          <w:rFonts w:cs="Arial"/>
        </w:rPr>
        <w:t>percent of migratory students met the UC/CSU requirements compared to 52.4</w:t>
      </w:r>
      <w:r w:rsidR="002C0BDD">
        <w:t> </w:t>
      </w:r>
      <w:r>
        <w:rPr>
          <w:rFonts w:cs="Arial"/>
        </w:rPr>
        <w:t>percent of all students who met the requirements in 2022–23.</w:t>
      </w:r>
      <w:r w:rsidR="00960DE2" w:rsidRPr="002F0E3F">
        <w:rPr>
          <w:rFonts w:ascii="MS Gothic" w:eastAsia="MS Gothic" w:hAnsi="MS Gothic" w:cs="MS Gothic" w:hint="eastAsia"/>
          <w:color w:val="000000"/>
        </w:rPr>
        <w:t> </w:t>
      </w:r>
    </w:p>
    <w:p w14:paraId="56C66CF3" w14:textId="0C1814AF" w:rsidR="00B71D0B" w:rsidRPr="002F0E3F" w:rsidRDefault="00B71D0B" w:rsidP="00B71D0B">
      <w:pPr>
        <w:spacing w:after="240"/>
        <w:ind w:right="720"/>
        <w:rPr>
          <w:rFonts w:cs="Arial"/>
        </w:rPr>
      </w:pPr>
      <w:r>
        <w:rPr>
          <w:rFonts w:cs="Arial"/>
        </w:rPr>
        <w:lastRenderedPageBreak/>
        <w:t>Recognizing the discrepancy in college-going outcomes</w:t>
      </w:r>
      <w:r w:rsidR="00DE4085">
        <w:rPr>
          <w:rFonts w:cs="Arial"/>
        </w:rPr>
        <w:t xml:space="preserve"> between migratory and all students</w:t>
      </w:r>
      <w:r>
        <w:rPr>
          <w:rFonts w:cs="Arial"/>
        </w:rPr>
        <w:t xml:space="preserve">, the subcommittee </w:t>
      </w:r>
      <w:r w:rsidR="00DE4085">
        <w:rPr>
          <w:rFonts w:cs="Arial"/>
        </w:rPr>
        <w:t>crafted</w:t>
      </w:r>
      <w:r>
        <w:rPr>
          <w:rFonts w:cs="Arial"/>
        </w:rPr>
        <w:t xml:space="preserve"> a need statement to reflect the opportunity gap for students meeting the UC/CSU requirements.</w:t>
      </w:r>
    </w:p>
    <w:p w14:paraId="0B046C9E" w14:textId="2C107C1C" w:rsidR="00960DE2" w:rsidRPr="002F0E3F" w:rsidRDefault="00960DE2" w:rsidP="007B711B">
      <w:pPr>
        <w:pStyle w:val="Heading4"/>
      </w:pPr>
      <w:r w:rsidRPr="002F0E3F">
        <w:t>Need Statement</w:t>
      </w:r>
      <w:r w:rsidR="008E4441">
        <w:t xml:space="preserve"> </w:t>
      </w:r>
    </w:p>
    <w:p w14:paraId="43C796BB" w14:textId="127FC088" w:rsidR="00960DE2" w:rsidRPr="002F0E3F" w:rsidRDefault="00C30F4B" w:rsidP="007B711B">
      <w:pPr>
        <w:spacing w:after="240"/>
        <w:rPr>
          <w:rFonts w:cs="Arial"/>
        </w:rPr>
      </w:pPr>
      <w:r>
        <w:rPr>
          <w:rFonts w:cs="Arial"/>
        </w:rPr>
        <w:t>Concerned that migratory students were</w:t>
      </w:r>
      <w:r w:rsidR="00902221">
        <w:rPr>
          <w:rFonts w:cs="Arial"/>
        </w:rPr>
        <w:t xml:space="preserve"> not</w:t>
      </w:r>
      <w:r>
        <w:rPr>
          <w:rFonts w:cs="Arial"/>
        </w:rPr>
        <w:t xml:space="preserve"> receiving the support necessary to meet the UC/CSU requirements</w:t>
      </w:r>
      <w:r w:rsidR="00902221">
        <w:rPr>
          <w:rFonts w:cs="Arial"/>
        </w:rPr>
        <w:t xml:space="preserve"> and thus having their college opportunities limited by default</w:t>
      </w:r>
      <w:r>
        <w:rPr>
          <w:rFonts w:cs="Arial"/>
        </w:rPr>
        <w:t>, t</w:t>
      </w:r>
      <w:r w:rsidR="00960DE2" w:rsidRPr="00DC05BB">
        <w:rPr>
          <w:rFonts w:cs="Arial"/>
        </w:rPr>
        <w:t xml:space="preserve">he </w:t>
      </w:r>
      <w:r w:rsidR="00DC05BB" w:rsidRPr="00DC05BB">
        <w:rPr>
          <w:rFonts w:cs="Arial"/>
        </w:rPr>
        <w:t>s</w:t>
      </w:r>
      <w:r w:rsidR="00960DE2" w:rsidRPr="00DC05BB">
        <w:rPr>
          <w:rFonts w:cs="Arial"/>
        </w:rPr>
        <w:t>ubcommittee identified the following need</w:t>
      </w:r>
      <w:r w:rsidR="00DC05BB" w:rsidRPr="00DC05BB">
        <w:rPr>
          <w:rFonts w:cs="Arial"/>
        </w:rPr>
        <w:t xml:space="preserve"> as</w:t>
      </w:r>
      <w:r w:rsidR="00960DE2" w:rsidRPr="00DC05BB">
        <w:rPr>
          <w:rFonts w:cs="Arial"/>
        </w:rPr>
        <w:t>:</w:t>
      </w:r>
    </w:p>
    <w:p w14:paraId="5AEE59A6" w14:textId="400941BA" w:rsidR="00960DE2" w:rsidRDefault="001E28C8" w:rsidP="007B711B">
      <w:pPr>
        <w:spacing w:after="240"/>
        <w:ind w:left="360" w:right="720"/>
        <w:jc w:val="center"/>
        <w:rPr>
          <w:rFonts w:cs="Arial"/>
        </w:rPr>
      </w:pPr>
      <w:r>
        <w:rPr>
          <w:rFonts w:cs="Arial"/>
        </w:rPr>
        <w:t>An additional 21.3</w:t>
      </w:r>
      <w:r w:rsidR="002C0BDD">
        <w:t> </w:t>
      </w:r>
      <w:r>
        <w:rPr>
          <w:rFonts w:cs="Arial"/>
        </w:rPr>
        <w:t>percent of migratory students need to meet the UC/CSU requirements</w:t>
      </w:r>
      <w:r w:rsidR="00960DE2" w:rsidRPr="002F0E3F">
        <w:rPr>
          <w:rFonts w:cs="Arial"/>
        </w:rPr>
        <w:t>.</w:t>
      </w:r>
    </w:p>
    <w:p w14:paraId="512C61F5" w14:textId="2E9F0437" w:rsidR="00DE4085" w:rsidRPr="002F0E3F" w:rsidRDefault="00DE4085" w:rsidP="00DE4085">
      <w:pPr>
        <w:spacing w:after="240"/>
        <w:ind w:right="720"/>
        <w:rPr>
          <w:rFonts w:cs="Arial"/>
        </w:rPr>
      </w:pPr>
      <w:r>
        <w:rPr>
          <w:rFonts w:cs="Arial"/>
        </w:rPr>
        <w:t xml:space="preserve">Articulated by the subcommittee and confirmed by the CNA SDP Committee, the initial </w:t>
      </w:r>
      <w:r w:rsidR="00D17984">
        <w:rPr>
          <w:rFonts w:cs="Arial"/>
        </w:rPr>
        <w:t>strategies identified</w:t>
      </w:r>
      <w:r>
        <w:rPr>
          <w:rFonts w:cs="Arial"/>
        </w:rPr>
        <w:t xml:space="preserve"> below seek to </w:t>
      </w:r>
      <w:r w:rsidR="00DD2D7B">
        <w:rPr>
          <w:rFonts w:cs="Arial"/>
        </w:rPr>
        <w:t xml:space="preserve">provide a safety net for migratory students </w:t>
      </w:r>
      <w:r w:rsidR="00D17984">
        <w:rPr>
          <w:rFonts w:cs="Arial"/>
        </w:rPr>
        <w:t xml:space="preserve">at-risk of dropping out and </w:t>
      </w:r>
      <w:r w:rsidR="00DD2D7B">
        <w:rPr>
          <w:rFonts w:cs="Arial"/>
        </w:rPr>
        <w:t>encourag</w:t>
      </w:r>
      <w:r w:rsidR="00D17984">
        <w:rPr>
          <w:rFonts w:cs="Arial"/>
        </w:rPr>
        <w:t>e</w:t>
      </w:r>
      <w:r w:rsidR="00DD2D7B">
        <w:rPr>
          <w:rFonts w:cs="Arial"/>
        </w:rPr>
        <w:t xml:space="preserve"> </w:t>
      </w:r>
      <w:r w:rsidR="00D17984">
        <w:rPr>
          <w:rFonts w:cs="Arial"/>
        </w:rPr>
        <w:t>high school graduation.</w:t>
      </w:r>
    </w:p>
    <w:p w14:paraId="04F22DB8" w14:textId="3DBEA400" w:rsidR="00960DE2" w:rsidRPr="002F0E3F" w:rsidRDefault="00960DE2" w:rsidP="007B711B">
      <w:pPr>
        <w:pStyle w:val="Heading4"/>
      </w:pPr>
      <w:r w:rsidRPr="002F0E3F">
        <w:t>Initial Strategies</w:t>
      </w:r>
      <w:r w:rsidR="006450FC">
        <w:t xml:space="preserve"> to Address Need</w:t>
      </w:r>
    </w:p>
    <w:p w14:paraId="59D09B59" w14:textId="184ABDC3" w:rsidR="00960DE2" w:rsidRPr="002F0E3F" w:rsidRDefault="00170239" w:rsidP="007B711B">
      <w:pPr>
        <w:spacing w:after="240"/>
        <w:rPr>
          <w:rFonts w:cs="Arial"/>
        </w:rPr>
      </w:pPr>
      <w:r>
        <w:rPr>
          <w:rFonts w:cs="Arial"/>
        </w:rPr>
        <w:t>After considering the data and the best practices to support students in graduating high school</w:t>
      </w:r>
      <w:r w:rsidR="00960DE2" w:rsidRPr="002F0E3F">
        <w:rPr>
          <w:rFonts w:cs="Arial"/>
        </w:rPr>
        <w:t xml:space="preserve">, the </w:t>
      </w:r>
      <w:r w:rsidR="00D17984">
        <w:rPr>
          <w:rFonts w:cs="Arial"/>
        </w:rPr>
        <w:t>s</w:t>
      </w:r>
      <w:r w:rsidR="00960DE2" w:rsidRPr="002F0E3F">
        <w:rPr>
          <w:rFonts w:cs="Arial"/>
        </w:rPr>
        <w:t xml:space="preserve">ubcommittee </w:t>
      </w:r>
      <w:r>
        <w:rPr>
          <w:rFonts w:cs="Arial"/>
        </w:rPr>
        <w:t>recommended the</w:t>
      </w:r>
      <w:r w:rsidR="00960DE2" w:rsidRPr="002F0E3F">
        <w:rPr>
          <w:rFonts w:cs="Arial"/>
        </w:rPr>
        <w:t xml:space="preserve"> strategies</w:t>
      </w:r>
      <w:r>
        <w:rPr>
          <w:rFonts w:cs="Arial"/>
        </w:rPr>
        <w:t xml:space="preserve"> below</w:t>
      </w:r>
      <w:r w:rsidR="00960DE2" w:rsidRPr="002F0E3F">
        <w:rPr>
          <w:rFonts w:cs="Arial"/>
        </w:rPr>
        <w:t xml:space="preserve"> to improve migratory students’ graduation rate:</w:t>
      </w:r>
    </w:p>
    <w:p w14:paraId="76969F2D" w14:textId="330F6A07" w:rsidR="00984FC3" w:rsidRDefault="00170239" w:rsidP="009670FC">
      <w:pPr>
        <w:pStyle w:val="ListParagraph"/>
        <w:numPr>
          <w:ilvl w:val="0"/>
          <w:numId w:val="31"/>
        </w:numPr>
        <w:spacing w:after="240"/>
        <w:ind w:left="720"/>
        <w:contextualSpacing w:val="0"/>
        <w:rPr>
          <w:rFonts w:cs="Arial"/>
        </w:rPr>
      </w:pPr>
      <w:r>
        <w:rPr>
          <w:rFonts w:cs="Arial"/>
        </w:rPr>
        <w:t>Provide case management services</w:t>
      </w:r>
      <w:r w:rsidR="00984FC3">
        <w:rPr>
          <w:rFonts w:cs="Arial"/>
        </w:rPr>
        <w:t xml:space="preserve"> that cover a range of opportunities (e.g., A-G requirements, transcript review, UC/CSU requirements, career and technical education, State Seal of Biliteracy, development of future career/educational goals)</w:t>
      </w:r>
      <w:r w:rsidR="00CA3E03" w:rsidRPr="002F0E3F">
        <w:rPr>
          <w:rFonts w:cs="Arial"/>
        </w:rPr>
        <w:t>.</w:t>
      </w:r>
    </w:p>
    <w:p w14:paraId="44FAB653" w14:textId="77777777" w:rsidR="00984FC3" w:rsidRDefault="00170239" w:rsidP="009670FC">
      <w:pPr>
        <w:pStyle w:val="ListParagraph"/>
        <w:numPr>
          <w:ilvl w:val="0"/>
          <w:numId w:val="31"/>
        </w:numPr>
        <w:spacing w:after="240"/>
        <w:ind w:left="720"/>
        <w:contextualSpacing w:val="0"/>
        <w:rPr>
          <w:rFonts w:cs="Arial"/>
        </w:rPr>
      </w:pPr>
      <w:r w:rsidRPr="00984FC3">
        <w:rPr>
          <w:rFonts w:cs="Arial"/>
        </w:rPr>
        <w:t>Provide training for staff to learn how to implement case management services according to the requirements in the case management strategy.</w:t>
      </w:r>
    </w:p>
    <w:p w14:paraId="52CB736F" w14:textId="477FE47E" w:rsidR="00170239" w:rsidRPr="00984FC3" w:rsidRDefault="00170239" w:rsidP="009670FC">
      <w:pPr>
        <w:pStyle w:val="ListParagraph"/>
        <w:numPr>
          <w:ilvl w:val="0"/>
          <w:numId w:val="31"/>
        </w:numPr>
        <w:spacing w:after="240"/>
        <w:ind w:left="720"/>
        <w:contextualSpacing w:val="0"/>
        <w:rPr>
          <w:rFonts w:cs="Arial"/>
        </w:rPr>
      </w:pPr>
      <w:r w:rsidRPr="00984FC3">
        <w:rPr>
          <w:rFonts w:cs="Arial"/>
        </w:rPr>
        <w:t>Provide family workshops on the importance of student attendance, engagement, and proficiency and strategies to keep students engaged with school.</w:t>
      </w:r>
    </w:p>
    <w:p w14:paraId="19D1CA45" w14:textId="56142F3F" w:rsidR="00170239" w:rsidRPr="00984FC3" w:rsidRDefault="00170239" w:rsidP="009670FC">
      <w:pPr>
        <w:pStyle w:val="ListParagraph"/>
        <w:numPr>
          <w:ilvl w:val="0"/>
          <w:numId w:val="31"/>
        </w:numPr>
        <w:spacing w:after="240"/>
        <w:ind w:left="720"/>
        <w:contextualSpacing w:val="0"/>
        <w:rPr>
          <w:rFonts w:cs="Arial"/>
        </w:rPr>
      </w:pPr>
      <w:r w:rsidRPr="00984FC3">
        <w:rPr>
          <w:rFonts w:cs="Arial"/>
        </w:rPr>
        <w:t>Mentor-mentee relationship: Identify migratory students experiencing challenges and pair them with a staff member to provide support and guidance.</w:t>
      </w:r>
    </w:p>
    <w:p w14:paraId="523BF28A" w14:textId="60D47258" w:rsidR="00170239" w:rsidRPr="00984FC3" w:rsidRDefault="00170239" w:rsidP="009670FC">
      <w:pPr>
        <w:pStyle w:val="ListParagraph"/>
        <w:numPr>
          <w:ilvl w:val="0"/>
          <w:numId w:val="31"/>
        </w:numPr>
        <w:spacing w:after="240"/>
        <w:ind w:left="720"/>
        <w:contextualSpacing w:val="0"/>
        <w:rPr>
          <w:rFonts w:cs="Arial"/>
        </w:rPr>
      </w:pPr>
      <w:r w:rsidRPr="00984FC3">
        <w:rPr>
          <w:rFonts w:cs="Arial"/>
        </w:rPr>
        <w:t>Provide Migrant Student Leadership Institute opportunities to expose migratory students to transformative experiences.</w:t>
      </w:r>
    </w:p>
    <w:p w14:paraId="10AA1E82" w14:textId="26E68A2F" w:rsidR="00984FC3" w:rsidRPr="00984FC3" w:rsidRDefault="00984FC3" w:rsidP="009670FC">
      <w:pPr>
        <w:pStyle w:val="ListParagraph"/>
        <w:numPr>
          <w:ilvl w:val="0"/>
          <w:numId w:val="31"/>
        </w:numPr>
        <w:spacing w:after="240"/>
        <w:ind w:left="720"/>
        <w:contextualSpacing w:val="0"/>
        <w:rPr>
          <w:rFonts w:cs="Arial"/>
        </w:rPr>
      </w:pPr>
      <w:r w:rsidRPr="00984FC3">
        <w:rPr>
          <w:rFonts w:cs="Arial"/>
        </w:rPr>
        <w:t xml:space="preserve">Provide </w:t>
      </w:r>
      <w:proofErr w:type="gramStart"/>
      <w:r w:rsidRPr="00984FC3">
        <w:rPr>
          <w:rFonts w:cs="Arial"/>
        </w:rPr>
        <w:t>career technical</w:t>
      </w:r>
      <w:proofErr w:type="gramEnd"/>
      <w:r w:rsidRPr="00984FC3">
        <w:rPr>
          <w:rFonts w:cs="Arial"/>
        </w:rPr>
        <w:t xml:space="preserve"> opportunities that can result in credit accrual.</w:t>
      </w:r>
    </w:p>
    <w:p w14:paraId="542AFDDE" w14:textId="45C24976" w:rsidR="00170239" w:rsidRPr="00984FC3" w:rsidRDefault="00984FC3" w:rsidP="009670FC">
      <w:pPr>
        <w:pStyle w:val="ListParagraph"/>
        <w:numPr>
          <w:ilvl w:val="0"/>
          <w:numId w:val="31"/>
        </w:numPr>
        <w:spacing w:after="240"/>
        <w:ind w:left="720"/>
        <w:contextualSpacing w:val="0"/>
        <w:rPr>
          <w:rFonts w:cs="Arial"/>
        </w:rPr>
      </w:pPr>
      <w:r w:rsidRPr="00984FC3">
        <w:rPr>
          <w:rFonts w:cs="Arial"/>
        </w:rPr>
        <w:t>Provide immersive extracurricular activities and academic excursions to migratory students to keep them engaged.</w:t>
      </w:r>
    </w:p>
    <w:p w14:paraId="6D5FD060" w14:textId="45DE7EF4" w:rsidR="00D17984" w:rsidRPr="00D17984" w:rsidRDefault="006C6A49" w:rsidP="00170239">
      <w:pPr>
        <w:spacing w:after="240"/>
        <w:rPr>
          <w:rFonts w:cs="Arial"/>
        </w:rPr>
      </w:pPr>
      <w:r>
        <w:rPr>
          <w:rFonts w:cs="Arial"/>
        </w:rPr>
        <w:t>T</w:t>
      </w:r>
      <w:r w:rsidR="00D17984">
        <w:rPr>
          <w:rFonts w:cs="Arial"/>
        </w:rPr>
        <w:t xml:space="preserve">he subcommittee </w:t>
      </w:r>
      <w:r w:rsidR="009D27ED">
        <w:rPr>
          <w:rFonts w:cs="Arial"/>
        </w:rPr>
        <w:t>discussion and strategy development</w:t>
      </w:r>
      <w:r w:rsidR="00D17984">
        <w:rPr>
          <w:rFonts w:cs="Arial"/>
        </w:rPr>
        <w:t xml:space="preserve"> focused on supporting migratory students in graduating high school</w:t>
      </w:r>
      <w:r w:rsidR="002A5183">
        <w:rPr>
          <w:rFonts w:cs="Arial"/>
        </w:rPr>
        <w:t xml:space="preserve"> and meeting</w:t>
      </w:r>
      <w:r w:rsidR="009D27ED">
        <w:rPr>
          <w:rFonts w:cs="Arial"/>
        </w:rPr>
        <w:t xml:space="preserve"> </w:t>
      </w:r>
      <w:r w:rsidR="0037731F">
        <w:rPr>
          <w:rFonts w:cs="Arial"/>
        </w:rPr>
        <w:t xml:space="preserve">other </w:t>
      </w:r>
      <w:r w:rsidR="009D27ED">
        <w:rPr>
          <w:rFonts w:cs="Arial"/>
        </w:rPr>
        <w:t xml:space="preserve">four-year cohort graduation outcomes (e.g., obtaining the State Seal of Biliteracy). While these </w:t>
      </w:r>
      <w:r w:rsidR="009D27ED">
        <w:rPr>
          <w:rFonts w:cs="Arial"/>
        </w:rPr>
        <w:lastRenderedPageBreak/>
        <w:t>discussions focused on advocating for increased migratory student graduation rates, they agreed</w:t>
      </w:r>
      <w:r w:rsidR="00170239">
        <w:rPr>
          <w:rFonts w:cs="Arial"/>
        </w:rPr>
        <w:t xml:space="preserve"> strategies selected </w:t>
      </w:r>
      <w:r w:rsidR="00F34171">
        <w:rPr>
          <w:rFonts w:cs="Arial"/>
        </w:rPr>
        <w:t xml:space="preserve">to encourage graduation rates </w:t>
      </w:r>
      <w:r w:rsidR="00170239">
        <w:rPr>
          <w:rFonts w:cs="Arial"/>
        </w:rPr>
        <w:t xml:space="preserve">could simultaneously discourage migratory students from dropping out. </w:t>
      </w:r>
    </w:p>
    <w:p w14:paraId="36F293B6" w14:textId="564F495E" w:rsidR="00B2514D" w:rsidRPr="002F0E3F" w:rsidRDefault="00B2514D" w:rsidP="007B711B">
      <w:pPr>
        <w:pStyle w:val="Heading4"/>
      </w:pPr>
      <w:r w:rsidRPr="002F0E3F">
        <w:t xml:space="preserve">High School </w:t>
      </w:r>
      <w:r w:rsidR="00D16652">
        <w:t>Outcomes</w:t>
      </w:r>
      <w:r w:rsidR="00E4537B" w:rsidRPr="002F0E3F">
        <w:t>:</w:t>
      </w:r>
      <w:r w:rsidRPr="002F0E3F">
        <w:t xml:space="preserve"> Concern Statement</w:t>
      </w:r>
      <w:r w:rsidR="0072770C" w:rsidRPr="002F0E3F">
        <w:t xml:space="preserve"> #2</w:t>
      </w:r>
      <w:r w:rsidRPr="002F0E3F">
        <w:t xml:space="preserve"> </w:t>
      </w:r>
    </w:p>
    <w:p w14:paraId="13197A85" w14:textId="5DEF6440" w:rsidR="00B2514D" w:rsidRPr="002F0E3F" w:rsidRDefault="00B2514D" w:rsidP="007B711B">
      <w:pPr>
        <w:spacing w:after="240"/>
        <w:rPr>
          <w:rFonts w:cs="Arial"/>
        </w:rPr>
      </w:pPr>
      <w:proofErr w:type="gramStart"/>
      <w:r w:rsidRPr="002F0E3F">
        <w:rPr>
          <w:rFonts w:cs="Arial"/>
        </w:rPr>
        <w:t>Similar to</w:t>
      </w:r>
      <w:proofErr w:type="gramEnd"/>
      <w:r w:rsidRPr="002F0E3F">
        <w:rPr>
          <w:rFonts w:cs="Arial"/>
        </w:rPr>
        <w:t xml:space="preserve"> the high school graduation rate, the dropout rate is an area where </w:t>
      </w:r>
      <w:proofErr w:type="gramStart"/>
      <w:r w:rsidR="00984FC3">
        <w:rPr>
          <w:rFonts w:cs="Arial"/>
        </w:rPr>
        <w:t>m</w:t>
      </w:r>
      <w:r w:rsidRPr="002F0E3F">
        <w:rPr>
          <w:rFonts w:cs="Arial"/>
        </w:rPr>
        <w:t>igratory</w:t>
      </w:r>
      <w:proofErr w:type="gramEnd"/>
      <w:r w:rsidRPr="002F0E3F">
        <w:rPr>
          <w:rFonts w:cs="Arial"/>
        </w:rPr>
        <w:t xml:space="preserve"> and </w:t>
      </w:r>
      <w:r w:rsidR="00984FC3">
        <w:rPr>
          <w:rFonts w:cs="Arial"/>
        </w:rPr>
        <w:t>a</w:t>
      </w:r>
      <w:r w:rsidRPr="002F0E3F">
        <w:rPr>
          <w:rFonts w:cs="Arial"/>
        </w:rPr>
        <w:t xml:space="preserve">ll </w:t>
      </w:r>
      <w:r w:rsidR="00984FC3">
        <w:rPr>
          <w:rFonts w:cs="Arial"/>
        </w:rPr>
        <w:t>s</w:t>
      </w:r>
      <w:r w:rsidRPr="002F0E3F">
        <w:rPr>
          <w:rFonts w:cs="Arial"/>
        </w:rPr>
        <w:t xml:space="preserve">tudents are </w:t>
      </w:r>
      <w:proofErr w:type="gramStart"/>
      <w:r w:rsidRPr="002F0E3F">
        <w:rPr>
          <w:rFonts w:cs="Arial"/>
        </w:rPr>
        <w:t>fairly consistent</w:t>
      </w:r>
      <w:proofErr w:type="gramEnd"/>
      <w:r w:rsidRPr="002F0E3F">
        <w:rPr>
          <w:rFonts w:cs="Arial"/>
        </w:rPr>
        <w:t xml:space="preserve"> with one another with </w:t>
      </w:r>
      <w:r w:rsidR="00187694">
        <w:rPr>
          <w:rFonts w:cs="Arial"/>
        </w:rPr>
        <w:t>a 1.9</w:t>
      </w:r>
      <w:r w:rsidR="00B449D5">
        <w:rPr>
          <w:rFonts w:cs="Arial"/>
        </w:rPr>
        <w:t> </w:t>
      </w:r>
      <w:r w:rsidR="00984FC3">
        <w:rPr>
          <w:rFonts w:cs="Arial"/>
        </w:rPr>
        <w:t>percent</w:t>
      </w:r>
      <w:r w:rsidRPr="002F0E3F">
        <w:rPr>
          <w:rFonts w:cs="Arial"/>
        </w:rPr>
        <w:t xml:space="preserve"> gap separating the two groups. Subcommittee members expressed their concern </w:t>
      </w:r>
      <w:proofErr w:type="gramStart"/>
      <w:r w:rsidRPr="002F0E3F">
        <w:rPr>
          <w:rFonts w:cs="Arial"/>
        </w:rPr>
        <w:t>as the</w:t>
      </w:r>
      <w:proofErr w:type="gramEnd"/>
      <w:r w:rsidRPr="002F0E3F">
        <w:rPr>
          <w:rFonts w:cs="Arial"/>
        </w:rPr>
        <w:t xml:space="preserve"> </w:t>
      </w:r>
      <w:proofErr w:type="gramStart"/>
      <w:r w:rsidRPr="002F0E3F">
        <w:rPr>
          <w:rFonts w:cs="Arial"/>
        </w:rPr>
        <w:t>following</w:t>
      </w:r>
      <w:proofErr w:type="gramEnd"/>
      <w:r w:rsidRPr="002F0E3F">
        <w:rPr>
          <w:rFonts w:cs="Arial"/>
        </w:rPr>
        <w:t>:</w:t>
      </w:r>
    </w:p>
    <w:p w14:paraId="3D651A22" w14:textId="46449B40" w:rsidR="0073680C" w:rsidRDefault="00984FC3" w:rsidP="0073680C">
      <w:pPr>
        <w:spacing w:after="240"/>
        <w:jc w:val="center"/>
        <w:rPr>
          <w:rFonts w:cs="Arial"/>
        </w:rPr>
      </w:pPr>
      <w:r w:rsidRPr="0073680C">
        <w:rPr>
          <w:rFonts w:cs="Arial"/>
        </w:rPr>
        <w:t>We are concerned that migratory students have a dropout rate of 10.1</w:t>
      </w:r>
      <w:r w:rsidR="00251FDF">
        <w:t> </w:t>
      </w:r>
      <w:r w:rsidRPr="0073680C">
        <w:rPr>
          <w:rFonts w:cs="Arial"/>
        </w:rPr>
        <w:t>percent compared to 8.2</w:t>
      </w:r>
      <w:r w:rsidR="00251FDF">
        <w:t> </w:t>
      </w:r>
      <w:r w:rsidRPr="0073680C">
        <w:rPr>
          <w:rFonts w:cs="Arial"/>
        </w:rPr>
        <w:t>percent of all students.</w:t>
      </w:r>
    </w:p>
    <w:p w14:paraId="1A34662F" w14:textId="3CA29291" w:rsidR="0073680C" w:rsidRPr="002F0E3F" w:rsidRDefault="00B449D5" w:rsidP="0073680C">
      <w:pPr>
        <w:spacing w:after="240"/>
        <w:ind w:right="720"/>
        <w:rPr>
          <w:rFonts w:cs="Arial"/>
        </w:rPr>
      </w:pPr>
      <w:proofErr w:type="gramStart"/>
      <w:r>
        <w:rPr>
          <w:rFonts w:cs="Arial"/>
        </w:rPr>
        <w:t>On the basis of</w:t>
      </w:r>
      <w:proofErr w:type="gramEnd"/>
      <w:r w:rsidR="0073680C">
        <w:rPr>
          <w:rFonts w:cs="Arial"/>
        </w:rPr>
        <w:t xml:space="preserve"> this concern, the </w:t>
      </w:r>
      <w:r w:rsidR="000505AA">
        <w:rPr>
          <w:rFonts w:cs="Arial"/>
        </w:rPr>
        <w:t>sub</w:t>
      </w:r>
      <w:r w:rsidR="0073680C">
        <w:rPr>
          <w:rFonts w:cs="Arial"/>
        </w:rPr>
        <w:t>committee developed the need statement to support efforts to reduce dropout rates.</w:t>
      </w:r>
    </w:p>
    <w:p w14:paraId="25A4BA64" w14:textId="6BB12FB5" w:rsidR="00B2514D" w:rsidRPr="002F0E3F" w:rsidRDefault="00B2514D" w:rsidP="007B711B">
      <w:pPr>
        <w:pStyle w:val="Heading4"/>
      </w:pPr>
      <w:r w:rsidRPr="002F0E3F">
        <w:t>Need Statement</w:t>
      </w:r>
    </w:p>
    <w:p w14:paraId="3B8F44BA" w14:textId="5E4C9EA7" w:rsidR="00B2514D" w:rsidRPr="002F0E3F" w:rsidRDefault="00B2514D" w:rsidP="007B711B">
      <w:pPr>
        <w:spacing w:after="240"/>
        <w:rPr>
          <w:rFonts w:cs="Arial"/>
        </w:rPr>
      </w:pPr>
      <w:r w:rsidRPr="002F0E3F">
        <w:rPr>
          <w:rFonts w:cs="Arial"/>
        </w:rPr>
        <w:t xml:space="preserve">Migratory </w:t>
      </w:r>
      <w:r w:rsidR="00B449D5">
        <w:rPr>
          <w:rFonts w:cs="Arial"/>
        </w:rPr>
        <w:t>s</w:t>
      </w:r>
      <w:r w:rsidRPr="002F0E3F">
        <w:rPr>
          <w:rFonts w:cs="Arial"/>
        </w:rPr>
        <w:t xml:space="preserve">tudents’ dropout rate </w:t>
      </w:r>
      <w:r w:rsidR="00984FC3">
        <w:rPr>
          <w:rFonts w:cs="Arial"/>
        </w:rPr>
        <w:t xml:space="preserve">has been </w:t>
      </w:r>
      <w:proofErr w:type="gramStart"/>
      <w:r w:rsidR="00984FC3">
        <w:rPr>
          <w:rFonts w:cs="Arial"/>
        </w:rPr>
        <w:t>fairly steady</w:t>
      </w:r>
      <w:proofErr w:type="gramEnd"/>
      <w:r w:rsidR="00984FC3">
        <w:rPr>
          <w:rFonts w:cs="Arial"/>
        </w:rPr>
        <w:t xml:space="preserve"> from </w:t>
      </w:r>
      <w:r w:rsidRPr="002F0E3F">
        <w:rPr>
          <w:rFonts w:cs="Arial"/>
        </w:rPr>
        <w:t>201</w:t>
      </w:r>
      <w:r w:rsidR="00984FC3">
        <w:rPr>
          <w:rFonts w:cs="Arial"/>
        </w:rPr>
        <w:t>7</w:t>
      </w:r>
      <w:r w:rsidRPr="002F0E3F">
        <w:rPr>
          <w:rFonts w:cs="Arial"/>
        </w:rPr>
        <w:t>–1</w:t>
      </w:r>
      <w:r w:rsidR="00984FC3">
        <w:rPr>
          <w:rFonts w:cs="Arial"/>
        </w:rPr>
        <w:t>8 through 2020–21</w:t>
      </w:r>
      <w:r w:rsidRPr="002F0E3F">
        <w:rPr>
          <w:rFonts w:cs="Arial"/>
        </w:rPr>
        <w:t xml:space="preserve">. </w:t>
      </w:r>
      <w:r w:rsidR="00984FC3">
        <w:rPr>
          <w:rFonts w:cs="Arial"/>
        </w:rPr>
        <w:t xml:space="preserve">In 2021–22, </w:t>
      </w:r>
      <w:r w:rsidR="004601B9">
        <w:rPr>
          <w:rFonts w:cs="Arial"/>
        </w:rPr>
        <w:t xml:space="preserve">dropout rates for both migratory and all students </w:t>
      </w:r>
      <w:r w:rsidR="00B32DB9">
        <w:rPr>
          <w:rFonts w:cs="Arial"/>
        </w:rPr>
        <w:t xml:space="preserve">decreased with </w:t>
      </w:r>
      <w:r w:rsidR="00691CD4">
        <w:rPr>
          <w:rFonts w:cs="Arial"/>
        </w:rPr>
        <w:t>all</w:t>
      </w:r>
      <w:r w:rsidR="00B32DB9">
        <w:rPr>
          <w:rFonts w:cs="Arial"/>
        </w:rPr>
        <w:t xml:space="preserve"> students seeing a larger decrease of 1.6</w:t>
      </w:r>
      <w:r w:rsidR="00251FDF">
        <w:t> </w:t>
      </w:r>
      <w:r w:rsidR="00B32DB9">
        <w:rPr>
          <w:rFonts w:cs="Arial"/>
        </w:rPr>
        <w:t>percentage points compared to the 1.3</w:t>
      </w:r>
      <w:r w:rsidR="00251FDF">
        <w:t> </w:t>
      </w:r>
      <w:r w:rsidR="00B32DB9">
        <w:rPr>
          <w:rFonts w:cs="Arial"/>
        </w:rPr>
        <w:t xml:space="preserve">percentage point decrease for </w:t>
      </w:r>
      <w:r w:rsidR="00691CD4">
        <w:rPr>
          <w:rFonts w:cs="Arial"/>
        </w:rPr>
        <w:t>migratory</w:t>
      </w:r>
      <w:r w:rsidR="00B32DB9">
        <w:rPr>
          <w:rFonts w:cs="Arial"/>
        </w:rPr>
        <w:t xml:space="preserve"> students</w:t>
      </w:r>
      <w:r w:rsidRPr="002F0E3F">
        <w:rPr>
          <w:rFonts w:cs="Arial"/>
          <w:color w:val="000000"/>
        </w:rPr>
        <w:t>.</w:t>
      </w:r>
      <w:r w:rsidR="00B32DB9">
        <w:rPr>
          <w:rFonts w:cs="Arial"/>
        </w:rPr>
        <w:t xml:space="preserve"> However, the dropout rate increased slightly in 2022–23</w:t>
      </w:r>
      <w:r w:rsidR="00691CD4">
        <w:rPr>
          <w:rFonts w:cs="Arial"/>
        </w:rPr>
        <w:t xml:space="preserve"> for both groups as did the achievement gap between the two groups</w:t>
      </w:r>
      <w:r w:rsidRPr="002F0E3F">
        <w:rPr>
          <w:rFonts w:cs="Arial"/>
        </w:rPr>
        <w:t xml:space="preserve">. The High School </w:t>
      </w:r>
      <w:r w:rsidR="00B449D5">
        <w:rPr>
          <w:rFonts w:cs="Arial"/>
        </w:rPr>
        <w:t>s</w:t>
      </w:r>
      <w:r w:rsidRPr="002F0E3F">
        <w:rPr>
          <w:rFonts w:cs="Arial"/>
        </w:rPr>
        <w:t>ubcommittee identified the following need:</w:t>
      </w:r>
    </w:p>
    <w:p w14:paraId="024C6878" w14:textId="30306351" w:rsidR="00B2514D" w:rsidRDefault="00984FC3" w:rsidP="000505AA">
      <w:pPr>
        <w:spacing w:after="240"/>
        <w:ind w:left="-20"/>
        <w:jc w:val="center"/>
        <w:rPr>
          <w:rFonts w:cs="Arial"/>
        </w:rPr>
      </w:pPr>
      <w:r w:rsidRPr="00984FC3">
        <w:rPr>
          <w:rFonts w:cs="Arial"/>
        </w:rPr>
        <w:t>The percentage of migratory students dropping out needs to be reduced by at least 1.9</w:t>
      </w:r>
      <w:r w:rsidR="00251FDF">
        <w:t> </w:t>
      </w:r>
      <w:r w:rsidRPr="00984FC3">
        <w:rPr>
          <w:rFonts w:cs="Arial"/>
        </w:rPr>
        <w:t>percent</w:t>
      </w:r>
      <w:r w:rsidR="00B2514D" w:rsidRPr="00984FC3">
        <w:rPr>
          <w:rFonts w:cs="Arial"/>
        </w:rPr>
        <w:t>.</w:t>
      </w:r>
    </w:p>
    <w:p w14:paraId="3C0A026E" w14:textId="54B83249" w:rsidR="000505AA" w:rsidRPr="00984FC3" w:rsidRDefault="000505AA" w:rsidP="000505AA">
      <w:pPr>
        <w:spacing w:after="240"/>
        <w:ind w:left="-20"/>
        <w:rPr>
          <w:rFonts w:cs="Arial"/>
        </w:rPr>
      </w:pPr>
      <w:r>
        <w:rPr>
          <w:rFonts w:cs="Arial"/>
        </w:rPr>
        <w:t>This need prompted the CNA SDP Committee to select the initial strategies laid out in the</w:t>
      </w:r>
      <w:r w:rsidR="00B449D5">
        <w:rPr>
          <w:rFonts w:cs="Arial"/>
        </w:rPr>
        <w:t xml:space="preserve"> following</w:t>
      </w:r>
      <w:r>
        <w:rPr>
          <w:rFonts w:cs="Arial"/>
        </w:rPr>
        <w:t xml:space="preserve"> Initial Strategies to Address Need section targeting high school dropout rates.</w:t>
      </w:r>
    </w:p>
    <w:p w14:paraId="48506F5A" w14:textId="783F7CF9" w:rsidR="00B2514D" w:rsidRPr="002F0E3F" w:rsidRDefault="00B2514D" w:rsidP="007B711B">
      <w:pPr>
        <w:pStyle w:val="Heading4"/>
      </w:pPr>
      <w:r w:rsidRPr="002F0E3F">
        <w:t>Initial Strategies</w:t>
      </w:r>
      <w:r w:rsidR="006450FC">
        <w:t xml:space="preserve"> to Address Need</w:t>
      </w:r>
    </w:p>
    <w:p w14:paraId="50CCAC88" w14:textId="3AEB381E" w:rsidR="00B2514D" w:rsidRPr="002F0E3F" w:rsidRDefault="000505AA" w:rsidP="007B711B">
      <w:pPr>
        <w:spacing w:after="240"/>
        <w:rPr>
          <w:rFonts w:cs="Arial"/>
        </w:rPr>
      </w:pPr>
      <w:r>
        <w:rPr>
          <w:rFonts w:cs="Arial"/>
        </w:rPr>
        <w:t>As noted previously</w:t>
      </w:r>
      <w:r w:rsidR="00B2514D" w:rsidRPr="002F0E3F">
        <w:rPr>
          <w:rFonts w:cs="Arial"/>
        </w:rPr>
        <w:t xml:space="preserve">, the </w:t>
      </w:r>
      <w:r>
        <w:rPr>
          <w:rFonts w:cs="Arial"/>
        </w:rPr>
        <w:t>s</w:t>
      </w:r>
      <w:r w:rsidR="00B2514D" w:rsidRPr="002F0E3F">
        <w:rPr>
          <w:rFonts w:cs="Arial"/>
        </w:rPr>
        <w:t xml:space="preserve">ubcommittee suggested the following strategies </w:t>
      </w:r>
      <w:r w:rsidR="00B449D5">
        <w:rPr>
          <w:rFonts w:cs="Arial"/>
        </w:rPr>
        <w:t>intended</w:t>
      </w:r>
      <w:r w:rsidR="00B449D5" w:rsidRPr="002F0E3F">
        <w:rPr>
          <w:rFonts w:cs="Arial"/>
        </w:rPr>
        <w:t xml:space="preserve"> </w:t>
      </w:r>
      <w:r>
        <w:rPr>
          <w:rFonts w:cs="Arial"/>
        </w:rPr>
        <w:t>to</w:t>
      </w:r>
      <w:r w:rsidR="00B2514D" w:rsidRPr="002F0E3F">
        <w:rPr>
          <w:rFonts w:cs="Arial"/>
        </w:rPr>
        <w:t xml:space="preserve"> improv</w:t>
      </w:r>
      <w:r>
        <w:rPr>
          <w:rFonts w:cs="Arial"/>
        </w:rPr>
        <w:t>e</w:t>
      </w:r>
      <w:r w:rsidR="00B2514D" w:rsidRPr="002F0E3F">
        <w:rPr>
          <w:rFonts w:cs="Arial"/>
        </w:rPr>
        <w:t xml:space="preserve"> the high school graduation rate</w:t>
      </w:r>
      <w:r>
        <w:rPr>
          <w:rFonts w:cs="Arial"/>
        </w:rPr>
        <w:t xml:space="preserve"> while reducing the dropout rate</w:t>
      </w:r>
      <w:r w:rsidR="00B2514D" w:rsidRPr="002F0E3F">
        <w:rPr>
          <w:rFonts w:cs="Arial"/>
        </w:rPr>
        <w:t>:</w:t>
      </w:r>
    </w:p>
    <w:p w14:paraId="2CE0D0FD" w14:textId="69939A7B" w:rsidR="00B2514D" w:rsidRDefault="00691CD4" w:rsidP="009670FC">
      <w:pPr>
        <w:pStyle w:val="ListParagraph"/>
        <w:numPr>
          <w:ilvl w:val="0"/>
          <w:numId w:val="32"/>
        </w:numPr>
        <w:spacing w:after="240"/>
        <w:ind w:left="720"/>
        <w:contextualSpacing w:val="0"/>
        <w:rPr>
          <w:rFonts w:cs="Arial"/>
        </w:rPr>
      </w:pPr>
      <w:r w:rsidRPr="00691CD4">
        <w:rPr>
          <w:rFonts w:cs="Arial"/>
        </w:rPr>
        <w:t>The MEP will provide multiple pathways for students to recover credits based on learning needs, local partnerships, and available</w:t>
      </w:r>
      <w:r w:rsidR="00B449D5">
        <w:rPr>
          <w:rFonts w:cs="Arial"/>
        </w:rPr>
        <w:t xml:space="preserve">, </w:t>
      </w:r>
      <w:r w:rsidRPr="00691CD4">
        <w:rPr>
          <w:rFonts w:cs="Arial"/>
        </w:rPr>
        <w:t>school board approved curriculum. All opportunities must be approved by the local school board as the district is the only entity able to award credits.</w:t>
      </w:r>
    </w:p>
    <w:p w14:paraId="02085168" w14:textId="208D7573" w:rsidR="00691CD4" w:rsidRDefault="00691CD4" w:rsidP="009670FC">
      <w:pPr>
        <w:pStyle w:val="ListParagraph"/>
        <w:numPr>
          <w:ilvl w:val="0"/>
          <w:numId w:val="32"/>
        </w:numPr>
        <w:spacing w:after="240"/>
        <w:ind w:left="720"/>
        <w:contextualSpacing w:val="0"/>
        <w:rPr>
          <w:rFonts w:cs="Arial"/>
        </w:rPr>
      </w:pPr>
      <w:r w:rsidRPr="000505AA">
        <w:rPr>
          <w:rFonts w:cs="Arial"/>
        </w:rPr>
        <w:t>Provide immersive opportunities/develop partnerships with higher ed</w:t>
      </w:r>
      <w:r w:rsidR="00B449D5">
        <w:rPr>
          <w:rFonts w:cs="Arial"/>
        </w:rPr>
        <w:t>ucation</w:t>
      </w:r>
      <w:r w:rsidRPr="000505AA">
        <w:rPr>
          <w:rFonts w:cs="Arial"/>
        </w:rPr>
        <w:t xml:space="preserve"> institutions that create connectedness and enhance students’ agency and sense of belonging (</w:t>
      </w:r>
      <w:r w:rsidR="000505AA" w:rsidRPr="000505AA">
        <w:rPr>
          <w:rFonts w:cs="Arial"/>
        </w:rPr>
        <w:t>e.g., Migrant Student Leadership Institute).</w:t>
      </w:r>
    </w:p>
    <w:p w14:paraId="28062200" w14:textId="483AE526" w:rsidR="000505AA" w:rsidRPr="000505AA" w:rsidRDefault="000505AA" w:rsidP="000505AA">
      <w:pPr>
        <w:spacing w:after="240"/>
        <w:rPr>
          <w:rFonts w:cs="Arial"/>
        </w:rPr>
      </w:pPr>
      <w:r>
        <w:rPr>
          <w:rFonts w:cs="Arial"/>
        </w:rPr>
        <w:lastRenderedPageBreak/>
        <w:t>The CNA SDP Committee (including the SPAC) will provide additional feedback on this focus area, as well as the outcome-based focus areas, once the CDE presents the draft CNA and SDP.</w:t>
      </w:r>
    </w:p>
    <w:p w14:paraId="47BE42E4" w14:textId="611A125D" w:rsidR="00230D82" w:rsidRPr="002F0E3F" w:rsidRDefault="00230D82" w:rsidP="007B711B">
      <w:pPr>
        <w:pStyle w:val="Heading3"/>
      </w:pPr>
      <w:bookmarkStart w:id="186" w:name="_Toc496195921"/>
      <w:bookmarkStart w:id="187" w:name="_Toc188361329"/>
      <w:r w:rsidRPr="002F0E3F">
        <w:t>Output-</w:t>
      </w:r>
      <w:r w:rsidR="00F80C88">
        <w:t>B</w:t>
      </w:r>
      <w:r w:rsidRPr="002F0E3F">
        <w:t>ased Focus Areas</w:t>
      </w:r>
      <w:bookmarkEnd w:id="186"/>
      <w:bookmarkEnd w:id="187"/>
    </w:p>
    <w:p w14:paraId="454D068E" w14:textId="4E39AC55" w:rsidR="004474FA" w:rsidRDefault="00AB281D" w:rsidP="007B711B">
      <w:pPr>
        <w:pStyle w:val="NormalWeb"/>
        <w:spacing w:before="0" w:beforeAutospacing="0" w:after="240" w:afterAutospacing="0"/>
        <w:rPr>
          <w:rFonts w:ascii="Arial" w:hAnsi="Arial" w:cs="Arial"/>
        </w:rPr>
      </w:pPr>
      <w:r w:rsidRPr="002F0E3F">
        <w:rPr>
          <w:rFonts w:ascii="Arial" w:hAnsi="Arial" w:cs="Arial"/>
        </w:rPr>
        <w:t>The output-based focus areas are additional target areas included in the SSDP. These target, or focus, areas will guide the MEP in the planning and service delivery at the state, regional</w:t>
      </w:r>
      <w:r w:rsidR="00F80C88">
        <w:rPr>
          <w:rFonts w:ascii="Arial" w:hAnsi="Arial" w:cs="Arial"/>
        </w:rPr>
        <w:t>,</w:t>
      </w:r>
      <w:r w:rsidRPr="002F0E3F">
        <w:rPr>
          <w:rFonts w:ascii="Arial" w:hAnsi="Arial" w:cs="Arial"/>
        </w:rPr>
        <w:t xml:space="preserve"> and local levels. The identified needs described in this section were better suited to be measured by </w:t>
      </w:r>
      <w:proofErr w:type="gramStart"/>
      <w:r w:rsidRPr="002F0E3F">
        <w:rPr>
          <w:rFonts w:ascii="Arial" w:hAnsi="Arial" w:cs="Arial"/>
        </w:rPr>
        <w:t>outputs</w:t>
      </w:r>
      <w:proofErr w:type="gramEnd"/>
      <w:r w:rsidRPr="002F0E3F">
        <w:rPr>
          <w:rFonts w:ascii="Arial" w:hAnsi="Arial" w:cs="Arial"/>
        </w:rPr>
        <w:t xml:space="preserve"> (i.e.</w:t>
      </w:r>
      <w:r w:rsidR="00F80C88">
        <w:rPr>
          <w:rFonts w:ascii="Arial" w:hAnsi="Arial" w:cs="Arial"/>
        </w:rPr>
        <w:t>,</w:t>
      </w:r>
      <w:r w:rsidRPr="002F0E3F">
        <w:rPr>
          <w:rFonts w:ascii="Arial" w:hAnsi="Arial" w:cs="Arial"/>
        </w:rPr>
        <w:t xml:space="preserve"> what the program produces through services) than outcomes</w:t>
      </w:r>
      <w:r w:rsidR="00FF6A57">
        <w:rPr>
          <w:rFonts w:ascii="Arial" w:hAnsi="Arial" w:cs="Arial"/>
        </w:rPr>
        <w:t xml:space="preserve"> (</w:t>
      </w:r>
      <w:r w:rsidR="004474FA">
        <w:rPr>
          <w:rFonts w:ascii="Arial" w:hAnsi="Arial" w:cs="Arial"/>
        </w:rPr>
        <w:t>i.e., changes in knowledge, skills, and behaviors). Unlike focus areas with performance targets based on standardized assessments (e.g., ELA, math, ELD), the CDE does not require any other standardized assessments; therefore, outputs are the best form of measurement in the following six focus areas:</w:t>
      </w:r>
      <w:r w:rsidR="00133E01" w:rsidRPr="002F0E3F">
        <w:rPr>
          <w:rFonts w:ascii="Arial" w:hAnsi="Arial" w:cs="Arial"/>
        </w:rPr>
        <w:t xml:space="preserve"> 1</w:t>
      </w:r>
      <w:r w:rsidRPr="002F0E3F">
        <w:rPr>
          <w:rFonts w:ascii="Arial" w:hAnsi="Arial" w:cs="Arial"/>
        </w:rPr>
        <w:t xml:space="preserve">) </w:t>
      </w:r>
      <w:r w:rsidR="00133E01" w:rsidRPr="002F0E3F">
        <w:rPr>
          <w:rFonts w:ascii="Arial" w:hAnsi="Arial" w:cs="Arial"/>
        </w:rPr>
        <w:t>School Readiness, 2) OSY, 3</w:t>
      </w:r>
      <w:r w:rsidRPr="002F0E3F">
        <w:rPr>
          <w:rFonts w:ascii="Arial" w:hAnsi="Arial" w:cs="Arial"/>
        </w:rPr>
        <w:t>) H</w:t>
      </w:r>
      <w:r w:rsidR="00133E01" w:rsidRPr="002F0E3F">
        <w:rPr>
          <w:rFonts w:ascii="Arial" w:hAnsi="Arial" w:cs="Arial"/>
        </w:rPr>
        <w:t>ealth, 4</w:t>
      </w:r>
      <w:r w:rsidRPr="002F0E3F">
        <w:rPr>
          <w:rFonts w:ascii="Arial" w:hAnsi="Arial" w:cs="Arial"/>
        </w:rPr>
        <w:t>) Parent and Family E</w:t>
      </w:r>
      <w:r w:rsidR="00133E01" w:rsidRPr="002F0E3F">
        <w:rPr>
          <w:rFonts w:ascii="Arial" w:hAnsi="Arial" w:cs="Arial"/>
        </w:rPr>
        <w:t>ngagement</w:t>
      </w:r>
      <w:r w:rsidR="00093493" w:rsidRPr="002F0E3F">
        <w:rPr>
          <w:rFonts w:ascii="Arial" w:hAnsi="Arial" w:cs="Arial"/>
        </w:rPr>
        <w:t>,</w:t>
      </w:r>
      <w:r w:rsidR="00133E01" w:rsidRPr="002F0E3F">
        <w:rPr>
          <w:rFonts w:ascii="Arial" w:hAnsi="Arial" w:cs="Arial"/>
        </w:rPr>
        <w:t xml:space="preserve"> </w:t>
      </w:r>
      <w:r w:rsidR="004474FA">
        <w:rPr>
          <w:rFonts w:ascii="Arial" w:hAnsi="Arial" w:cs="Arial"/>
        </w:rPr>
        <w:t xml:space="preserve">5) Social and Emotional Learning, </w:t>
      </w:r>
      <w:r w:rsidR="00133E01" w:rsidRPr="002F0E3F">
        <w:rPr>
          <w:rFonts w:ascii="Arial" w:hAnsi="Arial" w:cs="Arial"/>
        </w:rPr>
        <w:t xml:space="preserve">and </w:t>
      </w:r>
      <w:r w:rsidR="004474FA">
        <w:rPr>
          <w:rFonts w:ascii="Arial" w:hAnsi="Arial" w:cs="Arial"/>
        </w:rPr>
        <w:t>6</w:t>
      </w:r>
      <w:r w:rsidRPr="002F0E3F">
        <w:rPr>
          <w:rFonts w:ascii="Arial" w:hAnsi="Arial" w:cs="Arial"/>
        </w:rPr>
        <w:t>) Student Engagement</w:t>
      </w:r>
      <w:r w:rsidR="004474FA">
        <w:rPr>
          <w:rFonts w:ascii="Arial" w:hAnsi="Arial" w:cs="Arial"/>
        </w:rPr>
        <w:t>.</w:t>
      </w:r>
    </w:p>
    <w:p w14:paraId="6918FB85" w14:textId="745FD329" w:rsidR="00AB281D" w:rsidRPr="002F0E3F" w:rsidRDefault="004474FA" w:rsidP="007B711B">
      <w:pPr>
        <w:pStyle w:val="NormalWeb"/>
        <w:spacing w:before="0" w:beforeAutospacing="0" w:after="240" w:afterAutospacing="0"/>
        <w:rPr>
          <w:rFonts w:ascii="Arial" w:hAnsi="Arial" w:cs="Arial"/>
        </w:rPr>
      </w:pPr>
      <w:r>
        <w:rPr>
          <w:rFonts w:ascii="Arial" w:hAnsi="Arial" w:cs="Arial"/>
        </w:rPr>
        <w:t xml:space="preserve">Please note that the </w:t>
      </w:r>
      <w:r w:rsidR="00AB281D" w:rsidRPr="002F0E3F">
        <w:rPr>
          <w:rFonts w:ascii="Arial" w:hAnsi="Arial" w:cs="Arial"/>
        </w:rPr>
        <w:t xml:space="preserve">SDP will contain both outcomes and outputs for high school </w:t>
      </w:r>
      <w:r w:rsidR="000505AA" w:rsidRPr="002F0E3F">
        <w:rPr>
          <w:rFonts w:ascii="Arial" w:hAnsi="Arial" w:cs="Arial"/>
        </w:rPr>
        <w:t>graduation</w:t>
      </w:r>
      <w:r w:rsidR="000505AA">
        <w:rPr>
          <w:rFonts w:ascii="Arial" w:hAnsi="Arial" w:cs="Arial"/>
        </w:rPr>
        <w:t>,</w:t>
      </w:r>
      <w:r>
        <w:rPr>
          <w:rFonts w:ascii="Arial" w:hAnsi="Arial" w:cs="Arial"/>
        </w:rPr>
        <w:t xml:space="preserve"> outputs for the measurable program objectives</w:t>
      </w:r>
      <w:r w:rsidR="000505AA">
        <w:rPr>
          <w:rFonts w:ascii="Arial" w:hAnsi="Arial" w:cs="Arial"/>
        </w:rPr>
        <w:t>,</w:t>
      </w:r>
      <w:r>
        <w:rPr>
          <w:rFonts w:ascii="Arial" w:hAnsi="Arial" w:cs="Arial"/>
        </w:rPr>
        <w:t xml:space="preserve"> and an outcome for the graduation and </w:t>
      </w:r>
      <w:r w:rsidR="00F8556E">
        <w:rPr>
          <w:rFonts w:ascii="Arial" w:hAnsi="Arial" w:cs="Arial"/>
        </w:rPr>
        <w:t>dropout</w:t>
      </w:r>
      <w:r>
        <w:rPr>
          <w:rFonts w:ascii="Arial" w:hAnsi="Arial" w:cs="Arial"/>
        </w:rPr>
        <w:t xml:space="preserve"> rates</w:t>
      </w:r>
      <w:r w:rsidR="00AB281D" w:rsidRPr="002F0E3F">
        <w:rPr>
          <w:rFonts w:ascii="Arial" w:hAnsi="Arial" w:cs="Arial"/>
        </w:rPr>
        <w:t>. The SDP</w:t>
      </w:r>
      <w:r w:rsidR="00133E01" w:rsidRPr="002F0E3F">
        <w:rPr>
          <w:rFonts w:ascii="Arial" w:hAnsi="Arial" w:cs="Arial"/>
        </w:rPr>
        <w:t xml:space="preserve"> will identify specific outputs</w:t>
      </w:r>
      <w:r w:rsidR="00AB281D" w:rsidRPr="002F0E3F">
        <w:rPr>
          <w:rFonts w:ascii="Arial" w:hAnsi="Arial" w:cs="Arial"/>
        </w:rPr>
        <w:t xml:space="preserve">, </w:t>
      </w:r>
      <w:r w:rsidR="002D02F8" w:rsidRPr="002F0E3F">
        <w:rPr>
          <w:rFonts w:ascii="Arial" w:hAnsi="Arial" w:cs="Arial"/>
        </w:rPr>
        <w:t>measurable p</w:t>
      </w:r>
      <w:r>
        <w:rPr>
          <w:rFonts w:ascii="Arial" w:hAnsi="Arial" w:cs="Arial"/>
        </w:rPr>
        <w:t>rogram</w:t>
      </w:r>
      <w:r w:rsidR="002D02F8" w:rsidRPr="002F0E3F">
        <w:rPr>
          <w:rFonts w:ascii="Arial" w:hAnsi="Arial" w:cs="Arial"/>
        </w:rPr>
        <w:t xml:space="preserve"> objectives</w:t>
      </w:r>
      <w:r w:rsidR="00093493" w:rsidRPr="002F0E3F">
        <w:rPr>
          <w:rFonts w:ascii="Arial" w:hAnsi="Arial" w:cs="Arial"/>
        </w:rPr>
        <w:t>,</w:t>
      </w:r>
      <w:r w:rsidR="00AB281D" w:rsidRPr="002F0E3F">
        <w:rPr>
          <w:rFonts w:ascii="Arial" w:hAnsi="Arial" w:cs="Arial"/>
        </w:rPr>
        <w:t xml:space="preserve"> and performance targets for these focus areas based on the needs </w:t>
      </w:r>
      <w:r w:rsidR="00F34171">
        <w:rPr>
          <w:rFonts w:ascii="Arial" w:hAnsi="Arial" w:cs="Arial"/>
        </w:rPr>
        <w:t>outlin</w:t>
      </w:r>
      <w:r w:rsidR="00AB281D" w:rsidRPr="002F0E3F">
        <w:rPr>
          <w:rFonts w:ascii="Arial" w:hAnsi="Arial" w:cs="Arial"/>
        </w:rPr>
        <w:t xml:space="preserve">ed in this CNA. </w:t>
      </w:r>
    </w:p>
    <w:p w14:paraId="7E75FD39" w14:textId="77777777" w:rsidR="00E845F9" w:rsidRPr="002F0E3F" w:rsidRDefault="00E845F9" w:rsidP="00BC6DDA">
      <w:pPr>
        <w:pStyle w:val="Heading3"/>
      </w:pPr>
      <w:bookmarkStart w:id="188" w:name="_Toc496195922"/>
      <w:bookmarkStart w:id="189" w:name="_Toc188361330"/>
      <w:r w:rsidRPr="002F0E3F">
        <w:t>School Readiness</w:t>
      </w:r>
      <w:bookmarkEnd w:id="188"/>
      <w:bookmarkEnd w:id="189"/>
    </w:p>
    <w:p w14:paraId="0F8060BB" w14:textId="4984FCE8" w:rsidR="00E845F9" w:rsidRPr="002F0E3F" w:rsidRDefault="009F6FF4" w:rsidP="00BC6DDA">
      <w:pPr>
        <w:autoSpaceDE w:val="0"/>
        <w:autoSpaceDN w:val="0"/>
        <w:adjustRightInd w:val="0"/>
        <w:spacing w:after="240"/>
        <w:ind w:right="185"/>
        <w:rPr>
          <w:rFonts w:cs="Arial"/>
          <w:color w:val="221E1F"/>
        </w:rPr>
      </w:pPr>
      <w:r>
        <w:rPr>
          <w:rFonts w:cs="Arial"/>
          <w:color w:val="221E1F"/>
        </w:rPr>
        <w:t xml:space="preserve">It is commonly understood that children’s cultures, experiences, interests, and </w:t>
      </w:r>
      <w:proofErr w:type="gramStart"/>
      <w:r>
        <w:rPr>
          <w:rFonts w:cs="Arial"/>
          <w:color w:val="221E1F"/>
        </w:rPr>
        <w:t>needs</w:t>
      </w:r>
      <w:proofErr w:type="gramEnd"/>
      <w:r>
        <w:rPr>
          <w:rFonts w:cs="Arial"/>
          <w:color w:val="221E1F"/>
        </w:rPr>
        <w:t xml:space="preserve"> help shape their development. As the basis to all learning, language supports learning in all domains. For multilingual learners, their primary language development also supports learning English through the transfer of skills. Early education must have safeguards in place to ensure that children are in supportive, inclusive, culturally responsive environments that foster feelings of both physical and emotional safety. By developing these safe spaces and meaningful connections, early learn</w:t>
      </w:r>
      <w:r w:rsidR="00267F9E">
        <w:rPr>
          <w:rFonts w:cs="Arial"/>
          <w:color w:val="221E1F"/>
        </w:rPr>
        <w:t xml:space="preserve">ing can be more easily integrated across the domains </w:t>
      </w:r>
      <w:r w:rsidR="00804A2D">
        <w:rPr>
          <w:rFonts w:cs="Arial"/>
          <w:color w:val="221E1F"/>
        </w:rPr>
        <w:t xml:space="preserve">because </w:t>
      </w:r>
      <w:r w:rsidR="00267F9E">
        <w:rPr>
          <w:rFonts w:cs="Arial"/>
          <w:color w:val="221E1F"/>
        </w:rPr>
        <w:t xml:space="preserve">learning </w:t>
      </w:r>
      <w:r w:rsidR="00804A2D">
        <w:rPr>
          <w:rFonts w:cs="Arial"/>
          <w:color w:val="221E1F"/>
        </w:rPr>
        <w:t xml:space="preserve">that </w:t>
      </w:r>
      <w:r w:rsidR="00267F9E">
        <w:rPr>
          <w:rFonts w:cs="Arial"/>
          <w:color w:val="221E1F"/>
        </w:rPr>
        <w:t>tak</w:t>
      </w:r>
      <w:r w:rsidR="00804A2D">
        <w:rPr>
          <w:rFonts w:cs="Arial"/>
          <w:color w:val="221E1F"/>
        </w:rPr>
        <w:t>es</w:t>
      </w:r>
      <w:r w:rsidR="00267F9E">
        <w:rPr>
          <w:rFonts w:cs="Arial"/>
          <w:color w:val="221E1F"/>
        </w:rPr>
        <w:t xml:space="preserve"> place in one domain supports the development of skills in another domain. </w:t>
      </w:r>
      <w:r w:rsidR="00E845F9" w:rsidRPr="002F0E3F">
        <w:rPr>
          <w:rFonts w:cs="Arial"/>
          <w:color w:val="221E1F"/>
        </w:rPr>
        <w:t>The CDE’s Prescho</w:t>
      </w:r>
      <w:r w:rsidR="00133E01" w:rsidRPr="002F0E3F">
        <w:rPr>
          <w:rFonts w:cs="Arial"/>
          <w:color w:val="221E1F"/>
        </w:rPr>
        <w:t>ol</w:t>
      </w:r>
      <w:r>
        <w:rPr>
          <w:rFonts w:cs="Arial"/>
          <w:color w:val="221E1F"/>
        </w:rPr>
        <w:t>/Transitional Kindergarten</w:t>
      </w:r>
      <w:r w:rsidR="00133E01" w:rsidRPr="002F0E3F">
        <w:rPr>
          <w:rFonts w:cs="Arial"/>
          <w:color w:val="221E1F"/>
        </w:rPr>
        <w:t xml:space="preserve"> Learning Foundations</w:t>
      </w:r>
      <w:r>
        <w:rPr>
          <w:rFonts w:cs="Arial"/>
          <w:color w:val="221E1F"/>
        </w:rPr>
        <w:t xml:space="preserve"> (PTKLF)</w:t>
      </w:r>
      <w:r w:rsidR="00133E01" w:rsidRPr="002F0E3F">
        <w:rPr>
          <w:rFonts w:cs="Arial"/>
          <w:color w:val="221E1F"/>
        </w:rPr>
        <w:t xml:space="preserve"> identified</w:t>
      </w:r>
      <w:r w:rsidR="00E845F9" w:rsidRPr="002F0E3F">
        <w:rPr>
          <w:rFonts w:cs="Arial"/>
          <w:color w:val="221E1F"/>
        </w:rPr>
        <w:t xml:space="preserve"> the following</w:t>
      </w:r>
      <w:r w:rsidR="00267F9E">
        <w:rPr>
          <w:rFonts w:cs="Arial"/>
          <w:color w:val="221E1F"/>
        </w:rPr>
        <w:t xml:space="preserve"> nine</w:t>
      </w:r>
      <w:r w:rsidR="00E845F9" w:rsidRPr="002F0E3F">
        <w:rPr>
          <w:rFonts w:cs="Arial"/>
          <w:color w:val="221E1F"/>
        </w:rPr>
        <w:t xml:space="preserve"> domains as necessary </w:t>
      </w:r>
      <w:r w:rsidR="00133E01" w:rsidRPr="002F0E3F">
        <w:rPr>
          <w:rFonts w:cs="Arial"/>
          <w:color w:val="221E1F"/>
        </w:rPr>
        <w:t>elements of</w:t>
      </w:r>
      <w:r w:rsidR="00E845F9" w:rsidRPr="002F0E3F">
        <w:rPr>
          <w:rFonts w:cs="Arial"/>
          <w:color w:val="221E1F"/>
        </w:rPr>
        <w:t xml:space="preserve"> school readiness programs and </w:t>
      </w:r>
      <w:r w:rsidR="00804A2D">
        <w:rPr>
          <w:rFonts w:cs="Arial"/>
          <w:color w:val="221E1F"/>
        </w:rPr>
        <w:t>helpful</w:t>
      </w:r>
      <w:r w:rsidR="00E845F9" w:rsidRPr="002F0E3F">
        <w:rPr>
          <w:rFonts w:cs="Arial"/>
          <w:color w:val="221E1F"/>
        </w:rPr>
        <w:t xml:space="preserve"> in closing the achi</w:t>
      </w:r>
      <w:r>
        <w:rPr>
          <w:rFonts w:cs="Arial"/>
          <w:color w:val="221E1F"/>
        </w:rPr>
        <w:t>e</w:t>
      </w:r>
      <w:r w:rsidR="00E845F9" w:rsidRPr="002F0E3F">
        <w:rPr>
          <w:rFonts w:cs="Arial"/>
          <w:color w:val="221E1F"/>
        </w:rPr>
        <w:t xml:space="preserve">vement gap: </w:t>
      </w:r>
    </w:p>
    <w:p w14:paraId="4B0BA480" w14:textId="233351DA" w:rsidR="00E845F9" w:rsidRDefault="00267F9E" w:rsidP="009670FC">
      <w:pPr>
        <w:numPr>
          <w:ilvl w:val="0"/>
          <w:numId w:val="50"/>
        </w:numPr>
        <w:autoSpaceDE w:val="0"/>
        <w:autoSpaceDN w:val="0"/>
        <w:adjustRightInd w:val="0"/>
        <w:rPr>
          <w:rFonts w:cs="Arial"/>
          <w:color w:val="221E1F"/>
        </w:rPr>
      </w:pPr>
      <w:r>
        <w:rPr>
          <w:rFonts w:cs="Arial"/>
          <w:color w:val="221E1F"/>
        </w:rPr>
        <w:t>Approaches to Learning</w:t>
      </w:r>
    </w:p>
    <w:p w14:paraId="1F4EC317" w14:textId="0539C877" w:rsidR="00267F9E" w:rsidRPr="002F0E3F" w:rsidRDefault="00267F9E" w:rsidP="009670FC">
      <w:pPr>
        <w:numPr>
          <w:ilvl w:val="0"/>
          <w:numId w:val="50"/>
        </w:numPr>
        <w:autoSpaceDE w:val="0"/>
        <w:autoSpaceDN w:val="0"/>
        <w:adjustRightInd w:val="0"/>
        <w:rPr>
          <w:rFonts w:cs="Arial"/>
          <w:color w:val="221E1F"/>
        </w:rPr>
      </w:pPr>
      <w:r>
        <w:rPr>
          <w:rFonts w:cs="Arial"/>
          <w:color w:val="221E1F"/>
        </w:rPr>
        <w:t>Social and Emotional Development</w:t>
      </w:r>
    </w:p>
    <w:p w14:paraId="153EBD23" w14:textId="141C7665" w:rsidR="00E845F9" w:rsidRPr="00267F9E" w:rsidRDefault="00E845F9" w:rsidP="009670FC">
      <w:pPr>
        <w:numPr>
          <w:ilvl w:val="0"/>
          <w:numId w:val="50"/>
        </w:numPr>
        <w:autoSpaceDE w:val="0"/>
        <w:autoSpaceDN w:val="0"/>
        <w:adjustRightInd w:val="0"/>
        <w:rPr>
          <w:rFonts w:cs="Arial"/>
          <w:color w:val="221E1F"/>
        </w:rPr>
      </w:pPr>
      <w:r w:rsidRPr="002F0E3F">
        <w:rPr>
          <w:rFonts w:cs="Arial"/>
          <w:color w:val="221E1F"/>
        </w:rPr>
        <w:t xml:space="preserve">Language and Literacy </w:t>
      </w:r>
      <w:r w:rsidR="00267F9E">
        <w:rPr>
          <w:rFonts w:cs="Arial"/>
          <w:color w:val="221E1F"/>
        </w:rPr>
        <w:t>(Foundational Language Development and ELD)</w:t>
      </w:r>
    </w:p>
    <w:p w14:paraId="22EAA0AA" w14:textId="77777777" w:rsidR="00E845F9" w:rsidRDefault="00E845F9" w:rsidP="009670FC">
      <w:pPr>
        <w:numPr>
          <w:ilvl w:val="0"/>
          <w:numId w:val="50"/>
        </w:numPr>
        <w:autoSpaceDE w:val="0"/>
        <w:autoSpaceDN w:val="0"/>
        <w:adjustRightInd w:val="0"/>
        <w:rPr>
          <w:rFonts w:cs="Arial"/>
          <w:color w:val="221E1F"/>
        </w:rPr>
      </w:pPr>
      <w:r w:rsidRPr="002F0E3F">
        <w:rPr>
          <w:rFonts w:cs="Arial"/>
          <w:color w:val="221E1F"/>
        </w:rPr>
        <w:t xml:space="preserve">Mathematics </w:t>
      </w:r>
    </w:p>
    <w:p w14:paraId="3848671B" w14:textId="77777777" w:rsidR="00267F9E" w:rsidRDefault="00267F9E" w:rsidP="009670FC">
      <w:pPr>
        <w:numPr>
          <w:ilvl w:val="0"/>
          <w:numId w:val="50"/>
        </w:numPr>
        <w:autoSpaceDE w:val="0"/>
        <w:autoSpaceDN w:val="0"/>
        <w:adjustRightInd w:val="0"/>
        <w:rPr>
          <w:rFonts w:cs="Arial"/>
          <w:color w:val="221E1F"/>
        </w:rPr>
      </w:pPr>
      <w:r>
        <w:rPr>
          <w:rFonts w:cs="Arial"/>
          <w:color w:val="221E1F"/>
        </w:rPr>
        <w:t xml:space="preserve">Science </w:t>
      </w:r>
    </w:p>
    <w:p w14:paraId="6FB50CE8" w14:textId="3C698CB9" w:rsidR="00267F9E" w:rsidRDefault="00267F9E" w:rsidP="009670FC">
      <w:pPr>
        <w:numPr>
          <w:ilvl w:val="0"/>
          <w:numId w:val="50"/>
        </w:numPr>
        <w:autoSpaceDE w:val="0"/>
        <w:autoSpaceDN w:val="0"/>
        <w:adjustRightInd w:val="0"/>
        <w:rPr>
          <w:rFonts w:cs="Arial"/>
          <w:color w:val="221E1F"/>
        </w:rPr>
      </w:pPr>
      <w:r>
        <w:rPr>
          <w:rFonts w:cs="Arial"/>
          <w:color w:val="221E1F"/>
        </w:rPr>
        <w:t>Physical Development</w:t>
      </w:r>
    </w:p>
    <w:p w14:paraId="440B3AEC" w14:textId="4322631E" w:rsidR="00267F9E" w:rsidRDefault="00267F9E" w:rsidP="009670FC">
      <w:pPr>
        <w:numPr>
          <w:ilvl w:val="0"/>
          <w:numId w:val="50"/>
        </w:numPr>
        <w:autoSpaceDE w:val="0"/>
        <w:autoSpaceDN w:val="0"/>
        <w:adjustRightInd w:val="0"/>
        <w:rPr>
          <w:rFonts w:cs="Arial"/>
          <w:color w:val="221E1F"/>
        </w:rPr>
      </w:pPr>
      <w:r>
        <w:rPr>
          <w:rFonts w:cs="Arial"/>
          <w:color w:val="221E1F"/>
        </w:rPr>
        <w:t>Health</w:t>
      </w:r>
    </w:p>
    <w:p w14:paraId="79D09500" w14:textId="29F259B4" w:rsidR="00267F9E" w:rsidRDefault="00267F9E" w:rsidP="009670FC">
      <w:pPr>
        <w:numPr>
          <w:ilvl w:val="0"/>
          <w:numId w:val="50"/>
        </w:numPr>
        <w:autoSpaceDE w:val="0"/>
        <w:autoSpaceDN w:val="0"/>
        <w:adjustRightInd w:val="0"/>
        <w:rPr>
          <w:rFonts w:cs="Arial"/>
          <w:color w:val="221E1F"/>
        </w:rPr>
      </w:pPr>
      <w:r>
        <w:rPr>
          <w:rFonts w:cs="Arial"/>
          <w:color w:val="221E1F"/>
        </w:rPr>
        <w:t>History-Social Science</w:t>
      </w:r>
    </w:p>
    <w:p w14:paraId="54E10BD1" w14:textId="5C441F17" w:rsidR="00267F9E" w:rsidRPr="00267F9E" w:rsidRDefault="00267F9E" w:rsidP="009670FC">
      <w:pPr>
        <w:numPr>
          <w:ilvl w:val="0"/>
          <w:numId w:val="50"/>
        </w:numPr>
        <w:autoSpaceDE w:val="0"/>
        <w:autoSpaceDN w:val="0"/>
        <w:adjustRightInd w:val="0"/>
        <w:spacing w:after="240"/>
        <w:rPr>
          <w:rFonts w:cs="Arial"/>
          <w:color w:val="221E1F"/>
        </w:rPr>
      </w:pPr>
      <w:r>
        <w:rPr>
          <w:rFonts w:cs="Arial"/>
          <w:color w:val="221E1F"/>
        </w:rPr>
        <w:lastRenderedPageBreak/>
        <w:t>Visual and Performing Arts</w:t>
      </w:r>
    </w:p>
    <w:p w14:paraId="1E224F09" w14:textId="77777777" w:rsidR="00E845F9" w:rsidRPr="002F0E3F" w:rsidRDefault="00E845F9" w:rsidP="00BC6DDA">
      <w:pPr>
        <w:spacing w:after="240"/>
        <w:rPr>
          <w:rFonts w:cs="Arial"/>
          <w:color w:val="221E1F"/>
        </w:rPr>
      </w:pPr>
      <w:r w:rsidRPr="002F0E3F">
        <w:rPr>
          <w:rFonts w:cs="Arial"/>
          <w:color w:val="221E1F"/>
        </w:rPr>
        <w:t>Together, these domains represent crucial areas of learning and development for young children.</w:t>
      </w:r>
      <w:r w:rsidRPr="002F0E3F">
        <w:rPr>
          <w:rStyle w:val="FootnoteReference"/>
          <w:rFonts w:cs="Arial"/>
          <w:color w:val="221E1F"/>
        </w:rPr>
        <w:footnoteReference w:id="17"/>
      </w:r>
      <w:r w:rsidRPr="002F0E3F">
        <w:rPr>
          <w:rFonts w:cs="Arial"/>
          <w:color w:val="221E1F"/>
        </w:rPr>
        <w:t xml:space="preserve"> </w:t>
      </w:r>
    </w:p>
    <w:p w14:paraId="253EC55E" w14:textId="321D6AA4" w:rsidR="00E845F9" w:rsidRPr="002F0E3F" w:rsidRDefault="00E845F9" w:rsidP="00BC6DDA">
      <w:pPr>
        <w:spacing w:after="240"/>
        <w:rPr>
          <w:rFonts w:cs="Arial"/>
          <w:color w:val="000000"/>
        </w:rPr>
      </w:pPr>
      <w:r w:rsidRPr="002F0E3F">
        <w:rPr>
          <w:rFonts w:cs="Arial"/>
        </w:rPr>
        <w:t xml:space="preserve">As noted by the </w:t>
      </w:r>
      <w:r w:rsidR="00480AED">
        <w:rPr>
          <w:rFonts w:cs="Arial"/>
        </w:rPr>
        <w:t>survey data included in California’s Migratory Student Profile</w:t>
      </w:r>
      <w:r w:rsidRPr="002F0E3F">
        <w:rPr>
          <w:rFonts w:cs="Arial"/>
        </w:rPr>
        <w:t>,</w:t>
      </w:r>
      <w:r w:rsidR="00480AED">
        <w:rPr>
          <w:rFonts w:cs="Arial"/>
        </w:rPr>
        <w:t xml:space="preserve"> migratory</w:t>
      </w:r>
      <w:r w:rsidRPr="002F0E3F">
        <w:rPr>
          <w:rFonts w:cs="Arial"/>
        </w:rPr>
        <w:t xml:space="preserve"> children also need to possess social and emotional skills to prepare them for formal educat</w:t>
      </w:r>
      <w:r w:rsidRPr="00CD19A2">
        <w:rPr>
          <w:rFonts w:cs="Arial"/>
        </w:rPr>
        <w:t xml:space="preserve">ion. Webster-Stratton and Reid (2004) state that </w:t>
      </w:r>
      <w:r w:rsidRPr="00CD19A2">
        <w:rPr>
          <w:rFonts w:cs="Arial"/>
          <w:color w:val="000000"/>
        </w:rPr>
        <w:t>“the ability of young children to manage their emotions and behaviors and to make meaningful friendships is an important prerequisite for school readiness and academic success (p. 96).”</w:t>
      </w:r>
      <w:r w:rsidR="00133E01" w:rsidRPr="00CD19A2">
        <w:rPr>
          <w:rStyle w:val="FootnoteReference"/>
          <w:rFonts w:cs="Arial"/>
          <w:color w:val="000000"/>
        </w:rPr>
        <w:footnoteReference w:id="18"/>
      </w:r>
      <w:r w:rsidRPr="00CD19A2">
        <w:rPr>
          <w:rFonts w:cs="Arial"/>
          <w:color w:val="000000"/>
        </w:rPr>
        <w:t xml:space="preserve"> The article </w:t>
      </w:r>
      <w:r w:rsidR="00A54FEE" w:rsidRPr="00CD19A2">
        <w:rPr>
          <w:rFonts w:cs="Arial"/>
          <w:color w:val="000000"/>
        </w:rPr>
        <w:t>adds,</w:t>
      </w:r>
      <w:r w:rsidRPr="00CD19A2">
        <w:rPr>
          <w:rFonts w:cs="Arial"/>
          <w:color w:val="000000"/>
        </w:rPr>
        <w:t xml:space="preserve"> “socially competent children are also more academically successful and poor social skills are a strong predictor of academic failure (p. 96).”</w:t>
      </w:r>
    </w:p>
    <w:p w14:paraId="74266A5B" w14:textId="0AB488E3" w:rsidR="00E845F9" w:rsidRPr="002F0E3F" w:rsidRDefault="00804A2D" w:rsidP="00BC6DDA">
      <w:pPr>
        <w:spacing w:after="240"/>
        <w:rPr>
          <w:rFonts w:cs="Arial"/>
        </w:rPr>
      </w:pPr>
      <w:r>
        <w:rPr>
          <w:rFonts w:cs="Arial"/>
        </w:rPr>
        <w:t>Because</w:t>
      </w:r>
      <w:r w:rsidRPr="002F0E3F">
        <w:rPr>
          <w:rFonts w:cs="Arial"/>
        </w:rPr>
        <w:t xml:space="preserve"> </w:t>
      </w:r>
      <w:r w:rsidR="00E845F9" w:rsidRPr="002F0E3F">
        <w:rPr>
          <w:rFonts w:cs="Arial"/>
        </w:rPr>
        <w:t xml:space="preserve">ESSA requires the MEP to provide services to preschool migratory children, the MEP’s current primary responsibility is to ensure that students have access to high-quality center-based preschool programs. If there is no room or parents cannot enroll their children in these </w:t>
      </w:r>
      <w:r w:rsidR="00133E01" w:rsidRPr="002F0E3F">
        <w:rPr>
          <w:rFonts w:cs="Arial"/>
        </w:rPr>
        <w:t>programs</w:t>
      </w:r>
      <w:r w:rsidR="00E845F9" w:rsidRPr="002F0E3F">
        <w:rPr>
          <w:rFonts w:cs="Arial"/>
        </w:rPr>
        <w:t xml:space="preserve">, the MEP offers various school readiness </w:t>
      </w:r>
      <w:r w:rsidR="00A54FEE" w:rsidRPr="002F0E3F">
        <w:rPr>
          <w:rFonts w:cs="Arial"/>
        </w:rPr>
        <w:t>services, includ</w:t>
      </w:r>
      <w:r>
        <w:rPr>
          <w:rFonts w:cs="Arial"/>
        </w:rPr>
        <w:t>ing</w:t>
      </w:r>
      <w:r w:rsidR="00A54FEE" w:rsidRPr="002F0E3F">
        <w:rPr>
          <w:rFonts w:cs="Arial"/>
        </w:rPr>
        <w:t xml:space="preserve"> center-based programs</w:t>
      </w:r>
      <w:r w:rsidR="00E845F9" w:rsidRPr="002F0E3F">
        <w:rPr>
          <w:rFonts w:cs="Arial"/>
        </w:rPr>
        <w:t xml:space="preserve"> and </w:t>
      </w:r>
      <w:r w:rsidR="006C7950">
        <w:rPr>
          <w:rFonts w:cs="Arial"/>
        </w:rPr>
        <w:t>f</w:t>
      </w:r>
      <w:r w:rsidR="00E845F9" w:rsidRPr="002F0E3F">
        <w:rPr>
          <w:rFonts w:cs="Arial"/>
        </w:rPr>
        <w:t xml:space="preserve">amily </w:t>
      </w:r>
      <w:r w:rsidR="006C7950">
        <w:rPr>
          <w:rFonts w:cs="Arial"/>
        </w:rPr>
        <w:t>b</w:t>
      </w:r>
      <w:r w:rsidR="00E845F9" w:rsidRPr="002F0E3F">
        <w:rPr>
          <w:rFonts w:cs="Arial"/>
        </w:rPr>
        <w:t>iliteracy services</w:t>
      </w:r>
      <w:r w:rsidR="006C7950">
        <w:rPr>
          <w:rFonts w:cs="Arial"/>
        </w:rPr>
        <w:t xml:space="preserve"> (the Family Biliteracy Program is an optional service where parents learn alongside their preschool aged children to support their children’s early learning as they get ready for school)</w:t>
      </w:r>
      <w:r w:rsidR="00E845F9" w:rsidRPr="002F0E3F">
        <w:rPr>
          <w:rFonts w:cs="Arial"/>
        </w:rPr>
        <w:t>.</w:t>
      </w:r>
    </w:p>
    <w:p w14:paraId="00CB22A5" w14:textId="2B431249" w:rsidR="00E845F9" w:rsidRPr="002F0E3F" w:rsidRDefault="00E845F9" w:rsidP="00BC6DDA">
      <w:pPr>
        <w:pStyle w:val="Heading4"/>
      </w:pPr>
      <w:r w:rsidRPr="002F0E3F">
        <w:t xml:space="preserve">Key Data Points from </w:t>
      </w:r>
      <w:r w:rsidR="006450FC">
        <w:t>Committee</w:t>
      </w:r>
      <w:r w:rsidRPr="002F0E3F">
        <w:t xml:space="preserve"> Discussions</w:t>
      </w:r>
    </w:p>
    <w:p w14:paraId="7833CB4E" w14:textId="1EFE73DF" w:rsidR="00E845F9" w:rsidRPr="002F0E3F" w:rsidRDefault="00E845F9" w:rsidP="00BC6DDA">
      <w:pPr>
        <w:spacing w:after="240"/>
        <w:rPr>
          <w:rFonts w:cs="Arial"/>
        </w:rPr>
      </w:pPr>
      <w:r w:rsidRPr="002F0E3F">
        <w:rPr>
          <w:rFonts w:cs="Arial"/>
        </w:rPr>
        <w:t xml:space="preserve">Due to </w:t>
      </w:r>
      <w:r w:rsidR="00480AED">
        <w:rPr>
          <w:rFonts w:cs="Arial"/>
        </w:rPr>
        <w:t>the absence of statewide preschool assessment data</w:t>
      </w:r>
      <w:r w:rsidR="00B80577" w:rsidRPr="002F0E3F">
        <w:rPr>
          <w:rFonts w:cs="Arial"/>
        </w:rPr>
        <w:t>,</w:t>
      </w:r>
      <w:r w:rsidRPr="002F0E3F">
        <w:rPr>
          <w:rFonts w:cs="Arial"/>
        </w:rPr>
        <w:t xml:space="preserve"> much of the discussion regarding achievement </w:t>
      </w:r>
      <w:r w:rsidR="00133E01" w:rsidRPr="002F0E3F">
        <w:rPr>
          <w:rFonts w:cs="Arial"/>
        </w:rPr>
        <w:t>centered on</w:t>
      </w:r>
      <w:r w:rsidR="005626F4">
        <w:rPr>
          <w:rFonts w:cs="Arial"/>
        </w:rPr>
        <w:t xml:space="preserve"> reviewing CAASPP data for ELA, math, and ELD in </w:t>
      </w:r>
      <w:r w:rsidR="00804A2D">
        <w:rPr>
          <w:rFonts w:cs="Arial"/>
        </w:rPr>
        <w:t xml:space="preserve">kindergarten through grade </w:t>
      </w:r>
      <w:r w:rsidR="00F34171">
        <w:rPr>
          <w:rFonts w:cs="Arial"/>
        </w:rPr>
        <w:t>three</w:t>
      </w:r>
      <w:r w:rsidR="005626F4">
        <w:rPr>
          <w:rFonts w:cs="Arial"/>
        </w:rPr>
        <w:t>.</w:t>
      </w:r>
      <w:r w:rsidR="00F16424">
        <w:rPr>
          <w:rFonts w:cs="Arial"/>
        </w:rPr>
        <w:t xml:space="preserve"> Additionally, the </w:t>
      </w:r>
      <w:r w:rsidR="008376CA">
        <w:rPr>
          <w:rFonts w:cs="Arial"/>
        </w:rPr>
        <w:t>School Readiness subcommittee</w:t>
      </w:r>
      <w:r w:rsidRPr="002F0E3F">
        <w:rPr>
          <w:rFonts w:cs="Arial"/>
        </w:rPr>
        <w:t xml:space="preserve"> </w:t>
      </w:r>
      <w:r w:rsidR="00480AED">
        <w:rPr>
          <w:rFonts w:cs="Arial"/>
        </w:rPr>
        <w:t xml:space="preserve">also reviewed student participation data in </w:t>
      </w:r>
      <w:r w:rsidR="00615C95">
        <w:rPr>
          <w:rFonts w:cs="Arial"/>
        </w:rPr>
        <w:t>school readiness services with a focus on dual language development.</w:t>
      </w:r>
      <w:r w:rsidR="00222F71">
        <w:rPr>
          <w:rFonts w:cs="Arial"/>
        </w:rPr>
        <w:t xml:space="preserve"> </w:t>
      </w:r>
      <w:r w:rsidR="00A54FEE" w:rsidRPr="002F0E3F">
        <w:rPr>
          <w:rFonts w:cs="Arial"/>
        </w:rPr>
        <w:t xml:space="preserve">The </w:t>
      </w:r>
      <w:r w:rsidR="008376CA">
        <w:rPr>
          <w:rFonts w:cs="Arial"/>
        </w:rPr>
        <w:t>School Readiness subcommittee</w:t>
      </w:r>
      <w:r w:rsidR="00A54FEE" w:rsidRPr="002F0E3F">
        <w:rPr>
          <w:rFonts w:cs="Arial"/>
        </w:rPr>
        <w:t xml:space="preserve"> identified the following discussion points</w:t>
      </w:r>
      <w:r w:rsidR="00F16424">
        <w:rPr>
          <w:rFonts w:cs="Arial"/>
        </w:rPr>
        <w:t xml:space="preserve"> from the 2022–23 CAASPP ELPAC data</w:t>
      </w:r>
      <w:r w:rsidR="00A54FEE" w:rsidRPr="002F0E3F">
        <w:rPr>
          <w:rFonts w:cs="Arial"/>
        </w:rPr>
        <w:t xml:space="preserve">: </w:t>
      </w:r>
    </w:p>
    <w:p w14:paraId="7B341892" w14:textId="3DCCCA7E" w:rsidR="00615C95" w:rsidRDefault="00615C95" w:rsidP="009670FC">
      <w:pPr>
        <w:pStyle w:val="ListParagraph"/>
        <w:numPr>
          <w:ilvl w:val="0"/>
          <w:numId w:val="46"/>
        </w:numPr>
        <w:spacing w:after="240" w:line="259" w:lineRule="auto"/>
        <w:contextualSpacing w:val="0"/>
        <w:rPr>
          <w:rFonts w:cs="Arial"/>
        </w:rPr>
      </w:pPr>
      <w:r>
        <w:rPr>
          <w:rFonts w:cs="Arial"/>
        </w:rPr>
        <w:t>In 2022–23, 7.9</w:t>
      </w:r>
      <w:r w:rsidR="002C0BDD">
        <w:t> </w:t>
      </w:r>
      <w:r>
        <w:rPr>
          <w:rFonts w:cs="Arial"/>
        </w:rPr>
        <w:t>percent of migratory kindergarten students who were identified as English learner students were proficient on the ELPAC overall.</w:t>
      </w:r>
    </w:p>
    <w:p w14:paraId="6F52C6C8" w14:textId="0169A1EB" w:rsidR="005626F4" w:rsidRDefault="00615C95" w:rsidP="009670FC">
      <w:pPr>
        <w:pStyle w:val="ListParagraph"/>
        <w:numPr>
          <w:ilvl w:val="0"/>
          <w:numId w:val="46"/>
        </w:numPr>
        <w:spacing w:after="240" w:line="259" w:lineRule="auto"/>
        <w:contextualSpacing w:val="0"/>
        <w:rPr>
          <w:rFonts w:cs="Arial"/>
        </w:rPr>
      </w:pPr>
      <w:r>
        <w:rPr>
          <w:rFonts w:cs="Arial"/>
        </w:rPr>
        <w:t xml:space="preserve">About </w:t>
      </w:r>
      <w:r w:rsidR="005E3E00">
        <w:rPr>
          <w:rFonts w:cs="Arial"/>
        </w:rPr>
        <w:t>16</w:t>
      </w:r>
      <w:r w:rsidR="002C0BDD">
        <w:t> </w:t>
      </w:r>
      <w:r>
        <w:rPr>
          <w:rFonts w:cs="Arial"/>
        </w:rPr>
        <w:t xml:space="preserve">percent of all kindergarten students who were identified as English learner students were proficient on the ELPAC overall in 2022–23. </w:t>
      </w:r>
    </w:p>
    <w:p w14:paraId="0EB7818F" w14:textId="4CAF5328" w:rsidR="00222F71" w:rsidRDefault="00194648" w:rsidP="00251FDF">
      <w:pPr>
        <w:spacing w:after="240"/>
        <w:rPr>
          <w:rFonts w:cs="Arial"/>
        </w:rPr>
      </w:pPr>
      <w:r>
        <w:rPr>
          <w:rFonts w:cs="Arial"/>
        </w:rPr>
        <w:t>Figure</w:t>
      </w:r>
      <w:r w:rsidR="00E34E68" w:rsidRPr="007E2DFC">
        <w:rPr>
          <w:rFonts w:cs="Arial"/>
        </w:rPr>
        <w:t xml:space="preserve"> </w:t>
      </w:r>
      <w:r w:rsidR="004B26DA">
        <w:rPr>
          <w:rFonts w:cs="Arial"/>
        </w:rPr>
        <w:t>8</w:t>
      </w:r>
      <w:r w:rsidR="00E34E68" w:rsidRPr="007E2DFC">
        <w:rPr>
          <w:rFonts w:cs="Arial"/>
        </w:rPr>
        <w:t xml:space="preserve"> (p. 2</w:t>
      </w:r>
      <w:r w:rsidR="006C7950">
        <w:rPr>
          <w:rFonts w:cs="Arial"/>
        </w:rPr>
        <w:t>4</w:t>
      </w:r>
      <w:r w:rsidR="00E34E68" w:rsidRPr="007E2DFC">
        <w:rPr>
          <w:rFonts w:cs="Arial"/>
        </w:rPr>
        <w:t>)</w:t>
      </w:r>
      <w:r w:rsidR="00E34E68" w:rsidRPr="002F0E3F">
        <w:rPr>
          <w:rFonts w:cs="Arial"/>
        </w:rPr>
        <w:t xml:space="preserve"> </w:t>
      </w:r>
      <w:r w:rsidR="00E34E68">
        <w:t>illustrates a 23.2</w:t>
      </w:r>
      <w:r w:rsidR="002C0BDD">
        <w:t> </w:t>
      </w:r>
      <w:r w:rsidR="005E3E00">
        <w:t xml:space="preserve">percent </w:t>
      </w:r>
      <w:r w:rsidR="00E34E68">
        <w:t>performance gap in overall ELA proficiency with only</w:t>
      </w:r>
      <w:r w:rsidR="00E34E68">
        <w:rPr>
          <w:rFonts w:cs="Arial"/>
        </w:rPr>
        <w:t xml:space="preserve"> </w:t>
      </w:r>
      <w:r w:rsidR="00E34E68" w:rsidRPr="008433DB">
        <w:rPr>
          <w:rFonts w:cs="Arial"/>
        </w:rPr>
        <w:t>23.4</w:t>
      </w:r>
      <w:r w:rsidR="002C0BDD">
        <w:t> </w:t>
      </w:r>
      <w:r w:rsidR="00E34E68" w:rsidRPr="008433DB">
        <w:rPr>
          <w:rFonts w:cs="Arial"/>
        </w:rPr>
        <w:t xml:space="preserve">percent of migratory students </w:t>
      </w:r>
      <w:r w:rsidR="00E34E68">
        <w:rPr>
          <w:rFonts w:cs="Arial"/>
        </w:rPr>
        <w:t xml:space="preserve">scoring </w:t>
      </w:r>
      <w:r w:rsidR="00E34E68" w:rsidRPr="008433DB">
        <w:rPr>
          <w:rFonts w:cs="Arial"/>
        </w:rPr>
        <w:t>proficient</w:t>
      </w:r>
      <w:r w:rsidR="00E34E68">
        <w:rPr>
          <w:rFonts w:cs="Arial"/>
        </w:rPr>
        <w:t xml:space="preserve"> compared with </w:t>
      </w:r>
      <w:r w:rsidR="00E34E68">
        <w:rPr>
          <w:rFonts w:cs="Arial"/>
        </w:rPr>
        <w:lastRenderedPageBreak/>
        <w:t>46.6</w:t>
      </w:r>
      <w:r w:rsidR="002C0BDD">
        <w:t> </w:t>
      </w:r>
      <w:r w:rsidR="00E34E68">
        <w:rPr>
          <w:rFonts w:cs="Arial"/>
        </w:rPr>
        <w:t>percent of all students scoring proficient</w:t>
      </w:r>
      <w:r w:rsidR="00E34E68" w:rsidRPr="008433DB">
        <w:rPr>
          <w:rFonts w:cs="Arial"/>
        </w:rPr>
        <w:t xml:space="preserve"> on the CAASPP Smarter Balanced Overall ELA Standards</w:t>
      </w:r>
      <w:r w:rsidR="00B61A32">
        <w:rPr>
          <w:rFonts w:cs="Arial"/>
        </w:rPr>
        <w:t xml:space="preserve"> 2022–23</w:t>
      </w:r>
      <w:r w:rsidR="00E34E68" w:rsidRPr="008433DB">
        <w:rPr>
          <w:rFonts w:cs="Arial"/>
        </w:rPr>
        <w:t>.</w:t>
      </w:r>
      <w:r w:rsidR="00E34E68">
        <w:rPr>
          <w:rFonts w:cs="Arial"/>
        </w:rPr>
        <w:t xml:space="preserve"> For School Readiness, the subcommittee wanted to review grade-specific data for </w:t>
      </w:r>
      <w:r w:rsidR="00B61A32">
        <w:rPr>
          <w:rFonts w:cs="Arial"/>
        </w:rPr>
        <w:t>kindergarten</w:t>
      </w:r>
      <w:r w:rsidR="00E34E68">
        <w:rPr>
          <w:rFonts w:cs="Arial"/>
        </w:rPr>
        <w:t xml:space="preserve"> through third grade</w:t>
      </w:r>
      <w:r w:rsidR="00B61A32">
        <w:rPr>
          <w:rFonts w:cs="Arial"/>
        </w:rPr>
        <w:t xml:space="preserve"> resulting in the subcommittee focusing on the key data points for proficiency on the 2022–23 CAASPP </w:t>
      </w:r>
      <w:r w:rsidR="006C7950">
        <w:rPr>
          <w:rFonts w:cs="Arial"/>
        </w:rPr>
        <w:t>o</w:t>
      </w:r>
      <w:r w:rsidR="00B61A32">
        <w:rPr>
          <w:rFonts w:cs="Arial"/>
        </w:rPr>
        <w:t xml:space="preserve">verall ELA </w:t>
      </w:r>
      <w:r w:rsidR="006C7950">
        <w:rPr>
          <w:rFonts w:cs="Arial"/>
        </w:rPr>
        <w:t>achievement</w:t>
      </w:r>
      <w:r w:rsidR="005F488C">
        <w:rPr>
          <w:rFonts w:cs="Arial"/>
        </w:rPr>
        <w:t xml:space="preserve"> below</w:t>
      </w:r>
      <w:r w:rsidR="00B61A32">
        <w:rPr>
          <w:rFonts w:cs="Arial"/>
        </w:rPr>
        <w:t>:</w:t>
      </w:r>
    </w:p>
    <w:p w14:paraId="46C541D1" w14:textId="03720617" w:rsidR="00222F71" w:rsidRDefault="00B61A32" w:rsidP="009670FC">
      <w:pPr>
        <w:pStyle w:val="ListParagraph"/>
        <w:numPr>
          <w:ilvl w:val="0"/>
          <w:numId w:val="51"/>
        </w:numPr>
        <w:spacing w:after="240"/>
        <w:contextualSpacing w:val="0"/>
        <w:rPr>
          <w:rFonts w:cs="Arial"/>
        </w:rPr>
      </w:pPr>
      <w:r>
        <w:rPr>
          <w:rFonts w:cs="Arial"/>
        </w:rPr>
        <w:t>Seventeen</w:t>
      </w:r>
      <w:r w:rsidR="002C0BDD">
        <w:t> </w:t>
      </w:r>
      <w:r w:rsidR="00222F71">
        <w:rPr>
          <w:rFonts w:cs="Arial"/>
        </w:rPr>
        <w:t>percent of migratory students were proficient in ELA by the end of third grade.</w:t>
      </w:r>
    </w:p>
    <w:p w14:paraId="10505270" w14:textId="2FD68293" w:rsidR="00222F71" w:rsidRPr="00222F71" w:rsidRDefault="00B61A32" w:rsidP="009670FC">
      <w:pPr>
        <w:pStyle w:val="ListParagraph"/>
        <w:numPr>
          <w:ilvl w:val="0"/>
          <w:numId w:val="51"/>
        </w:numPr>
        <w:spacing w:after="160" w:line="259" w:lineRule="auto"/>
        <w:rPr>
          <w:rFonts w:cs="Arial"/>
        </w:rPr>
      </w:pPr>
      <w:r>
        <w:rPr>
          <w:rFonts w:cs="Arial"/>
        </w:rPr>
        <w:t>Just under 43</w:t>
      </w:r>
      <w:r w:rsidR="002C0BDD">
        <w:t> </w:t>
      </w:r>
      <w:r w:rsidR="00222F71">
        <w:rPr>
          <w:rFonts w:cs="Arial"/>
        </w:rPr>
        <w:t>percent of all students were proficient in ELA by the end of third grade.</w:t>
      </w:r>
    </w:p>
    <w:p w14:paraId="2C01461D" w14:textId="6E72F22E" w:rsidR="006C7950" w:rsidRDefault="00B61A32" w:rsidP="00BC6DDA">
      <w:pPr>
        <w:pStyle w:val="Paragraph-AfterList"/>
        <w:spacing w:after="240" w:line="240" w:lineRule="auto"/>
        <w:rPr>
          <w:color w:val="auto"/>
        </w:rPr>
      </w:pPr>
      <w:r w:rsidRPr="00B61A32">
        <w:rPr>
          <w:rFonts w:cs="Arial"/>
          <w:color w:val="auto"/>
        </w:rPr>
        <w:t xml:space="preserve">The </w:t>
      </w:r>
      <w:r w:rsidR="008376CA">
        <w:rPr>
          <w:rFonts w:cs="Arial"/>
          <w:color w:val="auto"/>
        </w:rPr>
        <w:t>School Readiness subcommittee</w:t>
      </w:r>
      <w:r w:rsidRPr="00B61A32">
        <w:rPr>
          <w:rFonts w:cs="Arial"/>
          <w:color w:val="auto"/>
        </w:rPr>
        <w:t xml:space="preserve"> had similar concerns for student</w:t>
      </w:r>
      <w:r w:rsidR="00930AAE">
        <w:rPr>
          <w:rFonts w:cs="Arial"/>
          <w:color w:val="auto"/>
        </w:rPr>
        <w:t xml:space="preserve"> math prof</w:t>
      </w:r>
      <w:r w:rsidR="005F488C">
        <w:rPr>
          <w:rFonts w:cs="Arial"/>
          <w:color w:val="auto"/>
        </w:rPr>
        <w:t>i</w:t>
      </w:r>
      <w:r w:rsidR="00930AAE">
        <w:rPr>
          <w:rFonts w:cs="Arial"/>
          <w:color w:val="auto"/>
        </w:rPr>
        <w:t>ciency</w:t>
      </w:r>
      <w:r w:rsidRPr="00B61A32">
        <w:rPr>
          <w:rFonts w:cs="Arial"/>
          <w:color w:val="auto"/>
        </w:rPr>
        <w:t xml:space="preserve"> in </w:t>
      </w:r>
      <w:r w:rsidR="000F1E03">
        <w:rPr>
          <w:rFonts w:cs="Arial"/>
          <w:color w:val="auto"/>
        </w:rPr>
        <w:t>k</w:t>
      </w:r>
      <w:r w:rsidRPr="00B61A32">
        <w:rPr>
          <w:rFonts w:cs="Arial"/>
          <w:color w:val="auto"/>
        </w:rPr>
        <w:t xml:space="preserve">indergarten through </w:t>
      </w:r>
      <w:r w:rsidR="000F1E03">
        <w:rPr>
          <w:rFonts w:cs="Arial"/>
          <w:color w:val="auto"/>
        </w:rPr>
        <w:t>grade three</w:t>
      </w:r>
      <w:r>
        <w:rPr>
          <w:rFonts w:cs="Arial"/>
        </w:rPr>
        <w:t xml:space="preserve">. </w:t>
      </w:r>
      <w:r w:rsidR="00194648">
        <w:rPr>
          <w:color w:val="auto"/>
        </w:rPr>
        <w:t>Figure</w:t>
      </w:r>
      <w:r w:rsidRPr="006C7950">
        <w:rPr>
          <w:color w:val="auto"/>
        </w:rPr>
        <w:t xml:space="preserve"> </w:t>
      </w:r>
      <w:r w:rsidR="004B26DA">
        <w:rPr>
          <w:color w:val="auto"/>
        </w:rPr>
        <w:t>13</w:t>
      </w:r>
      <w:r w:rsidR="00356BF5" w:rsidRPr="006C7950">
        <w:rPr>
          <w:color w:val="auto"/>
        </w:rPr>
        <w:t xml:space="preserve"> (</w:t>
      </w:r>
      <w:r w:rsidR="000F1E03" w:rsidRPr="006C7950">
        <w:rPr>
          <w:color w:val="auto"/>
        </w:rPr>
        <w:t xml:space="preserve">see </w:t>
      </w:r>
      <w:r w:rsidR="00356BF5" w:rsidRPr="006C7950">
        <w:rPr>
          <w:color w:val="auto"/>
        </w:rPr>
        <w:t xml:space="preserve">p. </w:t>
      </w:r>
      <w:r w:rsidR="006C7950" w:rsidRPr="006C7950">
        <w:rPr>
          <w:color w:val="auto"/>
        </w:rPr>
        <w:t>34</w:t>
      </w:r>
      <w:r w:rsidR="00356BF5">
        <w:rPr>
          <w:color w:val="auto"/>
        </w:rPr>
        <w:t>)</w:t>
      </w:r>
      <w:r w:rsidRPr="00DE269A">
        <w:rPr>
          <w:color w:val="auto"/>
        </w:rPr>
        <w:t xml:space="preserve"> </w:t>
      </w:r>
      <w:r w:rsidR="006C7950">
        <w:rPr>
          <w:color w:val="auto"/>
        </w:rPr>
        <w:t>P</w:t>
      </w:r>
      <w:r w:rsidRPr="00DE269A">
        <w:rPr>
          <w:color w:val="auto"/>
        </w:rPr>
        <w:t xml:space="preserve">ercentage of </w:t>
      </w:r>
      <w:r w:rsidR="006C7950">
        <w:rPr>
          <w:color w:val="auto"/>
        </w:rPr>
        <w:t>A</w:t>
      </w:r>
      <w:r w:rsidRPr="00DE269A">
        <w:rPr>
          <w:color w:val="auto"/>
        </w:rPr>
        <w:t xml:space="preserve">ll </w:t>
      </w:r>
      <w:r w:rsidR="006C7950">
        <w:rPr>
          <w:color w:val="auto"/>
        </w:rPr>
        <w:t>S</w:t>
      </w:r>
      <w:r w:rsidRPr="00DE269A">
        <w:rPr>
          <w:color w:val="auto"/>
        </w:rPr>
        <w:t xml:space="preserve">tudents, </w:t>
      </w:r>
      <w:r w:rsidR="006C7950">
        <w:rPr>
          <w:color w:val="auto"/>
        </w:rPr>
        <w:t>M</w:t>
      </w:r>
      <w:r w:rsidRPr="00DE269A">
        <w:rPr>
          <w:color w:val="auto"/>
        </w:rPr>
        <w:t xml:space="preserve">igratory </w:t>
      </w:r>
      <w:r w:rsidR="006C7950">
        <w:rPr>
          <w:color w:val="auto"/>
        </w:rPr>
        <w:t>S</w:t>
      </w:r>
      <w:r w:rsidRPr="00DE269A">
        <w:rPr>
          <w:color w:val="auto"/>
        </w:rPr>
        <w:t xml:space="preserve">tudents, and </w:t>
      </w:r>
      <w:r w:rsidR="006C7950">
        <w:rPr>
          <w:color w:val="auto"/>
        </w:rPr>
        <w:t>M</w:t>
      </w:r>
      <w:r w:rsidRPr="00DE269A">
        <w:rPr>
          <w:color w:val="auto"/>
        </w:rPr>
        <w:t xml:space="preserve">igratory PFS </w:t>
      </w:r>
      <w:r w:rsidR="006C7950">
        <w:rPr>
          <w:color w:val="auto"/>
        </w:rPr>
        <w:t>S</w:t>
      </w:r>
      <w:r w:rsidRPr="00DE269A">
        <w:rPr>
          <w:color w:val="auto"/>
        </w:rPr>
        <w:t xml:space="preserve">tudents who </w:t>
      </w:r>
      <w:r w:rsidR="006C7950">
        <w:rPr>
          <w:color w:val="auto"/>
        </w:rPr>
        <w:t>S</w:t>
      </w:r>
      <w:r w:rsidRPr="00DE269A">
        <w:rPr>
          <w:color w:val="auto"/>
        </w:rPr>
        <w:t xml:space="preserve">cored at </w:t>
      </w:r>
      <w:r w:rsidR="006C7950">
        <w:rPr>
          <w:color w:val="auto"/>
        </w:rPr>
        <w:t>S</w:t>
      </w:r>
      <w:r w:rsidRPr="00DE269A">
        <w:rPr>
          <w:color w:val="auto"/>
        </w:rPr>
        <w:t xml:space="preserve">tandard </w:t>
      </w:r>
      <w:r w:rsidR="006C7950">
        <w:rPr>
          <w:color w:val="auto"/>
        </w:rPr>
        <w:t>M</w:t>
      </w:r>
      <w:r w:rsidRPr="00DE269A">
        <w:rPr>
          <w:color w:val="auto"/>
        </w:rPr>
        <w:t xml:space="preserve">et or </w:t>
      </w:r>
      <w:r w:rsidR="006C7950">
        <w:rPr>
          <w:color w:val="auto"/>
        </w:rPr>
        <w:t>S</w:t>
      </w:r>
      <w:r w:rsidRPr="00DE269A">
        <w:rPr>
          <w:color w:val="auto"/>
        </w:rPr>
        <w:t xml:space="preserve">tandard </w:t>
      </w:r>
      <w:r w:rsidR="006C7950">
        <w:rPr>
          <w:color w:val="auto"/>
        </w:rPr>
        <w:t>E</w:t>
      </w:r>
      <w:r w:rsidRPr="00DE269A">
        <w:rPr>
          <w:color w:val="auto"/>
        </w:rPr>
        <w:t xml:space="preserve">xceeded for </w:t>
      </w:r>
      <w:r w:rsidR="006C7950">
        <w:rPr>
          <w:color w:val="auto"/>
        </w:rPr>
        <w:t>O</w:t>
      </w:r>
      <w:r w:rsidRPr="00DE269A">
        <w:rPr>
          <w:color w:val="auto"/>
        </w:rPr>
        <w:t xml:space="preserve">verall </w:t>
      </w:r>
      <w:r w:rsidR="006C7950">
        <w:rPr>
          <w:color w:val="auto"/>
        </w:rPr>
        <w:t>A</w:t>
      </w:r>
      <w:r w:rsidRPr="00DE269A">
        <w:rPr>
          <w:color w:val="auto"/>
        </w:rPr>
        <w:t xml:space="preserve">chievement on the CAASPP </w:t>
      </w:r>
      <w:r w:rsidR="006C7950">
        <w:rPr>
          <w:color w:val="auto"/>
        </w:rPr>
        <w:t>M</w:t>
      </w:r>
      <w:r w:rsidRPr="00DE269A">
        <w:rPr>
          <w:color w:val="auto"/>
        </w:rPr>
        <w:t>athematics for SYs 2017–18, 2018–19, 2021–22, and 2022–23.</w:t>
      </w:r>
      <w:r w:rsidR="00356BF5">
        <w:rPr>
          <w:color w:val="auto"/>
        </w:rPr>
        <w:t xml:space="preserve"> </w:t>
      </w:r>
    </w:p>
    <w:p w14:paraId="289A309C" w14:textId="77777777" w:rsidR="006C7950" w:rsidRDefault="00356BF5" w:rsidP="006C7950">
      <w:pPr>
        <w:pStyle w:val="Paragraph-AfterList"/>
        <w:numPr>
          <w:ilvl w:val="0"/>
          <w:numId w:val="66"/>
        </w:numPr>
        <w:spacing w:after="240" w:line="240" w:lineRule="auto"/>
        <w:rPr>
          <w:color w:val="auto"/>
        </w:rPr>
      </w:pPr>
      <w:r>
        <w:rPr>
          <w:color w:val="auto"/>
        </w:rPr>
        <w:t xml:space="preserve">As noted earlier in Section III, </w:t>
      </w:r>
      <w:r w:rsidR="00930AAE">
        <w:rPr>
          <w:color w:val="auto"/>
        </w:rPr>
        <w:t>14.3</w:t>
      </w:r>
      <w:r w:rsidR="002C0BDD">
        <w:t> </w:t>
      </w:r>
      <w:r>
        <w:rPr>
          <w:color w:val="auto"/>
        </w:rPr>
        <w:t>percent of migratory students scored proficient</w:t>
      </w:r>
      <w:r w:rsidR="00930AAE">
        <w:rPr>
          <w:color w:val="auto"/>
        </w:rPr>
        <w:t xml:space="preserve"> </w:t>
      </w:r>
      <w:r>
        <w:rPr>
          <w:color w:val="auto"/>
        </w:rPr>
        <w:t xml:space="preserve">meanwhile </w:t>
      </w:r>
      <w:r w:rsidR="00930AAE">
        <w:rPr>
          <w:color w:val="auto"/>
        </w:rPr>
        <w:t>34.6</w:t>
      </w:r>
      <w:r w:rsidR="002C0BDD">
        <w:t> </w:t>
      </w:r>
      <w:r>
        <w:rPr>
          <w:color w:val="auto"/>
        </w:rPr>
        <w:t>percent of all students scored proficient in math</w:t>
      </w:r>
      <w:r w:rsidR="003B4E94">
        <w:rPr>
          <w:color w:val="auto"/>
        </w:rPr>
        <w:t xml:space="preserve"> resulting in a 20.3</w:t>
      </w:r>
      <w:r w:rsidR="002C0BDD">
        <w:t> </w:t>
      </w:r>
      <w:r w:rsidR="003B4E94">
        <w:rPr>
          <w:color w:val="auto"/>
        </w:rPr>
        <w:t>percent gap</w:t>
      </w:r>
      <w:r w:rsidR="00930AAE">
        <w:rPr>
          <w:color w:val="auto"/>
        </w:rPr>
        <w:t xml:space="preserve">. </w:t>
      </w:r>
    </w:p>
    <w:p w14:paraId="33057AB0" w14:textId="22A82B84" w:rsidR="00B61A32" w:rsidRDefault="00930AAE" w:rsidP="006C7950">
      <w:pPr>
        <w:pStyle w:val="Paragraph-AfterList"/>
        <w:spacing w:after="240" w:line="240" w:lineRule="auto"/>
        <w:rPr>
          <w:color w:val="auto"/>
        </w:rPr>
      </w:pPr>
      <w:r>
        <w:rPr>
          <w:color w:val="auto"/>
        </w:rPr>
        <w:t xml:space="preserve">When reviewing the data for younger elementary students, the subcomiittee prioritized the following data points to center their concerns </w:t>
      </w:r>
      <w:r w:rsidR="000F1E03">
        <w:rPr>
          <w:color w:val="auto"/>
        </w:rPr>
        <w:t xml:space="preserve">about </w:t>
      </w:r>
      <w:r w:rsidR="00161E86">
        <w:rPr>
          <w:color w:val="auto"/>
        </w:rPr>
        <w:t>the 2022–23 math proficiency rate of third grade students</w:t>
      </w:r>
      <w:r>
        <w:rPr>
          <w:color w:val="auto"/>
        </w:rPr>
        <w:t>:</w:t>
      </w:r>
    </w:p>
    <w:p w14:paraId="7F304AB9" w14:textId="28DB50C8" w:rsidR="00161E86" w:rsidRDefault="00161E86" w:rsidP="009670FC">
      <w:pPr>
        <w:pStyle w:val="ListParagraph"/>
        <w:numPr>
          <w:ilvl w:val="0"/>
          <w:numId w:val="52"/>
        </w:numPr>
        <w:spacing w:after="240"/>
        <w:contextualSpacing w:val="0"/>
        <w:rPr>
          <w:rFonts w:cs="Arial"/>
        </w:rPr>
      </w:pPr>
      <w:r>
        <w:rPr>
          <w:rFonts w:cs="Arial"/>
        </w:rPr>
        <w:t>Twenty-on</w:t>
      </w:r>
      <w:r w:rsidR="002C0BDD">
        <w:rPr>
          <w:rFonts w:cs="Arial"/>
        </w:rPr>
        <w:t>e</w:t>
      </w:r>
      <w:r w:rsidR="002C0BDD">
        <w:t> </w:t>
      </w:r>
      <w:r>
        <w:rPr>
          <w:rFonts w:cs="Arial"/>
        </w:rPr>
        <w:t>percent of migratory students were proficient in math by the end of third grade.</w:t>
      </w:r>
    </w:p>
    <w:p w14:paraId="3FAC8B9B" w14:textId="00503404" w:rsidR="00B61A32" w:rsidRPr="00161E86" w:rsidRDefault="00161E86" w:rsidP="009670FC">
      <w:pPr>
        <w:pStyle w:val="ListParagraph"/>
        <w:numPr>
          <w:ilvl w:val="0"/>
          <w:numId w:val="52"/>
        </w:numPr>
        <w:spacing w:after="240"/>
        <w:contextualSpacing w:val="0"/>
        <w:rPr>
          <w:rFonts w:cs="Arial"/>
        </w:rPr>
      </w:pPr>
      <w:r>
        <w:rPr>
          <w:rFonts w:cs="Arial"/>
        </w:rPr>
        <w:t>Forty-five</w:t>
      </w:r>
      <w:r w:rsidR="002C0BDD">
        <w:t> </w:t>
      </w:r>
      <w:r>
        <w:rPr>
          <w:rFonts w:cs="Arial"/>
        </w:rPr>
        <w:t>percent of all students were proficient in math by the end of third grade.</w:t>
      </w:r>
    </w:p>
    <w:p w14:paraId="700293EF" w14:textId="1B1FE256" w:rsidR="00E845F9" w:rsidRPr="002F0E3F" w:rsidRDefault="00161E86" w:rsidP="00BC6DDA">
      <w:pPr>
        <w:tabs>
          <w:tab w:val="left" w:pos="1080"/>
        </w:tabs>
        <w:spacing w:after="240"/>
        <w:rPr>
          <w:rFonts w:cs="Arial"/>
        </w:rPr>
      </w:pPr>
      <w:r>
        <w:rPr>
          <w:rFonts w:cs="Arial"/>
        </w:rPr>
        <w:t>Based on these key data points for ELA, ELD, and math,</w:t>
      </w:r>
      <w:r w:rsidR="00E845F9" w:rsidRPr="002F0E3F">
        <w:rPr>
          <w:rFonts w:cs="Arial"/>
        </w:rPr>
        <w:t xml:space="preserve"> the </w:t>
      </w:r>
      <w:r w:rsidR="008376CA">
        <w:rPr>
          <w:rFonts w:cs="Arial"/>
        </w:rPr>
        <w:t>School Readiness subcommittee</w:t>
      </w:r>
      <w:r w:rsidR="00E845F9" w:rsidRPr="002F0E3F">
        <w:rPr>
          <w:rFonts w:cs="Arial"/>
        </w:rPr>
        <w:t xml:space="preserve"> </w:t>
      </w:r>
      <w:r>
        <w:rPr>
          <w:rFonts w:cs="Arial"/>
        </w:rPr>
        <w:t>selected t</w:t>
      </w:r>
      <w:r w:rsidR="00A6782F">
        <w:rPr>
          <w:rFonts w:cs="Arial"/>
        </w:rPr>
        <w:t>hree</w:t>
      </w:r>
      <w:r w:rsidR="00E845F9" w:rsidRPr="002F0E3F">
        <w:rPr>
          <w:rFonts w:cs="Arial"/>
        </w:rPr>
        <w:t xml:space="preserve"> concerns and </w:t>
      </w:r>
      <w:r>
        <w:rPr>
          <w:rFonts w:cs="Arial"/>
        </w:rPr>
        <w:t>corresponding</w:t>
      </w:r>
      <w:r w:rsidR="00E845F9" w:rsidRPr="002F0E3F">
        <w:rPr>
          <w:rFonts w:cs="Arial"/>
        </w:rPr>
        <w:t xml:space="preserve"> needs of migratory children (age</w:t>
      </w:r>
      <w:r w:rsidR="000F1E03">
        <w:rPr>
          <w:rFonts w:cs="Arial"/>
        </w:rPr>
        <w:t xml:space="preserve">s three to four </w:t>
      </w:r>
      <w:r w:rsidR="00E845F9" w:rsidRPr="002F0E3F">
        <w:rPr>
          <w:rFonts w:cs="Arial"/>
        </w:rPr>
        <w:t xml:space="preserve">years) </w:t>
      </w:r>
      <w:r w:rsidR="000F1E03">
        <w:rPr>
          <w:rFonts w:cs="Arial"/>
        </w:rPr>
        <w:t>for</w:t>
      </w:r>
      <w:r w:rsidR="00E845F9" w:rsidRPr="002F0E3F">
        <w:rPr>
          <w:rFonts w:cs="Arial"/>
        </w:rPr>
        <w:t xml:space="preserve"> school readiness. Initial strategies </w:t>
      </w:r>
      <w:r>
        <w:rPr>
          <w:rFonts w:cs="Arial"/>
        </w:rPr>
        <w:t>for each concern and aligning need are discussed below.</w:t>
      </w:r>
    </w:p>
    <w:p w14:paraId="2DF22E70" w14:textId="47214F1D" w:rsidR="007327CA" w:rsidRPr="002F0E3F" w:rsidRDefault="007327CA" w:rsidP="00BC6DDA">
      <w:pPr>
        <w:pStyle w:val="Heading4"/>
      </w:pPr>
      <w:r w:rsidRPr="002F0E3F">
        <w:t>School Readiness</w:t>
      </w:r>
      <w:r w:rsidR="00E4537B" w:rsidRPr="002F0E3F">
        <w:t>:</w:t>
      </w:r>
      <w:r w:rsidRPr="002F0E3F">
        <w:t xml:space="preserve"> Concern Statement #1 </w:t>
      </w:r>
    </w:p>
    <w:p w14:paraId="3EEC46D8" w14:textId="548DCE96" w:rsidR="007327CA" w:rsidRPr="002F0E3F" w:rsidRDefault="007327CA" w:rsidP="00BC6DDA">
      <w:pPr>
        <w:spacing w:after="240"/>
        <w:rPr>
          <w:rFonts w:cs="Arial"/>
        </w:rPr>
      </w:pPr>
      <w:r w:rsidRPr="002F0E3F">
        <w:rPr>
          <w:rFonts w:cs="Arial"/>
        </w:rPr>
        <w:t xml:space="preserve">Rich discussions on school readiness took place during the </w:t>
      </w:r>
      <w:r w:rsidR="008376CA">
        <w:rPr>
          <w:rFonts w:cs="Arial"/>
        </w:rPr>
        <w:t>School Readiness subcommittee</w:t>
      </w:r>
      <w:r w:rsidRPr="002F0E3F">
        <w:rPr>
          <w:rFonts w:cs="Arial"/>
        </w:rPr>
        <w:t xml:space="preserve"> </w:t>
      </w:r>
      <w:r w:rsidR="00161E86">
        <w:rPr>
          <w:rFonts w:cs="Arial"/>
        </w:rPr>
        <w:t>session</w:t>
      </w:r>
      <w:r w:rsidRPr="002F0E3F">
        <w:rPr>
          <w:rFonts w:cs="Arial"/>
        </w:rPr>
        <w:t xml:space="preserve"> </w:t>
      </w:r>
      <w:r w:rsidR="00A6782F">
        <w:rPr>
          <w:rFonts w:cs="Arial"/>
        </w:rPr>
        <w:t>focused on English language proficiency.</w:t>
      </w:r>
      <w:r w:rsidRPr="002F0E3F">
        <w:rPr>
          <w:rFonts w:cs="Arial"/>
        </w:rPr>
        <w:t xml:space="preserve"> </w:t>
      </w:r>
      <w:r w:rsidR="00A6782F">
        <w:rPr>
          <w:rFonts w:cs="Arial"/>
        </w:rPr>
        <w:t>After s</w:t>
      </w:r>
      <w:r w:rsidRPr="002F0E3F">
        <w:rPr>
          <w:rFonts w:cs="Arial"/>
        </w:rPr>
        <w:t xml:space="preserve">ubcommittee members </w:t>
      </w:r>
      <w:r w:rsidR="00A6782F">
        <w:rPr>
          <w:rFonts w:cs="Arial"/>
        </w:rPr>
        <w:t xml:space="preserve">reviewed </w:t>
      </w:r>
      <w:r w:rsidR="000E598A">
        <w:rPr>
          <w:rFonts w:cs="Arial"/>
        </w:rPr>
        <w:t>all</w:t>
      </w:r>
      <w:r w:rsidR="00A6782F">
        <w:rPr>
          <w:rFonts w:cs="Arial"/>
        </w:rPr>
        <w:t xml:space="preserve"> the CAASPP ELPAC data for all domains and grades, they </w:t>
      </w:r>
      <w:r w:rsidRPr="002F0E3F">
        <w:rPr>
          <w:rFonts w:cs="Arial"/>
        </w:rPr>
        <w:t>expressed their concern as follow</w:t>
      </w:r>
      <w:r w:rsidR="000F1E03">
        <w:rPr>
          <w:rFonts w:cs="Arial"/>
        </w:rPr>
        <w:t>s</w:t>
      </w:r>
      <w:r w:rsidRPr="002F0E3F">
        <w:rPr>
          <w:rFonts w:cs="Arial"/>
        </w:rPr>
        <w:t>:</w:t>
      </w:r>
    </w:p>
    <w:p w14:paraId="0966A33D" w14:textId="2825E918" w:rsidR="007327CA" w:rsidRDefault="006B3AB8" w:rsidP="00BC6DDA">
      <w:pPr>
        <w:spacing w:after="240"/>
        <w:ind w:left="360" w:right="720"/>
        <w:jc w:val="center"/>
        <w:rPr>
          <w:rFonts w:cs="Arial"/>
        </w:rPr>
      </w:pPr>
      <w:r>
        <w:rPr>
          <w:rFonts w:cs="Arial"/>
        </w:rPr>
        <w:t>We are concerned that in 2022–23, 7.9</w:t>
      </w:r>
      <w:r w:rsidR="002C0BDD">
        <w:t> </w:t>
      </w:r>
      <w:r>
        <w:rPr>
          <w:rFonts w:cs="Arial"/>
        </w:rPr>
        <w:t>percent of migratory kindergarten students scored at level 4 on the ELPAC overall.</w:t>
      </w:r>
    </w:p>
    <w:p w14:paraId="2163622E" w14:textId="3A5FA418" w:rsidR="001949F4" w:rsidRPr="002F0E3F" w:rsidRDefault="00CD19A2" w:rsidP="001949F4">
      <w:pPr>
        <w:spacing w:after="240"/>
        <w:ind w:right="720"/>
        <w:rPr>
          <w:rFonts w:cs="Arial"/>
        </w:rPr>
      </w:pPr>
      <w:r>
        <w:rPr>
          <w:rFonts w:cs="Arial"/>
        </w:rPr>
        <w:lastRenderedPageBreak/>
        <w:t>Considering this data, the School Readiness subcommittee articulated the achievement gap on overall English language proficiency as measured by the ELPAC</w:t>
      </w:r>
      <w:r w:rsidR="006D7630">
        <w:rPr>
          <w:rFonts w:cs="Arial"/>
        </w:rPr>
        <w:t xml:space="preserve"> in the subsequent need statement</w:t>
      </w:r>
      <w:r w:rsidR="001949F4">
        <w:rPr>
          <w:rFonts w:cs="Arial"/>
        </w:rPr>
        <w:t>.</w:t>
      </w:r>
    </w:p>
    <w:p w14:paraId="41911BAC" w14:textId="63E4E825" w:rsidR="007327CA" w:rsidRPr="00C96527" w:rsidRDefault="007327CA" w:rsidP="00BC6DDA">
      <w:pPr>
        <w:pStyle w:val="Heading4"/>
      </w:pPr>
      <w:r w:rsidRPr="00C96527">
        <w:t>Need Statement</w:t>
      </w:r>
    </w:p>
    <w:p w14:paraId="76DF7E62" w14:textId="04A4426F" w:rsidR="007327CA" w:rsidRPr="002F0E3F" w:rsidRDefault="00A6782F" w:rsidP="00BC6DDA">
      <w:pPr>
        <w:spacing w:after="240"/>
        <w:rPr>
          <w:rFonts w:cs="Arial"/>
        </w:rPr>
      </w:pPr>
      <w:r>
        <w:rPr>
          <w:rFonts w:cs="Arial"/>
        </w:rPr>
        <w:t xml:space="preserve">Multilingual students who develop literacy in their primary language </w:t>
      </w:r>
      <w:r w:rsidR="000E598A">
        <w:rPr>
          <w:rFonts w:cs="Arial"/>
        </w:rPr>
        <w:t>can more</w:t>
      </w:r>
      <w:r>
        <w:rPr>
          <w:rFonts w:cs="Arial"/>
        </w:rPr>
        <w:t xml:space="preserve"> </w:t>
      </w:r>
      <w:r w:rsidR="000E598A">
        <w:rPr>
          <w:rFonts w:cs="Arial"/>
        </w:rPr>
        <w:t>easily transition</w:t>
      </w:r>
      <w:r>
        <w:rPr>
          <w:rFonts w:cs="Arial"/>
        </w:rPr>
        <w:t xml:space="preserve"> skills to English</w:t>
      </w:r>
      <w:r w:rsidR="007327CA" w:rsidRPr="002F0E3F">
        <w:rPr>
          <w:rFonts w:cs="Arial"/>
        </w:rPr>
        <w:t>.</w:t>
      </w:r>
      <w:r w:rsidR="000E598A">
        <w:rPr>
          <w:rFonts w:cs="Arial"/>
        </w:rPr>
        <w:t xml:space="preserve"> </w:t>
      </w:r>
      <w:r w:rsidR="004C2F44">
        <w:rPr>
          <w:rFonts w:cs="Arial"/>
        </w:rPr>
        <w:t>As a result of</w:t>
      </w:r>
      <w:r w:rsidR="000E598A">
        <w:rPr>
          <w:rFonts w:cs="Arial"/>
        </w:rPr>
        <w:t xml:space="preserve"> </w:t>
      </w:r>
      <w:r w:rsidR="004C2F44">
        <w:rPr>
          <w:rFonts w:cs="Arial"/>
        </w:rPr>
        <w:t xml:space="preserve">a </w:t>
      </w:r>
      <w:r w:rsidR="000E598A">
        <w:rPr>
          <w:rFonts w:cs="Arial"/>
        </w:rPr>
        <w:t>migratory lifestyle, many migratory preschool</w:t>
      </w:r>
      <w:r w:rsidR="004C2F44">
        <w:rPr>
          <w:rFonts w:cs="Arial"/>
        </w:rPr>
        <w:t>-</w:t>
      </w:r>
      <w:r w:rsidR="000E598A">
        <w:rPr>
          <w:rFonts w:cs="Arial"/>
        </w:rPr>
        <w:t xml:space="preserve">aged children face disruptions in their education and many migratory preschool children do not enroll in full-time non-MEP preschool programs. </w:t>
      </w:r>
      <w:r w:rsidR="004C2F44">
        <w:rPr>
          <w:rFonts w:cs="Arial"/>
        </w:rPr>
        <w:t xml:space="preserve">Some </w:t>
      </w:r>
      <w:r w:rsidR="000E598A">
        <w:rPr>
          <w:rFonts w:cs="Arial"/>
        </w:rPr>
        <w:t>barriers</w:t>
      </w:r>
      <w:r w:rsidR="004C2F44">
        <w:rPr>
          <w:rFonts w:cs="Arial"/>
        </w:rPr>
        <w:t xml:space="preserve"> children have </w:t>
      </w:r>
      <w:r w:rsidR="000E598A">
        <w:rPr>
          <w:rFonts w:cs="Arial"/>
        </w:rPr>
        <w:t xml:space="preserve">to </w:t>
      </w:r>
      <w:proofErr w:type="gramStart"/>
      <w:r w:rsidR="00616EB1">
        <w:rPr>
          <w:rFonts w:cs="Arial"/>
        </w:rPr>
        <w:t>participation</w:t>
      </w:r>
      <w:proofErr w:type="gramEnd"/>
      <w:r w:rsidR="00616EB1">
        <w:rPr>
          <w:rFonts w:cs="Arial"/>
        </w:rPr>
        <w:t xml:space="preserve"> in </w:t>
      </w:r>
      <w:r w:rsidR="000E598A">
        <w:rPr>
          <w:rFonts w:cs="Arial"/>
        </w:rPr>
        <w:t xml:space="preserve">non-MEP preschool programs include lack of adequate transportation </w:t>
      </w:r>
      <w:proofErr w:type="gramStart"/>
      <w:r w:rsidR="000E598A">
        <w:rPr>
          <w:rFonts w:cs="Arial"/>
        </w:rPr>
        <w:t>and  programs</w:t>
      </w:r>
      <w:proofErr w:type="gramEnd"/>
      <w:r w:rsidR="000E598A">
        <w:rPr>
          <w:rFonts w:cs="Arial"/>
        </w:rPr>
        <w:t xml:space="preserve"> in the area</w:t>
      </w:r>
      <w:r w:rsidR="00B46A3C">
        <w:rPr>
          <w:rFonts w:cs="Arial"/>
        </w:rPr>
        <w:t xml:space="preserve"> not connecting with families for various reasons</w:t>
      </w:r>
      <w:r w:rsidR="000E598A">
        <w:rPr>
          <w:rFonts w:cs="Arial"/>
        </w:rPr>
        <w:t xml:space="preserve">. Acknowledging the important role of English language development, </w:t>
      </w:r>
      <w:r w:rsidR="003B4E94">
        <w:rPr>
          <w:rFonts w:cs="Arial"/>
        </w:rPr>
        <w:t>t</w:t>
      </w:r>
      <w:r w:rsidR="007327CA" w:rsidRPr="002F0E3F">
        <w:rPr>
          <w:rFonts w:cs="Arial"/>
        </w:rPr>
        <w:t xml:space="preserve">he </w:t>
      </w:r>
      <w:r w:rsidR="008376CA">
        <w:rPr>
          <w:rFonts w:cs="Arial"/>
        </w:rPr>
        <w:t>School Readiness subcommittee</w:t>
      </w:r>
      <w:r w:rsidR="007327CA" w:rsidRPr="002F0E3F">
        <w:rPr>
          <w:rFonts w:cs="Arial"/>
        </w:rPr>
        <w:t xml:space="preserve"> identified the following need:</w:t>
      </w:r>
    </w:p>
    <w:p w14:paraId="77005AD4" w14:textId="371085D1" w:rsidR="007327CA" w:rsidRDefault="006B3AB8" w:rsidP="00BC6DDA">
      <w:pPr>
        <w:spacing w:after="240"/>
        <w:ind w:left="360" w:right="720"/>
        <w:jc w:val="center"/>
        <w:rPr>
          <w:rFonts w:cs="Arial"/>
        </w:rPr>
      </w:pPr>
      <w:r>
        <w:rPr>
          <w:rFonts w:cs="Arial"/>
        </w:rPr>
        <w:t>An additional 8.1</w:t>
      </w:r>
      <w:r w:rsidR="002C0BDD">
        <w:t> </w:t>
      </w:r>
      <w:r>
        <w:rPr>
          <w:rFonts w:cs="Arial"/>
        </w:rPr>
        <w:t>percent of migratory kindergarten students need to score at level 4 on the ELPAC overal</w:t>
      </w:r>
      <w:r w:rsidR="00C96527">
        <w:rPr>
          <w:rFonts w:cs="Arial"/>
        </w:rPr>
        <w:t xml:space="preserve">l </w:t>
      </w:r>
      <w:r w:rsidR="00161E86">
        <w:rPr>
          <w:rFonts w:cs="Arial"/>
        </w:rPr>
        <w:t>proficiency.</w:t>
      </w:r>
    </w:p>
    <w:p w14:paraId="2AFA72BD" w14:textId="16631A71" w:rsidR="006D7630" w:rsidRPr="002F0E3F" w:rsidRDefault="006D7630" w:rsidP="006D7630">
      <w:pPr>
        <w:spacing w:after="240"/>
        <w:ind w:right="720"/>
        <w:rPr>
          <w:rFonts w:cs="Arial"/>
        </w:rPr>
      </w:pPr>
      <w:r>
        <w:rPr>
          <w:rFonts w:cs="Arial"/>
        </w:rPr>
        <w:t xml:space="preserve">This gap demonstrated the need to focus on English language proficiency within MEP school readiness services. The subcommittee also noted that other factors such as social and emotional learning may also need to be addressed </w:t>
      </w:r>
      <w:r w:rsidR="004C2F44">
        <w:rPr>
          <w:rFonts w:cs="Arial"/>
        </w:rPr>
        <w:t xml:space="preserve">for </w:t>
      </w:r>
      <w:r>
        <w:rPr>
          <w:rFonts w:cs="Arial"/>
        </w:rPr>
        <w:t xml:space="preserve">students </w:t>
      </w:r>
      <w:r w:rsidR="004C2F44">
        <w:rPr>
          <w:rFonts w:cs="Arial"/>
        </w:rPr>
        <w:t xml:space="preserve">to develop </w:t>
      </w:r>
      <w:r>
        <w:rPr>
          <w:rFonts w:cs="Arial"/>
        </w:rPr>
        <w:t xml:space="preserve">additional skills </w:t>
      </w:r>
      <w:r w:rsidR="008B5765">
        <w:rPr>
          <w:rFonts w:cs="Arial"/>
        </w:rPr>
        <w:t xml:space="preserve">that </w:t>
      </w:r>
      <w:r>
        <w:rPr>
          <w:rFonts w:cs="Arial"/>
        </w:rPr>
        <w:t>support their engagement in school.</w:t>
      </w:r>
    </w:p>
    <w:p w14:paraId="63A96023" w14:textId="29B3EE75" w:rsidR="007327CA" w:rsidRPr="00C96527" w:rsidRDefault="007327CA" w:rsidP="00BC6DDA">
      <w:pPr>
        <w:pStyle w:val="Heading4"/>
      </w:pPr>
      <w:r w:rsidRPr="00C96527">
        <w:t>Initial Strategies</w:t>
      </w:r>
      <w:r w:rsidR="006450FC" w:rsidRPr="00C96527">
        <w:t xml:space="preserve"> to Address Need</w:t>
      </w:r>
    </w:p>
    <w:p w14:paraId="73DA18EC" w14:textId="3D01BC91" w:rsidR="007327CA" w:rsidRPr="002F0E3F" w:rsidRDefault="007327CA" w:rsidP="00BC6DDA">
      <w:pPr>
        <w:spacing w:after="240"/>
        <w:rPr>
          <w:rFonts w:cs="Arial"/>
        </w:rPr>
      </w:pPr>
      <w:r w:rsidRPr="002F0E3F">
        <w:rPr>
          <w:rFonts w:cs="Arial"/>
        </w:rPr>
        <w:t xml:space="preserve">After the discussion and reviewing evidence-based practices for school readiness services, the </w:t>
      </w:r>
      <w:r w:rsidR="008B5765">
        <w:rPr>
          <w:rFonts w:cs="Arial"/>
        </w:rPr>
        <w:t>s</w:t>
      </w:r>
      <w:r w:rsidRPr="002F0E3F">
        <w:rPr>
          <w:rFonts w:cs="Arial"/>
        </w:rPr>
        <w:t xml:space="preserve">ubcommittee </w:t>
      </w:r>
      <w:r w:rsidR="00803D7D" w:rsidRPr="002F0E3F">
        <w:rPr>
          <w:rFonts w:cs="Arial"/>
        </w:rPr>
        <w:t>recommended</w:t>
      </w:r>
      <w:r w:rsidRPr="002F0E3F">
        <w:rPr>
          <w:rFonts w:cs="Arial"/>
        </w:rPr>
        <w:t xml:space="preserve"> including the following strategies </w:t>
      </w:r>
      <w:r w:rsidR="003B4E94">
        <w:rPr>
          <w:rFonts w:cs="Arial"/>
        </w:rPr>
        <w:t>to address the English language proficiency needs of migratory multilingual students</w:t>
      </w:r>
      <w:r w:rsidRPr="002F0E3F">
        <w:rPr>
          <w:rFonts w:cs="Arial"/>
        </w:rPr>
        <w:t>:</w:t>
      </w:r>
    </w:p>
    <w:p w14:paraId="4047DFAC" w14:textId="14F57C47" w:rsidR="003B4E94" w:rsidRDefault="003B4E94" w:rsidP="009670FC">
      <w:pPr>
        <w:pStyle w:val="ListParagraph"/>
        <w:numPr>
          <w:ilvl w:val="0"/>
          <w:numId w:val="33"/>
        </w:numPr>
        <w:spacing w:after="240"/>
        <w:ind w:left="720"/>
        <w:contextualSpacing w:val="0"/>
        <w:rPr>
          <w:rFonts w:cs="Arial"/>
        </w:rPr>
      </w:pPr>
      <w:r>
        <w:rPr>
          <w:rFonts w:cs="Arial"/>
        </w:rPr>
        <w:t>Provide dual language</w:t>
      </w:r>
      <w:r w:rsidRPr="006D7630">
        <w:rPr>
          <w:rFonts w:cs="Arial"/>
        </w:rPr>
        <w:t xml:space="preserve"> (home language and English) instr</w:t>
      </w:r>
      <w:r>
        <w:rPr>
          <w:rFonts w:cs="Arial"/>
        </w:rPr>
        <w:t xml:space="preserve">uction, foundational literacy and math school readiness services to migratory </w:t>
      </w:r>
      <w:r w:rsidR="00483A95">
        <w:rPr>
          <w:rFonts w:cs="Arial"/>
        </w:rPr>
        <w:t>p</w:t>
      </w:r>
      <w:r w:rsidR="00167888">
        <w:rPr>
          <w:rFonts w:cs="Arial"/>
        </w:rPr>
        <w:t>rekindergarten</w:t>
      </w:r>
      <w:r>
        <w:rPr>
          <w:rFonts w:cs="Arial"/>
        </w:rPr>
        <w:t xml:space="preserve"> children.</w:t>
      </w:r>
    </w:p>
    <w:p w14:paraId="778DE753" w14:textId="77777777" w:rsidR="003B4E94" w:rsidRDefault="003B4E94" w:rsidP="009670FC">
      <w:pPr>
        <w:pStyle w:val="ListParagraph"/>
        <w:numPr>
          <w:ilvl w:val="0"/>
          <w:numId w:val="33"/>
        </w:numPr>
        <w:spacing w:after="240"/>
        <w:ind w:left="720"/>
        <w:contextualSpacing w:val="0"/>
        <w:rPr>
          <w:rFonts w:cs="Arial"/>
        </w:rPr>
      </w:pPr>
      <w:r w:rsidRPr="003B4E94">
        <w:rPr>
          <w:rFonts w:cs="Arial"/>
        </w:rPr>
        <w:t>Provide at least one parent workshop covering the following topics:</w:t>
      </w:r>
    </w:p>
    <w:p w14:paraId="487C6943" w14:textId="77777777" w:rsidR="003B4E94" w:rsidRDefault="003B4E94" w:rsidP="009670FC">
      <w:pPr>
        <w:pStyle w:val="ListParagraph"/>
        <w:numPr>
          <w:ilvl w:val="1"/>
          <w:numId w:val="33"/>
        </w:numPr>
        <w:spacing w:after="240"/>
        <w:ind w:left="1080"/>
        <w:contextualSpacing w:val="0"/>
        <w:rPr>
          <w:rFonts w:cs="Arial"/>
        </w:rPr>
      </w:pPr>
      <w:r w:rsidRPr="003B4E94">
        <w:rPr>
          <w:rFonts w:cs="Arial"/>
        </w:rPr>
        <w:t>The benefits of being bilingual and strategies to develop primary language skills</w:t>
      </w:r>
    </w:p>
    <w:p w14:paraId="341742A8" w14:textId="77777777" w:rsidR="003B4E94" w:rsidRDefault="003B4E94" w:rsidP="009670FC">
      <w:pPr>
        <w:pStyle w:val="ListParagraph"/>
        <w:numPr>
          <w:ilvl w:val="1"/>
          <w:numId w:val="33"/>
        </w:numPr>
        <w:spacing w:after="240"/>
        <w:ind w:left="1080"/>
        <w:contextualSpacing w:val="0"/>
        <w:rPr>
          <w:rFonts w:cs="Arial"/>
        </w:rPr>
      </w:pPr>
      <w:r w:rsidRPr="003B4E94">
        <w:rPr>
          <w:rFonts w:cs="Arial"/>
        </w:rPr>
        <w:t>Strategies that support early learning at home</w:t>
      </w:r>
    </w:p>
    <w:p w14:paraId="073E3B49" w14:textId="170BA074" w:rsidR="00CA3E03" w:rsidRPr="003B4E94" w:rsidRDefault="003B4E94" w:rsidP="009670FC">
      <w:pPr>
        <w:pStyle w:val="ListParagraph"/>
        <w:numPr>
          <w:ilvl w:val="1"/>
          <w:numId w:val="33"/>
        </w:numPr>
        <w:spacing w:after="240"/>
        <w:ind w:left="1080"/>
        <w:contextualSpacing w:val="0"/>
        <w:rPr>
          <w:rFonts w:cs="Arial"/>
        </w:rPr>
      </w:pPr>
      <w:r w:rsidRPr="003B4E94">
        <w:rPr>
          <w:rFonts w:cs="Arial"/>
        </w:rPr>
        <w:t>Strategies to increase social and emotional learning at home</w:t>
      </w:r>
    </w:p>
    <w:p w14:paraId="1D019FD1" w14:textId="46BDFBF2" w:rsidR="007327CA" w:rsidRPr="002F0E3F" w:rsidRDefault="003B4E94" w:rsidP="009670FC">
      <w:pPr>
        <w:pStyle w:val="ListParagraph"/>
        <w:numPr>
          <w:ilvl w:val="0"/>
          <w:numId w:val="33"/>
        </w:numPr>
        <w:spacing w:after="240"/>
        <w:ind w:left="720"/>
        <w:contextualSpacing w:val="0"/>
        <w:rPr>
          <w:rFonts w:cs="Arial"/>
        </w:rPr>
      </w:pPr>
      <w:r>
        <w:rPr>
          <w:rFonts w:cs="Arial"/>
        </w:rPr>
        <w:t xml:space="preserve">Provide professional learning opportunities to </w:t>
      </w:r>
      <w:r w:rsidR="00483A95">
        <w:rPr>
          <w:rFonts w:cs="Arial"/>
        </w:rPr>
        <w:t>p</w:t>
      </w:r>
      <w:r w:rsidR="00167888">
        <w:rPr>
          <w:rFonts w:cs="Arial"/>
        </w:rPr>
        <w:t>rekindergarten</w:t>
      </w:r>
      <w:r>
        <w:rPr>
          <w:rFonts w:cs="Arial"/>
        </w:rPr>
        <w:t xml:space="preserve"> teachers on best practices for preschool foundational skills.</w:t>
      </w:r>
    </w:p>
    <w:p w14:paraId="625CE087" w14:textId="76CFBD11" w:rsidR="00544675" w:rsidRPr="002F0E3F" w:rsidRDefault="00544675" w:rsidP="00BC6DDA">
      <w:pPr>
        <w:pStyle w:val="Heading4"/>
      </w:pPr>
      <w:r w:rsidRPr="002F0E3F">
        <w:lastRenderedPageBreak/>
        <w:t>School Readiness</w:t>
      </w:r>
      <w:r w:rsidR="00E4537B" w:rsidRPr="002F0E3F">
        <w:t>:</w:t>
      </w:r>
      <w:r w:rsidRPr="002F0E3F">
        <w:t xml:space="preserve"> Concern Statement #2 </w:t>
      </w:r>
    </w:p>
    <w:p w14:paraId="201E7F73" w14:textId="096D7A60" w:rsidR="00544675" w:rsidRPr="002F0E3F" w:rsidRDefault="00544675" w:rsidP="00BC6DDA">
      <w:pPr>
        <w:spacing w:after="240"/>
        <w:rPr>
          <w:rFonts w:cs="Arial"/>
        </w:rPr>
      </w:pPr>
      <w:r w:rsidRPr="002F0E3F">
        <w:rPr>
          <w:rFonts w:cs="Arial"/>
        </w:rPr>
        <w:t xml:space="preserve">Another point discussed </w:t>
      </w:r>
      <w:r w:rsidR="00FA0D11">
        <w:rPr>
          <w:rFonts w:cs="Arial"/>
        </w:rPr>
        <w:t>by</w:t>
      </w:r>
      <w:r w:rsidR="00FA0D11" w:rsidRPr="002F0E3F">
        <w:rPr>
          <w:rFonts w:cs="Arial"/>
        </w:rPr>
        <w:t xml:space="preserve"> </w:t>
      </w:r>
      <w:r w:rsidRPr="002F0E3F">
        <w:rPr>
          <w:rFonts w:cs="Arial"/>
        </w:rPr>
        <w:t>the subcommittee for school readiness centered on the need to develop the migratory pr</w:t>
      </w:r>
      <w:r w:rsidR="006C7950">
        <w:rPr>
          <w:rFonts w:cs="Arial"/>
        </w:rPr>
        <w:t>ekindergarten</w:t>
      </w:r>
      <w:r w:rsidRPr="002F0E3F">
        <w:rPr>
          <w:rFonts w:cs="Arial"/>
        </w:rPr>
        <w:t xml:space="preserve"> children’s </w:t>
      </w:r>
      <w:r w:rsidR="003B4E94">
        <w:rPr>
          <w:rFonts w:cs="Arial"/>
        </w:rPr>
        <w:t>ELA foundational knowledge and skills</w:t>
      </w:r>
      <w:r w:rsidRPr="002F0E3F">
        <w:rPr>
          <w:rFonts w:cs="Arial"/>
        </w:rPr>
        <w:t xml:space="preserve">. </w:t>
      </w:r>
      <w:r w:rsidR="003B4E94">
        <w:rPr>
          <w:rFonts w:cs="Arial"/>
        </w:rPr>
        <w:t xml:space="preserve">After analyzing the CAASPP ELA </w:t>
      </w:r>
      <w:r w:rsidR="00340882">
        <w:rPr>
          <w:rFonts w:cs="Arial"/>
        </w:rPr>
        <w:t xml:space="preserve">grade specific </w:t>
      </w:r>
      <w:r w:rsidR="003B4E94">
        <w:rPr>
          <w:rFonts w:cs="Arial"/>
        </w:rPr>
        <w:t xml:space="preserve">claim data, </w:t>
      </w:r>
      <w:r w:rsidR="00340882">
        <w:rPr>
          <w:rFonts w:cs="Arial"/>
        </w:rPr>
        <w:t>the</w:t>
      </w:r>
      <w:r w:rsidR="003B4E94">
        <w:rPr>
          <w:rFonts w:cs="Arial"/>
        </w:rPr>
        <w:t xml:space="preserve"> s</w:t>
      </w:r>
      <w:r w:rsidRPr="002F0E3F">
        <w:rPr>
          <w:rFonts w:cs="Arial"/>
        </w:rPr>
        <w:t>ubcommittee members expressed the</w:t>
      </w:r>
      <w:r w:rsidR="00340882">
        <w:rPr>
          <w:rFonts w:cs="Arial"/>
        </w:rPr>
        <w:t xml:space="preserve"> following concern:</w:t>
      </w:r>
    </w:p>
    <w:p w14:paraId="4D0C218A" w14:textId="30FDC5AC" w:rsidR="00544675" w:rsidRDefault="003B4E94" w:rsidP="00BC6DDA">
      <w:pPr>
        <w:spacing w:after="240"/>
        <w:jc w:val="center"/>
        <w:rPr>
          <w:rFonts w:cs="Arial"/>
        </w:rPr>
      </w:pPr>
      <w:r>
        <w:rPr>
          <w:rFonts w:cs="Arial"/>
        </w:rPr>
        <w:t>We are concerned that only 17</w:t>
      </w:r>
      <w:r w:rsidR="002C0BDD">
        <w:t> </w:t>
      </w:r>
      <w:r>
        <w:rPr>
          <w:rFonts w:cs="Arial"/>
        </w:rPr>
        <w:t>percent of migratory students scored proficient in ELA Smarter Balanced assessment by the end of third grade.</w:t>
      </w:r>
    </w:p>
    <w:p w14:paraId="5DD8D6CB" w14:textId="4E7AC92E" w:rsidR="006D7630" w:rsidRPr="002F0E3F" w:rsidRDefault="006D7630" w:rsidP="006D7630">
      <w:pPr>
        <w:spacing w:after="240"/>
        <w:rPr>
          <w:rFonts w:cs="Arial"/>
        </w:rPr>
      </w:pPr>
      <w:r>
        <w:rPr>
          <w:rFonts w:cs="Arial"/>
        </w:rPr>
        <w:t>The ELA CAASPP data led the subcommittee to further consider the achievement gap between migratory and all students third grade assessment data as a priority need.</w:t>
      </w:r>
    </w:p>
    <w:p w14:paraId="656F7EE7" w14:textId="1A9528B8" w:rsidR="00544675" w:rsidRPr="002F0E3F" w:rsidRDefault="00544675" w:rsidP="00BC6DDA">
      <w:pPr>
        <w:pStyle w:val="Heading4"/>
      </w:pPr>
      <w:r w:rsidRPr="002F0E3F">
        <w:t>Need Statement</w:t>
      </w:r>
    </w:p>
    <w:p w14:paraId="0164409C" w14:textId="1423AA29" w:rsidR="00544675" w:rsidRPr="002F0E3F" w:rsidRDefault="00544675" w:rsidP="00BC6DDA">
      <w:pPr>
        <w:spacing w:after="240"/>
        <w:rPr>
          <w:rFonts w:cs="Arial"/>
        </w:rPr>
      </w:pPr>
      <w:r w:rsidRPr="002F0E3F">
        <w:rPr>
          <w:rFonts w:cs="Arial"/>
        </w:rPr>
        <w:t xml:space="preserve">Many students are not developmentally ready to start </w:t>
      </w:r>
      <w:r w:rsidR="00FA0D11">
        <w:rPr>
          <w:rFonts w:cs="Arial"/>
        </w:rPr>
        <w:t>k</w:t>
      </w:r>
      <w:r w:rsidRPr="002F0E3F">
        <w:rPr>
          <w:rFonts w:cs="Arial"/>
        </w:rPr>
        <w:t>indergarten</w:t>
      </w:r>
      <w:r w:rsidR="003B4E94">
        <w:rPr>
          <w:rFonts w:cs="Arial"/>
        </w:rPr>
        <w:t xml:space="preserve">, so the MEP school readiness services are an opportunity to build knowledge and skills in various content areas </w:t>
      </w:r>
      <w:r w:rsidR="00C46E76">
        <w:rPr>
          <w:rFonts w:cs="Arial"/>
        </w:rPr>
        <w:t>including in ELA</w:t>
      </w:r>
      <w:r w:rsidRPr="002F0E3F">
        <w:rPr>
          <w:rFonts w:cs="Arial"/>
        </w:rPr>
        <w:t>.</w:t>
      </w:r>
      <w:r w:rsidR="00C46E76">
        <w:rPr>
          <w:rFonts w:cs="Arial"/>
        </w:rPr>
        <w:t xml:space="preserve"> To support early literacy, t</w:t>
      </w:r>
      <w:r w:rsidRPr="002F0E3F">
        <w:rPr>
          <w:rFonts w:cs="Arial"/>
        </w:rPr>
        <w:t xml:space="preserve">he </w:t>
      </w:r>
      <w:r w:rsidR="008376CA">
        <w:rPr>
          <w:rFonts w:cs="Arial"/>
        </w:rPr>
        <w:t>School Readiness subcommittee</w:t>
      </w:r>
      <w:r w:rsidRPr="002F0E3F">
        <w:rPr>
          <w:rFonts w:cs="Arial"/>
        </w:rPr>
        <w:t xml:space="preserve"> identified the following need:</w:t>
      </w:r>
    </w:p>
    <w:p w14:paraId="6898A64F" w14:textId="2340B20F" w:rsidR="006D7630" w:rsidRDefault="003B4E94" w:rsidP="006D7630">
      <w:pPr>
        <w:spacing w:after="240"/>
        <w:ind w:left="-14"/>
        <w:jc w:val="center"/>
        <w:rPr>
          <w:rFonts w:cs="Arial"/>
        </w:rPr>
      </w:pPr>
      <w:r>
        <w:rPr>
          <w:rFonts w:cs="Arial"/>
        </w:rPr>
        <w:t>An additional 25.9</w:t>
      </w:r>
      <w:r w:rsidR="002C0BDD">
        <w:t> </w:t>
      </w:r>
      <w:r>
        <w:rPr>
          <w:rFonts w:cs="Arial"/>
        </w:rPr>
        <w:t xml:space="preserve">percent of third grade migratory students need to score </w:t>
      </w:r>
      <w:proofErr w:type="gramStart"/>
      <w:r>
        <w:rPr>
          <w:rFonts w:cs="Arial"/>
        </w:rPr>
        <w:t>proficient</w:t>
      </w:r>
      <w:proofErr w:type="gramEnd"/>
      <w:r>
        <w:rPr>
          <w:rFonts w:cs="Arial"/>
        </w:rPr>
        <w:t xml:space="preserve"> on the CAASPP ELA Smarter Balanced summative assessment</w:t>
      </w:r>
      <w:r w:rsidR="00544675" w:rsidRPr="002F0E3F">
        <w:rPr>
          <w:rFonts w:cs="Arial"/>
        </w:rPr>
        <w:t>.</w:t>
      </w:r>
    </w:p>
    <w:p w14:paraId="09324549" w14:textId="4AB2D985" w:rsidR="006D7630" w:rsidRPr="002F0E3F" w:rsidRDefault="006D7630" w:rsidP="006D7630">
      <w:pPr>
        <w:spacing w:after="240"/>
        <w:rPr>
          <w:rFonts w:cs="Arial"/>
        </w:rPr>
      </w:pPr>
      <w:proofErr w:type="gramStart"/>
      <w:r>
        <w:rPr>
          <w:rFonts w:cs="Arial"/>
        </w:rPr>
        <w:t>Similar to</w:t>
      </w:r>
      <w:proofErr w:type="gramEnd"/>
      <w:r>
        <w:rPr>
          <w:rFonts w:cs="Arial"/>
        </w:rPr>
        <w:t xml:space="preserve"> the first concern, the School Readiness subcommittee further stressed the need for ELA instruction as an early intervention.</w:t>
      </w:r>
    </w:p>
    <w:p w14:paraId="2B52FC0B" w14:textId="574A49BB" w:rsidR="00544675" w:rsidRPr="002F0E3F" w:rsidRDefault="00544675" w:rsidP="00BC6DDA">
      <w:pPr>
        <w:pStyle w:val="Heading4"/>
      </w:pPr>
      <w:r w:rsidRPr="002F0E3F">
        <w:t>Initial Strategies</w:t>
      </w:r>
      <w:r w:rsidR="006450FC">
        <w:t xml:space="preserve"> to Address Need</w:t>
      </w:r>
    </w:p>
    <w:p w14:paraId="299BF3B6" w14:textId="753B76D7" w:rsidR="00544675" w:rsidRPr="002F0E3F" w:rsidRDefault="00544675" w:rsidP="00BC6DDA">
      <w:pPr>
        <w:spacing w:after="240"/>
        <w:rPr>
          <w:rFonts w:cs="Arial"/>
        </w:rPr>
      </w:pPr>
      <w:r w:rsidRPr="002F0E3F">
        <w:rPr>
          <w:rFonts w:cs="Arial"/>
        </w:rPr>
        <w:t xml:space="preserve">After the discussion and reviewing evidence-based practices for school readiness services, the </w:t>
      </w:r>
      <w:r w:rsidR="00FA0D11">
        <w:rPr>
          <w:rFonts w:cs="Arial"/>
        </w:rPr>
        <w:t>s</w:t>
      </w:r>
      <w:r w:rsidRPr="002F0E3F">
        <w:rPr>
          <w:rFonts w:cs="Arial"/>
        </w:rPr>
        <w:t xml:space="preserve">ubcommittee </w:t>
      </w:r>
      <w:r w:rsidR="00803D7D" w:rsidRPr="002F0E3F">
        <w:rPr>
          <w:rFonts w:cs="Arial"/>
        </w:rPr>
        <w:t>identified</w:t>
      </w:r>
      <w:r w:rsidRPr="002F0E3F">
        <w:rPr>
          <w:rFonts w:cs="Arial"/>
        </w:rPr>
        <w:t xml:space="preserve"> the following strategies to </w:t>
      </w:r>
      <w:r w:rsidR="00F07180">
        <w:rPr>
          <w:rFonts w:cs="Arial"/>
        </w:rPr>
        <w:t xml:space="preserve">support the development of foundational reading skills </w:t>
      </w:r>
      <w:r w:rsidRPr="002F0E3F">
        <w:rPr>
          <w:rFonts w:cs="Arial"/>
        </w:rPr>
        <w:t xml:space="preserve">for migratory </w:t>
      </w:r>
      <w:r w:rsidR="006C7950">
        <w:rPr>
          <w:rFonts w:cs="Arial"/>
        </w:rPr>
        <w:t>prekindergarten</w:t>
      </w:r>
      <w:r w:rsidRPr="002F0E3F">
        <w:rPr>
          <w:rFonts w:cs="Arial"/>
        </w:rPr>
        <w:t xml:space="preserve"> children:</w:t>
      </w:r>
    </w:p>
    <w:p w14:paraId="63C25E68" w14:textId="34533E9A" w:rsidR="00544675" w:rsidRDefault="0072770C" w:rsidP="009670FC">
      <w:pPr>
        <w:pStyle w:val="ListParagraph"/>
        <w:numPr>
          <w:ilvl w:val="0"/>
          <w:numId w:val="26"/>
        </w:numPr>
        <w:spacing w:after="240"/>
        <w:ind w:hanging="331"/>
        <w:contextualSpacing w:val="0"/>
        <w:rPr>
          <w:rFonts w:cs="Arial"/>
        </w:rPr>
      </w:pPr>
      <w:r w:rsidRPr="002F0E3F">
        <w:rPr>
          <w:rFonts w:cs="Arial"/>
        </w:rPr>
        <w:t>Provide</w:t>
      </w:r>
      <w:r w:rsidR="00C46E76">
        <w:rPr>
          <w:rFonts w:cs="Arial"/>
        </w:rPr>
        <w:t xml:space="preserve"> instruction in foundational understanding of letters and sounds.</w:t>
      </w:r>
    </w:p>
    <w:p w14:paraId="5BD64808" w14:textId="73878061" w:rsidR="00F07180" w:rsidRDefault="00F07180" w:rsidP="00BC6DDA">
      <w:pPr>
        <w:spacing w:after="240"/>
        <w:rPr>
          <w:rFonts w:cs="Arial"/>
        </w:rPr>
      </w:pPr>
      <w:r>
        <w:rPr>
          <w:rFonts w:cs="Arial"/>
        </w:rPr>
        <w:t xml:space="preserve">Phonological awareness, concepts of print, phonics, and word recognition are the foundation for reading fluency and comprehension. </w:t>
      </w:r>
      <w:r w:rsidR="007911A9">
        <w:rPr>
          <w:rFonts w:cs="Arial"/>
        </w:rPr>
        <w:t>Because instruction on foundational skills is so important, only one strategy was identified. This strategy will be embedded into a larger school readiness service</w:t>
      </w:r>
      <w:r w:rsidR="005C20E7">
        <w:rPr>
          <w:rFonts w:cs="Arial"/>
        </w:rPr>
        <w:t xml:space="preserve"> strategy</w:t>
      </w:r>
      <w:r w:rsidR="007911A9">
        <w:rPr>
          <w:rFonts w:cs="Arial"/>
        </w:rPr>
        <w:t xml:space="preserve"> that </w:t>
      </w:r>
      <w:r w:rsidR="005C20E7">
        <w:rPr>
          <w:rFonts w:cs="Arial"/>
        </w:rPr>
        <w:t>includes</w:t>
      </w:r>
      <w:r w:rsidR="007911A9">
        <w:rPr>
          <w:rFonts w:cs="Arial"/>
        </w:rPr>
        <w:t xml:space="preserve"> several key elements within the SDP.</w:t>
      </w:r>
    </w:p>
    <w:p w14:paraId="3245C3F4" w14:textId="0BCB8AF1" w:rsidR="005C20E7" w:rsidRPr="002F0E3F" w:rsidRDefault="005C20E7" w:rsidP="00BC6DDA">
      <w:pPr>
        <w:pStyle w:val="Heading4"/>
      </w:pPr>
      <w:r w:rsidRPr="002F0E3F">
        <w:t>School Readiness: Concern Statement #</w:t>
      </w:r>
      <w:r>
        <w:t>3</w:t>
      </w:r>
      <w:r w:rsidRPr="002F0E3F">
        <w:t xml:space="preserve"> </w:t>
      </w:r>
    </w:p>
    <w:p w14:paraId="397B4514" w14:textId="1ABAE963" w:rsidR="005C20E7" w:rsidRPr="002F0E3F" w:rsidRDefault="005C20E7" w:rsidP="00BC6DDA">
      <w:pPr>
        <w:spacing w:after="240"/>
        <w:rPr>
          <w:rFonts w:cs="Arial"/>
        </w:rPr>
      </w:pPr>
      <w:r>
        <w:rPr>
          <w:rFonts w:cs="Arial"/>
        </w:rPr>
        <w:t xml:space="preserve">Analysis of math data showed a need to focus on </w:t>
      </w:r>
      <w:r w:rsidR="006267A9">
        <w:rPr>
          <w:rFonts w:cs="Arial"/>
        </w:rPr>
        <w:t>migratory students’ mathematical proficiency</w:t>
      </w:r>
      <w:r w:rsidRPr="002F0E3F">
        <w:rPr>
          <w:rFonts w:cs="Arial"/>
        </w:rPr>
        <w:t xml:space="preserve">. </w:t>
      </w:r>
      <w:r w:rsidR="00E77FA2">
        <w:rPr>
          <w:rFonts w:cs="Arial"/>
        </w:rPr>
        <w:t>Development of early mathematical skills is one of the most important factors in students’ academic success.</w:t>
      </w:r>
      <w:r w:rsidR="00E77FA2">
        <w:rPr>
          <w:rStyle w:val="FootnoteReference"/>
          <w:rFonts w:cs="Arial"/>
        </w:rPr>
        <w:footnoteReference w:id="19"/>
      </w:r>
      <w:r w:rsidR="00E77FA2">
        <w:rPr>
          <w:rFonts w:cs="Arial"/>
        </w:rPr>
        <w:t xml:space="preserve"> </w:t>
      </w:r>
      <w:r w:rsidR="00515E7E">
        <w:rPr>
          <w:rFonts w:cs="Arial"/>
        </w:rPr>
        <w:t>The m</w:t>
      </w:r>
      <w:r w:rsidR="00E77FA2">
        <w:rPr>
          <w:rFonts w:cs="Arial"/>
        </w:rPr>
        <w:t xml:space="preserve">ath concepts </w:t>
      </w:r>
      <w:r w:rsidR="00515E7E">
        <w:rPr>
          <w:rFonts w:cs="Arial"/>
        </w:rPr>
        <w:t xml:space="preserve">that </w:t>
      </w:r>
      <w:r w:rsidR="00E77FA2">
        <w:rPr>
          <w:rFonts w:cs="Arial"/>
        </w:rPr>
        <w:t xml:space="preserve">students learn at home </w:t>
      </w:r>
      <w:r w:rsidR="00E77FA2">
        <w:rPr>
          <w:rFonts w:cs="Arial"/>
        </w:rPr>
        <w:lastRenderedPageBreak/>
        <w:t xml:space="preserve">and during preschool set the foundation for their elementary </w:t>
      </w:r>
      <w:r w:rsidR="00DA7C7E">
        <w:rPr>
          <w:rFonts w:cs="Arial"/>
        </w:rPr>
        <w:t>learning</w:t>
      </w:r>
      <w:r w:rsidR="00515E7E">
        <w:rPr>
          <w:rFonts w:cs="Arial"/>
        </w:rPr>
        <w:t>; such a</w:t>
      </w:r>
      <w:r w:rsidR="00DA7C7E">
        <w:rPr>
          <w:rFonts w:cs="Arial"/>
        </w:rPr>
        <w:t xml:space="preserve"> foundation sets students up to achieve grade level standards and </w:t>
      </w:r>
      <w:r w:rsidR="00515E7E">
        <w:rPr>
          <w:rFonts w:cs="Arial"/>
        </w:rPr>
        <w:t>reduces their likelihood of falling</w:t>
      </w:r>
      <w:r w:rsidR="00DA7C7E">
        <w:rPr>
          <w:rFonts w:cs="Arial"/>
        </w:rPr>
        <w:t xml:space="preserve"> behind. T</w:t>
      </w:r>
      <w:r>
        <w:rPr>
          <w:rFonts w:cs="Arial"/>
        </w:rPr>
        <w:t xml:space="preserve">he </w:t>
      </w:r>
      <w:r w:rsidR="008376CA">
        <w:rPr>
          <w:rFonts w:cs="Arial"/>
        </w:rPr>
        <w:t>Math subcommittee</w:t>
      </w:r>
      <w:r w:rsidRPr="002F0E3F">
        <w:rPr>
          <w:rFonts w:cs="Arial"/>
        </w:rPr>
        <w:t xml:space="preserve"> members expressed their concern</w:t>
      </w:r>
      <w:r>
        <w:rPr>
          <w:rFonts w:cs="Arial"/>
        </w:rPr>
        <w:t xml:space="preserve"> for </w:t>
      </w:r>
      <w:r w:rsidR="00524433">
        <w:rPr>
          <w:rFonts w:cs="Arial"/>
        </w:rPr>
        <w:t>early learning in math</w:t>
      </w:r>
      <w:r w:rsidRPr="002F0E3F">
        <w:rPr>
          <w:rFonts w:cs="Arial"/>
        </w:rPr>
        <w:t xml:space="preserve"> as:</w:t>
      </w:r>
    </w:p>
    <w:p w14:paraId="4915D726" w14:textId="231FA0E6" w:rsidR="005C20E7" w:rsidRDefault="005C20E7" w:rsidP="00BC6DDA">
      <w:pPr>
        <w:spacing w:after="240"/>
        <w:jc w:val="center"/>
        <w:rPr>
          <w:rFonts w:cs="Arial"/>
        </w:rPr>
      </w:pPr>
      <w:r>
        <w:rPr>
          <w:rFonts w:cs="Arial"/>
        </w:rPr>
        <w:t>We are concerned that only 21</w:t>
      </w:r>
      <w:r w:rsidR="002C0BDD">
        <w:t> </w:t>
      </w:r>
      <w:r>
        <w:rPr>
          <w:rFonts w:cs="Arial"/>
        </w:rPr>
        <w:t xml:space="preserve">percent of migratory students scored proficient </w:t>
      </w:r>
      <w:proofErr w:type="gramStart"/>
      <w:r>
        <w:rPr>
          <w:rFonts w:cs="Arial"/>
        </w:rPr>
        <w:t>on</w:t>
      </w:r>
      <w:proofErr w:type="gramEnd"/>
      <w:r>
        <w:rPr>
          <w:rFonts w:cs="Arial"/>
        </w:rPr>
        <w:t xml:space="preserve"> the math Smarter Balanced assessment by the end of third grade.</w:t>
      </w:r>
    </w:p>
    <w:p w14:paraId="0C9113B1" w14:textId="0257257E" w:rsidR="006E2D49" w:rsidRPr="002F0E3F" w:rsidRDefault="006E2D49" w:rsidP="006E2D49">
      <w:pPr>
        <w:spacing w:after="240"/>
        <w:rPr>
          <w:rFonts w:cs="Arial"/>
        </w:rPr>
      </w:pPr>
      <w:r>
        <w:rPr>
          <w:rFonts w:cs="Arial"/>
        </w:rPr>
        <w:t xml:space="preserve">With this data in mind and knowing that early math knowledge and skills are </w:t>
      </w:r>
      <w:r w:rsidR="00515E7E">
        <w:rPr>
          <w:rFonts w:cs="Arial"/>
        </w:rPr>
        <w:t xml:space="preserve">essential </w:t>
      </w:r>
      <w:r>
        <w:rPr>
          <w:rFonts w:cs="Arial"/>
        </w:rPr>
        <w:t xml:space="preserve">to creating a strong foundation for learning more complex concepts and procedures, the Math subcommittee </w:t>
      </w:r>
      <w:r w:rsidR="00515E7E">
        <w:rPr>
          <w:rFonts w:cs="Arial"/>
        </w:rPr>
        <w:t xml:space="preserve">developed a </w:t>
      </w:r>
      <w:r>
        <w:rPr>
          <w:rFonts w:cs="Arial"/>
        </w:rPr>
        <w:t>third need statement for School Readiness.</w:t>
      </w:r>
    </w:p>
    <w:p w14:paraId="65EBA033" w14:textId="77777777" w:rsidR="005C20E7" w:rsidRPr="002F0E3F" w:rsidRDefault="005C20E7" w:rsidP="00BC6DDA">
      <w:pPr>
        <w:pStyle w:val="Heading4"/>
      </w:pPr>
      <w:r w:rsidRPr="002F0E3F">
        <w:t>Need Statement</w:t>
      </w:r>
    </w:p>
    <w:p w14:paraId="1B6DA4BD" w14:textId="512AE927" w:rsidR="005C20E7" w:rsidRPr="002F0E3F" w:rsidRDefault="00524433" w:rsidP="00BC6DDA">
      <w:pPr>
        <w:spacing w:after="240"/>
        <w:rPr>
          <w:rFonts w:cs="Arial"/>
        </w:rPr>
      </w:pPr>
      <w:proofErr w:type="gramStart"/>
      <w:r>
        <w:rPr>
          <w:rFonts w:cs="Arial"/>
        </w:rPr>
        <w:t>Similar to</w:t>
      </w:r>
      <w:proofErr w:type="gramEnd"/>
      <w:r>
        <w:rPr>
          <w:rFonts w:cs="Arial"/>
        </w:rPr>
        <w:t xml:space="preserve"> ELA, foundational math literacy is </w:t>
      </w:r>
      <w:r w:rsidR="00515E7E">
        <w:rPr>
          <w:rFonts w:cs="Arial"/>
        </w:rPr>
        <w:t xml:space="preserve">essential for </w:t>
      </w:r>
      <w:r>
        <w:rPr>
          <w:rFonts w:cs="Arial"/>
        </w:rPr>
        <w:t xml:space="preserve">students’ ability to master grade level standards year after year. </w:t>
      </w:r>
      <w:r w:rsidR="006267A9">
        <w:rPr>
          <w:rFonts w:cs="Arial"/>
        </w:rPr>
        <w:t>T</w:t>
      </w:r>
      <w:r w:rsidR="005C20E7" w:rsidRPr="002F0E3F">
        <w:rPr>
          <w:rFonts w:cs="Arial"/>
        </w:rPr>
        <w:t xml:space="preserve">he </w:t>
      </w:r>
      <w:r w:rsidR="008376CA">
        <w:rPr>
          <w:rFonts w:cs="Arial"/>
        </w:rPr>
        <w:t>School Readiness subcommittee</w:t>
      </w:r>
      <w:r w:rsidR="005C20E7" w:rsidRPr="002F0E3F">
        <w:rPr>
          <w:rFonts w:cs="Arial"/>
        </w:rPr>
        <w:t xml:space="preserve"> identified the following need:</w:t>
      </w:r>
    </w:p>
    <w:p w14:paraId="5855A2D4" w14:textId="48C9609A" w:rsidR="005C20E7" w:rsidRDefault="005C20E7" w:rsidP="00BC6DDA">
      <w:pPr>
        <w:spacing w:after="240"/>
        <w:ind w:left="-14"/>
        <w:jc w:val="center"/>
        <w:rPr>
          <w:rFonts w:cs="Arial"/>
        </w:rPr>
      </w:pPr>
      <w:r>
        <w:rPr>
          <w:rFonts w:cs="Arial"/>
        </w:rPr>
        <w:t xml:space="preserve">An </w:t>
      </w:r>
      <w:r w:rsidR="006267A9">
        <w:rPr>
          <w:rFonts w:cs="Arial"/>
        </w:rPr>
        <w:t>additional 24.1</w:t>
      </w:r>
      <w:r w:rsidR="002C0BDD">
        <w:t> </w:t>
      </w:r>
      <w:r w:rsidR="006267A9">
        <w:rPr>
          <w:rFonts w:cs="Arial"/>
        </w:rPr>
        <w:t>percent of migratory students need to score proficient on the math Smarter Balanced summative assessment by the end of third grade.</w:t>
      </w:r>
    </w:p>
    <w:p w14:paraId="11425ABC" w14:textId="03405E3E" w:rsidR="006E2D49" w:rsidRPr="002F0E3F" w:rsidRDefault="00515E7E" w:rsidP="006E2D49">
      <w:pPr>
        <w:spacing w:after="240"/>
        <w:ind w:left="-14"/>
        <w:rPr>
          <w:rFonts w:cs="Arial"/>
        </w:rPr>
      </w:pPr>
      <w:r>
        <w:rPr>
          <w:rFonts w:cs="Arial"/>
        </w:rPr>
        <w:t>The i</w:t>
      </w:r>
      <w:r w:rsidR="006E2D49">
        <w:rPr>
          <w:rFonts w:cs="Arial"/>
        </w:rPr>
        <w:t>nitial strategies finalized by the CNA SDP Committee to address the need to offer math instruction for preschool aged children are outlined in the next section.</w:t>
      </w:r>
    </w:p>
    <w:p w14:paraId="68547362" w14:textId="77777777" w:rsidR="005C20E7" w:rsidRPr="002F0E3F" w:rsidRDefault="005C20E7" w:rsidP="00BC6DDA">
      <w:pPr>
        <w:pStyle w:val="Heading4"/>
      </w:pPr>
      <w:r w:rsidRPr="002F0E3F">
        <w:t>Initial Strategies</w:t>
      </w:r>
      <w:r>
        <w:t xml:space="preserve"> to Address Need</w:t>
      </w:r>
    </w:p>
    <w:p w14:paraId="0ADB64AD" w14:textId="4F5504BE" w:rsidR="005C20E7" w:rsidRPr="002F0E3F" w:rsidRDefault="00524433" w:rsidP="005C20E7">
      <w:pPr>
        <w:spacing w:after="240"/>
        <w:rPr>
          <w:rFonts w:cs="Arial"/>
        </w:rPr>
      </w:pPr>
      <w:r>
        <w:rPr>
          <w:rFonts w:cs="Arial"/>
        </w:rPr>
        <w:t xml:space="preserve">The identified need </w:t>
      </w:r>
      <w:r w:rsidR="00F8556E">
        <w:rPr>
          <w:rFonts w:cs="Arial"/>
        </w:rPr>
        <w:t>led</w:t>
      </w:r>
      <w:r>
        <w:rPr>
          <w:rFonts w:cs="Arial"/>
        </w:rPr>
        <w:t xml:space="preserve"> the subcommittee to identify the following strategy for </w:t>
      </w:r>
      <w:r w:rsidR="005C20E7" w:rsidRPr="002F0E3F">
        <w:rPr>
          <w:rFonts w:cs="Arial"/>
        </w:rPr>
        <w:t>migratory pre-k children:</w:t>
      </w:r>
    </w:p>
    <w:p w14:paraId="1DB1EDCF" w14:textId="5D919680" w:rsidR="005C20E7" w:rsidRDefault="005C20E7" w:rsidP="009670FC">
      <w:pPr>
        <w:pStyle w:val="ListParagraph"/>
        <w:numPr>
          <w:ilvl w:val="0"/>
          <w:numId w:val="53"/>
        </w:numPr>
        <w:spacing w:after="240"/>
        <w:contextualSpacing w:val="0"/>
        <w:rPr>
          <w:rFonts w:cs="Arial"/>
        </w:rPr>
      </w:pPr>
      <w:r w:rsidRPr="002F0E3F">
        <w:rPr>
          <w:rFonts w:cs="Arial"/>
        </w:rPr>
        <w:t>Provide</w:t>
      </w:r>
      <w:r>
        <w:rPr>
          <w:rFonts w:cs="Arial"/>
        </w:rPr>
        <w:t xml:space="preserve"> </w:t>
      </w:r>
      <w:r w:rsidR="00DA7C7E">
        <w:rPr>
          <w:rFonts w:cs="Arial"/>
        </w:rPr>
        <w:t xml:space="preserve">math services focused on foundational skills (i.e., strands and sub-strands found in the </w:t>
      </w:r>
      <w:r w:rsidR="00DA7C7E" w:rsidRPr="00340882">
        <w:rPr>
          <w:rFonts w:cs="Arial"/>
          <w:i/>
          <w:iCs/>
        </w:rPr>
        <w:t>California Preschool/Transitional Kindergarten Learning Foundat</w:t>
      </w:r>
      <w:r w:rsidR="00524433" w:rsidRPr="00340882">
        <w:rPr>
          <w:rFonts w:cs="Arial"/>
          <w:i/>
          <w:iCs/>
        </w:rPr>
        <w:t>i</w:t>
      </w:r>
      <w:r w:rsidR="00DA7C7E" w:rsidRPr="00340882">
        <w:rPr>
          <w:rFonts w:cs="Arial"/>
          <w:i/>
          <w:iCs/>
        </w:rPr>
        <w:t>ons</w:t>
      </w:r>
      <w:r w:rsidR="00DA7C7E">
        <w:rPr>
          <w:rFonts w:cs="Arial"/>
        </w:rPr>
        <w:t>: 1) Counting and Cardinality, 2) Operations and Algebraic Thinking, 3) Measurement and Data, 4) Geometry and Spatial Thinking)</w:t>
      </w:r>
      <w:r>
        <w:rPr>
          <w:rFonts w:cs="Arial"/>
        </w:rPr>
        <w:t>.</w:t>
      </w:r>
    </w:p>
    <w:p w14:paraId="4DFCD113" w14:textId="1C1F1A4E" w:rsidR="005C20E7" w:rsidRPr="00F07180" w:rsidRDefault="00524433" w:rsidP="005C20E7">
      <w:pPr>
        <w:spacing w:after="240"/>
        <w:rPr>
          <w:rFonts w:cs="Arial"/>
        </w:rPr>
      </w:pPr>
      <w:r>
        <w:rPr>
          <w:rFonts w:cs="Arial"/>
        </w:rPr>
        <w:t xml:space="preserve">Like the strategy identified in the second concern, the subcommittee identified an initial strategy focused on </w:t>
      </w:r>
      <w:r w:rsidR="005C20E7">
        <w:rPr>
          <w:rFonts w:cs="Arial"/>
        </w:rPr>
        <w:t>foundational skills. This strategy will be embedded into a larger school readiness service strategy that includes several key elements within the SDP.</w:t>
      </w:r>
    </w:p>
    <w:p w14:paraId="32ACBA30" w14:textId="77777777" w:rsidR="00C34B84" w:rsidRPr="002F0E3F" w:rsidRDefault="00C34B84" w:rsidP="00BC6DDA">
      <w:pPr>
        <w:pStyle w:val="Heading3"/>
      </w:pPr>
      <w:bookmarkStart w:id="190" w:name="_Toc496195923"/>
      <w:bookmarkStart w:id="191" w:name="_Toc188361331"/>
      <w:r w:rsidRPr="002F0E3F">
        <w:t>Out-of-School Youth</w:t>
      </w:r>
      <w:bookmarkEnd w:id="190"/>
      <w:bookmarkEnd w:id="191"/>
    </w:p>
    <w:p w14:paraId="276F8753" w14:textId="5454FFF8" w:rsidR="00576802" w:rsidRPr="002F0E3F" w:rsidRDefault="00576802" w:rsidP="00BC6DDA">
      <w:pPr>
        <w:spacing w:after="240"/>
        <w:rPr>
          <w:rFonts w:cs="Arial"/>
        </w:rPr>
      </w:pPr>
      <w:r w:rsidRPr="002F0E3F">
        <w:rPr>
          <w:rFonts w:cs="Arial"/>
        </w:rPr>
        <w:t>Little research has been found that directly relates to migrat</w:t>
      </w:r>
      <w:r w:rsidR="00A97F10" w:rsidRPr="002F0E3F">
        <w:rPr>
          <w:rFonts w:cs="Arial"/>
        </w:rPr>
        <w:t>ory</w:t>
      </w:r>
      <w:r w:rsidR="000A6864" w:rsidRPr="002F0E3F">
        <w:rPr>
          <w:rFonts w:cs="Arial"/>
        </w:rPr>
        <w:t xml:space="preserve"> OSY</w:t>
      </w:r>
      <w:r w:rsidR="00A97F10" w:rsidRPr="002F0E3F">
        <w:rPr>
          <w:rFonts w:cs="Arial"/>
        </w:rPr>
        <w:t xml:space="preserve">. However, </w:t>
      </w:r>
      <w:r w:rsidR="001B2A73" w:rsidRPr="002F0E3F">
        <w:rPr>
          <w:rFonts w:cs="Arial"/>
        </w:rPr>
        <w:t>the Public Policy Institute of California (PPIC) and the</w:t>
      </w:r>
      <w:r w:rsidRPr="002F0E3F">
        <w:rPr>
          <w:rFonts w:cs="Arial"/>
        </w:rPr>
        <w:t xml:space="preserve"> Graduation and Outcome</w:t>
      </w:r>
      <w:r w:rsidR="001B2A73" w:rsidRPr="002F0E3F">
        <w:rPr>
          <w:rFonts w:cs="Arial"/>
        </w:rPr>
        <w:t xml:space="preserve">s for </w:t>
      </w:r>
      <w:r w:rsidR="001B2A73" w:rsidRPr="002F0E3F">
        <w:rPr>
          <w:rFonts w:cs="Arial"/>
        </w:rPr>
        <w:lastRenderedPageBreak/>
        <w:t xml:space="preserve">Success for OSY (GOSOSY) </w:t>
      </w:r>
      <w:r w:rsidR="00F8556E" w:rsidRPr="002F0E3F">
        <w:rPr>
          <w:rFonts w:cs="Arial"/>
        </w:rPr>
        <w:t>have</w:t>
      </w:r>
      <w:r w:rsidR="001B2A73" w:rsidRPr="002F0E3F">
        <w:rPr>
          <w:rFonts w:cs="Arial"/>
        </w:rPr>
        <w:t xml:space="preserve"> a few suggestions to support OSY. </w:t>
      </w:r>
      <w:r w:rsidRPr="002F0E3F">
        <w:rPr>
          <w:rFonts w:cs="Arial"/>
        </w:rPr>
        <w:t xml:space="preserve">Hill and Hayes (2007) from the </w:t>
      </w:r>
      <w:r w:rsidR="001B2A73" w:rsidRPr="002F0E3F">
        <w:rPr>
          <w:rFonts w:cs="Arial"/>
        </w:rPr>
        <w:t>PPIC note</w:t>
      </w:r>
      <w:r w:rsidRPr="002F0E3F">
        <w:rPr>
          <w:rFonts w:cs="Arial"/>
        </w:rPr>
        <w:t xml:space="preserve"> that MEPs should target services to OSY. Many Spanish-speaking OSY</w:t>
      </w:r>
      <w:r w:rsidR="00714B1B">
        <w:rPr>
          <w:rFonts w:cs="Arial"/>
        </w:rPr>
        <w:t>s</w:t>
      </w:r>
      <w:r w:rsidRPr="002F0E3F">
        <w:rPr>
          <w:rFonts w:cs="Arial"/>
        </w:rPr>
        <w:t xml:space="preserve"> desire to further their education, especially in English</w:t>
      </w:r>
      <w:r w:rsidR="00714B1B">
        <w:rPr>
          <w:rFonts w:cs="Arial"/>
        </w:rPr>
        <w:t>. Services designed to help students obtain a</w:t>
      </w:r>
      <w:r w:rsidRPr="002F0E3F">
        <w:rPr>
          <w:rFonts w:cs="Arial"/>
        </w:rPr>
        <w:t xml:space="preserve"> GED or high school diploma should be considered for OSY w</w:t>
      </w:r>
      <w:r w:rsidR="00ED3FA0" w:rsidRPr="002F0E3F">
        <w:rPr>
          <w:rFonts w:cs="Arial"/>
        </w:rPr>
        <w:t xml:space="preserve">ith higher levels of English. </w:t>
      </w:r>
      <w:r w:rsidR="006C7950">
        <w:rPr>
          <w:rFonts w:cs="Arial"/>
        </w:rPr>
        <w:t>Multilingual learners</w:t>
      </w:r>
      <w:r w:rsidRPr="002F0E3F">
        <w:rPr>
          <w:rFonts w:cs="Arial"/>
        </w:rPr>
        <w:t xml:space="preserve"> whose home language is an indigenous one should consider course work in developing literacy in Spanish or taking the Spanish language GED.</w:t>
      </w:r>
      <w:r w:rsidR="00BE5B79" w:rsidRPr="002F0E3F">
        <w:rPr>
          <w:rStyle w:val="FootnoteReference"/>
          <w:rFonts w:cs="Arial"/>
        </w:rPr>
        <w:footnoteReference w:id="20"/>
      </w:r>
    </w:p>
    <w:p w14:paraId="7CA7445B" w14:textId="64C64B92" w:rsidR="00576802" w:rsidRPr="002F0E3F" w:rsidRDefault="00576802" w:rsidP="00BC6DDA">
      <w:pPr>
        <w:spacing w:after="240"/>
        <w:rPr>
          <w:rFonts w:cs="Arial"/>
        </w:rPr>
      </w:pPr>
      <w:r w:rsidRPr="002F0E3F">
        <w:rPr>
          <w:rFonts w:cs="Arial"/>
        </w:rPr>
        <w:t>The OSY population face</w:t>
      </w:r>
      <w:r w:rsidR="00B92E25" w:rsidRPr="002F0E3F">
        <w:rPr>
          <w:rFonts w:cs="Arial"/>
        </w:rPr>
        <w:t>s</w:t>
      </w:r>
      <w:r w:rsidRPr="002F0E3F">
        <w:rPr>
          <w:rFonts w:cs="Arial"/>
        </w:rPr>
        <w:t xml:space="preserve"> additional challenges to migratory students who are enrolled in school. While some OSY live with family members, many do not have a family support system</w:t>
      </w:r>
      <w:r w:rsidR="00B03195">
        <w:rPr>
          <w:rFonts w:cs="Arial"/>
        </w:rPr>
        <w:t xml:space="preserve"> locally</w:t>
      </w:r>
      <w:r w:rsidRPr="002F0E3F">
        <w:rPr>
          <w:rFonts w:cs="Arial"/>
        </w:rPr>
        <w:t>. Financial responsib</w:t>
      </w:r>
      <w:r w:rsidR="00B92E25" w:rsidRPr="002F0E3F">
        <w:rPr>
          <w:rFonts w:cs="Arial"/>
        </w:rPr>
        <w:t>ilities, lack of transportation</w:t>
      </w:r>
      <w:r w:rsidRPr="002F0E3F">
        <w:rPr>
          <w:rFonts w:cs="Arial"/>
        </w:rPr>
        <w:t xml:space="preserve"> and long work hours make it difficult for OSY to c</w:t>
      </w:r>
      <w:r w:rsidR="00BE5B79" w:rsidRPr="002F0E3F">
        <w:rPr>
          <w:rFonts w:cs="Arial"/>
        </w:rPr>
        <w:t>ontinue their education</w:t>
      </w:r>
      <w:r w:rsidRPr="002F0E3F">
        <w:rPr>
          <w:rFonts w:cs="Arial"/>
        </w:rPr>
        <w:t>.</w:t>
      </w:r>
      <w:r w:rsidR="00BE5B79" w:rsidRPr="002F0E3F">
        <w:rPr>
          <w:rStyle w:val="FootnoteReference"/>
          <w:rFonts w:cs="Arial"/>
        </w:rPr>
        <w:footnoteReference w:id="21"/>
      </w:r>
      <w:r w:rsidRPr="002F0E3F">
        <w:rPr>
          <w:rFonts w:cs="Arial"/>
        </w:rPr>
        <w:t xml:space="preserve"> Some of the young adults who are migratory workers have limited schooling, ha</w:t>
      </w:r>
      <w:r w:rsidR="00B92E25" w:rsidRPr="002F0E3F">
        <w:rPr>
          <w:rFonts w:cs="Arial"/>
        </w:rPr>
        <w:t xml:space="preserve">ve limited English </w:t>
      </w:r>
      <w:r w:rsidR="005143DC" w:rsidRPr="002F0E3F">
        <w:rPr>
          <w:rFonts w:cs="Arial"/>
        </w:rPr>
        <w:t>proficiency,</w:t>
      </w:r>
      <w:r w:rsidR="00B92E25" w:rsidRPr="002F0E3F">
        <w:rPr>
          <w:rFonts w:cs="Arial"/>
        </w:rPr>
        <w:t xml:space="preserve"> </w:t>
      </w:r>
      <w:r w:rsidRPr="002F0E3F">
        <w:rPr>
          <w:rFonts w:cs="Arial"/>
        </w:rPr>
        <w:t>and have dropped out of school for various reasons. If OSY</w:t>
      </w:r>
      <w:r w:rsidR="00714B1B">
        <w:rPr>
          <w:rFonts w:cs="Arial"/>
        </w:rPr>
        <w:t>s</w:t>
      </w:r>
      <w:r w:rsidRPr="002F0E3F">
        <w:rPr>
          <w:rFonts w:cs="Arial"/>
        </w:rPr>
        <w:t xml:space="preserve"> do not have a sibling in the school system, they can also be difficult to identify and recruit for MEP services. </w:t>
      </w:r>
      <w:r w:rsidR="00B80577" w:rsidRPr="002F0E3F">
        <w:rPr>
          <w:rFonts w:cs="Arial"/>
        </w:rPr>
        <w:t>To</w:t>
      </w:r>
      <w:r w:rsidRPr="002F0E3F">
        <w:rPr>
          <w:rFonts w:cs="Arial"/>
        </w:rPr>
        <w:t xml:space="preserve"> assist MEPs, the GOSOSY report identifies key strategies to assist migratory OSY:</w:t>
      </w:r>
    </w:p>
    <w:p w14:paraId="37F642A8" w14:textId="77777777" w:rsidR="00576802" w:rsidRPr="002F0E3F" w:rsidRDefault="00576802" w:rsidP="009670FC">
      <w:pPr>
        <w:pStyle w:val="NormalWeb"/>
        <w:numPr>
          <w:ilvl w:val="0"/>
          <w:numId w:val="23"/>
        </w:numPr>
        <w:shd w:val="clear" w:color="auto" w:fill="FFFFFF"/>
        <w:spacing w:before="0" w:beforeAutospacing="0" w:after="240" w:afterAutospacing="0"/>
        <w:ind w:left="720" w:hanging="360"/>
        <w:rPr>
          <w:rFonts w:ascii="Arial" w:hAnsi="Arial" w:cs="Arial"/>
        </w:rPr>
      </w:pPr>
      <w:r w:rsidRPr="002F0E3F">
        <w:rPr>
          <w:rFonts w:ascii="Arial" w:hAnsi="Arial" w:cs="Arial"/>
        </w:rPr>
        <w:t>Understanding adult learners with limited educational experiences or backgrounds</w:t>
      </w:r>
    </w:p>
    <w:p w14:paraId="7D67FA93" w14:textId="77777777" w:rsidR="00576802" w:rsidRPr="002F0E3F" w:rsidRDefault="00576802" w:rsidP="009670FC">
      <w:pPr>
        <w:pStyle w:val="NormalWeb"/>
        <w:numPr>
          <w:ilvl w:val="0"/>
          <w:numId w:val="23"/>
        </w:numPr>
        <w:shd w:val="clear" w:color="auto" w:fill="FFFFFF"/>
        <w:spacing w:before="0" w:beforeAutospacing="0" w:after="240" w:afterAutospacing="0"/>
        <w:ind w:left="720" w:hanging="360"/>
        <w:rPr>
          <w:rFonts w:ascii="Arial" w:hAnsi="Arial" w:cs="Arial"/>
        </w:rPr>
      </w:pPr>
      <w:r w:rsidRPr="002F0E3F">
        <w:rPr>
          <w:rFonts w:ascii="Arial" w:hAnsi="Arial" w:cs="Arial"/>
        </w:rPr>
        <w:t>Using effective strategies to teach basic reading and writing to adults with low literacy skills.</w:t>
      </w:r>
    </w:p>
    <w:p w14:paraId="1904C78D" w14:textId="77777777" w:rsidR="00576802" w:rsidRPr="002F0E3F" w:rsidRDefault="00576802" w:rsidP="009670FC">
      <w:pPr>
        <w:pStyle w:val="NormalWeb"/>
        <w:numPr>
          <w:ilvl w:val="0"/>
          <w:numId w:val="23"/>
        </w:numPr>
        <w:shd w:val="clear" w:color="auto" w:fill="FFFFFF"/>
        <w:spacing w:before="0" w:beforeAutospacing="0" w:after="240" w:afterAutospacing="0"/>
        <w:ind w:left="720" w:hanging="360"/>
        <w:rPr>
          <w:rFonts w:ascii="Arial" w:hAnsi="Arial" w:cs="Arial"/>
        </w:rPr>
      </w:pPr>
      <w:r w:rsidRPr="002F0E3F">
        <w:rPr>
          <w:rFonts w:ascii="Arial" w:hAnsi="Arial" w:cs="Arial"/>
        </w:rPr>
        <w:t>Understanding second language acquisition and teaching methods to work with beginning middle and advanced language learners</w:t>
      </w:r>
    </w:p>
    <w:p w14:paraId="6768204C" w14:textId="07C04FC3" w:rsidR="00576802" w:rsidRPr="002F0E3F" w:rsidRDefault="00576802" w:rsidP="009670FC">
      <w:pPr>
        <w:pStyle w:val="NormalWeb"/>
        <w:numPr>
          <w:ilvl w:val="0"/>
          <w:numId w:val="23"/>
        </w:numPr>
        <w:shd w:val="clear" w:color="auto" w:fill="FFFFFF"/>
        <w:spacing w:before="0" w:beforeAutospacing="0" w:after="240" w:afterAutospacing="0"/>
        <w:ind w:left="720" w:hanging="360"/>
        <w:rPr>
          <w:rFonts w:ascii="Arial" w:hAnsi="Arial" w:cs="Arial"/>
        </w:rPr>
      </w:pPr>
      <w:r w:rsidRPr="002F0E3F">
        <w:rPr>
          <w:rFonts w:ascii="Arial" w:hAnsi="Arial" w:cs="Arial"/>
        </w:rPr>
        <w:t>Helping disengaged youth to re-engage in education</w:t>
      </w:r>
    </w:p>
    <w:p w14:paraId="20ABE6AB" w14:textId="77777777" w:rsidR="00576802" w:rsidRPr="002F0E3F" w:rsidRDefault="00576802" w:rsidP="009670FC">
      <w:pPr>
        <w:pStyle w:val="NormalWeb"/>
        <w:numPr>
          <w:ilvl w:val="0"/>
          <w:numId w:val="23"/>
        </w:numPr>
        <w:shd w:val="clear" w:color="auto" w:fill="FFFFFF"/>
        <w:spacing w:before="0" w:beforeAutospacing="0" w:after="240" w:afterAutospacing="0"/>
        <w:ind w:left="720" w:hanging="360"/>
        <w:rPr>
          <w:rFonts w:ascii="Arial" w:hAnsi="Arial" w:cs="Arial"/>
        </w:rPr>
      </w:pPr>
      <w:r w:rsidRPr="002F0E3F">
        <w:rPr>
          <w:rFonts w:ascii="Arial" w:hAnsi="Arial" w:cs="Arial"/>
        </w:rPr>
        <w:t>Helping OSY make career and educational goals</w:t>
      </w:r>
    </w:p>
    <w:p w14:paraId="7DBCE68A" w14:textId="7AF16A59" w:rsidR="00BD680D" w:rsidRPr="002F0E3F" w:rsidRDefault="00BD680D" w:rsidP="00BC6DDA">
      <w:pPr>
        <w:spacing w:after="240"/>
        <w:rPr>
          <w:rFonts w:cs="Arial"/>
        </w:rPr>
      </w:pPr>
      <w:r w:rsidRPr="002F0E3F">
        <w:rPr>
          <w:rFonts w:cs="Arial"/>
        </w:rPr>
        <w:t xml:space="preserve">The </w:t>
      </w:r>
      <w:r w:rsidR="008376CA">
        <w:rPr>
          <w:rFonts w:cs="Arial"/>
        </w:rPr>
        <w:t>OSY subcommittee</w:t>
      </w:r>
      <w:r w:rsidRPr="002F0E3F">
        <w:rPr>
          <w:rFonts w:cs="Arial"/>
        </w:rPr>
        <w:t xml:space="preserve"> reviewed limited statewide OSY demographic and referral data from the </w:t>
      </w:r>
      <w:r w:rsidR="009E352E">
        <w:rPr>
          <w:rFonts w:cs="Arial"/>
        </w:rPr>
        <w:t>Migratory Student Profile</w:t>
      </w:r>
      <w:r w:rsidRPr="002F0E3F">
        <w:rPr>
          <w:rFonts w:cs="Arial"/>
        </w:rPr>
        <w:t xml:space="preserve">. Through discussion, </w:t>
      </w:r>
      <w:r w:rsidR="009B319B">
        <w:rPr>
          <w:rFonts w:cs="Arial"/>
        </w:rPr>
        <w:t>each</w:t>
      </w:r>
      <w:r w:rsidR="008376CA">
        <w:rPr>
          <w:rFonts w:cs="Arial"/>
        </w:rPr>
        <w:t xml:space="preserve"> subcommittee</w:t>
      </w:r>
      <w:r w:rsidR="009B319B">
        <w:rPr>
          <w:rFonts w:cs="Arial"/>
        </w:rPr>
        <w:t>, including the OSY subcommittee,</w:t>
      </w:r>
      <w:r w:rsidRPr="002F0E3F">
        <w:rPr>
          <w:rFonts w:cs="Arial"/>
        </w:rPr>
        <w:t xml:space="preserve"> identified </w:t>
      </w:r>
      <w:r w:rsidR="003C4E9D" w:rsidRPr="002F0E3F">
        <w:rPr>
          <w:rFonts w:cs="Arial"/>
        </w:rPr>
        <w:t xml:space="preserve">and prioritized </w:t>
      </w:r>
      <w:r w:rsidRPr="002F0E3F">
        <w:rPr>
          <w:rFonts w:cs="Arial"/>
        </w:rPr>
        <w:t xml:space="preserve">a </w:t>
      </w:r>
      <w:r w:rsidR="0031379D" w:rsidRPr="002F0E3F">
        <w:rPr>
          <w:rFonts w:cs="Arial"/>
        </w:rPr>
        <w:t>list of concerns</w:t>
      </w:r>
      <w:r w:rsidR="009B319B">
        <w:rPr>
          <w:rFonts w:cs="Arial"/>
        </w:rPr>
        <w:t xml:space="preserve"> based on quantitative or qualitative data. (</w:t>
      </w:r>
      <w:r w:rsidR="0031379D" w:rsidRPr="002F0E3F">
        <w:rPr>
          <w:rFonts w:cs="Arial"/>
        </w:rPr>
        <w:t xml:space="preserve">see </w:t>
      </w:r>
      <w:r w:rsidR="009B319B">
        <w:rPr>
          <w:rFonts w:cs="Arial"/>
        </w:rPr>
        <w:t xml:space="preserve">a complete list of all concern statements in </w:t>
      </w:r>
      <w:r w:rsidR="0031379D" w:rsidRPr="002F0E3F">
        <w:rPr>
          <w:rFonts w:cs="Arial"/>
        </w:rPr>
        <w:t>Appendix B</w:t>
      </w:r>
      <w:r w:rsidRPr="002F0E3F">
        <w:rPr>
          <w:rFonts w:cs="Arial"/>
        </w:rPr>
        <w:t xml:space="preserve">). </w:t>
      </w:r>
      <w:r w:rsidR="003C4E9D" w:rsidRPr="002F0E3F">
        <w:rPr>
          <w:rFonts w:cs="Arial"/>
        </w:rPr>
        <w:t>T</w:t>
      </w:r>
      <w:r w:rsidR="009B319B">
        <w:rPr>
          <w:rFonts w:cs="Arial"/>
        </w:rPr>
        <w:t>he</w:t>
      </w:r>
      <w:r w:rsidRPr="002F0E3F">
        <w:rPr>
          <w:rFonts w:cs="Arial"/>
        </w:rPr>
        <w:t xml:space="preserve"> key decision points</w:t>
      </w:r>
      <w:r w:rsidR="009B319B">
        <w:rPr>
          <w:rFonts w:cs="Arial"/>
        </w:rPr>
        <w:t xml:space="preserve"> for the OSY focus area were developed based on the data elevated by the committee as noted below.</w:t>
      </w:r>
    </w:p>
    <w:p w14:paraId="52E533B8" w14:textId="0C896786" w:rsidR="00377DAF" w:rsidRPr="002F0E3F" w:rsidRDefault="00377DAF" w:rsidP="00BC6DDA">
      <w:pPr>
        <w:pStyle w:val="Heading4"/>
      </w:pPr>
      <w:r w:rsidRPr="002F0E3F">
        <w:t xml:space="preserve">Key Data Points from </w:t>
      </w:r>
      <w:r w:rsidR="006450FC">
        <w:t>Committee</w:t>
      </w:r>
      <w:r w:rsidRPr="002F0E3F">
        <w:t xml:space="preserve"> Discussions</w:t>
      </w:r>
    </w:p>
    <w:p w14:paraId="51E4D8F8" w14:textId="40E54564" w:rsidR="008F71FA" w:rsidRPr="002F0E3F" w:rsidRDefault="008F71FA" w:rsidP="00BC6DDA">
      <w:pPr>
        <w:spacing w:after="240"/>
        <w:rPr>
          <w:rFonts w:cs="Arial"/>
        </w:rPr>
      </w:pPr>
      <w:r w:rsidRPr="002F0E3F">
        <w:rPr>
          <w:rFonts w:cs="Arial"/>
        </w:rPr>
        <w:t xml:space="preserve">The </w:t>
      </w:r>
      <w:r w:rsidR="008376CA">
        <w:rPr>
          <w:rFonts w:cs="Arial"/>
        </w:rPr>
        <w:t>OSY subcommittee</w:t>
      </w:r>
      <w:r w:rsidRPr="002F0E3F">
        <w:rPr>
          <w:rFonts w:cs="Arial"/>
        </w:rPr>
        <w:t xml:space="preserve"> examined trends in California’s migratory OSY </w:t>
      </w:r>
      <w:r w:rsidR="001B211F">
        <w:rPr>
          <w:rFonts w:cs="Arial"/>
        </w:rPr>
        <w:t xml:space="preserve">demographic data including </w:t>
      </w:r>
      <w:r w:rsidRPr="002F0E3F">
        <w:rPr>
          <w:rFonts w:cs="Arial"/>
        </w:rPr>
        <w:t>population size</w:t>
      </w:r>
      <w:r w:rsidR="001B211F">
        <w:rPr>
          <w:rFonts w:cs="Arial"/>
        </w:rPr>
        <w:t>,</w:t>
      </w:r>
      <w:r w:rsidRPr="002F0E3F">
        <w:rPr>
          <w:rFonts w:cs="Arial"/>
        </w:rPr>
        <w:t xml:space="preserve"> home languages, referral needs, here-to-work versus credit recovery status</w:t>
      </w:r>
      <w:r w:rsidR="00E73800">
        <w:rPr>
          <w:rFonts w:cs="Arial"/>
        </w:rPr>
        <w:t>, and unmet health needs</w:t>
      </w:r>
      <w:r w:rsidRPr="002F0E3F">
        <w:rPr>
          <w:rFonts w:cs="Arial"/>
        </w:rPr>
        <w:t>.</w:t>
      </w:r>
      <w:r w:rsidR="00E73800">
        <w:rPr>
          <w:rFonts w:cs="Arial"/>
        </w:rPr>
        <w:t xml:space="preserve"> The </w:t>
      </w:r>
      <w:r w:rsidR="008376CA">
        <w:rPr>
          <w:rFonts w:cs="Arial"/>
        </w:rPr>
        <w:t>OSY subcommittee</w:t>
      </w:r>
      <w:r w:rsidR="00E73800">
        <w:rPr>
          <w:rFonts w:cs="Arial"/>
        </w:rPr>
        <w:t xml:space="preserve"> also reviewed </w:t>
      </w:r>
      <w:r w:rsidR="00E73800">
        <w:rPr>
          <w:rFonts w:cs="Arial"/>
        </w:rPr>
        <w:lastRenderedPageBreak/>
        <w:t>OSY participation data around GED, English, and primary language literacy services.</w:t>
      </w:r>
      <w:r w:rsidR="00BE065D">
        <w:rPr>
          <w:rFonts w:cs="Arial"/>
        </w:rPr>
        <w:t xml:space="preserve"> T</w:t>
      </w:r>
      <w:r w:rsidR="001D6CF5">
        <w:rPr>
          <w:rFonts w:cs="Arial"/>
        </w:rPr>
        <w:t>he t</w:t>
      </w:r>
      <w:r w:rsidR="00BE065D">
        <w:rPr>
          <w:rFonts w:cs="Arial"/>
        </w:rPr>
        <w:t xml:space="preserve">op concerns for OSY </w:t>
      </w:r>
      <w:r w:rsidR="001D6CF5">
        <w:rPr>
          <w:rFonts w:cs="Arial"/>
        </w:rPr>
        <w:t xml:space="preserve">primarily </w:t>
      </w:r>
      <w:r w:rsidR="00BE065D">
        <w:rPr>
          <w:rFonts w:cs="Arial"/>
        </w:rPr>
        <w:t xml:space="preserve">focused on two priorities that were identified through the data review: 1) increasing OSY participation in services aligned to their needs and 2) ensuring as many OSY INA/ILPs are completed as possible. </w:t>
      </w:r>
      <w:r w:rsidRPr="002F0E3F">
        <w:rPr>
          <w:rFonts w:cs="Arial"/>
        </w:rPr>
        <w:t xml:space="preserve">The </w:t>
      </w:r>
      <w:r w:rsidR="008376CA">
        <w:rPr>
          <w:rFonts w:cs="Arial"/>
        </w:rPr>
        <w:t>OSY subcommittee</w:t>
      </w:r>
      <w:r w:rsidRPr="002F0E3F">
        <w:rPr>
          <w:rFonts w:cs="Arial"/>
        </w:rPr>
        <w:t xml:space="preserve"> discussed the following key findings</w:t>
      </w:r>
      <w:r w:rsidR="00BE065D">
        <w:rPr>
          <w:rFonts w:cs="Arial"/>
        </w:rPr>
        <w:t xml:space="preserve"> for these two priorities</w:t>
      </w:r>
      <w:r w:rsidRPr="002F0E3F">
        <w:rPr>
          <w:rFonts w:cs="Arial"/>
        </w:rPr>
        <w:t>:</w:t>
      </w:r>
    </w:p>
    <w:p w14:paraId="1B4ADDCD" w14:textId="3E597EBA" w:rsidR="00CB4C76" w:rsidRPr="00CB4C76" w:rsidRDefault="00264A74" w:rsidP="009670FC">
      <w:pPr>
        <w:pStyle w:val="ListParagraph"/>
        <w:numPr>
          <w:ilvl w:val="0"/>
          <w:numId w:val="46"/>
        </w:numPr>
        <w:spacing w:after="240"/>
        <w:contextualSpacing w:val="0"/>
        <w:rPr>
          <w:rFonts w:cs="Arial"/>
        </w:rPr>
      </w:pPr>
      <w:r>
        <w:rPr>
          <w:rFonts w:cs="Arial"/>
        </w:rPr>
        <w:t>As reported by the SSDP M</w:t>
      </w:r>
      <w:r w:rsidR="009B319B">
        <w:rPr>
          <w:rFonts w:cs="Arial"/>
        </w:rPr>
        <w:t>PO</w:t>
      </w:r>
      <w:r>
        <w:rPr>
          <w:rFonts w:cs="Arial"/>
        </w:rPr>
        <w:t xml:space="preserve"> Reports, t</w:t>
      </w:r>
      <w:r w:rsidR="00CB4C76">
        <w:rPr>
          <w:rFonts w:cs="Arial"/>
        </w:rPr>
        <w:t>here is a consistent gap in the number of students who indicate an interest in instructional services and those who receive services in 2022–23.</w:t>
      </w:r>
    </w:p>
    <w:p w14:paraId="222BCFA0" w14:textId="165171F7" w:rsidR="00CB4C76" w:rsidRDefault="00CB4C76" w:rsidP="009670FC">
      <w:pPr>
        <w:pStyle w:val="ListParagraph"/>
        <w:numPr>
          <w:ilvl w:val="1"/>
          <w:numId w:val="46"/>
        </w:numPr>
        <w:spacing w:after="240"/>
        <w:contextualSpacing w:val="0"/>
        <w:rPr>
          <w:rFonts w:cs="Arial"/>
        </w:rPr>
      </w:pPr>
      <w:r>
        <w:rPr>
          <w:rFonts w:cs="Arial"/>
        </w:rPr>
        <w:t>Of the approximately 1,000 OSY</w:t>
      </w:r>
      <w:r w:rsidR="001D6CF5">
        <w:rPr>
          <w:rFonts w:cs="Arial"/>
        </w:rPr>
        <w:t>s</w:t>
      </w:r>
      <w:r>
        <w:rPr>
          <w:rFonts w:cs="Arial"/>
        </w:rPr>
        <w:t xml:space="preserve"> who stated they were interested in learning English, only 654 received ELA services or referrals.</w:t>
      </w:r>
    </w:p>
    <w:p w14:paraId="05C8F1EA" w14:textId="701457C1" w:rsidR="00CB4C76" w:rsidRDefault="00CB4C76" w:rsidP="009670FC">
      <w:pPr>
        <w:pStyle w:val="ListParagraph"/>
        <w:numPr>
          <w:ilvl w:val="1"/>
          <w:numId w:val="46"/>
        </w:numPr>
        <w:spacing w:after="240"/>
        <w:contextualSpacing w:val="0"/>
        <w:rPr>
          <w:rFonts w:cs="Arial"/>
        </w:rPr>
      </w:pPr>
      <w:r>
        <w:rPr>
          <w:rFonts w:cs="Arial"/>
        </w:rPr>
        <w:t>Of the 718 OSY</w:t>
      </w:r>
      <w:r w:rsidR="001D6CF5">
        <w:rPr>
          <w:rFonts w:cs="Arial"/>
        </w:rPr>
        <w:t>s</w:t>
      </w:r>
      <w:r>
        <w:rPr>
          <w:rFonts w:cs="Arial"/>
        </w:rPr>
        <w:t xml:space="preserve"> who stated they were interested in obtaining their GED, 536 participated in GED services or referrals.</w:t>
      </w:r>
    </w:p>
    <w:p w14:paraId="08F547BF" w14:textId="494017D3" w:rsidR="00CB4C76" w:rsidRDefault="00CB4C76" w:rsidP="009670FC">
      <w:pPr>
        <w:pStyle w:val="ListParagraph"/>
        <w:numPr>
          <w:ilvl w:val="1"/>
          <w:numId w:val="46"/>
        </w:numPr>
        <w:spacing w:after="240"/>
        <w:contextualSpacing w:val="0"/>
        <w:rPr>
          <w:rFonts w:cs="Arial"/>
        </w:rPr>
      </w:pPr>
      <w:r>
        <w:rPr>
          <w:rFonts w:cs="Arial"/>
        </w:rPr>
        <w:t>Out of 128 OSY</w:t>
      </w:r>
      <w:r w:rsidR="001D6CF5">
        <w:rPr>
          <w:rFonts w:cs="Arial"/>
        </w:rPr>
        <w:t>s</w:t>
      </w:r>
      <w:r>
        <w:rPr>
          <w:rFonts w:cs="Arial"/>
        </w:rPr>
        <w:t xml:space="preserve"> who were interested in primary language literacy services, 118 received services or referrals.</w:t>
      </w:r>
    </w:p>
    <w:p w14:paraId="16FB7124" w14:textId="37A3E249" w:rsidR="00DC7455" w:rsidRDefault="00DC7455" w:rsidP="009670FC">
      <w:pPr>
        <w:pStyle w:val="ListParagraph"/>
        <w:numPr>
          <w:ilvl w:val="0"/>
          <w:numId w:val="46"/>
        </w:numPr>
        <w:spacing w:after="240"/>
        <w:contextualSpacing w:val="0"/>
        <w:rPr>
          <w:rFonts w:cs="Arial"/>
        </w:rPr>
      </w:pPr>
      <w:r>
        <w:rPr>
          <w:rFonts w:cs="Arial"/>
        </w:rPr>
        <w:t xml:space="preserve">OSY survey data identified the need to learn more about career technical education </w:t>
      </w:r>
      <w:r w:rsidR="002C1ED2">
        <w:rPr>
          <w:rFonts w:cs="Arial"/>
        </w:rPr>
        <w:t xml:space="preserve">(CTE) </w:t>
      </w:r>
      <w:r>
        <w:rPr>
          <w:rFonts w:cs="Arial"/>
        </w:rPr>
        <w:t>to expand future career possibilities.</w:t>
      </w:r>
    </w:p>
    <w:p w14:paraId="5ECBAE13" w14:textId="161E9BC1" w:rsidR="00DC7455" w:rsidRDefault="004B26DA" w:rsidP="009670FC">
      <w:pPr>
        <w:pStyle w:val="ListParagraph"/>
        <w:numPr>
          <w:ilvl w:val="0"/>
          <w:numId w:val="46"/>
        </w:numPr>
        <w:spacing w:after="240"/>
        <w:contextualSpacing w:val="0"/>
        <w:rPr>
          <w:rFonts w:cs="Arial"/>
        </w:rPr>
      </w:pPr>
      <w:r>
        <w:rPr>
          <w:rFonts w:cs="Arial"/>
        </w:rPr>
        <w:t xml:space="preserve">Table 22 (p. 47) displayed </w:t>
      </w:r>
      <w:r w:rsidR="00DC7455">
        <w:rPr>
          <w:rFonts w:cs="Arial"/>
        </w:rPr>
        <w:t>Individual Needs Assessment Report data show</w:t>
      </w:r>
      <w:r>
        <w:rPr>
          <w:rFonts w:cs="Arial"/>
        </w:rPr>
        <w:t>ing</w:t>
      </w:r>
      <w:r w:rsidR="00DC7455">
        <w:rPr>
          <w:rFonts w:cs="Arial"/>
        </w:rPr>
        <w:t xml:space="preserve"> that the percent of OSY with a completed INA/ILP grew from 39</w:t>
      </w:r>
      <w:r w:rsidR="002C0BDD">
        <w:t> </w:t>
      </w:r>
      <w:r w:rsidR="00DC7455">
        <w:rPr>
          <w:rFonts w:cs="Arial"/>
        </w:rPr>
        <w:t>percentage points to 48</w:t>
      </w:r>
      <w:r w:rsidR="002C0BDD">
        <w:t> </w:t>
      </w:r>
      <w:r w:rsidR="00DC7455">
        <w:rPr>
          <w:rFonts w:cs="Arial"/>
        </w:rPr>
        <w:t>percentage points from 2020–21 to 2022–23</w:t>
      </w:r>
      <w:r w:rsidR="00FE6C62">
        <w:rPr>
          <w:rFonts w:cs="Arial"/>
        </w:rPr>
        <w:t xml:space="preserve"> with a caveat:</w:t>
      </w:r>
    </w:p>
    <w:p w14:paraId="3E94D594" w14:textId="6F682A94" w:rsidR="00DC7455" w:rsidRPr="00D672EF" w:rsidRDefault="00FE6C62" w:rsidP="009670FC">
      <w:pPr>
        <w:pStyle w:val="ListParagraph"/>
        <w:numPr>
          <w:ilvl w:val="1"/>
          <w:numId w:val="46"/>
        </w:numPr>
        <w:spacing w:after="160" w:line="259" w:lineRule="auto"/>
        <w:rPr>
          <w:rFonts w:cs="Arial"/>
        </w:rPr>
      </w:pPr>
      <w:r>
        <w:rPr>
          <w:rFonts w:cs="Arial"/>
        </w:rPr>
        <w:t>I</w:t>
      </w:r>
      <w:r w:rsidR="00D672EF">
        <w:rPr>
          <w:rFonts w:cs="Arial"/>
        </w:rPr>
        <w:t>n 2022–23, 48</w:t>
      </w:r>
      <w:r w:rsidR="002C0BDD">
        <w:t> </w:t>
      </w:r>
      <w:r w:rsidR="00D672EF">
        <w:rPr>
          <w:rFonts w:cs="Arial"/>
        </w:rPr>
        <w:t>percent of OSY had completed INA/ILPs. This is down from the previous year in which 53</w:t>
      </w:r>
      <w:r w:rsidR="002C0BDD">
        <w:t> </w:t>
      </w:r>
      <w:r w:rsidR="00D672EF">
        <w:rPr>
          <w:rFonts w:cs="Arial"/>
        </w:rPr>
        <w:t>percent of OSY had a completed INA/ILP.</w:t>
      </w:r>
    </w:p>
    <w:p w14:paraId="1B977AE2" w14:textId="7988F5A5" w:rsidR="000238F8" w:rsidRPr="002F0E3F" w:rsidRDefault="00E4537B" w:rsidP="00BC6DDA">
      <w:pPr>
        <w:spacing w:after="240"/>
        <w:rPr>
          <w:rFonts w:cs="Arial"/>
        </w:rPr>
      </w:pPr>
      <w:r w:rsidRPr="002F0E3F">
        <w:rPr>
          <w:rFonts w:cs="Arial"/>
        </w:rPr>
        <w:t>The information below</w:t>
      </w:r>
      <w:r w:rsidR="00DB1024" w:rsidRPr="002F0E3F">
        <w:rPr>
          <w:rFonts w:cs="Arial"/>
        </w:rPr>
        <w:t xml:space="preserve"> detail</w:t>
      </w:r>
      <w:r w:rsidRPr="002F0E3F">
        <w:rPr>
          <w:rFonts w:cs="Arial"/>
        </w:rPr>
        <w:t>s</w:t>
      </w:r>
      <w:r w:rsidR="00DB1024" w:rsidRPr="002F0E3F">
        <w:rPr>
          <w:rFonts w:cs="Arial"/>
        </w:rPr>
        <w:t xml:space="preserve"> the key decision points made by the </w:t>
      </w:r>
      <w:r w:rsidR="008376CA">
        <w:rPr>
          <w:rFonts w:cs="Arial"/>
        </w:rPr>
        <w:t>OSY subcommittee</w:t>
      </w:r>
      <w:r w:rsidR="00B92E25" w:rsidRPr="002F0E3F">
        <w:rPr>
          <w:rFonts w:cs="Arial"/>
        </w:rPr>
        <w:t xml:space="preserve"> including their major concern</w:t>
      </w:r>
      <w:r w:rsidR="00782965" w:rsidRPr="002F0E3F">
        <w:rPr>
          <w:rFonts w:cs="Arial"/>
        </w:rPr>
        <w:t>s</w:t>
      </w:r>
      <w:r w:rsidR="00B92E25" w:rsidRPr="002F0E3F">
        <w:rPr>
          <w:rFonts w:cs="Arial"/>
        </w:rPr>
        <w:t xml:space="preserve">, </w:t>
      </w:r>
      <w:r w:rsidR="00782965" w:rsidRPr="002F0E3F">
        <w:rPr>
          <w:rFonts w:cs="Arial"/>
        </w:rPr>
        <w:t xml:space="preserve">migratory </w:t>
      </w:r>
      <w:r w:rsidR="00B92E25" w:rsidRPr="002F0E3F">
        <w:rPr>
          <w:rFonts w:cs="Arial"/>
        </w:rPr>
        <w:t>OSY need</w:t>
      </w:r>
      <w:r w:rsidR="00782965" w:rsidRPr="002F0E3F">
        <w:rPr>
          <w:rFonts w:cs="Arial"/>
        </w:rPr>
        <w:t>s</w:t>
      </w:r>
      <w:r w:rsidR="009B350F" w:rsidRPr="002F0E3F">
        <w:rPr>
          <w:rFonts w:cs="Arial"/>
        </w:rPr>
        <w:t>,</w:t>
      </w:r>
      <w:r w:rsidR="00DB1024" w:rsidRPr="002F0E3F">
        <w:rPr>
          <w:rFonts w:cs="Arial"/>
        </w:rPr>
        <w:t xml:space="preserve"> and initial strategies</w:t>
      </w:r>
      <w:r w:rsidR="00B92E25" w:rsidRPr="002F0E3F">
        <w:rPr>
          <w:rFonts w:cs="Arial"/>
        </w:rPr>
        <w:t xml:space="preserve"> selected to address this need</w:t>
      </w:r>
      <w:r w:rsidR="00DB1024" w:rsidRPr="002F0E3F">
        <w:rPr>
          <w:rFonts w:cs="Arial"/>
        </w:rPr>
        <w:t>.</w:t>
      </w:r>
    </w:p>
    <w:p w14:paraId="1D51FC4E" w14:textId="0E554777" w:rsidR="00BA0BDD" w:rsidRPr="002F0E3F" w:rsidRDefault="00BA0BDD" w:rsidP="00BC6DDA">
      <w:pPr>
        <w:pStyle w:val="Heading4"/>
      </w:pPr>
      <w:r w:rsidRPr="002F0E3F">
        <w:t xml:space="preserve">Out of School Youth: Concern Statement #1 </w:t>
      </w:r>
    </w:p>
    <w:p w14:paraId="6D490BC2" w14:textId="120167AB" w:rsidR="00BA0BDD" w:rsidRPr="002F0E3F" w:rsidRDefault="00BE065D" w:rsidP="00BC6DDA">
      <w:pPr>
        <w:spacing w:after="240"/>
        <w:rPr>
          <w:rFonts w:cs="Arial"/>
        </w:rPr>
      </w:pPr>
      <w:r>
        <w:rPr>
          <w:rFonts w:cs="Arial"/>
        </w:rPr>
        <w:t xml:space="preserve">The </w:t>
      </w:r>
      <w:r w:rsidR="008376CA">
        <w:rPr>
          <w:rFonts w:cs="Arial"/>
        </w:rPr>
        <w:t>OSY subcommittee</w:t>
      </w:r>
      <w:r>
        <w:rPr>
          <w:rFonts w:cs="Arial"/>
        </w:rPr>
        <w:t xml:space="preserve">’s first concern focuses on their instructional needs. </w:t>
      </w:r>
      <w:r w:rsidR="00F73DF7">
        <w:rPr>
          <w:rFonts w:cs="Arial"/>
        </w:rPr>
        <w:t>For those OSY who are here to pursue their education, including a high school diploma, it is imperative that the MEP quickly identify the needs of OSY</w:t>
      </w:r>
      <w:r w:rsidR="009B319B">
        <w:rPr>
          <w:rFonts w:cs="Arial"/>
        </w:rPr>
        <w:t>s</w:t>
      </w:r>
      <w:r w:rsidR="00F73DF7">
        <w:rPr>
          <w:rFonts w:cs="Arial"/>
        </w:rPr>
        <w:t xml:space="preserve"> and support their enrollment into services since OSY</w:t>
      </w:r>
      <w:r w:rsidR="009B319B">
        <w:rPr>
          <w:rFonts w:cs="Arial"/>
        </w:rPr>
        <w:t>s</w:t>
      </w:r>
      <w:r w:rsidR="00F73DF7">
        <w:rPr>
          <w:rFonts w:cs="Arial"/>
        </w:rPr>
        <w:t xml:space="preserve"> </w:t>
      </w:r>
      <w:r w:rsidR="009B319B">
        <w:rPr>
          <w:rFonts w:cs="Arial"/>
        </w:rPr>
        <w:t>are</w:t>
      </w:r>
      <w:r w:rsidR="00F73DF7">
        <w:rPr>
          <w:rFonts w:cs="Arial"/>
        </w:rPr>
        <w:t xml:space="preserve"> an extremely mobile </w:t>
      </w:r>
      <w:r w:rsidR="00604719">
        <w:rPr>
          <w:rFonts w:cs="Arial"/>
        </w:rPr>
        <w:t>population</w:t>
      </w:r>
      <w:r w:rsidR="00F73DF7">
        <w:rPr>
          <w:rFonts w:cs="Arial"/>
        </w:rPr>
        <w:t xml:space="preserve">. </w:t>
      </w:r>
      <w:r w:rsidR="00BA0BDD" w:rsidRPr="002F0E3F">
        <w:rPr>
          <w:rFonts w:cs="Arial"/>
        </w:rPr>
        <w:t xml:space="preserve">The </w:t>
      </w:r>
      <w:r w:rsidR="008376CA">
        <w:rPr>
          <w:rFonts w:cs="Arial"/>
        </w:rPr>
        <w:t>OSY subcommittee</w:t>
      </w:r>
      <w:r w:rsidR="00BA0BDD" w:rsidRPr="002F0E3F">
        <w:rPr>
          <w:rFonts w:cs="Arial"/>
        </w:rPr>
        <w:t xml:space="preserve"> members communicated their </w:t>
      </w:r>
      <w:r w:rsidR="00F73DF7">
        <w:rPr>
          <w:rFonts w:cs="Arial"/>
        </w:rPr>
        <w:t xml:space="preserve">first </w:t>
      </w:r>
      <w:r w:rsidR="00BA0BDD" w:rsidRPr="002F0E3F">
        <w:rPr>
          <w:rFonts w:cs="Arial"/>
        </w:rPr>
        <w:t>concern</w:t>
      </w:r>
      <w:r w:rsidR="00F73DF7">
        <w:rPr>
          <w:rFonts w:cs="Arial"/>
        </w:rPr>
        <w:t xml:space="preserve"> for instructional services</w:t>
      </w:r>
      <w:r w:rsidR="00BA0BDD" w:rsidRPr="002F0E3F">
        <w:rPr>
          <w:rFonts w:cs="Arial"/>
        </w:rPr>
        <w:t xml:space="preserve"> as:</w:t>
      </w:r>
    </w:p>
    <w:p w14:paraId="2654FFFF" w14:textId="5E0D77A0" w:rsidR="00BA0BDD" w:rsidRDefault="00D672EF" w:rsidP="00BC6DDA">
      <w:pPr>
        <w:spacing w:after="240"/>
        <w:jc w:val="center"/>
        <w:rPr>
          <w:rFonts w:cs="Arial"/>
        </w:rPr>
      </w:pPr>
      <w:r w:rsidRPr="0009426C">
        <w:rPr>
          <w:rFonts w:cs="Arial"/>
        </w:rPr>
        <w:t>We are concerned that there is a significant gap between the number of students who request academic service</w:t>
      </w:r>
      <w:r>
        <w:rPr>
          <w:rFonts w:cs="Arial"/>
        </w:rPr>
        <w:t>s</w:t>
      </w:r>
      <w:r w:rsidRPr="0009426C">
        <w:rPr>
          <w:rFonts w:cs="Arial"/>
        </w:rPr>
        <w:t xml:space="preserve"> and those who receive them.</w:t>
      </w:r>
    </w:p>
    <w:p w14:paraId="29C73837" w14:textId="5537ED9B" w:rsidR="006E2D49" w:rsidRPr="002F0E3F" w:rsidRDefault="00340882" w:rsidP="006E2D49">
      <w:pPr>
        <w:spacing w:after="240"/>
        <w:rPr>
          <w:rFonts w:cs="Arial"/>
        </w:rPr>
      </w:pPr>
      <w:r>
        <w:rPr>
          <w:rFonts w:cs="Arial"/>
        </w:rPr>
        <w:t xml:space="preserve">The </w:t>
      </w:r>
      <w:r w:rsidR="006E2D49">
        <w:rPr>
          <w:rFonts w:cs="Arial"/>
        </w:rPr>
        <w:t xml:space="preserve">MSIN participation data </w:t>
      </w:r>
      <w:r w:rsidR="009B319B">
        <w:rPr>
          <w:rFonts w:cs="Arial"/>
        </w:rPr>
        <w:t>for</w:t>
      </w:r>
      <w:r w:rsidR="006E2D49">
        <w:rPr>
          <w:rFonts w:cs="Arial"/>
        </w:rPr>
        <w:t xml:space="preserve"> instructional services serving OSY</w:t>
      </w:r>
      <w:r w:rsidR="009B319B">
        <w:rPr>
          <w:rFonts w:cs="Arial"/>
        </w:rPr>
        <w:t>s</w:t>
      </w:r>
      <w:r w:rsidR="006E2D49">
        <w:rPr>
          <w:rFonts w:cs="Arial"/>
        </w:rPr>
        <w:t xml:space="preserve"> provided the necessary information to identify a gap between the number of </w:t>
      </w:r>
      <w:r w:rsidR="0088144A">
        <w:rPr>
          <w:rFonts w:cs="Arial"/>
        </w:rPr>
        <w:t>OSY</w:t>
      </w:r>
      <w:r w:rsidR="009B319B">
        <w:rPr>
          <w:rFonts w:cs="Arial"/>
        </w:rPr>
        <w:t>s</w:t>
      </w:r>
      <w:r w:rsidR="0088144A">
        <w:rPr>
          <w:rFonts w:cs="Arial"/>
        </w:rPr>
        <w:t xml:space="preserve"> with a completed </w:t>
      </w:r>
      <w:r w:rsidR="0088144A">
        <w:rPr>
          <w:rFonts w:cs="Arial"/>
        </w:rPr>
        <w:lastRenderedPageBreak/>
        <w:t>INA identifying an interested in ELA/ESL, GED, or primary language literacy services compared with OSY with an indicated need on the INA and participated in a service aligning to the need.</w:t>
      </w:r>
    </w:p>
    <w:p w14:paraId="25EDB07B" w14:textId="78A35427" w:rsidR="00BA0BDD" w:rsidRPr="002F0E3F" w:rsidRDefault="00BA0BDD" w:rsidP="00BC6DDA">
      <w:pPr>
        <w:pStyle w:val="Heading4"/>
      </w:pPr>
      <w:r w:rsidRPr="002F0E3F">
        <w:t>Need Statement</w:t>
      </w:r>
    </w:p>
    <w:p w14:paraId="2A98262B" w14:textId="371FA923" w:rsidR="00BA0BDD" w:rsidRPr="002F0E3F" w:rsidRDefault="00F5470B" w:rsidP="00BC6DDA">
      <w:pPr>
        <w:spacing w:after="240"/>
        <w:rPr>
          <w:rFonts w:cs="Arial"/>
        </w:rPr>
      </w:pPr>
      <w:r>
        <w:rPr>
          <w:rFonts w:cs="Arial"/>
        </w:rPr>
        <w:t>MEP staff face additional c</w:t>
      </w:r>
      <w:r w:rsidR="00BA0BDD" w:rsidRPr="002F0E3F">
        <w:rPr>
          <w:rFonts w:cs="Arial"/>
        </w:rPr>
        <w:t xml:space="preserve">hallenges </w:t>
      </w:r>
      <w:r>
        <w:rPr>
          <w:rFonts w:cs="Arial"/>
        </w:rPr>
        <w:t>when</w:t>
      </w:r>
      <w:r w:rsidR="00BA0BDD" w:rsidRPr="002F0E3F">
        <w:rPr>
          <w:rFonts w:cs="Arial"/>
        </w:rPr>
        <w:t xml:space="preserve"> </w:t>
      </w:r>
      <w:r>
        <w:rPr>
          <w:rFonts w:cs="Arial"/>
        </w:rPr>
        <w:t>it comes to recruiting OSY</w:t>
      </w:r>
      <w:r w:rsidR="009B319B">
        <w:rPr>
          <w:rFonts w:cs="Arial"/>
        </w:rPr>
        <w:t>s</w:t>
      </w:r>
      <w:r>
        <w:rPr>
          <w:rFonts w:cs="Arial"/>
        </w:rPr>
        <w:t xml:space="preserve"> for services. OSY</w:t>
      </w:r>
      <w:r w:rsidR="009B319B">
        <w:rPr>
          <w:rFonts w:cs="Arial"/>
        </w:rPr>
        <w:t>s</w:t>
      </w:r>
      <w:r>
        <w:rPr>
          <w:rFonts w:cs="Arial"/>
        </w:rPr>
        <w:t xml:space="preserve"> are extremely mobile with some OSY</w:t>
      </w:r>
      <w:r w:rsidR="009B319B">
        <w:rPr>
          <w:rFonts w:cs="Arial"/>
        </w:rPr>
        <w:t>s</w:t>
      </w:r>
      <w:r>
        <w:rPr>
          <w:rFonts w:cs="Arial"/>
        </w:rPr>
        <w:t xml:space="preserve"> only staying in one area for a few weeks. OSY</w:t>
      </w:r>
      <w:r w:rsidR="009B319B">
        <w:rPr>
          <w:rFonts w:cs="Arial"/>
        </w:rPr>
        <w:t>s</w:t>
      </w:r>
      <w:r>
        <w:rPr>
          <w:rFonts w:cs="Arial"/>
        </w:rPr>
        <w:t xml:space="preserve"> also change their phone numbers often making </w:t>
      </w:r>
      <w:r w:rsidR="00BA0BDD" w:rsidRPr="002F0E3F">
        <w:rPr>
          <w:rFonts w:cs="Arial"/>
        </w:rPr>
        <w:t xml:space="preserve">outreach </w:t>
      </w:r>
      <w:r>
        <w:rPr>
          <w:rFonts w:cs="Arial"/>
        </w:rPr>
        <w:t>more difficult. O</w:t>
      </w:r>
      <w:r w:rsidR="009B319B">
        <w:rPr>
          <w:rFonts w:cs="Arial"/>
        </w:rPr>
        <w:t>ut-of-school-youths</w:t>
      </w:r>
      <w:r>
        <w:rPr>
          <w:rFonts w:cs="Arial"/>
        </w:rPr>
        <w:t xml:space="preserve"> face barriers to participation because of their high mobility, </w:t>
      </w:r>
      <w:r w:rsidR="00BA0BDD" w:rsidRPr="002F0E3F">
        <w:rPr>
          <w:rFonts w:cs="Arial"/>
        </w:rPr>
        <w:t xml:space="preserve">language barriers, </w:t>
      </w:r>
      <w:r>
        <w:rPr>
          <w:rFonts w:cs="Arial"/>
        </w:rPr>
        <w:t xml:space="preserve">lack of transportation, </w:t>
      </w:r>
      <w:r w:rsidR="00BA0BDD" w:rsidRPr="002F0E3F">
        <w:rPr>
          <w:rFonts w:cs="Arial"/>
        </w:rPr>
        <w:t xml:space="preserve">and long work hours. The </w:t>
      </w:r>
      <w:r w:rsidR="008376CA">
        <w:rPr>
          <w:rFonts w:cs="Arial"/>
        </w:rPr>
        <w:t>OSY subcommittee</w:t>
      </w:r>
      <w:r w:rsidR="00BA0BDD" w:rsidRPr="002F0E3F">
        <w:rPr>
          <w:rFonts w:cs="Arial"/>
        </w:rPr>
        <w:t xml:space="preserve"> acknowledged the following need:</w:t>
      </w:r>
    </w:p>
    <w:p w14:paraId="29FCFE0A" w14:textId="19DE6853" w:rsidR="00BA0BDD" w:rsidRPr="002F0E3F" w:rsidRDefault="00BA0BDD" w:rsidP="00BC6DDA">
      <w:pPr>
        <w:spacing w:after="240"/>
        <w:ind w:left="-14"/>
        <w:jc w:val="center"/>
        <w:rPr>
          <w:rFonts w:cs="Arial"/>
        </w:rPr>
      </w:pPr>
      <w:r w:rsidRPr="002F0E3F">
        <w:rPr>
          <w:rFonts w:cs="Arial"/>
        </w:rPr>
        <w:t>T</w:t>
      </w:r>
      <w:r w:rsidR="00207EDC" w:rsidRPr="0009426C">
        <w:rPr>
          <w:rFonts w:cs="Arial"/>
        </w:rPr>
        <w:t>he percentage of</w:t>
      </w:r>
      <w:r w:rsidR="00207EDC">
        <w:rPr>
          <w:rFonts w:cs="Arial"/>
        </w:rPr>
        <w:t xml:space="preserve"> instructional services provided needs to reach a minimum of </w:t>
      </w:r>
      <w:r w:rsidR="0088144A">
        <w:rPr>
          <w:rFonts w:cs="Arial"/>
        </w:rPr>
        <w:t>75</w:t>
      </w:r>
      <w:r w:rsidR="002C0BDD">
        <w:t> </w:t>
      </w:r>
      <w:r w:rsidR="00207EDC">
        <w:rPr>
          <w:rFonts w:cs="Arial"/>
        </w:rPr>
        <w:t>percent based on the interest identified on completed OSY INA/ILPs.</w:t>
      </w:r>
    </w:p>
    <w:p w14:paraId="69AA84DF" w14:textId="54A8874B" w:rsidR="00BA0BDD" w:rsidRPr="002F0E3F" w:rsidRDefault="00F5470B" w:rsidP="00BC6DDA">
      <w:pPr>
        <w:spacing w:after="240"/>
        <w:rPr>
          <w:rFonts w:cs="Arial"/>
        </w:rPr>
      </w:pPr>
      <w:r>
        <w:rPr>
          <w:rFonts w:cs="Arial"/>
        </w:rPr>
        <w:t xml:space="preserve">English and GED services </w:t>
      </w:r>
      <w:r w:rsidR="002275FF">
        <w:rPr>
          <w:rFonts w:cs="Arial"/>
        </w:rPr>
        <w:t xml:space="preserve">were a focus of the previous </w:t>
      </w:r>
      <w:r w:rsidR="00F8556E">
        <w:rPr>
          <w:rFonts w:cs="Arial"/>
        </w:rPr>
        <w:t>SDP,</w:t>
      </w:r>
      <w:r w:rsidR="00B616FC">
        <w:rPr>
          <w:rFonts w:cs="Arial"/>
        </w:rPr>
        <w:t xml:space="preserve"> and the committee agreed that focusing on these instructional needs continued to be a need for OSY</w:t>
      </w:r>
      <w:r w:rsidR="009B319B">
        <w:rPr>
          <w:rFonts w:cs="Arial"/>
        </w:rPr>
        <w:t>s</w:t>
      </w:r>
      <w:r w:rsidR="00B616FC">
        <w:rPr>
          <w:rFonts w:cs="Arial"/>
        </w:rPr>
        <w:t xml:space="preserve"> in California</w:t>
      </w:r>
      <w:r w:rsidR="002275FF">
        <w:rPr>
          <w:rFonts w:cs="Arial"/>
        </w:rPr>
        <w:t>. Over the course of three years, the MEP met the MPOs for each of these instructional services. This next SDP will expand upon these efforts to broaden OSYs</w:t>
      </w:r>
      <w:r w:rsidR="00FE6C62">
        <w:rPr>
          <w:rFonts w:cs="Arial"/>
        </w:rPr>
        <w:t>’</w:t>
      </w:r>
      <w:r w:rsidR="002275FF">
        <w:rPr>
          <w:rFonts w:cs="Arial"/>
        </w:rPr>
        <w:t xml:space="preserve"> knowledge, skillset, and access to future educational and career opportunities. Strategies identified by the </w:t>
      </w:r>
      <w:r w:rsidR="008376CA">
        <w:rPr>
          <w:rFonts w:cs="Arial"/>
        </w:rPr>
        <w:t>OSY subcommittee</w:t>
      </w:r>
      <w:r w:rsidR="002275FF">
        <w:rPr>
          <w:rFonts w:cs="Arial"/>
        </w:rPr>
        <w:t xml:space="preserve"> to expand the participation of OSY in services aligned to their identified needs are reviewed in the next session.</w:t>
      </w:r>
    </w:p>
    <w:p w14:paraId="4DB8448A" w14:textId="4E6669CF" w:rsidR="00BA0BDD" w:rsidRPr="002F0E3F" w:rsidRDefault="00BA0BDD" w:rsidP="00BC6DDA">
      <w:pPr>
        <w:pStyle w:val="Heading4"/>
      </w:pPr>
      <w:r w:rsidRPr="002F0E3F">
        <w:t>Initial Strategies</w:t>
      </w:r>
      <w:r w:rsidR="006450FC">
        <w:t xml:space="preserve"> to Address Need</w:t>
      </w:r>
    </w:p>
    <w:p w14:paraId="312A40B2" w14:textId="2403BC12" w:rsidR="00BA0BDD" w:rsidRPr="002F0E3F" w:rsidRDefault="00BA0BDD" w:rsidP="00BC6DDA">
      <w:pPr>
        <w:spacing w:after="240"/>
        <w:rPr>
          <w:rFonts w:cs="Arial"/>
        </w:rPr>
      </w:pPr>
      <w:r w:rsidRPr="002F0E3F">
        <w:rPr>
          <w:rFonts w:cs="Arial"/>
        </w:rPr>
        <w:t xml:space="preserve">After the discussion, analyzing programmatic data, and reviewing evidence-based practices for OSY, the Subcommittee suggested the following strategies to increase OSY </w:t>
      </w:r>
      <w:r w:rsidR="00207EDC">
        <w:rPr>
          <w:rFonts w:cs="Arial"/>
        </w:rPr>
        <w:t>participation in instructional services</w:t>
      </w:r>
      <w:r w:rsidRPr="002F0E3F">
        <w:rPr>
          <w:rFonts w:cs="Arial"/>
        </w:rPr>
        <w:t>:</w:t>
      </w:r>
    </w:p>
    <w:p w14:paraId="32E8CDA2" w14:textId="0AE384BA" w:rsidR="0072770C" w:rsidRDefault="002C1ED2" w:rsidP="009670FC">
      <w:pPr>
        <w:pStyle w:val="ListParagraph"/>
        <w:numPr>
          <w:ilvl w:val="0"/>
          <w:numId w:val="28"/>
        </w:numPr>
        <w:spacing w:after="240"/>
        <w:contextualSpacing w:val="0"/>
        <w:rPr>
          <w:rFonts w:cs="Arial"/>
        </w:rPr>
      </w:pPr>
      <w:r>
        <w:rPr>
          <w:rFonts w:cs="Arial"/>
        </w:rPr>
        <w:t>Increase OSY participation in literacy classes (e.g., ELA, English as a Second Language, or ELD).</w:t>
      </w:r>
    </w:p>
    <w:p w14:paraId="0104F9E7" w14:textId="3F8A1D45" w:rsidR="002C1ED2" w:rsidRDefault="002C1ED2" w:rsidP="009670FC">
      <w:pPr>
        <w:pStyle w:val="ListParagraph"/>
        <w:numPr>
          <w:ilvl w:val="0"/>
          <w:numId w:val="28"/>
        </w:numPr>
        <w:spacing w:after="240"/>
        <w:contextualSpacing w:val="0"/>
        <w:rPr>
          <w:rFonts w:cs="Arial"/>
        </w:rPr>
      </w:pPr>
      <w:r>
        <w:rPr>
          <w:rFonts w:cs="Arial"/>
        </w:rPr>
        <w:t>Provide GED or high school equivalency services for OSY who have dropped out of school but want to obtain a GED.</w:t>
      </w:r>
    </w:p>
    <w:p w14:paraId="712B4088" w14:textId="0AB20366" w:rsidR="002C1ED2" w:rsidRDefault="002C1ED2" w:rsidP="009670FC">
      <w:pPr>
        <w:pStyle w:val="ListParagraph"/>
        <w:numPr>
          <w:ilvl w:val="0"/>
          <w:numId w:val="28"/>
        </w:numPr>
        <w:spacing w:after="240"/>
        <w:contextualSpacing w:val="0"/>
        <w:rPr>
          <w:rFonts w:cs="Arial"/>
        </w:rPr>
      </w:pPr>
      <w:r w:rsidRPr="002C1ED2">
        <w:rPr>
          <w:rFonts w:cs="Arial"/>
        </w:rPr>
        <w:t>Provide one workshop on CTE offerings in the area and enrollment support to get into these programs for OSY who</w:t>
      </w:r>
      <w:r w:rsidR="00340882">
        <w:rPr>
          <w:rFonts w:cs="Arial"/>
        </w:rPr>
        <w:t xml:space="preserve"> ha</w:t>
      </w:r>
      <w:r w:rsidRPr="002C1ED2">
        <w:rPr>
          <w:rFonts w:cs="Arial"/>
        </w:rPr>
        <w:t xml:space="preserve">ve indicated a need </w:t>
      </w:r>
      <w:proofErr w:type="gramStart"/>
      <w:r w:rsidRPr="002C1ED2">
        <w:rPr>
          <w:rFonts w:cs="Arial"/>
        </w:rPr>
        <w:t>on</w:t>
      </w:r>
      <w:proofErr w:type="gramEnd"/>
      <w:r w:rsidRPr="002C1ED2">
        <w:rPr>
          <w:rFonts w:cs="Arial"/>
        </w:rPr>
        <w:t xml:space="preserve"> </w:t>
      </w:r>
      <w:proofErr w:type="gramStart"/>
      <w:r w:rsidRPr="002C1ED2">
        <w:rPr>
          <w:rFonts w:cs="Arial"/>
        </w:rPr>
        <w:t>the INA</w:t>
      </w:r>
      <w:proofErr w:type="gramEnd"/>
      <w:r w:rsidRPr="002C1ED2">
        <w:rPr>
          <w:rFonts w:cs="Arial"/>
        </w:rPr>
        <w:t>/ILP.</w:t>
      </w:r>
    </w:p>
    <w:p w14:paraId="1DD16218" w14:textId="5E7CB4A7" w:rsidR="002C1ED2" w:rsidRPr="002C1ED2" w:rsidRDefault="002C1ED2" w:rsidP="009670FC">
      <w:pPr>
        <w:pStyle w:val="ListParagraph"/>
        <w:numPr>
          <w:ilvl w:val="0"/>
          <w:numId w:val="28"/>
        </w:numPr>
        <w:spacing w:after="240"/>
        <w:contextualSpacing w:val="0"/>
        <w:rPr>
          <w:rFonts w:cs="Arial"/>
        </w:rPr>
      </w:pPr>
      <w:r w:rsidRPr="002C1ED2">
        <w:rPr>
          <w:rFonts w:cs="Arial"/>
        </w:rPr>
        <w:t>Provide an annual training to staff implementing INA/ILPs to explain:</w:t>
      </w:r>
    </w:p>
    <w:p w14:paraId="04ACFDA7" w14:textId="77777777" w:rsidR="002C1ED2" w:rsidRDefault="002C1ED2" w:rsidP="009670FC">
      <w:pPr>
        <w:pStyle w:val="ListParagraph"/>
        <w:numPr>
          <w:ilvl w:val="1"/>
          <w:numId w:val="28"/>
        </w:numPr>
        <w:spacing w:after="120" w:line="259" w:lineRule="auto"/>
        <w:contextualSpacing w:val="0"/>
        <w:rPr>
          <w:rFonts w:cs="Arial"/>
        </w:rPr>
      </w:pPr>
      <w:r>
        <w:rPr>
          <w:rFonts w:cs="Arial"/>
        </w:rPr>
        <w:t>The purpose of the INA</w:t>
      </w:r>
    </w:p>
    <w:p w14:paraId="7B8B955B" w14:textId="3B28B01A" w:rsidR="002C1ED2" w:rsidRDefault="002C1ED2" w:rsidP="009670FC">
      <w:pPr>
        <w:pStyle w:val="ListParagraph"/>
        <w:numPr>
          <w:ilvl w:val="1"/>
          <w:numId w:val="28"/>
        </w:numPr>
        <w:spacing w:after="120" w:line="259" w:lineRule="auto"/>
        <w:contextualSpacing w:val="0"/>
        <w:rPr>
          <w:rFonts w:cs="Arial"/>
        </w:rPr>
      </w:pPr>
      <w:r>
        <w:rPr>
          <w:rFonts w:cs="Arial"/>
        </w:rPr>
        <w:t>Benefits of attending services (e.g.</w:t>
      </w:r>
      <w:r w:rsidR="00B34D39">
        <w:rPr>
          <w:rFonts w:cs="Arial"/>
        </w:rPr>
        <w:t>,</w:t>
      </w:r>
      <w:r>
        <w:rPr>
          <w:rFonts w:cs="Arial"/>
        </w:rPr>
        <w:t xml:space="preserve"> support goals and increased access to opportunities)</w:t>
      </w:r>
    </w:p>
    <w:p w14:paraId="4718CF31" w14:textId="34EDABE9" w:rsidR="002C1ED2" w:rsidRDefault="002C1ED2" w:rsidP="009670FC">
      <w:pPr>
        <w:pStyle w:val="ListParagraph"/>
        <w:numPr>
          <w:ilvl w:val="1"/>
          <w:numId w:val="28"/>
        </w:numPr>
        <w:spacing w:after="240"/>
        <w:contextualSpacing w:val="0"/>
        <w:rPr>
          <w:rFonts w:cs="Arial"/>
        </w:rPr>
      </w:pPr>
      <w:r>
        <w:rPr>
          <w:rFonts w:cs="Arial"/>
        </w:rPr>
        <w:t>Available service options</w:t>
      </w:r>
    </w:p>
    <w:p w14:paraId="01364F86" w14:textId="2123FC0C" w:rsidR="002C1ED2" w:rsidRDefault="002C1ED2" w:rsidP="009670FC">
      <w:pPr>
        <w:pStyle w:val="ListParagraph"/>
        <w:numPr>
          <w:ilvl w:val="0"/>
          <w:numId w:val="28"/>
        </w:numPr>
        <w:spacing w:after="240"/>
        <w:contextualSpacing w:val="0"/>
        <w:rPr>
          <w:rFonts w:cs="Arial"/>
        </w:rPr>
      </w:pPr>
      <w:r>
        <w:rPr>
          <w:rFonts w:cs="Arial"/>
        </w:rPr>
        <w:lastRenderedPageBreak/>
        <w:t>One-on-one meetings with OSYs who identified an instructional need on the INA to provide more support after the initial INA/ILP meeting.</w:t>
      </w:r>
    </w:p>
    <w:p w14:paraId="4E279BFA" w14:textId="4E6A17F4" w:rsidR="00B5781C" w:rsidRPr="00B5781C" w:rsidRDefault="00B5781C" w:rsidP="00BC6DDA">
      <w:pPr>
        <w:spacing w:after="240"/>
        <w:rPr>
          <w:rFonts w:cs="Arial"/>
        </w:rPr>
      </w:pPr>
      <w:r>
        <w:rPr>
          <w:rFonts w:cs="Arial"/>
        </w:rPr>
        <w:t>The CDE w</w:t>
      </w:r>
      <w:r w:rsidR="00DA1365">
        <w:rPr>
          <w:rFonts w:cs="Arial"/>
        </w:rPr>
        <w:t>ill offer</w:t>
      </w:r>
      <w:r>
        <w:rPr>
          <w:rFonts w:cs="Arial"/>
        </w:rPr>
        <w:t xml:space="preserve"> annual training to </w:t>
      </w:r>
      <w:r w:rsidR="00DA1365">
        <w:rPr>
          <w:rFonts w:cs="Arial"/>
        </w:rPr>
        <w:t xml:space="preserve">MEP </w:t>
      </w:r>
      <w:r>
        <w:rPr>
          <w:rFonts w:cs="Arial"/>
        </w:rPr>
        <w:t xml:space="preserve">staff conducting INA/ILPs </w:t>
      </w:r>
      <w:r w:rsidR="00B97AC0">
        <w:rPr>
          <w:rFonts w:cs="Arial"/>
        </w:rPr>
        <w:t xml:space="preserve">to ensure that </w:t>
      </w:r>
      <w:r>
        <w:rPr>
          <w:rFonts w:cs="Arial"/>
        </w:rPr>
        <w:t xml:space="preserve">new staff have a live training option available and returning staff can participate in a refresher training. The CNA SDP Committee will finalize the strategies for the OSY and </w:t>
      </w:r>
      <w:r w:rsidR="00FE6C62">
        <w:rPr>
          <w:rFonts w:cs="Arial"/>
        </w:rPr>
        <w:t xml:space="preserve">the </w:t>
      </w:r>
      <w:r>
        <w:rPr>
          <w:rFonts w:cs="Arial"/>
        </w:rPr>
        <w:t>other focus area</w:t>
      </w:r>
      <w:r w:rsidR="00F966F3">
        <w:rPr>
          <w:rFonts w:cs="Arial"/>
        </w:rPr>
        <w:t>s</w:t>
      </w:r>
      <w:r>
        <w:rPr>
          <w:rFonts w:cs="Arial"/>
        </w:rPr>
        <w:t xml:space="preserve"> </w:t>
      </w:r>
      <w:r w:rsidR="00F966F3">
        <w:rPr>
          <w:rFonts w:cs="Arial"/>
        </w:rPr>
        <w:t>i</w:t>
      </w:r>
      <w:r w:rsidR="00F8556E">
        <w:rPr>
          <w:rFonts w:cs="Arial"/>
        </w:rPr>
        <w:t>n</w:t>
      </w:r>
      <w:r>
        <w:rPr>
          <w:rFonts w:cs="Arial"/>
        </w:rPr>
        <w:t xml:space="preserve"> the upcoming SDP.</w:t>
      </w:r>
    </w:p>
    <w:p w14:paraId="28257D4B" w14:textId="5351A939" w:rsidR="00A84431" w:rsidRPr="002F0E3F" w:rsidRDefault="00A84431" w:rsidP="00BC6DDA">
      <w:pPr>
        <w:pStyle w:val="Heading4"/>
      </w:pPr>
      <w:proofErr w:type="gramStart"/>
      <w:r w:rsidRPr="002F0E3F">
        <w:t>Out</w:t>
      </w:r>
      <w:proofErr w:type="gramEnd"/>
      <w:r w:rsidRPr="002F0E3F">
        <w:t xml:space="preserve"> of School Youth: Concern Statement #</w:t>
      </w:r>
      <w:r w:rsidR="00207EDC">
        <w:t>2</w:t>
      </w:r>
      <w:r w:rsidRPr="002F0E3F">
        <w:t xml:space="preserve"> </w:t>
      </w:r>
    </w:p>
    <w:p w14:paraId="41447DFD" w14:textId="43590B19" w:rsidR="00A84431" w:rsidRPr="002F0E3F" w:rsidRDefault="00A84431" w:rsidP="00BC6DDA">
      <w:pPr>
        <w:spacing w:after="240"/>
        <w:rPr>
          <w:rFonts w:cs="Arial"/>
        </w:rPr>
      </w:pPr>
      <w:r w:rsidRPr="002F0E3F">
        <w:rPr>
          <w:rFonts w:cs="Arial"/>
        </w:rPr>
        <w:t xml:space="preserve">The second </w:t>
      </w:r>
      <w:r w:rsidR="00B5781C">
        <w:rPr>
          <w:rFonts w:cs="Arial"/>
        </w:rPr>
        <w:t xml:space="preserve">priority for the </w:t>
      </w:r>
      <w:r w:rsidR="008376CA">
        <w:rPr>
          <w:rFonts w:cs="Arial"/>
        </w:rPr>
        <w:t>OSY subcommittee</w:t>
      </w:r>
      <w:r w:rsidR="00B5781C">
        <w:rPr>
          <w:rFonts w:cs="Arial"/>
        </w:rPr>
        <w:t xml:space="preserve"> </w:t>
      </w:r>
      <w:proofErr w:type="gramStart"/>
      <w:r w:rsidR="00B5781C">
        <w:rPr>
          <w:rFonts w:cs="Arial"/>
        </w:rPr>
        <w:t>centered</w:t>
      </w:r>
      <w:proofErr w:type="gramEnd"/>
      <w:r w:rsidR="00B5781C">
        <w:rPr>
          <w:rFonts w:cs="Arial"/>
        </w:rPr>
        <w:t xml:space="preserve"> on INA/ILP completion</w:t>
      </w:r>
      <w:r w:rsidRPr="002F0E3F">
        <w:rPr>
          <w:rFonts w:cs="Arial"/>
        </w:rPr>
        <w:t>.</w:t>
      </w:r>
      <w:r w:rsidR="00B5781C">
        <w:rPr>
          <w:rFonts w:cs="Arial"/>
        </w:rPr>
        <w:t xml:space="preserve"> </w:t>
      </w:r>
      <w:proofErr w:type="gramStart"/>
      <w:r w:rsidR="00B5781C">
        <w:rPr>
          <w:rFonts w:cs="Arial"/>
        </w:rPr>
        <w:t>I</w:t>
      </w:r>
      <w:r w:rsidR="00DA1365">
        <w:rPr>
          <w:rFonts w:cs="Arial"/>
        </w:rPr>
        <w:t>NA</w:t>
      </w:r>
      <w:proofErr w:type="gramEnd"/>
      <w:r w:rsidR="00DA1365">
        <w:rPr>
          <w:rFonts w:cs="Arial"/>
        </w:rPr>
        <w:t>/</w:t>
      </w:r>
      <w:proofErr w:type="gramStart"/>
      <w:r w:rsidR="00DA1365">
        <w:rPr>
          <w:rFonts w:cs="Arial"/>
        </w:rPr>
        <w:t>ILP completion</w:t>
      </w:r>
      <w:proofErr w:type="gramEnd"/>
      <w:r w:rsidR="00DA1365">
        <w:rPr>
          <w:rFonts w:cs="Arial"/>
        </w:rPr>
        <w:t xml:space="preserve"> is the foundation </w:t>
      </w:r>
      <w:r w:rsidR="00F8556E">
        <w:rPr>
          <w:rFonts w:cs="Arial"/>
        </w:rPr>
        <w:t>of</w:t>
      </w:r>
      <w:r w:rsidR="00DA1365">
        <w:rPr>
          <w:rFonts w:cs="Arial"/>
        </w:rPr>
        <w:t xml:space="preserve"> </w:t>
      </w:r>
      <w:proofErr w:type="gramStart"/>
      <w:r w:rsidR="00DA1365">
        <w:rPr>
          <w:rFonts w:cs="Arial"/>
        </w:rPr>
        <w:t>service delivery</w:t>
      </w:r>
      <w:proofErr w:type="gramEnd"/>
      <w:r w:rsidR="00DA1365">
        <w:rPr>
          <w:rFonts w:cs="Arial"/>
        </w:rPr>
        <w:t xml:space="preserve">. Services are designed </w:t>
      </w:r>
      <w:r w:rsidR="00B34D39">
        <w:rPr>
          <w:rFonts w:cs="Arial"/>
        </w:rPr>
        <w:t>to meet</w:t>
      </w:r>
      <w:r w:rsidR="00DA1365">
        <w:rPr>
          <w:rFonts w:cs="Arial"/>
        </w:rPr>
        <w:t xml:space="preserve"> the needs of migratory children and youths. If the INA/ILPs are incomplete, then the MEP does not have </w:t>
      </w:r>
      <w:r w:rsidR="003151C5">
        <w:rPr>
          <w:rFonts w:cs="Arial"/>
        </w:rPr>
        <w:t xml:space="preserve">the </w:t>
      </w:r>
      <w:r w:rsidR="00DA1365">
        <w:rPr>
          <w:rFonts w:cs="Arial"/>
        </w:rPr>
        <w:t xml:space="preserve">complete </w:t>
      </w:r>
      <w:r w:rsidR="003151C5">
        <w:rPr>
          <w:rFonts w:cs="Arial"/>
        </w:rPr>
        <w:t>information</w:t>
      </w:r>
      <w:r w:rsidR="00DA1365">
        <w:rPr>
          <w:rFonts w:cs="Arial"/>
        </w:rPr>
        <w:t xml:space="preserve"> to support deciding which services to offer to children and youths. Without this data, the MEP </w:t>
      </w:r>
      <w:r w:rsidR="003151C5">
        <w:rPr>
          <w:rFonts w:cs="Arial"/>
        </w:rPr>
        <w:t>w</w:t>
      </w:r>
      <w:r w:rsidR="003151C5" w:rsidRPr="003151C5">
        <w:rPr>
          <w:rFonts w:cs="Arial"/>
        </w:rPr>
        <w:t xml:space="preserve">ould not have the information needed to ensure children and youths obtain the services that address their </w:t>
      </w:r>
      <w:proofErr w:type="gramStart"/>
      <w:r w:rsidR="003151C5" w:rsidRPr="003151C5">
        <w:rPr>
          <w:rFonts w:cs="Arial"/>
        </w:rPr>
        <w:t>particular needs</w:t>
      </w:r>
      <w:proofErr w:type="gramEnd"/>
      <w:r w:rsidR="00DA1365">
        <w:rPr>
          <w:rFonts w:cs="Arial"/>
        </w:rPr>
        <w:t>.</w:t>
      </w:r>
      <w:r w:rsidRPr="002F0E3F">
        <w:rPr>
          <w:rFonts w:cs="Arial"/>
        </w:rPr>
        <w:t xml:space="preserve"> The </w:t>
      </w:r>
      <w:r w:rsidR="008376CA">
        <w:rPr>
          <w:rFonts w:cs="Arial"/>
        </w:rPr>
        <w:t>OSY subcommittee</w:t>
      </w:r>
      <w:r w:rsidRPr="002F0E3F">
        <w:rPr>
          <w:rFonts w:cs="Arial"/>
        </w:rPr>
        <w:t xml:space="preserve"> members identified the following concern:</w:t>
      </w:r>
    </w:p>
    <w:p w14:paraId="1ED31984" w14:textId="7C4F9C32" w:rsidR="002275FF" w:rsidRDefault="002275FF" w:rsidP="00BC6DDA">
      <w:pPr>
        <w:spacing w:after="240"/>
        <w:jc w:val="center"/>
        <w:rPr>
          <w:rFonts w:cs="Arial"/>
        </w:rPr>
      </w:pPr>
      <w:r w:rsidRPr="0009426C">
        <w:rPr>
          <w:rFonts w:cs="Arial"/>
        </w:rPr>
        <w:t xml:space="preserve">We are concerned that </w:t>
      </w:r>
      <w:r>
        <w:rPr>
          <w:rFonts w:cs="Arial"/>
        </w:rPr>
        <w:t>less than 50</w:t>
      </w:r>
      <w:r w:rsidR="002C0BDD">
        <w:t> </w:t>
      </w:r>
      <w:r>
        <w:rPr>
          <w:rFonts w:cs="Arial"/>
        </w:rPr>
        <w:t>percent of OSY have a completed INA/ILP.</w:t>
      </w:r>
    </w:p>
    <w:p w14:paraId="7A91FAEF" w14:textId="283D6206" w:rsidR="0088144A" w:rsidRPr="00C10B0A" w:rsidRDefault="003151C5" w:rsidP="0088144A">
      <w:pPr>
        <w:spacing w:after="240"/>
        <w:rPr>
          <w:rFonts w:cs="Arial"/>
        </w:rPr>
      </w:pPr>
      <w:r>
        <w:rPr>
          <w:rFonts w:cs="Arial"/>
        </w:rPr>
        <w:t>The MEP needs to review processes to identify ways to increase the number of OSY with completed INAs. Additionally, California state law asserts that INAs are completed within 30 days of enrollment into the MEP; therefore, more needs to be done to identify and meet the needs of OSYs. Getting INAs completed quickly allows services to be provided swiftly before OSYs move on to their next job.</w:t>
      </w:r>
    </w:p>
    <w:p w14:paraId="15E3C736" w14:textId="7CC6B3A8" w:rsidR="00A84431" w:rsidRPr="002F0E3F" w:rsidRDefault="00A84431" w:rsidP="00BC6DDA">
      <w:pPr>
        <w:pStyle w:val="Heading4"/>
      </w:pPr>
      <w:r w:rsidRPr="002F0E3F">
        <w:t>Need Statement</w:t>
      </w:r>
    </w:p>
    <w:p w14:paraId="5E5E266D" w14:textId="4FCC39DF" w:rsidR="00A84431" w:rsidRPr="002F0E3F" w:rsidRDefault="008868B2" w:rsidP="00BC6DDA">
      <w:pPr>
        <w:spacing w:after="240"/>
        <w:rPr>
          <w:rFonts w:cs="Arial"/>
        </w:rPr>
      </w:pPr>
      <w:r>
        <w:rPr>
          <w:rFonts w:cs="Arial"/>
        </w:rPr>
        <w:t>A</w:t>
      </w:r>
      <w:r w:rsidR="00DA1365">
        <w:rPr>
          <w:rFonts w:cs="Arial"/>
        </w:rPr>
        <w:t>s reported by the CNA SDP Committee and</w:t>
      </w:r>
      <w:r>
        <w:rPr>
          <w:rFonts w:cs="Arial"/>
        </w:rPr>
        <w:t xml:space="preserve"> MEP staff during the annual continuous improvement meeting, many OSY</w:t>
      </w:r>
      <w:r w:rsidR="000D3B62">
        <w:rPr>
          <w:rFonts w:cs="Arial"/>
        </w:rPr>
        <w:t>s</w:t>
      </w:r>
      <w:r>
        <w:rPr>
          <w:rFonts w:cs="Arial"/>
        </w:rPr>
        <w:t xml:space="preserve"> leave prior to staff even being able to reach out and complete the INA/ILP.</w:t>
      </w:r>
      <w:r w:rsidR="00A84431" w:rsidRPr="002F0E3F">
        <w:rPr>
          <w:rFonts w:cs="Arial"/>
        </w:rPr>
        <w:t xml:space="preserve"> </w:t>
      </w:r>
      <w:r w:rsidR="00DA1365" w:rsidRPr="002F0E3F">
        <w:rPr>
          <w:rFonts w:cs="Arial"/>
        </w:rPr>
        <w:t>Therefore,</w:t>
      </w:r>
      <w:r w:rsidR="00A84431" w:rsidRPr="002F0E3F">
        <w:rPr>
          <w:rFonts w:cs="Arial"/>
        </w:rPr>
        <w:t xml:space="preserve"> the </w:t>
      </w:r>
      <w:r w:rsidR="008376CA">
        <w:rPr>
          <w:rFonts w:cs="Arial"/>
        </w:rPr>
        <w:t>OSY subcommittee</w:t>
      </w:r>
      <w:r w:rsidR="00A84431" w:rsidRPr="002F0E3F">
        <w:rPr>
          <w:rFonts w:cs="Arial"/>
        </w:rPr>
        <w:t xml:space="preserve"> communicated the following need:</w:t>
      </w:r>
    </w:p>
    <w:p w14:paraId="5CF50C32" w14:textId="74D267B9" w:rsidR="00A84431" w:rsidRPr="002F0E3F" w:rsidRDefault="002275FF" w:rsidP="00BC6DDA">
      <w:pPr>
        <w:spacing w:after="240"/>
        <w:ind w:left="-14"/>
        <w:jc w:val="center"/>
        <w:rPr>
          <w:rFonts w:cs="Arial"/>
        </w:rPr>
      </w:pPr>
      <w:r>
        <w:rPr>
          <w:rFonts w:cs="Arial"/>
        </w:rPr>
        <w:t>An additional 52</w:t>
      </w:r>
      <w:r w:rsidR="003B1A44">
        <w:t> </w:t>
      </w:r>
      <w:r>
        <w:rPr>
          <w:rFonts w:cs="Arial"/>
        </w:rPr>
        <w:t>percent of OSY should have a completed INA/ILP.</w:t>
      </w:r>
    </w:p>
    <w:p w14:paraId="3FE1C9E2" w14:textId="54F5F118" w:rsidR="00A84431" w:rsidRPr="002F0E3F" w:rsidRDefault="00C063A2" w:rsidP="00BC6DDA">
      <w:pPr>
        <w:spacing w:after="240"/>
        <w:rPr>
          <w:rFonts w:cs="Arial"/>
        </w:rPr>
      </w:pPr>
      <w:r>
        <w:rPr>
          <w:rFonts w:cs="Arial"/>
        </w:rPr>
        <w:t>Although OSY are difficult to reach, the MEP will continue to focus on identifying and recruiting OSY for services that specifically address their</w:t>
      </w:r>
      <w:r w:rsidR="003151C5">
        <w:rPr>
          <w:rFonts w:cs="Arial"/>
        </w:rPr>
        <w:t xml:space="preserve"> educational and health</w:t>
      </w:r>
      <w:r>
        <w:rPr>
          <w:rFonts w:cs="Arial"/>
        </w:rPr>
        <w:t xml:space="preserve"> needs to increase their </w:t>
      </w:r>
      <w:r w:rsidR="003151C5">
        <w:rPr>
          <w:rFonts w:cs="Arial"/>
        </w:rPr>
        <w:t>employability</w:t>
      </w:r>
      <w:r>
        <w:rPr>
          <w:rFonts w:cs="Arial"/>
        </w:rPr>
        <w:t>.</w:t>
      </w:r>
    </w:p>
    <w:p w14:paraId="540AB645" w14:textId="4C6C8EA0" w:rsidR="00A84431" w:rsidRPr="002F0E3F" w:rsidRDefault="00A84431" w:rsidP="00BC6DDA">
      <w:pPr>
        <w:pStyle w:val="Heading4"/>
      </w:pPr>
      <w:r w:rsidRPr="002F0E3F">
        <w:t>Initial Strategies</w:t>
      </w:r>
      <w:r w:rsidR="006450FC">
        <w:t xml:space="preserve"> to Address Need</w:t>
      </w:r>
    </w:p>
    <w:p w14:paraId="39FF66BC" w14:textId="3030211D" w:rsidR="00A84431" w:rsidRPr="002F0E3F" w:rsidRDefault="00A84431" w:rsidP="007B711B">
      <w:pPr>
        <w:spacing w:after="240"/>
        <w:rPr>
          <w:rFonts w:cs="Arial"/>
        </w:rPr>
      </w:pPr>
      <w:r w:rsidRPr="002F0E3F">
        <w:rPr>
          <w:rFonts w:cs="Arial"/>
        </w:rPr>
        <w:t xml:space="preserve">After discussion, programmatic data, and reviewing evidence-based practices for OSY, the Subcommittee </w:t>
      </w:r>
      <w:r w:rsidR="00803D7D" w:rsidRPr="002F0E3F">
        <w:rPr>
          <w:rFonts w:cs="Arial"/>
        </w:rPr>
        <w:t>identified</w:t>
      </w:r>
      <w:r w:rsidRPr="002F0E3F">
        <w:rPr>
          <w:rFonts w:cs="Arial"/>
        </w:rPr>
        <w:t xml:space="preserve"> the following strategies to increase </w:t>
      </w:r>
      <w:r w:rsidR="00DA1365">
        <w:rPr>
          <w:rFonts w:cs="Arial"/>
        </w:rPr>
        <w:t>completion of OSY INA/ILPs:</w:t>
      </w:r>
    </w:p>
    <w:p w14:paraId="0B4AE913" w14:textId="77777777" w:rsidR="00B5781C" w:rsidRDefault="00B5781C" w:rsidP="009670FC">
      <w:pPr>
        <w:pStyle w:val="ListParagraph"/>
        <w:numPr>
          <w:ilvl w:val="0"/>
          <w:numId w:val="29"/>
        </w:numPr>
        <w:spacing w:after="240"/>
        <w:contextualSpacing w:val="0"/>
        <w:rPr>
          <w:rFonts w:cs="Arial"/>
        </w:rPr>
      </w:pPr>
      <w:r>
        <w:rPr>
          <w:rFonts w:cs="Arial"/>
        </w:rPr>
        <w:t>Provide training for all staff who conduct INAs/ILPs for OSY.</w:t>
      </w:r>
    </w:p>
    <w:p w14:paraId="0DCF5223" w14:textId="54303CC5" w:rsidR="00F12E5F" w:rsidRDefault="00B5781C" w:rsidP="009670FC">
      <w:pPr>
        <w:pStyle w:val="ListParagraph"/>
        <w:numPr>
          <w:ilvl w:val="0"/>
          <w:numId w:val="29"/>
        </w:numPr>
        <w:spacing w:after="240"/>
        <w:contextualSpacing w:val="0"/>
        <w:rPr>
          <w:rFonts w:cs="Arial"/>
        </w:rPr>
      </w:pPr>
      <w:r w:rsidRPr="00B5781C">
        <w:rPr>
          <w:rFonts w:cs="Arial"/>
        </w:rPr>
        <w:t>Conduct a home visit after an OSY has been identified.</w:t>
      </w:r>
    </w:p>
    <w:p w14:paraId="6609240D" w14:textId="259259E0" w:rsidR="00DA1365" w:rsidRPr="00DA1365" w:rsidRDefault="00DA1365" w:rsidP="00DA1365">
      <w:pPr>
        <w:spacing w:after="240"/>
        <w:rPr>
          <w:rFonts w:cs="Arial"/>
        </w:rPr>
      </w:pPr>
      <w:r>
        <w:rPr>
          <w:rFonts w:cs="Arial"/>
        </w:rPr>
        <w:lastRenderedPageBreak/>
        <w:t>As noted in the first concern, the CDE will support the needs of OSY by offering annual training on implementing the INA/ILP, best practices, and use of the INA Report that allows the MEP to identify a list of students by specific need included on the INA.</w:t>
      </w:r>
    </w:p>
    <w:p w14:paraId="658EC2B5" w14:textId="77777777" w:rsidR="00C34B84" w:rsidRPr="002F0E3F" w:rsidRDefault="00C34B84" w:rsidP="00767034">
      <w:pPr>
        <w:pStyle w:val="Heading3"/>
      </w:pPr>
      <w:bookmarkStart w:id="192" w:name="_Toc496195924"/>
      <w:bookmarkStart w:id="193" w:name="_Toc188361332"/>
      <w:r w:rsidRPr="002F0E3F">
        <w:t>Health</w:t>
      </w:r>
      <w:bookmarkEnd w:id="192"/>
      <w:bookmarkEnd w:id="193"/>
    </w:p>
    <w:p w14:paraId="30D08A39" w14:textId="07D89189" w:rsidR="009036E8" w:rsidRPr="002F0E3F" w:rsidRDefault="009036E8" w:rsidP="00767034">
      <w:pPr>
        <w:spacing w:after="240"/>
        <w:rPr>
          <w:rFonts w:cs="Arial"/>
        </w:rPr>
      </w:pPr>
      <w:r w:rsidRPr="002F0E3F">
        <w:rPr>
          <w:rFonts w:cs="Arial"/>
        </w:rPr>
        <w:t>Students w</w:t>
      </w:r>
      <w:r w:rsidR="00C058DF">
        <w:rPr>
          <w:rFonts w:cs="Arial"/>
        </w:rPr>
        <w:t>ith the ability to engage in</w:t>
      </w:r>
      <w:r w:rsidRPr="002F0E3F">
        <w:rPr>
          <w:rFonts w:cs="Arial"/>
        </w:rPr>
        <w:t xml:space="preserve"> healthy</w:t>
      </w:r>
      <w:r w:rsidR="00C058DF">
        <w:rPr>
          <w:rFonts w:cs="Arial"/>
        </w:rPr>
        <w:t xml:space="preserve"> behaviors (e.g., physical activity; eating regular, nutritious meals; </w:t>
      </w:r>
      <w:r w:rsidR="00F8556E">
        <w:rPr>
          <w:rFonts w:cs="Arial"/>
        </w:rPr>
        <w:t>brushing</w:t>
      </w:r>
      <w:r w:rsidR="00C058DF">
        <w:rPr>
          <w:rFonts w:cs="Arial"/>
        </w:rPr>
        <w:t xml:space="preserve"> their teeth</w:t>
      </w:r>
      <w:r w:rsidR="007D340C">
        <w:rPr>
          <w:rFonts w:cs="Arial"/>
        </w:rPr>
        <w:t>;</w:t>
      </w:r>
      <w:r w:rsidR="00C058DF">
        <w:rPr>
          <w:rFonts w:cs="Arial"/>
        </w:rPr>
        <w:t xml:space="preserve"> </w:t>
      </w:r>
      <w:r w:rsidR="00F8556E">
        <w:rPr>
          <w:rFonts w:cs="Arial"/>
        </w:rPr>
        <w:t>getting</w:t>
      </w:r>
      <w:r w:rsidR="00C058DF">
        <w:rPr>
          <w:rFonts w:cs="Arial"/>
        </w:rPr>
        <w:t xml:space="preserve"> enough sleep)</w:t>
      </w:r>
      <w:r w:rsidRPr="002F0E3F">
        <w:rPr>
          <w:rFonts w:cs="Arial"/>
        </w:rPr>
        <w:t xml:space="preserve"> are better </w:t>
      </w:r>
      <w:r w:rsidR="00C058DF">
        <w:rPr>
          <w:rFonts w:cs="Arial"/>
        </w:rPr>
        <w:t>equipped to perform better</w:t>
      </w:r>
      <w:r w:rsidRPr="002F0E3F">
        <w:rPr>
          <w:rFonts w:cs="Arial"/>
        </w:rPr>
        <w:t xml:space="preserve"> in school. In the report, </w:t>
      </w:r>
      <w:r w:rsidRPr="002F0E3F">
        <w:rPr>
          <w:rFonts w:cs="Arial"/>
          <w:i/>
        </w:rPr>
        <w:t>Health and Academic Achievement</w:t>
      </w:r>
      <w:r w:rsidRPr="002F0E3F">
        <w:rPr>
          <w:rFonts w:cs="Arial"/>
        </w:rPr>
        <w:t xml:space="preserve"> (2014), the Centers for Disease Control and Prevention (CDC) discusses the evidence linking dietary and physical activity behaviors with academic achievement. The consumption of healthy foods as well as ensuring that students do not skip meals (especially breakfast) is associated with increased academic performance. </w:t>
      </w:r>
      <w:r w:rsidR="00F9298F" w:rsidRPr="002F0E3F">
        <w:rPr>
          <w:rFonts w:cs="Arial"/>
        </w:rPr>
        <w:t>The CDC</w:t>
      </w:r>
      <w:r w:rsidR="001D2958" w:rsidRPr="002F0E3F">
        <w:rPr>
          <w:rFonts w:cs="Arial"/>
        </w:rPr>
        <w:t xml:space="preserve"> also notes that poor oral health can have a detrimental effect on children’s school performance, </w:t>
      </w:r>
      <w:r w:rsidR="001120F8" w:rsidRPr="002F0E3F">
        <w:rPr>
          <w:rFonts w:cs="Arial"/>
        </w:rPr>
        <w:t>attendance,</w:t>
      </w:r>
      <w:r w:rsidR="001D2958" w:rsidRPr="002F0E3F">
        <w:rPr>
          <w:rFonts w:cs="Arial"/>
        </w:rPr>
        <w:t xml:space="preserve"> and quality of life. Tooth decay, or cavities, is one of the most common chronic childhood conditions in the U.S. If left untreated, poor oral health can negatively affect students’ confidence, ability to participate and learn at school, </w:t>
      </w:r>
      <w:r w:rsidR="00C61695" w:rsidRPr="002F0E3F">
        <w:rPr>
          <w:rFonts w:cs="Arial"/>
        </w:rPr>
        <w:t>and overall health.</w:t>
      </w:r>
      <w:r w:rsidR="00C61695" w:rsidRPr="002F0E3F">
        <w:rPr>
          <w:rStyle w:val="FootnoteReference"/>
          <w:rFonts w:cs="Arial"/>
        </w:rPr>
        <w:footnoteReference w:id="22"/>
      </w:r>
      <w:r w:rsidR="00C61695" w:rsidRPr="002F0E3F">
        <w:rPr>
          <w:rFonts w:cs="Arial"/>
        </w:rPr>
        <w:t xml:space="preserve"> If unmanaged, other chronic condition</w:t>
      </w:r>
      <w:r w:rsidR="001120F8" w:rsidRPr="002F0E3F">
        <w:rPr>
          <w:rFonts w:cs="Arial"/>
        </w:rPr>
        <w:t>s</w:t>
      </w:r>
      <w:r w:rsidR="00C61695" w:rsidRPr="002F0E3F">
        <w:rPr>
          <w:rFonts w:cs="Arial"/>
        </w:rPr>
        <w:t xml:space="preserve"> such as diabetes, as</w:t>
      </w:r>
      <w:r w:rsidR="00001785" w:rsidRPr="002F0E3F">
        <w:rPr>
          <w:rFonts w:cs="Arial"/>
        </w:rPr>
        <w:t>thma</w:t>
      </w:r>
      <w:r w:rsidR="001120F8" w:rsidRPr="002F0E3F">
        <w:rPr>
          <w:rFonts w:cs="Arial"/>
        </w:rPr>
        <w:t>,</w:t>
      </w:r>
      <w:r w:rsidR="00001785" w:rsidRPr="002F0E3F">
        <w:rPr>
          <w:rFonts w:cs="Arial"/>
        </w:rPr>
        <w:t xml:space="preserve"> and food allergies can</w:t>
      </w:r>
      <w:r w:rsidR="00C61695" w:rsidRPr="002F0E3F">
        <w:rPr>
          <w:rFonts w:cs="Arial"/>
        </w:rPr>
        <w:t xml:space="preserve"> have a huge </w:t>
      </w:r>
      <w:r w:rsidR="000D3B62">
        <w:rPr>
          <w:rFonts w:cs="Arial"/>
        </w:rPr>
        <w:t>effect</w:t>
      </w:r>
      <w:r w:rsidR="000D3B62" w:rsidRPr="002F0E3F">
        <w:rPr>
          <w:rFonts w:cs="Arial"/>
        </w:rPr>
        <w:t xml:space="preserve"> </w:t>
      </w:r>
      <w:r w:rsidR="00C61695" w:rsidRPr="002F0E3F">
        <w:rPr>
          <w:rFonts w:cs="Arial"/>
        </w:rPr>
        <w:t xml:space="preserve">on student overall well-being and academic achievement. Students with </w:t>
      </w:r>
      <w:r w:rsidR="00C058DF">
        <w:rPr>
          <w:rFonts w:cs="Arial"/>
        </w:rPr>
        <w:t>optimal</w:t>
      </w:r>
      <w:r w:rsidR="00C61695" w:rsidRPr="002F0E3F">
        <w:rPr>
          <w:rFonts w:cs="Arial"/>
        </w:rPr>
        <w:t xml:space="preserve"> health behaviors</w:t>
      </w:r>
      <w:r w:rsidR="00C058DF">
        <w:rPr>
          <w:rFonts w:cs="Arial"/>
        </w:rPr>
        <w:t xml:space="preserve"> </w:t>
      </w:r>
      <w:proofErr w:type="gramStart"/>
      <w:r w:rsidR="00C058DF">
        <w:rPr>
          <w:rFonts w:cs="Arial"/>
        </w:rPr>
        <w:t>are able to</w:t>
      </w:r>
      <w:proofErr w:type="gramEnd"/>
      <w:r w:rsidR="00C61695" w:rsidRPr="002F0E3F">
        <w:rPr>
          <w:rFonts w:cs="Arial"/>
        </w:rPr>
        <w:t xml:space="preserve"> </w:t>
      </w:r>
      <w:r w:rsidR="004009F4" w:rsidRPr="002F0E3F">
        <w:rPr>
          <w:rFonts w:cs="Arial"/>
        </w:rPr>
        <w:t>arrive at</w:t>
      </w:r>
      <w:r w:rsidR="00C61695" w:rsidRPr="002F0E3F">
        <w:rPr>
          <w:rFonts w:cs="Arial"/>
        </w:rPr>
        <w:t xml:space="preserve"> school ready to </w:t>
      </w:r>
      <w:r w:rsidR="00F12E5F" w:rsidRPr="002F0E3F">
        <w:rPr>
          <w:rFonts w:cs="Arial"/>
        </w:rPr>
        <w:t>engage</w:t>
      </w:r>
      <w:r w:rsidR="009477B6" w:rsidRPr="002F0E3F">
        <w:rPr>
          <w:rFonts w:cs="Arial"/>
        </w:rPr>
        <w:t xml:space="preserve"> in learning</w:t>
      </w:r>
      <w:r w:rsidR="00C61695" w:rsidRPr="002F0E3F">
        <w:rPr>
          <w:rFonts w:cs="Arial"/>
        </w:rPr>
        <w:t>.</w:t>
      </w:r>
    </w:p>
    <w:p w14:paraId="4B5378D5" w14:textId="67E281B1" w:rsidR="00DB1024" w:rsidRPr="002F0E3F" w:rsidRDefault="00DB1024" w:rsidP="00767034">
      <w:pPr>
        <w:pStyle w:val="Heading4"/>
      </w:pPr>
      <w:r w:rsidRPr="002F0E3F">
        <w:t xml:space="preserve">Key Data Points from </w:t>
      </w:r>
      <w:r w:rsidR="006450FC">
        <w:t>Committee</w:t>
      </w:r>
      <w:r w:rsidRPr="002F0E3F">
        <w:t xml:space="preserve"> Discussions</w:t>
      </w:r>
    </w:p>
    <w:p w14:paraId="5C4F7232" w14:textId="6AD2E1C9" w:rsidR="00230D82" w:rsidRPr="00EA754F" w:rsidRDefault="00230D82" w:rsidP="00767034">
      <w:pPr>
        <w:pStyle w:val="Paragraph"/>
        <w:spacing w:line="240" w:lineRule="auto"/>
        <w:rPr>
          <w:noProof w:val="0"/>
          <w:color w:val="auto"/>
        </w:rPr>
      </w:pPr>
      <w:r w:rsidRPr="00EA754F">
        <w:rPr>
          <w:rFonts w:cs="Arial"/>
          <w:color w:val="auto"/>
        </w:rPr>
        <w:t xml:space="preserve">The </w:t>
      </w:r>
      <w:r w:rsidR="008376CA">
        <w:rPr>
          <w:rFonts w:cs="Arial"/>
          <w:color w:val="auto"/>
        </w:rPr>
        <w:t>Health subcommittee</w:t>
      </w:r>
      <w:r w:rsidRPr="00EA754F">
        <w:rPr>
          <w:rFonts w:cs="Arial"/>
          <w:color w:val="auto"/>
        </w:rPr>
        <w:t xml:space="preserve"> reviewed the </w:t>
      </w:r>
      <w:r w:rsidR="002D25C8">
        <w:rPr>
          <w:rFonts w:cs="Arial"/>
          <w:color w:val="auto"/>
        </w:rPr>
        <w:t xml:space="preserve">2024 </w:t>
      </w:r>
      <w:r w:rsidRPr="00EA754F">
        <w:rPr>
          <w:rFonts w:cs="Arial"/>
          <w:color w:val="auto"/>
        </w:rPr>
        <w:t>Migrat</w:t>
      </w:r>
      <w:r w:rsidR="002D25C8">
        <w:rPr>
          <w:rFonts w:cs="Arial"/>
          <w:color w:val="auto"/>
        </w:rPr>
        <w:t>ory</w:t>
      </w:r>
      <w:r w:rsidRPr="00EA754F">
        <w:rPr>
          <w:rFonts w:cs="Arial"/>
          <w:color w:val="auto"/>
        </w:rPr>
        <w:t xml:space="preserve"> Student Profile </w:t>
      </w:r>
      <w:r w:rsidR="00BC6DDA" w:rsidRPr="00EA754F">
        <w:rPr>
          <w:rFonts w:cs="Arial"/>
          <w:color w:val="auto"/>
        </w:rPr>
        <w:t xml:space="preserve">health </w:t>
      </w:r>
      <w:r w:rsidR="001120F8" w:rsidRPr="00EA754F">
        <w:rPr>
          <w:rFonts w:cs="Arial"/>
          <w:color w:val="auto"/>
        </w:rPr>
        <w:t>data</w:t>
      </w:r>
      <w:r w:rsidR="002D25C8">
        <w:rPr>
          <w:rFonts w:cs="Arial"/>
          <w:color w:val="auto"/>
        </w:rPr>
        <w:t xml:space="preserve">, </w:t>
      </w:r>
      <w:hyperlink r:id="rId45" w:history="1">
        <w:r w:rsidR="00E302C4">
          <w:rPr>
            <w:rStyle w:val="Hyperlink"/>
            <w:rFonts w:cs="Arial"/>
          </w:rPr>
          <w:t>California Healthy Kids Survey</w:t>
        </w:r>
      </w:hyperlink>
      <w:r w:rsidR="00E302C4">
        <w:t xml:space="preserve"> </w:t>
      </w:r>
      <w:r w:rsidR="002D25C8">
        <w:rPr>
          <w:rFonts w:cs="Arial"/>
          <w:color w:val="auto"/>
        </w:rPr>
        <w:t xml:space="preserve">data, and unaddressed health needs which compared the total need for each health category against the number of those migratory children and youth with a health need who received a service. </w:t>
      </w:r>
      <w:r w:rsidR="002C5799">
        <w:rPr>
          <w:rFonts w:cs="Arial"/>
          <w:color w:val="auto"/>
        </w:rPr>
        <w:t>California’s</w:t>
      </w:r>
      <w:r w:rsidR="002D25C8">
        <w:rPr>
          <w:rFonts w:cs="Arial"/>
          <w:color w:val="auto"/>
        </w:rPr>
        <w:t xml:space="preserve"> Migratory Student Profile health need data</w:t>
      </w:r>
      <w:r w:rsidRPr="00EA754F">
        <w:rPr>
          <w:rFonts w:cs="Arial"/>
          <w:color w:val="auto"/>
        </w:rPr>
        <w:t xml:space="preserve"> identified the</w:t>
      </w:r>
      <w:r w:rsidR="00A901C8">
        <w:rPr>
          <w:rFonts w:cs="Arial"/>
          <w:color w:val="auto"/>
        </w:rPr>
        <w:t xml:space="preserve"> health need in vision, dental, medical , and/or mental health</w:t>
      </w:r>
      <w:r w:rsidR="00E12C70" w:rsidRPr="00EA754F">
        <w:rPr>
          <w:rFonts w:cs="Arial"/>
          <w:color w:val="auto"/>
        </w:rPr>
        <w:t xml:space="preserve"> </w:t>
      </w:r>
      <w:r w:rsidR="00A901C8">
        <w:rPr>
          <w:rFonts w:cs="Arial"/>
          <w:color w:val="auto"/>
        </w:rPr>
        <w:t>service on the INA.</w:t>
      </w:r>
      <w:r w:rsidR="00BC6DDA" w:rsidRPr="00EA754F">
        <w:rPr>
          <w:rFonts w:cs="Arial"/>
          <w:color w:val="auto"/>
        </w:rPr>
        <w:t xml:space="preserve"> </w:t>
      </w:r>
      <w:r w:rsidR="00194648">
        <w:rPr>
          <w:noProof w:val="0"/>
          <w:color w:val="auto"/>
        </w:rPr>
        <w:t>Figure 21</w:t>
      </w:r>
      <w:r w:rsidR="00BC6DDA" w:rsidRPr="00EA754F">
        <w:rPr>
          <w:noProof w:val="0"/>
          <w:color w:val="auto"/>
        </w:rPr>
        <w:t xml:space="preserve"> </w:t>
      </w:r>
      <w:r w:rsidR="002C5799">
        <w:rPr>
          <w:noProof w:val="0"/>
          <w:color w:val="auto"/>
        </w:rPr>
        <w:t>(p. 4</w:t>
      </w:r>
      <w:r w:rsidR="00194648">
        <w:rPr>
          <w:noProof w:val="0"/>
          <w:color w:val="auto"/>
        </w:rPr>
        <w:t>9</w:t>
      </w:r>
      <w:r w:rsidR="002C5799">
        <w:rPr>
          <w:noProof w:val="0"/>
          <w:color w:val="auto"/>
        </w:rPr>
        <w:t xml:space="preserve">) </w:t>
      </w:r>
      <w:r w:rsidR="00BC6DDA" w:rsidRPr="00EA754F">
        <w:rPr>
          <w:noProof w:val="0"/>
          <w:color w:val="auto"/>
        </w:rPr>
        <w:t>which shows the prevalence of health needs among migratory children with an indicated health need on their INA/ILPs from 2020–21 to 2022–23:</w:t>
      </w:r>
    </w:p>
    <w:p w14:paraId="7C7D4EA6" w14:textId="5CCC4040" w:rsidR="002D25C8" w:rsidRDefault="002D25C8" w:rsidP="009670FC">
      <w:pPr>
        <w:pStyle w:val="ListParagraph"/>
        <w:numPr>
          <w:ilvl w:val="0"/>
          <w:numId w:val="46"/>
        </w:numPr>
        <w:spacing w:after="240"/>
        <w:contextualSpacing w:val="0"/>
        <w:rPr>
          <w:rFonts w:cs="Arial"/>
        </w:rPr>
      </w:pPr>
      <w:r>
        <w:rPr>
          <w:rFonts w:cs="Arial"/>
        </w:rPr>
        <w:t>The needs for all health services except for vision decreased slightly from</w:t>
      </w:r>
      <w:r w:rsidR="001D0688">
        <w:rPr>
          <w:rFonts w:cs="Arial"/>
        </w:rPr>
        <w:t xml:space="preserve">  </w:t>
      </w:r>
      <w:r>
        <w:rPr>
          <w:rFonts w:cs="Arial"/>
        </w:rPr>
        <w:t xml:space="preserve"> 2020–21 to 2022–23. </w:t>
      </w:r>
    </w:p>
    <w:p w14:paraId="4566ED83" w14:textId="2F7D92A9" w:rsidR="002D25C8" w:rsidRDefault="002D25C8" w:rsidP="009670FC">
      <w:pPr>
        <w:pStyle w:val="ListParagraph"/>
        <w:numPr>
          <w:ilvl w:val="1"/>
          <w:numId w:val="46"/>
        </w:numPr>
        <w:spacing w:after="240"/>
        <w:contextualSpacing w:val="0"/>
        <w:rPr>
          <w:rFonts w:cs="Arial"/>
        </w:rPr>
      </w:pPr>
      <w:r>
        <w:rPr>
          <w:rFonts w:cs="Arial"/>
        </w:rPr>
        <w:t>The need for vision services as identified on the INA increased marginally from 3.7</w:t>
      </w:r>
      <w:r>
        <w:t> percent in 2020–21 to 4.1 </w:t>
      </w:r>
      <w:r>
        <w:rPr>
          <w:rFonts w:cs="Arial"/>
        </w:rPr>
        <w:t>percent in 2022–23.</w:t>
      </w:r>
    </w:p>
    <w:p w14:paraId="0C14D437" w14:textId="4FF8A0F2" w:rsidR="002D25C8" w:rsidRPr="002D25C8" w:rsidRDefault="002D25C8" w:rsidP="00767034">
      <w:pPr>
        <w:spacing w:after="240"/>
        <w:rPr>
          <w:rFonts w:cs="Arial"/>
        </w:rPr>
      </w:pPr>
      <w:r>
        <w:rPr>
          <w:rFonts w:cs="Arial"/>
        </w:rPr>
        <w:t>California’s Migratory Student Profile</w:t>
      </w:r>
      <w:r w:rsidR="002C5799">
        <w:rPr>
          <w:rFonts w:cs="Arial"/>
        </w:rPr>
        <w:t xml:space="preserve"> identified t</w:t>
      </w:r>
      <w:r>
        <w:rPr>
          <w:rFonts w:cs="Arial"/>
        </w:rPr>
        <w:t xml:space="preserve">he unaddressed health needs </w:t>
      </w:r>
      <w:r w:rsidR="002C5799">
        <w:rPr>
          <w:rFonts w:cs="Arial"/>
        </w:rPr>
        <w:t xml:space="preserve">of migratory children and youths. While extremely helpful, the profile slightly undercounts the number of services provided as only certain services (i.e., those where services are </w:t>
      </w:r>
      <w:r w:rsidR="002C5799">
        <w:rPr>
          <w:rFonts w:cs="Arial"/>
        </w:rPr>
        <w:lastRenderedPageBreak/>
        <w:t xml:space="preserve">reported using a state code instead of a local code) were counted </w:t>
      </w:r>
      <w:r w:rsidR="000D3B62">
        <w:rPr>
          <w:rFonts w:cs="Arial"/>
        </w:rPr>
        <w:t>because of</w:t>
      </w:r>
      <w:r w:rsidR="002C5799">
        <w:rPr>
          <w:rFonts w:cs="Arial"/>
        </w:rPr>
        <w:t xml:space="preserve"> data limitations; however, opportunity gaps persisted as noted below: </w:t>
      </w:r>
    </w:p>
    <w:p w14:paraId="7233B6AB" w14:textId="0A676B67" w:rsidR="00EA754F" w:rsidRDefault="00EA754F" w:rsidP="009670FC">
      <w:pPr>
        <w:pStyle w:val="ListParagraph"/>
        <w:numPr>
          <w:ilvl w:val="0"/>
          <w:numId w:val="46"/>
        </w:numPr>
        <w:spacing w:after="240"/>
        <w:contextualSpacing w:val="0"/>
        <w:rPr>
          <w:rFonts w:cs="Arial"/>
        </w:rPr>
      </w:pPr>
      <w:r>
        <w:rPr>
          <w:rFonts w:cs="Arial"/>
        </w:rPr>
        <w:t>In 2020–21, 435 migratory students and youth</w:t>
      </w:r>
      <w:r w:rsidR="000D3B62">
        <w:rPr>
          <w:rFonts w:cs="Arial"/>
        </w:rPr>
        <w:t>s</w:t>
      </w:r>
      <w:r>
        <w:rPr>
          <w:rFonts w:cs="Arial"/>
        </w:rPr>
        <w:t xml:space="preserve"> indicated a mental health need and only 68 students and youth</w:t>
      </w:r>
      <w:r w:rsidR="000D3B62">
        <w:rPr>
          <w:rFonts w:cs="Arial"/>
        </w:rPr>
        <w:t>s</w:t>
      </w:r>
      <w:r>
        <w:rPr>
          <w:rFonts w:cs="Arial"/>
        </w:rPr>
        <w:t xml:space="preserve"> received services or mental health referrals. </w:t>
      </w:r>
    </w:p>
    <w:p w14:paraId="44F3A1B3" w14:textId="3DE8DDA2" w:rsidR="00EA754F" w:rsidRDefault="00EA754F" w:rsidP="009670FC">
      <w:pPr>
        <w:pStyle w:val="ListParagraph"/>
        <w:numPr>
          <w:ilvl w:val="1"/>
          <w:numId w:val="46"/>
        </w:numPr>
        <w:spacing w:after="240"/>
        <w:contextualSpacing w:val="0"/>
        <w:rPr>
          <w:rFonts w:cs="Arial"/>
        </w:rPr>
      </w:pPr>
      <w:r>
        <w:rPr>
          <w:rFonts w:cs="Arial"/>
        </w:rPr>
        <w:t>Parents noted a large discrepancy during the 2020–21 school year</w:t>
      </w:r>
      <w:r w:rsidR="000D3B62">
        <w:rPr>
          <w:rFonts w:cs="Arial"/>
        </w:rPr>
        <w:t>:</w:t>
      </w:r>
      <w:r>
        <w:rPr>
          <w:rFonts w:cs="Arial"/>
        </w:rPr>
        <w:t xml:space="preserve"> </w:t>
      </w:r>
      <w:r w:rsidR="002A6171">
        <w:rPr>
          <w:rFonts w:cs="Arial"/>
        </w:rPr>
        <w:t>t</w:t>
      </w:r>
      <w:r>
        <w:rPr>
          <w:rFonts w:cs="Arial"/>
        </w:rPr>
        <w:t>he CDE began collecting data on mental health needs</w:t>
      </w:r>
      <w:r w:rsidR="000D3B62">
        <w:rPr>
          <w:rFonts w:cs="Arial"/>
        </w:rPr>
        <w:t xml:space="preserve"> in 20</w:t>
      </w:r>
      <w:r w:rsidR="002A6171">
        <w:rPr>
          <w:rFonts w:cs="Arial"/>
        </w:rPr>
        <w:t>20 – 21</w:t>
      </w:r>
      <w:r>
        <w:rPr>
          <w:rFonts w:cs="Arial"/>
        </w:rPr>
        <w:t xml:space="preserve">, so there </w:t>
      </w:r>
      <w:r w:rsidR="000D3B62">
        <w:rPr>
          <w:rFonts w:cs="Arial"/>
        </w:rPr>
        <w:t xml:space="preserve">was </w:t>
      </w:r>
      <w:r>
        <w:rPr>
          <w:rFonts w:cs="Arial"/>
        </w:rPr>
        <w:t xml:space="preserve">a large gap between the need and </w:t>
      </w:r>
      <w:r w:rsidR="000D3B62">
        <w:rPr>
          <w:rFonts w:cs="Arial"/>
        </w:rPr>
        <w:t xml:space="preserve">the </w:t>
      </w:r>
      <w:r>
        <w:rPr>
          <w:rFonts w:cs="Arial"/>
        </w:rPr>
        <w:t xml:space="preserve">students whose needs were met. </w:t>
      </w:r>
    </w:p>
    <w:p w14:paraId="518F394D" w14:textId="738C99D4" w:rsidR="00EA754F" w:rsidRDefault="00EA754F" w:rsidP="009670FC">
      <w:pPr>
        <w:pStyle w:val="ListParagraph"/>
        <w:numPr>
          <w:ilvl w:val="0"/>
          <w:numId w:val="46"/>
        </w:numPr>
        <w:spacing w:after="240"/>
        <w:contextualSpacing w:val="0"/>
        <w:rPr>
          <w:rFonts w:cs="Arial"/>
        </w:rPr>
      </w:pPr>
      <w:r>
        <w:rPr>
          <w:rFonts w:cs="Arial"/>
        </w:rPr>
        <w:t>In 2022–23, of the 507 children and youth</w:t>
      </w:r>
      <w:r w:rsidR="000D3B62">
        <w:rPr>
          <w:rFonts w:cs="Arial"/>
        </w:rPr>
        <w:t>s</w:t>
      </w:r>
      <w:r>
        <w:rPr>
          <w:rFonts w:cs="Arial"/>
        </w:rPr>
        <w:t xml:space="preserve"> who identified a mental health need, 408 migratory children and youth received mental health services. </w:t>
      </w:r>
    </w:p>
    <w:p w14:paraId="7E9620AD" w14:textId="431E5A7B" w:rsidR="00EA754F" w:rsidRDefault="00EA754F" w:rsidP="009670FC">
      <w:pPr>
        <w:pStyle w:val="ListParagraph"/>
        <w:numPr>
          <w:ilvl w:val="1"/>
          <w:numId w:val="46"/>
        </w:numPr>
        <w:spacing w:after="240"/>
        <w:contextualSpacing w:val="0"/>
        <w:rPr>
          <w:rFonts w:cs="Arial"/>
        </w:rPr>
      </w:pPr>
      <w:r>
        <w:rPr>
          <w:rFonts w:cs="Arial"/>
        </w:rPr>
        <w:t xml:space="preserve">During this </w:t>
      </w:r>
      <w:proofErr w:type="gramStart"/>
      <w:r>
        <w:rPr>
          <w:rFonts w:cs="Arial"/>
        </w:rPr>
        <w:t>time</w:t>
      </w:r>
      <w:proofErr w:type="gramEnd"/>
      <w:r>
        <w:rPr>
          <w:rFonts w:cs="Arial"/>
        </w:rPr>
        <w:t xml:space="preserve"> where data was being collected</w:t>
      </w:r>
      <w:r w:rsidR="00A901C8">
        <w:rPr>
          <w:rFonts w:cs="Arial"/>
        </w:rPr>
        <w:t>,</w:t>
      </w:r>
      <w:r>
        <w:rPr>
          <w:rFonts w:cs="Arial"/>
        </w:rPr>
        <w:t xml:space="preserve"> and monitored, parents noticed that many more children and youth had </w:t>
      </w:r>
      <w:proofErr w:type="gramStart"/>
      <w:r>
        <w:rPr>
          <w:rFonts w:cs="Arial"/>
        </w:rPr>
        <w:t>their mental health needs met</w:t>
      </w:r>
      <w:proofErr w:type="gramEnd"/>
      <w:r>
        <w:rPr>
          <w:rFonts w:cs="Arial"/>
        </w:rPr>
        <w:t>.</w:t>
      </w:r>
    </w:p>
    <w:p w14:paraId="607087A7" w14:textId="77777777" w:rsidR="00EA754F" w:rsidRDefault="00EA754F" w:rsidP="009670FC">
      <w:pPr>
        <w:pStyle w:val="ListParagraph"/>
        <w:numPr>
          <w:ilvl w:val="0"/>
          <w:numId w:val="46"/>
        </w:numPr>
        <w:spacing w:after="240"/>
        <w:contextualSpacing w:val="0"/>
        <w:rPr>
          <w:rFonts w:cs="Arial"/>
        </w:rPr>
      </w:pPr>
      <w:r>
        <w:rPr>
          <w:rFonts w:cs="Arial"/>
        </w:rPr>
        <w:t>During discussions, parents communicated that mental health remained to be a need that could be supported by the MEP.</w:t>
      </w:r>
    </w:p>
    <w:p w14:paraId="690EECA8" w14:textId="77777777" w:rsidR="00EA754F" w:rsidRDefault="00EA754F" w:rsidP="009670FC">
      <w:pPr>
        <w:pStyle w:val="ListParagraph"/>
        <w:numPr>
          <w:ilvl w:val="0"/>
          <w:numId w:val="46"/>
        </w:numPr>
        <w:spacing w:after="240"/>
        <w:contextualSpacing w:val="0"/>
        <w:rPr>
          <w:rFonts w:cs="Arial"/>
        </w:rPr>
      </w:pPr>
      <w:r>
        <w:rPr>
          <w:rFonts w:cs="Arial"/>
        </w:rPr>
        <w:t>Parents discussed the need for healthier food at school during the day and during after school programs. They wonder about the root problem that causes the need for health services.</w:t>
      </w:r>
    </w:p>
    <w:p w14:paraId="7C99DF57" w14:textId="77777777" w:rsidR="00EA754F" w:rsidRDefault="00EA754F" w:rsidP="009670FC">
      <w:pPr>
        <w:pStyle w:val="ListParagraph"/>
        <w:numPr>
          <w:ilvl w:val="0"/>
          <w:numId w:val="46"/>
        </w:numPr>
        <w:spacing w:after="240"/>
        <w:contextualSpacing w:val="0"/>
        <w:rPr>
          <w:rFonts w:cs="Arial"/>
        </w:rPr>
      </w:pPr>
      <w:r>
        <w:rPr>
          <w:rFonts w:cs="Arial"/>
        </w:rPr>
        <w:t>Nutritional information and offerings from community-based organizations should be disseminated to families and students.</w:t>
      </w:r>
    </w:p>
    <w:p w14:paraId="6A08A781" w14:textId="3DBA62CE" w:rsidR="00EA754F" w:rsidRPr="00EA754F" w:rsidRDefault="00EA754F" w:rsidP="009670FC">
      <w:pPr>
        <w:pStyle w:val="ListParagraph"/>
        <w:numPr>
          <w:ilvl w:val="0"/>
          <w:numId w:val="46"/>
        </w:numPr>
        <w:spacing w:after="240"/>
        <w:contextualSpacing w:val="0"/>
        <w:rPr>
          <w:rFonts w:cs="Arial"/>
        </w:rPr>
      </w:pPr>
      <w:r>
        <w:rPr>
          <w:rFonts w:cs="Arial"/>
        </w:rPr>
        <w:t>Parents are concerned that poorer quality food is negatively impacting children’s physical and mental health.</w:t>
      </w:r>
    </w:p>
    <w:p w14:paraId="1DFD14D7" w14:textId="4CFFE726" w:rsidR="002D6B19" w:rsidRPr="00EA754F" w:rsidRDefault="00AC1BFE" w:rsidP="00767034">
      <w:pPr>
        <w:spacing w:after="240"/>
        <w:rPr>
          <w:rFonts w:cs="Arial"/>
        </w:rPr>
      </w:pPr>
      <w:r w:rsidRPr="00EA754F">
        <w:rPr>
          <w:rFonts w:cs="Arial"/>
        </w:rPr>
        <w:t>The section below</w:t>
      </w:r>
      <w:r w:rsidR="00B92E25" w:rsidRPr="00EA754F">
        <w:rPr>
          <w:rFonts w:cs="Arial"/>
        </w:rPr>
        <w:t xml:space="preserve"> identifies</w:t>
      </w:r>
      <w:r w:rsidR="00CA5BA0" w:rsidRPr="00EA754F">
        <w:rPr>
          <w:rFonts w:cs="Arial"/>
        </w:rPr>
        <w:t xml:space="preserve"> key decision points for the top health concern identified by the </w:t>
      </w:r>
      <w:proofErr w:type="gramStart"/>
      <w:r w:rsidR="008376CA">
        <w:rPr>
          <w:rFonts w:cs="Arial"/>
        </w:rPr>
        <w:t>Health</w:t>
      </w:r>
      <w:proofErr w:type="gramEnd"/>
      <w:r w:rsidR="008376CA">
        <w:rPr>
          <w:rFonts w:cs="Arial"/>
        </w:rPr>
        <w:t xml:space="preserve"> subcommittee</w:t>
      </w:r>
      <w:r w:rsidR="00CA5BA0" w:rsidRPr="00EA754F">
        <w:rPr>
          <w:rFonts w:cs="Arial"/>
        </w:rPr>
        <w:t>.</w:t>
      </w:r>
      <w:r w:rsidR="00A04519">
        <w:rPr>
          <w:rFonts w:cs="Arial"/>
        </w:rPr>
        <w:t xml:space="preserve"> </w:t>
      </w:r>
      <w:r w:rsidR="00225314">
        <w:rPr>
          <w:rFonts w:cs="Arial"/>
        </w:rPr>
        <w:t xml:space="preserve">Children’s mental </w:t>
      </w:r>
      <w:r w:rsidR="00A04519">
        <w:rPr>
          <w:rFonts w:cs="Arial"/>
        </w:rPr>
        <w:t>health and nutrition were identified as the parents’ top priority concerns</w:t>
      </w:r>
      <w:r w:rsidR="00D31DDF" w:rsidRPr="00EA754F">
        <w:rPr>
          <w:rFonts w:cs="Arial"/>
        </w:rPr>
        <w:t>.</w:t>
      </w:r>
    </w:p>
    <w:p w14:paraId="11153EF2" w14:textId="0FE2F261" w:rsidR="00A943F8" w:rsidRPr="002F0E3F" w:rsidRDefault="00A943F8" w:rsidP="00767034">
      <w:pPr>
        <w:pStyle w:val="Heading4"/>
      </w:pPr>
      <w:r w:rsidRPr="002F0E3F">
        <w:t xml:space="preserve">Health: Concern Statement #1 </w:t>
      </w:r>
    </w:p>
    <w:p w14:paraId="771C7E49" w14:textId="0DD03CE6" w:rsidR="00A943F8" w:rsidRPr="002F0E3F" w:rsidRDefault="00225314" w:rsidP="00767034">
      <w:pPr>
        <w:spacing w:after="240"/>
        <w:rPr>
          <w:rFonts w:cs="Arial"/>
        </w:rPr>
      </w:pPr>
      <w:r>
        <w:rPr>
          <w:rFonts w:cs="Arial"/>
        </w:rPr>
        <w:t>H</w:t>
      </w:r>
      <w:r w:rsidR="001356E3">
        <w:rPr>
          <w:rFonts w:cs="Arial"/>
        </w:rPr>
        <w:t xml:space="preserve">ealth data </w:t>
      </w:r>
      <w:r>
        <w:rPr>
          <w:rFonts w:cs="Arial"/>
        </w:rPr>
        <w:t xml:space="preserve">from MSIN </w:t>
      </w:r>
      <w:r w:rsidR="001356E3">
        <w:rPr>
          <w:rFonts w:cs="Arial"/>
        </w:rPr>
        <w:t>only contains</w:t>
      </w:r>
      <w:r w:rsidR="00A943F8" w:rsidRPr="002F0E3F">
        <w:rPr>
          <w:rFonts w:cs="Arial"/>
        </w:rPr>
        <w:t xml:space="preserve"> </w:t>
      </w:r>
      <w:r w:rsidR="001356E3">
        <w:rPr>
          <w:rFonts w:cs="Arial"/>
        </w:rPr>
        <w:t>student participation</w:t>
      </w:r>
      <w:r w:rsidR="00A943F8" w:rsidRPr="002F0E3F">
        <w:rPr>
          <w:rFonts w:cs="Arial"/>
        </w:rPr>
        <w:t xml:space="preserve"> data and does not identify </w:t>
      </w:r>
      <w:r w:rsidR="001356E3">
        <w:rPr>
          <w:rFonts w:cs="Arial"/>
        </w:rPr>
        <w:t>health outcome data</w:t>
      </w:r>
      <w:r w:rsidR="00A943F8" w:rsidRPr="002F0E3F">
        <w:rPr>
          <w:rFonts w:cs="Arial"/>
        </w:rPr>
        <w:t xml:space="preserve">; </w:t>
      </w:r>
      <w:r w:rsidR="00F22EC2" w:rsidRPr="002F0E3F">
        <w:rPr>
          <w:rFonts w:cs="Arial"/>
        </w:rPr>
        <w:t>therefore,</w:t>
      </w:r>
      <w:r w:rsidR="00A943F8" w:rsidRPr="002F0E3F">
        <w:rPr>
          <w:rFonts w:cs="Arial"/>
        </w:rPr>
        <w:t xml:space="preserve"> </w:t>
      </w:r>
      <w:r w:rsidR="001356E3">
        <w:rPr>
          <w:rFonts w:cs="Arial"/>
        </w:rPr>
        <w:t xml:space="preserve">listening to </w:t>
      </w:r>
      <w:r w:rsidR="00A943F8" w:rsidRPr="002F0E3F">
        <w:rPr>
          <w:rFonts w:cs="Arial"/>
        </w:rPr>
        <w:t>migratory parents</w:t>
      </w:r>
      <w:r w:rsidR="001356E3">
        <w:rPr>
          <w:rFonts w:cs="Arial"/>
        </w:rPr>
        <w:t>’ concerns</w:t>
      </w:r>
      <w:r w:rsidR="00A943F8" w:rsidRPr="002F0E3F">
        <w:rPr>
          <w:rFonts w:cs="Arial"/>
        </w:rPr>
        <w:t xml:space="preserve"> </w:t>
      </w:r>
      <w:r w:rsidR="00F8556E" w:rsidRPr="002F0E3F">
        <w:rPr>
          <w:rFonts w:cs="Arial"/>
        </w:rPr>
        <w:t>was</w:t>
      </w:r>
      <w:r w:rsidR="00A943F8" w:rsidRPr="002F0E3F">
        <w:rPr>
          <w:rFonts w:cs="Arial"/>
        </w:rPr>
        <w:t xml:space="preserve"> an important aspect for this focus area. </w:t>
      </w:r>
      <w:r w:rsidR="00F22EC2">
        <w:rPr>
          <w:rFonts w:cs="Arial"/>
        </w:rPr>
        <w:t xml:space="preserve">After </w:t>
      </w:r>
      <w:proofErr w:type="gramStart"/>
      <w:r w:rsidR="00F22EC2">
        <w:rPr>
          <w:rFonts w:cs="Arial"/>
        </w:rPr>
        <w:t>review of</w:t>
      </w:r>
      <w:proofErr w:type="gramEnd"/>
      <w:r w:rsidR="00F22EC2">
        <w:rPr>
          <w:rFonts w:cs="Arial"/>
        </w:rPr>
        <w:t xml:space="preserve"> the </w:t>
      </w:r>
      <w:r w:rsidR="001356E3">
        <w:rPr>
          <w:rFonts w:cs="Arial"/>
        </w:rPr>
        <w:t xml:space="preserve">programmatic </w:t>
      </w:r>
      <w:r w:rsidR="00F22EC2">
        <w:rPr>
          <w:rFonts w:cs="Arial"/>
        </w:rPr>
        <w:t xml:space="preserve">data </w:t>
      </w:r>
      <w:r w:rsidR="001356E3">
        <w:rPr>
          <w:rFonts w:cs="Arial"/>
        </w:rPr>
        <w:t>documenting unmet needs</w:t>
      </w:r>
      <w:r w:rsidR="00BC594B">
        <w:rPr>
          <w:rFonts w:cs="Arial"/>
        </w:rPr>
        <w:t>, participants</w:t>
      </w:r>
      <w:r w:rsidR="00F22EC2">
        <w:rPr>
          <w:rFonts w:cs="Arial"/>
        </w:rPr>
        <w:t xml:space="preserve"> engaged </w:t>
      </w:r>
      <w:r w:rsidR="00BC594B">
        <w:rPr>
          <w:rFonts w:cs="Arial"/>
        </w:rPr>
        <w:t xml:space="preserve">in </w:t>
      </w:r>
      <w:r w:rsidR="00F22EC2">
        <w:rPr>
          <w:rFonts w:cs="Arial"/>
        </w:rPr>
        <w:t xml:space="preserve">discussion about what parents are seeing </w:t>
      </w:r>
      <w:r w:rsidR="00BC594B">
        <w:rPr>
          <w:rFonts w:cs="Arial"/>
        </w:rPr>
        <w:t>regarding</w:t>
      </w:r>
      <w:r w:rsidR="00F22EC2">
        <w:rPr>
          <w:rFonts w:cs="Arial"/>
        </w:rPr>
        <w:t xml:space="preserve"> the health needs of students</w:t>
      </w:r>
      <w:r w:rsidR="00BC594B">
        <w:rPr>
          <w:rFonts w:cs="Arial"/>
        </w:rPr>
        <w:t>.</w:t>
      </w:r>
      <w:r w:rsidR="00F22EC2">
        <w:rPr>
          <w:rFonts w:cs="Arial"/>
        </w:rPr>
        <w:t xml:space="preserve"> Although the MEP has made significant progress on meeting the mental health needs of migratory children and youth, </w:t>
      </w:r>
      <w:r w:rsidR="00BC594B">
        <w:rPr>
          <w:rFonts w:cs="Arial"/>
        </w:rPr>
        <w:t>mental health continues to be a high priority for parents. T</w:t>
      </w:r>
      <w:r w:rsidR="00A943F8" w:rsidRPr="002F0E3F">
        <w:rPr>
          <w:rFonts w:cs="Arial"/>
        </w:rPr>
        <w:t xml:space="preserve">he </w:t>
      </w:r>
      <w:proofErr w:type="gramStart"/>
      <w:r w:rsidR="008376CA">
        <w:rPr>
          <w:rFonts w:cs="Arial"/>
        </w:rPr>
        <w:t>Health</w:t>
      </w:r>
      <w:proofErr w:type="gramEnd"/>
      <w:r w:rsidR="008376CA">
        <w:rPr>
          <w:rFonts w:cs="Arial"/>
        </w:rPr>
        <w:t xml:space="preserve"> subcommittee</w:t>
      </w:r>
      <w:r w:rsidR="00A943F8" w:rsidRPr="002F0E3F">
        <w:rPr>
          <w:rFonts w:cs="Arial"/>
        </w:rPr>
        <w:t xml:space="preserve"> members identified the following concern</w:t>
      </w:r>
      <w:r w:rsidR="00F22EC2">
        <w:rPr>
          <w:rFonts w:cs="Arial"/>
        </w:rPr>
        <w:t xml:space="preserve"> for mental health</w:t>
      </w:r>
      <w:r w:rsidR="00A943F8" w:rsidRPr="002F0E3F">
        <w:rPr>
          <w:rFonts w:cs="Arial"/>
        </w:rPr>
        <w:t>:</w:t>
      </w:r>
    </w:p>
    <w:p w14:paraId="1B25B573" w14:textId="7FD8B6A0" w:rsidR="00A943F8" w:rsidRDefault="00F22EC2" w:rsidP="0088144A">
      <w:pPr>
        <w:spacing w:after="240"/>
        <w:ind w:left="360" w:right="720"/>
        <w:jc w:val="center"/>
        <w:rPr>
          <w:rFonts w:cs="Arial"/>
        </w:rPr>
      </w:pPr>
      <w:r w:rsidRPr="009B6B78">
        <w:rPr>
          <w:rFonts w:cs="Arial"/>
        </w:rPr>
        <w:lastRenderedPageBreak/>
        <w:t>We are concerned that in 2020</w:t>
      </w:r>
      <w:r>
        <w:rPr>
          <w:rFonts w:cs="Arial"/>
        </w:rPr>
        <w:t>–21</w:t>
      </w:r>
      <w:r w:rsidR="00E0594A">
        <w:rPr>
          <w:rFonts w:cs="Arial"/>
        </w:rPr>
        <w:t>, when the state started focusing more on mental health,</w:t>
      </w:r>
      <w:r>
        <w:rPr>
          <w:rFonts w:cs="Arial"/>
        </w:rPr>
        <w:t xml:space="preserve"> </w:t>
      </w:r>
      <w:r w:rsidRPr="009B6B78">
        <w:rPr>
          <w:rFonts w:cs="Arial"/>
        </w:rPr>
        <w:t>only 68 of the 435 migratory children and youth received necessary mental health services.</w:t>
      </w:r>
    </w:p>
    <w:p w14:paraId="204D621B" w14:textId="6871D8AF" w:rsidR="00E0594A" w:rsidRPr="002F0E3F" w:rsidRDefault="00E0594A" w:rsidP="00767034">
      <w:pPr>
        <w:spacing w:after="240"/>
        <w:ind w:left="-90"/>
        <w:rPr>
          <w:rFonts w:cs="Arial"/>
        </w:rPr>
      </w:pPr>
      <w:r>
        <w:rPr>
          <w:rFonts w:cs="Arial"/>
        </w:rPr>
        <w:t xml:space="preserve">When the CDE started to collect data on mental health needs and evaluate whether services were provided to address those needs, data showed that there was a large percentage of unmet mental health needs. </w:t>
      </w:r>
      <w:r w:rsidR="00022B92">
        <w:rPr>
          <w:rFonts w:cs="Arial"/>
        </w:rPr>
        <w:t>By identifying this concern, parents are ensuring mental health services continue to be a focus.</w:t>
      </w:r>
    </w:p>
    <w:p w14:paraId="10AECB3B" w14:textId="10793913" w:rsidR="00A943F8" w:rsidRPr="0089294F" w:rsidRDefault="00A943F8" w:rsidP="00767034">
      <w:pPr>
        <w:pStyle w:val="Heading4"/>
      </w:pPr>
      <w:r w:rsidRPr="0089294F">
        <w:t>Need Statement</w:t>
      </w:r>
    </w:p>
    <w:p w14:paraId="1CB750BB" w14:textId="0F9EAB66" w:rsidR="00A943F8" w:rsidRPr="002F0E3F" w:rsidRDefault="00BC594B" w:rsidP="00767034">
      <w:pPr>
        <w:spacing w:after="240"/>
        <w:rPr>
          <w:rFonts w:cs="Arial"/>
        </w:rPr>
      </w:pPr>
      <w:r w:rsidRPr="0089294F">
        <w:rPr>
          <w:rFonts w:cs="Arial"/>
        </w:rPr>
        <w:t>In 2016</w:t>
      </w:r>
      <w:r w:rsidR="001D0688">
        <w:rPr>
          <w:rFonts w:cs="Arial"/>
        </w:rPr>
        <w:t>,</w:t>
      </w:r>
      <w:r w:rsidRPr="0089294F">
        <w:rPr>
          <w:rFonts w:cs="Arial"/>
        </w:rPr>
        <w:t xml:space="preserve"> the MEP received a large increase in the feedback from parents and staff regarding heighted anxiety and depression</w:t>
      </w:r>
      <w:r w:rsidR="00A943F8" w:rsidRPr="0089294F">
        <w:rPr>
          <w:rFonts w:cs="Arial"/>
        </w:rPr>
        <w:t xml:space="preserve"> as well as increased stress and anxiety among the migratory student population (e.g., deportation, fear of loss of parents).</w:t>
      </w:r>
      <w:r w:rsidR="00A943F8" w:rsidRPr="002F0E3F">
        <w:rPr>
          <w:rFonts w:cs="Arial"/>
        </w:rPr>
        <w:t xml:space="preserve"> </w:t>
      </w:r>
      <w:r w:rsidR="0089294F">
        <w:rPr>
          <w:rFonts w:cs="Arial"/>
        </w:rPr>
        <w:t>Additional stressors from the COVID-19 pandemic further</w:t>
      </w:r>
      <w:r w:rsidR="006439D8">
        <w:rPr>
          <w:rFonts w:cs="Arial"/>
        </w:rPr>
        <w:t xml:space="preserve"> exacerbated the anxiety within the migratory farm worker community. </w:t>
      </w:r>
      <w:r w:rsidR="0099417B">
        <w:rPr>
          <w:rFonts w:cs="Arial"/>
        </w:rPr>
        <w:t xml:space="preserve">In 2024, political rhetoric around immigration has once again heightened fears around deportation and family separations. </w:t>
      </w:r>
      <w:r w:rsidR="006439D8">
        <w:rPr>
          <w:rFonts w:cs="Arial"/>
        </w:rPr>
        <w:t>Parents noted that students and families need training on how to identify mental health issues (e.g., depression) and strategies to maintain positive mental health behaviors</w:t>
      </w:r>
      <w:r w:rsidR="00A943F8" w:rsidRPr="002F0E3F">
        <w:rPr>
          <w:rFonts w:cs="Arial"/>
        </w:rPr>
        <w:t>. Based on th</w:t>
      </w:r>
      <w:r w:rsidR="0099417B">
        <w:rPr>
          <w:rFonts w:cs="Arial"/>
        </w:rPr>
        <w:t>e feedback provided by parents</w:t>
      </w:r>
      <w:r w:rsidR="00A943F8" w:rsidRPr="002F0E3F">
        <w:rPr>
          <w:rFonts w:cs="Arial"/>
        </w:rPr>
        <w:t xml:space="preserve">, the </w:t>
      </w:r>
      <w:proofErr w:type="gramStart"/>
      <w:r w:rsidR="008376CA">
        <w:rPr>
          <w:rFonts w:cs="Arial"/>
        </w:rPr>
        <w:t>Health</w:t>
      </w:r>
      <w:proofErr w:type="gramEnd"/>
      <w:r w:rsidR="008376CA">
        <w:rPr>
          <w:rFonts w:cs="Arial"/>
        </w:rPr>
        <w:t xml:space="preserve"> subcommittee</w:t>
      </w:r>
      <w:r w:rsidR="00A943F8" w:rsidRPr="002F0E3F">
        <w:rPr>
          <w:rFonts w:cs="Arial"/>
        </w:rPr>
        <w:t xml:space="preserve"> communicated the following need:</w:t>
      </w:r>
    </w:p>
    <w:p w14:paraId="3FA0D58C" w14:textId="55A5A505" w:rsidR="00A943F8" w:rsidRPr="006D21A2" w:rsidRDefault="006D21A2" w:rsidP="00767034">
      <w:pPr>
        <w:spacing w:after="240"/>
        <w:ind w:left="-20"/>
        <w:jc w:val="center"/>
        <w:rPr>
          <w:rFonts w:cs="Arial"/>
        </w:rPr>
      </w:pPr>
      <w:r w:rsidRPr="006D21A2">
        <w:rPr>
          <w:rFonts w:cs="Arial"/>
        </w:rPr>
        <w:t>One hundred percent of migratory children and youth with an identified mental health need should receive mental health services/referrals.</w:t>
      </w:r>
    </w:p>
    <w:p w14:paraId="182D3DDE" w14:textId="7FA82117" w:rsidR="00A943F8" w:rsidRPr="002F0E3F" w:rsidRDefault="00A943F8" w:rsidP="00767034">
      <w:pPr>
        <w:spacing w:after="240"/>
        <w:rPr>
          <w:rFonts w:cs="Arial"/>
        </w:rPr>
      </w:pPr>
      <w:r w:rsidRPr="002F0E3F">
        <w:rPr>
          <w:rFonts w:cs="Arial"/>
        </w:rPr>
        <w:t xml:space="preserve">The initial strategies included for this focus area strive to provide a </w:t>
      </w:r>
      <w:r w:rsidR="00022B92">
        <w:rPr>
          <w:rFonts w:cs="Arial"/>
        </w:rPr>
        <w:t>continued</w:t>
      </w:r>
      <w:r w:rsidRPr="002F0E3F">
        <w:rPr>
          <w:rFonts w:cs="Arial"/>
        </w:rPr>
        <w:t xml:space="preserve"> focus on mental health issues facing migratory students.</w:t>
      </w:r>
    </w:p>
    <w:p w14:paraId="1AAB379B" w14:textId="1A369FB0" w:rsidR="00A943F8" w:rsidRPr="002F0E3F" w:rsidRDefault="00A943F8" w:rsidP="00767034">
      <w:pPr>
        <w:pStyle w:val="Heading4"/>
      </w:pPr>
      <w:r w:rsidRPr="002F0E3F">
        <w:t>Initial Strategies</w:t>
      </w:r>
      <w:r w:rsidR="006450FC">
        <w:t xml:space="preserve"> to Address Need</w:t>
      </w:r>
    </w:p>
    <w:p w14:paraId="3580F380" w14:textId="77777777" w:rsidR="00A943F8" w:rsidRPr="002F0E3F" w:rsidRDefault="00A943F8" w:rsidP="007B711B">
      <w:pPr>
        <w:spacing w:after="240"/>
        <w:rPr>
          <w:rFonts w:cs="Arial"/>
        </w:rPr>
      </w:pPr>
      <w:r w:rsidRPr="002F0E3F">
        <w:rPr>
          <w:rFonts w:cs="Arial"/>
        </w:rPr>
        <w:t>After discussion, analyzing programmatic data, and reviewing evidence-based practices for health, the S</w:t>
      </w:r>
      <w:r w:rsidR="00803D7D" w:rsidRPr="002F0E3F">
        <w:rPr>
          <w:rFonts w:cs="Arial"/>
        </w:rPr>
        <w:t xml:space="preserve">ubcommittee suggested </w:t>
      </w:r>
      <w:r w:rsidRPr="002F0E3F">
        <w:rPr>
          <w:rFonts w:cs="Arial"/>
        </w:rPr>
        <w:t>including the following strategies:</w:t>
      </w:r>
    </w:p>
    <w:p w14:paraId="665ED10A" w14:textId="4ACDC566" w:rsidR="00022B92" w:rsidRPr="00CF082D" w:rsidRDefault="00022B92" w:rsidP="009670FC">
      <w:pPr>
        <w:pStyle w:val="ListParagraph"/>
        <w:numPr>
          <w:ilvl w:val="0"/>
          <w:numId w:val="30"/>
        </w:numPr>
        <w:spacing w:after="240"/>
        <w:contextualSpacing w:val="0"/>
        <w:rPr>
          <w:rFonts w:cs="Arial"/>
        </w:rPr>
      </w:pPr>
      <w:r w:rsidRPr="00CF082D">
        <w:rPr>
          <w:rFonts w:cs="Arial"/>
        </w:rPr>
        <w:t>Offer mental health information sessions for all migratory students</w:t>
      </w:r>
      <w:r w:rsidRPr="0088144A">
        <w:rPr>
          <w:rFonts w:cs="Arial"/>
        </w:rPr>
        <w:t xml:space="preserve"> and parents </w:t>
      </w:r>
      <w:r w:rsidRPr="00CF082D">
        <w:rPr>
          <w:rFonts w:cs="Arial"/>
        </w:rPr>
        <w:t>so they can identify when help is needed.</w:t>
      </w:r>
    </w:p>
    <w:p w14:paraId="3FC55406" w14:textId="77777777" w:rsidR="00022B92" w:rsidRPr="00022B92" w:rsidRDefault="00022B92" w:rsidP="009670FC">
      <w:pPr>
        <w:pStyle w:val="ListParagraph"/>
        <w:numPr>
          <w:ilvl w:val="0"/>
          <w:numId w:val="30"/>
        </w:numPr>
        <w:spacing w:after="240"/>
        <w:contextualSpacing w:val="0"/>
        <w:rPr>
          <w:rFonts w:cs="Arial"/>
        </w:rPr>
      </w:pPr>
      <w:r w:rsidRPr="00022B92">
        <w:rPr>
          <w:rFonts w:cs="Arial"/>
        </w:rPr>
        <w:t>Provide mental health workshops</w:t>
      </w:r>
      <w:r w:rsidRPr="00022B92">
        <w:rPr>
          <w:rFonts w:cs="Arial"/>
          <w:color w:val="0070C0"/>
        </w:rPr>
        <w:t xml:space="preserve"> </w:t>
      </w:r>
      <w:r w:rsidRPr="00022B92">
        <w:rPr>
          <w:rFonts w:cs="Arial"/>
        </w:rPr>
        <w:t>so that parents and students learn how to support the students’ mental health needs.</w:t>
      </w:r>
      <w:bookmarkStart w:id="194" w:name="_Toc496195925"/>
    </w:p>
    <w:p w14:paraId="154D9E14" w14:textId="7F7CF769" w:rsidR="00022B92" w:rsidRDefault="00022B92" w:rsidP="009670FC">
      <w:pPr>
        <w:pStyle w:val="ListParagraph"/>
        <w:numPr>
          <w:ilvl w:val="0"/>
          <w:numId w:val="30"/>
        </w:numPr>
        <w:spacing w:after="240"/>
        <w:contextualSpacing w:val="0"/>
        <w:rPr>
          <w:rFonts w:cs="Arial"/>
        </w:rPr>
      </w:pPr>
      <w:r w:rsidRPr="00022B92">
        <w:rPr>
          <w:rFonts w:cs="Arial"/>
        </w:rPr>
        <w:t>Provide professional learning opportunities to support MEP students with mental health needs (e.g., bullying, eating disorders, suicide, drugs, guns, depression, anxiety)</w:t>
      </w:r>
      <w:r w:rsidR="00CF082D">
        <w:rPr>
          <w:rFonts w:cs="Arial"/>
        </w:rPr>
        <w:t>.</w:t>
      </w:r>
    </w:p>
    <w:p w14:paraId="5ADA7AE0" w14:textId="0AA8BAD2" w:rsidR="00CF082D" w:rsidRDefault="00CF082D" w:rsidP="009670FC">
      <w:pPr>
        <w:pStyle w:val="ListParagraph"/>
        <w:numPr>
          <w:ilvl w:val="0"/>
          <w:numId w:val="30"/>
        </w:numPr>
        <w:spacing w:after="240"/>
        <w:contextualSpacing w:val="0"/>
        <w:rPr>
          <w:rFonts w:cs="Arial"/>
        </w:rPr>
      </w:pPr>
      <w:r w:rsidRPr="00CF082D">
        <w:rPr>
          <w:rFonts w:cs="Arial"/>
        </w:rPr>
        <w:t>Provide mental health services and referrals to migratory children and youths with an identified mental health need on the INA.</w:t>
      </w:r>
    </w:p>
    <w:p w14:paraId="6CF6C53F" w14:textId="1DBCE882" w:rsidR="0088144A" w:rsidRPr="0088144A" w:rsidRDefault="0088144A" w:rsidP="0088144A">
      <w:pPr>
        <w:spacing w:after="240"/>
        <w:rPr>
          <w:rFonts w:cs="Arial"/>
        </w:rPr>
      </w:pPr>
      <w:r>
        <w:rPr>
          <w:rFonts w:cs="Arial"/>
        </w:rPr>
        <w:lastRenderedPageBreak/>
        <w:t xml:space="preserve">Many OSY are parents themselves, so in those cases, these individuals are not only continuing their education to enhance their lives, but they are also showing their children that education is important. This parental modeling is an excellent way to </w:t>
      </w:r>
      <w:r w:rsidR="006A414D">
        <w:rPr>
          <w:rFonts w:cs="Arial"/>
        </w:rPr>
        <w:t>encourage student participation and engagement in their own educational journeys.</w:t>
      </w:r>
    </w:p>
    <w:p w14:paraId="38746EAD" w14:textId="23692F70" w:rsidR="00C34B84" w:rsidRPr="002F0E3F" w:rsidRDefault="00C34B84" w:rsidP="00767034">
      <w:pPr>
        <w:pStyle w:val="Heading3"/>
      </w:pPr>
      <w:bookmarkStart w:id="195" w:name="_Toc188361333"/>
      <w:r w:rsidRPr="002F0E3F">
        <w:t>Parent and Family Engagement</w:t>
      </w:r>
      <w:bookmarkEnd w:id="194"/>
      <w:bookmarkEnd w:id="195"/>
    </w:p>
    <w:p w14:paraId="65C6B20B" w14:textId="0460C437" w:rsidR="001F0D45" w:rsidRPr="002F0E3F" w:rsidRDefault="001F0D45" w:rsidP="00767034">
      <w:pPr>
        <w:spacing w:after="240"/>
        <w:rPr>
          <w:rFonts w:cs="Arial"/>
        </w:rPr>
      </w:pPr>
      <w:r w:rsidRPr="002F0E3F">
        <w:rPr>
          <w:rFonts w:cs="Arial"/>
        </w:rPr>
        <w:t>Research shows that</w:t>
      </w:r>
      <w:r w:rsidR="00CF082D">
        <w:rPr>
          <w:rFonts w:cs="Arial"/>
        </w:rPr>
        <w:t xml:space="preserve"> when students’</w:t>
      </w:r>
      <w:r w:rsidRPr="002F0E3F">
        <w:rPr>
          <w:rFonts w:cs="Arial"/>
        </w:rPr>
        <w:t xml:space="preserve"> parent</w:t>
      </w:r>
      <w:r w:rsidR="00CF082D">
        <w:rPr>
          <w:rFonts w:cs="Arial"/>
        </w:rPr>
        <w:t>s, guardians, or caretakers are</w:t>
      </w:r>
      <w:r w:rsidRPr="002F0E3F">
        <w:rPr>
          <w:rFonts w:cs="Arial"/>
        </w:rPr>
        <w:t xml:space="preserve"> involve</w:t>
      </w:r>
      <w:r w:rsidR="00CF082D">
        <w:rPr>
          <w:rFonts w:cs="Arial"/>
        </w:rPr>
        <w:t>d</w:t>
      </w:r>
      <w:r w:rsidRPr="002F0E3F">
        <w:rPr>
          <w:rFonts w:cs="Arial"/>
        </w:rPr>
        <w:t xml:space="preserve"> i</w:t>
      </w:r>
      <w:r w:rsidR="00CF082D">
        <w:rPr>
          <w:rFonts w:cs="Arial"/>
        </w:rPr>
        <w:t xml:space="preserve">n their children’s education </w:t>
      </w:r>
      <w:r w:rsidR="009E0941">
        <w:rPr>
          <w:rFonts w:cs="Arial"/>
        </w:rPr>
        <w:t xml:space="preserve">there is a positive </w:t>
      </w:r>
      <w:r w:rsidR="00225314">
        <w:rPr>
          <w:rFonts w:cs="Arial"/>
        </w:rPr>
        <w:t xml:space="preserve">effect </w:t>
      </w:r>
      <w:r w:rsidR="009E0941">
        <w:rPr>
          <w:rFonts w:cs="Arial"/>
        </w:rPr>
        <w:t>on</w:t>
      </w:r>
      <w:r w:rsidR="002E3989" w:rsidRPr="002F0E3F">
        <w:rPr>
          <w:rFonts w:cs="Arial"/>
        </w:rPr>
        <w:t xml:space="preserve"> student</w:t>
      </w:r>
      <w:r w:rsidRPr="002F0E3F">
        <w:rPr>
          <w:rFonts w:cs="Arial"/>
        </w:rPr>
        <w:t xml:space="preserve"> achievement. Parents are their children’s first educators; </w:t>
      </w:r>
      <w:r w:rsidR="001120F8" w:rsidRPr="002F0E3F">
        <w:rPr>
          <w:rFonts w:cs="Arial"/>
        </w:rPr>
        <w:t>therefore,</w:t>
      </w:r>
      <w:r w:rsidRPr="002F0E3F">
        <w:rPr>
          <w:rFonts w:cs="Arial"/>
        </w:rPr>
        <w:t xml:space="preserve"> it is important that they </w:t>
      </w:r>
      <w:r w:rsidR="001120F8" w:rsidRPr="002F0E3F">
        <w:rPr>
          <w:rFonts w:cs="Arial"/>
        </w:rPr>
        <w:t>be</w:t>
      </w:r>
      <w:r w:rsidRPr="002F0E3F">
        <w:rPr>
          <w:rFonts w:cs="Arial"/>
        </w:rPr>
        <w:t xml:space="preserve"> engaged with their</w:t>
      </w:r>
      <w:r w:rsidR="00D75F1D" w:rsidRPr="002F0E3F">
        <w:rPr>
          <w:rFonts w:cs="Arial"/>
        </w:rPr>
        <w:t xml:space="preserve"> children’s education from pr</w:t>
      </w:r>
      <w:r w:rsidR="003151C5">
        <w:rPr>
          <w:rFonts w:cs="Arial"/>
        </w:rPr>
        <w:t>eschool</w:t>
      </w:r>
      <w:r w:rsidRPr="002F0E3F">
        <w:rPr>
          <w:rFonts w:cs="Arial"/>
        </w:rPr>
        <w:t xml:space="preserve"> through high school and beyond. </w:t>
      </w:r>
      <w:r w:rsidRPr="002F0E3F">
        <w:rPr>
          <w:rStyle w:val="FootnoteReference"/>
          <w:rFonts w:cs="Arial"/>
        </w:rPr>
        <w:footnoteReference w:id="23"/>
      </w:r>
      <w:r w:rsidRPr="002F0E3F">
        <w:rPr>
          <w:rFonts w:cs="Arial"/>
          <w:vertAlign w:val="superscript"/>
        </w:rPr>
        <w:t>,</w:t>
      </w:r>
      <w:r w:rsidRPr="002F0E3F">
        <w:rPr>
          <w:rStyle w:val="FootnoteReference"/>
          <w:rFonts w:cs="Arial"/>
        </w:rPr>
        <w:footnoteReference w:id="24"/>
      </w:r>
      <w:r w:rsidRPr="002F0E3F">
        <w:rPr>
          <w:rFonts w:cs="Arial"/>
        </w:rPr>
        <w:t xml:space="preserve"> Schools and districts have a responsibility and incentive to </w:t>
      </w:r>
      <w:r w:rsidR="009E0941">
        <w:rPr>
          <w:rFonts w:cs="Arial"/>
        </w:rPr>
        <w:t>develop authentic</w:t>
      </w:r>
      <w:r w:rsidRPr="002F0E3F">
        <w:rPr>
          <w:rFonts w:cs="Arial"/>
        </w:rPr>
        <w:t xml:space="preserve"> partnerships with students’ parents </w:t>
      </w:r>
      <w:r w:rsidR="00D75F1D" w:rsidRPr="002F0E3F">
        <w:rPr>
          <w:rFonts w:cs="Arial"/>
        </w:rPr>
        <w:t>or guardians</w:t>
      </w:r>
      <w:r w:rsidRPr="002F0E3F">
        <w:rPr>
          <w:rFonts w:cs="Arial"/>
        </w:rPr>
        <w:t xml:space="preserve">. According to a report by the Southwest Educational Development </w:t>
      </w:r>
      <w:r w:rsidR="001120F8" w:rsidRPr="002F0E3F">
        <w:rPr>
          <w:rFonts w:cs="Arial"/>
        </w:rPr>
        <w:t>Laboratory, which</w:t>
      </w:r>
      <w:r w:rsidRPr="002F0E3F">
        <w:rPr>
          <w:rFonts w:cs="Arial"/>
        </w:rPr>
        <w:t xml:space="preserve"> synthesizes research from 51 studies, students who have a parent or guardian who are involved in the</w:t>
      </w:r>
      <w:r w:rsidR="001120F8" w:rsidRPr="002F0E3F">
        <w:rPr>
          <w:rFonts w:cs="Arial"/>
        </w:rPr>
        <w:t xml:space="preserve"> students’ </w:t>
      </w:r>
      <w:r w:rsidRPr="002F0E3F">
        <w:rPr>
          <w:rFonts w:cs="Arial"/>
        </w:rPr>
        <w:t>academic life benefit in many ways:</w:t>
      </w:r>
      <w:r w:rsidRPr="002F0E3F">
        <w:rPr>
          <w:rStyle w:val="FootnoteReference"/>
          <w:rFonts w:cs="Arial"/>
        </w:rPr>
        <w:footnoteReference w:id="25"/>
      </w:r>
    </w:p>
    <w:p w14:paraId="12A94FFA" w14:textId="77777777" w:rsidR="001F0D45" w:rsidRPr="002F0E3F" w:rsidRDefault="001F0D45" w:rsidP="009670FC">
      <w:pPr>
        <w:pStyle w:val="ListParagraph"/>
        <w:numPr>
          <w:ilvl w:val="0"/>
          <w:numId w:val="18"/>
        </w:numPr>
        <w:contextualSpacing w:val="0"/>
        <w:rPr>
          <w:rFonts w:cs="Arial"/>
        </w:rPr>
      </w:pPr>
      <w:proofErr w:type="gramStart"/>
      <w:r w:rsidRPr="002F0E3F">
        <w:rPr>
          <w:rFonts w:cs="Arial"/>
        </w:rPr>
        <w:t>Attend</w:t>
      </w:r>
      <w:proofErr w:type="gramEnd"/>
      <w:r w:rsidRPr="002F0E3F">
        <w:rPr>
          <w:rFonts w:cs="Arial"/>
        </w:rPr>
        <w:t xml:space="preserve"> school regularly</w:t>
      </w:r>
    </w:p>
    <w:p w14:paraId="046DE697" w14:textId="77777777" w:rsidR="001F0D45" w:rsidRPr="002F0E3F" w:rsidRDefault="001F0D45" w:rsidP="009670FC">
      <w:pPr>
        <w:pStyle w:val="ListParagraph"/>
        <w:numPr>
          <w:ilvl w:val="0"/>
          <w:numId w:val="18"/>
        </w:numPr>
        <w:contextualSpacing w:val="0"/>
        <w:rPr>
          <w:rFonts w:cs="Arial"/>
        </w:rPr>
      </w:pPr>
      <w:r w:rsidRPr="002F0E3F">
        <w:rPr>
          <w:rFonts w:cs="Arial"/>
        </w:rPr>
        <w:t>Obtain better grades and enroll in higher-level programs</w:t>
      </w:r>
    </w:p>
    <w:p w14:paraId="0733EE40" w14:textId="77777777" w:rsidR="001F0D45" w:rsidRPr="002F0E3F" w:rsidRDefault="001F0D45" w:rsidP="009670FC">
      <w:pPr>
        <w:pStyle w:val="ListParagraph"/>
        <w:numPr>
          <w:ilvl w:val="0"/>
          <w:numId w:val="18"/>
        </w:numPr>
        <w:contextualSpacing w:val="0"/>
        <w:rPr>
          <w:rFonts w:cs="Arial"/>
        </w:rPr>
      </w:pPr>
      <w:r w:rsidRPr="002F0E3F">
        <w:rPr>
          <w:rFonts w:cs="Arial"/>
        </w:rPr>
        <w:t xml:space="preserve">Promote, pass classes and earn credits </w:t>
      </w:r>
    </w:p>
    <w:p w14:paraId="6E47B3FC" w14:textId="77777777" w:rsidR="001F0D45" w:rsidRPr="002F0E3F" w:rsidRDefault="001F0D45" w:rsidP="009670FC">
      <w:pPr>
        <w:pStyle w:val="ListParagraph"/>
        <w:numPr>
          <w:ilvl w:val="0"/>
          <w:numId w:val="18"/>
        </w:numPr>
        <w:contextualSpacing w:val="0"/>
        <w:rPr>
          <w:rFonts w:cs="Arial"/>
        </w:rPr>
      </w:pPr>
      <w:r w:rsidRPr="002F0E3F">
        <w:rPr>
          <w:rFonts w:cs="Arial"/>
        </w:rPr>
        <w:t>Show improved behavior</w:t>
      </w:r>
    </w:p>
    <w:p w14:paraId="4FD0C73A" w14:textId="77777777" w:rsidR="001F0D45" w:rsidRPr="002F0E3F" w:rsidRDefault="001F0D45" w:rsidP="009670FC">
      <w:pPr>
        <w:pStyle w:val="ListParagraph"/>
        <w:numPr>
          <w:ilvl w:val="0"/>
          <w:numId w:val="18"/>
        </w:numPr>
        <w:contextualSpacing w:val="0"/>
        <w:rPr>
          <w:rFonts w:cs="Arial"/>
        </w:rPr>
      </w:pPr>
      <w:r w:rsidRPr="002F0E3F">
        <w:rPr>
          <w:rFonts w:cs="Arial"/>
        </w:rPr>
        <w:t>Adapt well to school</w:t>
      </w:r>
    </w:p>
    <w:p w14:paraId="1777DF81" w14:textId="77777777" w:rsidR="00FB3DB8" w:rsidRDefault="001F0D45" w:rsidP="009670FC">
      <w:pPr>
        <w:pStyle w:val="ListParagraph"/>
        <w:numPr>
          <w:ilvl w:val="0"/>
          <w:numId w:val="18"/>
        </w:numPr>
        <w:spacing w:after="240" w:line="259" w:lineRule="auto"/>
        <w:contextualSpacing w:val="0"/>
        <w:rPr>
          <w:rFonts w:cs="Arial"/>
        </w:rPr>
      </w:pPr>
      <w:r w:rsidRPr="002F0E3F">
        <w:rPr>
          <w:rFonts w:cs="Arial"/>
        </w:rPr>
        <w:t xml:space="preserve">Graduate and enroll in post-secondary education </w:t>
      </w:r>
    </w:p>
    <w:p w14:paraId="1B1F948D" w14:textId="4A03F9A6" w:rsidR="009E0941" w:rsidRPr="009E0941" w:rsidRDefault="009E0941" w:rsidP="00767034">
      <w:pPr>
        <w:spacing w:after="240" w:line="259" w:lineRule="auto"/>
        <w:rPr>
          <w:rFonts w:cs="Arial"/>
        </w:rPr>
      </w:pPr>
      <w:r>
        <w:rPr>
          <w:rFonts w:cs="Arial"/>
        </w:rPr>
        <w:t xml:space="preserve">With chronic absenteeism for migratory students at 22.5 percent for 2022–23 and low ELA and math proficiency rates, </w:t>
      </w:r>
      <w:r w:rsidR="00225314">
        <w:rPr>
          <w:rFonts w:cs="Arial"/>
        </w:rPr>
        <w:t>it is</w:t>
      </w:r>
      <w:r>
        <w:rPr>
          <w:rFonts w:cs="Arial"/>
        </w:rPr>
        <w:t xml:space="preserve"> more important than ever to invest in school to home connections. For migratory children and youth to make the gains they need towards proficiency, a strong support system comprised of core instructional staff, MEP staff, and parents needs to be developed and maintained.</w:t>
      </w:r>
    </w:p>
    <w:p w14:paraId="6CC60CC3" w14:textId="34E4EBDC" w:rsidR="001F0D45" w:rsidRPr="002F0E3F" w:rsidRDefault="001F0D45" w:rsidP="00767034">
      <w:pPr>
        <w:pStyle w:val="Heading4"/>
      </w:pPr>
      <w:r w:rsidRPr="002F0E3F">
        <w:t>Key Data Poin</w:t>
      </w:r>
      <w:r w:rsidR="00B81ADF" w:rsidRPr="002F0E3F">
        <w:t xml:space="preserve">ts from </w:t>
      </w:r>
      <w:r w:rsidR="006450FC">
        <w:t>Committee</w:t>
      </w:r>
      <w:r w:rsidR="00B81ADF" w:rsidRPr="002F0E3F">
        <w:t xml:space="preserve"> Discussions</w:t>
      </w:r>
    </w:p>
    <w:p w14:paraId="04E477D3" w14:textId="328D1700" w:rsidR="005452D4" w:rsidRPr="00251FDF" w:rsidRDefault="00B767C5" w:rsidP="00767034">
      <w:pPr>
        <w:spacing w:after="240"/>
        <w:rPr>
          <w:rFonts w:cs="Arial"/>
        </w:rPr>
      </w:pPr>
      <w:r w:rsidRPr="00251FDF">
        <w:rPr>
          <w:rFonts w:cs="Arial"/>
        </w:rPr>
        <w:t>Since the MEP</w:t>
      </w:r>
      <w:r w:rsidR="00DC0069" w:rsidRPr="00251FDF">
        <w:rPr>
          <w:rFonts w:cs="Arial"/>
        </w:rPr>
        <w:t xml:space="preserve"> is a student-centered program, California does not collect any statewide parent data. </w:t>
      </w:r>
      <w:r w:rsidR="002B34BD" w:rsidRPr="00251FDF">
        <w:rPr>
          <w:rFonts w:cs="Arial"/>
        </w:rPr>
        <w:t xml:space="preserve">For that reason, </w:t>
      </w:r>
      <w:r w:rsidR="00984D6C" w:rsidRPr="00251FDF">
        <w:rPr>
          <w:rFonts w:cs="Arial"/>
        </w:rPr>
        <w:t>the CDE presented the Regional Educational Laboratory</w:t>
      </w:r>
      <w:r w:rsidR="00F02343" w:rsidRPr="00251FDF">
        <w:rPr>
          <w:rFonts w:cs="Arial"/>
        </w:rPr>
        <w:t xml:space="preserve"> (REL)</w:t>
      </w:r>
      <w:r w:rsidR="00984D6C" w:rsidRPr="00251FDF">
        <w:rPr>
          <w:rFonts w:cs="Arial"/>
        </w:rPr>
        <w:t xml:space="preserve"> at WestEd’s </w:t>
      </w:r>
      <w:r w:rsidR="00984D6C" w:rsidRPr="00251FDF">
        <w:rPr>
          <w:rFonts w:cs="Arial"/>
          <w:i/>
          <w:iCs/>
        </w:rPr>
        <w:t xml:space="preserve">Parental Involvement and Family Engagement: A Snapshot of </w:t>
      </w:r>
      <w:r w:rsidR="00984D6C" w:rsidRPr="00251FDF">
        <w:rPr>
          <w:rFonts w:cs="Arial"/>
          <w:i/>
          <w:iCs/>
        </w:rPr>
        <w:lastRenderedPageBreak/>
        <w:t>California’s 2019 Local Indicator Data</w:t>
      </w:r>
      <w:r w:rsidR="00437602">
        <w:rPr>
          <w:rFonts w:cs="Arial"/>
          <w:i/>
          <w:iCs/>
        </w:rPr>
        <w:t xml:space="preserve"> </w:t>
      </w:r>
      <w:r w:rsidR="00437602" w:rsidRPr="00251FDF">
        <w:rPr>
          <w:rFonts w:cs="Arial"/>
        </w:rPr>
        <w:t>for review where parents were specifically interested in the focus areas for improvement</w:t>
      </w:r>
      <w:r w:rsidR="00B81ADF" w:rsidRPr="00251FDF">
        <w:rPr>
          <w:rFonts w:cs="Arial"/>
        </w:rPr>
        <w:t>:</w:t>
      </w:r>
    </w:p>
    <w:p w14:paraId="6EFD55CA" w14:textId="5F87F272" w:rsidR="00437602" w:rsidRDefault="00437602" w:rsidP="009670FC">
      <w:pPr>
        <w:pStyle w:val="ListParagraph"/>
        <w:numPr>
          <w:ilvl w:val="0"/>
          <w:numId w:val="19"/>
        </w:numPr>
        <w:spacing w:after="240"/>
        <w:contextualSpacing w:val="0"/>
        <w:rPr>
          <w:rFonts w:cs="Arial"/>
        </w:rPr>
      </w:pPr>
      <w:r>
        <w:rPr>
          <w:rFonts w:cs="Arial"/>
        </w:rPr>
        <w:t>Only 26</w:t>
      </w:r>
      <w:r w:rsidR="00251FDF">
        <w:t> </w:t>
      </w:r>
      <w:r>
        <w:rPr>
          <w:rFonts w:cs="Arial"/>
        </w:rPr>
        <w:t>percent of LEAs supported underrepresented students and families.</w:t>
      </w:r>
    </w:p>
    <w:p w14:paraId="704C7B63" w14:textId="58804E9D" w:rsidR="00E2660E" w:rsidRDefault="00E2660E" w:rsidP="009670FC">
      <w:pPr>
        <w:pStyle w:val="ListParagraph"/>
        <w:numPr>
          <w:ilvl w:val="0"/>
          <w:numId w:val="19"/>
        </w:numPr>
        <w:spacing w:after="240"/>
        <w:contextualSpacing w:val="0"/>
        <w:rPr>
          <w:rFonts w:cs="Arial"/>
        </w:rPr>
      </w:pPr>
      <w:r>
        <w:rPr>
          <w:rFonts w:cs="Arial"/>
        </w:rPr>
        <w:t>Only 24</w:t>
      </w:r>
      <w:r w:rsidR="00251FDF">
        <w:t> </w:t>
      </w:r>
      <w:r>
        <w:rPr>
          <w:rFonts w:cs="Arial"/>
        </w:rPr>
        <w:t>percent of LEAs engage underrepresented families.</w:t>
      </w:r>
    </w:p>
    <w:p w14:paraId="40ED7D9C" w14:textId="485425E3" w:rsidR="00E2660E" w:rsidRDefault="00E2660E" w:rsidP="009670FC">
      <w:pPr>
        <w:pStyle w:val="ListParagraph"/>
        <w:numPr>
          <w:ilvl w:val="0"/>
          <w:numId w:val="19"/>
        </w:numPr>
        <w:spacing w:after="240"/>
        <w:contextualSpacing w:val="0"/>
        <w:rPr>
          <w:rFonts w:cs="Arial"/>
        </w:rPr>
      </w:pPr>
      <w:r>
        <w:rPr>
          <w:rFonts w:cs="Arial"/>
        </w:rPr>
        <w:t>Thirty-six</w:t>
      </w:r>
      <w:r w:rsidR="00251FDF">
        <w:t> </w:t>
      </w:r>
      <w:r>
        <w:rPr>
          <w:rFonts w:cs="Arial"/>
        </w:rPr>
        <w:t>percent of LEAs provide families with opportunities to give input.</w:t>
      </w:r>
    </w:p>
    <w:p w14:paraId="007C440B" w14:textId="49B9D469" w:rsidR="00437602" w:rsidRPr="00E2660E" w:rsidRDefault="00437602" w:rsidP="00E2660E">
      <w:pPr>
        <w:spacing w:after="240"/>
        <w:rPr>
          <w:rFonts w:cs="Arial"/>
        </w:rPr>
      </w:pPr>
      <w:r w:rsidRPr="00E2660E">
        <w:rPr>
          <w:rFonts w:cs="Arial"/>
        </w:rPr>
        <w:t>P</w:t>
      </w:r>
      <w:r w:rsidR="00A263FB">
        <w:rPr>
          <w:rFonts w:cs="Arial"/>
        </w:rPr>
        <w:t>arents responded to d</w:t>
      </w:r>
      <w:r w:rsidRPr="00E2660E">
        <w:rPr>
          <w:rFonts w:cs="Arial"/>
        </w:rPr>
        <w:t>iscussion</w:t>
      </w:r>
      <w:r w:rsidR="00A263FB">
        <w:rPr>
          <w:rFonts w:cs="Arial"/>
        </w:rPr>
        <w:t xml:space="preserve"> questions created based on</w:t>
      </w:r>
      <w:r w:rsidRPr="00E2660E">
        <w:rPr>
          <w:rFonts w:cs="Arial"/>
        </w:rPr>
        <w:t xml:space="preserve"> this data</w:t>
      </w:r>
      <w:r w:rsidR="00A263FB">
        <w:rPr>
          <w:rFonts w:cs="Arial"/>
        </w:rPr>
        <w:t xml:space="preserve"> found in the REL California’s 2019 Local Indicator Data</w:t>
      </w:r>
      <w:r w:rsidRPr="00E2660E">
        <w:rPr>
          <w:rFonts w:cs="Arial"/>
        </w:rPr>
        <w:t xml:space="preserve"> </w:t>
      </w:r>
      <w:r w:rsidR="00A263FB">
        <w:rPr>
          <w:rFonts w:cs="Arial"/>
        </w:rPr>
        <w:t>with the following</w:t>
      </w:r>
      <w:r w:rsidRPr="00E2660E">
        <w:rPr>
          <w:rFonts w:cs="Arial"/>
        </w:rPr>
        <w:t xml:space="preserve"> comments:</w:t>
      </w:r>
    </w:p>
    <w:p w14:paraId="0F673340" w14:textId="77777777" w:rsidR="00437602" w:rsidRPr="00E2660E" w:rsidRDefault="00437602" w:rsidP="009670FC">
      <w:pPr>
        <w:pStyle w:val="ListParagraph"/>
        <w:numPr>
          <w:ilvl w:val="0"/>
          <w:numId w:val="59"/>
        </w:numPr>
        <w:spacing w:after="240"/>
        <w:ind w:left="720"/>
        <w:contextualSpacing w:val="0"/>
        <w:rPr>
          <w:rFonts w:cs="Arial"/>
        </w:rPr>
      </w:pPr>
      <w:r w:rsidRPr="00E2660E">
        <w:rPr>
          <w:rFonts w:cs="Arial"/>
        </w:rPr>
        <w:t xml:space="preserve">Migratory families fall within the category of underrepresented students and families; therefore, more work needs to be done providing language and cultural support, individual outreach, and in various other areas. </w:t>
      </w:r>
    </w:p>
    <w:p w14:paraId="17AC3595" w14:textId="77777777" w:rsidR="00437602" w:rsidRPr="00E2660E" w:rsidRDefault="00437602" w:rsidP="009670FC">
      <w:pPr>
        <w:pStyle w:val="ListParagraph"/>
        <w:numPr>
          <w:ilvl w:val="0"/>
          <w:numId w:val="59"/>
        </w:numPr>
        <w:spacing w:after="240"/>
        <w:ind w:left="720"/>
        <w:contextualSpacing w:val="0"/>
        <w:rPr>
          <w:rFonts w:cs="Arial"/>
        </w:rPr>
      </w:pPr>
      <w:r w:rsidRPr="00E2660E">
        <w:rPr>
          <w:rFonts w:cs="Arial"/>
        </w:rPr>
        <w:t xml:space="preserve">Schools should survey parents to identify what days/times work best for parents to participate in activities/events (e.g., after school and on Saturdays). </w:t>
      </w:r>
    </w:p>
    <w:p w14:paraId="7E3BD2F5" w14:textId="2260948A" w:rsidR="00E2660E" w:rsidRPr="00E2660E" w:rsidRDefault="00225314" w:rsidP="009670FC">
      <w:pPr>
        <w:pStyle w:val="ListParagraph"/>
        <w:numPr>
          <w:ilvl w:val="0"/>
          <w:numId w:val="59"/>
        </w:numPr>
        <w:spacing w:after="240"/>
        <w:ind w:left="720"/>
        <w:contextualSpacing w:val="0"/>
        <w:rPr>
          <w:rFonts w:cs="Arial"/>
        </w:rPr>
      </w:pPr>
      <w:r w:rsidRPr="00E2660E">
        <w:rPr>
          <w:rFonts w:cs="Arial"/>
        </w:rPr>
        <w:t>There is</w:t>
      </w:r>
      <w:r w:rsidR="00437602" w:rsidRPr="00E2660E">
        <w:rPr>
          <w:rFonts w:cs="Arial"/>
        </w:rPr>
        <w:t xml:space="preserve"> a lack of information and </w:t>
      </w:r>
      <w:proofErr w:type="gramStart"/>
      <w:r w:rsidR="00437602" w:rsidRPr="00E2660E">
        <w:rPr>
          <w:rFonts w:cs="Arial"/>
        </w:rPr>
        <w:t>supports</w:t>
      </w:r>
      <w:proofErr w:type="gramEnd"/>
      <w:r w:rsidR="00437602" w:rsidRPr="00E2660E">
        <w:rPr>
          <w:rFonts w:cs="Arial"/>
        </w:rPr>
        <w:t xml:space="preserve"> </w:t>
      </w:r>
      <w:r w:rsidR="00251FDF">
        <w:rPr>
          <w:rFonts w:cs="Arial"/>
        </w:rPr>
        <w:t xml:space="preserve">(e.g., interpretation, translation of materials, childcare) </w:t>
      </w:r>
      <w:r w:rsidR="00437602" w:rsidRPr="00E2660E">
        <w:rPr>
          <w:rFonts w:cs="Arial"/>
        </w:rPr>
        <w:t>for parents to participate more. Parents are hesitant to ask for information for fear of being discriminated against.</w:t>
      </w:r>
    </w:p>
    <w:p w14:paraId="5B663B71" w14:textId="2C955472" w:rsidR="00E2660E" w:rsidRPr="00E2660E" w:rsidRDefault="00E2660E" w:rsidP="009670FC">
      <w:pPr>
        <w:pStyle w:val="ListParagraph"/>
        <w:numPr>
          <w:ilvl w:val="0"/>
          <w:numId w:val="59"/>
        </w:numPr>
        <w:spacing w:after="240"/>
        <w:ind w:left="720"/>
        <w:contextualSpacing w:val="0"/>
        <w:rPr>
          <w:rFonts w:cs="Arial"/>
        </w:rPr>
      </w:pPr>
      <w:r w:rsidRPr="00E2660E">
        <w:rPr>
          <w:rFonts w:cs="Arial"/>
        </w:rPr>
        <w:t>Parents noted that communication is a high area of need indicating that school staff</w:t>
      </w:r>
      <w:r w:rsidR="00225314">
        <w:rPr>
          <w:rFonts w:cs="Arial"/>
        </w:rPr>
        <w:t xml:space="preserve"> member</w:t>
      </w:r>
      <w:r w:rsidRPr="00E2660E">
        <w:rPr>
          <w:rFonts w:cs="Arial"/>
        </w:rPr>
        <w:t xml:space="preserve">s’ communication could be better all around. Office personnel could be </w:t>
      </w:r>
      <w:r w:rsidR="00B46A3C">
        <w:rPr>
          <w:rFonts w:cs="Arial"/>
        </w:rPr>
        <w:t>more welcoming</w:t>
      </w:r>
      <w:r w:rsidRPr="00E2660E">
        <w:rPr>
          <w:rFonts w:cs="Arial"/>
        </w:rPr>
        <w:t xml:space="preserve"> to parents and </w:t>
      </w:r>
      <w:proofErr w:type="gramStart"/>
      <w:r w:rsidRPr="00E2660E">
        <w:rPr>
          <w:rFonts w:cs="Arial"/>
        </w:rPr>
        <w:t>reported</w:t>
      </w:r>
      <w:proofErr w:type="gramEnd"/>
      <w:r w:rsidRPr="00E2660E">
        <w:rPr>
          <w:rFonts w:cs="Arial"/>
        </w:rPr>
        <w:t xml:space="preserve"> feelings of discrimination from office staff based on language and origin. A few parents said that meetings or events were only held in English which limited the parents’ participation.</w:t>
      </w:r>
    </w:p>
    <w:p w14:paraId="28F77012" w14:textId="777EED65" w:rsidR="00E2660E" w:rsidRPr="00E2660E" w:rsidRDefault="00E2660E" w:rsidP="009670FC">
      <w:pPr>
        <w:pStyle w:val="ListParagraph"/>
        <w:numPr>
          <w:ilvl w:val="0"/>
          <w:numId w:val="59"/>
        </w:numPr>
        <w:spacing w:after="240"/>
        <w:ind w:left="720"/>
        <w:contextualSpacing w:val="0"/>
        <w:rPr>
          <w:rFonts w:cs="Arial"/>
        </w:rPr>
      </w:pPr>
      <w:r w:rsidRPr="00E2660E">
        <w:rPr>
          <w:rFonts w:cs="Arial"/>
        </w:rPr>
        <w:t>Many parents identified a need for the MEP to disseminate more information on services and events to parents. Parents noted a lack of information on service/even offerings.</w:t>
      </w:r>
    </w:p>
    <w:p w14:paraId="1A69DD4C" w14:textId="69D566A7" w:rsidR="00437602" w:rsidRPr="00E2660E" w:rsidRDefault="00E2660E" w:rsidP="009670FC">
      <w:pPr>
        <w:pStyle w:val="ListParagraph"/>
        <w:numPr>
          <w:ilvl w:val="0"/>
          <w:numId w:val="59"/>
        </w:numPr>
        <w:spacing w:after="240"/>
        <w:ind w:left="720"/>
        <w:contextualSpacing w:val="0"/>
        <w:rPr>
          <w:rFonts w:cs="Arial"/>
        </w:rPr>
      </w:pPr>
      <w:r w:rsidRPr="00E2660E">
        <w:rPr>
          <w:rFonts w:cs="Arial"/>
        </w:rPr>
        <w:t>Parents want to know how they can evaluate their children’s needs and better support their students’ success. Parents want more involvement in services and training to support their children and want to provide more feedback on service offerings.</w:t>
      </w:r>
    </w:p>
    <w:p w14:paraId="34621C74" w14:textId="77777777" w:rsidR="00835190" w:rsidRPr="002F0E3F" w:rsidRDefault="00A943F8" w:rsidP="00767034">
      <w:pPr>
        <w:spacing w:after="240"/>
        <w:rPr>
          <w:rFonts w:cs="Arial"/>
        </w:rPr>
      </w:pPr>
      <w:r w:rsidRPr="002F0E3F">
        <w:rPr>
          <w:rFonts w:cs="Arial"/>
        </w:rPr>
        <w:t>The information below</w:t>
      </w:r>
      <w:r w:rsidR="00835190" w:rsidRPr="002F0E3F">
        <w:rPr>
          <w:rFonts w:cs="Arial"/>
        </w:rPr>
        <w:t xml:space="preserve"> identif</w:t>
      </w:r>
      <w:r w:rsidR="009B350F" w:rsidRPr="002F0E3F">
        <w:rPr>
          <w:rFonts w:cs="Arial"/>
        </w:rPr>
        <w:t>ies</w:t>
      </w:r>
      <w:r w:rsidR="00835190" w:rsidRPr="002F0E3F">
        <w:rPr>
          <w:rFonts w:cs="Arial"/>
        </w:rPr>
        <w:t xml:space="preserve"> the concern, migratory </w:t>
      </w:r>
      <w:r w:rsidR="004529BC" w:rsidRPr="002F0E3F">
        <w:rPr>
          <w:rFonts w:cs="Arial"/>
        </w:rPr>
        <w:t>parent priority</w:t>
      </w:r>
      <w:r w:rsidR="00835190" w:rsidRPr="002F0E3F">
        <w:rPr>
          <w:rFonts w:cs="Arial"/>
        </w:rPr>
        <w:t xml:space="preserve"> need</w:t>
      </w:r>
      <w:r w:rsidR="009B350F" w:rsidRPr="002F0E3F">
        <w:rPr>
          <w:rFonts w:cs="Arial"/>
        </w:rPr>
        <w:t>,</w:t>
      </w:r>
      <w:r w:rsidR="001120F8" w:rsidRPr="002F0E3F">
        <w:rPr>
          <w:rFonts w:cs="Arial"/>
        </w:rPr>
        <w:t xml:space="preserve"> </w:t>
      </w:r>
      <w:r w:rsidR="00835190" w:rsidRPr="002F0E3F">
        <w:rPr>
          <w:rFonts w:cs="Arial"/>
        </w:rPr>
        <w:t>and</w:t>
      </w:r>
      <w:r w:rsidR="004529BC" w:rsidRPr="002F0E3F">
        <w:rPr>
          <w:rFonts w:cs="Arial"/>
        </w:rPr>
        <w:t xml:space="preserve"> the</w:t>
      </w:r>
      <w:r w:rsidR="00835190" w:rsidRPr="002F0E3F">
        <w:rPr>
          <w:rFonts w:cs="Arial"/>
        </w:rPr>
        <w:t xml:space="preserve"> initial s</w:t>
      </w:r>
      <w:r w:rsidR="004529BC" w:rsidRPr="002F0E3F">
        <w:rPr>
          <w:rFonts w:cs="Arial"/>
        </w:rPr>
        <w:t>trategies to address this need</w:t>
      </w:r>
      <w:r w:rsidR="00835190" w:rsidRPr="002F0E3F">
        <w:rPr>
          <w:rFonts w:cs="Arial"/>
        </w:rPr>
        <w:t xml:space="preserve"> to increase parent and family engagement.</w:t>
      </w:r>
    </w:p>
    <w:p w14:paraId="32EA601D" w14:textId="4D393807" w:rsidR="00767E12" w:rsidRPr="002F0E3F" w:rsidRDefault="00767E12" w:rsidP="00767034">
      <w:pPr>
        <w:pStyle w:val="Heading4"/>
      </w:pPr>
      <w:r w:rsidRPr="002F0E3F">
        <w:t xml:space="preserve">Parent and Family Engagement: Concern Statement #1 </w:t>
      </w:r>
    </w:p>
    <w:p w14:paraId="6476076F" w14:textId="6A764B22" w:rsidR="00767E12" w:rsidRPr="002F0E3F" w:rsidRDefault="00767E12" w:rsidP="00767034">
      <w:pPr>
        <w:spacing w:after="240"/>
        <w:rPr>
          <w:rFonts w:cs="Arial"/>
        </w:rPr>
      </w:pPr>
      <w:r w:rsidRPr="002F0E3F">
        <w:rPr>
          <w:rFonts w:cs="Arial"/>
        </w:rPr>
        <w:t xml:space="preserve">Although there is limited data on parent and family engagement within the MEP outside of parent attendance at district and regional parent </w:t>
      </w:r>
      <w:r w:rsidR="00D613B0">
        <w:rPr>
          <w:rFonts w:cs="Arial"/>
        </w:rPr>
        <w:t>involvement activities (e.g., parent conferences, Family Math Literacy Nights, Family Biliteracy Program, etc.)</w:t>
      </w:r>
      <w:r w:rsidRPr="002F0E3F">
        <w:rPr>
          <w:rFonts w:cs="Arial"/>
        </w:rPr>
        <w:t xml:space="preserve">, migratory parents </w:t>
      </w:r>
      <w:r w:rsidR="00D613B0">
        <w:rPr>
          <w:rFonts w:cs="Arial"/>
        </w:rPr>
        <w:t xml:space="preserve">serving on the </w:t>
      </w:r>
      <w:r w:rsidR="001C058F">
        <w:rPr>
          <w:rFonts w:cs="Arial"/>
        </w:rPr>
        <w:t xml:space="preserve">SPAC </w:t>
      </w:r>
      <w:r w:rsidRPr="002F0E3F">
        <w:rPr>
          <w:rFonts w:cs="Arial"/>
        </w:rPr>
        <w:t xml:space="preserve">provided insight </w:t>
      </w:r>
      <w:r w:rsidR="00D613B0">
        <w:rPr>
          <w:rFonts w:cs="Arial"/>
        </w:rPr>
        <w:t>in</w:t>
      </w:r>
      <w:r w:rsidRPr="002F0E3F">
        <w:rPr>
          <w:rFonts w:cs="Arial"/>
        </w:rPr>
        <w:t xml:space="preserve">to parental needs </w:t>
      </w:r>
      <w:r w:rsidR="00D613B0">
        <w:rPr>
          <w:rFonts w:cs="Arial"/>
        </w:rPr>
        <w:t xml:space="preserve">that would build their </w:t>
      </w:r>
      <w:r w:rsidR="00D613B0">
        <w:rPr>
          <w:rFonts w:cs="Arial"/>
        </w:rPr>
        <w:lastRenderedPageBreak/>
        <w:t>capacity to support their children’s academics and overall well-being</w:t>
      </w:r>
      <w:r w:rsidRPr="002F0E3F">
        <w:rPr>
          <w:rFonts w:cs="Arial"/>
        </w:rPr>
        <w:t xml:space="preserve">. The </w:t>
      </w:r>
      <w:r w:rsidR="008376CA">
        <w:rPr>
          <w:rFonts w:cs="Arial"/>
        </w:rPr>
        <w:t>Parent and Family Engagement subcommittee</w:t>
      </w:r>
      <w:r w:rsidRPr="002F0E3F">
        <w:rPr>
          <w:rFonts w:cs="Arial"/>
        </w:rPr>
        <w:t xml:space="preserve"> members articulated the f</w:t>
      </w:r>
      <w:r w:rsidR="00D613B0">
        <w:rPr>
          <w:rFonts w:cs="Arial"/>
        </w:rPr>
        <w:t>irst</w:t>
      </w:r>
      <w:r w:rsidRPr="002F0E3F">
        <w:rPr>
          <w:rFonts w:cs="Arial"/>
        </w:rPr>
        <w:t xml:space="preserve"> concern</w:t>
      </w:r>
      <w:r w:rsidR="00D613B0">
        <w:rPr>
          <w:rFonts w:cs="Arial"/>
        </w:rPr>
        <w:t xml:space="preserve"> for the Parent and Family Engagement focus area as</w:t>
      </w:r>
      <w:r w:rsidRPr="002F0E3F">
        <w:rPr>
          <w:rFonts w:cs="Arial"/>
        </w:rPr>
        <w:t>:</w:t>
      </w:r>
    </w:p>
    <w:p w14:paraId="1F08116E" w14:textId="0DF9ACE0" w:rsidR="00767E12" w:rsidRDefault="00D613B0" w:rsidP="00767034">
      <w:pPr>
        <w:spacing w:after="240" w:line="276" w:lineRule="auto"/>
        <w:ind w:left="360" w:right="720"/>
        <w:jc w:val="center"/>
        <w:rPr>
          <w:rFonts w:cs="Arial"/>
        </w:rPr>
      </w:pPr>
      <w:r w:rsidRPr="00D613B0">
        <w:rPr>
          <w:rFonts w:cs="Arial"/>
        </w:rPr>
        <w:t xml:space="preserve">We are concerned that workshops and </w:t>
      </w:r>
      <w:r w:rsidR="00AF55A8" w:rsidRPr="00D613B0">
        <w:rPr>
          <w:rFonts w:cs="Arial"/>
        </w:rPr>
        <w:t>training</w:t>
      </w:r>
      <w:r w:rsidRPr="00D613B0">
        <w:rPr>
          <w:rFonts w:cs="Arial"/>
        </w:rPr>
        <w:t xml:space="preserve"> are not provided to migratory families</w:t>
      </w:r>
      <w:r w:rsidR="00767E12" w:rsidRPr="00D613B0">
        <w:rPr>
          <w:rFonts w:cs="Arial"/>
        </w:rPr>
        <w:t xml:space="preserve">. </w:t>
      </w:r>
    </w:p>
    <w:p w14:paraId="1C387E34" w14:textId="71C4BD10" w:rsidR="00D613B0" w:rsidRPr="00D613B0" w:rsidRDefault="00D613B0" w:rsidP="00767034">
      <w:pPr>
        <w:spacing w:after="240"/>
        <w:ind w:right="720"/>
        <w:rPr>
          <w:rFonts w:cs="Arial"/>
        </w:rPr>
      </w:pPr>
      <w:r>
        <w:rPr>
          <w:rFonts w:cs="Arial"/>
        </w:rPr>
        <w:t xml:space="preserve">When the </w:t>
      </w:r>
      <w:r w:rsidR="001C058F">
        <w:rPr>
          <w:rFonts w:cs="Arial"/>
        </w:rPr>
        <w:t xml:space="preserve">SPAC members participating on the </w:t>
      </w:r>
      <w:r>
        <w:rPr>
          <w:rFonts w:cs="Arial"/>
        </w:rPr>
        <w:t>CNA SDP Committee</w:t>
      </w:r>
      <w:r w:rsidR="001C058F">
        <w:rPr>
          <w:rFonts w:cs="Arial"/>
        </w:rPr>
        <w:t xml:space="preserve"> reviewed the Parent and Family Engagement focus area reviewed the REL data they also discussed MEP outreach in their own program areas. It is important to note that MEP subgrantees across California vary greatly as far as the number of eligible migratory families, funding, the cultures represented in the population, population density (e.g., rural vs. urban), etc. This variance means that a subgrantee with a large population and geographic area may provide ten workshops for one area (e.g., mental health) and still not be able to provide a workshop for every district in the program area compared to a direct-funded district who serves itself. Therefore, it is possible that more services are being provided at the regional level that all the districts’ parents are unaware of all these services because it is not occurring at the district their children attend. Nevertheless, it is imperative that subgrantees support parents’ understanding </w:t>
      </w:r>
      <w:r w:rsidR="00D95ACF">
        <w:rPr>
          <w:rFonts w:cs="Arial"/>
        </w:rPr>
        <w:t>of</w:t>
      </w:r>
      <w:r w:rsidR="001C058F">
        <w:rPr>
          <w:rFonts w:cs="Arial"/>
        </w:rPr>
        <w:t xml:space="preserve"> the full range of services provided by the MEP and to ensure services are implemented</w:t>
      </w:r>
      <w:r w:rsidR="00736256">
        <w:rPr>
          <w:rFonts w:cs="Arial"/>
        </w:rPr>
        <w:t>, using a variety of outreach methods,</w:t>
      </w:r>
      <w:r w:rsidR="001C058F">
        <w:rPr>
          <w:rFonts w:cs="Arial"/>
        </w:rPr>
        <w:t xml:space="preserve"> in districts with high populations of migratory families</w:t>
      </w:r>
      <w:r w:rsidR="00736256">
        <w:rPr>
          <w:rFonts w:cs="Arial"/>
        </w:rPr>
        <w:t>.</w:t>
      </w:r>
    </w:p>
    <w:p w14:paraId="13917637" w14:textId="27274DF8" w:rsidR="00767E12" w:rsidRPr="002F0E3F" w:rsidRDefault="00767E12" w:rsidP="00767034">
      <w:pPr>
        <w:pStyle w:val="Heading4"/>
      </w:pPr>
      <w:r w:rsidRPr="002F0E3F">
        <w:t>Need Statement</w:t>
      </w:r>
    </w:p>
    <w:p w14:paraId="4E70D9DF" w14:textId="5831DC82" w:rsidR="00767E12" w:rsidRPr="00AF55A8" w:rsidRDefault="00767E12" w:rsidP="00767034">
      <w:pPr>
        <w:spacing w:after="240"/>
        <w:rPr>
          <w:rFonts w:cs="Arial"/>
        </w:rPr>
      </w:pPr>
      <w:r w:rsidRPr="002F0E3F">
        <w:rPr>
          <w:rFonts w:cs="Arial"/>
        </w:rPr>
        <w:t>Parent</w:t>
      </w:r>
      <w:r w:rsidR="00D613B0">
        <w:rPr>
          <w:rFonts w:cs="Arial"/>
        </w:rPr>
        <w:t>s</w:t>
      </w:r>
      <w:r w:rsidRPr="002F0E3F">
        <w:rPr>
          <w:rFonts w:cs="Arial"/>
        </w:rPr>
        <w:t xml:space="preserve"> should receive training to build their capacity to support their children at school and at home; however</w:t>
      </w:r>
      <w:r w:rsidR="00D613B0">
        <w:rPr>
          <w:rFonts w:cs="Arial"/>
        </w:rPr>
        <w:t>,</w:t>
      </w:r>
      <w:r w:rsidRPr="002F0E3F">
        <w:rPr>
          <w:rFonts w:cs="Arial"/>
        </w:rPr>
        <w:t xml:space="preserve"> </w:t>
      </w:r>
      <w:r w:rsidR="00AF55A8">
        <w:rPr>
          <w:rFonts w:cs="Arial"/>
        </w:rPr>
        <w:t xml:space="preserve">as noted above, </w:t>
      </w:r>
      <w:r w:rsidRPr="002F0E3F">
        <w:rPr>
          <w:rFonts w:cs="Arial"/>
        </w:rPr>
        <w:t xml:space="preserve">parent training varies by </w:t>
      </w:r>
      <w:r w:rsidR="00D613B0">
        <w:rPr>
          <w:rFonts w:cs="Arial"/>
        </w:rPr>
        <w:t>subgrantee</w:t>
      </w:r>
      <w:r w:rsidRPr="002F0E3F">
        <w:rPr>
          <w:rFonts w:cs="Arial"/>
        </w:rPr>
        <w:t xml:space="preserve">. Some parents do not know about MEP services. To show how much their involvement matters, parents need training on the </w:t>
      </w:r>
      <w:r w:rsidR="00BC7B01">
        <w:rPr>
          <w:rFonts w:cs="Arial"/>
        </w:rPr>
        <w:t>effect</w:t>
      </w:r>
      <w:r w:rsidR="00BC7B01" w:rsidRPr="002F0E3F">
        <w:rPr>
          <w:rFonts w:cs="Arial"/>
        </w:rPr>
        <w:t xml:space="preserve"> </w:t>
      </w:r>
      <w:r w:rsidRPr="002F0E3F">
        <w:rPr>
          <w:rFonts w:cs="Arial"/>
        </w:rPr>
        <w:t xml:space="preserve">of parent involvement on student achievement. </w:t>
      </w:r>
      <w:r w:rsidR="00AF55A8" w:rsidRPr="002F0E3F">
        <w:rPr>
          <w:rFonts w:cs="Arial"/>
        </w:rPr>
        <w:t>To</w:t>
      </w:r>
      <w:r w:rsidRPr="002F0E3F">
        <w:rPr>
          <w:rFonts w:cs="Arial"/>
        </w:rPr>
        <w:t xml:space="preserve"> develop parent capacity, subcommittee members identified the fol</w:t>
      </w:r>
      <w:r w:rsidRPr="00AF55A8">
        <w:rPr>
          <w:rFonts w:cs="Arial"/>
        </w:rPr>
        <w:t>lowing need:</w:t>
      </w:r>
    </w:p>
    <w:p w14:paraId="5A631B33" w14:textId="17C2171A" w:rsidR="00767E12" w:rsidRPr="00AF55A8" w:rsidRDefault="00AF55A8" w:rsidP="00767034">
      <w:pPr>
        <w:spacing w:after="240"/>
        <w:ind w:left="360" w:right="720"/>
        <w:jc w:val="center"/>
        <w:rPr>
          <w:rFonts w:cs="Arial"/>
        </w:rPr>
      </w:pPr>
      <w:r w:rsidRPr="00AF55A8">
        <w:rPr>
          <w:rFonts w:cs="Arial"/>
        </w:rPr>
        <w:t xml:space="preserve">LEAs need to offer workshops </w:t>
      </w:r>
      <w:r>
        <w:rPr>
          <w:rFonts w:cs="Arial"/>
        </w:rPr>
        <w:t>with</w:t>
      </w:r>
      <w:r w:rsidRPr="00AF55A8">
        <w:rPr>
          <w:rFonts w:cs="Arial"/>
        </w:rPr>
        <w:t xml:space="preserve"> </w:t>
      </w:r>
      <w:r w:rsidR="00F02343">
        <w:rPr>
          <w:rFonts w:cs="Arial"/>
        </w:rPr>
        <w:t>appropriate</w:t>
      </w:r>
      <w:r w:rsidRPr="00AF55A8">
        <w:rPr>
          <w:rFonts w:cs="Arial"/>
        </w:rPr>
        <w:t xml:space="preserve"> </w:t>
      </w:r>
      <w:r>
        <w:rPr>
          <w:rFonts w:cs="Arial"/>
        </w:rPr>
        <w:t>scheduling</w:t>
      </w:r>
      <w:r w:rsidRPr="00AF55A8">
        <w:rPr>
          <w:rFonts w:cs="Arial"/>
        </w:rPr>
        <w:t xml:space="preserve"> (e.g., school or district–when parents</w:t>
      </w:r>
      <w:r>
        <w:rPr>
          <w:rFonts w:cs="Arial"/>
        </w:rPr>
        <w:t xml:space="preserve"> are</w:t>
      </w:r>
      <w:r w:rsidRPr="00AF55A8">
        <w:rPr>
          <w:rFonts w:cs="Arial"/>
        </w:rPr>
        <w:t xml:space="preserve"> available) and use various methods to communicate with parents</w:t>
      </w:r>
      <w:r w:rsidR="00767E12" w:rsidRPr="00AF55A8">
        <w:rPr>
          <w:rFonts w:cs="Arial"/>
        </w:rPr>
        <w:t xml:space="preserve">. </w:t>
      </w:r>
    </w:p>
    <w:p w14:paraId="27174F8B" w14:textId="07CDEE00" w:rsidR="00767E12" w:rsidRPr="002F0E3F" w:rsidRDefault="00AF55A8" w:rsidP="00767034">
      <w:pPr>
        <w:spacing w:after="240"/>
        <w:rPr>
          <w:rFonts w:cs="Arial"/>
        </w:rPr>
      </w:pPr>
      <w:r>
        <w:rPr>
          <w:rFonts w:cs="Arial"/>
        </w:rPr>
        <w:t xml:space="preserve">Many subgrantees survey their parents to identify when services should be implemented, but this need suggests there may need to be additional opportunities to collect parent input at the local level. </w:t>
      </w:r>
      <w:r w:rsidR="00767E12" w:rsidRPr="00AF55A8">
        <w:rPr>
          <w:rFonts w:cs="Arial"/>
        </w:rPr>
        <w:t>The initial strategies included for this fo</w:t>
      </w:r>
      <w:r w:rsidR="00767E12" w:rsidRPr="002F0E3F">
        <w:rPr>
          <w:rFonts w:cs="Arial"/>
        </w:rPr>
        <w:t xml:space="preserve">cus area </w:t>
      </w:r>
      <w:r w:rsidR="00C202D4" w:rsidRPr="002F0E3F">
        <w:rPr>
          <w:rFonts w:cs="Arial"/>
        </w:rPr>
        <w:t>focus on building parent capacity to aid parents in supporting students at school and at home</w:t>
      </w:r>
      <w:r w:rsidR="00767E12" w:rsidRPr="002F0E3F">
        <w:rPr>
          <w:rFonts w:cs="Arial"/>
        </w:rPr>
        <w:t>.</w:t>
      </w:r>
    </w:p>
    <w:p w14:paraId="44533D12" w14:textId="677D8AB9" w:rsidR="00767E12" w:rsidRPr="002F0E3F" w:rsidRDefault="00767E12" w:rsidP="00767034">
      <w:pPr>
        <w:pStyle w:val="Heading4"/>
      </w:pPr>
      <w:r w:rsidRPr="002F0E3F">
        <w:t>Initial Strategies</w:t>
      </w:r>
      <w:r w:rsidR="006450FC">
        <w:t xml:space="preserve"> to Address Need</w:t>
      </w:r>
    </w:p>
    <w:p w14:paraId="485AB082" w14:textId="680482A5" w:rsidR="00767E12" w:rsidRPr="002F0E3F" w:rsidRDefault="00767E12" w:rsidP="00767034">
      <w:pPr>
        <w:spacing w:after="240"/>
        <w:rPr>
          <w:rFonts w:cs="Arial"/>
        </w:rPr>
      </w:pPr>
      <w:r w:rsidRPr="002F0E3F">
        <w:rPr>
          <w:rFonts w:cs="Arial"/>
        </w:rPr>
        <w:t xml:space="preserve">After discussion and reviewing evidence-based practices for parent engagement, the </w:t>
      </w:r>
      <w:r w:rsidR="008376CA">
        <w:rPr>
          <w:rFonts w:cs="Arial"/>
        </w:rPr>
        <w:t>Parent and Family Engagement subcommittee</w:t>
      </w:r>
      <w:r w:rsidRPr="002F0E3F">
        <w:rPr>
          <w:rFonts w:cs="Arial"/>
        </w:rPr>
        <w:t xml:space="preserve"> suggested the following strategies:</w:t>
      </w:r>
    </w:p>
    <w:p w14:paraId="3F6D8E04" w14:textId="77777777" w:rsidR="00F1510F" w:rsidRDefault="00F1510F" w:rsidP="009670FC">
      <w:pPr>
        <w:pStyle w:val="ListParagraph"/>
        <w:numPr>
          <w:ilvl w:val="1"/>
          <w:numId w:val="13"/>
        </w:numPr>
        <w:spacing w:after="240"/>
        <w:ind w:left="720"/>
        <w:contextualSpacing w:val="0"/>
        <w:rPr>
          <w:rFonts w:cs="Arial"/>
        </w:rPr>
      </w:pPr>
      <w:r w:rsidRPr="00F1510F">
        <w:rPr>
          <w:rFonts w:cs="Arial"/>
        </w:rPr>
        <w:lastRenderedPageBreak/>
        <w:t>Offer a series of six workshops for parents that are in line with the needs of the region.</w:t>
      </w:r>
    </w:p>
    <w:p w14:paraId="33A5FE17" w14:textId="6E7C1D09" w:rsidR="0032578D" w:rsidRPr="00F1510F" w:rsidRDefault="0032578D" w:rsidP="009670FC">
      <w:pPr>
        <w:pStyle w:val="ListParagraph"/>
        <w:numPr>
          <w:ilvl w:val="1"/>
          <w:numId w:val="13"/>
        </w:numPr>
        <w:spacing w:after="240"/>
        <w:ind w:left="720"/>
        <w:contextualSpacing w:val="0"/>
        <w:rPr>
          <w:rFonts w:cs="Arial"/>
        </w:rPr>
      </w:pPr>
      <w:r>
        <w:rPr>
          <w:rFonts w:cs="Arial"/>
        </w:rPr>
        <w:t>Provide workshops to build parents’ ability to support and advocate for their children with special needs.</w:t>
      </w:r>
    </w:p>
    <w:p w14:paraId="52393150" w14:textId="6E8A2EA0" w:rsidR="0072770C" w:rsidRDefault="00F1510F" w:rsidP="009670FC">
      <w:pPr>
        <w:pStyle w:val="ListParagraph"/>
        <w:numPr>
          <w:ilvl w:val="1"/>
          <w:numId w:val="13"/>
        </w:numPr>
        <w:spacing w:after="240"/>
        <w:ind w:left="720"/>
        <w:contextualSpacing w:val="0"/>
        <w:rPr>
          <w:rFonts w:cs="Arial"/>
        </w:rPr>
      </w:pPr>
      <w:r w:rsidRPr="00F1510F">
        <w:rPr>
          <w:rFonts w:cs="Arial"/>
        </w:rPr>
        <w:t>Parents should receive a certificate or some type of recognition for completing workshops</w:t>
      </w:r>
      <w:r w:rsidR="0072770C" w:rsidRPr="00F1510F">
        <w:rPr>
          <w:rFonts w:cs="Arial"/>
        </w:rPr>
        <w:t xml:space="preserve">. </w:t>
      </w:r>
    </w:p>
    <w:p w14:paraId="62FCD8E7" w14:textId="402DB018" w:rsidR="00251FDF" w:rsidRPr="00251FDF" w:rsidRDefault="00251FDF" w:rsidP="00251FDF">
      <w:pPr>
        <w:spacing w:after="240"/>
        <w:rPr>
          <w:rFonts w:cs="Arial"/>
        </w:rPr>
      </w:pPr>
      <w:r>
        <w:rPr>
          <w:rFonts w:cs="Arial"/>
        </w:rPr>
        <w:t xml:space="preserve">While California </w:t>
      </w:r>
      <w:r w:rsidR="00034557">
        <w:rPr>
          <w:rFonts w:cs="Arial"/>
        </w:rPr>
        <w:t xml:space="preserve">is unable to implement all the identified strategies, several </w:t>
      </w:r>
      <w:r w:rsidR="00BC7B01">
        <w:rPr>
          <w:rFonts w:cs="Arial"/>
        </w:rPr>
        <w:t xml:space="preserve">strategies such as </w:t>
      </w:r>
      <w:r w:rsidR="00034557">
        <w:rPr>
          <w:rFonts w:cs="Arial"/>
        </w:rPr>
        <w:t xml:space="preserve">recognizing parents for completing workshops or using parents as program advocates will </w:t>
      </w:r>
      <w:r w:rsidR="003151C5">
        <w:rPr>
          <w:rFonts w:cs="Arial"/>
        </w:rPr>
        <w:t>be recorded as</w:t>
      </w:r>
      <w:r w:rsidR="00034557">
        <w:rPr>
          <w:rFonts w:cs="Arial"/>
        </w:rPr>
        <w:t xml:space="preserve"> recommended practices</w:t>
      </w:r>
      <w:r w:rsidR="003151C5">
        <w:rPr>
          <w:rFonts w:cs="Arial"/>
        </w:rPr>
        <w:t xml:space="preserve"> within the SDP</w:t>
      </w:r>
      <w:r w:rsidR="00034557">
        <w:rPr>
          <w:rFonts w:cs="Arial"/>
        </w:rPr>
        <w:t xml:space="preserve">. </w:t>
      </w:r>
    </w:p>
    <w:p w14:paraId="7F6D82D2" w14:textId="48E9E1C4" w:rsidR="00F1510F" w:rsidRPr="002F0E3F" w:rsidRDefault="00F1510F" w:rsidP="00767034">
      <w:pPr>
        <w:pStyle w:val="Heading4"/>
      </w:pPr>
      <w:r w:rsidRPr="002F0E3F">
        <w:t>Parent and Family Engagement: Concern Statement #</w:t>
      </w:r>
      <w:r>
        <w:t>2</w:t>
      </w:r>
      <w:r w:rsidRPr="002F0E3F">
        <w:t xml:space="preserve"> </w:t>
      </w:r>
    </w:p>
    <w:p w14:paraId="2740AB60" w14:textId="1D6BD3BC" w:rsidR="00F1510F" w:rsidRPr="002F0E3F" w:rsidRDefault="00F1510F" w:rsidP="00767034">
      <w:pPr>
        <w:spacing w:after="240"/>
        <w:rPr>
          <w:rFonts w:cs="Arial"/>
        </w:rPr>
      </w:pPr>
      <w:r>
        <w:rPr>
          <w:rFonts w:cs="Arial"/>
        </w:rPr>
        <w:t>Acting as an extension of the CNA SDP Committee, the SPAC recognized the need to increase the MEP’s visibility</w:t>
      </w:r>
      <w:r w:rsidR="00BE778C">
        <w:rPr>
          <w:rFonts w:cs="Arial"/>
        </w:rPr>
        <w:t xml:space="preserve"> within the districts being served by the MEP and for migratory parents</w:t>
      </w:r>
      <w:r w:rsidRPr="002F0E3F">
        <w:rPr>
          <w:rFonts w:cs="Arial"/>
        </w:rPr>
        <w:t>.</w:t>
      </w:r>
      <w:r>
        <w:rPr>
          <w:rFonts w:cs="Arial"/>
        </w:rPr>
        <w:t xml:space="preserve"> Parents noted that many times school and district staff were unfamiliar with the MEP </w:t>
      </w:r>
      <w:r w:rsidR="0032578D">
        <w:rPr>
          <w:rFonts w:cs="Arial"/>
        </w:rPr>
        <w:t xml:space="preserve">serving their students </w:t>
      </w:r>
      <w:r>
        <w:rPr>
          <w:rFonts w:cs="Arial"/>
        </w:rPr>
        <w:t>making it sometimes more difficult to obtain information on the program and services offered</w:t>
      </w:r>
      <w:r w:rsidRPr="002F0E3F">
        <w:rPr>
          <w:rFonts w:cs="Arial"/>
        </w:rPr>
        <w:t>:</w:t>
      </w:r>
    </w:p>
    <w:p w14:paraId="6B47B33F" w14:textId="77777777" w:rsidR="007461E6" w:rsidRPr="004B4032" w:rsidRDefault="007461E6" w:rsidP="00767034">
      <w:pPr>
        <w:spacing w:after="240"/>
        <w:jc w:val="center"/>
        <w:rPr>
          <w:rFonts w:cs="Arial"/>
        </w:rPr>
      </w:pPr>
      <w:r w:rsidRPr="004B4032">
        <w:rPr>
          <w:rFonts w:cs="Arial"/>
        </w:rPr>
        <w:t>We are concerned that the districts and parents don’t have information about the MEP and the services it offers.</w:t>
      </w:r>
    </w:p>
    <w:p w14:paraId="21486C31" w14:textId="6A7F8771" w:rsidR="00F1510F" w:rsidRPr="00D613B0" w:rsidRDefault="007461E6" w:rsidP="00767034">
      <w:pPr>
        <w:spacing w:after="240"/>
        <w:ind w:right="720"/>
        <w:rPr>
          <w:rFonts w:cs="Arial"/>
        </w:rPr>
      </w:pPr>
      <w:r>
        <w:rPr>
          <w:rFonts w:cs="Arial"/>
        </w:rPr>
        <w:t xml:space="preserve">With the variance in program size, it is quite possible that some districts with low populations of eligible migratory families may not be fully aware of the MEP and the supports it offers to their shared students. Additional exploration is needed to identify the root causes of this issue and </w:t>
      </w:r>
      <w:proofErr w:type="gramStart"/>
      <w:r>
        <w:rPr>
          <w:rFonts w:cs="Arial"/>
        </w:rPr>
        <w:t>propose change</w:t>
      </w:r>
      <w:proofErr w:type="gramEnd"/>
      <w:r>
        <w:rPr>
          <w:rFonts w:cs="Arial"/>
        </w:rPr>
        <w:t xml:space="preserve"> ideas to expand knowledge and participation in the MEP. </w:t>
      </w:r>
    </w:p>
    <w:p w14:paraId="726B64F2" w14:textId="77777777" w:rsidR="00F1510F" w:rsidRPr="002F0E3F" w:rsidRDefault="00F1510F" w:rsidP="00767034">
      <w:pPr>
        <w:pStyle w:val="Heading4"/>
      </w:pPr>
      <w:r w:rsidRPr="002F0E3F">
        <w:t>Need Statement</w:t>
      </w:r>
    </w:p>
    <w:p w14:paraId="1D0C8D41" w14:textId="7AAB52E8" w:rsidR="00F1510F" w:rsidRPr="00AF55A8" w:rsidRDefault="0086004B" w:rsidP="00767034">
      <w:pPr>
        <w:spacing w:after="240"/>
        <w:rPr>
          <w:rFonts w:cs="Arial"/>
        </w:rPr>
      </w:pPr>
      <w:r>
        <w:rPr>
          <w:rFonts w:cs="Arial"/>
        </w:rPr>
        <w:t>Districts who do not personally implement the MEP are served by their regional MEP. Since these districts are not responsible for the day-to-day implementation of the program, it is understandable if all school staff do not know about the MEP. However, the MEP needs to continuously expand its reach. When districts and parents are aware of the MEP, they can act as liaisons to refer families to the MEP.</w:t>
      </w:r>
      <w:r w:rsidR="00F1510F" w:rsidRPr="002F0E3F">
        <w:rPr>
          <w:rFonts w:cs="Arial"/>
        </w:rPr>
        <w:t xml:space="preserve"> </w:t>
      </w:r>
      <w:r>
        <w:rPr>
          <w:rFonts w:cs="Arial"/>
        </w:rPr>
        <w:t xml:space="preserve">To increase MEP visibility, the </w:t>
      </w:r>
      <w:r w:rsidR="008376CA">
        <w:rPr>
          <w:rFonts w:cs="Arial"/>
        </w:rPr>
        <w:t>Parent and Family Engagement subcommittee</w:t>
      </w:r>
      <w:r w:rsidR="00F1510F" w:rsidRPr="002F0E3F">
        <w:rPr>
          <w:rFonts w:cs="Arial"/>
        </w:rPr>
        <w:t xml:space="preserve"> identified the fol</w:t>
      </w:r>
      <w:r w:rsidR="00F1510F" w:rsidRPr="00AF55A8">
        <w:rPr>
          <w:rFonts w:cs="Arial"/>
        </w:rPr>
        <w:t>lowing need:</w:t>
      </w:r>
    </w:p>
    <w:p w14:paraId="66B94E49" w14:textId="77777777" w:rsidR="007461E6" w:rsidRPr="007461E6" w:rsidRDefault="007461E6" w:rsidP="00767034">
      <w:pPr>
        <w:spacing w:after="240"/>
        <w:jc w:val="center"/>
        <w:rPr>
          <w:rFonts w:cs="Arial"/>
        </w:rPr>
      </w:pPr>
      <w:r w:rsidRPr="007461E6">
        <w:rPr>
          <w:rFonts w:cs="Arial"/>
        </w:rPr>
        <w:t>More parents and district personnel need to be informed of the MEP and what services are offered.</w:t>
      </w:r>
    </w:p>
    <w:p w14:paraId="0F8BE807" w14:textId="538B3DF7" w:rsidR="00F1510F" w:rsidRPr="002F0E3F" w:rsidRDefault="004B4032" w:rsidP="00767034">
      <w:pPr>
        <w:spacing w:after="240"/>
        <w:rPr>
          <w:rFonts w:cs="Arial"/>
        </w:rPr>
      </w:pPr>
      <w:proofErr w:type="gramStart"/>
      <w:r>
        <w:rPr>
          <w:rFonts w:cs="Arial"/>
        </w:rPr>
        <w:t>It is clear that additional</w:t>
      </w:r>
      <w:proofErr w:type="gramEnd"/>
      <w:r>
        <w:rPr>
          <w:rFonts w:cs="Arial"/>
        </w:rPr>
        <w:t xml:space="preserve"> support is needed around MEP educational outreach efforts and/or increased communication between the MEP and parents. Currently the MEP employs various outreach efforts (e.g., texts, phone calls, flyers, WhatsApp, emails, </w:t>
      </w:r>
      <w:r>
        <w:rPr>
          <w:rFonts w:cs="Arial"/>
        </w:rPr>
        <w:lastRenderedPageBreak/>
        <w:t>etc.)</w:t>
      </w:r>
      <w:r w:rsidR="007461E6">
        <w:rPr>
          <w:rFonts w:cs="Arial"/>
        </w:rPr>
        <w:t xml:space="preserve">, but additional parent </w:t>
      </w:r>
      <w:r w:rsidR="00BC7B01">
        <w:rPr>
          <w:rFonts w:cs="Arial"/>
        </w:rPr>
        <w:t xml:space="preserve">feedback </w:t>
      </w:r>
      <w:r w:rsidR="007461E6">
        <w:rPr>
          <w:rFonts w:cs="Arial"/>
        </w:rPr>
        <w:t xml:space="preserve">is needed </w:t>
      </w:r>
      <w:r w:rsidR="003151C5">
        <w:rPr>
          <w:rFonts w:cs="Arial"/>
        </w:rPr>
        <w:t>to ensure the MEP is optimizing communication to parents</w:t>
      </w:r>
      <w:r w:rsidR="007461E6">
        <w:rPr>
          <w:rFonts w:cs="Arial"/>
        </w:rPr>
        <w:t>.</w:t>
      </w:r>
    </w:p>
    <w:p w14:paraId="05510A92" w14:textId="77777777" w:rsidR="00F1510F" w:rsidRPr="002F0E3F" w:rsidRDefault="00F1510F" w:rsidP="00767034">
      <w:pPr>
        <w:pStyle w:val="Heading4"/>
      </w:pPr>
      <w:r w:rsidRPr="002F0E3F">
        <w:t>Initial Strategies</w:t>
      </w:r>
      <w:r>
        <w:t xml:space="preserve"> to Address Need</w:t>
      </w:r>
    </w:p>
    <w:p w14:paraId="110F3518" w14:textId="619A9F5D" w:rsidR="00F1510F" w:rsidRPr="0032578D" w:rsidRDefault="00F1510F" w:rsidP="00F1510F">
      <w:pPr>
        <w:spacing w:after="240"/>
        <w:rPr>
          <w:rFonts w:cs="Arial"/>
        </w:rPr>
      </w:pPr>
      <w:r w:rsidRPr="002F0E3F">
        <w:rPr>
          <w:rFonts w:cs="Arial"/>
        </w:rPr>
        <w:t>After discussion and reviewing evidence-based practices for parent</w:t>
      </w:r>
      <w:r w:rsidR="00D703B0">
        <w:rPr>
          <w:rFonts w:cs="Arial"/>
        </w:rPr>
        <w:t xml:space="preserve"> and family</w:t>
      </w:r>
      <w:r w:rsidRPr="002F0E3F">
        <w:rPr>
          <w:rFonts w:cs="Arial"/>
        </w:rPr>
        <w:t xml:space="preserve"> engagement, the </w:t>
      </w:r>
      <w:r w:rsidR="008376CA">
        <w:rPr>
          <w:rFonts w:cs="Arial"/>
        </w:rPr>
        <w:t>Parent and Family Engagement subcommittee</w:t>
      </w:r>
      <w:r w:rsidRPr="0032578D">
        <w:rPr>
          <w:rFonts w:cs="Arial"/>
        </w:rPr>
        <w:t xml:space="preserve"> suggested the following strategies</w:t>
      </w:r>
      <w:r w:rsidR="007461E6">
        <w:rPr>
          <w:rFonts w:cs="Arial"/>
        </w:rPr>
        <w:t xml:space="preserve"> for the second concern</w:t>
      </w:r>
      <w:r w:rsidRPr="0032578D">
        <w:rPr>
          <w:rFonts w:cs="Arial"/>
        </w:rPr>
        <w:t>:</w:t>
      </w:r>
    </w:p>
    <w:p w14:paraId="0864A4DD" w14:textId="77777777" w:rsidR="009175F7" w:rsidRDefault="0032578D" w:rsidP="009670FC">
      <w:pPr>
        <w:pStyle w:val="ListParagraph"/>
        <w:numPr>
          <w:ilvl w:val="0"/>
          <w:numId w:val="54"/>
        </w:numPr>
        <w:spacing w:after="240"/>
        <w:contextualSpacing w:val="0"/>
        <w:rPr>
          <w:rFonts w:cs="Arial"/>
        </w:rPr>
      </w:pPr>
      <w:r w:rsidRPr="0032578D">
        <w:rPr>
          <w:rFonts w:cs="Arial"/>
        </w:rPr>
        <w:t>Educate district personnel and parents on the purpose of the MEP and what services are offered</w:t>
      </w:r>
      <w:r w:rsidR="00F1510F" w:rsidRPr="0032578D">
        <w:rPr>
          <w:rFonts w:cs="Arial"/>
        </w:rPr>
        <w:t>.</w:t>
      </w:r>
      <w:r w:rsidR="009175F7">
        <w:rPr>
          <w:rFonts w:cs="Arial"/>
        </w:rPr>
        <w:t xml:space="preserve"> </w:t>
      </w:r>
    </w:p>
    <w:p w14:paraId="0F749A16" w14:textId="06E836DB" w:rsidR="00F1510F" w:rsidRPr="009175F7" w:rsidRDefault="009175F7" w:rsidP="009670FC">
      <w:pPr>
        <w:pStyle w:val="ListParagraph"/>
        <w:numPr>
          <w:ilvl w:val="0"/>
          <w:numId w:val="54"/>
        </w:numPr>
        <w:spacing w:after="240"/>
        <w:contextualSpacing w:val="0"/>
        <w:rPr>
          <w:rFonts w:cs="Arial"/>
        </w:rPr>
      </w:pPr>
      <w:r w:rsidRPr="009175F7">
        <w:rPr>
          <w:rFonts w:cs="Arial"/>
        </w:rPr>
        <w:t>Implement various parent outreach methods: calls, tables at events, flyers of what is being offered,</w:t>
      </w:r>
      <w:r w:rsidR="00BE778C">
        <w:rPr>
          <w:rFonts w:cs="Arial"/>
        </w:rPr>
        <w:t xml:space="preserve"> advertise MEP services on the school</w:t>
      </w:r>
      <w:r w:rsidRPr="009175F7">
        <w:rPr>
          <w:rFonts w:cs="Arial"/>
        </w:rPr>
        <w:t xml:space="preserve"> marquee</w:t>
      </w:r>
      <w:r w:rsidR="00BE778C">
        <w:rPr>
          <w:rFonts w:cs="Arial"/>
        </w:rPr>
        <w:t>, etc.</w:t>
      </w:r>
    </w:p>
    <w:p w14:paraId="1F702175" w14:textId="77777777" w:rsidR="00BE778C" w:rsidRPr="00BE778C" w:rsidRDefault="00BE778C" w:rsidP="009670FC">
      <w:pPr>
        <w:pStyle w:val="ListParagraph"/>
        <w:numPr>
          <w:ilvl w:val="0"/>
          <w:numId w:val="54"/>
        </w:numPr>
        <w:spacing w:after="240"/>
        <w:contextualSpacing w:val="0"/>
        <w:rPr>
          <w:rFonts w:cs="Arial"/>
        </w:rPr>
      </w:pPr>
      <w:r w:rsidRPr="00BE778C">
        <w:rPr>
          <w:rFonts w:cs="Arial"/>
        </w:rPr>
        <w:t>Offer childcare services and sandwiches during meetings/services or other motivation.</w:t>
      </w:r>
    </w:p>
    <w:p w14:paraId="3040B0A7" w14:textId="4D786965" w:rsidR="009175F7" w:rsidRPr="00BE778C" w:rsidRDefault="00BE778C" w:rsidP="009670FC">
      <w:pPr>
        <w:pStyle w:val="ListParagraph"/>
        <w:numPr>
          <w:ilvl w:val="0"/>
          <w:numId w:val="54"/>
        </w:numPr>
        <w:spacing w:after="240"/>
        <w:contextualSpacing w:val="0"/>
        <w:rPr>
          <w:rFonts w:cs="Arial"/>
        </w:rPr>
      </w:pPr>
      <w:r w:rsidRPr="00BE778C">
        <w:rPr>
          <w:rFonts w:cs="Arial"/>
        </w:rPr>
        <w:t>Parents should act as promoters of the program.</w:t>
      </w:r>
    </w:p>
    <w:p w14:paraId="5EAEF832" w14:textId="4A075940" w:rsidR="00F1510F" w:rsidRPr="00F1510F" w:rsidRDefault="00D703B0" w:rsidP="00F1510F">
      <w:pPr>
        <w:spacing w:after="240"/>
        <w:rPr>
          <w:rFonts w:cs="Arial"/>
        </w:rPr>
      </w:pPr>
      <w:r>
        <w:rPr>
          <w:rFonts w:cs="Arial"/>
        </w:rPr>
        <w:t xml:space="preserve">While </w:t>
      </w:r>
      <w:r w:rsidR="000F4028">
        <w:rPr>
          <w:rFonts w:cs="Arial"/>
        </w:rPr>
        <w:t>all</w:t>
      </w:r>
      <w:r>
        <w:rPr>
          <w:rFonts w:cs="Arial"/>
        </w:rPr>
        <w:t xml:space="preserve"> these strategies are considered best practices, the CDE would not be able to </w:t>
      </w:r>
      <w:r w:rsidR="000F4028">
        <w:rPr>
          <w:rFonts w:cs="Arial"/>
        </w:rPr>
        <w:t>measure several of these strategies. For that reason</w:t>
      </w:r>
      <w:r w:rsidR="004B4032">
        <w:rPr>
          <w:rFonts w:cs="Arial"/>
        </w:rPr>
        <w:t>,</w:t>
      </w:r>
      <w:r w:rsidR="000F4028">
        <w:rPr>
          <w:rFonts w:cs="Arial"/>
        </w:rPr>
        <w:t xml:space="preserve"> the CDE will include any strategy unable to be measured to be included in focus area specific guidance in the </w:t>
      </w:r>
      <w:r w:rsidR="004B4032">
        <w:rPr>
          <w:rFonts w:cs="Arial"/>
        </w:rPr>
        <w:t xml:space="preserve">upcoming </w:t>
      </w:r>
      <w:r w:rsidR="000F4028">
        <w:rPr>
          <w:rFonts w:cs="Arial"/>
        </w:rPr>
        <w:t>SDP.</w:t>
      </w:r>
      <w:r w:rsidR="004B4032">
        <w:rPr>
          <w:rFonts w:cs="Arial"/>
        </w:rPr>
        <w:t xml:space="preserve"> Where possible, the CDE will also implement strategies on a statewide basis and develop statewide resources (e.g., communication toolkit to raise awareness of MEP services).</w:t>
      </w:r>
    </w:p>
    <w:p w14:paraId="62B8277F" w14:textId="77777777" w:rsidR="00C34B84" w:rsidRPr="002F0E3F" w:rsidRDefault="00C34B84" w:rsidP="00767034">
      <w:pPr>
        <w:pStyle w:val="Heading3"/>
      </w:pPr>
      <w:bookmarkStart w:id="196" w:name="_Toc496195926"/>
      <w:bookmarkStart w:id="197" w:name="_Toc188361334"/>
      <w:r w:rsidRPr="002F0E3F">
        <w:t>Student Engagement</w:t>
      </w:r>
      <w:bookmarkEnd w:id="196"/>
      <w:bookmarkEnd w:id="197"/>
    </w:p>
    <w:p w14:paraId="4DD03031" w14:textId="4DEDAF80" w:rsidR="007D40E1" w:rsidRPr="002F0E3F" w:rsidRDefault="007D40E1" w:rsidP="00767034">
      <w:pPr>
        <w:spacing w:after="240"/>
        <w:rPr>
          <w:rFonts w:cs="Arial"/>
        </w:rPr>
      </w:pPr>
      <w:r w:rsidRPr="00A263FB">
        <w:rPr>
          <w:rFonts w:cs="Arial"/>
        </w:rPr>
        <w:t>Student engagement is not</w:t>
      </w:r>
      <w:r w:rsidRPr="00A263FB">
        <w:rPr>
          <w:rFonts w:cs="Arial"/>
          <w:spacing w:val="-5"/>
        </w:rPr>
        <w:t xml:space="preserve"> </w:t>
      </w:r>
      <w:r w:rsidR="00811F6E" w:rsidRPr="00A263FB">
        <w:rPr>
          <w:rFonts w:cs="Arial"/>
          <w:spacing w:val="-5"/>
        </w:rPr>
        <w:t>a</w:t>
      </w:r>
      <w:r w:rsidR="009A37C4">
        <w:rPr>
          <w:rFonts w:cs="Arial"/>
          <w:spacing w:val="-5"/>
        </w:rPr>
        <w:t>n</w:t>
      </w:r>
      <w:r w:rsidRPr="00A263FB">
        <w:rPr>
          <w:rFonts w:cs="Arial"/>
          <w:spacing w:val="-5"/>
        </w:rPr>
        <w:t xml:space="preserve"> </w:t>
      </w:r>
      <w:r w:rsidRPr="00A263FB">
        <w:rPr>
          <w:rFonts w:cs="Arial"/>
        </w:rPr>
        <w:t>attribute</w:t>
      </w:r>
      <w:r w:rsidRPr="00A263FB">
        <w:rPr>
          <w:rFonts w:cs="Arial"/>
          <w:spacing w:val="-5"/>
        </w:rPr>
        <w:t xml:space="preserve"> </w:t>
      </w:r>
      <w:r w:rsidRPr="00A263FB">
        <w:rPr>
          <w:rFonts w:cs="Arial"/>
        </w:rPr>
        <w:t>of</w:t>
      </w:r>
      <w:r w:rsidRPr="00A263FB">
        <w:rPr>
          <w:rFonts w:cs="Arial"/>
          <w:spacing w:val="-5"/>
        </w:rPr>
        <w:t xml:space="preserve"> </w:t>
      </w:r>
      <w:r w:rsidRPr="00A263FB">
        <w:rPr>
          <w:rFonts w:cs="Arial"/>
        </w:rPr>
        <w:t>the</w:t>
      </w:r>
      <w:r w:rsidRPr="00A263FB">
        <w:rPr>
          <w:rFonts w:cs="Arial"/>
          <w:spacing w:val="-5"/>
        </w:rPr>
        <w:t xml:space="preserve"> </w:t>
      </w:r>
      <w:r w:rsidRPr="00A263FB">
        <w:rPr>
          <w:rFonts w:cs="Arial"/>
        </w:rPr>
        <w:t>student</w:t>
      </w:r>
      <w:r w:rsidR="00947639" w:rsidRPr="00A263FB">
        <w:rPr>
          <w:rFonts w:cs="Arial"/>
        </w:rPr>
        <w:t>,</w:t>
      </w:r>
      <w:r w:rsidRPr="00A263FB">
        <w:rPr>
          <w:rFonts w:cs="Arial"/>
          <w:spacing w:val="-5"/>
        </w:rPr>
        <w:t xml:space="preserve"> </w:t>
      </w:r>
      <w:r w:rsidRPr="00A263FB">
        <w:rPr>
          <w:rFonts w:cs="Arial"/>
        </w:rPr>
        <w:t>but</w:t>
      </w:r>
      <w:r w:rsidRPr="00A263FB">
        <w:rPr>
          <w:rFonts w:cs="Arial"/>
          <w:spacing w:val="-5"/>
        </w:rPr>
        <w:t xml:space="preserve"> </w:t>
      </w:r>
      <w:r w:rsidRPr="00A263FB">
        <w:rPr>
          <w:rFonts w:cs="Arial"/>
        </w:rPr>
        <w:t>rather</w:t>
      </w:r>
      <w:r w:rsidRPr="00A263FB">
        <w:rPr>
          <w:rFonts w:cs="Arial"/>
          <w:spacing w:val="-5"/>
        </w:rPr>
        <w:t xml:space="preserve"> </w:t>
      </w:r>
      <w:r w:rsidRPr="00A263FB">
        <w:rPr>
          <w:rFonts w:cs="Arial"/>
        </w:rPr>
        <w:t>an</w:t>
      </w:r>
      <w:r w:rsidRPr="00A263FB">
        <w:rPr>
          <w:rFonts w:cs="Arial"/>
          <w:spacing w:val="-5"/>
        </w:rPr>
        <w:t xml:space="preserve"> </w:t>
      </w:r>
      <w:r w:rsidRPr="00A263FB">
        <w:rPr>
          <w:rFonts w:cs="Arial"/>
        </w:rPr>
        <w:t>alterable</w:t>
      </w:r>
      <w:r w:rsidRPr="00A263FB">
        <w:rPr>
          <w:rFonts w:cs="Arial"/>
          <w:spacing w:val="-5"/>
        </w:rPr>
        <w:t xml:space="preserve"> </w:t>
      </w:r>
      <w:r w:rsidRPr="00A263FB">
        <w:rPr>
          <w:rFonts w:cs="Arial"/>
        </w:rPr>
        <w:t>state</w:t>
      </w:r>
      <w:r w:rsidRPr="00A263FB">
        <w:rPr>
          <w:rFonts w:cs="Arial"/>
          <w:spacing w:val="-5"/>
        </w:rPr>
        <w:t xml:space="preserve"> </w:t>
      </w:r>
      <w:r w:rsidRPr="00A263FB">
        <w:rPr>
          <w:rFonts w:cs="Arial"/>
        </w:rPr>
        <w:t>of</w:t>
      </w:r>
      <w:r w:rsidRPr="00A263FB">
        <w:rPr>
          <w:rFonts w:cs="Arial"/>
          <w:spacing w:val="-5"/>
        </w:rPr>
        <w:t xml:space="preserve"> </w:t>
      </w:r>
      <w:r w:rsidRPr="00A263FB">
        <w:rPr>
          <w:rFonts w:cs="Arial"/>
        </w:rPr>
        <w:t>being</w:t>
      </w:r>
      <w:r w:rsidRPr="00A263FB">
        <w:rPr>
          <w:rFonts w:cs="Arial"/>
          <w:spacing w:val="-5"/>
        </w:rPr>
        <w:t xml:space="preserve"> </w:t>
      </w:r>
      <w:r w:rsidRPr="00A263FB">
        <w:rPr>
          <w:rFonts w:cs="Arial"/>
        </w:rPr>
        <w:t>that</w:t>
      </w:r>
      <w:r w:rsidRPr="00A263FB">
        <w:rPr>
          <w:rFonts w:cs="Arial"/>
          <w:spacing w:val="-5"/>
        </w:rPr>
        <w:t xml:space="preserve"> </w:t>
      </w:r>
      <w:r w:rsidRPr="00A263FB">
        <w:rPr>
          <w:rFonts w:cs="Arial"/>
        </w:rPr>
        <w:t xml:space="preserve">is highly influenced by the capacity of school, </w:t>
      </w:r>
      <w:r w:rsidRPr="00A263FB">
        <w:rPr>
          <w:rFonts w:cs="Arial"/>
          <w:spacing w:val="-3"/>
        </w:rPr>
        <w:t>family</w:t>
      </w:r>
      <w:r w:rsidR="00EB34A8" w:rsidRPr="00A263FB">
        <w:rPr>
          <w:rFonts w:cs="Arial"/>
          <w:spacing w:val="-3"/>
        </w:rPr>
        <w:t xml:space="preserve"> </w:t>
      </w:r>
      <w:r w:rsidRPr="00A263FB">
        <w:rPr>
          <w:rFonts w:cs="Arial"/>
        </w:rPr>
        <w:t>and peers</w:t>
      </w:r>
      <w:r w:rsidR="00EB34A8" w:rsidRPr="00A263FB">
        <w:rPr>
          <w:rFonts w:cs="Arial"/>
        </w:rPr>
        <w:t>,</w:t>
      </w:r>
      <w:r w:rsidRPr="00A263FB">
        <w:rPr>
          <w:rFonts w:cs="Arial"/>
        </w:rPr>
        <w:t xml:space="preserve"> to provide consistent</w:t>
      </w:r>
      <w:r w:rsidRPr="00A263FB">
        <w:rPr>
          <w:rFonts w:cs="Arial"/>
          <w:spacing w:val="-7"/>
        </w:rPr>
        <w:t xml:space="preserve"> </w:t>
      </w:r>
      <w:r w:rsidRPr="00A263FB">
        <w:rPr>
          <w:rFonts w:cs="Arial"/>
        </w:rPr>
        <w:t>expectations</w:t>
      </w:r>
      <w:r w:rsidRPr="00A263FB">
        <w:rPr>
          <w:rFonts w:cs="Arial"/>
          <w:spacing w:val="-7"/>
        </w:rPr>
        <w:t xml:space="preserve"> </w:t>
      </w:r>
      <w:r w:rsidRPr="00A263FB">
        <w:rPr>
          <w:rFonts w:cs="Arial"/>
        </w:rPr>
        <w:t>and</w:t>
      </w:r>
      <w:r w:rsidRPr="00A263FB">
        <w:rPr>
          <w:rFonts w:cs="Arial"/>
          <w:spacing w:val="-7"/>
        </w:rPr>
        <w:t xml:space="preserve"> </w:t>
      </w:r>
      <w:r w:rsidRPr="00A263FB">
        <w:rPr>
          <w:rFonts w:cs="Arial"/>
        </w:rPr>
        <w:t>supports</w:t>
      </w:r>
      <w:r w:rsidRPr="00A263FB">
        <w:rPr>
          <w:rFonts w:cs="Arial"/>
          <w:spacing w:val="-7"/>
        </w:rPr>
        <w:t xml:space="preserve"> </w:t>
      </w:r>
      <w:r w:rsidRPr="00A263FB">
        <w:rPr>
          <w:rFonts w:cs="Arial"/>
        </w:rPr>
        <w:t>for</w:t>
      </w:r>
      <w:r w:rsidRPr="00A263FB">
        <w:rPr>
          <w:rFonts w:cs="Arial"/>
          <w:spacing w:val="-7"/>
        </w:rPr>
        <w:t xml:space="preserve"> </w:t>
      </w:r>
      <w:r w:rsidRPr="00A263FB">
        <w:rPr>
          <w:rFonts w:cs="Arial"/>
        </w:rPr>
        <w:t>learning</w:t>
      </w:r>
      <w:r w:rsidRPr="00A263FB">
        <w:rPr>
          <w:rFonts w:cs="Arial"/>
          <w:spacing w:val="-7"/>
        </w:rPr>
        <w:t xml:space="preserve"> </w:t>
      </w:r>
      <w:r w:rsidRPr="00A263FB">
        <w:rPr>
          <w:rFonts w:cs="Arial"/>
        </w:rPr>
        <w:t>(Reschly</w:t>
      </w:r>
      <w:r w:rsidRPr="00A263FB">
        <w:rPr>
          <w:rFonts w:cs="Arial"/>
          <w:spacing w:val="-7"/>
        </w:rPr>
        <w:t xml:space="preserve"> </w:t>
      </w:r>
      <w:r w:rsidRPr="00A263FB">
        <w:rPr>
          <w:rFonts w:cs="Arial"/>
        </w:rPr>
        <w:t>&amp;</w:t>
      </w:r>
      <w:r w:rsidRPr="00A263FB">
        <w:rPr>
          <w:rFonts w:cs="Arial"/>
          <w:spacing w:val="-7"/>
        </w:rPr>
        <w:t xml:space="preserve"> </w:t>
      </w:r>
      <w:r w:rsidRPr="00A263FB">
        <w:rPr>
          <w:rFonts w:cs="Arial"/>
        </w:rPr>
        <w:t>Christenson, 2006a, 2006b).</w:t>
      </w:r>
      <w:r w:rsidR="00D31DDF" w:rsidRPr="00A263FB">
        <w:rPr>
          <w:rStyle w:val="FootnoteReference"/>
          <w:rFonts w:cs="Arial"/>
        </w:rPr>
        <w:footnoteReference w:id="26"/>
      </w:r>
      <w:r w:rsidR="00D31DDF" w:rsidRPr="00A263FB">
        <w:rPr>
          <w:rFonts w:cs="Arial"/>
          <w:vertAlign w:val="superscript"/>
        </w:rPr>
        <w:t>,</w:t>
      </w:r>
      <w:r w:rsidR="00D31DDF" w:rsidRPr="00A263FB">
        <w:rPr>
          <w:rStyle w:val="FootnoteReference"/>
          <w:rFonts w:cs="Arial"/>
        </w:rPr>
        <w:footnoteReference w:id="27"/>
      </w:r>
      <w:r w:rsidRPr="002F0E3F">
        <w:rPr>
          <w:rFonts w:cs="Arial"/>
        </w:rPr>
        <w:t xml:space="preserve"> As discussed earlier, parent and family engagement is critical to </w:t>
      </w:r>
      <w:r w:rsidR="006B15FB" w:rsidRPr="002F0E3F">
        <w:rPr>
          <w:rFonts w:cs="Arial"/>
        </w:rPr>
        <w:t xml:space="preserve">student achievement and has been shown to have a positive relationship </w:t>
      </w:r>
      <w:r w:rsidR="00F97E0B" w:rsidRPr="002F0E3F">
        <w:rPr>
          <w:rFonts w:cs="Arial"/>
        </w:rPr>
        <w:t>with</w:t>
      </w:r>
      <w:r w:rsidR="006B15FB" w:rsidRPr="002F0E3F">
        <w:rPr>
          <w:rFonts w:cs="Arial"/>
        </w:rPr>
        <w:t xml:space="preserve"> student engagement. Similarly, teacher-student relationship and peer support</w:t>
      </w:r>
      <w:r w:rsidRPr="002F0E3F">
        <w:rPr>
          <w:rFonts w:cs="Arial"/>
        </w:rPr>
        <w:t xml:space="preserve"> </w:t>
      </w:r>
      <w:r w:rsidR="006B15FB" w:rsidRPr="002F0E3F">
        <w:rPr>
          <w:rFonts w:cs="Arial"/>
        </w:rPr>
        <w:t xml:space="preserve">are </w:t>
      </w:r>
      <w:r w:rsidRPr="002F0E3F">
        <w:rPr>
          <w:rFonts w:cs="Arial"/>
        </w:rPr>
        <w:t xml:space="preserve">essential </w:t>
      </w:r>
      <w:r w:rsidR="006B15FB" w:rsidRPr="002F0E3F">
        <w:rPr>
          <w:rFonts w:cs="Arial"/>
        </w:rPr>
        <w:t>to student engagement.</w:t>
      </w:r>
    </w:p>
    <w:p w14:paraId="46D5A7B5" w14:textId="77777777" w:rsidR="007D40E1" w:rsidRPr="002F0E3F" w:rsidRDefault="009854AE" w:rsidP="00767034">
      <w:pPr>
        <w:adjustRightInd w:val="0"/>
        <w:spacing w:after="240"/>
        <w:rPr>
          <w:rFonts w:cs="Arial"/>
        </w:rPr>
      </w:pPr>
      <w:r w:rsidRPr="002F0E3F">
        <w:rPr>
          <w:rFonts w:cs="Arial"/>
        </w:rPr>
        <w:t>T</w:t>
      </w:r>
      <w:r w:rsidR="007D40E1" w:rsidRPr="002F0E3F">
        <w:rPr>
          <w:rFonts w:cs="Arial"/>
        </w:rPr>
        <w:t xml:space="preserve">eacher-student </w:t>
      </w:r>
      <w:r w:rsidRPr="002F0E3F">
        <w:rPr>
          <w:rFonts w:cs="Arial"/>
        </w:rPr>
        <w:t xml:space="preserve">and student-student </w:t>
      </w:r>
      <w:r w:rsidR="007D40E1" w:rsidRPr="002F0E3F">
        <w:rPr>
          <w:rFonts w:cs="Arial"/>
        </w:rPr>
        <w:t>relationship</w:t>
      </w:r>
      <w:r w:rsidRPr="002F0E3F">
        <w:rPr>
          <w:rFonts w:cs="Arial"/>
        </w:rPr>
        <w:t>s</w:t>
      </w:r>
      <w:r w:rsidR="00947639" w:rsidRPr="002F0E3F">
        <w:rPr>
          <w:rFonts w:cs="Arial"/>
        </w:rPr>
        <w:t xml:space="preserve"> are</w:t>
      </w:r>
      <w:r w:rsidR="007D40E1" w:rsidRPr="002F0E3F">
        <w:rPr>
          <w:rFonts w:cs="Arial"/>
        </w:rPr>
        <w:t xml:space="preserve"> an important factor in determining student engagement. </w:t>
      </w:r>
      <w:r w:rsidRPr="002F0E3F">
        <w:rPr>
          <w:rFonts w:cs="Arial"/>
        </w:rPr>
        <w:t xml:space="preserve">Students </w:t>
      </w:r>
      <w:r w:rsidR="007D40E1" w:rsidRPr="002F0E3F">
        <w:rPr>
          <w:rFonts w:cs="Arial"/>
        </w:rPr>
        <w:t>report</w:t>
      </w:r>
      <w:r w:rsidRPr="002F0E3F">
        <w:rPr>
          <w:rFonts w:cs="Arial"/>
        </w:rPr>
        <w:t>ed</w:t>
      </w:r>
      <w:r w:rsidR="007D40E1" w:rsidRPr="002F0E3F">
        <w:rPr>
          <w:rFonts w:cs="Arial"/>
        </w:rPr>
        <w:t xml:space="preserve"> both that they would learn more if </w:t>
      </w:r>
      <w:r w:rsidR="007D40E1" w:rsidRPr="002F0E3F">
        <w:rPr>
          <w:rFonts w:cs="Arial"/>
        </w:rPr>
        <w:lastRenderedPageBreak/>
        <w:t>their teachers cared about them personally and that such connections are rare (Public Agenda, 1997).</w:t>
      </w:r>
      <w:r w:rsidR="008F2E7A" w:rsidRPr="002F0E3F">
        <w:rPr>
          <w:rStyle w:val="FootnoteReference"/>
          <w:rFonts w:cs="Arial"/>
        </w:rPr>
        <w:footnoteReference w:id="28"/>
      </w:r>
      <w:r w:rsidR="007D40E1" w:rsidRPr="002F0E3F">
        <w:rPr>
          <w:rFonts w:cs="Arial"/>
        </w:rPr>
        <w:t xml:space="preserve"> Research also shows that when</w:t>
      </w:r>
      <w:r w:rsidR="007D40E1" w:rsidRPr="002F0E3F">
        <w:rPr>
          <w:rFonts w:cs="Arial"/>
          <w:spacing w:val="-21"/>
        </w:rPr>
        <w:t xml:space="preserve"> </w:t>
      </w:r>
      <w:r w:rsidR="007D40E1" w:rsidRPr="002F0E3F">
        <w:rPr>
          <w:rFonts w:cs="Arial"/>
        </w:rPr>
        <w:t xml:space="preserve">teachers </w:t>
      </w:r>
      <w:r w:rsidR="00FD18EB" w:rsidRPr="002F0E3F">
        <w:rPr>
          <w:rFonts w:cs="Arial"/>
        </w:rPr>
        <w:t>make an effort</w:t>
      </w:r>
      <w:r w:rsidR="007D40E1" w:rsidRPr="002F0E3F">
        <w:rPr>
          <w:rFonts w:cs="Arial"/>
        </w:rPr>
        <w:t xml:space="preserve"> connec</w:t>
      </w:r>
      <w:r w:rsidR="00FD18EB" w:rsidRPr="002F0E3F">
        <w:rPr>
          <w:rFonts w:cs="Arial"/>
        </w:rPr>
        <w:t>t</w:t>
      </w:r>
      <w:r w:rsidR="007D40E1" w:rsidRPr="002F0E3F">
        <w:rPr>
          <w:rFonts w:cs="Arial"/>
        </w:rPr>
        <w:t xml:space="preserve"> with students</w:t>
      </w:r>
      <w:r w:rsidR="00FD18EB" w:rsidRPr="002F0E3F">
        <w:rPr>
          <w:rFonts w:cs="Arial"/>
        </w:rPr>
        <w:t xml:space="preserve">, </w:t>
      </w:r>
      <w:r w:rsidR="007D40E1" w:rsidRPr="002F0E3F">
        <w:rPr>
          <w:rFonts w:cs="Arial"/>
        </w:rPr>
        <w:t>they can dramati</w:t>
      </w:r>
      <w:r w:rsidR="007D40E1" w:rsidRPr="002F0E3F">
        <w:rPr>
          <w:rFonts w:cs="Arial"/>
          <w:spacing w:val="4"/>
        </w:rPr>
        <w:t xml:space="preserve">cally enhance student </w:t>
      </w:r>
      <w:r w:rsidR="00FD18EB" w:rsidRPr="002F0E3F">
        <w:rPr>
          <w:rFonts w:cs="Arial"/>
          <w:spacing w:val="3"/>
        </w:rPr>
        <w:t>engagement and emotional health outside of school</w:t>
      </w:r>
      <w:r w:rsidR="007D40E1" w:rsidRPr="002F0E3F">
        <w:rPr>
          <w:rFonts w:cs="Arial"/>
          <w:spacing w:val="2"/>
        </w:rPr>
        <w:t xml:space="preserve"> </w:t>
      </w:r>
      <w:r w:rsidR="007D40E1" w:rsidRPr="002F0E3F">
        <w:rPr>
          <w:rFonts w:cs="Arial"/>
        </w:rPr>
        <w:t>(Roeser, Eccles, &amp; Sameroff, 1998; Skinner, Zimmer-Gembeck, &amp; Connell, 1998).</w:t>
      </w:r>
      <w:r w:rsidR="00D31DDF" w:rsidRPr="002F0E3F">
        <w:rPr>
          <w:rStyle w:val="FootnoteReference"/>
          <w:rFonts w:cs="Arial"/>
        </w:rPr>
        <w:footnoteReference w:id="29"/>
      </w:r>
      <w:r w:rsidR="0037233E" w:rsidRPr="002F0E3F">
        <w:rPr>
          <w:rFonts w:cs="Arial"/>
          <w:vertAlign w:val="superscript"/>
        </w:rPr>
        <w:t>,</w:t>
      </w:r>
      <w:r w:rsidR="00D31DDF" w:rsidRPr="002F0E3F">
        <w:rPr>
          <w:rStyle w:val="FootnoteReference"/>
          <w:rFonts w:cs="Arial"/>
        </w:rPr>
        <w:footnoteReference w:id="30"/>
      </w:r>
      <w:r w:rsidR="007D40E1" w:rsidRPr="002F0E3F">
        <w:rPr>
          <w:rFonts w:cs="Arial"/>
        </w:rPr>
        <w:t xml:space="preserve"> Teacher efforts to support students’ social and emotiona</w:t>
      </w:r>
      <w:r w:rsidR="00FD18EB" w:rsidRPr="002F0E3F">
        <w:rPr>
          <w:rFonts w:cs="Arial"/>
        </w:rPr>
        <w:t xml:space="preserve">l functioning in the classroom </w:t>
      </w:r>
      <w:r w:rsidR="007D40E1" w:rsidRPr="002F0E3F">
        <w:rPr>
          <w:rFonts w:cs="Arial"/>
        </w:rPr>
        <w:t xml:space="preserve">through positive teacher-student and </w:t>
      </w:r>
      <w:r w:rsidR="00FD18EB" w:rsidRPr="002F0E3F">
        <w:rPr>
          <w:rFonts w:cs="Arial"/>
        </w:rPr>
        <w:t xml:space="preserve">peer interactions </w:t>
      </w:r>
      <w:r w:rsidR="007D40E1" w:rsidRPr="002F0E3F">
        <w:rPr>
          <w:rFonts w:cs="Arial"/>
        </w:rPr>
        <w:t>are key elements of effective classroom practice (Pianta, Hamre &amp; Allen, 2012).</w:t>
      </w:r>
      <w:r w:rsidR="0037233E" w:rsidRPr="002F0E3F">
        <w:rPr>
          <w:rStyle w:val="FootnoteReference"/>
          <w:rFonts w:cs="Arial"/>
        </w:rPr>
        <w:footnoteReference w:id="31"/>
      </w:r>
    </w:p>
    <w:p w14:paraId="0D8FB7C7" w14:textId="6B3D93E8" w:rsidR="006B15FB" w:rsidRPr="002F0E3F" w:rsidRDefault="006B15FB" w:rsidP="00767034">
      <w:pPr>
        <w:adjustRightInd w:val="0"/>
        <w:spacing w:after="240"/>
        <w:rPr>
          <w:rFonts w:cs="Arial"/>
        </w:rPr>
      </w:pPr>
      <w:r w:rsidRPr="002F0E3F">
        <w:rPr>
          <w:rFonts w:cs="Arial"/>
        </w:rPr>
        <w:t>When interviewed about reasons</w:t>
      </w:r>
      <w:r w:rsidRPr="002F0E3F">
        <w:rPr>
          <w:rFonts w:cs="Arial"/>
          <w:spacing w:val="42"/>
        </w:rPr>
        <w:t xml:space="preserve"> </w:t>
      </w:r>
      <w:r w:rsidRPr="002F0E3F">
        <w:rPr>
          <w:rFonts w:cs="Arial"/>
        </w:rPr>
        <w:t>for</w:t>
      </w:r>
      <w:r w:rsidRPr="002F0E3F">
        <w:rPr>
          <w:rFonts w:cs="Arial"/>
          <w:spacing w:val="48"/>
        </w:rPr>
        <w:t xml:space="preserve"> </w:t>
      </w:r>
      <w:r w:rsidRPr="002F0E3F">
        <w:rPr>
          <w:rFonts w:cs="Arial"/>
        </w:rPr>
        <w:t>dropping out, one out of four youth reported that they did not belong at school (U.S.</w:t>
      </w:r>
      <w:r w:rsidRPr="002F0E3F">
        <w:rPr>
          <w:rFonts w:cs="Arial"/>
          <w:spacing w:val="10"/>
        </w:rPr>
        <w:t xml:space="preserve"> </w:t>
      </w:r>
      <w:r w:rsidRPr="002F0E3F">
        <w:rPr>
          <w:rFonts w:cs="Arial"/>
        </w:rPr>
        <w:t>Department</w:t>
      </w:r>
      <w:r w:rsidRPr="002F0E3F">
        <w:rPr>
          <w:rFonts w:cs="Arial"/>
          <w:spacing w:val="2"/>
        </w:rPr>
        <w:t xml:space="preserve"> </w:t>
      </w:r>
      <w:r w:rsidRPr="002F0E3F">
        <w:rPr>
          <w:rFonts w:cs="Arial"/>
        </w:rPr>
        <w:t>of Education,</w:t>
      </w:r>
      <w:r w:rsidRPr="002F0E3F">
        <w:rPr>
          <w:rFonts w:cs="Arial"/>
          <w:spacing w:val="-14"/>
        </w:rPr>
        <w:t xml:space="preserve"> </w:t>
      </w:r>
      <w:r w:rsidRPr="002F0E3F">
        <w:rPr>
          <w:rFonts w:cs="Arial"/>
        </w:rPr>
        <w:t>Center</w:t>
      </w:r>
      <w:r w:rsidRPr="002F0E3F">
        <w:rPr>
          <w:rFonts w:cs="Arial"/>
          <w:spacing w:val="-14"/>
        </w:rPr>
        <w:t xml:space="preserve"> </w:t>
      </w:r>
      <w:r w:rsidRPr="002F0E3F">
        <w:rPr>
          <w:rFonts w:cs="Arial"/>
        </w:rPr>
        <w:t>for</w:t>
      </w:r>
      <w:r w:rsidRPr="002F0E3F">
        <w:rPr>
          <w:rFonts w:cs="Arial"/>
          <w:spacing w:val="-14"/>
        </w:rPr>
        <w:t xml:space="preserve"> </w:t>
      </w:r>
      <w:r w:rsidRPr="002F0E3F">
        <w:rPr>
          <w:rFonts w:cs="Arial"/>
        </w:rPr>
        <w:t>Education</w:t>
      </w:r>
      <w:r w:rsidRPr="002F0E3F">
        <w:rPr>
          <w:rFonts w:cs="Arial"/>
          <w:spacing w:val="-14"/>
        </w:rPr>
        <w:t xml:space="preserve"> </w:t>
      </w:r>
      <w:r w:rsidRPr="002F0E3F">
        <w:rPr>
          <w:rFonts w:cs="Arial"/>
        </w:rPr>
        <w:t>Statistics,</w:t>
      </w:r>
      <w:r w:rsidRPr="002F0E3F">
        <w:rPr>
          <w:rFonts w:cs="Arial"/>
          <w:spacing w:val="-14"/>
        </w:rPr>
        <w:t xml:space="preserve"> </w:t>
      </w:r>
      <w:r w:rsidRPr="002F0E3F">
        <w:rPr>
          <w:rFonts w:cs="Arial"/>
        </w:rPr>
        <w:t>1993). Generally, stronger associations were documented in schools serving the most economically disadvantaged</w:t>
      </w:r>
      <w:r w:rsidRPr="002F0E3F">
        <w:rPr>
          <w:rFonts w:cs="Arial"/>
          <w:spacing w:val="-7"/>
        </w:rPr>
        <w:t xml:space="preserve"> </w:t>
      </w:r>
      <w:r w:rsidRPr="002F0E3F">
        <w:rPr>
          <w:rFonts w:cs="Arial"/>
        </w:rPr>
        <w:t>families,</w:t>
      </w:r>
      <w:r w:rsidRPr="002F0E3F">
        <w:rPr>
          <w:rFonts w:cs="Arial"/>
          <w:spacing w:val="-4"/>
        </w:rPr>
        <w:t xml:space="preserve"> </w:t>
      </w:r>
      <w:r w:rsidRPr="002F0E3F">
        <w:rPr>
          <w:rFonts w:cs="Arial"/>
        </w:rPr>
        <w:t>suggesting that school belonging might be particularly important for students from</w:t>
      </w:r>
      <w:r w:rsidRPr="002F0E3F">
        <w:rPr>
          <w:rFonts w:cs="Arial"/>
          <w:spacing w:val="42"/>
        </w:rPr>
        <w:t xml:space="preserve"> </w:t>
      </w:r>
      <w:r w:rsidRPr="002F0E3F">
        <w:rPr>
          <w:rFonts w:cs="Arial"/>
        </w:rPr>
        <w:t>disadvantaged</w:t>
      </w:r>
      <w:r w:rsidRPr="002F0E3F">
        <w:rPr>
          <w:rFonts w:cs="Arial"/>
          <w:spacing w:val="-16"/>
        </w:rPr>
        <w:t xml:space="preserve"> </w:t>
      </w:r>
      <w:r w:rsidRPr="002F0E3F">
        <w:rPr>
          <w:rFonts w:cs="Arial"/>
        </w:rPr>
        <w:t>homes (Juvonen, Espinoza &amp; Knifsend, 2012).</w:t>
      </w:r>
      <w:r w:rsidR="0037233E" w:rsidRPr="002F0E3F">
        <w:rPr>
          <w:rStyle w:val="FootnoteReference"/>
          <w:rFonts w:cs="Arial"/>
        </w:rPr>
        <w:footnoteReference w:id="32"/>
      </w:r>
      <w:r w:rsidR="00F97E0B" w:rsidRPr="002F0E3F">
        <w:rPr>
          <w:rFonts w:cs="Arial"/>
        </w:rPr>
        <w:t xml:space="preserve"> I</w:t>
      </w:r>
      <w:r w:rsidRPr="002F0E3F">
        <w:rPr>
          <w:rFonts w:cs="Arial"/>
        </w:rPr>
        <w:t>ncrease</w:t>
      </w:r>
      <w:r w:rsidR="00F97E0B" w:rsidRPr="002F0E3F">
        <w:rPr>
          <w:rFonts w:cs="Arial"/>
        </w:rPr>
        <w:t>d</w:t>
      </w:r>
      <w:r w:rsidRPr="002F0E3F">
        <w:rPr>
          <w:rFonts w:cs="Arial"/>
        </w:rPr>
        <w:t xml:space="preserve"> sense of school belonging</w:t>
      </w:r>
      <w:r w:rsidR="00F97E0B" w:rsidRPr="002F0E3F">
        <w:rPr>
          <w:rFonts w:cs="Arial"/>
        </w:rPr>
        <w:t xml:space="preserve"> happens through </w:t>
      </w:r>
      <w:r w:rsidR="00EB34A8" w:rsidRPr="002F0E3F">
        <w:rPr>
          <w:rFonts w:cs="Arial"/>
        </w:rPr>
        <w:t>building long-</w:t>
      </w:r>
      <w:r w:rsidRPr="002F0E3F">
        <w:rPr>
          <w:rFonts w:cs="Arial"/>
        </w:rPr>
        <w:t>term friendship</w:t>
      </w:r>
      <w:r w:rsidR="00EB34A8" w:rsidRPr="002F0E3F">
        <w:rPr>
          <w:rFonts w:cs="Arial"/>
        </w:rPr>
        <w:t>s</w:t>
      </w:r>
      <w:r w:rsidRPr="002F0E3F">
        <w:rPr>
          <w:rFonts w:cs="Arial"/>
        </w:rPr>
        <w:t xml:space="preserve"> wi</w:t>
      </w:r>
      <w:r w:rsidR="00F97E0B" w:rsidRPr="002F0E3F">
        <w:rPr>
          <w:rFonts w:cs="Arial"/>
        </w:rPr>
        <w:t>th well-rounded peers and</w:t>
      </w:r>
      <w:r w:rsidRPr="002F0E3F">
        <w:rPr>
          <w:rFonts w:cs="Arial"/>
        </w:rPr>
        <w:t xml:space="preserve"> active</w:t>
      </w:r>
      <w:r w:rsidR="00F97E0B" w:rsidRPr="002F0E3F">
        <w:rPr>
          <w:rFonts w:cs="Arial"/>
        </w:rPr>
        <w:t>ly participating</w:t>
      </w:r>
      <w:r w:rsidRPr="002F0E3F">
        <w:rPr>
          <w:rFonts w:cs="Arial"/>
        </w:rPr>
        <w:t xml:space="preserve"> in extracurricular activities. Peer rejection is commonly define</w:t>
      </w:r>
      <w:r w:rsidR="00F97E0B" w:rsidRPr="002F0E3F">
        <w:rPr>
          <w:rFonts w:cs="Arial"/>
        </w:rPr>
        <w:t>d as peers’ social avoidance of or</w:t>
      </w:r>
      <w:r w:rsidRPr="002F0E3F">
        <w:rPr>
          <w:rFonts w:cs="Arial"/>
        </w:rPr>
        <w:t xml:space="preserve"> dislike of student. Therefore, rejection by classmates may threaten school belonging </w:t>
      </w:r>
      <w:r w:rsidRPr="002F0E3F">
        <w:rPr>
          <w:rFonts w:cs="Arial"/>
          <w:spacing w:val="-3"/>
        </w:rPr>
        <w:t xml:space="preserve">even </w:t>
      </w:r>
      <w:r w:rsidRPr="002F0E3F">
        <w:rPr>
          <w:rFonts w:cs="Arial"/>
        </w:rPr>
        <w:t xml:space="preserve">more than lack of friends, in as much as rejection affects group membership at the classroom </w:t>
      </w:r>
      <w:r w:rsidRPr="002F0E3F">
        <w:rPr>
          <w:rFonts w:cs="Arial"/>
          <w:spacing w:val="-3"/>
        </w:rPr>
        <w:t xml:space="preserve">level </w:t>
      </w:r>
      <w:r w:rsidRPr="002F0E3F">
        <w:rPr>
          <w:rFonts w:cs="Arial"/>
        </w:rPr>
        <w:t>(Furman</w:t>
      </w:r>
      <w:r w:rsidRPr="002F0E3F">
        <w:rPr>
          <w:rFonts w:cs="Arial"/>
          <w:spacing w:val="-18"/>
        </w:rPr>
        <w:t xml:space="preserve"> </w:t>
      </w:r>
      <w:r w:rsidRPr="002F0E3F">
        <w:rPr>
          <w:rFonts w:cs="Arial"/>
        </w:rPr>
        <w:t>&amp;</w:t>
      </w:r>
      <w:r w:rsidRPr="002F0E3F">
        <w:rPr>
          <w:rFonts w:cs="Arial"/>
          <w:spacing w:val="-18"/>
        </w:rPr>
        <w:t xml:space="preserve"> </w:t>
      </w:r>
      <w:r w:rsidRPr="002F0E3F">
        <w:rPr>
          <w:rFonts w:cs="Arial"/>
        </w:rPr>
        <w:t>Robbins,</w:t>
      </w:r>
      <w:r w:rsidRPr="002F0E3F">
        <w:rPr>
          <w:rFonts w:cs="Arial"/>
          <w:spacing w:val="-18"/>
        </w:rPr>
        <w:t xml:space="preserve"> </w:t>
      </w:r>
      <w:r w:rsidRPr="002F0E3F">
        <w:rPr>
          <w:rFonts w:cs="Arial"/>
        </w:rPr>
        <w:t>1985). Sampling an ethnically diverse group of seventh through twelfth grade students, Brown and Evans (2002) showed that</w:t>
      </w:r>
      <w:r w:rsidRPr="002F0E3F">
        <w:rPr>
          <w:rFonts w:cs="Arial"/>
          <w:spacing w:val="-8"/>
        </w:rPr>
        <w:t xml:space="preserve"> </w:t>
      </w:r>
      <w:r w:rsidRPr="002F0E3F">
        <w:rPr>
          <w:rFonts w:cs="Arial"/>
        </w:rPr>
        <w:t>extracurricular</w:t>
      </w:r>
      <w:r w:rsidRPr="002F0E3F">
        <w:rPr>
          <w:rFonts w:cs="Arial"/>
          <w:spacing w:val="-8"/>
        </w:rPr>
        <w:t xml:space="preserve"> </w:t>
      </w:r>
      <w:r w:rsidRPr="002F0E3F">
        <w:rPr>
          <w:rFonts w:cs="Arial"/>
        </w:rPr>
        <w:t>participation</w:t>
      </w:r>
      <w:r w:rsidRPr="002F0E3F">
        <w:rPr>
          <w:rFonts w:cs="Arial"/>
          <w:spacing w:val="-8"/>
        </w:rPr>
        <w:t xml:space="preserve"> </w:t>
      </w:r>
      <w:r w:rsidRPr="002F0E3F">
        <w:rPr>
          <w:rFonts w:cs="Arial"/>
        </w:rPr>
        <w:t>was</w:t>
      </w:r>
      <w:r w:rsidRPr="002F0E3F">
        <w:rPr>
          <w:rFonts w:cs="Arial"/>
          <w:spacing w:val="-8"/>
        </w:rPr>
        <w:t xml:space="preserve"> </w:t>
      </w:r>
      <w:r w:rsidRPr="002F0E3F">
        <w:rPr>
          <w:rFonts w:cs="Arial"/>
        </w:rPr>
        <w:t>significantly associated with greater school connection, which was measured with school</w:t>
      </w:r>
      <w:r w:rsidRPr="002F0E3F">
        <w:rPr>
          <w:rFonts w:cs="Arial"/>
          <w:spacing w:val="4"/>
        </w:rPr>
        <w:t xml:space="preserve"> </w:t>
      </w:r>
      <w:r w:rsidRPr="002F0E3F">
        <w:rPr>
          <w:rFonts w:cs="Arial"/>
        </w:rPr>
        <w:t>belonging as one of its main dimensions.</w:t>
      </w:r>
      <w:r w:rsidR="0037233E" w:rsidRPr="002F0E3F">
        <w:rPr>
          <w:rStyle w:val="FootnoteReference"/>
          <w:rFonts w:cs="Arial"/>
        </w:rPr>
        <w:footnoteReference w:id="33"/>
      </w:r>
    </w:p>
    <w:p w14:paraId="5D8A0BC8" w14:textId="3A2A568D" w:rsidR="004F4BFB" w:rsidRPr="002F0E3F" w:rsidRDefault="004F4BFB" w:rsidP="00767034">
      <w:pPr>
        <w:pStyle w:val="Heading4"/>
      </w:pPr>
      <w:r w:rsidRPr="002F0E3F">
        <w:lastRenderedPageBreak/>
        <w:t xml:space="preserve">Key Data Points from </w:t>
      </w:r>
      <w:r w:rsidR="006450FC">
        <w:t>Committee</w:t>
      </w:r>
      <w:r w:rsidRPr="002F0E3F">
        <w:t xml:space="preserve"> Discussions</w:t>
      </w:r>
    </w:p>
    <w:p w14:paraId="13F2E43B" w14:textId="60CB779A" w:rsidR="00EF2BF3" w:rsidRPr="002F0E3F" w:rsidRDefault="00D41E59" w:rsidP="00767034">
      <w:pPr>
        <w:pStyle w:val="NormalWeb"/>
        <w:spacing w:before="0" w:beforeAutospacing="0" w:after="240" w:afterAutospacing="0"/>
        <w:rPr>
          <w:rFonts w:ascii="Arial" w:hAnsi="Arial" w:cs="Arial"/>
          <w:color w:val="000000"/>
        </w:rPr>
      </w:pPr>
      <w:r w:rsidRPr="002F0E3F">
        <w:rPr>
          <w:rFonts w:ascii="Arial" w:hAnsi="Arial" w:cs="Arial"/>
          <w:color w:val="000000"/>
        </w:rPr>
        <w:t>The CDE reviewed high school graduation and dropout rates as well as data on school climate and connectedness from the California Healthy Kids Survey</w:t>
      </w:r>
      <w:r w:rsidR="00344A2C">
        <w:rPr>
          <w:rFonts w:ascii="Arial" w:hAnsi="Arial" w:cs="Arial"/>
          <w:color w:val="000000"/>
        </w:rPr>
        <w:t xml:space="preserve"> (CHKS)</w:t>
      </w:r>
      <w:r w:rsidRPr="002F0E3F">
        <w:rPr>
          <w:rFonts w:ascii="Arial" w:hAnsi="Arial" w:cs="Arial"/>
          <w:color w:val="000000"/>
        </w:rPr>
        <w:t>.</w:t>
      </w:r>
      <w:r w:rsidR="00344A2C">
        <w:rPr>
          <w:rFonts w:ascii="Arial" w:hAnsi="Arial" w:cs="Arial"/>
          <w:color w:val="000000"/>
        </w:rPr>
        <w:t xml:space="preserve"> The subcommittee also had access to student attendance data for ELA and math services targeted towards students who were below proficiency in the respective content area(s). This data was specifically developed for the SSDP Professional Learning Network continuous improvement methodology to focus on improving sustained student attendance in MEP services. </w:t>
      </w:r>
    </w:p>
    <w:p w14:paraId="682A667A" w14:textId="77777777" w:rsidR="001F0D45" w:rsidRPr="002F0E3F" w:rsidRDefault="001F0D45" w:rsidP="00767034">
      <w:pPr>
        <w:pStyle w:val="NormalWeb"/>
        <w:spacing w:before="0" w:beforeAutospacing="0" w:after="240" w:afterAutospacing="0"/>
        <w:rPr>
          <w:rFonts w:ascii="Arial" w:hAnsi="Arial" w:cs="Arial"/>
          <w:color w:val="000000"/>
        </w:rPr>
      </w:pPr>
      <w:r w:rsidRPr="002F0E3F">
        <w:rPr>
          <w:rFonts w:ascii="Arial" w:hAnsi="Arial" w:cs="Arial"/>
          <w:color w:val="000000"/>
        </w:rPr>
        <w:t>Key data points discussed were as follows:</w:t>
      </w:r>
    </w:p>
    <w:p w14:paraId="0BC43340" w14:textId="77777777" w:rsidR="005553F1" w:rsidRPr="00A73C2D" w:rsidRDefault="005553F1" w:rsidP="00A73C2D">
      <w:pPr>
        <w:spacing w:after="240"/>
        <w:rPr>
          <w:rFonts w:cs="Arial"/>
        </w:rPr>
      </w:pPr>
      <w:r w:rsidRPr="00A73C2D">
        <w:rPr>
          <w:rFonts w:cs="Arial"/>
        </w:rPr>
        <w:t>As identified in the SSDP Professional Learning Network participation distribution data for MPOs 1.0 and 2.0, in 2021–22:</w:t>
      </w:r>
    </w:p>
    <w:p w14:paraId="00EED5C7" w14:textId="4424F679" w:rsidR="005553F1" w:rsidRPr="000F5C69" w:rsidRDefault="000F5C69" w:rsidP="009670FC">
      <w:pPr>
        <w:pStyle w:val="ListParagraph"/>
        <w:numPr>
          <w:ilvl w:val="0"/>
          <w:numId w:val="17"/>
        </w:numPr>
        <w:spacing w:after="240"/>
        <w:contextualSpacing w:val="0"/>
        <w:rPr>
          <w:rFonts w:cs="Arial"/>
        </w:rPr>
      </w:pPr>
      <w:r>
        <w:rPr>
          <w:rFonts w:cs="Arial"/>
        </w:rPr>
        <w:t>Eleven</w:t>
      </w:r>
      <w:r w:rsidR="00034557">
        <w:t> </w:t>
      </w:r>
      <w:r w:rsidR="005553F1" w:rsidRPr="00A73C2D">
        <w:rPr>
          <w:rFonts w:cs="Arial"/>
        </w:rPr>
        <w:t xml:space="preserve">percent of migratory </w:t>
      </w:r>
      <w:r w:rsidR="00B97AC0">
        <w:rPr>
          <w:rFonts w:cs="Arial"/>
        </w:rPr>
        <w:t>9th</w:t>
      </w:r>
      <w:r w:rsidR="00A746B6" w:rsidRPr="00A73C2D">
        <w:rPr>
          <w:rFonts w:cs="Arial"/>
        </w:rPr>
        <w:t xml:space="preserve"> </w:t>
      </w:r>
      <w:r w:rsidR="005553F1" w:rsidRPr="00A73C2D">
        <w:rPr>
          <w:rFonts w:cs="Arial"/>
        </w:rPr>
        <w:t xml:space="preserve">and </w:t>
      </w:r>
      <w:r w:rsidR="00B97AC0">
        <w:rPr>
          <w:rFonts w:cs="Arial"/>
        </w:rPr>
        <w:t>10th</w:t>
      </w:r>
      <w:r w:rsidR="00A746B6" w:rsidRPr="00A73C2D">
        <w:rPr>
          <w:rFonts w:cs="Arial"/>
        </w:rPr>
        <w:t xml:space="preserve"> </w:t>
      </w:r>
      <w:r w:rsidR="005553F1" w:rsidRPr="00A73C2D">
        <w:rPr>
          <w:rFonts w:cs="Arial"/>
        </w:rPr>
        <w:t>graders who are not proficient participated in a</w:t>
      </w:r>
      <w:r w:rsidR="005553F1" w:rsidRPr="000F5C69">
        <w:rPr>
          <w:rFonts w:cs="Arial"/>
        </w:rPr>
        <w:t xml:space="preserve">n ELA service. </w:t>
      </w:r>
    </w:p>
    <w:p w14:paraId="658BD742" w14:textId="3924B943" w:rsidR="005553F1" w:rsidRPr="000F5C69" w:rsidRDefault="005553F1" w:rsidP="009670FC">
      <w:pPr>
        <w:pStyle w:val="ListParagraph"/>
        <w:numPr>
          <w:ilvl w:val="0"/>
          <w:numId w:val="17"/>
        </w:numPr>
        <w:spacing w:after="240"/>
        <w:contextualSpacing w:val="0"/>
        <w:rPr>
          <w:rFonts w:cs="Arial"/>
        </w:rPr>
      </w:pPr>
      <w:r w:rsidRPr="000F5C69">
        <w:rPr>
          <w:rFonts w:cs="Arial"/>
        </w:rPr>
        <w:t>Five</w:t>
      </w:r>
      <w:r w:rsidR="00034557">
        <w:t> </w:t>
      </w:r>
      <w:r w:rsidRPr="000F5C69">
        <w:rPr>
          <w:rFonts w:cs="Arial"/>
        </w:rPr>
        <w:t xml:space="preserve">percent of migratory </w:t>
      </w:r>
      <w:r w:rsidR="00B97AC0">
        <w:rPr>
          <w:rFonts w:cs="Arial"/>
        </w:rPr>
        <w:t>9th</w:t>
      </w:r>
      <w:r w:rsidR="00A746B6" w:rsidRPr="000F5C69">
        <w:rPr>
          <w:rFonts w:cs="Arial"/>
        </w:rPr>
        <w:t xml:space="preserve"> </w:t>
      </w:r>
      <w:r w:rsidRPr="000F5C69">
        <w:rPr>
          <w:rFonts w:cs="Arial"/>
        </w:rPr>
        <w:t xml:space="preserve">and </w:t>
      </w:r>
      <w:r w:rsidR="00B97AC0">
        <w:rPr>
          <w:rFonts w:cs="Arial"/>
        </w:rPr>
        <w:t>10</w:t>
      </w:r>
      <w:r w:rsidR="00A746B6">
        <w:rPr>
          <w:rFonts w:cs="Arial"/>
        </w:rPr>
        <w:t>th</w:t>
      </w:r>
      <w:r w:rsidR="00A746B6" w:rsidRPr="000F5C69">
        <w:rPr>
          <w:rFonts w:cs="Arial"/>
        </w:rPr>
        <w:t xml:space="preserve"> </w:t>
      </w:r>
      <w:r w:rsidRPr="000F5C69">
        <w:rPr>
          <w:rFonts w:cs="Arial"/>
        </w:rPr>
        <w:t>graders who are not proficient attended a math service.</w:t>
      </w:r>
    </w:p>
    <w:p w14:paraId="041E3507" w14:textId="5BDDDDB6" w:rsidR="005553F1" w:rsidRPr="000F5C69" w:rsidRDefault="005553F1" w:rsidP="009670FC">
      <w:pPr>
        <w:pStyle w:val="ListParagraph"/>
        <w:numPr>
          <w:ilvl w:val="0"/>
          <w:numId w:val="17"/>
        </w:numPr>
        <w:spacing w:after="240"/>
        <w:contextualSpacing w:val="0"/>
        <w:rPr>
          <w:rFonts w:cs="Arial"/>
        </w:rPr>
      </w:pPr>
      <w:r w:rsidRPr="000F5C69">
        <w:rPr>
          <w:rFonts w:cs="Arial"/>
        </w:rPr>
        <w:t>In 2021–22, 68</w:t>
      </w:r>
      <w:r w:rsidR="00034557">
        <w:t> </w:t>
      </w:r>
      <w:r w:rsidRPr="000F5C69">
        <w:rPr>
          <w:rFonts w:cs="Arial"/>
        </w:rPr>
        <w:t xml:space="preserve">percent of students in </w:t>
      </w:r>
      <w:r w:rsidR="00122959">
        <w:rPr>
          <w:rFonts w:cs="Arial"/>
        </w:rPr>
        <w:t xml:space="preserve">kindergarten through </w:t>
      </w:r>
      <w:r w:rsidR="00B97AC0">
        <w:rPr>
          <w:rFonts w:cs="Arial"/>
        </w:rPr>
        <w:t>3rd</w:t>
      </w:r>
      <w:r w:rsidR="00122959">
        <w:rPr>
          <w:rFonts w:cs="Arial"/>
        </w:rPr>
        <w:t xml:space="preserve"> grade (K–3)</w:t>
      </w:r>
      <w:r w:rsidRPr="000F5C69">
        <w:rPr>
          <w:rFonts w:cs="Arial"/>
        </w:rPr>
        <w:t xml:space="preserve"> who are below proficiency in ELA did not participate in an ELA service as identified in the SSDP Professional Learning Network participation distribution data for MPO 1.0.</w:t>
      </w:r>
    </w:p>
    <w:p w14:paraId="15E4F209" w14:textId="572D5887" w:rsidR="005553F1" w:rsidRPr="000F5C69" w:rsidRDefault="005553F1" w:rsidP="009670FC">
      <w:pPr>
        <w:pStyle w:val="ListParagraph"/>
        <w:numPr>
          <w:ilvl w:val="0"/>
          <w:numId w:val="17"/>
        </w:numPr>
        <w:spacing w:after="240"/>
        <w:contextualSpacing w:val="0"/>
        <w:rPr>
          <w:rFonts w:cs="Arial"/>
        </w:rPr>
      </w:pPr>
      <w:r w:rsidRPr="000F5C69">
        <w:rPr>
          <w:rFonts w:cs="Arial"/>
        </w:rPr>
        <w:t>Six</w:t>
      </w:r>
      <w:r w:rsidR="00034557">
        <w:t> </w:t>
      </w:r>
      <w:r w:rsidRPr="000F5C69">
        <w:rPr>
          <w:rFonts w:cs="Arial"/>
        </w:rPr>
        <w:t xml:space="preserve">percent of migratory </w:t>
      </w:r>
      <w:r w:rsidR="00122959">
        <w:rPr>
          <w:rFonts w:cs="Arial"/>
        </w:rPr>
        <w:t xml:space="preserve">K–3 </w:t>
      </w:r>
      <w:r w:rsidRPr="000F5C69">
        <w:rPr>
          <w:rFonts w:cs="Arial"/>
        </w:rPr>
        <w:t xml:space="preserve">grade students participated between </w:t>
      </w:r>
      <w:r w:rsidR="00B97AC0">
        <w:rPr>
          <w:rFonts w:cs="Arial"/>
        </w:rPr>
        <w:t>1</w:t>
      </w:r>
      <w:r w:rsidR="002A6171">
        <w:rPr>
          <w:rFonts w:cs="Arial"/>
        </w:rPr>
        <w:t xml:space="preserve"> and </w:t>
      </w:r>
      <w:r w:rsidR="00B97AC0">
        <w:rPr>
          <w:rFonts w:cs="Arial"/>
        </w:rPr>
        <w:t>9</w:t>
      </w:r>
      <w:r w:rsidRPr="000F5C69">
        <w:rPr>
          <w:rFonts w:cs="Arial"/>
        </w:rPr>
        <w:t xml:space="preserve"> hours and an additional </w:t>
      </w:r>
      <w:r w:rsidR="001D0688">
        <w:rPr>
          <w:rFonts w:cs="Arial"/>
        </w:rPr>
        <w:t>six</w:t>
      </w:r>
      <w:r w:rsidR="00122959" w:rsidRPr="000F5C69">
        <w:rPr>
          <w:rFonts w:cs="Arial"/>
        </w:rPr>
        <w:t xml:space="preserve"> </w:t>
      </w:r>
      <w:r w:rsidRPr="000F5C69">
        <w:rPr>
          <w:rFonts w:cs="Arial"/>
        </w:rPr>
        <w:t>percent participated between 10–19 hours.</w:t>
      </w:r>
    </w:p>
    <w:p w14:paraId="0B26085B" w14:textId="0A56BFFA" w:rsidR="005553F1" w:rsidRPr="000F5C69" w:rsidRDefault="005553F1" w:rsidP="009670FC">
      <w:pPr>
        <w:pStyle w:val="ListParagraph"/>
        <w:numPr>
          <w:ilvl w:val="0"/>
          <w:numId w:val="17"/>
        </w:numPr>
        <w:spacing w:after="240"/>
        <w:contextualSpacing w:val="0"/>
        <w:rPr>
          <w:rFonts w:cs="Arial"/>
        </w:rPr>
      </w:pPr>
      <w:r w:rsidRPr="000F5C69">
        <w:rPr>
          <w:rFonts w:cs="Arial"/>
        </w:rPr>
        <w:t>Five</w:t>
      </w:r>
      <w:r w:rsidR="00034557">
        <w:t> </w:t>
      </w:r>
      <w:r w:rsidRPr="000F5C69">
        <w:rPr>
          <w:rFonts w:cs="Arial"/>
        </w:rPr>
        <w:t>percent of migratory K</w:t>
      </w:r>
      <w:r w:rsidR="00122959">
        <w:rPr>
          <w:rFonts w:cs="Arial"/>
        </w:rPr>
        <w:t>–</w:t>
      </w:r>
      <w:r w:rsidRPr="000F5C69">
        <w:rPr>
          <w:rFonts w:cs="Arial"/>
        </w:rPr>
        <w:t>3 graders attended 20 to 29 hours while 15</w:t>
      </w:r>
      <w:r w:rsidR="00034557">
        <w:t> </w:t>
      </w:r>
      <w:r w:rsidRPr="000F5C69">
        <w:rPr>
          <w:rFonts w:cs="Arial"/>
        </w:rPr>
        <w:t>percent of migratory K</w:t>
      </w:r>
      <w:r w:rsidR="00122959">
        <w:rPr>
          <w:rFonts w:cs="Arial"/>
        </w:rPr>
        <w:t>–</w:t>
      </w:r>
      <w:r w:rsidRPr="000F5C69">
        <w:rPr>
          <w:rFonts w:cs="Arial"/>
        </w:rPr>
        <w:t>3 graders completed the 30-hour requirement during the regular school year.</w:t>
      </w:r>
    </w:p>
    <w:p w14:paraId="71B76F01" w14:textId="77777777" w:rsidR="005553F1" w:rsidRPr="000F5C69" w:rsidRDefault="005553F1" w:rsidP="000F5C69">
      <w:pPr>
        <w:spacing w:after="240"/>
        <w:rPr>
          <w:rFonts w:cs="Arial"/>
        </w:rPr>
      </w:pPr>
      <w:r w:rsidRPr="000F5C69">
        <w:rPr>
          <w:rFonts w:cs="Arial"/>
        </w:rPr>
        <w:t>As identified in the 2024 California Healthy Kids Survey:</w:t>
      </w:r>
    </w:p>
    <w:p w14:paraId="252A62F0" w14:textId="0B7A01D5" w:rsidR="005553F1" w:rsidRPr="000F5C69" w:rsidRDefault="00034557" w:rsidP="009670FC">
      <w:pPr>
        <w:pStyle w:val="ListParagraph"/>
        <w:numPr>
          <w:ilvl w:val="0"/>
          <w:numId w:val="46"/>
        </w:numPr>
        <w:spacing w:after="240"/>
        <w:contextualSpacing w:val="0"/>
        <w:rPr>
          <w:rFonts w:cs="Arial"/>
        </w:rPr>
      </w:pPr>
      <w:r>
        <w:rPr>
          <w:rFonts w:cs="Arial"/>
        </w:rPr>
        <w:t>Fifty-five</w:t>
      </w:r>
      <w:r>
        <w:t> </w:t>
      </w:r>
      <w:r w:rsidR="005553F1" w:rsidRPr="000F5C69">
        <w:rPr>
          <w:rFonts w:cs="Arial"/>
        </w:rPr>
        <w:t xml:space="preserve">percent of elementary school students feel like they </w:t>
      </w:r>
      <w:r w:rsidR="00A746B6" w:rsidRPr="000F5C69">
        <w:rPr>
          <w:rFonts w:cs="Arial"/>
        </w:rPr>
        <w:t>do not</w:t>
      </w:r>
      <w:r w:rsidR="005553F1" w:rsidRPr="000F5C69">
        <w:rPr>
          <w:rFonts w:cs="Arial"/>
        </w:rPr>
        <w:t xml:space="preserve"> participate meaningfully in school.</w:t>
      </w:r>
    </w:p>
    <w:p w14:paraId="6622687A" w14:textId="3D76E977" w:rsidR="005553F1" w:rsidRPr="000F5C69" w:rsidRDefault="00034557" w:rsidP="009670FC">
      <w:pPr>
        <w:pStyle w:val="ListParagraph"/>
        <w:numPr>
          <w:ilvl w:val="0"/>
          <w:numId w:val="46"/>
        </w:numPr>
        <w:spacing w:after="240"/>
        <w:contextualSpacing w:val="0"/>
        <w:rPr>
          <w:rFonts w:cs="Arial"/>
        </w:rPr>
      </w:pPr>
      <w:r>
        <w:rPr>
          <w:rFonts w:cs="Arial"/>
        </w:rPr>
        <w:t>Seventy-seven</w:t>
      </w:r>
      <w:r>
        <w:t> </w:t>
      </w:r>
      <w:r w:rsidR="005553F1" w:rsidRPr="000F5C69">
        <w:rPr>
          <w:rFonts w:cs="Arial"/>
        </w:rPr>
        <w:t xml:space="preserve">percent of high school students feel like they </w:t>
      </w:r>
      <w:r w:rsidR="00A746B6" w:rsidRPr="000F5C69">
        <w:rPr>
          <w:rFonts w:cs="Arial"/>
        </w:rPr>
        <w:t>do not</w:t>
      </w:r>
      <w:r w:rsidR="005553F1" w:rsidRPr="000F5C69">
        <w:rPr>
          <w:rFonts w:cs="Arial"/>
        </w:rPr>
        <w:t xml:space="preserve"> participate meaningfully in school.</w:t>
      </w:r>
    </w:p>
    <w:p w14:paraId="6EDB4707" w14:textId="2E0A5C04" w:rsidR="0037233E" w:rsidRPr="002F0E3F" w:rsidRDefault="008C15E3" w:rsidP="00767034">
      <w:pPr>
        <w:spacing w:after="240"/>
        <w:rPr>
          <w:rFonts w:cs="Arial"/>
        </w:rPr>
      </w:pPr>
      <w:r>
        <w:rPr>
          <w:rFonts w:cs="Arial"/>
        </w:rPr>
        <w:t xml:space="preserve">The subcommittee also explored California’s chronic absenteeism data. The </w:t>
      </w:r>
      <w:hyperlink r:id="rId46" w:history="1">
        <w:r w:rsidRPr="00DF651E">
          <w:rPr>
            <w:rStyle w:val="Hyperlink"/>
            <w:rFonts w:cs="Arial"/>
          </w:rPr>
          <w:t>CDE DataQuest Statewide Chronic Absenteeism for 2022–23</w:t>
        </w:r>
      </w:hyperlink>
      <w:r>
        <w:rPr>
          <w:rFonts w:cs="Arial"/>
        </w:rPr>
        <w:t xml:space="preserve"> indicated that 22.5</w:t>
      </w:r>
      <w:r w:rsidR="00034557">
        <w:t> </w:t>
      </w:r>
      <w:r>
        <w:rPr>
          <w:rFonts w:cs="Arial"/>
        </w:rPr>
        <w:t>percent of migratory students were chronically absent compared with 24.9</w:t>
      </w:r>
      <w:r w:rsidR="00034557">
        <w:t> </w:t>
      </w:r>
      <w:r>
        <w:rPr>
          <w:rFonts w:cs="Arial"/>
        </w:rPr>
        <w:t>percent of all students. The subcommittee used all this information to develop</w:t>
      </w:r>
      <w:r w:rsidR="0037233E" w:rsidRPr="002F0E3F">
        <w:rPr>
          <w:rFonts w:cs="Arial"/>
        </w:rPr>
        <w:t xml:space="preserve"> the key decision</w:t>
      </w:r>
      <w:r>
        <w:rPr>
          <w:rFonts w:cs="Arial"/>
        </w:rPr>
        <w:t>s</w:t>
      </w:r>
      <w:r w:rsidR="0037233E" w:rsidRPr="002F0E3F">
        <w:rPr>
          <w:rFonts w:cs="Arial"/>
        </w:rPr>
        <w:t xml:space="preserve"> </w:t>
      </w:r>
      <w:r>
        <w:rPr>
          <w:rFonts w:cs="Arial"/>
        </w:rPr>
        <w:t>for the</w:t>
      </w:r>
      <w:r w:rsidR="0037233E" w:rsidRPr="002F0E3F">
        <w:rPr>
          <w:rFonts w:cs="Arial"/>
        </w:rPr>
        <w:t xml:space="preserve"> </w:t>
      </w:r>
      <w:r>
        <w:rPr>
          <w:rFonts w:cs="Arial"/>
        </w:rPr>
        <w:t>S</w:t>
      </w:r>
      <w:r w:rsidR="0037233E" w:rsidRPr="002F0E3F">
        <w:rPr>
          <w:rFonts w:cs="Arial"/>
        </w:rPr>
        <w:t xml:space="preserve">tudent </w:t>
      </w:r>
      <w:r>
        <w:rPr>
          <w:rFonts w:cs="Arial"/>
        </w:rPr>
        <w:t>E</w:t>
      </w:r>
      <w:r w:rsidR="0037233E" w:rsidRPr="002F0E3F">
        <w:rPr>
          <w:rFonts w:cs="Arial"/>
        </w:rPr>
        <w:t>ngagement</w:t>
      </w:r>
      <w:r>
        <w:rPr>
          <w:rFonts w:cs="Arial"/>
        </w:rPr>
        <w:t xml:space="preserve"> focus area.</w:t>
      </w:r>
    </w:p>
    <w:p w14:paraId="6D40CEFA" w14:textId="054735D8" w:rsidR="00C202D4" w:rsidRPr="002F0E3F" w:rsidRDefault="00C202D4" w:rsidP="00767034">
      <w:pPr>
        <w:pStyle w:val="Heading4"/>
      </w:pPr>
      <w:r w:rsidRPr="002F0E3F">
        <w:lastRenderedPageBreak/>
        <w:t xml:space="preserve">Student Engagement: Concern Statement #1 </w:t>
      </w:r>
    </w:p>
    <w:p w14:paraId="6A513B56" w14:textId="60E393BB" w:rsidR="00C202D4" w:rsidRPr="002F0E3F" w:rsidRDefault="00344A2C" w:rsidP="00767034">
      <w:pPr>
        <w:spacing w:after="240"/>
        <w:rPr>
          <w:rFonts w:cs="Arial"/>
        </w:rPr>
      </w:pPr>
      <w:r>
        <w:rPr>
          <w:rFonts w:cs="Arial"/>
        </w:rPr>
        <w:t xml:space="preserve">The </w:t>
      </w:r>
      <w:r w:rsidR="00C202D4" w:rsidRPr="002F0E3F">
        <w:rPr>
          <w:rFonts w:cs="Arial"/>
        </w:rPr>
        <w:t xml:space="preserve">Student Engagement </w:t>
      </w:r>
      <w:r>
        <w:rPr>
          <w:rFonts w:cs="Arial"/>
        </w:rPr>
        <w:t>focus area remains a high area of need and is thus</w:t>
      </w:r>
      <w:r w:rsidR="00C202D4" w:rsidRPr="002F0E3F">
        <w:rPr>
          <w:rFonts w:cs="Arial"/>
        </w:rPr>
        <w:t xml:space="preserve"> included in the SSDP. </w:t>
      </w:r>
      <w:r w:rsidRPr="002F0E3F">
        <w:rPr>
          <w:rFonts w:cs="Arial"/>
        </w:rPr>
        <w:t xml:space="preserve">The Student Engagement </w:t>
      </w:r>
      <w:r w:rsidR="008C15E3">
        <w:rPr>
          <w:rFonts w:cs="Arial"/>
        </w:rPr>
        <w:t>s</w:t>
      </w:r>
      <w:r w:rsidRPr="002F0E3F">
        <w:rPr>
          <w:rFonts w:cs="Arial"/>
        </w:rPr>
        <w:t>ubcommittee members acknowledged</w:t>
      </w:r>
      <w:r w:rsidR="00C202D4" w:rsidRPr="002F0E3F">
        <w:rPr>
          <w:rFonts w:cs="Arial"/>
        </w:rPr>
        <w:t xml:space="preserve"> </w:t>
      </w:r>
      <w:r>
        <w:rPr>
          <w:rFonts w:cs="Arial"/>
        </w:rPr>
        <w:t>the data</w:t>
      </w:r>
      <w:r w:rsidR="00C202D4" w:rsidRPr="002F0E3F">
        <w:rPr>
          <w:rFonts w:cs="Arial"/>
        </w:rPr>
        <w:t xml:space="preserve"> </w:t>
      </w:r>
      <w:r w:rsidR="00D37BA3">
        <w:rPr>
          <w:rFonts w:cs="Arial"/>
        </w:rPr>
        <w:t>by developing</w:t>
      </w:r>
      <w:r w:rsidR="00C202D4" w:rsidRPr="002F0E3F">
        <w:rPr>
          <w:rFonts w:cs="Arial"/>
        </w:rPr>
        <w:t xml:space="preserve"> the following concern:</w:t>
      </w:r>
    </w:p>
    <w:p w14:paraId="495E4F72" w14:textId="17FA364D" w:rsidR="00C202D4" w:rsidRPr="00AD36FD" w:rsidRDefault="00AD36FD" w:rsidP="00A263FB">
      <w:pPr>
        <w:spacing w:after="240"/>
        <w:ind w:left="360" w:right="720"/>
        <w:jc w:val="center"/>
        <w:rPr>
          <w:rFonts w:cs="Arial"/>
        </w:rPr>
      </w:pPr>
      <w:r w:rsidRPr="00AD36FD">
        <w:rPr>
          <w:rFonts w:cs="Arial"/>
        </w:rPr>
        <w:t>We are concerned 68</w:t>
      </w:r>
      <w:r w:rsidR="00034557">
        <w:t> </w:t>
      </w:r>
      <w:r w:rsidRPr="00AD36FD">
        <w:rPr>
          <w:rFonts w:cs="Arial"/>
        </w:rPr>
        <w:t>percent of MEP K</w:t>
      </w:r>
      <w:r w:rsidR="00122959">
        <w:rPr>
          <w:rFonts w:cs="Arial"/>
        </w:rPr>
        <w:t>–</w:t>
      </w:r>
      <w:r w:rsidRPr="00AD36FD">
        <w:rPr>
          <w:rFonts w:cs="Arial"/>
        </w:rPr>
        <w:t>3 students scoring below standard on the CAASPP ELA Overall standards are not attending MEP services in regular school year.</w:t>
      </w:r>
      <w:r w:rsidR="00C202D4" w:rsidRPr="00AD36FD">
        <w:rPr>
          <w:rFonts w:cs="Arial"/>
        </w:rPr>
        <w:t xml:space="preserve"> </w:t>
      </w:r>
    </w:p>
    <w:p w14:paraId="58D2EDEE" w14:textId="7B439605" w:rsidR="00A263FB" w:rsidRPr="002F0E3F" w:rsidRDefault="00DF651E" w:rsidP="00DF651E">
      <w:pPr>
        <w:tabs>
          <w:tab w:val="left" w:pos="9360"/>
        </w:tabs>
        <w:spacing w:after="240"/>
        <w:jc w:val="both"/>
        <w:rPr>
          <w:rFonts w:cs="Arial"/>
        </w:rPr>
      </w:pPr>
      <w:r>
        <w:rPr>
          <w:rFonts w:cs="Arial"/>
        </w:rPr>
        <w:t>Along with the subcommittee’s concern, th</w:t>
      </w:r>
      <w:r w:rsidR="00D37BA3">
        <w:rPr>
          <w:rFonts w:cs="Arial"/>
        </w:rPr>
        <w:t>e</w:t>
      </w:r>
      <w:r w:rsidR="008C15E3">
        <w:rPr>
          <w:rFonts w:cs="Arial"/>
        </w:rPr>
        <w:t xml:space="preserve"> CDE’s</w:t>
      </w:r>
      <w:r w:rsidR="00D37BA3">
        <w:rPr>
          <w:rFonts w:cs="Arial"/>
        </w:rPr>
        <w:t xml:space="preserve"> chronic absenteeism</w:t>
      </w:r>
      <w:r>
        <w:rPr>
          <w:rFonts w:cs="Arial"/>
        </w:rPr>
        <w:t xml:space="preserve"> data signals a need to support attendance during the core instructional program </w:t>
      </w:r>
      <w:r w:rsidR="00A746B6">
        <w:rPr>
          <w:rFonts w:cs="Arial"/>
        </w:rPr>
        <w:t>and in</w:t>
      </w:r>
      <w:r>
        <w:rPr>
          <w:rFonts w:cs="Arial"/>
        </w:rPr>
        <w:t xml:space="preserve"> supplemental services.</w:t>
      </w:r>
    </w:p>
    <w:p w14:paraId="421AB642" w14:textId="17E9520C" w:rsidR="00C202D4" w:rsidRPr="002F0E3F" w:rsidRDefault="00C202D4" w:rsidP="00767034">
      <w:pPr>
        <w:pStyle w:val="Heading4"/>
      </w:pPr>
      <w:r w:rsidRPr="002F0E3F">
        <w:t>Need Statement</w:t>
      </w:r>
    </w:p>
    <w:p w14:paraId="15CEE6C2" w14:textId="6F18078C" w:rsidR="00C202D4" w:rsidRPr="00AD36FD" w:rsidRDefault="00E950AC" w:rsidP="00767034">
      <w:pPr>
        <w:spacing w:after="240"/>
        <w:rPr>
          <w:rFonts w:cs="Arial"/>
        </w:rPr>
      </w:pPr>
      <w:r>
        <w:rPr>
          <w:rFonts w:cs="Arial"/>
        </w:rPr>
        <w:t>For the first need statement in the Student Engagement focus area</w:t>
      </w:r>
      <w:r w:rsidR="00C202D4" w:rsidRPr="002F0E3F">
        <w:rPr>
          <w:rFonts w:cs="Arial"/>
        </w:rPr>
        <w:t xml:space="preserve"> </w:t>
      </w:r>
      <w:r w:rsidR="008C15E3">
        <w:rPr>
          <w:rFonts w:cs="Arial"/>
        </w:rPr>
        <w:t>the subcommittee discussed at length the need for students to be present for teaching and learning to occur</w:t>
      </w:r>
      <w:r w:rsidR="00C202D4" w:rsidRPr="002F0E3F">
        <w:rPr>
          <w:rFonts w:cs="Arial"/>
        </w:rPr>
        <w:t>.</w:t>
      </w:r>
      <w:r w:rsidR="008C15E3">
        <w:rPr>
          <w:rFonts w:cs="Arial"/>
        </w:rPr>
        <w:t xml:space="preserve"> Instruction needs to be interesting enough to students so </w:t>
      </w:r>
      <w:r>
        <w:rPr>
          <w:rFonts w:cs="Arial"/>
        </w:rPr>
        <w:t>students</w:t>
      </w:r>
      <w:r w:rsidR="008C15E3">
        <w:rPr>
          <w:rFonts w:cs="Arial"/>
        </w:rPr>
        <w:t xml:space="preserve"> are naturally engaged and want to come back to school because they know </w:t>
      </w:r>
      <w:r>
        <w:rPr>
          <w:rFonts w:cs="Arial"/>
        </w:rPr>
        <w:t>learning will be fun.</w:t>
      </w:r>
      <w:r w:rsidR="00C202D4" w:rsidRPr="002F0E3F">
        <w:rPr>
          <w:rFonts w:cs="Arial"/>
        </w:rPr>
        <w:t xml:space="preserve"> </w:t>
      </w:r>
      <w:r w:rsidR="00F8556E" w:rsidRPr="00AD36FD">
        <w:rPr>
          <w:rFonts w:cs="Arial"/>
        </w:rPr>
        <w:t>Therefore,</w:t>
      </w:r>
      <w:r w:rsidR="00C202D4" w:rsidRPr="00AD36FD">
        <w:rPr>
          <w:rFonts w:cs="Arial"/>
        </w:rPr>
        <w:t xml:space="preserve"> the </w:t>
      </w:r>
      <w:r>
        <w:rPr>
          <w:rFonts w:cs="Arial"/>
        </w:rPr>
        <w:t>s</w:t>
      </w:r>
      <w:r w:rsidR="00C202D4" w:rsidRPr="00AD36FD">
        <w:rPr>
          <w:rFonts w:cs="Arial"/>
        </w:rPr>
        <w:t>ubcommittee communicated the following need:</w:t>
      </w:r>
    </w:p>
    <w:p w14:paraId="3D775FB7" w14:textId="6706F183" w:rsidR="00C202D4" w:rsidRPr="00AD36FD" w:rsidRDefault="00AD36FD" w:rsidP="00DF651E">
      <w:pPr>
        <w:spacing w:after="240"/>
        <w:ind w:left="-20"/>
        <w:jc w:val="center"/>
        <w:rPr>
          <w:rFonts w:cs="Arial"/>
        </w:rPr>
      </w:pPr>
      <w:r w:rsidRPr="00AD36FD">
        <w:rPr>
          <w:rFonts w:cs="Arial"/>
        </w:rPr>
        <w:t>An additional 18</w:t>
      </w:r>
      <w:r w:rsidR="00034557">
        <w:t> </w:t>
      </w:r>
      <w:r w:rsidRPr="00AD36FD">
        <w:rPr>
          <w:rFonts w:cs="Arial"/>
        </w:rPr>
        <w:t>percent of migratory K</w:t>
      </w:r>
      <w:r w:rsidR="00122959">
        <w:rPr>
          <w:rFonts w:cs="Arial"/>
        </w:rPr>
        <w:t>–</w:t>
      </w:r>
      <w:r w:rsidRPr="00AD36FD">
        <w:rPr>
          <w:rFonts w:cs="Arial"/>
        </w:rPr>
        <w:t>3 students who are below proficiency need to attend ELA services.</w:t>
      </w:r>
    </w:p>
    <w:p w14:paraId="279FD503" w14:textId="6C9B7F60" w:rsidR="00C202D4" w:rsidRPr="002F0E3F" w:rsidRDefault="00E950AC" w:rsidP="00767034">
      <w:pPr>
        <w:spacing w:after="240"/>
        <w:rPr>
          <w:rFonts w:cs="Arial"/>
        </w:rPr>
      </w:pPr>
      <w:r>
        <w:rPr>
          <w:rFonts w:cs="Arial"/>
        </w:rPr>
        <w:t>Creating a safe and welcoming environment includes embedding the students’ cultures into the physical environment and into the curriculum</w:t>
      </w:r>
      <w:r w:rsidR="00C202D4" w:rsidRPr="002F0E3F">
        <w:rPr>
          <w:rFonts w:cs="Arial"/>
        </w:rPr>
        <w:t>.</w:t>
      </w:r>
      <w:r>
        <w:rPr>
          <w:rFonts w:cs="Arial"/>
        </w:rPr>
        <w:t xml:space="preserve"> </w:t>
      </w:r>
      <w:r w:rsidR="00214FE7">
        <w:rPr>
          <w:rFonts w:cs="Arial"/>
        </w:rPr>
        <w:t>When the curriculum is relevant to the students, there is typically more engagement and interest.</w:t>
      </w:r>
    </w:p>
    <w:p w14:paraId="39BB8C49" w14:textId="77C07BF3" w:rsidR="00C202D4" w:rsidRPr="002F0E3F" w:rsidRDefault="00C202D4" w:rsidP="00767034">
      <w:pPr>
        <w:pStyle w:val="Heading4"/>
      </w:pPr>
      <w:r w:rsidRPr="002F0E3F">
        <w:t>Initial Strategies</w:t>
      </w:r>
      <w:r w:rsidR="006450FC">
        <w:t xml:space="preserve"> to Address Need</w:t>
      </w:r>
    </w:p>
    <w:p w14:paraId="6B01AF33" w14:textId="7EC6420A" w:rsidR="00C202D4" w:rsidRPr="005553F1" w:rsidRDefault="00C202D4" w:rsidP="00767034">
      <w:pPr>
        <w:spacing w:after="240"/>
        <w:rPr>
          <w:rFonts w:cs="Arial"/>
        </w:rPr>
      </w:pPr>
      <w:r w:rsidRPr="002F0E3F">
        <w:rPr>
          <w:rFonts w:cs="Arial"/>
        </w:rPr>
        <w:t xml:space="preserve">After discussion and reviewing evidence-based practices for student engagement, the </w:t>
      </w:r>
      <w:r w:rsidR="008376CA">
        <w:rPr>
          <w:rFonts w:cs="Arial"/>
        </w:rPr>
        <w:t>Student Engagement subcommittee</w:t>
      </w:r>
      <w:r w:rsidRPr="005553F1">
        <w:rPr>
          <w:rFonts w:cs="Arial"/>
        </w:rPr>
        <w:t xml:space="preserve"> proposed the following strategies:</w:t>
      </w:r>
    </w:p>
    <w:p w14:paraId="42CFB5B3" w14:textId="77777777" w:rsidR="005553F1" w:rsidRDefault="005553F1" w:rsidP="009670FC">
      <w:pPr>
        <w:pStyle w:val="ListParagraph"/>
        <w:numPr>
          <w:ilvl w:val="0"/>
          <w:numId w:val="55"/>
        </w:numPr>
        <w:spacing w:after="240"/>
        <w:contextualSpacing w:val="0"/>
        <w:rPr>
          <w:rFonts w:cs="Arial"/>
        </w:rPr>
      </w:pPr>
      <w:r w:rsidRPr="005553F1">
        <w:rPr>
          <w:rFonts w:cs="Arial"/>
        </w:rPr>
        <w:t>Culturally sustaining pedagogy (with a focus on being linguistically relevant) should be included in all instructional services excluding credit accrual services.</w:t>
      </w:r>
    </w:p>
    <w:p w14:paraId="73E9480C" w14:textId="77777777" w:rsidR="005553F1" w:rsidRDefault="005553F1" w:rsidP="009670FC">
      <w:pPr>
        <w:pStyle w:val="ListParagraph"/>
        <w:numPr>
          <w:ilvl w:val="0"/>
          <w:numId w:val="55"/>
        </w:numPr>
        <w:spacing w:after="240"/>
        <w:contextualSpacing w:val="0"/>
        <w:rPr>
          <w:rFonts w:cs="Arial"/>
        </w:rPr>
      </w:pPr>
      <w:r w:rsidRPr="005553F1">
        <w:rPr>
          <w:rFonts w:cs="Arial"/>
        </w:rPr>
        <w:t>Provide professional learning opportunities to instructional staff on culturally sustaining pedagogy annually. Ensure that learning opportunities build upon prior knowledge and extend staff’s knowledge and skillset each year.</w:t>
      </w:r>
    </w:p>
    <w:p w14:paraId="11ACEDE2" w14:textId="0C3CF192" w:rsidR="00D37BA3" w:rsidRPr="00D37BA3" w:rsidRDefault="00D37BA3" w:rsidP="00D37BA3">
      <w:pPr>
        <w:spacing w:after="240"/>
        <w:rPr>
          <w:rFonts w:cs="Arial"/>
        </w:rPr>
      </w:pPr>
      <w:r>
        <w:rPr>
          <w:rFonts w:cs="Arial"/>
        </w:rPr>
        <w:t xml:space="preserve">The CNA SDP Committee believe that students have been more engaged in MEP services since implementing </w:t>
      </w:r>
      <w:proofErr w:type="gramStart"/>
      <w:r>
        <w:rPr>
          <w:rFonts w:cs="Arial"/>
        </w:rPr>
        <w:t>culturally</w:t>
      </w:r>
      <w:proofErr w:type="gramEnd"/>
      <w:r>
        <w:rPr>
          <w:rFonts w:cs="Arial"/>
        </w:rPr>
        <w:t xml:space="preserve"> and linguistically responsive teaching techniques and recommended that the California MEP expand its breadth of knowledge and skills around culturally sustaining pedagogy.</w:t>
      </w:r>
    </w:p>
    <w:p w14:paraId="02160954" w14:textId="3798AC3F" w:rsidR="00E42D22" w:rsidRPr="002F0E3F" w:rsidRDefault="00E42D22" w:rsidP="00767034">
      <w:pPr>
        <w:pStyle w:val="Heading4"/>
      </w:pPr>
      <w:r w:rsidRPr="002F0E3F">
        <w:lastRenderedPageBreak/>
        <w:t>Student Engagement: Concern Statement #</w:t>
      </w:r>
      <w:r>
        <w:t>2</w:t>
      </w:r>
      <w:r w:rsidRPr="002F0E3F">
        <w:t xml:space="preserve"> </w:t>
      </w:r>
    </w:p>
    <w:p w14:paraId="22709C7B" w14:textId="0F7963C6" w:rsidR="00E42D22" w:rsidRPr="002F0E3F" w:rsidRDefault="00D37BA3" w:rsidP="00767034">
      <w:pPr>
        <w:spacing w:after="240"/>
        <w:rPr>
          <w:rFonts w:cs="Arial"/>
        </w:rPr>
      </w:pPr>
      <w:r>
        <w:rPr>
          <w:rFonts w:cs="Arial"/>
        </w:rPr>
        <w:t xml:space="preserve">Like the first concern around student attendance in MEP ELA and math services, the subcommittee were also extremely concerned by the lack of participation from </w:t>
      </w:r>
      <w:r w:rsidR="00A746B6">
        <w:rPr>
          <w:rFonts w:cs="Arial"/>
        </w:rPr>
        <w:t xml:space="preserve">ninth </w:t>
      </w:r>
      <w:r>
        <w:rPr>
          <w:rFonts w:cs="Arial"/>
        </w:rPr>
        <w:t xml:space="preserve">and </w:t>
      </w:r>
      <w:r w:rsidR="00A746B6">
        <w:rPr>
          <w:rFonts w:cs="Arial"/>
        </w:rPr>
        <w:t xml:space="preserve">tenth </w:t>
      </w:r>
      <w:r>
        <w:rPr>
          <w:rFonts w:cs="Arial"/>
        </w:rPr>
        <w:t xml:space="preserve">grade migratory students who </w:t>
      </w:r>
      <w:proofErr w:type="gramStart"/>
      <w:r>
        <w:rPr>
          <w:rFonts w:cs="Arial"/>
        </w:rPr>
        <w:t>scored at</w:t>
      </w:r>
      <w:proofErr w:type="gramEnd"/>
      <w:r>
        <w:rPr>
          <w:rFonts w:cs="Arial"/>
        </w:rPr>
        <w:t xml:space="preserve"> below proficiency in ELA.</w:t>
      </w:r>
      <w:r w:rsidR="00E42D22" w:rsidRPr="002F0E3F">
        <w:rPr>
          <w:rFonts w:cs="Arial"/>
        </w:rPr>
        <w:t xml:space="preserve"> Subcommittee members acknowledged the following concern:</w:t>
      </w:r>
    </w:p>
    <w:p w14:paraId="583B22D6" w14:textId="145CA5B2" w:rsidR="00214FE7" w:rsidRDefault="00E42D22" w:rsidP="00D37BA3">
      <w:pPr>
        <w:spacing w:after="240"/>
        <w:ind w:left="360" w:right="720"/>
        <w:jc w:val="center"/>
        <w:rPr>
          <w:rFonts w:cs="Arial"/>
        </w:rPr>
      </w:pPr>
      <w:r w:rsidRPr="00E42D22">
        <w:rPr>
          <w:rFonts w:cs="Arial"/>
        </w:rPr>
        <w:t>We are concerned that 89</w:t>
      </w:r>
      <w:r w:rsidR="00034557">
        <w:t> </w:t>
      </w:r>
      <w:r w:rsidRPr="00E42D22">
        <w:rPr>
          <w:rFonts w:cs="Arial"/>
        </w:rPr>
        <w:t xml:space="preserve">percent of </w:t>
      </w:r>
      <w:r w:rsidR="002A6171">
        <w:rPr>
          <w:rFonts w:cs="Arial"/>
        </w:rPr>
        <w:t>ninth</w:t>
      </w:r>
      <w:r w:rsidRPr="00E42D22">
        <w:rPr>
          <w:rFonts w:cs="Arial"/>
        </w:rPr>
        <w:t xml:space="preserve"> and </w:t>
      </w:r>
      <w:r w:rsidR="002A6171">
        <w:rPr>
          <w:rFonts w:cs="Arial"/>
        </w:rPr>
        <w:t>tenth</w:t>
      </w:r>
      <w:r w:rsidRPr="00E42D22">
        <w:rPr>
          <w:rFonts w:cs="Arial"/>
        </w:rPr>
        <w:t xml:space="preserve"> graders did not participate in an RSY ELA service and 95</w:t>
      </w:r>
      <w:r w:rsidR="00034557">
        <w:t> </w:t>
      </w:r>
      <w:r w:rsidRPr="00E42D22">
        <w:rPr>
          <w:rFonts w:cs="Arial"/>
        </w:rPr>
        <w:t>percent did not participate in a math service in 2021–22.</w:t>
      </w:r>
    </w:p>
    <w:p w14:paraId="552FE0AB" w14:textId="4F6A28C1" w:rsidR="00E42D22" w:rsidRPr="00E42D22" w:rsidRDefault="00214FE7" w:rsidP="00214FE7">
      <w:pPr>
        <w:spacing w:after="240"/>
        <w:ind w:right="720"/>
        <w:rPr>
          <w:rFonts w:cs="Arial"/>
        </w:rPr>
      </w:pPr>
      <w:r>
        <w:rPr>
          <w:rFonts w:cs="Arial"/>
        </w:rPr>
        <w:t>The subcommittee identified the need statement specific to high school migratory student participation in MEP ELA and math services in the next section.</w:t>
      </w:r>
    </w:p>
    <w:p w14:paraId="28CAE3A1" w14:textId="77777777" w:rsidR="00E42D22" w:rsidRPr="002F0E3F" w:rsidRDefault="00E42D22" w:rsidP="00767034">
      <w:pPr>
        <w:pStyle w:val="Heading4"/>
      </w:pPr>
      <w:r w:rsidRPr="002F0E3F">
        <w:t>Need Statement</w:t>
      </w:r>
    </w:p>
    <w:p w14:paraId="0A8B535C" w14:textId="0ED9D9DA" w:rsidR="00E42D22" w:rsidRPr="002F0E3F" w:rsidRDefault="00214FE7" w:rsidP="00767034">
      <w:pPr>
        <w:spacing w:after="240"/>
        <w:rPr>
          <w:rFonts w:cs="Arial"/>
        </w:rPr>
      </w:pPr>
      <w:r>
        <w:rPr>
          <w:rFonts w:cs="Arial"/>
        </w:rPr>
        <w:t>Since there was no comparison group for the migratory student ELA and math service attendance data, the subcommittee discussed a gap that seemed on par with the achievement gap in other areas. Hence, t</w:t>
      </w:r>
      <w:r w:rsidR="00E42D22" w:rsidRPr="002F0E3F">
        <w:rPr>
          <w:rFonts w:cs="Arial"/>
        </w:rPr>
        <w:t xml:space="preserve">he Student Engagement </w:t>
      </w:r>
      <w:r>
        <w:rPr>
          <w:rFonts w:cs="Arial"/>
        </w:rPr>
        <w:t>s</w:t>
      </w:r>
      <w:r w:rsidR="00E42D22" w:rsidRPr="002F0E3F">
        <w:rPr>
          <w:rFonts w:cs="Arial"/>
        </w:rPr>
        <w:t>ubcommittee communicated the following need:</w:t>
      </w:r>
    </w:p>
    <w:p w14:paraId="52E77425" w14:textId="0D3EFE08" w:rsidR="00E42D22" w:rsidRPr="00E42D22" w:rsidRDefault="00E42D22" w:rsidP="00767034">
      <w:pPr>
        <w:spacing w:after="240"/>
        <w:ind w:left="-20"/>
        <w:jc w:val="center"/>
        <w:rPr>
          <w:rFonts w:cs="Arial"/>
        </w:rPr>
      </w:pPr>
      <w:r w:rsidRPr="00E42D22">
        <w:rPr>
          <w:rFonts w:cs="Arial"/>
        </w:rPr>
        <w:t>An additional 14</w:t>
      </w:r>
      <w:r w:rsidR="00034557">
        <w:t> </w:t>
      </w:r>
      <w:r w:rsidRPr="00E42D22">
        <w:rPr>
          <w:rFonts w:cs="Arial"/>
        </w:rPr>
        <w:t xml:space="preserve">percent of migratory </w:t>
      </w:r>
      <w:r w:rsidR="002A6171">
        <w:rPr>
          <w:rFonts w:cs="Arial"/>
        </w:rPr>
        <w:t>ninth</w:t>
      </w:r>
      <w:r w:rsidRPr="00E42D22">
        <w:rPr>
          <w:rFonts w:cs="Arial"/>
        </w:rPr>
        <w:t xml:space="preserve"> and </w:t>
      </w:r>
      <w:r w:rsidR="002A6171">
        <w:rPr>
          <w:rFonts w:cs="Arial"/>
        </w:rPr>
        <w:t>tenth</w:t>
      </w:r>
      <w:r w:rsidRPr="00E42D22">
        <w:rPr>
          <w:rFonts w:cs="Arial"/>
        </w:rPr>
        <w:t xml:space="preserve"> graders who are below proficiency in ELA need to participate in an ELA service. An additional 20</w:t>
      </w:r>
      <w:r w:rsidR="00034557">
        <w:t> </w:t>
      </w:r>
      <w:r w:rsidRPr="00E42D22">
        <w:rPr>
          <w:rFonts w:cs="Arial"/>
        </w:rPr>
        <w:t>percent of migratory</w:t>
      </w:r>
      <w:r w:rsidR="002A6171">
        <w:rPr>
          <w:rFonts w:cs="Arial"/>
        </w:rPr>
        <w:t xml:space="preserve"> students in grades ninth and tenth</w:t>
      </w:r>
      <w:r w:rsidRPr="00E42D22">
        <w:rPr>
          <w:rFonts w:cs="Arial"/>
        </w:rPr>
        <w:t xml:space="preserve"> who are below proficiency in math need to participate in a math service.</w:t>
      </w:r>
    </w:p>
    <w:p w14:paraId="73A2178F" w14:textId="7146D01C" w:rsidR="00E42D22" w:rsidRPr="002F0E3F" w:rsidRDefault="004269EB" w:rsidP="00767034">
      <w:pPr>
        <w:spacing w:after="240"/>
        <w:rPr>
          <w:rFonts w:cs="Arial"/>
        </w:rPr>
      </w:pPr>
      <w:r>
        <w:rPr>
          <w:rFonts w:cs="Arial"/>
        </w:rPr>
        <w:t>Service monitoring is a regular activity for MEP administrators. In addition to monitoring migratory students’ attendance, t</w:t>
      </w:r>
      <w:r w:rsidR="00214FE7">
        <w:rPr>
          <w:rFonts w:cs="Arial"/>
        </w:rPr>
        <w:t>he MEP will also need to regularly observe ELA and math services at different points throughout the year to provide teachers with timely feedback on student engagement strategies</w:t>
      </w:r>
      <w:r>
        <w:rPr>
          <w:rFonts w:cs="Arial"/>
        </w:rPr>
        <w:t xml:space="preserve">. </w:t>
      </w:r>
    </w:p>
    <w:p w14:paraId="2C6EC123" w14:textId="77777777" w:rsidR="00E42D22" w:rsidRPr="002F0E3F" w:rsidRDefault="00E42D22" w:rsidP="00767034">
      <w:pPr>
        <w:pStyle w:val="Heading4"/>
      </w:pPr>
      <w:r w:rsidRPr="002F0E3F">
        <w:t>Initial Strategies</w:t>
      </w:r>
      <w:r>
        <w:t xml:space="preserve"> to Address Need</w:t>
      </w:r>
    </w:p>
    <w:p w14:paraId="2FF41CAE" w14:textId="3B16AADB" w:rsidR="00E42D22" w:rsidRPr="005553F1" w:rsidRDefault="00E42D22" w:rsidP="00767034">
      <w:pPr>
        <w:spacing w:after="240"/>
        <w:rPr>
          <w:rFonts w:cs="Arial"/>
        </w:rPr>
      </w:pPr>
      <w:r w:rsidRPr="002F0E3F">
        <w:rPr>
          <w:rFonts w:cs="Arial"/>
        </w:rPr>
        <w:t xml:space="preserve">After discussion and reviewing evidence-based practices for student engagement, the </w:t>
      </w:r>
      <w:r w:rsidR="008376CA">
        <w:rPr>
          <w:rFonts w:cs="Arial"/>
        </w:rPr>
        <w:t>Student Engagement subcommittee</w:t>
      </w:r>
      <w:r w:rsidRPr="005553F1">
        <w:rPr>
          <w:rFonts w:cs="Arial"/>
        </w:rPr>
        <w:t xml:space="preserve"> proposed the following strategies:</w:t>
      </w:r>
    </w:p>
    <w:p w14:paraId="4404FC98" w14:textId="03E1559F" w:rsidR="00E42D22" w:rsidRDefault="00E42D22" w:rsidP="009670FC">
      <w:pPr>
        <w:pStyle w:val="ListParagraph"/>
        <w:numPr>
          <w:ilvl w:val="0"/>
          <w:numId w:val="57"/>
        </w:numPr>
        <w:spacing w:after="240"/>
        <w:contextualSpacing w:val="0"/>
        <w:rPr>
          <w:rFonts w:cs="Arial"/>
        </w:rPr>
      </w:pPr>
      <w:r w:rsidRPr="005553F1">
        <w:rPr>
          <w:rFonts w:cs="Arial"/>
        </w:rPr>
        <w:t>Culturally sustaining pedagogy (with a focus on being linguistically relevant) should be included in all instructional services excluding credit accrual services.</w:t>
      </w:r>
    </w:p>
    <w:p w14:paraId="0A13F1A1" w14:textId="3A295533" w:rsidR="00E42D22" w:rsidRDefault="00E42D22" w:rsidP="009670FC">
      <w:pPr>
        <w:pStyle w:val="ListParagraph"/>
        <w:numPr>
          <w:ilvl w:val="0"/>
          <w:numId w:val="57"/>
        </w:numPr>
        <w:spacing w:after="240"/>
        <w:contextualSpacing w:val="0"/>
        <w:rPr>
          <w:rFonts w:cs="Arial"/>
        </w:rPr>
      </w:pPr>
      <w:r w:rsidRPr="00E42D22">
        <w:rPr>
          <w:rFonts w:cs="Arial"/>
        </w:rPr>
        <w:t>Provide professional learning opportunities to instructional staff on culturally sustaining pedagogy annually. Ensure that learning opportunities build upon prior knowledge and extend staff’s knowledge and skillset each year.</w:t>
      </w:r>
    </w:p>
    <w:p w14:paraId="40F03AC0" w14:textId="31078C9E" w:rsidR="00E42D22" w:rsidRPr="00E42D22" w:rsidRDefault="000361EF" w:rsidP="00767034">
      <w:pPr>
        <w:spacing w:after="240"/>
        <w:rPr>
          <w:rFonts w:cs="Arial"/>
        </w:rPr>
      </w:pPr>
      <w:r>
        <w:rPr>
          <w:rFonts w:cs="Arial"/>
        </w:rPr>
        <w:t>Discussion around student engagement ranged from the importance of sustained student attendance in MEP services (and during core instruction)</w:t>
      </w:r>
      <w:r w:rsidR="00652464">
        <w:rPr>
          <w:rFonts w:cs="Arial"/>
        </w:rPr>
        <w:t xml:space="preserve"> and teaching standards through the interests of students</w:t>
      </w:r>
      <w:r>
        <w:rPr>
          <w:rFonts w:cs="Arial"/>
        </w:rPr>
        <w:t xml:space="preserve"> to active learning in the classroom. With these strategies, the committee reinforced the need to reflect students’ cultures in MEP </w:t>
      </w:r>
      <w:r>
        <w:rPr>
          <w:rFonts w:cs="Arial"/>
        </w:rPr>
        <w:lastRenderedPageBreak/>
        <w:t xml:space="preserve">services to engage students and illustrate that the MEP values the families’ cultures which is a characteristic of relationship and trust building. </w:t>
      </w:r>
    </w:p>
    <w:p w14:paraId="42732846" w14:textId="7AA5C1B3" w:rsidR="005553F1" w:rsidRPr="002F0E3F" w:rsidRDefault="005553F1" w:rsidP="00767034">
      <w:pPr>
        <w:pStyle w:val="Heading4"/>
      </w:pPr>
      <w:r w:rsidRPr="002F0E3F">
        <w:t>Student Engagement: Concern Statement #</w:t>
      </w:r>
      <w:r w:rsidR="00E42D22">
        <w:t>3</w:t>
      </w:r>
      <w:r w:rsidRPr="002F0E3F">
        <w:t xml:space="preserve"> </w:t>
      </w:r>
    </w:p>
    <w:p w14:paraId="56DCCFD5" w14:textId="5B763D48" w:rsidR="005553F1" w:rsidRPr="002F0E3F" w:rsidRDefault="005553F1" w:rsidP="00767034">
      <w:pPr>
        <w:spacing w:after="240"/>
        <w:rPr>
          <w:rFonts w:cs="Arial"/>
        </w:rPr>
      </w:pPr>
      <w:r w:rsidRPr="002F0E3F">
        <w:rPr>
          <w:rFonts w:cs="Arial"/>
        </w:rPr>
        <w:t xml:space="preserve">The Student Engagement </w:t>
      </w:r>
      <w:r w:rsidR="004269EB">
        <w:rPr>
          <w:rFonts w:cs="Arial"/>
        </w:rPr>
        <w:t>s</w:t>
      </w:r>
      <w:r w:rsidRPr="002F0E3F">
        <w:rPr>
          <w:rFonts w:cs="Arial"/>
        </w:rPr>
        <w:t>ubcommittee members</w:t>
      </w:r>
      <w:r w:rsidR="000361EF">
        <w:rPr>
          <w:rFonts w:cs="Arial"/>
        </w:rPr>
        <w:t xml:space="preserve"> found the data in the 2024 </w:t>
      </w:r>
      <w:r w:rsidR="00B50A91">
        <w:rPr>
          <w:rFonts w:cs="Arial"/>
        </w:rPr>
        <w:t xml:space="preserve">CHKS </w:t>
      </w:r>
      <w:r w:rsidR="000361EF">
        <w:rPr>
          <w:rFonts w:cs="Arial"/>
        </w:rPr>
        <w:t>to be concerning. Students reported not participating meaningfully in school or having any meaningful connections at school. The subcommittee</w:t>
      </w:r>
      <w:r w:rsidRPr="002F0E3F">
        <w:rPr>
          <w:rFonts w:cs="Arial"/>
        </w:rPr>
        <w:t xml:space="preserve"> </w:t>
      </w:r>
      <w:r w:rsidR="00652464">
        <w:rPr>
          <w:rFonts w:cs="Arial"/>
        </w:rPr>
        <w:t>noted</w:t>
      </w:r>
      <w:r w:rsidRPr="002F0E3F">
        <w:rPr>
          <w:rFonts w:cs="Arial"/>
        </w:rPr>
        <w:t xml:space="preserve"> the f</w:t>
      </w:r>
      <w:r w:rsidR="00652464">
        <w:rPr>
          <w:rFonts w:cs="Arial"/>
        </w:rPr>
        <w:t>inal</w:t>
      </w:r>
      <w:r w:rsidRPr="002F0E3F">
        <w:rPr>
          <w:rFonts w:cs="Arial"/>
        </w:rPr>
        <w:t xml:space="preserve"> concern</w:t>
      </w:r>
      <w:r w:rsidR="00652464">
        <w:rPr>
          <w:rFonts w:cs="Arial"/>
        </w:rPr>
        <w:t xml:space="preserve"> for this focus area</w:t>
      </w:r>
      <w:r w:rsidRPr="002F0E3F">
        <w:rPr>
          <w:rFonts w:cs="Arial"/>
        </w:rPr>
        <w:t>:</w:t>
      </w:r>
    </w:p>
    <w:p w14:paraId="375D54A3" w14:textId="56389335" w:rsidR="004269EB" w:rsidRDefault="005553F1" w:rsidP="004269EB">
      <w:pPr>
        <w:spacing w:after="240"/>
        <w:ind w:left="360" w:right="720"/>
        <w:jc w:val="center"/>
        <w:rPr>
          <w:rFonts w:cs="Arial"/>
        </w:rPr>
      </w:pPr>
      <w:r w:rsidRPr="00E42D22">
        <w:rPr>
          <w:rFonts w:cs="Arial"/>
        </w:rPr>
        <w:t>We are concerned that only 45</w:t>
      </w:r>
      <w:r w:rsidR="00034557">
        <w:t> </w:t>
      </w:r>
      <w:r w:rsidRPr="00E42D22">
        <w:rPr>
          <w:rFonts w:cs="Arial"/>
        </w:rPr>
        <w:t>percent of elementary and 23</w:t>
      </w:r>
      <w:r w:rsidR="00034557">
        <w:t> </w:t>
      </w:r>
      <w:r w:rsidRPr="00E42D22">
        <w:rPr>
          <w:rFonts w:cs="Arial"/>
        </w:rPr>
        <w:t xml:space="preserve">percent of high school students indicated they experience meaningful participation in school. </w:t>
      </w:r>
    </w:p>
    <w:p w14:paraId="0C6102EC" w14:textId="40402216" w:rsidR="004269EB" w:rsidRPr="00E42D22" w:rsidRDefault="000340B4" w:rsidP="004269EB">
      <w:pPr>
        <w:spacing w:after="240"/>
        <w:rPr>
          <w:rFonts w:cs="Arial"/>
        </w:rPr>
      </w:pPr>
      <w:r>
        <w:rPr>
          <w:rFonts w:cs="Arial"/>
        </w:rPr>
        <w:t>When preparing the presentation materials for the initial CNA SDP Committee meeting</w:t>
      </w:r>
      <w:r w:rsidR="00223B88">
        <w:rPr>
          <w:rFonts w:cs="Arial"/>
        </w:rPr>
        <w:t>, the CNA Project Lead solicited feedback from former migratory children and youth</w:t>
      </w:r>
      <w:r w:rsidR="00A746B6">
        <w:rPr>
          <w:rFonts w:cs="Arial"/>
        </w:rPr>
        <w:t>s</w:t>
      </w:r>
      <w:r w:rsidR="00223B88">
        <w:rPr>
          <w:rFonts w:cs="Arial"/>
        </w:rPr>
        <w:t xml:space="preserve"> to learn what insights needed to be elevated for the CNA SDP Committee to consider as they identify needs and choose strategies to attend to those needs. One of the main insights was the value of one-on-one support provided to migratory students to </w:t>
      </w:r>
      <w:r w:rsidR="00B50A91">
        <w:rPr>
          <w:rFonts w:cs="Arial"/>
        </w:rPr>
        <w:t xml:space="preserve">help them reach </w:t>
      </w:r>
      <w:r w:rsidR="00223B88">
        <w:rPr>
          <w:rFonts w:cs="Arial"/>
        </w:rPr>
        <w:t>individual goals. Coupled with t</w:t>
      </w:r>
      <w:r w:rsidR="004269EB">
        <w:rPr>
          <w:rFonts w:cs="Arial"/>
        </w:rPr>
        <w:t>he 2024 CHKS data</w:t>
      </w:r>
      <w:r w:rsidR="00223B88">
        <w:rPr>
          <w:rFonts w:cs="Arial"/>
        </w:rPr>
        <w:t>,</w:t>
      </w:r>
      <w:r w:rsidR="004269EB">
        <w:rPr>
          <w:rFonts w:cs="Arial"/>
        </w:rPr>
        <w:t xml:space="preserve"> the subcommittee </w:t>
      </w:r>
      <w:r w:rsidR="00504B45">
        <w:rPr>
          <w:rFonts w:cs="Arial"/>
        </w:rPr>
        <w:t>focused on developing a need to address a lack of meaningful participation at school</w:t>
      </w:r>
      <w:r w:rsidR="004269EB">
        <w:rPr>
          <w:rFonts w:cs="Arial"/>
        </w:rPr>
        <w:t>.</w:t>
      </w:r>
    </w:p>
    <w:p w14:paraId="4AE79593" w14:textId="77777777" w:rsidR="005553F1" w:rsidRPr="002F0E3F" w:rsidRDefault="005553F1" w:rsidP="00767034">
      <w:pPr>
        <w:pStyle w:val="Heading4"/>
      </w:pPr>
      <w:r w:rsidRPr="002F0E3F">
        <w:t>Need Statement</w:t>
      </w:r>
    </w:p>
    <w:p w14:paraId="3161F641" w14:textId="25D9DFFC" w:rsidR="005553F1" w:rsidRPr="002F0E3F" w:rsidRDefault="005553F1" w:rsidP="00767034">
      <w:pPr>
        <w:spacing w:after="240"/>
        <w:rPr>
          <w:rFonts w:cs="Arial"/>
        </w:rPr>
      </w:pPr>
      <w:r w:rsidRPr="002F0E3F">
        <w:rPr>
          <w:rFonts w:cs="Arial"/>
        </w:rPr>
        <w:t xml:space="preserve">Based on the data presented in the CHKS, migratory students </w:t>
      </w:r>
      <w:r w:rsidR="004269EB">
        <w:rPr>
          <w:rFonts w:cs="Arial"/>
        </w:rPr>
        <w:t>lack meaningful connection at school</w:t>
      </w:r>
      <w:r w:rsidRPr="002F0E3F">
        <w:rPr>
          <w:rFonts w:cs="Arial"/>
        </w:rPr>
        <w:t xml:space="preserve"> compared to non-migratory students. </w:t>
      </w:r>
      <w:r w:rsidR="004165B1">
        <w:rPr>
          <w:rFonts w:cs="Arial"/>
        </w:rPr>
        <w:t xml:space="preserve">Whether a child or youth feels connected to school is an indicator </w:t>
      </w:r>
      <w:r w:rsidR="004269EB">
        <w:rPr>
          <w:rFonts w:cs="Arial"/>
        </w:rPr>
        <w:t xml:space="preserve">School connectedness is considered a factor in </w:t>
      </w:r>
      <w:r w:rsidR="009A37C4">
        <w:rPr>
          <w:rFonts w:cs="Arial"/>
        </w:rPr>
        <w:t xml:space="preserve">the level of engagement exhibited by students. </w:t>
      </w:r>
      <w:r w:rsidRPr="002F0E3F">
        <w:rPr>
          <w:rFonts w:cs="Arial"/>
        </w:rPr>
        <w:t>Therefore</w:t>
      </w:r>
      <w:r w:rsidR="00E42D22">
        <w:rPr>
          <w:rFonts w:cs="Arial"/>
        </w:rPr>
        <w:t>,</w:t>
      </w:r>
      <w:r w:rsidRPr="002F0E3F">
        <w:rPr>
          <w:rFonts w:cs="Arial"/>
        </w:rPr>
        <w:t xml:space="preserve"> the Student Engagement </w:t>
      </w:r>
      <w:r w:rsidR="004269EB">
        <w:rPr>
          <w:rFonts w:cs="Arial"/>
        </w:rPr>
        <w:t>s</w:t>
      </w:r>
      <w:r w:rsidRPr="002F0E3F">
        <w:rPr>
          <w:rFonts w:cs="Arial"/>
        </w:rPr>
        <w:t>ubcommittee communicated the following need:</w:t>
      </w:r>
    </w:p>
    <w:p w14:paraId="1630EAE4" w14:textId="3D927FC4" w:rsidR="005553F1" w:rsidRPr="00E42D22" w:rsidRDefault="00E42D22" w:rsidP="00767034">
      <w:pPr>
        <w:spacing w:after="240"/>
        <w:ind w:left="-20"/>
        <w:jc w:val="center"/>
        <w:rPr>
          <w:rFonts w:cs="Arial"/>
        </w:rPr>
      </w:pPr>
      <w:r w:rsidRPr="00E42D22">
        <w:rPr>
          <w:rFonts w:cs="Arial"/>
        </w:rPr>
        <w:t>An additional 15</w:t>
      </w:r>
      <w:r w:rsidR="00034557">
        <w:t> </w:t>
      </w:r>
      <w:r w:rsidRPr="00E42D22">
        <w:rPr>
          <w:rFonts w:cs="Arial"/>
        </w:rPr>
        <w:t>percent of elementary and an additional 17</w:t>
      </w:r>
      <w:r w:rsidR="00034557">
        <w:t> </w:t>
      </w:r>
      <w:r w:rsidRPr="00E42D22">
        <w:rPr>
          <w:rFonts w:cs="Arial"/>
        </w:rPr>
        <w:t>percent of high school students should experience meaningful participation in school.</w:t>
      </w:r>
    </w:p>
    <w:p w14:paraId="6DAFE70C" w14:textId="4FC744FA" w:rsidR="005553F1" w:rsidRPr="002F0E3F" w:rsidRDefault="00652464" w:rsidP="00767034">
      <w:pPr>
        <w:spacing w:after="240"/>
        <w:rPr>
          <w:rFonts w:cs="Arial"/>
        </w:rPr>
      </w:pPr>
      <w:r>
        <w:rPr>
          <w:rFonts w:cs="Arial"/>
        </w:rPr>
        <w:t xml:space="preserve">As much as possible, MEP staff should seek out opportunities to connect with migratory students who may be struggling. Case management services and </w:t>
      </w:r>
      <w:r w:rsidR="009A37C4">
        <w:rPr>
          <w:rFonts w:cs="Arial"/>
        </w:rPr>
        <w:t>meeting with parents and students to complete</w:t>
      </w:r>
      <w:r>
        <w:rPr>
          <w:rFonts w:cs="Arial"/>
        </w:rPr>
        <w:t xml:space="preserve"> INAs/ILPs provide appropriate times for MEP staff to check in to ensure students have meaningful connections at school (e.g., mentor teacher, group of friends, sports or music teams).</w:t>
      </w:r>
      <w:r w:rsidR="00504B45">
        <w:rPr>
          <w:rFonts w:cs="Arial"/>
        </w:rPr>
        <w:t xml:space="preserve"> MEP subgrantees are encouraged to identify a process to monitor student engagement for those students who cite a lack of connection or meaningful participation at school.</w:t>
      </w:r>
    </w:p>
    <w:p w14:paraId="103F965F" w14:textId="77777777" w:rsidR="005553F1" w:rsidRPr="002F0E3F" w:rsidRDefault="005553F1" w:rsidP="00767034">
      <w:pPr>
        <w:pStyle w:val="Heading4"/>
      </w:pPr>
      <w:r w:rsidRPr="002F0E3F">
        <w:t>Initial Strategies</w:t>
      </w:r>
      <w:r>
        <w:t xml:space="preserve"> to Address Need</w:t>
      </w:r>
    </w:p>
    <w:p w14:paraId="72787A46" w14:textId="525B7C6B" w:rsidR="005553F1" w:rsidRPr="005553F1" w:rsidRDefault="005553F1" w:rsidP="005553F1">
      <w:pPr>
        <w:spacing w:after="240"/>
        <w:rPr>
          <w:rFonts w:cs="Arial"/>
        </w:rPr>
      </w:pPr>
      <w:r w:rsidRPr="002F0E3F">
        <w:rPr>
          <w:rFonts w:cs="Arial"/>
        </w:rPr>
        <w:t xml:space="preserve">After discussion and reviewing evidence-based practices for student engagement, </w:t>
      </w:r>
      <w:proofErr w:type="gramStart"/>
      <w:r w:rsidR="00652464">
        <w:rPr>
          <w:rFonts w:cs="Arial"/>
        </w:rPr>
        <w:t>s</w:t>
      </w:r>
      <w:r w:rsidRPr="005553F1">
        <w:rPr>
          <w:rFonts w:cs="Arial"/>
        </w:rPr>
        <w:t>ubcommittee</w:t>
      </w:r>
      <w:proofErr w:type="gramEnd"/>
      <w:r w:rsidRPr="005553F1">
        <w:rPr>
          <w:rFonts w:cs="Arial"/>
        </w:rPr>
        <w:t xml:space="preserve"> proposed the following strategies:</w:t>
      </w:r>
    </w:p>
    <w:p w14:paraId="564A615C" w14:textId="77777777" w:rsidR="00652464" w:rsidRDefault="00E42D22" w:rsidP="009670FC">
      <w:pPr>
        <w:pStyle w:val="ListParagraph"/>
        <w:numPr>
          <w:ilvl w:val="0"/>
          <w:numId w:val="56"/>
        </w:numPr>
        <w:spacing w:after="240"/>
        <w:contextualSpacing w:val="0"/>
        <w:rPr>
          <w:rFonts w:cs="Arial"/>
        </w:rPr>
      </w:pPr>
      <w:r w:rsidRPr="00E42D22">
        <w:rPr>
          <w:rFonts w:cs="Arial"/>
        </w:rPr>
        <w:t>Identify students who do not feel a meaningful connection at school and reach out to students to make those connections.</w:t>
      </w:r>
    </w:p>
    <w:p w14:paraId="2D14BCC3" w14:textId="6D486A1D" w:rsidR="00652464" w:rsidRDefault="00652464" w:rsidP="00652464">
      <w:pPr>
        <w:spacing w:after="240"/>
        <w:rPr>
          <w:rFonts w:cs="Arial"/>
        </w:rPr>
      </w:pPr>
      <w:r>
        <w:rPr>
          <w:rFonts w:cs="Arial"/>
        </w:rPr>
        <w:lastRenderedPageBreak/>
        <w:t xml:space="preserve">Although this strategy could offer individual students significant support, it is also costly and difficult to measure and evaluate. More thoughtful discussion </w:t>
      </w:r>
      <w:r w:rsidR="00B50A91">
        <w:rPr>
          <w:rFonts w:cs="Arial"/>
        </w:rPr>
        <w:t xml:space="preserve">about </w:t>
      </w:r>
      <w:r w:rsidR="00065809">
        <w:rPr>
          <w:rFonts w:cs="Arial"/>
        </w:rPr>
        <w:t>the feasibility of</w:t>
      </w:r>
      <w:r w:rsidR="00B50A91">
        <w:rPr>
          <w:rFonts w:cs="Arial"/>
        </w:rPr>
        <w:t xml:space="preserve"> implement</w:t>
      </w:r>
      <w:r w:rsidR="00C071A9">
        <w:rPr>
          <w:rFonts w:cs="Arial"/>
        </w:rPr>
        <w:t>ing</w:t>
      </w:r>
      <w:r w:rsidR="00B50A91">
        <w:rPr>
          <w:rFonts w:cs="Arial"/>
        </w:rPr>
        <w:t xml:space="preserve"> this strategy </w:t>
      </w:r>
      <w:r>
        <w:rPr>
          <w:rFonts w:cs="Arial"/>
        </w:rPr>
        <w:t>is needed</w:t>
      </w:r>
      <w:r w:rsidR="005D025F">
        <w:rPr>
          <w:rFonts w:cs="Arial"/>
        </w:rPr>
        <w:t xml:space="preserve"> </w:t>
      </w:r>
      <w:r w:rsidR="00B50A91">
        <w:rPr>
          <w:rFonts w:cs="Arial"/>
        </w:rPr>
        <w:t>before</w:t>
      </w:r>
      <w:r w:rsidR="00065809">
        <w:rPr>
          <w:rFonts w:cs="Arial"/>
        </w:rPr>
        <w:t xml:space="preserve"> its inclusion in</w:t>
      </w:r>
      <w:r w:rsidR="005D025F">
        <w:rPr>
          <w:rFonts w:cs="Arial"/>
        </w:rPr>
        <w:t xml:space="preserve"> the SDP.</w:t>
      </w:r>
    </w:p>
    <w:p w14:paraId="6788F0DE" w14:textId="6156C38C" w:rsidR="005D025F" w:rsidRPr="002F0E3F" w:rsidRDefault="005D025F" w:rsidP="005D025F">
      <w:pPr>
        <w:pStyle w:val="Heading3"/>
      </w:pPr>
      <w:bookmarkStart w:id="198" w:name="_Toc188361335"/>
      <w:r>
        <w:t>Social and Emotional Learning</w:t>
      </w:r>
      <w:bookmarkEnd w:id="198"/>
    </w:p>
    <w:p w14:paraId="787A7D0D" w14:textId="6CEBC51B" w:rsidR="005D025F" w:rsidRPr="002F0E3F" w:rsidRDefault="00C96DBF" w:rsidP="005D025F">
      <w:pPr>
        <w:spacing w:after="240"/>
        <w:rPr>
          <w:rFonts w:cs="Arial"/>
        </w:rPr>
      </w:pPr>
      <w:r>
        <w:rPr>
          <w:rFonts w:cs="Arial"/>
        </w:rPr>
        <w:t xml:space="preserve">The </w:t>
      </w:r>
      <w:hyperlink r:id="rId47" w:history="1">
        <w:r w:rsidRPr="0021462A">
          <w:rPr>
            <w:rStyle w:val="Hyperlink"/>
            <w:rFonts w:cs="Arial"/>
          </w:rPr>
          <w:t>Collaborative for Academic, Social, and Emotional Learning</w:t>
        </w:r>
      </w:hyperlink>
      <w:r>
        <w:rPr>
          <w:rFonts w:cs="Arial"/>
        </w:rPr>
        <w:t xml:space="preserve"> (CA</w:t>
      </w:r>
      <w:r w:rsidRPr="0021462A">
        <w:rPr>
          <w:rFonts w:cs="Arial"/>
        </w:rPr>
        <w:t>SEL</w:t>
      </w:r>
      <w:r>
        <w:rPr>
          <w:rFonts w:cs="Arial"/>
        </w:rPr>
        <w:t>) identifies s</w:t>
      </w:r>
      <w:r w:rsidR="0021462A" w:rsidRPr="0021462A">
        <w:rPr>
          <w:rFonts w:cs="Arial"/>
        </w:rPr>
        <w:t xml:space="preserve">ocial and emotional learning (SEL) </w:t>
      </w:r>
      <w:r>
        <w:rPr>
          <w:rFonts w:cs="Arial"/>
        </w:rPr>
        <w:t>a</w:t>
      </w:r>
      <w:r w:rsidR="0021462A" w:rsidRPr="0021462A">
        <w:rPr>
          <w:rFonts w:cs="Arial"/>
        </w:rPr>
        <w:t xml:space="preserve">s the process through which </w:t>
      </w:r>
      <w:r w:rsidR="0021462A">
        <w:rPr>
          <w:rFonts w:cs="Arial"/>
        </w:rPr>
        <w:t>people acquire and apply knowledge and skills</w:t>
      </w:r>
      <w:r w:rsidR="0021462A" w:rsidRPr="0021462A">
        <w:rPr>
          <w:rFonts w:cs="Arial"/>
        </w:rPr>
        <w:t xml:space="preserve"> to develop healthy identities, manage emotions and </w:t>
      </w:r>
      <w:r w:rsidR="0021462A">
        <w:rPr>
          <w:rFonts w:cs="Arial"/>
        </w:rPr>
        <w:t>obtain</w:t>
      </w:r>
      <w:r w:rsidR="0021462A" w:rsidRPr="0021462A">
        <w:rPr>
          <w:rFonts w:cs="Arial"/>
        </w:rPr>
        <w:t xml:space="preserve"> </w:t>
      </w:r>
      <w:r w:rsidR="0021462A">
        <w:rPr>
          <w:rFonts w:cs="Arial"/>
        </w:rPr>
        <w:t>individual and collective</w:t>
      </w:r>
      <w:r w:rsidR="0021462A" w:rsidRPr="0021462A">
        <w:rPr>
          <w:rFonts w:cs="Arial"/>
        </w:rPr>
        <w:t xml:space="preserve"> goals, feel and show empathy, establish and maintain </w:t>
      </w:r>
      <w:r w:rsidR="0021462A">
        <w:rPr>
          <w:rFonts w:cs="Arial"/>
        </w:rPr>
        <w:t>healthy</w:t>
      </w:r>
      <w:r w:rsidR="0021462A" w:rsidRPr="0021462A">
        <w:rPr>
          <w:rFonts w:cs="Arial"/>
        </w:rPr>
        <w:t xml:space="preserve"> relationships, and make responsible decisions. </w:t>
      </w:r>
      <w:r w:rsidR="0021462A">
        <w:rPr>
          <w:rFonts w:cs="Arial"/>
        </w:rPr>
        <w:t>The CA</w:t>
      </w:r>
      <w:r w:rsidR="0021462A" w:rsidRPr="0021462A">
        <w:rPr>
          <w:rFonts w:cs="Arial"/>
        </w:rPr>
        <w:t>SEL</w:t>
      </w:r>
      <w:r w:rsidR="0021462A">
        <w:rPr>
          <w:rFonts w:cs="Arial"/>
        </w:rPr>
        <w:t xml:space="preserve"> developed a SEL framework</w:t>
      </w:r>
      <w:r w:rsidR="0021462A" w:rsidRPr="0021462A">
        <w:rPr>
          <w:rFonts w:cs="Arial"/>
        </w:rPr>
        <w:t xml:space="preserve"> </w:t>
      </w:r>
      <w:r w:rsidR="0021462A">
        <w:rPr>
          <w:rFonts w:cs="Arial"/>
        </w:rPr>
        <w:t>that “</w:t>
      </w:r>
      <w:r w:rsidR="0021462A" w:rsidRPr="0021462A">
        <w:rPr>
          <w:rFonts w:cs="Arial"/>
        </w:rPr>
        <w:t>advances educational equity and excellence through authentic school-family-community partnerships to establish learning environments and experiences that feature trusting and collaborative relationships, rigorous and meaningful curriculum and instruction, and ongoing evaluation</w:t>
      </w:r>
      <w:r w:rsidR="0021462A">
        <w:rPr>
          <w:rFonts w:cs="Arial"/>
        </w:rPr>
        <w:t>”</w:t>
      </w:r>
      <w:r w:rsidR="0021462A" w:rsidRPr="0021462A">
        <w:rPr>
          <w:rFonts w:cs="Arial"/>
        </w:rPr>
        <w:t xml:space="preserve">. </w:t>
      </w:r>
      <w:r>
        <w:rPr>
          <w:rFonts w:cs="Arial"/>
        </w:rPr>
        <w:t>This framework includes five interrelated areas</w:t>
      </w:r>
      <w:r w:rsidR="00C80F9E">
        <w:rPr>
          <w:rFonts w:cs="Arial"/>
        </w:rPr>
        <w:t xml:space="preserve"> for SEL including 1) self-awareness, 2) self-management, 3) social awareness, 4) relationship skills, and 5) responsible decision making. </w:t>
      </w:r>
      <w:r w:rsidR="009E381F">
        <w:rPr>
          <w:rFonts w:cs="Arial"/>
        </w:rPr>
        <w:t>Research shows that SEL leads to positive student outcomes including academic achievement, the ability to manage stress, and maintaining friendships and relationships with teachers and can help reduce bullying and violence.</w:t>
      </w:r>
    </w:p>
    <w:p w14:paraId="0E1C4D9E" w14:textId="77777777" w:rsidR="005D025F" w:rsidRPr="002F0E3F" w:rsidRDefault="005D025F" w:rsidP="005D025F">
      <w:pPr>
        <w:pStyle w:val="Heading4"/>
      </w:pPr>
      <w:r w:rsidRPr="002F0E3F">
        <w:t xml:space="preserve">Key Data Points from </w:t>
      </w:r>
      <w:r>
        <w:t>Committee</w:t>
      </w:r>
      <w:r w:rsidRPr="002F0E3F">
        <w:t xml:space="preserve"> Discussions</w:t>
      </w:r>
    </w:p>
    <w:p w14:paraId="26A2F1E5" w14:textId="3E4AF710" w:rsidR="00E84D8D" w:rsidRPr="003A7DB6" w:rsidRDefault="005D025F" w:rsidP="003A7DB6">
      <w:pPr>
        <w:spacing w:after="240"/>
        <w:rPr>
          <w:rFonts w:cs="Arial"/>
        </w:rPr>
      </w:pPr>
      <w:r w:rsidRPr="002F0E3F">
        <w:rPr>
          <w:rFonts w:cs="Arial"/>
        </w:rPr>
        <w:t xml:space="preserve">The </w:t>
      </w:r>
      <w:r>
        <w:rPr>
          <w:rFonts w:cs="Arial"/>
        </w:rPr>
        <w:t>SEL</w:t>
      </w:r>
      <w:r w:rsidRPr="002F0E3F">
        <w:rPr>
          <w:rFonts w:cs="Arial"/>
        </w:rPr>
        <w:t xml:space="preserve"> </w:t>
      </w:r>
      <w:r>
        <w:rPr>
          <w:rFonts w:cs="Arial"/>
        </w:rPr>
        <w:t>s</w:t>
      </w:r>
      <w:r w:rsidRPr="002F0E3F">
        <w:rPr>
          <w:rFonts w:cs="Arial"/>
        </w:rPr>
        <w:t xml:space="preserve">ubcommittee </w:t>
      </w:r>
      <w:r>
        <w:rPr>
          <w:rFonts w:cs="Arial"/>
        </w:rPr>
        <w:t xml:space="preserve">first spent a fair amount of time building their knowledge of SEL and how it can be </w:t>
      </w:r>
      <w:r w:rsidR="00B50A91">
        <w:rPr>
          <w:rFonts w:cs="Arial"/>
        </w:rPr>
        <w:t xml:space="preserve">applied </w:t>
      </w:r>
      <w:r>
        <w:rPr>
          <w:rFonts w:cs="Arial"/>
        </w:rPr>
        <w:t>in the classroom.</w:t>
      </w:r>
      <w:r w:rsidR="009E381F">
        <w:rPr>
          <w:rFonts w:cs="Arial"/>
        </w:rPr>
        <w:t xml:space="preserve"> Without specific SEL outcome data, the SEL subcommittee reviewed the 2024 </w:t>
      </w:r>
      <w:r w:rsidR="00C071A9">
        <w:rPr>
          <w:rFonts w:cs="Arial"/>
        </w:rPr>
        <w:t>CHCKS</w:t>
      </w:r>
      <w:r w:rsidR="009E381F">
        <w:rPr>
          <w:rFonts w:cs="Arial"/>
        </w:rPr>
        <w:t xml:space="preserve"> data</w:t>
      </w:r>
      <w:r>
        <w:rPr>
          <w:rFonts w:cs="Arial"/>
        </w:rPr>
        <w:t xml:space="preserve">. </w:t>
      </w:r>
      <w:r w:rsidR="00E84D8D">
        <w:rPr>
          <w:rFonts w:cs="Arial"/>
        </w:rPr>
        <w:t>The 2024 CHKS asked students multiple questions about mental health and school climate that was reviewed by the committee. Additionally, the SEL subcommittee spent a significant amount of time discussing SEL needs in the absence of more quantitative data. The key data points</w:t>
      </w:r>
      <w:r w:rsidR="003A7DB6">
        <w:rPr>
          <w:rFonts w:cs="Arial"/>
        </w:rPr>
        <w:t xml:space="preserve"> from CHKS</w:t>
      </w:r>
      <w:r w:rsidR="00E84D8D">
        <w:rPr>
          <w:rFonts w:cs="Arial"/>
        </w:rPr>
        <w:t xml:space="preserve"> reflecting on SEL needs include:</w:t>
      </w:r>
    </w:p>
    <w:p w14:paraId="04D58C57" w14:textId="60CC9FC8" w:rsidR="003A7DB6" w:rsidRDefault="003A7DB6" w:rsidP="009670FC">
      <w:pPr>
        <w:pStyle w:val="ListParagraph"/>
        <w:numPr>
          <w:ilvl w:val="0"/>
          <w:numId w:val="46"/>
        </w:numPr>
        <w:spacing w:after="240"/>
        <w:contextualSpacing w:val="0"/>
        <w:rPr>
          <w:rFonts w:cs="Arial"/>
        </w:rPr>
      </w:pPr>
      <w:r>
        <w:rPr>
          <w:rFonts w:cs="Arial"/>
        </w:rPr>
        <w:t>Although the 2024 chronic sadness data have decreased from the 2019–21 state average, 25</w:t>
      </w:r>
      <w:r w:rsidR="00034557">
        <w:t> </w:t>
      </w:r>
      <w:r>
        <w:rPr>
          <w:rFonts w:cs="Arial"/>
        </w:rPr>
        <w:t xml:space="preserve">percent of </w:t>
      </w:r>
      <w:r w:rsidR="00C071A9">
        <w:rPr>
          <w:rFonts w:cs="Arial"/>
        </w:rPr>
        <w:t>seventh</w:t>
      </w:r>
      <w:r>
        <w:rPr>
          <w:rFonts w:cs="Arial"/>
        </w:rPr>
        <w:t xml:space="preserve"> graders, 28</w:t>
      </w:r>
      <w:r w:rsidR="00034557">
        <w:t> </w:t>
      </w:r>
      <w:r>
        <w:rPr>
          <w:rFonts w:cs="Arial"/>
        </w:rPr>
        <w:t xml:space="preserve">percent of </w:t>
      </w:r>
      <w:r w:rsidR="00C071A9">
        <w:rPr>
          <w:rFonts w:cs="Arial"/>
        </w:rPr>
        <w:t>ninth</w:t>
      </w:r>
      <w:r>
        <w:rPr>
          <w:rFonts w:cs="Arial"/>
        </w:rPr>
        <w:t xml:space="preserve"> graders, and 31</w:t>
      </w:r>
      <w:r w:rsidR="00034557">
        <w:t> </w:t>
      </w:r>
      <w:r>
        <w:rPr>
          <w:rFonts w:cs="Arial"/>
        </w:rPr>
        <w:t xml:space="preserve">percent of </w:t>
      </w:r>
      <w:r w:rsidR="00C071A9">
        <w:rPr>
          <w:rFonts w:cs="Arial"/>
        </w:rPr>
        <w:t>eleventh</w:t>
      </w:r>
      <w:r>
        <w:rPr>
          <w:rFonts w:cs="Arial"/>
        </w:rPr>
        <w:t xml:space="preserve"> graders reported experiencing chronic sadness.</w:t>
      </w:r>
    </w:p>
    <w:p w14:paraId="440F8273" w14:textId="570701A7" w:rsidR="003A7DB6" w:rsidRDefault="003A7DB6" w:rsidP="009670FC">
      <w:pPr>
        <w:pStyle w:val="ListParagraph"/>
        <w:numPr>
          <w:ilvl w:val="0"/>
          <w:numId w:val="46"/>
        </w:numPr>
        <w:spacing w:after="240"/>
        <w:contextualSpacing w:val="0"/>
        <w:rPr>
          <w:rFonts w:cs="Arial"/>
        </w:rPr>
      </w:pPr>
      <w:r>
        <w:rPr>
          <w:rFonts w:cs="Arial"/>
        </w:rPr>
        <w:t>Between 12 and 13</w:t>
      </w:r>
      <w:r w:rsidR="00034557">
        <w:t> </w:t>
      </w:r>
      <w:r>
        <w:rPr>
          <w:rFonts w:cs="Arial"/>
        </w:rPr>
        <w:t xml:space="preserve">percent of students in </w:t>
      </w:r>
      <w:r w:rsidR="00D85402">
        <w:rPr>
          <w:rFonts w:cs="Arial"/>
        </w:rPr>
        <w:t>seventh</w:t>
      </w:r>
      <w:r>
        <w:rPr>
          <w:rFonts w:cs="Arial"/>
        </w:rPr>
        <w:t xml:space="preserve">, </w:t>
      </w:r>
      <w:r w:rsidR="00D85402">
        <w:rPr>
          <w:rFonts w:cs="Arial"/>
        </w:rPr>
        <w:t>ninth</w:t>
      </w:r>
      <w:r>
        <w:rPr>
          <w:rFonts w:cs="Arial"/>
        </w:rPr>
        <w:t xml:space="preserve">, and </w:t>
      </w:r>
      <w:r w:rsidR="00D85402">
        <w:rPr>
          <w:rFonts w:cs="Arial"/>
        </w:rPr>
        <w:t xml:space="preserve">eleventh </w:t>
      </w:r>
      <w:r>
        <w:rPr>
          <w:rFonts w:cs="Arial"/>
        </w:rPr>
        <w:t xml:space="preserve">grades </w:t>
      </w:r>
      <w:proofErr w:type="gramStart"/>
      <w:r>
        <w:rPr>
          <w:rFonts w:cs="Arial"/>
        </w:rPr>
        <w:t>reported considering</w:t>
      </w:r>
      <w:proofErr w:type="gramEnd"/>
      <w:r>
        <w:rPr>
          <w:rFonts w:cs="Arial"/>
        </w:rPr>
        <w:t xml:space="preserve"> suicide in </w:t>
      </w:r>
      <w:proofErr w:type="gramStart"/>
      <w:r>
        <w:rPr>
          <w:rFonts w:cs="Arial"/>
        </w:rPr>
        <w:t>the 2024</w:t>
      </w:r>
      <w:proofErr w:type="gramEnd"/>
      <w:r>
        <w:rPr>
          <w:rFonts w:cs="Arial"/>
        </w:rPr>
        <w:t xml:space="preserve"> CHKS Mental Health Indicators.</w:t>
      </w:r>
    </w:p>
    <w:p w14:paraId="72EF8F0D" w14:textId="53C745DF" w:rsidR="003A7DB6" w:rsidRDefault="003A7DB6" w:rsidP="009670FC">
      <w:pPr>
        <w:pStyle w:val="ListParagraph"/>
        <w:numPr>
          <w:ilvl w:val="0"/>
          <w:numId w:val="46"/>
        </w:numPr>
        <w:spacing w:after="240"/>
        <w:contextualSpacing w:val="0"/>
        <w:rPr>
          <w:rFonts w:cs="Arial"/>
        </w:rPr>
      </w:pPr>
      <w:r>
        <w:rPr>
          <w:rFonts w:cs="Arial"/>
        </w:rPr>
        <w:t>Optimism decreases with age. Fifty-eight</w:t>
      </w:r>
      <w:r w:rsidR="00034557">
        <w:t> </w:t>
      </w:r>
      <w:r>
        <w:rPr>
          <w:rFonts w:cs="Arial"/>
        </w:rPr>
        <w:t xml:space="preserve">percent of </w:t>
      </w:r>
      <w:r w:rsidR="00D85402">
        <w:rPr>
          <w:rFonts w:cs="Arial"/>
        </w:rPr>
        <w:t xml:space="preserve">seventh </w:t>
      </w:r>
      <w:r>
        <w:rPr>
          <w:rFonts w:cs="Arial"/>
        </w:rPr>
        <w:t>graders reported feeling optimistic, while only 49</w:t>
      </w:r>
      <w:r w:rsidR="00034557">
        <w:t> </w:t>
      </w:r>
      <w:r>
        <w:rPr>
          <w:rFonts w:cs="Arial"/>
        </w:rPr>
        <w:t>percent and 45</w:t>
      </w:r>
      <w:r w:rsidR="00034557">
        <w:t> </w:t>
      </w:r>
      <w:r>
        <w:rPr>
          <w:rFonts w:cs="Arial"/>
        </w:rPr>
        <w:t xml:space="preserve">percent of </w:t>
      </w:r>
      <w:r w:rsidR="00D85402">
        <w:rPr>
          <w:rFonts w:cs="Arial"/>
        </w:rPr>
        <w:t xml:space="preserve">ninth </w:t>
      </w:r>
      <w:r>
        <w:rPr>
          <w:rFonts w:cs="Arial"/>
        </w:rPr>
        <w:t xml:space="preserve">and </w:t>
      </w:r>
      <w:r w:rsidR="00D85402">
        <w:rPr>
          <w:rFonts w:cs="Arial"/>
        </w:rPr>
        <w:t xml:space="preserve">eleventh </w:t>
      </w:r>
      <w:r>
        <w:rPr>
          <w:rFonts w:cs="Arial"/>
        </w:rPr>
        <w:t>graders respectively.</w:t>
      </w:r>
    </w:p>
    <w:p w14:paraId="2E47C340" w14:textId="3A742DA8" w:rsidR="003A7DB6" w:rsidRPr="003A7DB6" w:rsidRDefault="003A7DB6" w:rsidP="003A7DB6">
      <w:pPr>
        <w:spacing w:after="240"/>
        <w:rPr>
          <w:rFonts w:cs="Arial"/>
        </w:rPr>
      </w:pPr>
      <w:r>
        <w:rPr>
          <w:rFonts w:cs="Arial"/>
        </w:rPr>
        <w:t>Key points from the subcommittee’s discussion on SEL include:</w:t>
      </w:r>
    </w:p>
    <w:p w14:paraId="44804A38" w14:textId="0F759E54" w:rsidR="00E84D8D" w:rsidRPr="00E84D8D" w:rsidRDefault="00E84D8D" w:rsidP="009670FC">
      <w:pPr>
        <w:pStyle w:val="ListParagraph"/>
        <w:numPr>
          <w:ilvl w:val="0"/>
          <w:numId w:val="46"/>
        </w:numPr>
        <w:spacing w:after="240"/>
        <w:contextualSpacing w:val="0"/>
        <w:rPr>
          <w:rFonts w:cs="Arial"/>
        </w:rPr>
      </w:pPr>
      <w:r w:rsidRPr="00E84D8D">
        <w:rPr>
          <w:rFonts w:cs="Arial"/>
        </w:rPr>
        <w:t>Only some regions offer SEL workshops and support parents’ attendance.</w:t>
      </w:r>
    </w:p>
    <w:p w14:paraId="08AC2535" w14:textId="77777777" w:rsidR="00E84D8D" w:rsidRPr="00E84D8D" w:rsidRDefault="00E84D8D" w:rsidP="009670FC">
      <w:pPr>
        <w:pStyle w:val="ListParagraph"/>
        <w:numPr>
          <w:ilvl w:val="0"/>
          <w:numId w:val="46"/>
        </w:numPr>
        <w:spacing w:after="240"/>
        <w:contextualSpacing w:val="0"/>
        <w:rPr>
          <w:rFonts w:cs="Arial"/>
        </w:rPr>
      </w:pPr>
      <w:r w:rsidRPr="00E84D8D">
        <w:rPr>
          <w:rFonts w:cs="Arial"/>
        </w:rPr>
        <w:lastRenderedPageBreak/>
        <w:t>All MEP subgrantees should support parents, OSY, and students with evidence-based SEL workshops.</w:t>
      </w:r>
    </w:p>
    <w:p w14:paraId="40A5DCCD" w14:textId="77018E00" w:rsidR="00E84D8D" w:rsidRPr="00E84D8D" w:rsidRDefault="00D85402" w:rsidP="009670FC">
      <w:pPr>
        <w:pStyle w:val="ListParagraph"/>
        <w:numPr>
          <w:ilvl w:val="0"/>
          <w:numId w:val="46"/>
        </w:numPr>
        <w:spacing w:after="240"/>
        <w:contextualSpacing w:val="0"/>
        <w:rPr>
          <w:rFonts w:cs="Arial"/>
        </w:rPr>
      </w:pPr>
      <w:r>
        <w:rPr>
          <w:rFonts w:cs="Arial"/>
        </w:rPr>
        <w:t>Migratory</w:t>
      </w:r>
      <w:r w:rsidRPr="00E84D8D">
        <w:rPr>
          <w:rFonts w:cs="Arial"/>
        </w:rPr>
        <w:t xml:space="preserve"> </w:t>
      </w:r>
      <w:r w:rsidR="00E84D8D" w:rsidRPr="00E84D8D">
        <w:rPr>
          <w:rFonts w:cs="Arial"/>
        </w:rPr>
        <w:t>parents and OSY</w:t>
      </w:r>
      <w:r>
        <w:rPr>
          <w:rFonts w:cs="Arial"/>
        </w:rPr>
        <w:t>s</w:t>
      </w:r>
      <w:r w:rsidR="00E84D8D" w:rsidRPr="00E84D8D">
        <w:rPr>
          <w:rFonts w:cs="Arial"/>
        </w:rPr>
        <w:t xml:space="preserve"> aren’t aware of resources for SEL and how to navigate them.</w:t>
      </w:r>
    </w:p>
    <w:p w14:paraId="36148894" w14:textId="77777777" w:rsidR="00E84D8D" w:rsidRPr="00E84D8D" w:rsidRDefault="00E84D8D" w:rsidP="009670FC">
      <w:pPr>
        <w:pStyle w:val="ListParagraph"/>
        <w:numPr>
          <w:ilvl w:val="0"/>
          <w:numId w:val="46"/>
        </w:numPr>
        <w:spacing w:after="240"/>
        <w:contextualSpacing w:val="0"/>
        <w:rPr>
          <w:rFonts w:cs="Arial"/>
        </w:rPr>
      </w:pPr>
      <w:r w:rsidRPr="00E84D8D">
        <w:rPr>
          <w:rFonts w:cs="Arial"/>
        </w:rPr>
        <w:t xml:space="preserve">All MEPs should inform MEP parents, OSY, and students about SEL resources and how to navigate them. </w:t>
      </w:r>
    </w:p>
    <w:p w14:paraId="4CC86304" w14:textId="77777777" w:rsidR="00E84D8D" w:rsidRPr="00E84D8D" w:rsidRDefault="00E84D8D" w:rsidP="009670FC">
      <w:pPr>
        <w:pStyle w:val="ListParagraph"/>
        <w:numPr>
          <w:ilvl w:val="0"/>
          <w:numId w:val="46"/>
        </w:numPr>
        <w:spacing w:after="240"/>
        <w:contextualSpacing w:val="0"/>
        <w:rPr>
          <w:rFonts w:cs="Arial"/>
        </w:rPr>
      </w:pPr>
      <w:r w:rsidRPr="00E84D8D">
        <w:rPr>
          <w:rFonts w:cs="Arial"/>
        </w:rPr>
        <w:t>Students are struggling with feelings of belonging at school, especially in the classroom and school community.</w:t>
      </w:r>
    </w:p>
    <w:p w14:paraId="3E8B74B5" w14:textId="6A2CE3CE" w:rsidR="00E84D8D" w:rsidRPr="00E84D8D" w:rsidRDefault="00C071A9" w:rsidP="009670FC">
      <w:pPr>
        <w:pStyle w:val="ListParagraph"/>
        <w:numPr>
          <w:ilvl w:val="0"/>
          <w:numId w:val="46"/>
        </w:numPr>
        <w:spacing w:after="240"/>
        <w:contextualSpacing w:val="0"/>
        <w:rPr>
          <w:rFonts w:cs="Arial"/>
        </w:rPr>
      </w:pPr>
      <w:r>
        <w:rPr>
          <w:rFonts w:cs="Arial"/>
        </w:rPr>
        <w:t>S</w:t>
      </w:r>
      <w:r w:rsidR="00E84D8D" w:rsidRPr="00E84D8D">
        <w:rPr>
          <w:rFonts w:cs="Arial"/>
        </w:rPr>
        <w:t>taff</w:t>
      </w:r>
      <w:r>
        <w:rPr>
          <w:rFonts w:cs="Arial"/>
        </w:rPr>
        <w:t xml:space="preserve"> employed by the MEP</w:t>
      </w:r>
      <w:r w:rsidR="00E84D8D" w:rsidRPr="00E84D8D">
        <w:rPr>
          <w:rFonts w:cs="Arial"/>
        </w:rPr>
        <w:t xml:space="preserve"> and one parent noted that they see low self-esteem, confidence and therefore motivation within students.</w:t>
      </w:r>
    </w:p>
    <w:p w14:paraId="3981B913" w14:textId="059D6D6A" w:rsidR="00E84D8D" w:rsidRPr="00E84D8D" w:rsidRDefault="00E84D8D" w:rsidP="009670FC">
      <w:pPr>
        <w:pStyle w:val="ListParagraph"/>
        <w:numPr>
          <w:ilvl w:val="0"/>
          <w:numId w:val="46"/>
        </w:numPr>
        <w:spacing w:after="240"/>
        <w:contextualSpacing w:val="0"/>
        <w:rPr>
          <w:rFonts w:cs="Arial"/>
          <w:sz w:val="20"/>
          <w:szCs w:val="20"/>
        </w:rPr>
      </w:pPr>
      <w:r w:rsidRPr="00E84D8D">
        <w:rPr>
          <w:rFonts w:cs="Arial"/>
        </w:rPr>
        <w:t xml:space="preserve">The </w:t>
      </w:r>
      <w:r w:rsidRPr="00D85402">
        <w:rPr>
          <w:rFonts w:cs="Arial"/>
        </w:rPr>
        <w:t>subcommitt</w:t>
      </w:r>
      <w:r w:rsidRPr="00C071A9">
        <w:rPr>
          <w:rFonts w:cs="Arial"/>
        </w:rPr>
        <w:t>ee reported a need to support students’ self-regulation and development of caring adult relationships.</w:t>
      </w:r>
    </w:p>
    <w:p w14:paraId="47A6E0E7" w14:textId="24E32F43" w:rsidR="005D025F" w:rsidRPr="002F0E3F" w:rsidRDefault="005D025F" w:rsidP="005D025F">
      <w:pPr>
        <w:spacing w:after="240"/>
        <w:rPr>
          <w:rFonts w:cs="Arial"/>
        </w:rPr>
      </w:pPr>
      <w:r w:rsidRPr="002F0E3F">
        <w:rPr>
          <w:rFonts w:cs="Arial"/>
        </w:rPr>
        <w:t xml:space="preserve">The information below details the key decision points made by the </w:t>
      </w:r>
      <w:r w:rsidR="003A7DB6">
        <w:rPr>
          <w:rFonts w:cs="Arial"/>
        </w:rPr>
        <w:t>SEL s</w:t>
      </w:r>
      <w:r w:rsidRPr="002F0E3F">
        <w:rPr>
          <w:rFonts w:cs="Arial"/>
        </w:rPr>
        <w:t>ubcommittee including their major concerns, needs, and initial strategies selected to address th</w:t>
      </w:r>
      <w:r w:rsidR="009A37C4">
        <w:rPr>
          <w:rFonts w:cs="Arial"/>
        </w:rPr>
        <w:t>e</w:t>
      </w:r>
      <w:r w:rsidRPr="002F0E3F">
        <w:rPr>
          <w:rFonts w:cs="Arial"/>
        </w:rPr>
        <w:t xml:space="preserve"> need</w:t>
      </w:r>
      <w:r w:rsidR="009A37C4">
        <w:rPr>
          <w:rFonts w:cs="Arial"/>
        </w:rPr>
        <w:t>s in SEL</w:t>
      </w:r>
      <w:r w:rsidRPr="002F0E3F">
        <w:rPr>
          <w:rFonts w:cs="Arial"/>
        </w:rPr>
        <w:t>.</w:t>
      </w:r>
    </w:p>
    <w:p w14:paraId="680EE7B7" w14:textId="17BD9C90" w:rsidR="005D025F" w:rsidRPr="002F0E3F" w:rsidRDefault="005D025F" w:rsidP="005D025F">
      <w:pPr>
        <w:pStyle w:val="Heading4"/>
      </w:pPr>
      <w:r>
        <w:t>Social and Emotional Learning</w:t>
      </w:r>
      <w:r w:rsidRPr="002F0E3F">
        <w:t xml:space="preserve">: Concern Statement #1 </w:t>
      </w:r>
    </w:p>
    <w:p w14:paraId="1EDC439B" w14:textId="79BE674A" w:rsidR="005D025F" w:rsidRPr="002F0E3F" w:rsidRDefault="005D025F" w:rsidP="005D025F">
      <w:pPr>
        <w:spacing w:after="240"/>
        <w:rPr>
          <w:rFonts w:cs="Arial"/>
        </w:rPr>
      </w:pPr>
      <w:r>
        <w:rPr>
          <w:rFonts w:cs="Arial"/>
        </w:rPr>
        <w:t xml:space="preserve">The </w:t>
      </w:r>
      <w:r w:rsidR="00316AD8">
        <w:rPr>
          <w:rFonts w:cs="Arial"/>
        </w:rPr>
        <w:t>SEL s</w:t>
      </w:r>
      <w:r>
        <w:rPr>
          <w:rFonts w:cs="Arial"/>
        </w:rPr>
        <w:t xml:space="preserve">ubcommittee’s first concern focuses </w:t>
      </w:r>
      <w:r w:rsidR="00316AD8">
        <w:rPr>
          <w:rFonts w:cs="Arial"/>
        </w:rPr>
        <w:t>on basic understanding of SEL and availability of resources for MEP staff, youth</w:t>
      </w:r>
      <w:r w:rsidR="00D85402">
        <w:rPr>
          <w:rFonts w:cs="Arial"/>
        </w:rPr>
        <w:t>s</w:t>
      </w:r>
      <w:r w:rsidR="00316AD8">
        <w:rPr>
          <w:rFonts w:cs="Arial"/>
        </w:rPr>
        <w:t xml:space="preserve">, and parents. </w:t>
      </w:r>
      <w:r w:rsidRPr="002F0E3F">
        <w:rPr>
          <w:rFonts w:cs="Arial"/>
        </w:rPr>
        <w:t xml:space="preserve">The </w:t>
      </w:r>
      <w:r w:rsidR="00316AD8">
        <w:rPr>
          <w:rFonts w:cs="Arial"/>
        </w:rPr>
        <w:t>SEL</w:t>
      </w:r>
      <w:r w:rsidRPr="002F0E3F">
        <w:rPr>
          <w:rFonts w:cs="Arial"/>
        </w:rPr>
        <w:t xml:space="preserve"> </w:t>
      </w:r>
      <w:r w:rsidR="00316AD8">
        <w:rPr>
          <w:rFonts w:cs="Arial"/>
        </w:rPr>
        <w:t>s</w:t>
      </w:r>
      <w:r w:rsidRPr="002F0E3F">
        <w:rPr>
          <w:rFonts w:cs="Arial"/>
        </w:rPr>
        <w:t xml:space="preserve">ubcommittee members communicated their </w:t>
      </w:r>
      <w:r>
        <w:rPr>
          <w:rFonts w:cs="Arial"/>
        </w:rPr>
        <w:t xml:space="preserve">first </w:t>
      </w:r>
      <w:r w:rsidRPr="002F0E3F">
        <w:rPr>
          <w:rFonts w:cs="Arial"/>
        </w:rPr>
        <w:t>concern</w:t>
      </w:r>
      <w:r>
        <w:rPr>
          <w:rFonts w:cs="Arial"/>
        </w:rPr>
        <w:t xml:space="preserve"> for </w:t>
      </w:r>
      <w:r w:rsidR="00316AD8">
        <w:rPr>
          <w:rFonts w:cs="Arial"/>
        </w:rPr>
        <w:t>SEL as</w:t>
      </w:r>
      <w:r w:rsidRPr="002F0E3F">
        <w:rPr>
          <w:rFonts w:cs="Arial"/>
        </w:rPr>
        <w:t>:</w:t>
      </w:r>
    </w:p>
    <w:p w14:paraId="59C4E8CE" w14:textId="711FF41F" w:rsidR="00F464BD" w:rsidRPr="00F464BD" w:rsidRDefault="00F464BD" w:rsidP="00316AD8">
      <w:pPr>
        <w:spacing w:after="240"/>
        <w:jc w:val="center"/>
        <w:rPr>
          <w:rFonts w:cs="Arial"/>
        </w:rPr>
      </w:pPr>
      <w:r w:rsidRPr="00F464BD">
        <w:rPr>
          <w:rFonts w:cs="Arial"/>
        </w:rPr>
        <w:t>We are concerned MEP parents, students, and OSY are not receiving enough S</w:t>
      </w:r>
      <w:r w:rsidR="0004137E">
        <w:rPr>
          <w:rFonts w:cs="Arial"/>
        </w:rPr>
        <w:t>EL</w:t>
      </w:r>
      <w:r w:rsidRPr="00F464BD">
        <w:rPr>
          <w:rFonts w:cs="Arial"/>
        </w:rPr>
        <w:t xml:space="preserve"> content (e.g., services, workshops, curricula, practice) at home and school.</w:t>
      </w:r>
    </w:p>
    <w:p w14:paraId="65A8D2AE" w14:textId="55CA0D50" w:rsidR="00971292" w:rsidRPr="00E42D22" w:rsidRDefault="00971292" w:rsidP="00971292">
      <w:pPr>
        <w:spacing w:after="240"/>
        <w:ind w:right="720"/>
        <w:rPr>
          <w:rFonts w:cs="Arial"/>
        </w:rPr>
      </w:pPr>
      <w:r>
        <w:rPr>
          <w:rFonts w:cs="Arial"/>
        </w:rPr>
        <w:t xml:space="preserve">The </w:t>
      </w:r>
      <w:r w:rsidR="00504B45">
        <w:rPr>
          <w:rFonts w:cs="Arial"/>
        </w:rPr>
        <w:t xml:space="preserve">high need of SEL instruction paired with the increased mental health issues associated with social media use, political and social unrest, lingering effects from the pandemic, the </w:t>
      </w:r>
      <w:r>
        <w:rPr>
          <w:rFonts w:cs="Arial"/>
        </w:rPr>
        <w:t xml:space="preserve">subcommittee </w:t>
      </w:r>
      <w:r w:rsidR="00504B45">
        <w:rPr>
          <w:rFonts w:cs="Arial"/>
        </w:rPr>
        <w:t>diligently worked on developing a need statement for the first concern in SEL</w:t>
      </w:r>
      <w:r>
        <w:rPr>
          <w:rFonts w:cs="Arial"/>
        </w:rPr>
        <w:t>.</w:t>
      </w:r>
    </w:p>
    <w:p w14:paraId="1A54B3AF" w14:textId="77777777" w:rsidR="005D025F" w:rsidRPr="002F0E3F" w:rsidRDefault="005D025F" w:rsidP="005D025F">
      <w:pPr>
        <w:pStyle w:val="Heading4"/>
      </w:pPr>
      <w:r w:rsidRPr="002F0E3F">
        <w:t>Need Statement</w:t>
      </w:r>
    </w:p>
    <w:p w14:paraId="3E7DEDAE" w14:textId="16B6D211" w:rsidR="005D025F" w:rsidRPr="002F0E3F" w:rsidRDefault="00237C9E" w:rsidP="005D025F">
      <w:pPr>
        <w:spacing w:after="240"/>
        <w:rPr>
          <w:rFonts w:cs="Arial"/>
        </w:rPr>
      </w:pPr>
      <w:r>
        <w:rPr>
          <w:rFonts w:cs="Arial"/>
        </w:rPr>
        <w:t xml:space="preserve">While SEL is being implemented within select program areas, it is not being implemented statewide. After dealing with the emotions from the pandemic, social isolation, and reintegration into in-person schooling, SEL has never been needed more. </w:t>
      </w:r>
      <w:r w:rsidR="005D025F" w:rsidRPr="002F0E3F">
        <w:rPr>
          <w:rFonts w:cs="Arial"/>
        </w:rPr>
        <w:t xml:space="preserve">The </w:t>
      </w:r>
      <w:r>
        <w:rPr>
          <w:rFonts w:cs="Arial"/>
        </w:rPr>
        <w:t>SEL</w:t>
      </w:r>
      <w:r w:rsidR="005D025F" w:rsidRPr="002F0E3F">
        <w:rPr>
          <w:rFonts w:cs="Arial"/>
        </w:rPr>
        <w:t xml:space="preserve"> </w:t>
      </w:r>
      <w:r w:rsidR="00B1476B">
        <w:rPr>
          <w:rFonts w:cs="Arial"/>
        </w:rPr>
        <w:t>s</w:t>
      </w:r>
      <w:r w:rsidR="005D025F" w:rsidRPr="002F0E3F">
        <w:rPr>
          <w:rFonts w:cs="Arial"/>
        </w:rPr>
        <w:t xml:space="preserve">ubcommittee </w:t>
      </w:r>
      <w:r w:rsidR="00B1476B">
        <w:rPr>
          <w:rFonts w:cs="Arial"/>
        </w:rPr>
        <w:t>identified</w:t>
      </w:r>
      <w:r w:rsidR="005D025F" w:rsidRPr="002F0E3F">
        <w:rPr>
          <w:rFonts w:cs="Arial"/>
        </w:rPr>
        <w:t xml:space="preserve"> the following need:</w:t>
      </w:r>
    </w:p>
    <w:p w14:paraId="66E523CC" w14:textId="1D96B585" w:rsidR="0004137E" w:rsidRPr="0004137E" w:rsidRDefault="0004137E" w:rsidP="0004137E">
      <w:pPr>
        <w:spacing w:after="240"/>
        <w:ind w:left="-20"/>
        <w:jc w:val="center"/>
        <w:rPr>
          <w:rFonts w:cs="Arial"/>
        </w:rPr>
      </w:pPr>
      <w:r w:rsidRPr="0004137E">
        <w:rPr>
          <w:rFonts w:cs="Arial"/>
        </w:rPr>
        <w:t xml:space="preserve">More MEP parents, students, and OSY need access to evidence-based SEL content in all regions and </w:t>
      </w:r>
      <w:r>
        <w:rPr>
          <w:rFonts w:cs="Arial"/>
        </w:rPr>
        <w:t>direct-funded district</w:t>
      </w:r>
      <w:r w:rsidRPr="0004137E">
        <w:rPr>
          <w:rFonts w:cs="Arial"/>
        </w:rPr>
        <w:t>s.</w:t>
      </w:r>
    </w:p>
    <w:p w14:paraId="1D389B60" w14:textId="4090938E" w:rsidR="005D025F" w:rsidRPr="002F0E3F" w:rsidRDefault="0004137E" w:rsidP="005D025F">
      <w:pPr>
        <w:spacing w:after="240"/>
        <w:rPr>
          <w:rFonts w:cs="Arial"/>
        </w:rPr>
      </w:pPr>
      <w:r>
        <w:rPr>
          <w:rFonts w:cs="Arial"/>
        </w:rPr>
        <w:lastRenderedPageBreak/>
        <w:t xml:space="preserve">First, </w:t>
      </w:r>
      <w:proofErr w:type="gramStart"/>
      <w:r w:rsidR="00D85402">
        <w:rPr>
          <w:rFonts w:cs="Arial"/>
        </w:rPr>
        <w:t>on the basis of</w:t>
      </w:r>
      <w:proofErr w:type="gramEnd"/>
      <w:r w:rsidR="00504B45">
        <w:rPr>
          <w:rFonts w:cs="Arial"/>
        </w:rPr>
        <w:t xml:space="preserve"> committee discussions, </w:t>
      </w:r>
      <w:r>
        <w:rPr>
          <w:rFonts w:cs="Arial"/>
        </w:rPr>
        <w:t xml:space="preserve">the California MEP should spend some time gaining a collective understanding of SEL and possible ways to embed and teach SEL throughout the program. Vetting and collecting instructional materials for staff and parents will be essential to furthering </w:t>
      </w:r>
      <w:r w:rsidR="00C071A9">
        <w:rPr>
          <w:rFonts w:cs="Arial"/>
        </w:rPr>
        <w:t>everyone’s</w:t>
      </w:r>
      <w:r w:rsidR="00D85402">
        <w:rPr>
          <w:rFonts w:cs="Arial"/>
        </w:rPr>
        <w:t xml:space="preserve"> </w:t>
      </w:r>
      <w:r>
        <w:rPr>
          <w:rFonts w:cs="Arial"/>
        </w:rPr>
        <w:t>comfortability in teaching and learning about SEL.</w:t>
      </w:r>
    </w:p>
    <w:p w14:paraId="1FAD869F" w14:textId="77777777" w:rsidR="005D025F" w:rsidRPr="002F0E3F" w:rsidRDefault="005D025F" w:rsidP="005D025F">
      <w:pPr>
        <w:pStyle w:val="Heading4"/>
      </w:pPr>
      <w:r w:rsidRPr="002F0E3F">
        <w:t>Initial Strategies</w:t>
      </w:r>
      <w:r>
        <w:t xml:space="preserve"> to Address Need</w:t>
      </w:r>
    </w:p>
    <w:p w14:paraId="5F125395" w14:textId="6D9BF593" w:rsidR="005D025F" w:rsidRPr="002F0E3F" w:rsidRDefault="005D025F" w:rsidP="005D025F">
      <w:pPr>
        <w:spacing w:after="240"/>
        <w:rPr>
          <w:rFonts w:cs="Arial"/>
        </w:rPr>
      </w:pPr>
      <w:r w:rsidRPr="002F0E3F">
        <w:rPr>
          <w:rFonts w:cs="Arial"/>
        </w:rPr>
        <w:t xml:space="preserve">After </w:t>
      </w:r>
      <w:r w:rsidR="0004137E">
        <w:rPr>
          <w:rFonts w:cs="Arial"/>
        </w:rPr>
        <w:t xml:space="preserve">reviewing </w:t>
      </w:r>
      <w:proofErr w:type="gramStart"/>
      <w:r w:rsidR="0004137E">
        <w:rPr>
          <w:rFonts w:cs="Arial"/>
        </w:rPr>
        <w:t>best</w:t>
      </w:r>
      <w:proofErr w:type="gramEnd"/>
      <w:r w:rsidR="0004137E">
        <w:rPr>
          <w:rFonts w:cs="Arial"/>
        </w:rPr>
        <w:t xml:space="preserve"> practices and discussing possible data collection methods, the SEL subcommittee identified the following initial strategies to address the group’s first concern</w:t>
      </w:r>
      <w:r w:rsidRPr="002F0E3F">
        <w:rPr>
          <w:rFonts w:cs="Arial"/>
        </w:rPr>
        <w:t>:</w:t>
      </w:r>
    </w:p>
    <w:p w14:paraId="09386FBB" w14:textId="77777777" w:rsidR="0004137E" w:rsidRDefault="0004137E" w:rsidP="009670FC">
      <w:pPr>
        <w:pStyle w:val="ListParagraph"/>
        <w:numPr>
          <w:ilvl w:val="0"/>
          <w:numId w:val="60"/>
        </w:numPr>
        <w:spacing w:after="240"/>
        <w:ind w:left="720"/>
        <w:contextualSpacing w:val="0"/>
        <w:rPr>
          <w:rFonts w:cs="Arial"/>
        </w:rPr>
      </w:pPr>
      <w:r w:rsidRPr="0004137E">
        <w:rPr>
          <w:rFonts w:cs="Arial"/>
        </w:rPr>
        <w:t xml:space="preserve">Provide evidence-based, developmentally appropriate services for parents, students, and OSY. </w:t>
      </w:r>
    </w:p>
    <w:p w14:paraId="576FC61A" w14:textId="68831E90" w:rsidR="0004137E" w:rsidRPr="0004137E" w:rsidRDefault="0004137E" w:rsidP="009670FC">
      <w:pPr>
        <w:pStyle w:val="ListParagraph"/>
        <w:numPr>
          <w:ilvl w:val="0"/>
          <w:numId w:val="60"/>
        </w:numPr>
        <w:spacing w:after="240"/>
        <w:ind w:left="720"/>
        <w:contextualSpacing w:val="0"/>
        <w:rPr>
          <w:rFonts w:cs="Arial"/>
        </w:rPr>
      </w:pPr>
      <w:r w:rsidRPr="0004137E">
        <w:rPr>
          <w:rFonts w:cs="Arial"/>
        </w:rPr>
        <w:t xml:space="preserve">Integrate SEL lessons (focus on CASEL’s framework) into supplemental instructional services. </w:t>
      </w:r>
    </w:p>
    <w:p w14:paraId="512FE96D" w14:textId="6B8B3B53" w:rsidR="0004137E" w:rsidRPr="0004137E" w:rsidRDefault="0004137E" w:rsidP="009670FC">
      <w:pPr>
        <w:pStyle w:val="ListParagraph"/>
        <w:numPr>
          <w:ilvl w:val="0"/>
          <w:numId w:val="60"/>
        </w:numPr>
        <w:spacing w:after="240"/>
        <w:ind w:left="720"/>
        <w:contextualSpacing w:val="0"/>
        <w:rPr>
          <w:rFonts w:cs="Arial"/>
        </w:rPr>
      </w:pPr>
      <w:r w:rsidRPr="0004137E">
        <w:rPr>
          <w:rFonts w:cs="Arial"/>
        </w:rPr>
        <w:t>Provide professional learning opportunities using evidence-based SEL curriculum and strategies learning how to integrate it into supplemental instructional services.</w:t>
      </w:r>
    </w:p>
    <w:p w14:paraId="4D44DBC8" w14:textId="78805793" w:rsidR="005D025F" w:rsidRPr="00B5781C" w:rsidRDefault="005D025F" w:rsidP="005D025F">
      <w:pPr>
        <w:spacing w:after="240"/>
        <w:rPr>
          <w:rFonts w:cs="Arial"/>
        </w:rPr>
      </w:pPr>
      <w:r>
        <w:rPr>
          <w:rFonts w:cs="Arial"/>
        </w:rPr>
        <w:t xml:space="preserve">The CDE will offer </w:t>
      </w:r>
      <w:r w:rsidR="0004137E">
        <w:rPr>
          <w:rFonts w:cs="Arial"/>
        </w:rPr>
        <w:t>initial training on SEL for MEP administrators and instructional staff</w:t>
      </w:r>
      <w:r>
        <w:rPr>
          <w:rFonts w:cs="Arial"/>
        </w:rPr>
        <w:t>.</w:t>
      </w:r>
      <w:r w:rsidR="0004137E">
        <w:rPr>
          <w:rFonts w:cs="Arial"/>
        </w:rPr>
        <w:t xml:space="preserve"> Additionally, </w:t>
      </w:r>
      <w:proofErr w:type="gramStart"/>
      <w:r w:rsidR="0004137E">
        <w:rPr>
          <w:rFonts w:cs="Arial"/>
        </w:rPr>
        <w:t>in an effort to</w:t>
      </w:r>
      <w:proofErr w:type="gramEnd"/>
      <w:r w:rsidR="0004137E">
        <w:rPr>
          <w:rFonts w:cs="Arial"/>
        </w:rPr>
        <w:t xml:space="preserve"> further support SEL implementation, the CDE will also prepare resources (e.g., presentation materials) for MEP subgrantees to implement locally. </w:t>
      </w:r>
      <w:r w:rsidR="00504B45">
        <w:rPr>
          <w:rFonts w:cs="Arial"/>
        </w:rPr>
        <w:t xml:space="preserve">Moreover, in addition to training, building knowledge </w:t>
      </w:r>
      <w:r w:rsidR="00D85402">
        <w:rPr>
          <w:rFonts w:cs="Arial"/>
        </w:rPr>
        <w:t xml:space="preserve">about </w:t>
      </w:r>
      <w:r w:rsidR="00504B45">
        <w:rPr>
          <w:rFonts w:cs="Arial"/>
        </w:rPr>
        <w:t>SEL resources for MEP children, youth</w:t>
      </w:r>
      <w:r w:rsidR="00D85402">
        <w:rPr>
          <w:rFonts w:cs="Arial"/>
        </w:rPr>
        <w:t>s</w:t>
      </w:r>
      <w:r w:rsidR="00504B45">
        <w:rPr>
          <w:rFonts w:cs="Arial"/>
        </w:rPr>
        <w:t>, and parents is imperative to building collective knowledge about SEL.</w:t>
      </w:r>
    </w:p>
    <w:p w14:paraId="65B077BF" w14:textId="24003300" w:rsidR="005D025F" w:rsidRPr="002F0E3F" w:rsidRDefault="005D025F" w:rsidP="005D025F">
      <w:pPr>
        <w:pStyle w:val="Heading4"/>
      </w:pPr>
      <w:r>
        <w:t>Social and Emotional Learning</w:t>
      </w:r>
      <w:r w:rsidRPr="002F0E3F">
        <w:t>: Concern Statement #</w:t>
      </w:r>
      <w:r>
        <w:t>2</w:t>
      </w:r>
      <w:r w:rsidRPr="002F0E3F">
        <w:t xml:space="preserve"> </w:t>
      </w:r>
    </w:p>
    <w:p w14:paraId="3DEED066" w14:textId="229C392F" w:rsidR="005D025F" w:rsidRPr="002F0E3F" w:rsidRDefault="005D025F" w:rsidP="005D025F">
      <w:pPr>
        <w:spacing w:after="240"/>
        <w:rPr>
          <w:rFonts w:cs="Arial"/>
        </w:rPr>
      </w:pPr>
      <w:r w:rsidRPr="002F0E3F">
        <w:rPr>
          <w:rFonts w:cs="Arial"/>
        </w:rPr>
        <w:t xml:space="preserve">The second </w:t>
      </w:r>
      <w:r>
        <w:rPr>
          <w:rFonts w:cs="Arial"/>
        </w:rPr>
        <w:t xml:space="preserve">priority for the </w:t>
      </w:r>
      <w:r w:rsidR="008D15DC">
        <w:rPr>
          <w:rFonts w:cs="Arial"/>
        </w:rPr>
        <w:t>SEL</w:t>
      </w:r>
      <w:r>
        <w:rPr>
          <w:rFonts w:cs="Arial"/>
        </w:rPr>
        <w:t xml:space="preserve"> </w:t>
      </w:r>
      <w:r w:rsidR="008D15DC">
        <w:rPr>
          <w:rFonts w:cs="Arial"/>
        </w:rPr>
        <w:t>s</w:t>
      </w:r>
      <w:r>
        <w:rPr>
          <w:rFonts w:cs="Arial"/>
        </w:rPr>
        <w:t xml:space="preserve">ubcommittee </w:t>
      </w:r>
      <w:proofErr w:type="gramStart"/>
      <w:r>
        <w:rPr>
          <w:rFonts w:cs="Arial"/>
        </w:rPr>
        <w:t>centered</w:t>
      </w:r>
      <w:proofErr w:type="gramEnd"/>
      <w:r>
        <w:rPr>
          <w:rFonts w:cs="Arial"/>
        </w:rPr>
        <w:t xml:space="preserve"> on </w:t>
      </w:r>
      <w:r w:rsidR="008D15DC">
        <w:rPr>
          <w:rFonts w:cs="Arial"/>
        </w:rPr>
        <w:t xml:space="preserve">identifying </w:t>
      </w:r>
      <w:r w:rsidR="00504B45">
        <w:rPr>
          <w:rFonts w:cs="Arial"/>
        </w:rPr>
        <w:t xml:space="preserve">SEL </w:t>
      </w:r>
      <w:r w:rsidR="008D15DC">
        <w:rPr>
          <w:rFonts w:cs="Arial"/>
        </w:rPr>
        <w:t>resources</w:t>
      </w:r>
      <w:r>
        <w:rPr>
          <w:rFonts w:cs="Arial"/>
        </w:rPr>
        <w:t>.</w:t>
      </w:r>
      <w:r w:rsidR="008D15DC">
        <w:rPr>
          <w:rFonts w:cs="Arial"/>
        </w:rPr>
        <w:t xml:space="preserve"> SEL is new to many of the educators working for the MEP, so there is a need to ensure all staff have a solid understanding of the purpose and benefits of SEL and how to implement it in the classroom.</w:t>
      </w:r>
      <w:r w:rsidRPr="002F0E3F">
        <w:rPr>
          <w:rFonts w:cs="Arial"/>
        </w:rPr>
        <w:t xml:space="preserve"> </w:t>
      </w:r>
      <w:r w:rsidR="008D15DC">
        <w:rPr>
          <w:rFonts w:cs="Arial"/>
        </w:rPr>
        <w:t xml:space="preserve">Parents are also very curious about SEL and how they can support students social and emotional development. </w:t>
      </w:r>
      <w:r w:rsidRPr="002F0E3F">
        <w:rPr>
          <w:rFonts w:cs="Arial"/>
        </w:rPr>
        <w:t xml:space="preserve">The </w:t>
      </w:r>
      <w:r w:rsidR="008D15DC">
        <w:rPr>
          <w:rFonts w:cs="Arial"/>
        </w:rPr>
        <w:t>SEL</w:t>
      </w:r>
      <w:r w:rsidRPr="002F0E3F">
        <w:rPr>
          <w:rFonts w:cs="Arial"/>
        </w:rPr>
        <w:t xml:space="preserve"> </w:t>
      </w:r>
      <w:r w:rsidR="008D15DC">
        <w:rPr>
          <w:rFonts w:cs="Arial"/>
        </w:rPr>
        <w:t>s</w:t>
      </w:r>
      <w:r w:rsidRPr="002F0E3F">
        <w:rPr>
          <w:rFonts w:cs="Arial"/>
        </w:rPr>
        <w:t>ubcommittee members identified the following concern:</w:t>
      </w:r>
    </w:p>
    <w:p w14:paraId="2C610F15" w14:textId="77777777" w:rsidR="0004137E" w:rsidRPr="00316AD8" w:rsidRDefault="0004137E" w:rsidP="0004137E">
      <w:pPr>
        <w:spacing w:after="240"/>
        <w:jc w:val="center"/>
        <w:rPr>
          <w:rFonts w:cs="Arial"/>
          <w:bCs/>
        </w:rPr>
      </w:pPr>
      <w:r w:rsidRPr="00316AD8">
        <w:rPr>
          <w:rFonts w:cs="Arial"/>
          <w:bCs/>
        </w:rPr>
        <w:t>We are concerned there is a lack of information for navigating SEL resources.</w:t>
      </w:r>
    </w:p>
    <w:p w14:paraId="4200674D" w14:textId="6CCFD843" w:rsidR="005D025F" w:rsidRPr="00C10B0A" w:rsidRDefault="008C1888" w:rsidP="005D025F">
      <w:pPr>
        <w:spacing w:after="240"/>
        <w:rPr>
          <w:rFonts w:cs="Arial"/>
        </w:rPr>
      </w:pPr>
      <w:r>
        <w:rPr>
          <w:rFonts w:cs="Arial"/>
        </w:rPr>
        <w:t xml:space="preserve">Articulating a specific need for SEL proved to be somewhat daunting </w:t>
      </w:r>
      <w:r w:rsidR="00D85402">
        <w:rPr>
          <w:rFonts w:cs="Arial"/>
        </w:rPr>
        <w:t>because of a</w:t>
      </w:r>
      <w:r>
        <w:rPr>
          <w:rFonts w:cs="Arial"/>
        </w:rPr>
        <w:t xml:space="preserve"> lack of a</w:t>
      </w:r>
      <w:r w:rsidR="00C071A9">
        <w:rPr>
          <w:rFonts w:cs="Arial"/>
        </w:rPr>
        <w:t>vailable</w:t>
      </w:r>
      <w:r>
        <w:rPr>
          <w:rFonts w:cs="Arial"/>
        </w:rPr>
        <w:t xml:space="preserve"> data for migratory children and youth</w:t>
      </w:r>
      <w:r w:rsidR="00D85402">
        <w:rPr>
          <w:rFonts w:cs="Arial"/>
        </w:rPr>
        <w:t>s</w:t>
      </w:r>
      <w:r>
        <w:rPr>
          <w:rFonts w:cs="Arial"/>
        </w:rPr>
        <w:t>. Moreover, the CNA SDP Committee stressed the importance of thoroughly teaching about SEL as many</w:t>
      </w:r>
      <w:r w:rsidR="00D85402">
        <w:rPr>
          <w:rFonts w:cs="Arial"/>
        </w:rPr>
        <w:t xml:space="preserve"> people</w:t>
      </w:r>
      <w:r>
        <w:rPr>
          <w:rFonts w:cs="Arial"/>
        </w:rPr>
        <w:t xml:space="preserve"> mistake it for mental health which is inaccurate</w:t>
      </w:r>
      <w:r w:rsidR="00D85402">
        <w:rPr>
          <w:rFonts w:cs="Arial"/>
        </w:rPr>
        <w:t>, even if</w:t>
      </w:r>
      <w:r>
        <w:rPr>
          <w:rFonts w:cs="Arial"/>
        </w:rPr>
        <w:t xml:space="preserve"> SEL strategies for managing emotions may support mental health.</w:t>
      </w:r>
    </w:p>
    <w:p w14:paraId="2487DCFA" w14:textId="77777777" w:rsidR="005D025F" w:rsidRPr="002F0E3F" w:rsidRDefault="005D025F" w:rsidP="005D025F">
      <w:pPr>
        <w:pStyle w:val="Heading4"/>
      </w:pPr>
      <w:r w:rsidRPr="002F0E3F">
        <w:lastRenderedPageBreak/>
        <w:t>Need Statement</w:t>
      </w:r>
    </w:p>
    <w:p w14:paraId="0B351ACC" w14:textId="598F0AEB" w:rsidR="005D025F" w:rsidRPr="002F0E3F" w:rsidRDefault="008C1888" w:rsidP="005D025F">
      <w:pPr>
        <w:spacing w:after="240"/>
        <w:rPr>
          <w:rFonts w:cs="Arial"/>
        </w:rPr>
      </w:pPr>
      <w:r>
        <w:rPr>
          <w:rFonts w:cs="Arial"/>
        </w:rPr>
        <w:t>Given the limited experience implementing SEL within MEP services, t</w:t>
      </w:r>
      <w:r w:rsidR="005D025F" w:rsidRPr="002F0E3F">
        <w:rPr>
          <w:rFonts w:cs="Arial"/>
        </w:rPr>
        <w:t xml:space="preserve">he </w:t>
      </w:r>
      <w:r>
        <w:rPr>
          <w:rFonts w:cs="Arial"/>
        </w:rPr>
        <w:t>s</w:t>
      </w:r>
      <w:r w:rsidR="005D025F" w:rsidRPr="002F0E3F">
        <w:rPr>
          <w:rFonts w:cs="Arial"/>
        </w:rPr>
        <w:t xml:space="preserve">ubcommittee </w:t>
      </w:r>
      <w:r>
        <w:rPr>
          <w:rFonts w:cs="Arial"/>
        </w:rPr>
        <w:t>identified</w:t>
      </w:r>
      <w:r w:rsidR="005D025F" w:rsidRPr="002F0E3F">
        <w:rPr>
          <w:rFonts w:cs="Arial"/>
        </w:rPr>
        <w:t xml:space="preserve"> the following need:</w:t>
      </w:r>
    </w:p>
    <w:p w14:paraId="108A3389" w14:textId="39B9E00B" w:rsidR="0004137E" w:rsidRDefault="0004137E" w:rsidP="0004137E">
      <w:pPr>
        <w:spacing w:after="240"/>
        <w:jc w:val="center"/>
        <w:rPr>
          <w:rFonts w:cs="Arial"/>
        </w:rPr>
      </w:pPr>
      <w:r w:rsidRPr="00B1476B">
        <w:rPr>
          <w:rFonts w:cs="Arial"/>
        </w:rPr>
        <w:t>MEP parents, OSY</w:t>
      </w:r>
      <w:r w:rsidR="00C071A9">
        <w:rPr>
          <w:rFonts w:cs="Arial"/>
        </w:rPr>
        <w:t>s</w:t>
      </w:r>
      <w:r w:rsidRPr="00B1476B">
        <w:rPr>
          <w:rFonts w:cs="Arial"/>
        </w:rPr>
        <w:t>, and students aren’t aware of resources for SEL and how to navigate them</w:t>
      </w:r>
      <w:r w:rsidRPr="0004137E">
        <w:rPr>
          <w:rFonts w:cs="Arial"/>
        </w:rPr>
        <w:t>.</w:t>
      </w:r>
    </w:p>
    <w:p w14:paraId="4B2DFBFC" w14:textId="5290C23D" w:rsidR="005D025F" w:rsidRPr="002F0E3F" w:rsidRDefault="008C1888" w:rsidP="005D025F">
      <w:pPr>
        <w:spacing w:after="240"/>
        <w:rPr>
          <w:rFonts w:cs="Arial"/>
        </w:rPr>
      </w:pPr>
      <w:r>
        <w:rPr>
          <w:rFonts w:cs="Arial"/>
        </w:rPr>
        <w:t xml:space="preserve">Building our collective knowledge </w:t>
      </w:r>
      <w:proofErr w:type="gramStart"/>
      <w:r>
        <w:rPr>
          <w:rFonts w:cs="Arial"/>
        </w:rPr>
        <w:t>around</w:t>
      </w:r>
      <w:proofErr w:type="gramEnd"/>
      <w:r>
        <w:rPr>
          <w:rFonts w:cs="Arial"/>
        </w:rPr>
        <w:t xml:space="preserve"> SEL, its benefits, and the various ways it can be used in the classroom is necessary, especially today. So many feel isolated by technology, </w:t>
      </w:r>
      <w:r w:rsidR="00FD03B2">
        <w:rPr>
          <w:rFonts w:cs="Arial"/>
        </w:rPr>
        <w:t>children and youth</w:t>
      </w:r>
      <w:r w:rsidR="00266C5F">
        <w:rPr>
          <w:rFonts w:cs="Arial"/>
        </w:rPr>
        <w:t>s</w:t>
      </w:r>
      <w:r w:rsidR="00FD03B2">
        <w:rPr>
          <w:rFonts w:cs="Arial"/>
        </w:rPr>
        <w:t xml:space="preserve"> are envious of seemingly perfect lives on social media, and parents worry about their children’s future opportunities. Being able to learn how to form and maintain relations as well as manage emotions can contribute to a healthy sense of self. For these reasons, the subcommittee selected the strategies in the next section</w:t>
      </w:r>
      <w:r w:rsidR="005D025F">
        <w:rPr>
          <w:rFonts w:cs="Arial"/>
        </w:rPr>
        <w:t>.</w:t>
      </w:r>
    </w:p>
    <w:p w14:paraId="3E28D740" w14:textId="77777777" w:rsidR="005D025F" w:rsidRPr="002F0E3F" w:rsidRDefault="005D025F" w:rsidP="005D025F">
      <w:pPr>
        <w:pStyle w:val="Heading4"/>
      </w:pPr>
      <w:r w:rsidRPr="002F0E3F">
        <w:t>Initial Strategies</w:t>
      </w:r>
      <w:r>
        <w:t xml:space="preserve"> to Address Need</w:t>
      </w:r>
    </w:p>
    <w:p w14:paraId="3FD690E3" w14:textId="753C4413" w:rsidR="005D025F" w:rsidRPr="002F0E3F" w:rsidRDefault="00FD03B2" w:rsidP="005D025F">
      <w:pPr>
        <w:spacing w:after="240"/>
        <w:rPr>
          <w:rFonts w:cs="Arial"/>
        </w:rPr>
      </w:pPr>
      <w:r>
        <w:rPr>
          <w:rFonts w:cs="Arial"/>
        </w:rPr>
        <w:t>The SEL subcommittee intentionally repeated a couple of the initial strategies for the SEL focus area for the second concern to underscore the importance of building the collective knowledge around SEL and available resources</w:t>
      </w:r>
      <w:r w:rsidR="005D025F">
        <w:rPr>
          <w:rFonts w:cs="Arial"/>
        </w:rPr>
        <w:t>:</w:t>
      </w:r>
    </w:p>
    <w:p w14:paraId="315365CA" w14:textId="317E0047" w:rsidR="00FD03B2" w:rsidRDefault="00FD03B2" w:rsidP="009670FC">
      <w:pPr>
        <w:pStyle w:val="ListParagraph"/>
        <w:numPr>
          <w:ilvl w:val="0"/>
          <w:numId w:val="61"/>
        </w:numPr>
        <w:spacing w:after="240"/>
        <w:contextualSpacing w:val="0"/>
        <w:rPr>
          <w:rFonts w:cs="Arial"/>
        </w:rPr>
      </w:pPr>
      <w:r w:rsidRPr="00FD03B2">
        <w:rPr>
          <w:rFonts w:cs="Arial"/>
        </w:rPr>
        <w:t xml:space="preserve">Provide workshops on SEL resources to build parents, OSY, and student knowledge and skills around SEL. </w:t>
      </w:r>
    </w:p>
    <w:p w14:paraId="082583B8" w14:textId="77777777" w:rsidR="00FD03B2" w:rsidRDefault="00FD03B2" w:rsidP="009670FC">
      <w:pPr>
        <w:pStyle w:val="ListParagraph"/>
        <w:numPr>
          <w:ilvl w:val="0"/>
          <w:numId w:val="61"/>
        </w:numPr>
        <w:spacing w:after="240"/>
        <w:contextualSpacing w:val="0"/>
        <w:rPr>
          <w:rFonts w:cs="Arial"/>
        </w:rPr>
      </w:pPr>
      <w:r w:rsidRPr="00FD03B2">
        <w:rPr>
          <w:rFonts w:cs="Arial"/>
        </w:rPr>
        <w:t xml:space="preserve">Connecting with community-based organizations to identify SEL resources. </w:t>
      </w:r>
    </w:p>
    <w:p w14:paraId="6478FEEF" w14:textId="6774D53D" w:rsidR="00FD03B2" w:rsidRPr="00FD03B2" w:rsidRDefault="00FD03B2" w:rsidP="009670FC">
      <w:pPr>
        <w:pStyle w:val="ListParagraph"/>
        <w:numPr>
          <w:ilvl w:val="0"/>
          <w:numId w:val="61"/>
        </w:numPr>
        <w:spacing w:after="240"/>
        <w:contextualSpacing w:val="0"/>
        <w:rPr>
          <w:rFonts w:cs="Arial"/>
        </w:rPr>
      </w:pPr>
      <w:r w:rsidRPr="00FD03B2">
        <w:rPr>
          <w:rFonts w:cs="Arial"/>
        </w:rPr>
        <w:t>Offer staff training on SEL, what resources are available, and how best to support parents with SEL at home.</w:t>
      </w:r>
    </w:p>
    <w:p w14:paraId="0625734C" w14:textId="4181CF77" w:rsidR="005D025F" w:rsidRDefault="00FD03B2" w:rsidP="00652464">
      <w:pPr>
        <w:spacing w:after="240"/>
        <w:rPr>
          <w:rFonts w:cs="Arial"/>
        </w:rPr>
      </w:pPr>
      <w:r>
        <w:rPr>
          <w:rFonts w:cs="Arial"/>
        </w:rPr>
        <w:t xml:space="preserve">For the draft SDP, many of these strategies will be combined to guarantee that all training needs are </w:t>
      </w:r>
      <w:proofErr w:type="gramStart"/>
      <w:r>
        <w:rPr>
          <w:rFonts w:cs="Arial"/>
        </w:rPr>
        <w:t>being met</w:t>
      </w:r>
      <w:proofErr w:type="gramEnd"/>
      <w:r>
        <w:rPr>
          <w:rFonts w:cs="Arial"/>
        </w:rPr>
        <w:t xml:space="preserve"> for staff and parents. With this knowledge, MEP staff and parents can focus efforts to support SEL at school and </w:t>
      </w:r>
      <w:r w:rsidR="00266C5F">
        <w:rPr>
          <w:rFonts w:cs="Arial"/>
        </w:rPr>
        <w:t xml:space="preserve">at </w:t>
      </w:r>
      <w:r>
        <w:rPr>
          <w:rFonts w:cs="Arial"/>
        </w:rPr>
        <w:t>home.</w:t>
      </w:r>
    </w:p>
    <w:p w14:paraId="273B99D1" w14:textId="4543CE1D" w:rsidR="00FD03B2" w:rsidRDefault="00FD03B2" w:rsidP="00FD03B2">
      <w:pPr>
        <w:pStyle w:val="Heading3"/>
      </w:pPr>
      <w:bookmarkStart w:id="199" w:name="_Toc188361336"/>
      <w:r>
        <w:t>Next Steps</w:t>
      </w:r>
      <w:bookmarkEnd w:id="199"/>
    </w:p>
    <w:p w14:paraId="7010FCC8" w14:textId="3B1A47E4" w:rsidR="00D12F98" w:rsidRDefault="00FD03B2" w:rsidP="00D12F98">
      <w:pPr>
        <w:spacing w:after="240"/>
      </w:pPr>
      <w:r>
        <w:t>With the statewide CNA complete, the CDE Management and Data Team will finalize the key decisions for the SDP</w:t>
      </w:r>
      <w:r w:rsidR="00EF739A">
        <w:t xml:space="preserve">. Each focus area will have a set of evidence-based strategies that need to be implemented annually to address a particular need. Every strategy will have an aligning measurable program objective that measures the strategy’s implementation. Performance targets, or end-of-project goals, will also be developed for the SDP. A draft of the key decisions of the SDP will be presented to the CNA SDP Committee including the SPAC. During these final meetings, the CNA SDP Committee will provide the last round of feedback on strategies, MPOs, performance targets and any identified CDE requirements accompanying certain SDP strategies. Once the final round of feedback has been completed, the CDE will finalize and publish the SDP in July 2025. </w:t>
      </w:r>
    </w:p>
    <w:p w14:paraId="086750C5" w14:textId="77777777" w:rsidR="00266C5F" w:rsidRDefault="00D12F98" w:rsidP="00D12F98">
      <w:pPr>
        <w:spacing w:after="240"/>
        <w:rPr>
          <w:rFonts w:cs="Arial"/>
        </w:rPr>
      </w:pPr>
      <w:r w:rsidRPr="00874F2A">
        <w:rPr>
          <w:rFonts w:cs="Arial"/>
        </w:rPr>
        <w:lastRenderedPageBreak/>
        <w:t>Improving data collection processes and procedures will further assist the MEP in providing tailored, high-quality services to address the unique educational needs of California’s migratory children, youths, and families.</w:t>
      </w:r>
      <w:r w:rsidR="00874F2A">
        <w:rPr>
          <w:rFonts w:cs="Arial"/>
        </w:rPr>
        <w:t xml:space="preserve"> With the development of the last SDP, California led such innovations as the creation of a standardized, electronic INA/ILP capable of identifying groups of students by specific needs (e.g., mental health, credit accrual). </w:t>
      </w:r>
      <w:r w:rsidR="00B45E5C">
        <w:rPr>
          <w:rFonts w:cs="Arial"/>
        </w:rPr>
        <w:t xml:space="preserve">Building electronic measurable program objective reports in the MSIN allowed MEP subgrantees to streamline enrollment for migratory PFS students and migratory students who are below proficiency as well to check progress in real-time. </w:t>
      </w:r>
    </w:p>
    <w:p w14:paraId="5342D05F" w14:textId="27F9EA7A" w:rsidR="004A3A15" w:rsidRPr="00D12F98" w:rsidRDefault="00266C5F" w:rsidP="00D12F98">
      <w:pPr>
        <w:spacing w:after="240"/>
        <w:rPr>
          <w:rFonts w:cs="Arial"/>
        </w:rPr>
      </w:pPr>
      <w:r>
        <w:rPr>
          <w:rFonts w:cs="Arial"/>
        </w:rPr>
        <w:t>Moreover, t</w:t>
      </w:r>
      <w:r w:rsidR="00B45E5C">
        <w:rPr>
          <w:rFonts w:cs="Arial"/>
        </w:rPr>
        <w:t xml:space="preserve">hese reports quickly identify which services should be offered and how many students need this service </w:t>
      </w:r>
      <w:proofErr w:type="gramStart"/>
      <w:r w:rsidR="00B45E5C">
        <w:rPr>
          <w:rFonts w:cs="Arial"/>
        </w:rPr>
        <w:t>on</w:t>
      </w:r>
      <w:r>
        <w:rPr>
          <w:rFonts w:cs="Arial"/>
        </w:rPr>
        <w:t xml:space="preserve"> the basis of</w:t>
      </w:r>
      <w:proofErr w:type="gramEnd"/>
      <w:r w:rsidR="00B45E5C">
        <w:rPr>
          <w:rFonts w:cs="Arial"/>
        </w:rPr>
        <w:t xml:space="preserve"> either student achievement data or needs identified on the INA/ILP. With this upcoming SDP, the CDE has plans to innovate yet again with the development of a communications toolkit to support the MEP’s visibility, encourage intrastate coordination, and support relationship building between the MEP and the districts they serve. Furthermore, the CDE will improve upon measurable program objective reports </w:t>
      </w:r>
      <w:r w:rsidR="00A7442B">
        <w:rPr>
          <w:rFonts w:cs="Arial"/>
        </w:rPr>
        <w:t xml:space="preserve">already in existence and develop new reports to streamline California’s ability to meet the needs of its migratory students in a timely fashion. The California MEP will continue to elevate its ability to meet an increased percentage of student needs as identified by the CNA </w:t>
      </w:r>
      <w:r>
        <w:rPr>
          <w:rFonts w:cs="Arial"/>
        </w:rPr>
        <w:t xml:space="preserve">and </w:t>
      </w:r>
      <w:r w:rsidR="00A7442B">
        <w:rPr>
          <w:rFonts w:cs="Arial"/>
        </w:rPr>
        <w:t xml:space="preserve">through </w:t>
      </w:r>
      <w:r>
        <w:rPr>
          <w:rFonts w:cs="Arial"/>
        </w:rPr>
        <w:t xml:space="preserve">the </w:t>
      </w:r>
      <w:r w:rsidR="00A7442B">
        <w:rPr>
          <w:rFonts w:cs="Arial"/>
        </w:rPr>
        <w:t>annual continuous improvement process</w:t>
      </w:r>
      <w:r>
        <w:rPr>
          <w:rFonts w:cs="Arial"/>
        </w:rPr>
        <w:t>es</w:t>
      </w:r>
      <w:r w:rsidR="00A7442B">
        <w:rPr>
          <w:rFonts w:cs="Arial"/>
        </w:rPr>
        <w:t xml:space="preserve"> that </w:t>
      </w:r>
      <w:proofErr w:type="gramStart"/>
      <w:r w:rsidR="00A7442B">
        <w:rPr>
          <w:rFonts w:cs="Arial"/>
        </w:rPr>
        <w:t>takes</w:t>
      </w:r>
      <w:proofErr w:type="gramEnd"/>
      <w:r w:rsidR="00A7442B">
        <w:rPr>
          <w:rFonts w:cs="Arial"/>
        </w:rPr>
        <w:t xml:space="preserve"> place at the state and local levels.</w:t>
      </w:r>
      <w:r w:rsidR="004A3A15" w:rsidRPr="00D12F98">
        <w:rPr>
          <w:rFonts w:cs="Arial"/>
        </w:rPr>
        <w:br w:type="page"/>
      </w:r>
    </w:p>
    <w:p w14:paraId="4540B975" w14:textId="77777777" w:rsidR="0031379D" w:rsidRPr="0040184E" w:rsidRDefault="004A3A15" w:rsidP="00E97571">
      <w:pPr>
        <w:pStyle w:val="Heading2"/>
        <w:spacing w:after="240"/>
      </w:pPr>
      <w:bookmarkStart w:id="200" w:name="_Toc496195927"/>
      <w:bookmarkStart w:id="201" w:name="_Toc188361337"/>
      <w:r w:rsidRPr="0040184E">
        <w:lastRenderedPageBreak/>
        <w:t>Appendix A</w:t>
      </w:r>
      <w:r w:rsidR="008C4051" w:rsidRPr="0040184E">
        <w:t xml:space="preserve"> </w:t>
      </w:r>
      <w:r w:rsidR="0031379D" w:rsidRPr="0040184E">
        <w:t>– Calendar of Activities for Development of the Comprehensive Needs Assessment</w:t>
      </w:r>
      <w:bookmarkEnd w:id="200"/>
      <w:bookmarkEnd w:id="201"/>
    </w:p>
    <w:p w14:paraId="5F179B63" w14:textId="77777777" w:rsidR="0031379D" w:rsidRPr="002F0E3F" w:rsidRDefault="0031379D" w:rsidP="00043BAC">
      <w:pPr>
        <w:spacing w:after="240"/>
        <w:rPr>
          <w:rFonts w:cs="Arial"/>
        </w:rPr>
      </w:pPr>
      <w:r w:rsidRPr="002F0E3F">
        <w:rPr>
          <w:rFonts w:cs="Arial"/>
        </w:rPr>
        <w:t>The major activities conducted during the development of the statewide CNA are listed below according to the following calendar:</w:t>
      </w:r>
    </w:p>
    <w:tbl>
      <w:tblPr>
        <w:tblStyle w:val="GridTable1Light"/>
        <w:tblW w:w="0" w:type="auto"/>
        <w:tblLook w:val="0420" w:firstRow="1" w:lastRow="0" w:firstColumn="0" w:lastColumn="0" w:noHBand="0" w:noVBand="1"/>
        <w:tblDescription w:val="Table of the development timeline for the Comprehensive Needs Assessment."/>
      </w:tblPr>
      <w:tblGrid>
        <w:gridCol w:w="2425"/>
        <w:gridCol w:w="6925"/>
      </w:tblGrid>
      <w:tr w:rsidR="0035740C" w:rsidRPr="002F0E3F" w14:paraId="2F80DB45" w14:textId="77777777" w:rsidTr="009D10E5">
        <w:trPr>
          <w:cnfStyle w:val="100000000000" w:firstRow="1" w:lastRow="0" w:firstColumn="0" w:lastColumn="0" w:oddVBand="0" w:evenVBand="0" w:oddHBand="0" w:evenHBand="0" w:firstRowFirstColumn="0" w:firstRowLastColumn="0" w:lastRowFirstColumn="0" w:lastRowLastColumn="0"/>
          <w:cantSplit/>
          <w:trHeight w:val="377"/>
          <w:tblHeader/>
        </w:trPr>
        <w:tc>
          <w:tcPr>
            <w:tcW w:w="2425" w:type="dxa"/>
            <w:shd w:val="clear" w:color="auto" w:fill="1F4E79" w:themeFill="accent1" w:themeFillShade="80"/>
          </w:tcPr>
          <w:p w14:paraId="27B115A9" w14:textId="77777777" w:rsidR="00CB3B17" w:rsidRPr="002F0E3F" w:rsidRDefault="00CB3B17" w:rsidP="00066C5B">
            <w:pPr>
              <w:spacing w:after="240"/>
              <w:jc w:val="center"/>
              <w:rPr>
                <w:rFonts w:cs="Arial"/>
                <w:bCs w:val="0"/>
                <w:color w:val="FFFFFF" w:themeColor="background1"/>
              </w:rPr>
            </w:pPr>
            <w:r w:rsidRPr="002F0E3F">
              <w:rPr>
                <w:rFonts w:cs="Arial"/>
                <w:bCs w:val="0"/>
                <w:color w:val="FFFFFF" w:themeColor="background1"/>
              </w:rPr>
              <w:t>Timeline</w:t>
            </w:r>
          </w:p>
        </w:tc>
        <w:tc>
          <w:tcPr>
            <w:tcW w:w="6925" w:type="dxa"/>
            <w:shd w:val="clear" w:color="auto" w:fill="1F4E79" w:themeFill="accent1" w:themeFillShade="80"/>
          </w:tcPr>
          <w:p w14:paraId="4F98AF10" w14:textId="77777777" w:rsidR="00CB3B17" w:rsidRPr="002F0E3F" w:rsidRDefault="00CB3B17" w:rsidP="00066C5B">
            <w:pPr>
              <w:spacing w:after="240"/>
              <w:jc w:val="center"/>
              <w:rPr>
                <w:rFonts w:cs="Arial"/>
                <w:bCs w:val="0"/>
                <w:color w:val="FFFFFF" w:themeColor="background1"/>
              </w:rPr>
            </w:pPr>
            <w:r w:rsidRPr="002F0E3F">
              <w:rPr>
                <w:rFonts w:cs="Arial"/>
                <w:bCs w:val="0"/>
                <w:color w:val="FFFFFF" w:themeColor="background1"/>
              </w:rPr>
              <w:t>Activity</w:t>
            </w:r>
          </w:p>
        </w:tc>
      </w:tr>
      <w:tr w:rsidR="00D45357" w:rsidRPr="002F0E3F" w14:paraId="49A49C51" w14:textId="77777777" w:rsidTr="009D10E5">
        <w:trPr>
          <w:cantSplit/>
        </w:trPr>
        <w:tc>
          <w:tcPr>
            <w:tcW w:w="2425" w:type="dxa"/>
          </w:tcPr>
          <w:p w14:paraId="07E2397A" w14:textId="05F0A741" w:rsidR="00CB3B17" w:rsidRPr="002F0E3F" w:rsidRDefault="00D1036B" w:rsidP="00066C5B">
            <w:pPr>
              <w:spacing w:after="240"/>
              <w:rPr>
                <w:rFonts w:cs="Arial"/>
              </w:rPr>
            </w:pPr>
            <w:r>
              <w:rPr>
                <w:rFonts w:cs="Arial"/>
              </w:rPr>
              <w:t>July 202</w:t>
            </w:r>
            <w:r w:rsidR="00E44013">
              <w:rPr>
                <w:rFonts w:cs="Arial"/>
              </w:rPr>
              <w:t>3</w:t>
            </w:r>
          </w:p>
        </w:tc>
        <w:tc>
          <w:tcPr>
            <w:tcW w:w="6925" w:type="dxa"/>
          </w:tcPr>
          <w:p w14:paraId="0CC3ABDB" w14:textId="1E484474" w:rsidR="00CB3B17" w:rsidRPr="002F0E3F" w:rsidRDefault="00CB3B17" w:rsidP="00066C5B">
            <w:pPr>
              <w:spacing w:after="240"/>
              <w:rPr>
                <w:rFonts w:cs="Arial"/>
              </w:rPr>
            </w:pPr>
            <w:r w:rsidRPr="002F0E3F">
              <w:rPr>
                <w:rFonts w:cs="Arial"/>
              </w:rPr>
              <w:t xml:space="preserve">CDE </w:t>
            </w:r>
            <w:r w:rsidR="00D1036B">
              <w:rPr>
                <w:rFonts w:cs="Arial"/>
              </w:rPr>
              <w:t>start</w:t>
            </w:r>
            <w:r w:rsidR="00E44013">
              <w:rPr>
                <w:rFonts w:cs="Arial"/>
              </w:rPr>
              <w:t>ed</w:t>
            </w:r>
            <w:r w:rsidR="00D1036B">
              <w:rPr>
                <w:rFonts w:cs="Arial"/>
              </w:rPr>
              <w:t xml:space="preserve"> planning for the next iteration of the CNA and SDP</w:t>
            </w:r>
            <w:r w:rsidR="006D48B0">
              <w:rPr>
                <w:rFonts w:cs="Arial"/>
              </w:rPr>
              <w:t xml:space="preserve"> including</w:t>
            </w:r>
            <w:r w:rsidR="00D1036B">
              <w:rPr>
                <w:rFonts w:cs="Arial"/>
              </w:rPr>
              <w:t xml:space="preserve"> the development of California’s Migratory Student Profile (MSP) and</w:t>
            </w:r>
            <w:r w:rsidR="006D48B0">
              <w:rPr>
                <w:rFonts w:cs="Arial"/>
              </w:rPr>
              <w:t xml:space="preserve"> other</w:t>
            </w:r>
            <w:r w:rsidR="00D1036B">
              <w:rPr>
                <w:rFonts w:cs="Arial"/>
              </w:rPr>
              <w:t xml:space="preserve"> </w:t>
            </w:r>
            <w:r w:rsidR="006D48B0">
              <w:rPr>
                <w:rFonts w:cs="Arial"/>
              </w:rPr>
              <w:t>necessary resources for the CNA SDP development process.</w:t>
            </w:r>
          </w:p>
        </w:tc>
      </w:tr>
      <w:tr w:rsidR="00D45357" w:rsidRPr="002F0E3F" w14:paraId="01820D38" w14:textId="77777777" w:rsidTr="009D10E5">
        <w:trPr>
          <w:cantSplit/>
        </w:trPr>
        <w:tc>
          <w:tcPr>
            <w:tcW w:w="2425" w:type="dxa"/>
          </w:tcPr>
          <w:p w14:paraId="30A7320A" w14:textId="68BDD972" w:rsidR="00CB3B17" w:rsidRPr="002F0E3F" w:rsidRDefault="006D48B0" w:rsidP="00066C5B">
            <w:pPr>
              <w:spacing w:after="240"/>
              <w:rPr>
                <w:rFonts w:cs="Arial"/>
              </w:rPr>
            </w:pPr>
            <w:r>
              <w:rPr>
                <w:rFonts w:cs="Arial"/>
              </w:rPr>
              <w:t>July 202</w:t>
            </w:r>
            <w:r w:rsidR="00E44013">
              <w:rPr>
                <w:rFonts w:cs="Arial"/>
              </w:rPr>
              <w:t>3</w:t>
            </w:r>
            <w:r>
              <w:rPr>
                <w:rFonts w:cs="Arial"/>
              </w:rPr>
              <w:t>–June 2025</w:t>
            </w:r>
          </w:p>
        </w:tc>
        <w:tc>
          <w:tcPr>
            <w:tcW w:w="6925" w:type="dxa"/>
          </w:tcPr>
          <w:p w14:paraId="193781FA" w14:textId="77777777" w:rsidR="00CB3B17" w:rsidRPr="002F0E3F" w:rsidRDefault="00CB3B17" w:rsidP="00066C5B">
            <w:pPr>
              <w:spacing w:after="240"/>
              <w:rPr>
                <w:rFonts w:cs="Arial"/>
              </w:rPr>
            </w:pPr>
            <w:r w:rsidRPr="002F0E3F">
              <w:rPr>
                <w:rFonts w:cs="Arial"/>
              </w:rPr>
              <w:t>CNA/SSDP Bi-monthly Planning Meetings</w:t>
            </w:r>
          </w:p>
        </w:tc>
      </w:tr>
      <w:tr w:rsidR="00D45357" w:rsidRPr="002F0E3F" w14:paraId="0B9B8BA5" w14:textId="77777777" w:rsidTr="009D10E5">
        <w:trPr>
          <w:cantSplit/>
        </w:trPr>
        <w:tc>
          <w:tcPr>
            <w:tcW w:w="2425" w:type="dxa"/>
          </w:tcPr>
          <w:p w14:paraId="7541D610" w14:textId="3B2E574F" w:rsidR="00CB3B17" w:rsidRPr="002F0E3F" w:rsidRDefault="006D48B0" w:rsidP="00066C5B">
            <w:pPr>
              <w:spacing w:after="240"/>
              <w:rPr>
                <w:rFonts w:cs="Arial"/>
              </w:rPr>
            </w:pPr>
            <w:r>
              <w:rPr>
                <w:rFonts w:cs="Arial"/>
              </w:rPr>
              <w:t>July 202</w:t>
            </w:r>
            <w:r w:rsidR="00E44013">
              <w:rPr>
                <w:rFonts w:cs="Arial"/>
              </w:rPr>
              <w:t>3</w:t>
            </w:r>
          </w:p>
        </w:tc>
        <w:tc>
          <w:tcPr>
            <w:tcW w:w="6925" w:type="dxa"/>
          </w:tcPr>
          <w:p w14:paraId="79BE10E8" w14:textId="070E0192" w:rsidR="00CB3B17" w:rsidRPr="002F0E3F" w:rsidRDefault="006D48B0" w:rsidP="00066C5B">
            <w:pPr>
              <w:spacing w:after="240"/>
              <w:rPr>
                <w:rFonts w:cs="Arial"/>
              </w:rPr>
            </w:pPr>
            <w:r>
              <w:rPr>
                <w:rFonts w:cs="Arial"/>
              </w:rPr>
              <w:t>Establishment of CDE Management</w:t>
            </w:r>
            <w:r w:rsidR="00E97571">
              <w:rPr>
                <w:rFonts w:cs="Arial"/>
              </w:rPr>
              <w:t xml:space="preserve"> and Data</w:t>
            </w:r>
            <w:r>
              <w:rPr>
                <w:rFonts w:cs="Arial"/>
              </w:rPr>
              <w:t xml:space="preserve"> Team</w:t>
            </w:r>
          </w:p>
        </w:tc>
      </w:tr>
      <w:tr w:rsidR="00D45357" w:rsidRPr="002F0E3F" w14:paraId="37EAF909" w14:textId="77777777" w:rsidTr="009D10E5">
        <w:trPr>
          <w:cantSplit/>
        </w:trPr>
        <w:tc>
          <w:tcPr>
            <w:tcW w:w="2425" w:type="dxa"/>
          </w:tcPr>
          <w:p w14:paraId="15BF7699" w14:textId="2837DF1C" w:rsidR="00CB3B17" w:rsidRPr="002F0E3F" w:rsidRDefault="006D48B0" w:rsidP="00066C5B">
            <w:pPr>
              <w:spacing w:after="240"/>
              <w:rPr>
                <w:rFonts w:cs="Arial"/>
              </w:rPr>
            </w:pPr>
            <w:r>
              <w:rPr>
                <w:rFonts w:cs="Arial"/>
              </w:rPr>
              <w:t>August 202</w:t>
            </w:r>
            <w:r w:rsidR="00E44013">
              <w:rPr>
                <w:rFonts w:cs="Arial"/>
              </w:rPr>
              <w:t>3</w:t>
            </w:r>
            <w:r w:rsidR="00CB3B17" w:rsidRPr="002F0E3F">
              <w:rPr>
                <w:rFonts w:cs="Arial"/>
              </w:rPr>
              <w:t>–</w:t>
            </w:r>
            <w:r w:rsidR="00E44013">
              <w:rPr>
                <w:rFonts w:cs="Arial"/>
              </w:rPr>
              <w:t>April</w:t>
            </w:r>
            <w:r>
              <w:rPr>
                <w:rFonts w:cs="Arial"/>
              </w:rPr>
              <w:t xml:space="preserve"> 202</w:t>
            </w:r>
            <w:r w:rsidR="00E44013">
              <w:rPr>
                <w:rFonts w:cs="Arial"/>
              </w:rPr>
              <w:t>4</w:t>
            </w:r>
          </w:p>
        </w:tc>
        <w:tc>
          <w:tcPr>
            <w:tcW w:w="6925" w:type="dxa"/>
          </w:tcPr>
          <w:p w14:paraId="6D357C35" w14:textId="336254D5" w:rsidR="00CB3B17" w:rsidRPr="002F0E3F" w:rsidRDefault="00CB3B17" w:rsidP="00066C5B">
            <w:pPr>
              <w:spacing w:after="240"/>
              <w:rPr>
                <w:rFonts w:cs="Arial"/>
              </w:rPr>
            </w:pPr>
            <w:r w:rsidRPr="002F0E3F">
              <w:rPr>
                <w:rFonts w:cs="Arial"/>
              </w:rPr>
              <w:t>Intensive data collection period</w:t>
            </w:r>
            <w:r w:rsidR="006D48B0">
              <w:rPr>
                <w:rFonts w:cs="Arial"/>
              </w:rPr>
              <w:t xml:space="preserve"> (collection of survey data identifying migratory children’s and youths’ needs </w:t>
            </w:r>
          </w:p>
        </w:tc>
      </w:tr>
      <w:tr w:rsidR="00E44013" w:rsidRPr="002F0E3F" w14:paraId="578D0667" w14:textId="77777777" w:rsidTr="009D10E5">
        <w:trPr>
          <w:cantSplit/>
        </w:trPr>
        <w:tc>
          <w:tcPr>
            <w:tcW w:w="2425" w:type="dxa"/>
          </w:tcPr>
          <w:p w14:paraId="6DE23682" w14:textId="38A2248B" w:rsidR="00E44013" w:rsidRDefault="00E44013" w:rsidP="00066C5B">
            <w:pPr>
              <w:spacing w:after="240"/>
              <w:rPr>
                <w:rFonts w:cs="Arial"/>
              </w:rPr>
            </w:pPr>
            <w:r>
              <w:rPr>
                <w:rFonts w:cs="Arial"/>
              </w:rPr>
              <w:t>Dec. 2023–Jan. 2024</w:t>
            </w:r>
          </w:p>
        </w:tc>
        <w:tc>
          <w:tcPr>
            <w:tcW w:w="6925" w:type="dxa"/>
          </w:tcPr>
          <w:p w14:paraId="1A5204C0" w14:textId="257D9AFF" w:rsidR="00E44013" w:rsidRPr="002F0E3F" w:rsidRDefault="00E44013" w:rsidP="00066C5B">
            <w:pPr>
              <w:spacing w:after="240"/>
              <w:rPr>
                <w:rFonts w:cs="Arial"/>
              </w:rPr>
            </w:pPr>
            <w:r>
              <w:rPr>
                <w:rFonts w:cs="Arial"/>
              </w:rPr>
              <w:t>Conduct and analyze data from interviews with MEP Directors and Coordinators, OSY, and MEP parents</w:t>
            </w:r>
          </w:p>
        </w:tc>
      </w:tr>
      <w:tr w:rsidR="00650208" w:rsidRPr="002F0E3F" w14:paraId="3792BCE1" w14:textId="77777777" w:rsidTr="009D10E5">
        <w:trPr>
          <w:cantSplit/>
        </w:trPr>
        <w:tc>
          <w:tcPr>
            <w:tcW w:w="2425" w:type="dxa"/>
          </w:tcPr>
          <w:p w14:paraId="2377F8AF" w14:textId="6E561513" w:rsidR="00650208" w:rsidRPr="002F0E3F" w:rsidRDefault="00650208" w:rsidP="003E4124">
            <w:pPr>
              <w:spacing w:after="240"/>
              <w:rPr>
                <w:rFonts w:cs="Arial"/>
              </w:rPr>
            </w:pPr>
            <w:r>
              <w:rPr>
                <w:rFonts w:cs="Arial"/>
              </w:rPr>
              <w:t>Dec. 2023</w:t>
            </w:r>
          </w:p>
        </w:tc>
        <w:tc>
          <w:tcPr>
            <w:tcW w:w="6925" w:type="dxa"/>
          </w:tcPr>
          <w:p w14:paraId="4C8C25CB" w14:textId="77777777" w:rsidR="00650208" w:rsidRPr="002F0E3F" w:rsidRDefault="00650208" w:rsidP="003E4124">
            <w:pPr>
              <w:spacing w:after="240"/>
              <w:rPr>
                <w:rFonts w:cs="Arial"/>
              </w:rPr>
            </w:pPr>
            <w:r>
              <w:rPr>
                <w:rFonts w:cs="Arial"/>
              </w:rPr>
              <w:t>Notification</w:t>
            </w:r>
            <w:r w:rsidRPr="002F0E3F">
              <w:rPr>
                <w:rFonts w:cs="Arial"/>
              </w:rPr>
              <w:t xml:space="preserve"> for participation on the CNA</w:t>
            </w:r>
            <w:r>
              <w:rPr>
                <w:rFonts w:cs="Arial"/>
              </w:rPr>
              <w:t xml:space="preserve"> </w:t>
            </w:r>
            <w:r w:rsidRPr="002F0E3F">
              <w:rPr>
                <w:rFonts w:cs="Arial"/>
              </w:rPr>
              <w:t xml:space="preserve">SDP Committee sent to MEP </w:t>
            </w:r>
            <w:r>
              <w:rPr>
                <w:rFonts w:cs="Arial"/>
              </w:rPr>
              <w:t>Directors</w:t>
            </w:r>
          </w:p>
        </w:tc>
      </w:tr>
      <w:tr w:rsidR="00650208" w:rsidRPr="002F0E3F" w14:paraId="2D7FBB74" w14:textId="77777777" w:rsidTr="009D10E5">
        <w:trPr>
          <w:cantSplit/>
        </w:trPr>
        <w:tc>
          <w:tcPr>
            <w:tcW w:w="2425" w:type="dxa"/>
          </w:tcPr>
          <w:p w14:paraId="6FD39C98" w14:textId="360C5A11" w:rsidR="00650208" w:rsidRPr="002F0E3F" w:rsidRDefault="00650208" w:rsidP="003E4124">
            <w:pPr>
              <w:spacing w:after="240"/>
              <w:rPr>
                <w:rFonts w:cs="Arial"/>
              </w:rPr>
            </w:pPr>
            <w:r>
              <w:rPr>
                <w:rFonts w:cs="Arial"/>
              </w:rPr>
              <w:t>Jan. 2024</w:t>
            </w:r>
          </w:p>
        </w:tc>
        <w:tc>
          <w:tcPr>
            <w:tcW w:w="6925" w:type="dxa"/>
          </w:tcPr>
          <w:p w14:paraId="242B559A" w14:textId="16150698" w:rsidR="00650208" w:rsidRPr="002F0E3F" w:rsidRDefault="00650208" w:rsidP="003E4124">
            <w:pPr>
              <w:spacing w:after="240"/>
              <w:rPr>
                <w:rFonts w:cs="Arial"/>
              </w:rPr>
            </w:pPr>
            <w:r w:rsidRPr="002F0E3F">
              <w:rPr>
                <w:rFonts w:cs="Arial"/>
              </w:rPr>
              <w:t>Participants for the CNA</w:t>
            </w:r>
            <w:r>
              <w:rPr>
                <w:rFonts w:cs="Arial"/>
              </w:rPr>
              <w:t xml:space="preserve"> </w:t>
            </w:r>
            <w:r w:rsidRPr="002F0E3F">
              <w:rPr>
                <w:rFonts w:cs="Arial"/>
              </w:rPr>
              <w:t>SDP Committee are selected</w:t>
            </w:r>
          </w:p>
        </w:tc>
      </w:tr>
      <w:tr w:rsidR="00D45357" w:rsidRPr="002F0E3F" w14:paraId="24A01AED" w14:textId="77777777" w:rsidTr="009D10E5">
        <w:trPr>
          <w:cantSplit/>
        </w:trPr>
        <w:tc>
          <w:tcPr>
            <w:tcW w:w="2425" w:type="dxa"/>
          </w:tcPr>
          <w:p w14:paraId="4C60AACE" w14:textId="05F4AB0F" w:rsidR="00CB3B17" w:rsidRPr="002F0E3F" w:rsidRDefault="00C05D38" w:rsidP="00066C5B">
            <w:pPr>
              <w:spacing w:after="240"/>
              <w:rPr>
                <w:rFonts w:cs="Arial"/>
              </w:rPr>
            </w:pPr>
            <w:r>
              <w:rPr>
                <w:rFonts w:cs="Arial"/>
              </w:rPr>
              <w:t>Sept. 2023–</w:t>
            </w:r>
            <w:r w:rsidR="005E65DD">
              <w:rPr>
                <w:rFonts w:cs="Arial"/>
              </w:rPr>
              <w:t>April 2024</w:t>
            </w:r>
          </w:p>
        </w:tc>
        <w:tc>
          <w:tcPr>
            <w:tcW w:w="6925" w:type="dxa"/>
          </w:tcPr>
          <w:p w14:paraId="33858730" w14:textId="73BDAF7D" w:rsidR="00CB3B17" w:rsidRPr="002F0E3F" w:rsidRDefault="00CB3B17" w:rsidP="00066C5B">
            <w:pPr>
              <w:spacing w:after="240"/>
              <w:rPr>
                <w:rFonts w:cs="Arial"/>
              </w:rPr>
            </w:pPr>
            <w:r w:rsidRPr="002F0E3F">
              <w:rPr>
                <w:rFonts w:cs="Arial"/>
              </w:rPr>
              <w:t xml:space="preserve">Review research on evidence-based practices </w:t>
            </w:r>
            <w:r w:rsidR="005E65DD">
              <w:rPr>
                <w:rFonts w:cs="Arial"/>
              </w:rPr>
              <w:t>and develop a best practices’ guide for each focus area</w:t>
            </w:r>
          </w:p>
        </w:tc>
      </w:tr>
      <w:tr w:rsidR="00C05D38" w:rsidRPr="002F0E3F" w14:paraId="725383CD" w14:textId="77777777" w:rsidTr="009D10E5">
        <w:trPr>
          <w:cantSplit/>
        </w:trPr>
        <w:tc>
          <w:tcPr>
            <w:tcW w:w="2425" w:type="dxa"/>
          </w:tcPr>
          <w:p w14:paraId="4B190983" w14:textId="257F6E26" w:rsidR="00C05D38" w:rsidRDefault="00C05D38" w:rsidP="003E4124">
            <w:pPr>
              <w:spacing w:after="240"/>
              <w:rPr>
                <w:rFonts w:cs="Arial"/>
              </w:rPr>
            </w:pPr>
            <w:r>
              <w:rPr>
                <w:rFonts w:cs="Arial"/>
              </w:rPr>
              <w:t>Feb.–April 2024</w:t>
            </w:r>
          </w:p>
        </w:tc>
        <w:tc>
          <w:tcPr>
            <w:tcW w:w="6925" w:type="dxa"/>
          </w:tcPr>
          <w:p w14:paraId="1A8EC620" w14:textId="77777777" w:rsidR="00C05D38" w:rsidRPr="002F0E3F" w:rsidRDefault="00C05D38" w:rsidP="003E4124">
            <w:pPr>
              <w:spacing w:after="240"/>
              <w:rPr>
                <w:rFonts w:cs="Arial"/>
              </w:rPr>
            </w:pPr>
            <w:r>
              <w:rPr>
                <w:rFonts w:cs="Arial"/>
              </w:rPr>
              <w:t>Conducted OSY, MEP staff, and MEP parents focus groups on the strengths and needs of migratory children and youth to collect additional data for the MSP</w:t>
            </w:r>
          </w:p>
        </w:tc>
      </w:tr>
      <w:tr w:rsidR="00D45357" w:rsidRPr="002F0E3F" w14:paraId="56D868B5" w14:textId="77777777" w:rsidTr="009D10E5">
        <w:trPr>
          <w:cantSplit/>
        </w:trPr>
        <w:tc>
          <w:tcPr>
            <w:tcW w:w="2425" w:type="dxa"/>
          </w:tcPr>
          <w:p w14:paraId="78D66BDD" w14:textId="5778CA65" w:rsidR="00CB3B17" w:rsidRPr="002F0E3F" w:rsidRDefault="00650208" w:rsidP="00066C5B">
            <w:pPr>
              <w:spacing w:after="240"/>
              <w:rPr>
                <w:rFonts w:cs="Arial"/>
              </w:rPr>
            </w:pPr>
            <w:r>
              <w:rPr>
                <w:rFonts w:cs="Arial"/>
              </w:rPr>
              <w:t>May 2024</w:t>
            </w:r>
          </w:p>
        </w:tc>
        <w:tc>
          <w:tcPr>
            <w:tcW w:w="6925" w:type="dxa"/>
          </w:tcPr>
          <w:p w14:paraId="54F50547" w14:textId="62EE427B" w:rsidR="00CB3B17" w:rsidRPr="002F0E3F" w:rsidRDefault="009E352E" w:rsidP="00066C5B">
            <w:pPr>
              <w:spacing w:after="240"/>
              <w:rPr>
                <w:rFonts w:cs="Arial"/>
              </w:rPr>
            </w:pPr>
            <w:r>
              <w:rPr>
                <w:rFonts w:cs="Arial"/>
              </w:rPr>
              <w:t>Migratory Student Profile</w:t>
            </w:r>
            <w:r w:rsidR="003B2137">
              <w:rPr>
                <w:rFonts w:cs="Arial"/>
              </w:rPr>
              <w:t xml:space="preserve"> and Best Practice Guides</w:t>
            </w:r>
            <w:r w:rsidR="00CB3B17" w:rsidRPr="002F0E3F">
              <w:rPr>
                <w:rFonts w:cs="Arial"/>
              </w:rPr>
              <w:t xml:space="preserve"> finalized</w:t>
            </w:r>
          </w:p>
        </w:tc>
      </w:tr>
      <w:tr w:rsidR="009426E6" w:rsidRPr="002F0E3F" w14:paraId="6E793492" w14:textId="77777777" w:rsidTr="009D10E5">
        <w:trPr>
          <w:cantSplit/>
        </w:trPr>
        <w:tc>
          <w:tcPr>
            <w:tcW w:w="2425" w:type="dxa"/>
          </w:tcPr>
          <w:p w14:paraId="3CE11741" w14:textId="49F659A2" w:rsidR="009426E6" w:rsidRDefault="009426E6" w:rsidP="00066C5B">
            <w:pPr>
              <w:spacing w:after="240"/>
              <w:rPr>
                <w:rFonts w:cs="Arial"/>
              </w:rPr>
            </w:pPr>
            <w:r>
              <w:rPr>
                <w:rFonts w:cs="Arial"/>
              </w:rPr>
              <w:t xml:space="preserve">May–June 2024 </w:t>
            </w:r>
          </w:p>
        </w:tc>
        <w:tc>
          <w:tcPr>
            <w:tcW w:w="6925" w:type="dxa"/>
          </w:tcPr>
          <w:p w14:paraId="2245E544" w14:textId="6925F96A" w:rsidR="009426E6" w:rsidRPr="002F0E3F" w:rsidRDefault="009426E6" w:rsidP="00066C5B">
            <w:pPr>
              <w:spacing w:after="240"/>
              <w:rPr>
                <w:rFonts w:cs="Arial"/>
              </w:rPr>
            </w:pPr>
            <w:r>
              <w:rPr>
                <w:rFonts w:cs="Arial"/>
              </w:rPr>
              <w:t>Creation of CNA SDP development process</w:t>
            </w:r>
            <w:r w:rsidR="00164495">
              <w:rPr>
                <w:rFonts w:cs="Arial"/>
              </w:rPr>
              <w:t xml:space="preserve"> and instructional materials for the CNA SDP Committee meetings</w:t>
            </w:r>
          </w:p>
        </w:tc>
      </w:tr>
      <w:tr w:rsidR="00650208" w:rsidRPr="002F0E3F" w14:paraId="4D2C2745" w14:textId="77777777" w:rsidTr="009D10E5">
        <w:trPr>
          <w:cantSplit/>
        </w:trPr>
        <w:tc>
          <w:tcPr>
            <w:tcW w:w="2425" w:type="dxa"/>
          </w:tcPr>
          <w:p w14:paraId="5DA920BA" w14:textId="1E3A7EDC" w:rsidR="00650208" w:rsidRDefault="00650208" w:rsidP="00066C5B">
            <w:pPr>
              <w:spacing w:after="240"/>
              <w:rPr>
                <w:rFonts w:cs="Arial"/>
              </w:rPr>
            </w:pPr>
            <w:r>
              <w:rPr>
                <w:rFonts w:cs="Arial"/>
              </w:rPr>
              <w:t>July 2024</w:t>
            </w:r>
          </w:p>
        </w:tc>
        <w:tc>
          <w:tcPr>
            <w:tcW w:w="6925" w:type="dxa"/>
          </w:tcPr>
          <w:p w14:paraId="3C59695F" w14:textId="38A23C85" w:rsidR="00650208" w:rsidRPr="002F0E3F" w:rsidRDefault="00650208" w:rsidP="00066C5B">
            <w:pPr>
              <w:spacing w:after="240"/>
              <w:rPr>
                <w:rFonts w:cs="Arial"/>
              </w:rPr>
            </w:pPr>
            <w:r>
              <w:rPr>
                <w:rFonts w:cs="Arial"/>
              </w:rPr>
              <w:t xml:space="preserve">First two (of </w:t>
            </w:r>
            <w:r w:rsidR="000F736B">
              <w:rPr>
                <w:rFonts w:cs="Arial"/>
              </w:rPr>
              <w:t>eight</w:t>
            </w:r>
            <w:r>
              <w:rPr>
                <w:rFonts w:cs="Arial"/>
              </w:rPr>
              <w:t>) CNA SDP Committee Meetings were held in-person</w:t>
            </w:r>
          </w:p>
        </w:tc>
      </w:tr>
      <w:tr w:rsidR="00650208" w:rsidRPr="002F0E3F" w14:paraId="48C47D42" w14:textId="77777777" w:rsidTr="009D10E5">
        <w:trPr>
          <w:cantSplit/>
        </w:trPr>
        <w:tc>
          <w:tcPr>
            <w:tcW w:w="2425" w:type="dxa"/>
          </w:tcPr>
          <w:p w14:paraId="25AEDE33" w14:textId="60E68208" w:rsidR="00650208" w:rsidRDefault="00650208" w:rsidP="00066C5B">
            <w:pPr>
              <w:spacing w:after="240"/>
              <w:rPr>
                <w:rFonts w:cs="Arial"/>
              </w:rPr>
            </w:pPr>
            <w:r>
              <w:rPr>
                <w:rFonts w:cs="Arial"/>
              </w:rPr>
              <w:t>August 2024</w:t>
            </w:r>
          </w:p>
        </w:tc>
        <w:tc>
          <w:tcPr>
            <w:tcW w:w="6925" w:type="dxa"/>
          </w:tcPr>
          <w:p w14:paraId="408EFE74" w14:textId="4C22C052" w:rsidR="00650208" w:rsidRPr="002F0E3F" w:rsidRDefault="00650208" w:rsidP="00066C5B">
            <w:pPr>
              <w:spacing w:after="240"/>
              <w:rPr>
                <w:rFonts w:cs="Arial"/>
              </w:rPr>
            </w:pPr>
            <w:r>
              <w:rPr>
                <w:rFonts w:cs="Arial"/>
              </w:rPr>
              <w:t>CNA SDP Committee Meetings #3 and #4 were held virtually</w:t>
            </w:r>
          </w:p>
        </w:tc>
      </w:tr>
      <w:tr w:rsidR="00650208" w:rsidRPr="002F0E3F" w14:paraId="02F5DA80" w14:textId="77777777" w:rsidTr="009D10E5">
        <w:trPr>
          <w:cantSplit/>
        </w:trPr>
        <w:tc>
          <w:tcPr>
            <w:tcW w:w="2425" w:type="dxa"/>
          </w:tcPr>
          <w:p w14:paraId="65D57F7E" w14:textId="1072D1CE" w:rsidR="00650208" w:rsidRDefault="00650208" w:rsidP="00066C5B">
            <w:pPr>
              <w:spacing w:after="240"/>
              <w:rPr>
                <w:rFonts w:cs="Arial"/>
              </w:rPr>
            </w:pPr>
            <w:r>
              <w:rPr>
                <w:rFonts w:cs="Arial"/>
              </w:rPr>
              <w:lastRenderedPageBreak/>
              <w:t>Sept. 2024</w:t>
            </w:r>
          </w:p>
        </w:tc>
        <w:tc>
          <w:tcPr>
            <w:tcW w:w="6925" w:type="dxa"/>
          </w:tcPr>
          <w:p w14:paraId="4A88F398" w14:textId="3DA1272A" w:rsidR="00650208" w:rsidRPr="002F0E3F" w:rsidRDefault="00650208" w:rsidP="00066C5B">
            <w:pPr>
              <w:spacing w:after="240"/>
              <w:rPr>
                <w:rFonts w:cs="Arial"/>
              </w:rPr>
            </w:pPr>
            <w:r>
              <w:rPr>
                <w:rFonts w:cs="Arial"/>
              </w:rPr>
              <w:t>CNA SDP Committee Meeting with the SPAC for Meeting #5</w:t>
            </w:r>
          </w:p>
        </w:tc>
      </w:tr>
      <w:tr w:rsidR="00C05D38" w:rsidRPr="002F0E3F" w14:paraId="250D227B" w14:textId="77777777" w:rsidTr="009D10E5">
        <w:trPr>
          <w:cantSplit/>
        </w:trPr>
        <w:tc>
          <w:tcPr>
            <w:tcW w:w="2425" w:type="dxa"/>
          </w:tcPr>
          <w:p w14:paraId="7CAF65CA" w14:textId="4F913696" w:rsidR="00C05D38" w:rsidRDefault="00C05D38" w:rsidP="00066C5B">
            <w:pPr>
              <w:spacing w:after="240"/>
              <w:rPr>
                <w:rFonts w:cs="Arial"/>
              </w:rPr>
            </w:pPr>
            <w:r>
              <w:rPr>
                <w:rFonts w:cs="Arial"/>
              </w:rPr>
              <w:t>October 2024</w:t>
            </w:r>
          </w:p>
        </w:tc>
        <w:tc>
          <w:tcPr>
            <w:tcW w:w="6925" w:type="dxa"/>
          </w:tcPr>
          <w:p w14:paraId="6FE0FB14" w14:textId="7902BD02" w:rsidR="00C05D38" w:rsidRDefault="00C05D38" w:rsidP="00066C5B">
            <w:pPr>
              <w:spacing w:after="240"/>
              <w:rPr>
                <w:rFonts w:cs="Arial"/>
              </w:rPr>
            </w:pPr>
            <w:r>
              <w:rPr>
                <w:rFonts w:cs="Arial"/>
              </w:rPr>
              <w:t>CDE Data and Management Team meets to discuss CNA SDP key decisions and identify how to move forward with the data</w:t>
            </w:r>
          </w:p>
        </w:tc>
      </w:tr>
      <w:tr w:rsidR="00650208" w:rsidRPr="002F0E3F" w14:paraId="50C3B12A" w14:textId="77777777" w:rsidTr="009D10E5">
        <w:trPr>
          <w:cantSplit/>
        </w:trPr>
        <w:tc>
          <w:tcPr>
            <w:tcW w:w="2425" w:type="dxa"/>
          </w:tcPr>
          <w:p w14:paraId="541C18BF" w14:textId="2F8046EC" w:rsidR="00650208" w:rsidRDefault="00650208" w:rsidP="00066C5B">
            <w:pPr>
              <w:spacing w:after="240"/>
              <w:rPr>
                <w:rFonts w:cs="Arial"/>
              </w:rPr>
            </w:pPr>
            <w:r>
              <w:rPr>
                <w:rFonts w:cs="Arial"/>
              </w:rPr>
              <w:t>October–Dec</w:t>
            </w:r>
            <w:r w:rsidR="00C05D38">
              <w:rPr>
                <w:rFonts w:cs="Arial"/>
              </w:rPr>
              <w:t xml:space="preserve">. </w:t>
            </w:r>
            <w:r>
              <w:rPr>
                <w:rFonts w:cs="Arial"/>
              </w:rPr>
              <w:t>2024</w:t>
            </w:r>
          </w:p>
        </w:tc>
        <w:tc>
          <w:tcPr>
            <w:tcW w:w="6925" w:type="dxa"/>
          </w:tcPr>
          <w:p w14:paraId="54EE3067" w14:textId="2BBA9B53" w:rsidR="00650208" w:rsidRDefault="00650208" w:rsidP="00066C5B">
            <w:pPr>
              <w:spacing w:after="240"/>
              <w:rPr>
                <w:rFonts w:cs="Arial"/>
              </w:rPr>
            </w:pPr>
            <w:r>
              <w:rPr>
                <w:rFonts w:cs="Arial"/>
              </w:rPr>
              <w:t>Writ</w:t>
            </w:r>
            <w:r w:rsidR="00C05D38">
              <w:rPr>
                <w:rFonts w:cs="Arial"/>
              </w:rPr>
              <w:t>ing the draft CNA including concern statements based on data, need statements, and the identification of best practices to address the need</w:t>
            </w:r>
          </w:p>
        </w:tc>
      </w:tr>
      <w:tr w:rsidR="00C05D38" w:rsidRPr="002F0E3F" w14:paraId="604BBCD9" w14:textId="77777777" w:rsidTr="009D10E5">
        <w:trPr>
          <w:cantSplit/>
        </w:trPr>
        <w:tc>
          <w:tcPr>
            <w:tcW w:w="2425" w:type="dxa"/>
          </w:tcPr>
          <w:p w14:paraId="31D7FDE7" w14:textId="51BC07AD" w:rsidR="00C05D38" w:rsidRPr="002F0E3F" w:rsidRDefault="00C05D38" w:rsidP="003E4124">
            <w:pPr>
              <w:spacing w:after="240"/>
              <w:rPr>
                <w:rFonts w:cs="Arial"/>
              </w:rPr>
            </w:pPr>
            <w:r>
              <w:rPr>
                <w:rFonts w:cs="Arial"/>
              </w:rPr>
              <w:t>Nov</w:t>
            </w:r>
            <w:r w:rsidRPr="002F0E3F">
              <w:rPr>
                <w:rFonts w:cs="Arial"/>
              </w:rPr>
              <w:t>. 20</w:t>
            </w:r>
            <w:r>
              <w:rPr>
                <w:rFonts w:cs="Arial"/>
              </w:rPr>
              <w:t>24</w:t>
            </w:r>
          </w:p>
        </w:tc>
        <w:tc>
          <w:tcPr>
            <w:tcW w:w="6925" w:type="dxa"/>
          </w:tcPr>
          <w:p w14:paraId="46345272" w14:textId="77777777" w:rsidR="00C05D38" w:rsidRPr="002F0E3F" w:rsidRDefault="00C05D38" w:rsidP="003E4124">
            <w:pPr>
              <w:spacing w:after="240"/>
              <w:rPr>
                <w:rFonts w:cs="Arial"/>
              </w:rPr>
            </w:pPr>
            <w:r w:rsidRPr="002F0E3F">
              <w:rPr>
                <w:rFonts w:cs="Arial"/>
              </w:rPr>
              <w:t xml:space="preserve">MEP Directors’ Presentation: </w:t>
            </w:r>
            <w:r>
              <w:rPr>
                <w:rFonts w:cs="Arial"/>
              </w:rPr>
              <w:t>Developing the New CNA and SDP</w:t>
            </w:r>
          </w:p>
        </w:tc>
      </w:tr>
      <w:tr w:rsidR="00C05D38" w:rsidRPr="002F0E3F" w14:paraId="58A04B5A" w14:textId="77777777" w:rsidTr="009D10E5">
        <w:trPr>
          <w:cantSplit/>
        </w:trPr>
        <w:tc>
          <w:tcPr>
            <w:tcW w:w="2425" w:type="dxa"/>
          </w:tcPr>
          <w:p w14:paraId="6BC8CC6C" w14:textId="43F4F6C6" w:rsidR="00C05D38" w:rsidRPr="002F0E3F" w:rsidRDefault="00C05D38" w:rsidP="003E4124">
            <w:pPr>
              <w:spacing w:after="240"/>
              <w:rPr>
                <w:rFonts w:cs="Arial"/>
              </w:rPr>
            </w:pPr>
            <w:r>
              <w:rPr>
                <w:rFonts w:cs="Arial"/>
              </w:rPr>
              <w:t>Nov.–</w:t>
            </w:r>
            <w:r w:rsidR="00164495">
              <w:rPr>
                <w:rFonts w:cs="Arial"/>
              </w:rPr>
              <w:t xml:space="preserve">Dec. </w:t>
            </w:r>
            <w:r>
              <w:rPr>
                <w:rFonts w:cs="Arial"/>
              </w:rPr>
              <w:t xml:space="preserve">2025 </w:t>
            </w:r>
          </w:p>
        </w:tc>
        <w:tc>
          <w:tcPr>
            <w:tcW w:w="6925" w:type="dxa"/>
          </w:tcPr>
          <w:p w14:paraId="11572E84" w14:textId="674A8591" w:rsidR="00C05D38" w:rsidRPr="002F0E3F" w:rsidRDefault="00C05D38" w:rsidP="003E4124">
            <w:pPr>
              <w:spacing w:after="240"/>
              <w:rPr>
                <w:rFonts w:cs="Arial"/>
              </w:rPr>
            </w:pPr>
            <w:r w:rsidRPr="002F0E3F">
              <w:rPr>
                <w:rFonts w:cs="Arial"/>
              </w:rPr>
              <w:t>Development of</w:t>
            </w:r>
            <w:r>
              <w:rPr>
                <w:rFonts w:cs="Arial"/>
              </w:rPr>
              <w:t xml:space="preserve"> the</w:t>
            </w:r>
            <w:r w:rsidRPr="002F0E3F">
              <w:rPr>
                <w:rFonts w:cs="Arial"/>
              </w:rPr>
              <w:t xml:space="preserve"> draft</w:t>
            </w:r>
            <w:r>
              <w:rPr>
                <w:rFonts w:cs="Arial"/>
              </w:rPr>
              <w:t xml:space="preserve"> SDP including strategies</w:t>
            </w:r>
            <w:r w:rsidRPr="002F0E3F">
              <w:rPr>
                <w:rFonts w:cs="Arial"/>
              </w:rPr>
              <w:t>, measurable performance objectives</w:t>
            </w:r>
            <w:r>
              <w:rPr>
                <w:rFonts w:cs="Arial"/>
              </w:rPr>
              <w:t>,</w:t>
            </w:r>
            <w:r w:rsidRPr="002F0E3F">
              <w:rPr>
                <w:rFonts w:cs="Arial"/>
              </w:rPr>
              <w:t xml:space="preserve"> and performance targets for </w:t>
            </w:r>
            <w:r>
              <w:rPr>
                <w:rFonts w:cs="Arial"/>
              </w:rPr>
              <w:t>each focus area</w:t>
            </w:r>
          </w:p>
        </w:tc>
      </w:tr>
      <w:tr w:rsidR="00164495" w:rsidRPr="002F0E3F" w14:paraId="2A94F7F1" w14:textId="77777777" w:rsidTr="009D10E5">
        <w:trPr>
          <w:cantSplit/>
        </w:trPr>
        <w:tc>
          <w:tcPr>
            <w:tcW w:w="2425" w:type="dxa"/>
          </w:tcPr>
          <w:p w14:paraId="06366BF3" w14:textId="4A28E08D" w:rsidR="00164495" w:rsidRDefault="00164495" w:rsidP="003E4124">
            <w:pPr>
              <w:spacing w:after="240"/>
              <w:rPr>
                <w:rFonts w:cs="Arial"/>
              </w:rPr>
            </w:pPr>
            <w:r>
              <w:rPr>
                <w:rFonts w:cs="Arial"/>
              </w:rPr>
              <w:t>Dec. 2024</w:t>
            </w:r>
          </w:p>
        </w:tc>
        <w:tc>
          <w:tcPr>
            <w:tcW w:w="6925" w:type="dxa"/>
          </w:tcPr>
          <w:p w14:paraId="70D80717" w14:textId="3DF40E80" w:rsidR="00164495" w:rsidRPr="002F0E3F" w:rsidRDefault="00164495" w:rsidP="003E4124">
            <w:pPr>
              <w:spacing w:after="240"/>
              <w:rPr>
                <w:rFonts w:cs="Arial"/>
              </w:rPr>
            </w:pPr>
            <w:r>
              <w:rPr>
                <w:rFonts w:cs="Arial"/>
              </w:rPr>
              <w:t xml:space="preserve">Present the draft CNA and SDP to the CNA SDP Committee </w:t>
            </w:r>
            <w:r w:rsidR="00FC3C37">
              <w:rPr>
                <w:rFonts w:cs="Arial"/>
              </w:rPr>
              <w:t>for final round of feedback during meetings #6 and #7</w:t>
            </w:r>
          </w:p>
        </w:tc>
      </w:tr>
      <w:tr w:rsidR="00FC3C37" w:rsidRPr="002F0E3F" w14:paraId="1A3C50E2" w14:textId="77777777" w:rsidTr="009D10E5">
        <w:trPr>
          <w:cantSplit/>
        </w:trPr>
        <w:tc>
          <w:tcPr>
            <w:tcW w:w="2425" w:type="dxa"/>
          </w:tcPr>
          <w:p w14:paraId="79568F27" w14:textId="1195F21C" w:rsidR="00FC3C37" w:rsidRDefault="00FC3C37" w:rsidP="003E4124">
            <w:pPr>
              <w:spacing w:after="240"/>
              <w:rPr>
                <w:rFonts w:cs="Arial"/>
              </w:rPr>
            </w:pPr>
            <w:r>
              <w:rPr>
                <w:rFonts w:cs="Arial"/>
              </w:rPr>
              <w:t>Jan. 2024</w:t>
            </w:r>
          </w:p>
        </w:tc>
        <w:tc>
          <w:tcPr>
            <w:tcW w:w="6925" w:type="dxa"/>
          </w:tcPr>
          <w:p w14:paraId="08BEC947" w14:textId="7DF1BD63" w:rsidR="00FC3C37" w:rsidRDefault="00FC3C37" w:rsidP="003E4124">
            <w:pPr>
              <w:spacing w:after="240"/>
              <w:rPr>
                <w:rFonts w:cs="Arial"/>
              </w:rPr>
            </w:pPr>
            <w:r>
              <w:rPr>
                <w:rFonts w:cs="Arial"/>
              </w:rPr>
              <w:t xml:space="preserve">Presented the draft CNA and SDP to the SPAC </w:t>
            </w:r>
            <w:r w:rsidR="000524A6">
              <w:rPr>
                <w:rFonts w:cs="Arial"/>
              </w:rPr>
              <w:t>for final round of feedback</w:t>
            </w:r>
            <w:r w:rsidR="000F736B">
              <w:rPr>
                <w:rFonts w:cs="Arial"/>
              </w:rPr>
              <w:t xml:space="preserve"> (Meeting #8)</w:t>
            </w:r>
          </w:p>
        </w:tc>
      </w:tr>
      <w:tr w:rsidR="00D45357" w:rsidRPr="002F0E3F" w14:paraId="47064735" w14:textId="77777777" w:rsidTr="009D10E5">
        <w:trPr>
          <w:cantSplit/>
        </w:trPr>
        <w:tc>
          <w:tcPr>
            <w:tcW w:w="2425" w:type="dxa"/>
          </w:tcPr>
          <w:p w14:paraId="4768C318" w14:textId="7F76FAC6" w:rsidR="00CB3B17" w:rsidRPr="002F0E3F" w:rsidRDefault="00C05D38" w:rsidP="00066C5B">
            <w:pPr>
              <w:spacing w:after="240"/>
              <w:rPr>
                <w:rFonts w:cs="Arial"/>
              </w:rPr>
            </w:pPr>
            <w:r>
              <w:rPr>
                <w:rFonts w:cs="Arial"/>
              </w:rPr>
              <w:t>Jan.–</w:t>
            </w:r>
            <w:r w:rsidR="000524A6">
              <w:rPr>
                <w:rFonts w:cs="Arial"/>
              </w:rPr>
              <w:t>March</w:t>
            </w:r>
            <w:r>
              <w:rPr>
                <w:rFonts w:cs="Arial"/>
              </w:rPr>
              <w:t xml:space="preserve"> 2025</w:t>
            </w:r>
          </w:p>
        </w:tc>
        <w:tc>
          <w:tcPr>
            <w:tcW w:w="6925" w:type="dxa"/>
          </w:tcPr>
          <w:p w14:paraId="19114810" w14:textId="293E9E4F" w:rsidR="00CB3B17" w:rsidRPr="002F0E3F" w:rsidRDefault="00CB3B17" w:rsidP="00066C5B">
            <w:pPr>
              <w:spacing w:after="240"/>
              <w:rPr>
                <w:rFonts w:cs="Arial"/>
              </w:rPr>
            </w:pPr>
            <w:r w:rsidRPr="002F0E3F">
              <w:rPr>
                <w:rFonts w:cs="Arial"/>
              </w:rPr>
              <w:t>Finalize dra</w:t>
            </w:r>
            <w:r w:rsidR="005B3D46" w:rsidRPr="002F0E3F">
              <w:rPr>
                <w:rFonts w:cs="Arial"/>
              </w:rPr>
              <w:t>f</w:t>
            </w:r>
            <w:r w:rsidRPr="002F0E3F">
              <w:rPr>
                <w:rFonts w:cs="Arial"/>
              </w:rPr>
              <w:t xml:space="preserve">t statewide </w:t>
            </w:r>
            <w:r w:rsidR="00650208">
              <w:rPr>
                <w:rFonts w:cs="Arial"/>
              </w:rPr>
              <w:t>C</w:t>
            </w:r>
            <w:r w:rsidR="00C05D38">
              <w:rPr>
                <w:rFonts w:cs="Arial"/>
              </w:rPr>
              <w:t>NA and SDP</w:t>
            </w:r>
          </w:p>
        </w:tc>
      </w:tr>
      <w:tr w:rsidR="00D45357" w:rsidRPr="002F0E3F" w14:paraId="68D91210" w14:textId="77777777" w:rsidTr="009D10E5">
        <w:trPr>
          <w:cantSplit/>
        </w:trPr>
        <w:tc>
          <w:tcPr>
            <w:tcW w:w="2425" w:type="dxa"/>
          </w:tcPr>
          <w:p w14:paraId="56E69B56" w14:textId="5DCB62F9" w:rsidR="00CB3B17" w:rsidRPr="002F0E3F" w:rsidRDefault="00CB3B17" w:rsidP="00066C5B">
            <w:pPr>
              <w:spacing w:after="240"/>
              <w:rPr>
                <w:rFonts w:cs="Arial"/>
              </w:rPr>
            </w:pPr>
            <w:r w:rsidRPr="002F0E3F">
              <w:rPr>
                <w:rFonts w:cs="Arial"/>
              </w:rPr>
              <w:t>May 20</w:t>
            </w:r>
            <w:r w:rsidR="00C05D38">
              <w:rPr>
                <w:rFonts w:cs="Arial"/>
              </w:rPr>
              <w:t>25</w:t>
            </w:r>
          </w:p>
        </w:tc>
        <w:tc>
          <w:tcPr>
            <w:tcW w:w="6925" w:type="dxa"/>
          </w:tcPr>
          <w:p w14:paraId="67E21F56" w14:textId="28972B72" w:rsidR="00CB3B17" w:rsidRPr="002F0E3F" w:rsidRDefault="00CB3B17" w:rsidP="00066C5B">
            <w:pPr>
              <w:spacing w:after="240"/>
              <w:rPr>
                <w:rFonts w:cs="Arial"/>
              </w:rPr>
            </w:pPr>
            <w:r w:rsidRPr="002F0E3F">
              <w:rPr>
                <w:rFonts w:cs="Arial"/>
              </w:rPr>
              <w:t xml:space="preserve">MEP Directors’ Presentation: California’s Statewide </w:t>
            </w:r>
            <w:r w:rsidR="00650208">
              <w:rPr>
                <w:rFonts w:cs="Arial"/>
              </w:rPr>
              <w:t>CN</w:t>
            </w:r>
            <w:r w:rsidR="00C05D38">
              <w:rPr>
                <w:rFonts w:cs="Arial"/>
              </w:rPr>
              <w:t>A and SDP</w:t>
            </w:r>
            <w:r w:rsidR="0024224A">
              <w:rPr>
                <w:rFonts w:cs="Arial"/>
              </w:rPr>
              <w:t xml:space="preserve"> At-a-glance</w:t>
            </w:r>
          </w:p>
        </w:tc>
      </w:tr>
      <w:tr w:rsidR="00D45357" w:rsidRPr="002F0E3F" w14:paraId="63723F5D" w14:textId="77777777" w:rsidTr="009D10E5">
        <w:trPr>
          <w:cantSplit/>
        </w:trPr>
        <w:tc>
          <w:tcPr>
            <w:tcW w:w="2425" w:type="dxa"/>
          </w:tcPr>
          <w:p w14:paraId="446FBB67" w14:textId="58D3C690" w:rsidR="00CB3B17" w:rsidRPr="002F0E3F" w:rsidRDefault="00CB3B17" w:rsidP="00066C5B">
            <w:pPr>
              <w:spacing w:after="240"/>
              <w:rPr>
                <w:rFonts w:cs="Arial"/>
              </w:rPr>
            </w:pPr>
            <w:r w:rsidRPr="002F0E3F">
              <w:rPr>
                <w:rFonts w:cs="Arial"/>
              </w:rPr>
              <w:t>Sept.–Oct. 20</w:t>
            </w:r>
            <w:r w:rsidR="00C05D38">
              <w:rPr>
                <w:rFonts w:cs="Arial"/>
              </w:rPr>
              <w:t>25</w:t>
            </w:r>
          </w:p>
        </w:tc>
        <w:tc>
          <w:tcPr>
            <w:tcW w:w="6925" w:type="dxa"/>
          </w:tcPr>
          <w:p w14:paraId="0D752DFF" w14:textId="36B50350" w:rsidR="00CB3B17" w:rsidRPr="002F0E3F" w:rsidRDefault="00CB3B17" w:rsidP="00066C5B">
            <w:pPr>
              <w:spacing w:after="240"/>
              <w:rPr>
                <w:rFonts w:cs="Arial"/>
              </w:rPr>
            </w:pPr>
            <w:r w:rsidRPr="002F0E3F">
              <w:rPr>
                <w:rFonts w:cs="Arial"/>
              </w:rPr>
              <w:t>Presentations and Webinars: California’s Statewide CNA and SSDP</w:t>
            </w:r>
            <w:r w:rsidR="0024224A">
              <w:rPr>
                <w:rFonts w:cs="Arial"/>
              </w:rPr>
              <w:t xml:space="preserve"> At-a-glance (SPAC, Bilingual Coordinators Network, etc.)</w:t>
            </w:r>
          </w:p>
        </w:tc>
      </w:tr>
      <w:tr w:rsidR="00D45357" w:rsidRPr="002F0E3F" w14:paraId="13D68908" w14:textId="77777777" w:rsidTr="009D10E5">
        <w:trPr>
          <w:cantSplit/>
        </w:trPr>
        <w:tc>
          <w:tcPr>
            <w:tcW w:w="2425" w:type="dxa"/>
          </w:tcPr>
          <w:p w14:paraId="30F5C7AD" w14:textId="206F1A33" w:rsidR="00CB3B17" w:rsidRPr="002F0E3F" w:rsidRDefault="00C05D38" w:rsidP="00066C5B">
            <w:pPr>
              <w:spacing w:after="240"/>
              <w:rPr>
                <w:rFonts w:cs="Arial"/>
              </w:rPr>
            </w:pPr>
            <w:r>
              <w:rPr>
                <w:rFonts w:cs="Arial"/>
              </w:rPr>
              <w:t>July–Dec. 2025</w:t>
            </w:r>
          </w:p>
        </w:tc>
        <w:tc>
          <w:tcPr>
            <w:tcW w:w="6925" w:type="dxa"/>
          </w:tcPr>
          <w:p w14:paraId="5FF9F91C" w14:textId="7229E795" w:rsidR="00CB3B17" w:rsidRPr="002F0E3F" w:rsidRDefault="00C05D38" w:rsidP="00066C5B">
            <w:pPr>
              <w:spacing w:after="240"/>
              <w:rPr>
                <w:rFonts w:cs="Arial"/>
              </w:rPr>
            </w:pPr>
            <w:r>
              <w:rPr>
                <w:rFonts w:cs="Arial"/>
              </w:rPr>
              <w:t>Four</w:t>
            </w:r>
            <w:r w:rsidR="008B021F" w:rsidRPr="002F0E3F">
              <w:rPr>
                <w:rFonts w:cs="Arial"/>
              </w:rPr>
              <w:t xml:space="preserve"> Local </w:t>
            </w:r>
            <w:r w:rsidR="00CB3B17" w:rsidRPr="002F0E3F">
              <w:rPr>
                <w:rFonts w:cs="Arial"/>
              </w:rPr>
              <w:t>Training</w:t>
            </w:r>
            <w:r w:rsidR="008B021F" w:rsidRPr="002F0E3F">
              <w:rPr>
                <w:rFonts w:cs="Arial"/>
              </w:rPr>
              <w:t>s</w:t>
            </w:r>
            <w:r w:rsidR="00CB3B17" w:rsidRPr="002F0E3F">
              <w:rPr>
                <w:rFonts w:cs="Arial"/>
              </w:rPr>
              <w:t>: Aligning MEP services and application with the</w:t>
            </w:r>
            <w:r>
              <w:rPr>
                <w:rFonts w:cs="Arial"/>
              </w:rPr>
              <w:t xml:space="preserve"> New</w:t>
            </w:r>
            <w:r w:rsidR="00CB3B17" w:rsidRPr="002F0E3F">
              <w:rPr>
                <w:rFonts w:cs="Arial"/>
              </w:rPr>
              <w:t xml:space="preserve"> SDP</w:t>
            </w:r>
          </w:p>
        </w:tc>
      </w:tr>
    </w:tbl>
    <w:p w14:paraId="2853B3ED" w14:textId="77777777" w:rsidR="0031379D" w:rsidRPr="002F0E3F" w:rsidRDefault="0031379D" w:rsidP="00043BAC">
      <w:pPr>
        <w:spacing w:after="240"/>
        <w:rPr>
          <w:rFonts w:eastAsia="Times New Roman" w:cs="Arial"/>
          <w:color w:val="2F5496"/>
        </w:rPr>
      </w:pPr>
      <w:r w:rsidRPr="002F0E3F">
        <w:rPr>
          <w:rFonts w:cs="Arial"/>
        </w:rPr>
        <w:br w:type="page"/>
      </w:r>
    </w:p>
    <w:p w14:paraId="2E2A5188" w14:textId="77777777" w:rsidR="008C4051" w:rsidRPr="002F0E3F" w:rsidRDefault="0031379D" w:rsidP="00B079B1">
      <w:pPr>
        <w:pStyle w:val="Heading2"/>
      </w:pPr>
      <w:bookmarkStart w:id="202" w:name="_Toc496195928"/>
      <w:bookmarkStart w:id="203" w:name="_Toc188361338"/>
      <w:r w:rsidRPr="00E97571">
        <w:lastRenderedPageBreak/>
        <w:t xml:space="preserve">Appendix B </w:t>
      </w:r>
      <w:r w:rsidR="008C4051" w:rsidRPr="00E97571">
        <w:t>– Complete List of Concern Sta</w:t>
      </w:r>
      <w:r w:rsidR="008C4051" w:rsidRPr="002F0E3F">
        <w:t>tements</w:t>
      </w:r>
      <w:bookmarkEnd w:id="202"/>
      <w:bookmarkEnd w:id="203"/>
    </w:p>
    <w:p w14:paraId="28869E5B" w14:textId="77777777" w:rsidR="00477657" w:rsidRPr="002F0E3F" w:rsidRDefault="00477657" w:rsidP="00B079B1">
      <w:pPr>
        <w:pStyle w:val="Heading3"/>
        <w:rPr>
          <w:b w:val="0"/>
        </w:rPr>
      </w:pPr>
      <w:bookmarkStart w:id="204" w:name="_Toc188361339"/>
      <w:r w:rsidRPr="002F0E3F">
        <w:rPr>
          <w:b w:val="0"/>
        </w:rPr>
        <w:t>English Language Arts</w:t>
      </w:r>
      <w:bookmarkEnd w:id="204"/>
    </w:p>
    <w:p w14:paraId="4F75DBA1" w14:textId="77777777" w:rsidR="00477657" w:rsidRPr="002F0E3F" w:rsidRDefault="00477657" w:rsidP="009C588B">
      <w:pPr>
        <w:spacing w:after="240"/>
        <w:rPr>
          <w:rFonts w:cs="Arial"/>
        </w:rPr>
      </w:pPr>
      <w:r w:rsidRPr="002F0E3F">
        <w:rPr>
          <w:rFonts w:cs="Arial"/>
        </w:rPr>
        <w:t>Theme: Academic Achievement</w:t>
      </w:r>
    </w:p>
    <w:p w14:paraId="058034DF" w14:textId="179B88D1" w:rsidR="00477657" w:rsidRPr="004247A8" w:rsidRDefault="00477657" w:rsidP="009C588B">
      <w:pPr>
        <w:pStyle w:val="ListParagraph"/>
        <w:numPr>
          <w:ilvl w:val="0"/>
          <w:numId w:val="34"/>
        </w:numPr>
        <w:spacing w:after="240"/>
        <w:contextualSpacing w:val="0"/>
      </w:pPr>
      <w:r w:rsidRPr="002F0E3F">
        <w:rPr>
          <w:rFonts w:cs="Arial"/>
        </w:rPr>
        <w:t xml:space="preserve">We are concerned that </w:t>
      </w:r>
      <w:r w:rsidR="004247A8">
        <w:rPr>
          <w:rFonts w:cs="Arial"/>
        </w:rPr>
        <w:t xml:space="preserve">in 2022–23 the gap between migrant education students </w:t>
      </w:r>
      <w:r w:rsidR="00886B90">
        <w:rPr>
          <w:rFonts w:cs="Arial"/>
        </w:rPr>
        <w:t>for</w:t>
      </w:r>
      <w:r w:rsidR="004247A8">
        <w:rPr>
          <w:rFonts w:cs="Arial"/>
        </w:rPr>
        <w:t xml:space="preserve"> overall</w:t>
      </w:r>
      <w:r w:rsidR="00886B90">
        <w:rPr>
          <w:rFonts w:cs="Arial"/>
        </w:rPr>
        <w:t xml:space="preserve"> ELA</w:t>
      </w:r>
      <w:r w:rsidR="004247A8">
        <w:rPr>
          <w:rFonts w:cs="Arial"/>
        </w:rPr>
        <w:t xml:space="preserve"> achievement was 23.2</w:t>
      </w:r>
      <w:r w:rsidR="003B1A44">
        <w:t> </w:t>
      </w:r>
      <w:r w:rsidR="004247A8">
        <w:rPr>
          <w:rFonts w:cs="Arial"/>
        </w:rPr>
        <w:t xml:space="preserve">percent. </w:t>
      </w:r>
    </w:p>
    <w:p w14:paraId="70A4B4A4" w14:textId="2E613CE1" w:rsidR="00886B90" w:rsidRDefault="00886B90" w:rsidP="009C588B">
      <w:pPr>
        <w:pStyle w:val="ListParagraph"/>
        <w:numPr>
          <w:ilvl w:val="0"/>
          <w:numId w:val="34"/>
        </w:numPr>
        <w:spacing w:after="240"/>
        <w:contextualSpacing w:val="0"/>
      </w:pPr>
      <w:r>
        <w:t>We are concerned that in 2022–23 only 6.8</w:t>
      </w:r>
      <w:r w:rsidR="003B1A44">
        <w:t> </w:t>
      </w:r>
      <w:r>
        <w:t>percent of migratory students met or exceeded the reading claim compared to 18.7</w:t>
      </w:r>
      <w:r w:rsidR="003B1A44">
        <w:t> </w:t>
      </w:r>
      <w:r>
        <w:t>percent of all students demonstrating a gap of 11.9</w:t>
      </w:r>
      <w:r w:rsidR="003B1A44">
        <w:t> </w:t>
      </w:r>
      <w:r>
        <w:t>percent</w:t>
      </w:r>
    </w:p>
    <w:p w14:paraId="2A41C4D2" w14:textId="19E6DF5F" w:rsidR="004247A8" w:rsidRDefault="00886B90" w:rsidP="009C588B">
      <w:pPr>
        <w:pStyle w:val="ListParagraph"/>
        <w:numPr>
          <w:ilvl w:val="0"/>
          <w:numId w:val="34"/>
        </w:numPr>
        <w:spacing w:after="240"/>
        <w:contextualSpacing w:val="0"/>
      </w:pPr>
      <w:r>
        <w:t>We are concerned that in 2022–23</w:t>
      </w:r>
      <w:r w:rsidR="00C66818">
        <w:t xml:space="preserve"> 93.2</w:t>
      </w:r>
      <w:r w:rsidR="003B1A44">
        <w:t> </w:t>
      </w:r>
      <w:r w:rsidR="00C66818">
        <w:t xml:space="preserve">percent of migratory students performed </w:t>
      </w:r>
      <w:r w:rsidR="00D55EE4">
        <w:t>near</w:t>
      </w:r>
      <w:r w:rsidR="00C66818">
        <w:t xml:space="preserve"> or </w:t>
      </w:r>
      <w:r w:rsidR="00D55EE4">
        <w:t>below standard</w:t>
      </w:r>
      <w:r w:rsidR="00C66818">
        <w:t xml:space="preserve"> in writing.</w:t>
      </w:r>
    </w:p>
    <w:p w14:paraId="6BC9503F" w14:textId="21504CA8" w:rsidR="00C66818" w:rsidRDefault="00C66818" w:rsidP="009C588B">
      <w:pPr>
        <w:pStyle w:val="ListParagraph"/>
        <w:numPr>
          <w:ilvl w:val="0"/>
          <w:numId w:val="34"/>
        </w:numPr>
        <w:spacing w:after="240"/>
        <w:contextualSpacing w:val="0"/>
      </w:pPr>
      <w:r>
        <w:t>We are concerned that the data indicates a 12</w:t>
      </w:r>
      <w:r w:rsidR="003B1A44">
        <w:t> </w:t>
      </w:r>
      <w:r>
        <w:t xml:space="preserve">percent gap between MEP students and the </w:t>
      </w:r>
      <w:r w:rsidR="00BA1022">
        <w:t>all-student</w:t>
      </w:r>
      <w:r>
        <w:t xml:space="preserve"> group on the writing claim in 2022–23. </w:t>
      </w:r>
    </w:p>
    <w:p w14:paraId="04FD66CC" w14:textId="7A8CF3DC" w:rsidR="00C66818" w:rsidRDefault="00C66818" w:rsidP="009C588B">
      <w:pPr>
        <w:pStyle w:val="ListParagraph"/>
        <w:numPr>
          <w:ilvl w:val="0"/>
          <w:numId w:val="34"/>
        </w:numPr>
        <w:spacing w:after="240"/>
        <w:contextualSpacing w:val="0"/>
      </w:pPr>
      <w:r>
        <w:t xml:space="preserve">We are concerned that </w:t>
      </w:r>
      <w:r w:rsidR="00BA1022">
        <w:t>93.8</w:t>
      </w:r>
      <w:r w:rsidR="003B1A44">
        <w:t> </w:t>
      </w:r>
      <w:r w:rsidR="00BA1022">
        <w:t xml:space="preserve">percent of migratory students performed </w:t>
      </w:r>
      <w:r w:rsidR="005234F9">
        <w:t>near</w:t>
      </w:r>
      <w:r w:rsidR="00BA1022">
        <w:t xml:space="preserve"> or </w:t>
      </w:r>
      <w:r w:rsidR="00404E8D">
        <w:t>below</w:t>
      </w:r>
      <w:r w:rsidR="00A32ADA">
        <w:t xml:space="preserve"> </w:t>
      </w:r>
      <w:r w:rsidR="00404E8D">
        <w:t>s</w:t>
      </w:r>
      <w:r w:rsidR="00A32ADA">
        <w:t>tandard</w:t>
      </w:r>
      <w:r w:rsidR="00BA1022">
        <w:t xml:space="preserve"> in listening for 2022–23.</w:t>
      </w:r>
    </w:p>
    <w:p w14:paraId="2FC64C10" w14:textId="5A6F0635" w:rsidR="00BA1022" w:rsidRDefault="00BA1022" w:rsidP="009C588B">
      <w:pPr>
        <w:pStyle w:val="ListParagraph"/>
        <w:numPr>
          <w:ilvl w:val="0"/>
          <w:numId w:val="34"/>
        </w:numPr>
        <w:spacing w:after="240"/>
        <w:contextualSpacing w:val="0"/>
      </w:pPr>
      <w:r>
        <w:t>We are concerned about migratory students</w:t>
      </w:r>
      <w:r w:rsidR="00C21D31">
        <w:t>’</w:t>
      </w:r>
      <w:r>
        <w:t xml:space="preserve"> performance in reading and writing.</w:t>
      </w:r>
    </w:p>
    <w:p w14:paraId="51024998" w14:textId="4931883B" w:rsidR="00BA1022" w:rsidRDefault="00BA1022" w:rsidP="009C588B">
      <w:pPr>
        <w:pStyle w:val="ListParagraph"/>
        <w:numPr>
          <w:ilvl w:val="0"/>
          <w:numId w:val="34"/>
        </w:numPr>
        <w:spacing w:after="240"/>
        <w:contextualSpacing w:val="0"/>
      </w:pPr>
      <w:r>
        <w:t xml:space="preserve">We are concerned that MEP students are not closing the gap </w:t>
      </w:r>
      <w:r w:rsidR="00CE2820">
        <w:t>o</w:t>
      </w:r>
      <w:r>
        <w:t>n the CAASPP</w:t>
      </w:r>
      <w:r w:rsidR="00CE2820">
        <w:t xml:space="preserve"> ELA Summative Assessment</w:t>
      </w:r>
      <w:r>
        <w:t>.</w:t>
      </w:r>
    </w:p>
    <w:p w14:paraId="1BBBA750" w14:textId="185D0C10" w:rsidR="00BA1022" w:rsidRDefault="00BA1022" w:rsidP="009C588B">
      <w:pPr>
        <w:pStyle w:val="ListParagraph"/>
        <w:numPr>
          <w:ilvl w:val="0"/>
          <w:numId w:val="34"/>
        </w:numPr>
        <w:spacing w:after="240"/>
        <w:contextualSpacing w:val="0"/>
      </w:pPr>
      <w:r>
        <w:t>We are concerned that a low number of MEP students are proficient (6.8</w:t>
      </w:r>
      <w:r w:rsidR="003B1A44">
        <w:t> </w:t>
      </w:r>
      <w:r>
        <w:t>percent) in the CAASPP</w:t>
      </w:r>
      <w:r w:rsidR="0042733B">
        <w:t xml:space="preserve"> ELA</w:t>
      </w:r>
      <w:r>
        <w:t xml:space="preserve"> </w:t>
      </w:r>
      <w:r w:rsidR="0042733B">
        <w:t>r</w:t>
      </w:r>
      <w:r>
        <w:t xml:space="preserve">eading </w:t>
      </w:r>
      <w:r w:rsidR="0042733B">
        <w:t>c</w:t>
      </w:r>
      <w:r>
        <w:t>laim compared with all students.</w:t>
      </w:r>
    </w:p>
    <w:p w14:paraId="7265F072" w14:textId="5F722D16" w:rsidR="00BA1022" w:rsidRPr="002F0E3F" w:rsidRDefault="0043061A" w:rsidP="009C588B">
      <w:pPr>
        <w:pStyle w:val="ListParagraph"/>
        <w:numPr>
          <w:ilvl w:val="0"/>
          <w:numId w:val="34"/>
        </w:numPr>
        <w:spacing w:after="240"/>
        <w:contextualSpacing w:val="0"/>
      </w:pPr>
      <w:r>
        <w:t xml:space="preserve">We are concerned </w:t>
      </w:r>
      <w:r w:rsidR="00296A66">
        <w:t>by the</w:t>
      </w:r>
      <w:r>
        <w:t xml:space="preserve"> large achievement gaps in the reading and writing claims.</w:t>
      </w:r>
    </w:p>
    <w:p w14:paraId="2278F394" w14:textId="77777777" w:rsidR="00066C5B" w:rsidRPr="002F0E3F" w:rsidRDefault="00066C5B" w:rsidP="009C588B">
      <w:pPr>
        <w:pStyle w:val="Heading3"/>
        <w:spacing w:after="240"/>
        <w:rPr>
          <w:b w:val="0"/>
        </w:rPr>
      </w:pPr>
      <w:bookmarkStart w:id="205" w:name="_Toc188361340"/>
      <w:r w:rsidRPr="002F0E3F">
        <w:rPr>
          <w:b w:val="0"/>
        </w:rPr>
        <w:t>English Language Development</w:t>
      </w:r>
      <w:bookmarkEnd w:id="205"/>
    </w:p>
    <w:p w14:paraId="152540D2" w14:textId="77777777" w:rsidR="00066C5B" w:rsidRPr="002F0E3F" w:rsidRDefault="00066C5B" w:rsidP="009C588B">
      <w:pPr>
        <w:spacing w:after="240"/>
        <w:rPr>
          <w:rFonts w:cs="Arial"/>
        </w:rPr>
      </w:pPr>
      <w:r w:rsidRPr="002F0E3F">
        <w:rPr>
          <w:rFonts w:cs="Arial"/>
        </w:rPr>
        <w:t>Theme: English Language Proficiency</w:t>
      </w:r>
    </w:p>
    <w:p w14:paraId="513479C7" w14:textId="5FD68E07" w:rsidR="00066C5B" w:rsidRPr="003E4124" w:rsidRDefault="00066C5B" w:rsidP="009C588B">
      <w:pPr>
        <w:pStyle w:val="ListParagraph"/>
        <w:numPr>
          <w:ilvl w:val="0"/>
          <w:numId w:val="35"/>
        </w:numPr>
        <w:spacing w:after="240"/>
        <w:contextualSpacing w:val="0"/>
      </w:pPr>
      <w:r w:rsidRPr="002F0E3F">
        <w:rPr>
          <w:rFonts w:cs="Arial"/>
          <w:color w:val="000000"/>
        </w:rPr>
        <w:t xml:space="preserve">We are concerned that </w:t>
      </w:r>
      <w:r w:rsidR="00C21D31">
        <w:rPr>
          <w:rFonts w:cs="Arial"/>
          <w:color w:val="000000"/>
        </w:rPr>
        <w:t>of all migratory students, only 7.8</w:t>
      </w:r>
      <w:r w:rsidR="003B1A44">
        <w:t> </w:t>
      </w:r>
      <w:r w:rsidR="00C21D31">
        <w:rPr>
          <w:rFonts w:cs="Arial"/>
          <w:color w:val="000000"/>
        </w:rPr>
        <w:t xml:space="preserve">percent are proficient </w:t>
      </w:r>
      <w:proofErr w:type="gramStart"/>
      <w:r w:rsidR="00C21D31">
        <w:rPr>
          <w:rFonts w:cs="Arial"/>
          <w:color w:val="000000"/>
        </w:rPr>
        <w:t>on</w:t>
      </w:r>
      <w:proofErr w:type="gramEnd"/>
      <w:r w:rsidR="00C21D31">
        <w:rPr>
          <w:rFonts w:cs="Arial"/>
          <w:color w:val="000000"/>
        </w:rPr>
        <w:t xml:space="preserve"> the ELPAC </w:t>
      </w:r>
      <w:r w:rsidR="0042733B">
        <w:rPr>
          <w:rFonts w:cs="Arial"/>
          <w:color w:val="000000"/>
        </w:rPr>
        <w:t>r</w:t>
      </w:r>
      <w:r w:rsidR="00C21D31">
        <w:rPr>
          <w:rFonts w:cs="Arial"/>
          <w:color w:val="000000"/>
        </w:rPr>
        <w:t xml:space="preserve">eading </w:t>
      </w:r>
      <w:r w:rsidR="0042733B">
        <w:rPr>
          <w:rFonts w:cs="Arial"/>
          <w:color w:val="000000"/>
        </w:rPr>
        <w:t>d</w:t>
      </w:r>
      <w:r w:rsidR="00C21D31">
        <w:rPr>
          <w:rFonts w:cs="Arial"/>
          <w:color w:val="000000"/>
        </w:rPr>
        <w:t>omain.</w:t>
      </w:r>
    </w:p>
    <w:p w14:paraId="68C04288" w14:textId="4C0ED6FD" w:rsidR="003E4124" w:rsidRPr="00C21D31" w:rsidRDefault="003E4124" w:rsidP="009C588B">
      <w:pPr>
        <w:pStyle w:val="ListParagraph"/>
        <w:numPr>
          <w:ilvl w:val="0"/>
          <w:numId w:val="35"/>
        </w:numPr>
        <w:spacing w:after="240"/>
        <w:contextualSpacing w:val="0"/>
      </w:pPr>
      <w:r>
        <w:rPr>
          <w:rFonts w:cs="Arial"/>
          <w:color w:val="000000"/>
        </w:rPr>
        <w:t xml:space="preserve">We are concerned about the drop in </w:t>
      </w:r>
      <w:r w:rsidR="00A73CAB">
        <w:rPr>
          <w:rFonts w:cs="Arial"/>
          <w:color w:val="000000"/>
        </w:rPr>
        <w:t>thi</w:t>
      </w:r>
      <w:r w:rsidR="003D7DFA">
        <w:rPr>
          <w:rFonts w:cs="Arial"/>
          <w:color w:val="000000"/>
        </w:rPr>
        <w:t>r</w:t>
      </w:r>
      <w:r w:rsidR="00A73CAB">
        <w:rPr>
          <w:rFonts w:cs="Arial"/>
          <w:color w:val="000000"/>
        </w:rPr>
        <w:t>d</w:t>
      </w:r>
      <w:r>
        <w:rPr>
          <w:rFonts w:cs="Arial"/>
          <w:color w:val="000000"/>
        </w:rPr>
        <w:t xml:space="preserve"> grade reading </w:t>
      </w:r>
      <w:r>
        <w:rPr>
          <w:rFonts w:cs="Arial"/>
        </w:rPr>
        <w:t>proficiency due to COVID-19.</w:t>
      </w:r>
    </w:p>
    <w:p w14:paraId="3FB71FEB" w14:textId="0D692E7C" w:rsidR="00C21D31" w:rsidRPr="00C21D31" w:rsidRDefault="00C21D31" w:rsidP="009C588B">
      <w:pPr>
        <w:pStyle w:val="ListParagraph"/>
        <w:numPr>
          <w:ilvl w:val="0"/>
          <w:numId w:val="35"/>
        </w:numPr>
        <w:spacing w:after="240"/>
        <w:contextualSpacing w:val="0"/>
      </w:pPr>
      <w:r>
        <w:rPr>
          <w:rFonts w:cs="Arial"/>
          <w:color w:val="000000"/>
        </w:rPr>
        <w:t>We are concerned the gap between MEP students and all students</w:t>
      </w:r>
      <w:r w:rsidR="003E4124">
        <w:rPr>
          <w:rFonts w:cs="Arial"/>
          <w:color w:val="000000"/>
        </w:rPr>
        <w:t xml:space="preserve"> on overall achievement in English language proficiency</w:t>
      </w:r>
      <w:r>
        <w:rPr>
          <w:rFonts w:cs="Arial"/>
          <w:color w:val="000000"/>
        </w:rPr>
        <w:t xml:space="preserve"> is not decreasing.</w:t>
      </w:r>
    </w:p>
    <w:p w14:paraId="467D2B45" w14:textId="77777777" w:rsidR="00066C5B" w:rsidRPr="002F0E3F" w:rsidRDefault="00066C5B" w:rsidP="009C588B">
      <w:pPr>
        <w:pStyle w:val="Heading3"/>
        <w:spacing w:after="240"/>
        <w:rPr>
          <w:b w:val="0"/>
        </w:rPr>
      </w:pPr>
      <w:bookmarkStart w:id="206" w:name="_Toc188361341"/>
      <w:r w:rsidRPr="002F0E3F">
        <w:rPr>
          <w:b w:val="0"/>
        </w:rPr>
        <w:lastRenderedPageBreak/>
        <w:t>Mathematics</w:t>
      </w:r>
      <w:bookmarkEnd w:id="206"/>
    </w:p>
    <w:p w14:paraId="4AF1D11B" w14:textId="589F8D9A" w:rsidR="00066C5B" w:rsidRPr="002F0E3F" w:rsidRDefault="00066C5B" w:rsidP="003D7DFA">
      <w:pPr>
        <w:spacing w:after="240"/>
        <w:ind w:right="113"/>
        <w:rPr>
          <w:rFonts w:cs="Arial"/>
        </w:rPr>
      </w:pPr>
      <w:r w:rsidRPr="002F0E3F">
        <w:rPr>
          <w:rFonts w:cs="Arial"/>
        </w:rPr>
        <w:t>Theme: Academic Achievement</w:t>
      </w:r>
      <w:r w:rsidR="003E4124">
        <w:rPr>
          <w:rFonts w:cs="Arial"/>
        </w:rPr>
        <w:t xml:space="preserve"> </w:t>
      </w:r>
    </w:p>
    <w:p w14:paraId="39EFC6E2" w14:textId="15A769D8" w:rsidR="00066C5B" w:rsidRPr="005124B4" w:rsidRDefault="00066C5B" w:rsidP="009C588B">
      <w:pPr>
        <w:pStyle w:val="ListParagraph"/>
        <w:numPr>
          <w:ilvl w:val="0"/>
          <w:numId w:val="36"/>
        </w:numPr>
        <w:spacing w:after="240"/>
        <w:ind w:right="113"/>
        <w:contextualSpacing w:val="0"/>
        <w:rPr>
          <w:rFonts w:cs="Arial"/>
          <w:b/>
        </w:rPr>
      </w:pPr>
      <w:r w:rsidRPr="002F0E3F">
        <w:rPr>
          <w:rFonts w:cs="Arial"/>
          <w:color w:val="000000"/>
        </w:rPr>
        <w:t xml:space="preserve">We are concerned the migratory students overall are performing below </w:t>
      </w:r>
      <w:r w:rsidR="00F96E15">
        <w:rPr>
          <w:rFonts w:cs="Arial"/>
          <w:color w:val="000000"/>
        </w:rPr>
        <w:t>a</w:t>
      </w:r>
      <w:r w:rsidRPr="002F0E3F">
        <w:rPr>
          <w:rFonts w:cs="Arial"/>
          <w:color w:val="000000"/>
        </w:rPr>
        <w:t>ll student</w:t>
      </w:r>
      <w:r w:rsidR="00F96E15">
        <w:rPr>
          <w:rFonts w:cs="Arial"/>
          <w:color w:val="000000"/>
        </w:rPr>
        <w:t>s</w:t>
      </w:r>
      <w:r w:rsidRPr="002F0E3F">
        <w:rPr>
          <w:rFonts w:cs="Arial"/>
          <w:color w:val="000000"/>
        </w:rPr>
        <w:t xml:space="preserve"> in mathematics achievement.</w:t>
      </w:r>
    </w:p>
    <w:p w14:paraId="13EF75F7" w14:textId="22D4FC05" w:rsidR="005124B4" w:rsidRPr="005124B4" w:rsidRDefault="005124B4" w:rsidP="005124B4">
      <w:pPr>
        <w:pStyle w:val="ListParagraph"/>
        <w:numPr>
          <w:ilvl w:val="0"/>
          <w:numId w:val="36"/>
        </w:numPr>
        <w:spacing w:after="240"/>
        <w:ind w:right="113"/>
        <w:contextualSpacing w:val="0"/>
        <w:rPr>
          <w:rFonts w:cs="Arial"/>
          <w:b/>
        </w:rPr>
      </w:pPr>
      <w:r>
        <w:rPr>
          <w:rFonts w:cs="Arial"/>
          <w:color w:val="000000"/>
        </w:rPr>
        <w:t>We are concerned that all students’ (i.e., all students and migratory students) proficiency levels are so low.</w:t>
      </w:r>
    </w:p>
    <w:p w14:paraId="36DD2EB9" w14:textId="49651F6B" w:rsidR="003D7DFA" w:rsidRPr="00CD2779" w:rsidRDefault="003D7DFA" w:rsidP="009C588B">
      <w:pPr>
        <w:pStyle w:val="ListParagraph"/>
        <w:numPr>
          <w:ilvl w:val="0"/>
          <w:numId w:val="36"/>
        </w:numPr>
        <w:spacing w:after="240"/>
        <w:ind w:right="113"/>
        <w:contextualSpacing w:val="0"/>
        <w:rPr>
          <w:rFonts w:cs="Arial"/>
          <w:b/>
        </w:rPr>
      </w:pPr>
      <w:r>
        <w:rPr>
          <w:rFonts w:cs="Arial"/>
          <w:color w:val="000000"/>
        </w:rPr>
        <w:t>We are concerned the achievement gap isn’t closing for claim 1–concepts and procedures.</w:t>
      </w:r>
    </w:p>
    <w:p w14:paraId="0DF4A32A" w14:textId="532DEDE5" w:rsidR="00CD2779" w:rsidRPr="00004735" w:rsidRDefault="00CD2779" w:rsidP="009C588B">
      <w:pPr>
        <w:pStyle w:val="ListParagraph"/>
        <w:numPr>
          <w:ilvl w:val="0"/>
          <w:numId w:val="36"/>
        </w:numPr>
        <w:spacing w:after="240"/>
        <w:ind w:right="113"/>
        <w:contextualSpacing w:val="0"/>
        <w:rPr>
          <w:rFonts w:cs="Arial"/>
          <w:b/>
        </w:rPr>
      </w:pPr>
      <w:r>
        <w:t xml:space="preserve">We are concerned </w:t>
      </w:r>
      <w:r w:rsidRPr="00E17811">
        <w:t xml:space="preserve">migratory PFS students had the lowest proficiency on the CAASPP mathematics and </w:t>
      </w:r>
      <w:proofErr w:type="gramStart"/>
      <w:r w:rsidRPr="00E17811">
        <w:t>problem solving</w:t>
      </w:r>
      <w:proofErr w:type="gramEnd"/>
      <w:r w:rsidRPr="00E17811">
        <w:t xml:space="preserve"> claim</w:t>
      </w:r>
      <w:r>
        <w:t xml:space="preserve">; only </w:t>
      </w:r>
      <w:r w:rsidRPr="00E17811">
        <w:t>1.6</w:t>
      </w:r>
      <w:r>
        <w:t> </w:t>
      </w:r>
      <w:r w:rsidRPr="00E17811">
        <w:t>percent of migratory PFS students scor</w:t>
      </w:r>
      <w:r>
        <w:t>ed</w:t>
      </w:r>
      <w:r w:rsidRPr="00E17811">
        <w:t xml:space="preserve"> proficient in SY 2022–23.</w:t>
      </w:r>
    </w:p>
    <w:p w14:paraId="66385231" w14:textId="0BF110C4" w:rsidR="00004735" w:rsidRPr="005124B4" w:rsidRDefault="00004735" w:rsidP="009C588B">
      <w:pPr>
        <w:pStyle w:val="ListParagraph"/>
        <w:numPr>
          <w:ilvl w:val="0"/>
          <w:numId w:val="36"/>
        </w:numPr>
        <w:spacing w:after="240"/>
        <w:ind w:right="113"/>
        <w:contextualSpacing w:val="0"/>
        <w:rPr>
          <w:rFonts w:cs="Arial"/>
          <w:b/>
        </w:rPr>
      </w:pPr>
      <w:r>
        <w:t>We are concerned that migratory children and youth who need math services are not attending math services.</w:t>
      </w:r>
    </w:p>
    <w:p w14:paraId="0CCDC9D5" w14:textId="75AE37EF" w:rsidR="005124B4" w:rsidRPr="005124B4" w:rsidRDefault="005124B4" w:rsidP="005124B4">
      <w:pPr>
        <w:spacing w:after="240"/>
        <w:ind w:right="113"/>
        <w:rPr>
          <w:rFonts w:cs="Arial"/>
          <w:bCs/>
        </w:rPr>
      </w:pPr>
      <w:r w:rsidRPr="005124B4">
        <w:rPr>
          <w:rFonts w:cs="Arial"/>
          <w:bCs/>
        </w:rPr>
        <w:t xml:space="preserve">Theme: </w:t>
      </w:r>
      <w:r>
        <w:rPr>
          <w:rFonts w:cs="Arial"/>
          <w:bCs/>
        </w:rPr>
        <w:t>Potential Educational Needs of Parents</w:t>
      </w:r>
    </w:p>
    <w:p w14:paraId="268BF386" w14:textId="7D2F5D4B" w:rsidR="003D7DFA" w:rsidRPr="005124B4" w:rsidRDefault="003D7DFA" w:rsidP="009C588B">
      <w:pPr>
        <w:pStyle w:val="ListParagraph"/>
        <w:numPr>
          <w:ilvl w:val="0"/>
          <w:numId w:val="36"/>
        </w:numPr>
        <w:spacing w:after="240"/>
        <w:ind w:right="113"/>
        <w:contextualSpacing w:val="0"/>
        <w:rPr>
          <w:rFonts w:cs="Arial"/>
          <w:b/>
        </w:rPr>
      </w:pPr>
      <w:r>
        <w:rPr>
          <w:rFonts w:cs="Arial"/>
          <w:color w:val="000000"/>
        </w:rPr>
        <w:t>We are concerned parents do not understand the math data</w:t>
      </w:r>
      <w:r w:rsidR="005124B4">
        <w:rPr>
          <w:rFonts w:cs="Arial"/>
          <w:color w:val="000000"/>
        </w:rPr>
        <w:t xml:space="preserve"> included in the CAASPP.</w:t>
      </w:r>
    </w:p>
    <w:p w14:paraId="2EBF7387" w14:textId="49133668" w:rsidR="005124B4" w:rsidRPr="005124B4" w:rsidRDefault="005124B4" w:rsidP="009C588B">
      <w:pPr>
        <w:pStyle w:val="ListParagraph"/>
        <w:numPr>
          <w:ilvl w:val="0"/>
          <w:numId w:val="36"/>
        </w:numPr>
        <w:spacing w:after="240"/>
        <w:ind w:right="113"/>
        <w:contextualSpacing w:val="0"/>
        <w:rPr>
          <w:rFonts w:cs="Arial"/>
          <w:b/>
        </w:rPr>
      </w:pPr>
      <w:r>
        <w:rPr>
          <w:rFonts w:cs="Arial"/>
          <w:color w:val="000000"/>
        </w:rPr>
        <w:t>We are concerned parents do not understand the importance of being proficient in math.</w:t>
      </w:r>
    </w:p>
    <w:p w14:paraId="32940B0E" w14:textId="77777777" w:rsidR="00146DC4" w:rsidRPr="002F0E3F" w:rsidRDefault="00146DC4" w:rsidP="009C588B">
      <w:pPr>
        <w:pStyle w:val="Heading3"/>
        <w:spacing w:after="240"/>
      </w:pPr>
      <w:bookmarkStart w:id="207" w:name="_Toc188361342"/>
      <w:r w:rsidRPr="002F0E3F">
        <w:rPr>
          <w:b w:val="0"/>
        </w:rPr>
        <w:t>High School Graduation and Dropout Prevention</w:t>
      </w:r>
      <w:bookmarkEnd w:id="207"/>
    </w:p>
    <w:p w14:paraId="7478DE84" w14:textId="77777777" w:rsidR="00146DC4" w:rsidRPr="002F0E3F" w:rsidRDefault="00146DC4" w:rsidP="009C588B">
      <w:pPr>
        <w:spacing w:after="240"/>
        <w:ind w:right="113"/>
        <w:rPr>
          <w:rFonts w:cs="Arial"/>
        </w:rPr>
      </w:pPr>
      <w:r w:rsidRPr="002F0E3F">
        <w:rPr>
          <w:rFonts w:cs="Arial"/>
        </w:rPr>
        <w:t>Theme: Data Reliability and Availability</w:t>
      </w:r>
    </w:p>
    <w:p w14:paraId="5BFD6443" w14:textId="6EC17C69" w:rsidR="00146DC4" w:rsidRPr="0090737C" w:rsidRDefault="00146DC4" w:rsidP="009C588B">
      <w:pPr>
        <w:pStyle w:val="ListParagraph"/>
        <w:numPr>
          <w:ilvl w:val="0"/>
          <w:numId w:val="37"/>
        </w:numPr>
        <w:spacing w:after="240"/>
        <w:ind w:right="113"/>
        <w:contextualSpacing w:val="0"/>
        <w:rPr>
          <w:rFonts w:cs="Arial"/>
          <w:b/>
        </w:rPr>
      </w:pPr>
      <w:r w:rsidRPr="002F0E3F">
        <w:rPr>
          <w:rFonts w:cs="Arial"/>
        </w:rPr>
        <w:t xml:space="preserve">We are concerned that </w:t>
      </w:r>
      <w:r w:rsidR="0090737C">
        <w:rPr>
          <w:rFonts w:cs="Arial"/>
        </w:rPr>
        <w:t>migratory students have a dropout rate of 10.1</w:t>
      </w:r>
      <w:r w:rsidR="003B1A44">
        <w:t> </w:t>
      </w:r>
      <w:r w:rsidR="0090737C">
        <w:rPr>
          <w:rFonts w:cs="Arial"/>
        </w:rPr>
        <w:t>percent compared to 8.2</w:t>
      </w:r>
      <w:r w:rsidR="003B1A44">
        <w:t> </w:t>
      </w:r>
      <w:r w:rsidR="0090737C">
        <w:rPr>
          <w:rFonts w:cs="Arial"/>
        </w:rPr>
        <w:t>percent of all students.</w:t>
      </w:r>
    </w:p>
    <w:p w14:paraId="28DBE86E" w14:textId="081D105C" w:rsidR="0090737C" w:rsidRPr="0090737C" w:rsidRDefault="0090737C" w:rsidP="009C588B">
      <w:pPr>
        <w:pStyle w:val="ListParagraph"/>
        <w:numPr>
          <w:ilvl w:val="0"/>
          <w:numId w:val="37"/>
        </w:numPr>
        <w:spacing w:after="240"/>
        <w:ind w:right="113"/>
        <w:contextualSpacing w:val="0"/>
        <w:rPr>
          <w:rFonts w:cs="Arial"/>
          <w:b/>
        </w:rPr>
      </w:pPr>
      <w:r>
        <w:rPr>
          <w:rFonts w:cs="Arial"/>
        </w:rPr>
        <w:t>We are concerned that only 13.1</w:t>
      </w:r>
      <w:r w:rsidR="003B1A44">
        <w:t> </w:t>
      </w:r>
      <w:r>
        <w:rPr>
          <w:rFonts w:cs="Arial"/>
        </w:rPr>
        <w:t>percent of MEP students are graduating with a Seal of Biliteracy.</w:t>
      </w:r>
    </w:p>
    <w:p w14:paraId="2163756E" w14:textId="3543FCC2" w:rsidR="003D7DFA" w:rsidRPr="00B04D01" w:rsidRDefault="0090737C" w:rsidP="003D7DFA">
      <w:pPr>
        <w:pStyle w:val="ListParagraph"/>
        <w:numPr>
          <w:ilvl w:val="0"/>
          <w:numId w:val="37"/>
        </w:numPr>
        <w:spacing w:after="240"/>
        <w:ind w:right="113"/>
        <w:contextualSpacing w:val="0"/>
        <w:rPr>
          <w:rFonts w:cs="Arial"/>
          <w:b/>
        </w:rPr>
      </w:pPr>
      <w:r>
        <w:rPr>
          <w:rFonts w:cs="Arial"/>
        </w:rPr>
        <w:t xml:space="preserve">We are concerned that in 2022–23, </w:t>
      </w:r>
      <w:r w:rsidR="00C31228">
        <w:rPr>
          <w:rFonts w:cs="Arial"/>
        </w:rPr>
        <w:t>only 31</w:t>
      </w:r>
      <w:r w:rsidR="003B1A44">
        <w:t> </w:t>
      </w:r>
      <w:r w:rsidR="00C31228">
        <w:rPr>
          <w:rFonts w:cs="Arial"/>
        </w:rPr>
        <w:t>percent of four-year cohort MEP students were meeting the U</w:t>
      </w:r>
      <w:r w:rsidR="002E3F94">
        <w:rPr>
          <w:rFonts w:cs="Arial"/>
        </w:rPr>
        <w:t xml:space="preserve">niversity of </w:t>
      </w:r>
      <w:r w:rsidR="00C31228">
        <w:rPr>
          <w:rFonts w:cs="Arial"/>
        </w:rPr>
        <w:t>C</w:t>
      </w:r>
      <w:r w:rsidR="002E3F94">
        <w:rPr>
          <w:rFonts w:cs="Arial"/>
        </w:rPr>
        <w:t xml:space="preserve">alifornia and </w:t>
      </w:r>
      <w:r w:rsidR="00C31228">
        <w:rPr>
          <w:rFonts w:cs="Arial"/>
        </w:rPr>
        <w:t>C</w:t>
      </w:r>
      <w:r w:rsidR="002E3F94">
        <w:rPr>
          <w:rFonts w:cs="Arial"/>
        </w:rPr>
        <w:t xml:space="preserve">alifornia </w:t>
      </w:r>
      <w:r w:rsidR="00C31228">
        <w:rPr>
          <w:rFonts w:cs="Arial"/>
        </w:rPr>
        <w:t>S</w:t>
      </w:r>
      <w:r w:rsidR="002E3F94">
        <w:rPr>
          <w:rFonts w:cs="Arial"/>
        </w:rPr>
        <w:t>tate University</w:t>
      </w:r>
      <w:r w:rsidR="00C31228">
        <w:rPr>
          <w:rFonts w:cs="Arial"/>
        </w:rPr>
        <w:t xml:space="preserve"> requirements.</w:t>
      </w:r>
    </w:p>
    <w:p w14:paraId="48E45134" w14:textId="622AE576" w:rsidR="00B04D01" w:rsidRPr="00B04D01" w:rsidRDefault="00B04D01" w:rsidP="00B04D01">
      <w:pPr>
        <w:spacing w:after="240"/>
        <w:ind w:right="113"/>
        <w:rPr>
          <w:rFonts w:cs="Arial"/>
          <w:bCs/>
        </w:rPr>
      </w:pPr>
      <w:r w:rsidRPr="00B04D01">
        <w:rPr>
          <w:rFonts w:cs="Arial"/>
          <w:bCs/>
        </w:rPr>
        <w:t>Theme: Parental and Family Support</w:t>
      </w:r>
    </w:p>
    <w:p w14:paraId="6B7347F2" w14:textId="236A6F4E" w:rsidR="00B04D01" w:rsidRPr="00B04D01" w:rsidRDefault="00B04D01" w:rsidP="00B04D01">
      <w:pPr>
        <w:pStyle w:val="ListParagraph"/>
        <w:numPr>
          <w:ilvl w:val="0"/>
          <w:numId w:val="37"/>
        </w:numPr>
        <w:tabs>
          <w:tab w:val="left" w:pos="720"/>
        </w:tabs>
        <w:autoSpaceDE w:val="0"/>
        <w:autoSpaceDN w:val="0"/>
        <w:adjustRightInd w:val="0"/>
        <w:spacing w:after="240"/>
        <w:contextualSpacing w:val="0"/>
        <w:rPr>
          <w:rFonts w:cs="Arial"/>
        </w:rPr>
      </w:pPr>
      <w:r>
        <w:rPr>
          <w:rFonts w:cs="Arial"/>
        </w:rPr>
        <w:t>We are</w:t>
      </w:r>
      <w:r w:rsidRPr="00AD57D2">
        <w:rPr>
          <w:rFonts w:cs="Arial"/>
        </w:rPr>
        <w:t xml:space="preserve"> concerned that staff and parents are reporting a need for </w:t>
      </w:r>
      <w:proofErr w:type="gramStart"/>
      <w:r w:rsidRPr="00AD57D2">
        <w:rPr>
          <w:rFonts w:cs="Arial"/>
        </w:rPr>
        <w:t>supports</w:t>
      </w:r>
      <w:proofErr w:type="gramEnd"/>
      <w:r w:rsidRPr="00AD57D2">
        <w:rPr>
          <w:rFonts w:cs="Arial"/>
        </w:rPr>
        <w:t xml:space="preserve"> in graduating from high school. </w:t>
      </w:r>
    </w:p>
    <w:p w14:paraId="1D159E92" w14:textId="6F241896" w:rsidR="00C05A18" w:rsidRPr="002F0E3F" w:rsidRDefault="00884D26" w:rsidP="009C588B">
      <w:pPr>
        <w:pStyle w:val="Heading3"/>
        <w:spacing w:after="240"/>
        <w:rPr>
          <w:b w:val="0"/>
        </w:rPr>
      </w:pPr>
      <w:bookmarkStart w:id="208" w:name="_Toc188361343"/>
      <w:r w:rsidRPr="002F0E3F">
        <w:rPr>
          <w:b w:val="0"/>
        </w:rPr>
        <w:lastRenderedPageBreak/>
        <w:t>S</w:t>
      </w:r>
      <w:r w:rsidR="00296A66">
        <w:rPr>
          <w:b w:val="0"/>
        </w:rPr>
        <w:t>chool</w:t>
      </w:r>
      <w:r w:rsidRPr="002F0E3F">
        <w:rPr>
          <w:b w:val="0"/>
        </w:rPr>
        <w:t xml:space="preserve"> Readiness</w:t>
      </w:r>
      <w:bookmarkEnd w:id="208"/>
    </w:p>
    <w:p w14:paraId="61711198" w14:textId="014B4E07" w:rsidR="00884D26" w:rsidRPr="002F0E3F" w:rsidRDefault="00884D26" w:rsidP="009C588B">
      <w:pPr>
        <w:spacing w:after="240"/>
        <w:ind w:right="113"/>
        <w:rPr>
          <w:rFonts w:cs="Arial"/>
        </w:rPr>
      </w:pPr>
      <w:r w:rsidRPr="002F0E3F">
        <w:rPr>
          <w:rFonts w:cs="Arial"/>
        </w:rPr>
        <w:t>Theme:</w:t>
      </w:r>
      <w:r w:rsidR="00004735">
        <w:rPr>
          <w:rFonts w:cs="Arial"/>
        </w:rPr>
        <w:t xml:space="preserve"> Need for</w:t>
      </w:r>
      <w:r w:rsidRPr="002F0E3F">
        <w:rPr>
          <w:rFonts w:cs="Arial"/>
        </w:rPr>
        <w:t xml:space="preserve"> </w:t>
      </w:r>
      <w:r w:rsidR="00004735">
        <w:rPr>
          <w:rFonts w:cs="Arial"/>
        </w:rPr>
        <w:t>Early Learning Support</w:t>
      </w:r>
    </w:p>
    <w:p w14:paraId="49BCCF4B" w14:textId="440A7162" w:rsidR="00884D26" w:rsidRPr="00136599" w:rsidRDefault="00884D26" w:rsidP="009C588B">
      <w:pPr>
        <w:pStyle w:val="ListParagraph"/>
        <w:numPr>
          <w:ilvl w:val="0"/>
          <w:numId w:val="38"/>
        </w:numPr>
        <w:spacing w:after="240"/>
        <w:ind w:right="113"/>
        <w:contextualSpacing w:val="0"/>
        <w:rPr>
          <w:rFonts w:cs="Arial"/>
          <w:b/>
        </w:rPr>
      </w:pPr>
      <w:r w:rsidRPr="002F0E3F">
        <w:rPr>
          <w:rFonts w:cs="Arial"/>
        </w:rPr>
        <w:t xml:space="preserve">We are concerned </w:t>
      </w:r>
      <w:r w:rsidR="00136599">
        <w:rPr>
          <w:rFonts w:cs="Arial"/>
        </w:rPr>
        <w:t>with the lack of impactful growth from 2018–19 through 2022–23 on ELPAC scores.</w:t>
      </w:r>
    </w:p>
    <w:p w14:paraId="7C3C5166" w14:textId="1D6F1FE9" w:rsidR="00136599" w:rsidRPr="00136599" w:rsidRDefault="00136599" w:rsidP="009C588B">
      <w:pPr>
        <w:pStyle w:val="ListParagraph"/>
        <w:numPr>
          <w:ilvl w:val="0"/>
          <w:numId w:val="38"/>
        </w:numPr>
        <w:spacing w:after="240"/>
        <w:ind w:right="113"/>
        <w:contextualSpacing w:val="0"/>
        <w:rPr>
          <w:rFonts w:cs="Arial"/>
          <w:b/>
        </w:rPr>
      </w:pPr>
      <w:r>
        <w:rPr>
          <w:rFonts w:cs="Arial"/>
        </w:rPr>
        <w:t>We are concerned with the low English language proficiency for migratory students in grades K</w:t>
      </w:r>
      <w:r w:rsidR="00122959">
        <w:rPr>
          <w:rFonts w:cs="Arial"/>
        </w:rPr>
        <w:t>–</w:t>
      </w:r>
      <w:r>
        <w:rPr>
          <w:rFonts w:cs="Arial"/>
        </w:rPr>
        <w:t xml:space="preserve">3. </w:t>
      </w:r>
    </w:p>
    <w:p w14:paraId="0CE88AAE" w14:textId="373E483E" w:rsidR="00136599" w:rsidRPr="00FE7C99" w:rsidRDefault="00136599" w:rsidP="009C588B">
      <w:pPr>
        <w:pStyle w:val="ListParagraph"/>
        <w:numPr>
          <w:ilvl w:val="0"/>
          <w:numId w:val="38"/>
        </w:numPr>
        <w:spacing w:after="240"/>
        <w:ind w:right="113"/>
        <w:contextualSpacing w:val="0"/>
        <w:rPr>
          <w:rFonts w:cs="Arial"/>
          <w:b/>
        </w:rPr>
      </w:pPr>
      <w:r>
        <w:rPr>
          <w:rFonts w:cs="Arial"/>
        </w:rPr>
        <w:t>We are concerned about the impacts of low English language proficiency affecting student performance.</w:t>
      </w:r>
    </w:p>
    <w:p w14:paraId="0583FE88" w14:textId="52379A4B" w:rsidR="00FE7C99" w:rsidRPr="005A2483" w:rsidRDefault="00FE7C99" w:rsidP="009C588B">
      <w:pPr>
        <w:pStyle w:val="ListParagraph"/>
        <w:numPr>
          <w:ilvl w:val="0"/>
          <w:numId w:val="38"/>
        </w:numPr>
        <w:spacing w:after="240"/>
        <w:ind w:right="113"/>
        <w:contextualSpacing w:val="0"/>
        <w:rPr>
          <w:rFonts w:cs="Arial"/>
          <w:b/>
        </w:rPr>
      </w:pPr>
      <w:r>
        <w:rPr>
          <w:rFonts w:cs="Arial"/>
        </w:rPr>
        <w:t>We are concerned only 21</w:t>
      </w:r>
      <w:r w:rsidR="003B1A44">
        <w:t> </w:t>
      </w:r>
      <w:r>
        <w:rPr>
          <w:rFonts w:cs="Arial"/>
        </w:rPr>
        <w:t>percent of migratory students are proficient on the</w:t>
      </w:r>
      <w:r w:rsidR="00862D27">
        <w:rPr>
          <w:rFonts w:cs="Arial"/>
        </w:rPr>
        <w:t xml:space="preserve"> Math</w:t>
      </w:r>
      <w:r>
        <w:rPr>
          <w:rFonts w:cs="Arial"/>
        </w:rPr>
        <w:t xml:space="preserve"> Smarter Balanced </w:t>
      </w:r>
      <w:r w:rsidR="005A2483">
        <w:rPr>
          <w:rFonts w:cs="Arial"/>
        </w:rPr>
        <w:t xml:space="preserve">Summative </w:t>
      </w:r>
      <w:r>
        <w:rPr>
          <w:rFonts w:cs="Arial"/>
        </w:rPr>
        <w:t>Assessment</w:t>
      </w:r>
      <w:r w:rsidR="005A2483">
        <w:rPr>
          <w:rFonts w:cs="Arial"/>
        </w:rPr>
        <w:t xml:space="preserve"> by the end of </w:t>
      </w:r>
      <w:r w:rsidR="00CE2820">
        <w:rPr>
          <w:rFonts w:cs="Arial"/>
        </w:rPr>
        <w:t>third</w:t>
      </w:r>
      <w:r w:rsidR="005A2483">
        <w:rPr>
          <w:rFonts w:cs="Arial"/>
        </w:rPr>
        <w:t xml:space="preserve"> grade in 2022–23. </w:t>
      </w:r>
    </w:p>
    <w:p w14:paraId="2B84BFE6" w14:textId="57246229" w:rsidR="005A2483" w:rsidRPr="00862D27" w:rsidRDefault="005A2483" w:rsidP="009C588B">
      <w:pPr>
        <w:pStyle w:val="ListParagraph"/>
        <w:numPr>
          <w:ilvl w:val="0"/>
          <w:numId w:val="38"/>
        </w:numPr>
        <w:spacing w:after="240"/>
        <w:ind w:right="113"/>
        <w:contextualSpacing w:val="0"/>
        <w:rPr>
          <w:rFonts w:cs="Arial"/>
          <w:b/>
        </w:rPr>
      </w:pPr>
      <w:r>
        <w:rPr>
          <w:rFonts w:cs="Arial"/>
        </w:rPr>
        <w:t>We are concerned only 17</w:t>
      </w:r>
      <w:r w:rsidR="003B1A44">
        <w:t> </w:t>
      </w:r>
      <w:r>
        <w:rPr>
          <w:rFonts w:cs="Arial"/>
        </w:rPr>
        <w:t>percent of migratory students were proficient in the ELA Smarter Balanced Summative Assessment by the end of 3</w:t>
      </w:r>
      <w:r w:rsidRPr="005A2483">
        <w:rPr>
          <w:rFonts w:cs="Arial"/>
          <w:vertAlign w:val="superscript"/>
        </w:rPr>
        <w:t>rd</w:t>
      </w:r>
      <w:r>
        <w:rPr>
          <w:rFonts w:cs="Arial"/>
        </w:rPr>
        <w:t xml:space="preserve"> grade in 2022–23.</w:t>
      </w:r>
    </w:p>
    <w:p w14:paraId="61FD05EA" w14:textId="13F092AA" w:rsidR="00862D27" w:rsidRPr="00CA6E45" w:rsidRDefault="00862D27" w:rsidP="009C588B">
      <w:pPr>
        <w:pStyle w:val="ListParagraph"/>
        <w:numPr>
          <w:ilvl w:val="0"/>
          <w:numId w:val="38"/>
        </w:numPr>
        <w:spacing w:after="240"/>
        <w:ind w:right="113"/>
        <w:contextualSpacing w:val="0"/>
        <w:rPr>
          <w:rFonts w:cs="Arial"/>
          <w:b/>
        </w:rPr>
      </w:pPr>
      <w:r>
        <w:rPr>
          <w:rFonts w:cs="Arial"/>
        </w:rPr>
        <w:t xml:space="preserve">We </w:t>
      </w:r>
      <w:r w:rsidR="00CA6E45">
        <w:rPr>
          <w:rFonts w:cs="Arial"/>
        </w:rPr>
        <w:t xml:space="preserve">are concerned that there was no increase in overall English language proficiency between the kindergarten and </w:t>
      </w:r>
      <w:r w:rsidR="00122959">
        <w:rPr>
          <w:rFonts w:cs="Arial"/>
        </w:rPr>
        <w:t>third</w:t>
      </w:r>
      <w:r w:rsidR="00CA6E45">
        <w:rPr>
          <w:rFonts w:cs="Arial"/>
        </w:rPr>
        <w:t xml:space="preserve"> grade in 2022–23.</w:t>
      </w:r>
    </w:p>
    <w:p w14:paraId="3EDA1C6A" w14:textId="2C8DE95A" w:rsidR="00CA6E45" w:rsidRPr="002F0E3F" w:rsidRDefault="00CA6E45" w:rsidP="009C588B">
      <w:pPr>
        <w:pStyle w:val="ListParagraph"/>
        <w:numPr>
          <w:ilvl w:val="0"/>
          <w:numId w:val="38"/>
        </w:numPr>
        <w:spacing w:after="240"/>
        <w:ind w:right="113"/>
        <w:contextualSpacing w:val="0"/>
        <w:rPr>
          <w:rFonts w:cs="Arial"/>
          <w:b/>
        </w:rPr>
      </w:pPr>
      <w:r>
        <w:rPr>
          <w:rFonts w:cs="Arial"/>
        </w:rPr>
        <w:t>We are concerned that migratory kindergarten students are 8.1</w:t>
      </w:r>
      <w:r w:rsidR="003B1A44">
        <w:t> </w:t>
      </w:r>
      <w:r>
        <w:rPr>
          <w:rFonts w:cs="Arial"/>
        </w:rPr>
        <w:t xml:space="preserve">percent less likely to be proficient </w:t>
      </w:r>
      <w:proofErr w:type="gramStart"/>
      <w:r>
        <w:rPr>
          <w:rFonts w:cs="Arial"/>
        </w:rPr>
        <w:t>on</w:t>
      </w:r>
      <w:proofErr w:type="gramEnd"/>
      <w:r>
        <w:rPr>
          <w:rFonts w:cs="Arial"/>
        </w:rPr>
        <w:t xml:space="preserve"> the ELPAC</w:t>
      </w:r>
      <w:r w:rsidR="00EF51C8">
        <w:rPr>
          <w:rFonts w:cs="Arial"/>
        </w:rPr>
        <w:t>.</w:t>
      </w:r>
    </w:p>
    <w:p w14:paraId="01B5842D" w14:textId="64D62544" w:rsidR="00374FC8" w:rsidRPr="003E4124" w:rsidRDefault="00374FC8" w:rsidP="009C588B">
      <w:pPr>
        <w:pStyle w:val="Heading3"/>
        <w:spacing w:after="240"/>
        <w:rPr>
          <w:b w:val="0"/>
        </w:rPr>
      </w:pPr>
      <w:bookmarkStart w:id="209" w:name="_Toc188361344"/>
      <w:r w:rsidRPr="002F0E3F">
        <w:rPr>
          <w:b w:val="0"/>
        </w:rPr>
        <w:t>Out-of-School Youth</w:t>
      </w:r>
      <w:bookmarkEnd w:id="209"/>
    </w:p>
    <w:p w14:paraId="2B41AEB0" w14:textId="750766A3" w:rsidR="00CD2779" w:rsidRPr="00CD2779" w:rsidRDefault="00CD2779" w:rsidP="00CD2779">
      <w:pPr>
        <w:tabs>
          <w:tab w:val="left" w:pos="720"/>
        </w:tabs>
        <w:autoSpaceDE w:val="0"/>
        <w:autoSpaceDN w:val="0"/>
        <w:adjustRightInd w:val="0"/>
        <w:spacing w:after="240"/>
        <w:rPr>
          <w:rFonts w:cs="Arial"/>
        </w:rPr>
      </w:pPr>
      <w:r>
        <w:rPr>
          <w:rFonts w:cs="Arial"/>
        </w:rPr>
        <w:t>Theme: Access to Services</w:t>
      </w:r>
    </w:p>
    <w:p w14:paraId="7E37EA47" w14:textId="5C4DAF0F" w:rsidR="00CD2779" w:rsidRPr="00AD57D2" w:rsidRDefault="00CD2779" w:rsidP="00CD2779">
      <w:pPr>
        <w:pStyle w:val="ListParagraph"/>
        <w:numPr>
          <w:ilvl w:val="0"/>
          <w:numId w:val="39"/>
        </w:numPr>
        <w:tabs>
          <w:tab w:val="left" w:pos="720"/>
        </w:tabs>
        <w:autoSpaceDE w:val="0"/>
        <w:autoSpaceDN w:val="0"/>
        <w:adjustRightInd w:val="0"/>
        <w:spacing w:after="240"/>
        <w:contextualSpacing w:val="0"/>
        <w:rPr>
          <w:rFonts w:cs="Arial"/>
        </w:rPr>
      </w:pPr>
      <w:r>
        <w:rPr>
          <w:rFonts w:cs="Arial"/>
        </w:rPr>
        <w:t>We are</w:t>
      </w:r>
      <w:r w:rsidRPr="00AD57D2">
        <w:rPr>
          <w:rFonts w:cs="Arial"/>
        </w:rPr>
        <w:t xml:space="preserve"> concerned that 71</w:t>
      </w:r>
      <w:r>
        <w:t> </w:t>
      </w:r>
      <w:r>
        <w:rPr>
          <w:rFonts w:cs="Arial"/>
        </w:rPr>
        <w:t>percent</w:t>
      </w:r>
      <w:r w:rsidRPr="00AD57D2">
        <w:rPr>
          <w:rFonts w:cs="Arial"/>
        </w:rPr>
        <w:t xml:space="preserve"> of OSY have a conflict between work and services we offer.</w:t>
      </w:r>
    </w:p>
    <w:p w14:paraId="4223A000" w14:textId="77777777" w:rsidR="00CD2779" w:rsidRPr="00AD57D2" w:rsidRDefault="00CD2779" w:rsidP="00CD2779">
      <w:pPr>
        <w:pStyle w:val="ListParagraph"/>
        <w:numPr>
          <w:ilvl w:val="0"/>
          <w:numId w:val="39"/>
        </w:numPr>
        <w:tabs>
          <w:tab w:val="left" w:pos="720"/>
        </w:tabs>
        <w:autoSpaceDE w:val="0"/>
        <w:autoSpaceDN w:val="0"/>
        <w:adjustRightInd w:val="0"/>
        <w:spacing w:after="240"/>
        <w:contextualSpacing w:val="0"/>
        <w:rPr>
          <w:rFonts w:cs="Arial"/>
        </w:rPr>
      </w:pPr>
      <w:r w:rsidRPr="003B1A44">
        <w:rPr>
          <w:rFonts w:cs="Arial"/>
        </w:rPr>
        <w:t>We are</w:t>
      </w:r>
      <w:r w:rsidRPr="00AD57D2">
        <w:rPr>
          <w:rFonts w:cs="Arial"/>
        </w:rPr>
        <w:t xml:space="preserve"> concerned that 58</w:t>
      </w:r>
      <w:r>
        <w:t> </w:t>
      </w:r>
      <w:r>
        <w:rPr>
          <w:rFonts w:cs="Arial"/>
        </w:rPr>
        <w:t>percent</w:t>
      </w:r>
      <w:r w:rsidRPr="00AD57D2">
        <w:rPr>
          <w:rFonts w:cs="Arial"/>
        </w:rPr>
        <w:t xml:space="preserve"> of OSY need transportation to receive services.</w:t>
      </w:r>
    </w:p>
    <w:p w14:paraId="3496EBF5" w14:textId="737D2D39" w:rsidR="00BD2E4E" w:rsidRPr="003E4124" w:rsidRDefault="00374FC8" w:rsidP="009C588B">
      <w:pPr>
        <w:pStyle w:val="ListParagraph"/>
        <w:numPr>
          <w:ilvl w:val="0"/>
          <w:numId w:val="39"/>
        </w:numPr>
        <w:spacing w:after="240"/>
        <w:ind w:right="113"/>
        <w:contextualSpacing w:val="0"/>
        <w:rPr>
          <w:rFonts w:cs="Arial"/>
          <w:b/>
        </w:rPr>
      </w:pPr>
      <w:r w:rsidRPr="002F0E3F">
        <w:rPr>
          <w:rFonts w:cs="Arial"/>
        </w:rPr>
        <w:t xml:space="preserve">We are concerned </w:t>
      </w:r>
      <w:r w:rsidR="003E4124">
        <w:rPr>
          <w:rFonts w:cs="Arial"/>
        </w:rPr>
        <w:t>that less than 50</w:t>
      </w:r>
      <w:r w:rsidR="003B1A44">
        <w:t> </w:t>
      </w:r>
      <w:r w:rsidR="003E4124">
        <w:rPr>
          <w:rFonts w:cs="Arial"/>
        </w:rPr>
        <w:t>percent of OSY have a completed INA/ILP.</w:t>
      </w:r>
    </w:p>
    <w:p w14:paraId="79841A53" w14:textId="30F89524" w:rsidR="003E4124" w:rsidRPr="003E4124" w:rsidRDefault="003E4124" w:rsidP="009C588B">
      <w:pPr>
        <w:pStyle w:val="ListParagraph"/>
        <w:numPr>
          <w:ilvl w:val="0"/>
          <w:numId w:val="39"/>
        </w:numPr>
        <w:spacing w:after="240"/>
        <w:ind w:right="113"/>
        <w:contextualSpacing w:val="0"/>
        <w:rPr>
          <w:rFonts w:cs="Arial"/>
          <w:b/>
        </w:rPr>
      </w:pPr>
      <w:r>
        <w:rPr>
          <w:rFonts w:cs="Arial"/>
        </w:rPr>
        <w:t xml:space="preserve">We are concerned that there is a gap between the number of students who requested </w:t>
      </w:r>
      <w:r w:rsidR="00F8556E">
        <w:rPr>
          <w:rFonts w:cs="Arial"/>
        </w:rPr>
        <w:t>academic</w:t>
      </w:r>
      <w:r>
        <w:rPr>
          <w:rFonts w:cs="Arial"/>
        </w:rPr>
        <w:t xml:space="preserve"> service</w:t>
      </w:r>
      <w:r w:rsidR="00F8556E">
        <w:rPr>
          <w:rFonts w:cs="Arial"/>
        </w:rPr>
        <w:t>s</w:t>
      </w:r>
      <w:r>
        <w:rPr>
          <w:rFonts w:cs="Arial"/>
        </w:rPr>
        <w:t xml:space="preserve"> and those who </w:t>
      </w:r>
      <w:proofErr w:type="gramStart"/>
      <w:r>
        <w:rPr>
          <w:rFonts w:cs="Arial"/>
        </w:rPr>
        <w:t>receive</w:t>
      </w:r>
      <w:proofErr w:type="gramEnd"/>
      <w:r>
        <w:rPr>
          <w:rFonts w:cs="Arial"/>
        </w:rPr>
        <w:t xml:space="preserve"> them.</w:t>
      </w:r>
    </w:p>
    <w:p w14:paraId="22FC3845" w14:textId="7331F89B" w:rsidR="003E4124" w:rsidRPr="003E4124" w:rsidRDefault="003E4124" w:rsidP="009C588B">
      <w:pPr>
        <w:pStyle w:val="ListParagraph"/>
        <w:numPr>
          <w:ilvl w:val="0"/>
          <w:numId w:val="39"/>
        </w:numPr>
        <w:spacing w:after="240"/>
        <w:ind w:right="113"/>
        <w:contextualSpacing w:val="0"/>
        <w:rPr>
          <w:rFonts w:cs="Arial"/>
          <w:b/>
        </w:rPr>
      </w:pPr>
      <w:r>
        <w:rPr>
          <w:rFonts w:cs="Arial"/>
        </w:rPr>
        <w:t>We are concerned OSY students do not understand the services offered by the regions and therefore are unable to ask the MEP to address their needs.</w:t>
      </w:r>
    </w:p>
    <w:p w14:paraId="12CFB498" w14:textId="760E19B5" w:rsidR="003E4124" w:rsidRPr="003E4124" w:rsidRDefault="003E4124" w:rsidP="009C588B">
      <w:pPr>
        <w:pStyle w:val="ListParagraph"/>
        <w:numPr>
          <w:ilvl w:val="0"/>
          <w:numId w:val="39"/>
        </w:numPr>
        <w:spacing w:after="240"/>
        <w:ind w:right="113"/>
        <w:contextualSpacing w:val="0"/>
        <w:rPr>
          <w:rFonts w:cs="Arial"/>
          <w:b/>
        </w:rPr>
      </w:pPr>
      <w:r>
        <w:rPr>
          <w:rFonts w:cs="Arial"/>
        </w:rPr>
        <w:lastRenderedPageBreak/>
        <w:t>We are concerned that only 102 OSY asked for dental services as there is most likely a greater need.</w:t>
      </w:r>
    </w:p>
    <w:p w14:paraId="61CD2EE5" w14:textId="2CC88739" w:rsidR="00872021" w:rsidRPr="00872021" w:rsidRDefault="003E4124" w:rsidP="00872021">
      <w:pPr>
        <w:pStyle w:val="ListParagraph"/>
        <w:numPr>
          <w:ilvl w:val="0"/>
          <w:numId w:val="39"/>
        </w:numPr>
        <w:spacing w:after="240"/>
        <w:ind w:right="113"/>
        <w:contextualSpacing w:val="0"/>
        <w:rPr>
          <w:rFonts w:cs="Arial"/>
          <w:b/>
        </w:rPr>
      </w:pPr>
      <w:r>
        <w:rPr>
          <w:rFonts w:cs="Arial"/>
        </w:rPr>
        <w:t xml:space="preserve">We are </w:t>
      </w:r>
      <w:r w:rsidR="00F8556E">
        <w:rPr>
          <w:rFonts w:cs="Arial"/>
        </w:rPr>
        <w:t>concerned that</w:t>
      </w:r>
      <w:r>
        <w:rPr>
          <w:rFonts w:cs="Arial"/>
        </w:rPr>
        <w:t xml:space="preserve"> the number of OSY </w:t>
      </w:r>
      <w:r w:rsidR="00F8556E">
        <w:rPr>
          <w:rFonts w:cs="Arial"/>
        </w:rPr>
        <w:t>who</w:t>
      </w:r>
      <w:r>
        <w:rPr>
          <w:rFonts w:cs="Arial"/>
        </w:rPr>
        <w:t xml:space="preserve"> </w:t>
      </w:r>
      <w:proofErr w:type="gramStart"/>
      <w:r>
        <w:rPr>
          <w:rFonts w:cs="Arial"/>
        </w:rPr>
        <w:t>wished</w:t>
      </w:r>
      <w:proofErr w:type="gramEnd"/>
      <w:r>
        <w:rPr>
          <w:rFonts w:cs="Arial"/>
        </w:rPr>
        <w:t xml:space="preserve"> to receive a GED/HEP service, as indicated on their INA, has not increased appreciably in the three-year timeline.</w:t>
      </w:r>
    </w:p>
    <w:p w14:paraId="0B4F7162" w14:textId="2FF54129" w:rsidR="00872021" w:rsidRPr="00872021" w:rsidRDefault="00872021" w:rsidP="00872021">
      <w:pPr>
        <w:spacing w:after="240"/>
        <w:ind w:right="113"/>
        <w:rPr>
          <w:rFonts w:cs="Arial"/>
          <w:bCs/>
        </w:rPr>
      </w:pPr>
      <w:r w:rsidRPr="00872021">
        <w:rPr>
          <w:rFonts w:cs="Arial"/>
          <w:bCs/>
        </w:rPr>
        <w:t xml:space="preserve">Theme: </w:t>
      </w:r>
      <w:r w:rsidR="00004735">
        <w:rPr>
          <w:rFonts w:cs="Arial"/>
          <w:bCs/>
        </w:rPr>
        <w:t>Miscellaneous</w:t>
      </w:r>
    </w:p>
    <w:p w14:paraId="723CE932" w14:textId="12AAE215" w:rsidR="00872021" w:rsidRPr="00004735" w:rsidRDefault="00872021" w:rsidP="00872021">
      <w:pPr>
        <w:pStyle w:val="ListParagraph"/>
        <w:numPr>
          <w:ilvl w:val="0"/>
          <w:numId w:val="39"/>
        </w:numPr>
        <w:spacing w:after="240"/>
        <w:ind w:right="113"/>
        <w:contextualSpacing w:val="0"/>
        <w:rPr>
          <w:rFonts w:cs="Arial"/>
          <w:b/>
        </w:rPr>
      </w:pPr>
      <w:r>
        <w:rPr>
          <w:rFonts w:cs="Arial"/>
        </w:rPr>
        <w:t xml:space="preserve">We are </w:t>
      </w:r>
      <w:proofErr w:type="gramStart"/>
      <w:r>
        <w:rPr>
          <w:rFonts w:cs="Arial"/>
        </w:rPr>
        <w:t>concerned</w:t>
      </w:r>
      <w:proofErr w:type="gramEnd"/>
      <w:r>
        <w:rPr>
          <w:rFonts w:cs="Arial"/>
        </w:rPr>
        <w:t xml:space="preserve"> the number of high school aged OSY has increased.</w:t>
      </w:r>
    </w:p>
    <w:p w14:paraId="7950787A" w14:textId="1087737D" w:rsidR="00004735" w:rsidRPr="00872021" w:rsidRDefault="00004735" w:rsidP="00872021">
      <w:pPr>
        <w:pStyle w:val="ListParagraph"/>
        <w:numPr>
          <w:ilvl w:val="0"/>
          <w:numId w:val="39"/>
        </w:numPr>
        <w:spacing w:after="240"/>
        <w:ind w:right="113"/>
        <w:contextualSpacing w:val="0"/>
        <w:rPr>
          <w:rFonts w:cs="Arial"/>
          <w:b/>
        </w:rPr>
      </w:pPr>
      <w:r>
        <w:rPr>
          <w:rFonts w:cs="Arial"/>
        </w:rPr>
        <w:t>We are concerned about the lack of knowledge/resources for career technical education.</w:t>
      </w:r>
    </w:p>
    <w:p w14:paraId="1CE6E428" w14:textId="77777777" w:rsidR="00BD2E4E" w:rsidRPr="002F0E3F" w:rsidRDefault="00C454B5" w:rsidP="00872021">
      <w:pPr>
        <w:pStyle w:val="Heading3"/>
      </w:pPr>
      <w:bookmarkStart w:id="210" w:name="_Toc188361345"/>
      <w:r w:rsidRPr="002F0E3F">
        <w:t>Health</w:t>
      </w:r>
      <w:bookmarkEnd w:id="210"/>
    </w:p>
    <w:p w14:paraId="60CB9750" w14:textId="00E76D91" w:rsidR="00C454B5" w:rsidRPr="002F0E3F" w:rsidRDefault="00C454B5" w:rsidP="009C588B">
      <w:pPr>
        <w:spacing w:after="240"/>
        <w:rPr>
          <w:rFonts w:cs="Arial"/>
        </w:rPr>
      </w:pPr>
      <w:r w:rsidRPr="002F0E3F">
        <w:rPr>
          <w:rFonts w:cs="Arial"/>
        </w:rPr>
        <w:t>Theme: Stu</w:t>
      </w:r>
      <w:r w:rsidR="00872021">
        <w:rPr>
          <w:rFonts w:cs="Arial"/>
        </w:rPr>
        <w:t>dent Health</w:t>
      </w:r>
      <w:r w:rsidRPr="002F0E3F">
        <w:rPr>
          <w:rFonts w:cs="Arial"/>
        </w:rPr>
        <w:t xml:space="preserve"> Support</w:t>
      </w:r>
      <w:r w:rsidR="00004735">
        <w:rPr>
          <w:rFonts w:cs="Arial"/>
        </w:rPr>
        <w:t xml:space="preserve"> Services</w:t>
      </w:r>
    </w:p>
    <w:p w14:paraId="7D78CE85" w14:textId="207643D0" w:rsidR="00C454B5" w:rsidRPr="00823B50" w:rsidRDefault="00C454B5" w:rsidP="009C588B">
      <w:pPr>
        <w:pStyle w:val="ListParagraph"/>
        <w:numPr>
          <w:ilvl w:val="0"/>
          <w:numId w:val="40"/>
        </w:numPr>
        <w:spacing w:after="240"/>
        <w:contextualSpacing w:val="0"/>
        <w:rPr>
          <w:rFonts w:ascii="Calibri" w:hAnsi="Calibri"/>
        </w:rPr>
      </w:pPr>
      <w:r w:rsidRPr="002F0E3F">
        <w:rPr>
          <w:rFonts w:cs="Arial"/>
        </w:rPr>
        <w:t xml:space="preserve">We are concerned that migratory parents’ health needs are not being met and therefore affecting the child(ren) is some way (e.g., if </w:t>
      </w:r>
      <w:r w:rsidR="00F8556E">
        <w:rPr>
          <w:rFonts w:cs="Arial"/>
        </w:rPr>
        <w:t xml:space="preserve">a </w:t>
      </w:r>
      <w:r w:rsidRPr="002F0E3F">
        <w:rPr>
          <w:rFonts w:cs="Arial"/>
        </w:rPr>
        <w:t>parent is sick, the child may have to make their own dinner or go without food).</w:t>
      </w:r>
    </w:p>
    <w:p w14:paraId="22878457" w14:textId="1B178770" w:rsidR="00823B50" w:rsidRPr="00823B50" w:rsidRDefault="00F66028" w:rsidP="00823B50">
      <w:pPr>
        <w:pStyle w:val="ListParagraph"/>
        <w:numPr>
          <w:ilvl w:val="0"/>
          <w:numId w:val="40"/>
        </w:numPr>
        <w:spacing w:after="240"/>
        <w:contextualSpacing w:val="0"/>
        <w:rPr>
          <w:rFonts w:ascii="Calibri" w:hAnsi="Calibri"/>
        </w:rPr>
      </w:pPr>
      <w:r>
        <w:t>We are</w:t>
      </w:r>
      <w:r w:rsidR="00823B50" w:rsidRPr="00294376">
        <w:t xml:space="preserve"> concerned </w:t>
      </w:r>
      <w:r w:rsidR="005124B4">
        <w:t>by the gap</w:t>
      </w:r>
      <w:r w:rsidR="00823B50" w:rsidRPr="00294376">
        <w:t xml:space="preserve"> in the indicated medical needs and the number receive</w:t>
      </w:r>
      <w:r w:rsidR="005124B4">
        <w:t>d</w:t>
      </w:r>
      <w:r w:rsidR="00823B50" w:rsidRPr="00294376">
        <w:t xml:space="preserve">, services </w:t>
      </w:r>
      <w:r w:rsidR="00823B50">
        <w:t>aligned</w:t>
      </w:r>
      <w:r w:rsidR="00823B50" w:rsidRPr="00294376">
        <w:t xml:space="preserve"> to this need during the </w:t>
      </w:r>
      <w:r w:rsidR="00823B50">
        <w:t>years</w:t>
      </w:r>
      <w:r w:rsidR="00823B50" w:rsidRPr="00294376">
        <w:t xml:space="preserve"> 2021</w:t>
      </w:r>
      <w:r>
        <w:t>–</w:t>
      </w:r>
      <w:r w:rsidR="00823B50" w:rsidRPr="00294376">
        <w:t>22 and 2022</w:t>
      </w:r>
      <w:r>
        <w:t>–</w:t>
      </w:r>
      <w:r w:rsidR="00823B50" w:rsidRPr="00294376">
        <w:t xml:space="preserve">23 </w:t>
      </w:r>
      <w:r w:rsidR="00823B50">
        <w:t>were</w:t>
      </w:r>
      <w:r w:rsidR="00823B50" w:rsidRPr="00294376">
        <w:t xml:space="preserve"> very low and similar</w:t>
      </w:r>
      <w:r w:rsidR="00823B50">
        <w:t>.</w:t>
      </w:r>
    </w:p>
    <w:p w14:paraId="1FE3B9D5" w14:textId="19DEE12B" w:rsidR="00823B50" w:rsidRPr="00823B50" w:rsidRDefault="00F66028" w:rsidP="00823B50">
      <w:pPr>
        <w:pStyle w:val="ListParagraph"/>
        <w:numPr>
          <w:ilvl w:val="0"/>
          <w:numId w:val="40"/>
        </w:numPr>
        <w:spacing w:after="240"/>
        <w:contextualSpacing w:val="0"/>
        <w:rPr>
          <w:rFonts w:ascii="Calibri" w:hAnsi="Calibri"/>
        </w:rPr>
      </w:pPr>
      <w:r>
        <w:t>We are</w:t>
      </w:r>
      <w:r w:rsidR="00823B50" w:rsidRPr="00294376">
        <w:t xml:space="preserve"> concerned that at school children or young people do not want to go to use the bathrooms for fear of the older students, and that</w:t>
      </w:r>
      <w:r w:rsidR="00F96E15">
        <w:t xml:space="preserve"> [anxiety from bullying]</w:t>
      </w:r>
      <w:r w:rsidR="00823B50" w:rsidRPr="00294376">
        <w:t xml:space="preserve"> is a mental problem that needs </w:t>
      </w:r>
      <w:r w:rsidR="00F96E15">
        <w:t>to be addressed</w:t>
      </w:r>
      <w:r w:rsidR="00823B50">
        <w:t>.</w:t>
      </w:r>
    </w:p>
    <w:p w14:paraId="43F23D1C" w14:textId="6A8E42F3" w:rsidR="00823B50" w:rsidRPr="00823B50" w:rsidRDefault="00F66028" w:rsidP="000C4631">
      <w:pPr>
        <w:pStyle w:val="ListParagraph"/>
        <w:numPr>
          <w:ilvl w:val="0"/>
          <w:numId w:val="40"/>
        </w:numPr>
        <w:spacing w:after="240"/>
        <w:contextualSpacing w:val="0"/>
        <w:rPr>
          <w:rFonts w:eastAsia="Times New Roman"/>
          <w:sz w:val="32"/>
        </w:rPr>
      </w:pPr>
      <w:r>
        <w:t>We are</w:t>
      </w:r>
      <w:r w:rsidR="00823B50" w:rsidRPr="00DD1480">
        <w:t xml:space="preserve"> concerned that out of 921 migrant students who needed help with mental health services, only 16 students obtained the help in 2020.</w:t>
      </w:r>
    </w:p>
    <w:p w14:paraId="5B0B24E1" w14:textId="65C7FC38" w:rsidR="00823B50" w:rsidRPr="00823B50" w:rsidRDefault="00F66028" w:rsidP="000C4631">
      <w:pPr>
        <w:pStyle w:val="ListParagraph"/>
        <w:numPr>
          <w:ilvl w:val="0"/>
          <w:numId w:val="40"/>
        </w:numPr>
        <w:spacing w:after="240"/>
        <w:contextualSpacing w:val="0"/>
        <w:rPr>
          <w:rFonts w:eastAsia="Times New Roman"/>
          <w:sz w:val="32"/>
        </w:rPr>
      </w:pPr>
      <w:r>
        <w:t>We are</w:t>
      </w:r>
      <w:r w:rsidR="00823B50" w:rsidRPr="00DD1480">
        <w:t xml:space="preserve"> concerned that in 202</w:t>
      </w:r>
      <w:r w:rsidR="005124B4">
        <w:t>0</w:t>
      </w:r>
      <w:r>
        <w:t>–</w:t>
      </w:r>
      <w:r w:rsidR="00823B50" w:rsidRPr="00DD1480">
        <w:t>2</w:t>
      </w:r>
      <w:r w:rsidR="005124B4">
        <w:t>1</w:t>
      </w:r>
      <w:r w:rsidR="00823B50" w:rsidRPr="00DD1480">
        <w:t xml:space="preserve"> and 202</w:t>
      </w:r>
      <w:r w:rsidR="005124B4">
        <w:t>1</w:t>
      </w:r>
      <w:r>
        <w:t>–</w:t>
      </w:r>
      <w:r w:rsidR="00823B50" w:rsidRPr="00DD1480">
        <w:t>2</w:t>
      </w:r>
      <w:r w:rsidR="005124B4">
        <w:t>2</w:t>
      </w:r>
      <w:r w:rsidR="00823B50">
        <w:t>,</w:t>
      </w:r>
      <w:r w:rsidR="00823B50" w:rsidRPr="00DD1480">
        <w:t xml:space="preserve"> </w:t>
      </w:r>
      <w:r w:rsidR="005124B4">
        <w:t>v</w:t>
      </w:r>
      <w:r w:rsidR="00823B50" w:rsidRPr="00DD1480">
        <w:t>ery few children received mental health services</w:t>
      </w:r>
      <w:r w:rsidR="00823B50">
        <w:t>.</w:t>
      </w:r>
    </w:p>
    <w:p w14:paraId="01815E90" w14:textId="72FB1709" w:rsidR="00823B50" w:rsidRPr="003A102C" w:rsidRDefault="00F66028" w:rsidP="000C4631">
      <w:pPr>
        <w:pStyle w:val="ListParagraph"/>
        <w:numPr>
          <w:ilvl w:val="0"/>
          <w:numId w:val="40"/>
        </w:numPr>
        <w:spacing w:after="240"/>
        <w:contextualSpacing w:val="0"/>
        <w:rPr>
          <w:rFonts w:eastAsia="Times New Roman"/>
          <w:sz w:val="32"/>
        </w:rPr>
      </w:pPr>
      <w:r>
        <w:t>We are</w:t>
      </w:r>
      <w:r w:rsidR="00823B50" w:rsidRPr="00DD1480">
        <w:t xml:space="preserve"> </w:t>
      </w:r>
      <w:r w:rsidR="00FB58BB" w:rsidRPr="00DD1480">
        <w:t>concerned that</w:t>
      </w:r>
      <w:r w:rsidR="00823B50" w:rsidRPr="00DD1480">
        <w:t xml:space="preserve"> there are many </w:t>
      </w:r>
      <w:r w:rsidR="00FB58BB">
        <w:t xml:space="preserve">mental health </w:t>
      </w:r>
      <w:r w:rsidR="00823B50" w:rsidRPr="00DD1480">
        <w:t xml:space="preserve">needs at different ages and very few treated </w:t>
      </w:r>
      <w:r w:rsidR="00FB58BB">
        <w:t>(</w:t>
      </w:r>
      <w:r w:rsidR="00823B50" w:rsidRPr="00DD1480">
        <w:t>talking specifically about anxiety, stress, depression, and suicide</w:t>
      </w:r>
      <w:r w:rsidR="00FB58BB">
        <w:t>)</w:t>
      </w:r>
      <w:r w:rsidR="00823B50" w:rsidRPr="00DD1480">
        <w:t>.</w:t>
      </w:r>
    </w:p>
    <w:p w14:paraId="678E507E" w14:textId="5C201190" w:rsidR="003A102C" w:rsidRPr="003A102C" w:rsidRDefault="00F66028" w:rsidP="000C4631">
      <w:pPr>
        <w:pStyle w:val="ListParagraph"/>
        <w:numPr>
          <w:ilvl w:val="0"/>
          <w:numId w:val="40"/>
        </w:numPr>
        <w:spacing w:after="240"/>
        <w:contextualSpacing w:val="0"/>
        <w:rPr>
          <w:rFonts w:eastAsia="Times New Roman"/>
          <w:sz w:val="32"/>
        </w:rPr>
      </w:pPr>
      <w:r>
        <w:t>We are</w:t>
      </w:r>
      <w:r w:rsidR="003A102C" w:rsidRPr="00DD1480">
        <w:t xml:space="preserve"> concerned that out of 1,794 migrant students who needed help with dental services, only 859 students got help in 2022</w:t>
      </w:r>
      <w:r w:rsidR="003A102C">
        <w:t>.</w:t>
      </w:r>
    </w:p>
    <w:p w14:paraId="63E78111" w14:textId="5957F4AF" w:rsidR="003A102C" w:rsidRPr="003A102C" w:rsidRDefault="003A102C" w:rsidP="000C4631">
      <w:pPr>
        <w:pStyle w:val="ListParagraph"/>
        <w:numPr>
          <w:ilvl w:val="0"/>
          <w:numId w:val="40"/>
        </w:numPr>
        <w:spacing w:after="240"/>
        <w:contextualSpacing w:val="0"/>
        <w:rPr>
          <w:rFonts w:eastAsia="Times New Roman"/>
          <w:sz w:val="32"/>
        </w:rPr>
      </w:pPr>
      <w:r>
        <w:t>We are concerned that</w:t>
      </w:r>
      <w:r w:rsidRPr="00442D25">
        <w:t xml:space="preserve"> young people </w:t>
      </w:r>
      <w:r>
        <w:t>with</w:t>
      </w:r>
      <w:r w:rsidRPr="00442D25">
        <w:t xml:space="preserve"> dental problems</w:t>
      </w:r>
      <w:r>
        <w:t xml:space="preserve"> today will have</w:t>
      </w:r>
      <w:r w:rsidRPr="00442D25">
        <w:t xml:space="preserve"> very serious problems with dental health</w:t>
      </w:r>
      <w:r>
        <w:t xml:space="preserve"> when they reach </w:t>
      </w:r>
      <w:r w:rsidR="00F66028">
        <w:t>adulthood</w:t>
      </w:r>
      <w:r w:rsidR="00F66028" w:rsidRPr="00442D25">
        <w:t xml:space="preserve"> and</w:t>
      </w:r>
      <w:r w:rsidRPr="00442D25">
        <w:t xml:space="preserve"> therefore wi</w:t>
      </w:r>
      <w:r>
        <w:t>ll have low</w:t>
      </w:r>
      <w:r w:rsidRPr="00442D25">
        <w:t xml:space="preserve"> self-esteem</w:t>
      </w:r>
      <w:r>
        <w:t>.</w:t>
      </w:r>
    </w:p>
    <w:p w14:paraId="2DA17110" w14:textId="3EEFF7D6" w:rsidR="003A102C" w:rsidRPr="003A102C" w:rsidRDefault="003A102C" w:rsidP="000C4631">
      <w:pPr>
        <w:pStyle w:val="ListParagraph"/>
        <w:numPr>
          <w:ilvl w:val="0"/>
          <w:numId w:val="40"/>
        </w:numPr>
        <w:spacing w:after="240"/>
        <w:contextualSpacing w:val="0"/>
        <w:rPr>
          <w:rFonts w:eastAsia="Times New Roman"/>
          <w:sz w:val="32"/>
        </w:rPr>
      </w:pPr>
      <w:r>
        <w:lastRenderedPageBreak/>
        <w:t>We are</w:t>
      </w:r>
      <w:r w:rsidRPr="00B74391">
        <w:t xml:space="preserve"> concerned about the high percentage of need for health services, regardless of whether students receive</w:t>
      </w:r>
      <w:r w:rsidR="005124B4">
        <w:t>d</w:t>
      </w:r>
      <w:r w:rsidRPr="00B74391">
        <w:t xml:space="preserve"> help</w:t>
      </w:r>
      <w:r>
        <w:t>.</w:t>
      </w:r>
    </w:p>
    <w:p w14:paraId="121A283C" w14:textId="7AF5F5B9" w:rsidR="003A102C" w:rsidRPr="003A102C" w:rsidRDefault="003A102C" w:rsidP="000C4631">
      <w:pPr>
        <w:pStyle w:val="ListParagraph"/>
        <w:numPr>
          <w:ilvl w:val="0"/>
          <w:numId w:val="40"/>
        </w:numPr>
        <w:spacing w:after="240"/>
        <w:contextualSpacing w:val="0"/>
        <w:rPr>
          <w:rFonts w:eastAsia="Times New Roman"/>
          <w:sz w:val="32"/>
        </w:rPr>
      </w:pPr>
      <w:r>
        <w:t>We are</w:t>
      </w:r>
      <w:r w:rsidRPr="00B74391">
        <w:t xml:space="preserve"> concerned that so many 'migrant-only' students are in such need of health care</w:t>
      </w:r>
      <w:r>
        <w:t>.</w:t>
      </w:r>
    </w:p>
    <w:p w14:paraId="0C1B630C" w14:textId="72896B3F" w:rsidR="003A102C" w:rsidRPr="00FB58BB" w:rsidRDefault="003A102C" w:rsidP="000C4631">
      <w:pPr>
        <w:pStyle w:val="ListParagraph"/>
        <w:numPr>
          <w:ilvl w:val="0"/>
          <w:numId w:val="40"/>
        </w:numPr>
        <w:spacing w:after="240"/>
        <w:contextualSpacing w:val="0"/>
        <w:rPr>
          <w:rFonts w:eastAsia="Times New Roman"/>
          <w:sz w:val="32"/>
        </w:rPr>
      </w:pPr>
      <w:r>
        <w:t>We are</w:t>
      </w:r>
      <w:r w:rsidRPr="00B74391">
        <w:t xml:space="preserve"> concerned with identifying the 'root problem' </w:t>
      </w:r>
      <w:r>
        <w:t>that causes</w:t>
      </w:r>
      <w:r w:rsidRPr="00B74391">
        <w:t xml:space="preserve"> the need for health services</w:t>
      </w:r>
      <w:r>
        <w:t>.</w:t>
      </w:r>
    </w:p>
    <w:p w14:paraId="124D0A1E" w14:textId="1D80734F" w:rsidR="00FB58BB" w:rsidRPr="00FB58BB" w:rsidRDefault="00FB58BB" w:rsidP="00FB58BB">
      <w:pPr>
        <w:pStyle w:val="ListParagraph"/>
        <w:numPr>
          <w:ilvl w:val="0"/>
          <w:numId w:val="40"/>
        </w:numPr>
        <w:spacing w:after="240"/>
        <w:contextualSpacing w:val="0"/>
        <w:rPr>
          <w:rFonts w:eastAsia="Times New Roman"/>
          <w:sz w:val="32"/>
        </w:rPr>
      </w:pPr>
      <w:r>
        <w:t>We are</w:t>
      </w:r>
      <w:r w:rsidRPr="00442D25">
        <w:t xml:space="preserve"> concerned that parents agree that it is difficult to access health benefi</w:t>
      </w:r>
      <w:r>
        <w:t>ts.</w:t>
      </w:r>
    </w:p>
    <w:p w14:paraId="6B44E4FF" w14:textId="3F2B664B" w:rsidR="00FB58BB" w:rsidRPr="00FB58BB" w:rsidRDefault="00FB58BB" w:rsidP="00FB58BB">
      <w:pPr>
        <w:spacing w:after="240"/>
        <w:rPr>
          <w:rFonts w:eastAsia="Times New Roman"/>
        </w:rPr>
      </w:pPr>
      <w:r w:rsidRPr="00FB58BB">
        <w:rPr>
          <w:rFonts w:eastAsia="Times New Roman"/>
        </w:rPr>
        <w:t>Theme</w:t>
      </w:r>
      <w:r>
        <w:rPr>
          <w:rFonts w:eastAsia="Times New Roman"/>
        </w:rPr>
        <w:t>: Nutrition</w:t>
      </w:r>
    </w:p>
    <w:p w14:paraId="42599D26" w14:textId="77777777" w:rsidR="00FB58BB" w:rsidRPr="00823B50" w:rsidRDefault="00FB58BB" w:rsidP="00FB58BB">
      <w:pPr>
        <w:pStyle w:val="ListParagraph"/>
        <w:numPr>
          <w:ilvl w:val="0"/>
          <w:numId w:val="40"/>
        </w:numPr>
        <w:spacing w:after="240"/>
        <w:contextualSpacing w:val="0"/>
        <w:rPr>
          <w:rFonts w:ascii="Calibri" w:hAnsi="Calibri"/>
        </w:rPr>
      </w:pPr>
      <w:r>
        <w:t>We are</w:t>
      </w:r>
      <w:r w:rsidRPr="00294376">
        <w:t xml:space="preserve"> concerned that young people will be provided with more adequate food by </w:t>
      </w:r>
      <w:r>
        <w:t xml:space="preserve">the </w:t>
      </w:r>
      <w:r w:rsidRPr="00294376">
        <w:t>investment of motivation once they eat well, they will give better results in school and less medical expenses.</w:t>
      </w:r>
    </w:p>
    <w:p w14:paraId="585C0879" w14:textId="11B4D09C" w:rsidR="00AD57D2" w:rsidRPr="00E92D4A" w:rsidRDefault="003A102C" w:rsidP="00A73CAB">
      <w:pPr>
        <w:pStyle w:val="ListParagraph"/>
        <w:numPr>
          <w:ilvl w:val="0"/>
          <w:numId w:val="40"/>
        </w:numPr>
        <w:spacing w:after="240"/>
        <w:contextualSpacing w:val="0"/>
        <w:rPr>
          <w:rFonts w:eastAsia="Times New Roman"/>
          <w:sz w:val="32"/>
        </w:rPr>
      </w:pPr>
      <w:r>
        <w:t>We are</w:t>
      </w:r>
      <w:r w:rsidRPr="00B74391">
        <w:t xml:space="preserve"> concerned that there is a nutritional need at home and that it affects the physical and mental performance of the student.</w:t>
      </w:r>
    </w:p>
    <w:p w14:paraId="203A2C8C" w14:textId="4969B2C4" w:rsidR="00E92D4A" w:rsidRPr="00E92D4A" w:rsidRDefault="00E92D4A" w:rsidP="00A73CAB">
      <w:pPr>
        <w:pStyle w:val="ListParagraph"/>
        <w:numPr>
          <w:ilvl w:val="0"/>
          <w:numId w:val="40"/>
        </w:numPr>
        <w:spacing w:after="240"/>
        <w:contextualSpacing w:val="0"/>
        <w:rPr>
          <w:rFonts w:eastAsia="Times New Roman"/>
          <w:sz w:val="32"/>
        </w:rPr>
      </w:pPr>
      <w:r>
        <w:t xml:space="preserve">We </w:t>
      </w:r>
      <w:proofErr w:type="gramStart"/>
      <w:r>
        <w:t>are concerned</w:t>
      </w:r>
      <w:proofErr w:type="gramEnd"/>
      <w:r w:rsidRPr="00442D25">
        <w:t xml:space="preserve"> parents, being farm workers, </w:t>
      </w:r>
      <w:r>
        <w:t>lack access to</w:t>
      </w:r>
      <w:r w:rsidRPr="00442D25">
        <w:t xml:space="preserve"> fresh vegetables to </w:t>
      </w:r>
      <w:proofErr w:type="gramStart"/>
      <w:r w:rsidRPr="00442D25">
        <w:t>offer</w:t>
      </w:r>
      <w:proofErr w:type="gramEnd"/>
      <w:r w:rsidRPr="00442D25">
        <w:t xml:space="preserve"> our children or that they don't like them.</w:t>
      </w:r>
    </w:p>
    <w:p w14:paraId="2724B2AE" w14:textId="05FD1003" w:rsidR="00C454B5" w:rsidRPr="002F0E3F" w:rsidRDefault="00C454B5" w:rsidP="009C588B">
      <w:pPr>
        <w:pStyle w:val="Heading3"/>
        <w:spacing w:after="240"/>
        <w:rPr>
          <w:b w:val="0"/>
        </w:rPr>
      </w:pPr>
      <w:bookmarkStart w:id="211" w:name="_Toc188361346"/>
      <w:r w:rsidRPr="002F0E3F">
        <w:rPr>
          <w:b w:val="0"/>
        </w:rPr>
        <w:t>Parent and Family Engagement</w:t>
      </w:r>
      <w:bookmarkEnd w:id="211"/>
    </w:p>
    <w:p w14:paraId="45E780DF" w14:textId="491109C5" w:rsidR="00C454B5" w:rsidRPr="002F0E3F" w:rsidRDefault="00C454B5" w:rsidP="009C588B">
      <w:pPr>
        <w:spacing w:after="240"/>
        <w:rPr>
          <w:rFonts w:cs="Arial"/>
        </w:rPr>
      </w:pPr>
      <w:r w:rsidRPr="002F0E3F">
        <w:rPr>
          <w:rFonts w:cs="Arial"/>
        </w:rPr>
        <w:t xml:space="preserve">Theme: </w:t>
      </w:r>
      <w:r w:rsidR="003D28D0">
        <w:rPr>
          <w:rFonts w:cs="Arial"/>
        </w:rPr>
        <w:t>Lack of Knowledge/Awareness about the MEP</w:t>
      </w:r>
    </w:p>
    <w:p w14:paraId="78CFEA20" w14:textId="357443FA" w:rsidR="00BB681A" w:rsidRPr="0024767F" w:rsidRDefault="00BB681A" w:rsidP="009C588B">
      <w:pPr>
        <w:pStyle w:val="ListParagraph"/>
        <w:numPr>
          <w:ilvl w:val="0"/>
          <w:numId w:val="49"/>
        </w:numPr>
        <w:spacing w:after="240"/>
        <w:contextualSpacing w:val="0"/>
      </w:pPr>
      <w:r>
        <w:t>We are</w:t>
      </w:r>
      <w:r w:rsidRPr="0024767F">
        <w:t xml:space="preserve"> concerned that there is not a lot of communication due to the lack of understanding </w:t>
      </w:r>
      <w:r w:rsidR="005124B4" w:rsidRPr="0024767F">
        <w:t>between</w:t>
      </w:r>
      <w:r w:rsidRPr="0024767F">
        <w:t xml:space="preserve"> the two languages spoken by parents and members of the school</w:t>
      </w:r>
      <w:r w:rsidR="00F66028">
        <w:t>.</w:t>
      </w:r>
    </w:p>
    <w:p w14:paraId="5B55B639" w14:textId="3412652C" w:rsidR="00BB681A" w:rsidRPr="0024767F" w:rsidRDefault="00BB681A" w:rsidP="009C588B">
      <w:pPr>
        <w:pStyle w:val="ListParagraph"/>
        <w:numPr>
          <w:ilvl w:val="0"/>
          <w:numId w:val="49"/>
        </w:numPr>
        <w:spacing w:after="240"/>
        <w:contextualSpacing w:val="0"/>
      </w:pPr>
      <w:r>
        <w:t>We are</w:t>
      </w:r>
      <w:r w:rsidRPr="0024767F">
        <w:t xml:space="preserve"> concerned that parents don’t have the information about how to qualify</w:t>
      </w:r>
      <w:r w:rsidR="00F66028">
        <w:t>.</w:t>
      </w:r>
    </w:p>
    <w:p w14:paraId="023C986E" w14:textId="3FC4C7CA" w:rsidR="00BB681A" w:rsidRPr="0024767F" w:rsidRDefault="00BB681A" w:rsidP="009C588B">
      <w:pPr>
        <w:pStyle w:val="ListParagraph"/>
        <w:numPr>
          <w:ilvl w:val="0"/>
          <w:numId w:val="49"/>
        </w:numPr>
        <w:spacing w:after="240"/>
        <w:contextualSpacing w:val="0"/>
      </w:pPr>
      <w:r>
        <w:t>We are</w:t>
      </w:r>
      <w:r w:rsidRPr="0024767F">
        <w:t xml:space="preserve"> concerned that schools don’t </w:t>
      </w:r>
      <w:r w:rsidR="005124B4" w:rsidRPr="0024767F">
        <w:t>communicate</w:t>
      </w:r>
      <w:r w:rsidRPr="0024767F">
        <w:t xml:space="preserve"> information about MEP services</w:t>
      </w:r>
      <w:r w:rsidR="00F66028">
        <w:t>.</w:t>
      </w:r>
    </w:p>
    <w:p w14:paraId="69B060C4" w14:textId="140E723F" w:rsidR="00BB681A" w:rsidRPr="0024767F" w:rsidRDefault="00BB681A" w:rsidP="009C588B">
      <w:pPr>
        <w:pStyle w:val="ListParagraph"/>
        <w:numPr>
          <w:ilvl w:val="0"/>
          <w:numId w:val="49"/>
        </w:numPr>
        <w:spacing w:after="240"/>
        <w:contextualSpacing w:val="0"/>
      </w:pPr>
      <w:r>
        <w:t>We are</w:t>
      </w:r>
      <w:r w:rsidRPr="0024767F">
        <w:t xml:space="preserve"> concerned </w:t>
      </w:r>
      <w:proofErr w:type="gramStart"/>
      <w:r w:rsidRPr="0024767F">
        <w:t>the majority of</w:t>
      </w:r>
      <w:proofErr w:type="gramEnd"/>
      <w:r w:rsidRPr="0024767F">
        <w:t xml:space="preserve"> districts </w:t>
      </w:r>
      <w:r w:rsidR="00F66028">
        <w:t>aren’t aware of</w:t>
      </w:r>
      <w:r w:rsidRPr="0024767F">
        <w:t xml:space="preserve"> the Migrant Program</w:t>
      </w:r>
      <w:r w:rsidR="00F66028">
        <w:t>.</w:t>
      </w:r>
    </w:p>
    <w:p w14:paraId="2E7D30E0" w14:textId="507A5244" w:rsidR="00BB681A" w:rsidRPr="0024767F" w:rsidRDefault="00BB681A" w:rsidP="009C588B">
      <w:pPr>
        <w:pStyle w:val="ListParagraph"/>
        <w:numPr>
          <w:ilvl w:val="0"/>
          <w:numId w:val="49"/>
        </w:numPr>
        <w:spacing w:after="240"/>
        <w:contextualSpacing w:val="0"/>
      </w:pPr>
      <w:r>
        <w:t>We are</w:t>
      </w:r>
      <w:r w:rsidRPr="0024767F">
        <w:t xml:space="preserve"> concerned that a lot of families are not benefiting from the Migrant Program because schools are not providing that information</w:t>
      </w:r>
      <w:r w:rsidR="00F66028">
        <w:t>.</w:t>
      </w:r>
    </w:p>
    <w:p w14:paraId="13C8BA8C" w14:textId="6AF9DC94" w:rsidR="00BB681A" w:rsidRPr="0024767F" w:rsidRDefault="00BB681A" w:rsidP="009C588B">
      <w:pPr>
        <w:pStyle w:val="ListParagraph"/>
        <w:numPr>
          <w:ilvl w:val="0"/>
          <w:numId w:val="49"/>
        </w:numPr>
        <w:spacing w:after="240"/>
        <w:contextualSpacing w:val="0"/>
      </w:pPr>
      <w:r>
        <w:t>We are</w:t>
      </w:r>
      <w:r w:rsidRPr="0024767F">
        <w:t xml:space="preserve"> concerned about the percentage of parents that don’t know the benefits of the Migrant Program</w:t>
      </w:r>
      <w:r w:rsidR="00F66028">
        <w:t>.</w:t>
      </w:r>
    </w:p>
    <w:p w14:paraId="16A9570B" w14:textId="5EA13EFA" w:rsidR="00BB681A" w:rsidRDefault="00BB681A" w:rsidP="009C588B">
      <w:pPr>
        <w:pStyle w:val="ListParagraph"/>
        <w:numPr>
          <w:ilvl w:val="0"/>
          <w:numId w:val="49"/>
        </w:numPr>
        <w:spacing w:after="240"/>
        <w:contextualSpacing w:val="0"/>
      </w:pPr>
      <w:r>
        <w:t>We are</w:t>
      </w:r>
      <w:r w:rsidRPr="0024767F">
        <w:t xml:space="preserve"> concerned that although many families qualify for the Migrant Program, they are not aware of the services offered</w:t>
      </w:r>
      <w:r w:rsidR="00F66028">
        <w:t>.</w:t>
      </w:r>
    </w:p>
    <w:p w14:paraId="22A0B162" w14:textId="51FEFDA1" w:rsidR="00F66028" w:rsidRPr="0024767F" w:rsidRDefault="00F66028" w:rsidP="00F66028">
      <w:pPr>
        <w:spacing w:after="240"/>
      </w:pPr>
      <w:r>
        <w:lastRenderedPageBreak/>
        <w:t xml:space="preserve">Theme: </w:t>
      </w:r>
      <w:r w:rsidR="005124B4">
        <w:t xml:space="preserve">Parent </w:t>
      </w:r>
      <w:r w:rsidR="00CD2779">
        <w:t xml:space="preserve">and Family </w:t>
      </w:r>
      <w:r w:rsidR="005124B4">
        <w:t>Activities</w:t>
      </w:r>
    </w:p>
    <w:p w14:paraId="797CEDBA" w14:textId="5B0C60F1" w:rsidR="00BB681A" w:rsidRPr="0024767F" w:rsidRDefault="00BB681A" w:rsidP="009C588B">
      <w:pPr>
        <w:pStyle w:val="ListParagraph"/>
        <w:numPr>
          <w:ilvl w:val="0"/>
          <w:numId w:val="49"/>
        </w:numPr>
        <w:spacing w:after="240"/>
        <w:contextualSpacing w:val="0"/>
      </w:pPr>
      <w:r>
        <w:t>We are</w:t>
      </w:r>
      <w:r w:rsidRPr="0024767F">
        <w:t xml:space="preserve"> concerned that 81.7</w:t>
      </w:r>
      <w:r w:rsidR="00F66028">
        <w:t> percent</w:t>
      </w:r>
      <w:r w:rsidRPr="0024767F">
        <w:t xml:space="preserve"> don’t have the support to obtain mental health services</w:t>
      </w:r>
      <w:r w:rsidR="00F66028">
        <w:t>.</w:t>
      </w:r>
    </w:p>
    <w:p w14:paraId="48B8E345" w14:textId="04EFF690" w:rsidR="00BB681A" w:rsidRPr="0024767F" w:rsidRDefault="00BB681A" w:rsidP="009C588B">
      <w:pPr>
        <w:pStyle w:val="ListParagraph"/>
        <w:numPr>
          <w:ilvl w:val="0"/>
          <w:numId w:val="49"/>
        </w:numPr>
        <w:spacing w:after="240"/>
        <w:contextualSpacing w:val="0"/>
      </w:pPr>
      <w:r>
        <w:t>We are</w:t>
      </w:r>
      <w:r w:rsidRPr="0024767F">
        <w:t xml:space="preserve"> concerned that due to the lack of parent participation we are receiving less programs</w:t>
      </w:r>
      <w:r w:rsidR="00F66028">
        <w:t>.</w:t>
      </w:r>
    </w:p>
    <w:p w14:paraId="77F39AB7" w14:textId="04D2B334" w:rsidR="00BB681A" w:rsidRPr="0024767F" w:rsidRDefault="00BB681A" w:rsidP="009C588B">
      <w:pPr>
        <w:pStyle w:val="ListParagraph"/>
        <w:numPr>
          <w:ilvl w:val="0"/>
          <w:numId w:val="49"/>
        </w:numPr>
        <w:spacing w:after="240"/>
        <w:contextualSpacing w:val="0"/>
      </w:pPr>
      <w:r>
        <w:t>We are</w:t>
      </w:r>
      <w:r w:rsidRPr="0024767F">
        <w:t xml:space="preserve"> concerned that there are not enough workshops </w:t>
      </w:r>
      <w:r>
        <w:t>or trainings</w:t>
      </w:r>
      <w:r w:rsidRPr="0024767F">
        <w:t xml:space="preserve"> since those would help us as parents</w:t>
      </w:r>
      <w:r w:rsidR="00F66028">
        <w:t>.</w:t>
      </w:r>
    </w:p>
    <w:p w14:paraId="578357B7" w14:textId="1C3418D5" w:rsidR="00BB681A" w:rsidRPr="0024767F" w:rsidRDefault="00BB681A" w:rsidP="009C588B">
      <w:pPr>
        <w:pStyle w:val="ListParagraph"/>
        <w:numPr>
          <w:ilvl w:val="0"/>
          <w:numId w:val="49"/>
        </w:numPr>
        <w:spacing w:after="240"/>
        <w:contextualSpacing w:val="0"/>
      </w:pPr>
      <w:r>
        <w:t>We are</w:t>
      </w:r>
      <w:r w:rsidRPr="0024767F">
        <w:t xml:space="preserve"> concerned that there are not any workshops or camps that include the family</w:t>
      </w:r>
      <w:r w:rsidR="00F66028">
        <w:t>.</w:t>
      </w:r>
    </w:p>
    <w:p w14:paraId="5651C045" w14:textId="77777777" w:rsidR="00C454B5" w:rsidRPr="002F0E3F" w:rsidRDefault="00F921D0" w:rsidP="009C588B">
      <w:pPr>
        <w:pStyle w:val="Heading3"/>
        <w:spacing w:after="240"/>
        <w:rPr>
          <w:b w:val="0"/>
        </w:rPr>
      </w:pPr>
      <w:bookmarkStart w:id="212" w:name="_Toc188361347"/>
      <w:r w:rsidRPr="002F0E3F">
        <w:rPr>
          <w:b w:val="0"/>
        </w:rPr>
        <w:t>Student Engagement</w:t>
      </w:r>
      <w:bookmarkEnd w:id="212"/>
    </w:p>
    <w:p w14:paraId="194A04B0" w14:textId="20AC9406" w:rsidR="00F921D0" w:rsidRPr="002F0E3F" w:rsidRDefault="00F921D0" w:rsidP="009C588B">
      <w:pPr>
        <w:spacing w:after="240"/>
        <w:rPr>
          <w:rFonts w:cs="Arial"/>
        </w:rPr>
      </w:pPr>
      <w:r w:rsidRPr="002F0E3F">
        <w:rPr>
          <w:rFonts w:cs="Arial"/>
        </w:rPr>
        <w:t xml:space="preserve">Theme: </w:t>
      </w:r>
      <w:r w:rsidR="00B04D01">
        <w:rPr>
          <w:rFonts w:cs="Arial"/>
        </w:rPr>
        <w:t>Attendance</w:t>
      </w:r>
    </w:p>
    <w:p w14:paraId="1F866AD6" w14:textId="57E3F0FF" w:rsidR="004A3A15" w:rsidRPr="007632A8" w:rsidRDefault="00F921D0" w:rsidP="009C588B">
      <w:pPr>
        <w:pStyle w:val="ListParagraph"/>
        <w:numPr>
          <w:ilvl w:val="0"/>
          <w:numId w:val="41"/>
        </w:numPr>
        <w:spacing w:after="240"/>
        <w:contextualSpacing w:val="0"/>
        <w:rPr>
          <w:rFonts w:ascii="Calibri" w:hAnsi="Calibri"/>
        </w:rPr>
      </w:pPr>
      <w:r w:rsidRPr="002F0E3F">
        <w:rPr>
          <w:rFonts w:cs="Arial"/>
        </w:rPr>
        <w:t xml:space="preserve">We are concerned that </w:t>
      </w:r>
      <w:r w:rsidR="007632A8">
        <w:rPr>
          <w:rFonts w:cs="Arial"/>
        </w:rPr>
        <w:t>68</w:t>
      </w:r>
      <w:r w:rsidR="003B1A44">
        <w:t> </w:t>
      </w:r>
      <w:r w:rsidR="007632A8">
        <w:rPr>
          <w:rFonts w:cs="Arial"/>
        </w:rPr>
        <w:t xml:space="preserve">percent of MEP </w:t>
      </w:r>
      <w:r w:rsidR="00F66028">
        <w:rPr>
          <w:rFonts w:cs="Arial"/>
        </w:rPr>
        <w:t>k</w:t>
      </w:r>
      <w:r w:rsidR="009C588B">
        <w:rPr>
          <w:rFonts w:cs="Arial"/>
        </w:rPr>
        <w:t>indergarten through grade three</w:t>
      </w:r>
      <w:r w:rsidR="007632A8">
        <w:rPr>
          <w:rFonts w:cs="Arial"/>
        </w:rPr>
        <w:t xml:space="preserve"> students scoring below proficiency in ELA are not attending MEP services during the regular school year.</w:t>
      </w:r>
    </w:p>
    <w:p w14:paraId="1717BAB3" w14:textId="468757F4" w:rsidR="003026CD" w:rsidRPr="003B1A44" w:rsidRDefault="007632A8" w:rsidP="009C588B">
      <w:pPr>
        <w:pStyle w:val="ListParagraph"/>
        <w:numPr>
          <w:ilvl w:val="0"/>
          <w:numId w:val="41"/>
        </w:numPr>
        <w:spacing w:after="240"/>
        <w:contextualSpacing w:val="0"/>
        <w:rPr>
          <w:rFonts w:cs="Arial"/>
        </w:rPr>
      </w:pPr>
      <w:r>
        <w:rPr>
          <w:rFonts w:cs="Arial"/>
        </w:rPr>
        <w:t>We are concerned that 89</w:t>
      </w:r>
      <w:r w:rsidR="003B1A44">
        <w:t> </w:t>
      </w:r>
      <w:r>
        <w:rPr>
          <w:rFonts w:cs="Arial"/>
        </w:rPr>
        <w:t xml:space="preserve">percent of </w:t>
      </w:r>
      <w:r w:rsidR="00C071A9">
        <w:rPr>
          <w:rFonts w:cs="Arial"/>
        </w:rPr>
        <w:t>ninth</w:t>
      </w:r>
      <w:r>
        <w:rPr>
          <w:rFonts w:cs="Arial"/>
        </w:rPr>
        <w:t xml:space="preserve"> and </w:t>
      </w:r>
      <w:r w:rsidR="00C071A9">
        <w:rPr>
          <w:rFonts w:cs="Arial"/>
        </w:rPr>
        <w:t xml:space="preserve">tenth </w:t>
      </w:r>
      <w:r>
        <w:rPr>
          <w:rFonts w:cs="Arial"/>
        </w:rPr>
        <w:t>graders</w:t>
      </w:r>
      <w:r w:rsidR="003026CD">
        <w:rPr>
          <w:rFonts w:cs="Arial"/>
        </w:rPr>
        <w:t xml:space="preserve"> (who </w:t>
      </w:r>
      <w:r w:rsidR="00C071A9">
        <w:rPr>
          <w:rFonts w:cs="Arial"/>
        </w:rPr>
        <w:t>scored</w:t>
      </w:r>
      <w:r w:rsidR="003026CD">
        <w:rPr>
          <w:rFonts w:cs="Arial"/>
        </w:rPr>
        <w:t xml:space="preserve"> </w:t>
      </w:r>
      <w:r w:rsidR="00C071A9">
        <w:rPr>
          <w:rFonts w:cs="Arial"/>
        </w:rPr>
        <w:t>below</w:t>
      </w:r>
      <w:r w:rsidR="00A32ADA">
        <w:rPr>
          <w:rFonts w:cs="Arial"/>
        </w:rPr>
        <w:t xml:space="preserve"> </w:t>
      </w:r>
      <w:r w:rsidR="00C071A9">
        <w:rPr>
          <w:rFonts w:cs="Arial"/>
        </w:rPr>
        <w:t>s</w:t>
      </w:r>
      <w:r w:rsidR="00A32ADA">
        <w:rPr>
          <w:rFonts w:cs="Arial"/>
        </w:rPr>
        <w:t>tandard</w:t>
      </w:r>
      <w:r w:rsidR="003026CD">
        <w:rPr>
          <w:rFonts w:cs="Arial"/>
        </w:rPr>
        <w:t xml:space="preserve"> in ELA)</w:t>
      </w:r>
      <w:r>
        <w:rPr>
          <w:rFonts w:cs="Arial"/>
        </w:rPr>
        <w:t xml:space="preserve"> did not participate in a</w:t>
      </w:r>
      <w:r w:rsidR="003026CD">
        <w:rPr>
          <w:rFonts w:cs="Arial"/>
        </w:rPr>
        <w:t>n ELA</w:t>
      </w:r>
      <w:r>
        <w:rPr>
          <w:rFonts w:cs="Arial"/>
        </w:rPr>
        <w:t xml:space="preserve"> regular school year service.</w:t>
      </w:r>
      <w:r w:rsidR="003026CD" w:rsidRPr="003026CD">
        <w:rPr>
          <w:rFonts w:cs="Arial"/>
        </w:rPr>
        <w:t xml:space="preserve"> </w:t>
      </w:r>
      <w:r w:rsidR="003026CD">
        <w:rPr>
          <w:rFonts w:cs="Arial"/>
        </w:rPr>
        <w:t>We are concerned that 95</w:t>
      </w:r>
      <w:r w:rsidR="003B1A44">
        <w:t> </w:t>
      </w:r>
      <w:r w:rsidR="003026CD">
        <w:rPr>
          <w:rFonts w:cs="Arial"/>
        </w:rPr>
        <w:t xml:space="preserve">percent of </w:t>
      </w:r>
      <w:r w:rsidR="00A313C7">
        <w:rPr>
          <w:rFonts w:cs="Arial"/>
        </w:rPr>
        <w:t>ninth</w:t>
      </w:r>
      <w:r w:rsidR="003026CD">
        <w:rPr>
          <w:rFonts w:cs="Arial"/>
        </w:rPr>
        <w:t xml:space="preserve"> and </w:t>
      </w:r>
      <w:r w:rsidR="00A313C7">
        <w:rPr>
          <w:rFonts w:cs="Arial"/>
        </w:rPr>
        <w:t>tenth</w:t>
      </w:r>
      <w:r w:rsidR="003026CD">
        <w:rPr>
          <w:rFonts w:cs="Arial"/>
        </w:rPr>
        <w:t xml:space="preserve"> graders (who </w:t>
      </w:r>
      <w:r w:rsidR="00C071A9">
        <w:rPr>
          <w:rFonts w:cs="Arial"/>
        </w:rPr>
        <w:t>scored below s</w:t>
      </w:r>
      <w:r w:rsidR="00A32ADA">
        <w:rPr>
          <w:rFonts w:cs="Arial"/>
        </w:rPr>
        <w:t>tandard</w:t>
      </w:r>
      <w:r w:rsidR="003026CD">
        <w:rPr>
          <w:rFonts w:cs="Arial"/>
        </w:rPr>
        <w:t xml:space="preserve"> in math) </w:t>
      </w:r>
      <w:r w:rsidR="003026CD" w:rsidRPr="003B1A44">
        <w:rPr>
          <w:rFonts w:cs="Arial"/>
        </w:rPr>
        <w:t>did not participate in a math service during the regular school year.</w:t>
      </w:r>
    </w:p>
    <w:p w14:paraId="11A6C0C1" w14:textId="77777777" w:rsidR="00F66028" w:rsidRPr="003B1A44" w:rsidRDefault="00F66028" w:rsidP="00F66028">
      <w:pPr>
        <w:pStyle w:val="ListParagraph"/>
        <w:numPr>
          <w:ilvl w:val="0"/>
          <w:numId w:val="41"/>
        </w:numPr>
        <w:spacing w:after="240"/>
        <w:contextualSpacing w:val="0"/>
        <w:rPr>
          <w:rFonts w:cs="Arial"/>
        </w:rPr>
      </w:pPr>
      <w:r w:rsidRPr="003B1A44">
        <w:rPr>
          <w:rFonts w:cs="Arial"/>
        </w:rPr>
        <w:t>We are concerned 43</w:t>
      </w:r>
      <w:r>
        <w:t> </w:t>
      </w:r>
      <w:r w:rsidRPr="003B1A44">
        <w:rPr>
          <w:rFonts w:cs="Arial"/>
        </w:rPr>
        <w:t>percent of four-year-old students are served by MEP services.</w:t>
      </w:r>
    </w:p>
    <w:p w14:paraId="5CC2C9F6" w14:textId="77777777" w:rsidR="00F66028" w:rsidRDefault="00F66028" w:rsidP="00F66028">
      <w:pPr>
        <w:pStyle w:val="ListParagraph"/>
        <w:numPr>
          <w:ilvl w:val="0"/>
          <w:numId w:val="41"/>
        </w:numPr>
        <w:spacing w:after="240"/>
        <w:contextualSpacing w:val="0"/>
        <w:rPr>
          <w:rFonts w:cs="Arial"/>
        </w:rPr>
      </w:pPr>
      <w:r w:rsidRPr="003B1A44">
        <w:rPr>
          <w:rFonts w:cs="Arial"/>
        </w:rPr>
        <w:t xml:space="preserve">We are concerned high school students are scoring </w:t>
      </w:r>
      <w:r>
        <w:rPr>
          <w:rFonts w:cs="Arial"/>
        </w:rPr>
        <w:t>below standard</w:t>
      </w:r>
      <w:r w:rsidRPr="003B1A44">
        <w:rPr>
          <w:rFonts w:cs="Arial"/>
        </w:rPr>
        <w:t xml:space="preserve"> in ELA and math and that they are not participating in larger numbers in regular school year services.</w:t>
      </w:r>
    </w:p>
    <w:p w14:paraId="77699182" w14:textId="74EFB965" w:rsidR="00F66028" w:rsidRPr="00F66028" w:rsidRDefault="00F66028" w:rsidP="00F66028">
      <w:pPr>
        <w:spacing w:after="240"/>
        <w:rPr>
          <w:rFonts w:cs="Arial"/>
        </w:rPr>
      </w:pPr>
      <w:r>
        <w:rPr>
          <w:rFonts w:cs="Arial"/>
        </w:rPr>
        <w:t>Theme: Students’ Feelings about Meaningful Participation and Suicidal Ideation</w:t>
      </w:r>
    </w:p>
    <w:p w14:paraId="69DF71D1" w14:textId="2FBF61B0" w:rsidR="007632A8" w:rsidRPr="003B1A44" w:rsidRDefault="00CC767E" w:rsidP="009C588B">
      <w:pPr>
        <w:pStyle w:val="ListParagraph"/>
        <w:numPr>
          <w:ilvl w:val="0"/>
          <w:numId w:val="41"/>
        </w:numPr>
        <w:spacing w:after="240"/>
        <w:contextualSpacing w:val="0"/>
        <w:rPr>
          <w:rFonts w:cs="Arial"/>
        </w:rPr>
      </w:pPr>
      <w:r w:rsidRPr="003B1A44">
        <w:rPr>
          <w:rFonts w:cs="Arial"/>
        </w:rPr>
        <w:t>We are concerned that only 45</w:t>
      </w:r>
      <w:r w:rsidR="003B1A44" w:rsidRPr="003B1A44">
        <w:rPr>
          <w:rFonts w:cs="Arial"/>
        </w:rPr>
        <w:t> </w:t>
      </w:r>
      <w:r w:rsidRPr="003B1A44">
        <w:rPr>
          <w:rFonts w:cs="Arial"/>
        </w:rPr>
        <w:t>percent of elementary and 23</w:t>
      </w:r>
      <w:r w:rsidR="003B1A44">
        <w:t> </w:t>
      </w:r>
      <w:r w:rsidRPr="003B1A44">
        <w:rPr>
          <w:rFonts w:cs="Arial"/>
        </w:rPr>
        <w:t xml:space="preserve">percent of high school students indicated they experience meaningful participation in school. </w:t>
      </w:r>
    </w:p>
    <w:p w14:paraId="02CEEC44" w14:textId="6DB9BD93" w:rsidR="00004735" w:rsidRPr="00004735" w:rsidRDefault="00CC767E" w:rsidP="00CC3755">
      <w:pPr>
        <w:pStyle w:val="ListParagraph"/>
        <w:numPr>
          <w:ilvl w:val="0"/>
          <w:numId w:val="41"/>
        </w:numPr>
        <w:spacing w:after="240"/>
        <w:contextualSpacing w:val="0"/>
        <w:rPr>
          <w:rFonts w:eastAsia="Times New Roman"/>
          <w:sz w:val="32"/>
        </w:rPr>
      </w:pPr>
      <w:r w:rsidRPr="00004735">
        <w:rPr>
          <w:rFonts w:cs="Arial"/>
        </w:rPr>
        <w:t xml:space="preserve">We are concerned that the suicide rates for students </w:t>
      </w:r>
      <w:r w:rsidR="00F8556E" w:rsidRPr="00004735">
        <w:rPr>
          <w:rFonts w:cs="Arial"/>
        </w:rPr>
        <w:t>are</w:t>
      </w:r>
      <w:r w:rsidRPr="00004735">
        <w:rPr>
          <w:rFonts w:cs="Arial"/>
        </w:rPr>
        <w:t xml:space="preserve"> between 13 and 16</w:t>
      </w:r>
      <w:r w:rsidR="003B1A44">
        <w:t> </w:t>
      </w:r>
      <w:r w:rsidRPr="00004735">
        <w:rPr>
          <w:rFonts w:cs="Arial"/>
        </w:rPr>
        <w:t xml:space="preserve">percent for </w:t>
      </w:r>
      <w:r w:rsidR="00E8700C" w:rsidRPr="00004735">
        <w:rPr>
          <w:rFonts w:cs="Arial"/>
        </w:rPr>
        <w:t>K–12</w:t>
      </w:r>
      <w:r w:rsidRPr="00004735">
        <w:rPr>
          <w:rFonts w:cs="Arial"/>
        </w:rPr>
        <w:t xml:space="preserve"> students.</w:t>
      </w:r>
      <w:r w:rsidR="00004735" w:rsidRPr="00004735">
        <w:rPr>
          <w:b/>
        </w:rPr>
        <w:br w:type="page"/>
      </w:r>
    </w:p>
    <w:p w14:paraId="055C792E" w14:textId="3A1CED78" w:rsidR="00097426" w:rsidRDefault="00097426" w:rsidP="009C588B">
      <w:pPr>
        <w:pStyle w:val="Heading3"/>
        <w:spacing w:after="240"/>
        <w:rPr>
          <w:b w:val="0"/>
        </w:rPr>
      </w:pPr>
      <w:bookmarkStart w:id="213" w:name="_Toc188361348"/>
      <w:r w:rsidRPr="002F0E3F">
        <w:rPr>
          <w:b w:val="0"/>
        </w:rPr>
        <w:lastRenderedPageBreak/>
        <w:t>S</w:t>
      </w:r>
      <w:r>
        <w:rPr>
          <w:b w:val="0"/>
        </w:rPr>
        <w:t>ocial and Emotional Learning</w:t>
      </w:r>
      <w:bookmarkEnd w:id="213"/>
    </w:p>
    <w:p w14:paraId="7CFA2678" w14:textId="3A1AE80D" w:rsidR="00CE2820" w:rsidRPr="00CE2820" w:rsidRDefault="00CE2820" w:rsidP="00CE2820">
      <w:pPr>
        <w:tabs>
          <w:tab w:val="left" w:pos="720"/>
        </w:tabs>
        <w:autoSpaceDE w:val="0"/>
        <w:autoSpaceDN w:val="0"/>
        <w:adjustRightInd w:val="0"/>
        <w:spacing w:after="240"/>
        <w:rPr>
          <w:rFonts w:cs="Arial"/>
        </w:rPr>
      </w:pPr>
      <w:r>
        <w:rPr>
          <w:rFonts w:cs="Arial"/>
        </w:rPr>
        <w:t xml:space="preserve">Theme: </w:t>
      </w:r>
      <w:r w:rsidR="00B04D01">
        <w:rPr>
          <w:rFonts w:cs="Arial"/>
        </w:rPr>
        <w:t>Need to Address SEL</w:t>
      </w:r>
    </w:p>
    <w:p w14:paraId="11A82FE1" w14:textId="15446C44" w:rsidR="00AD57D2" w:rsidRPr="00AD57D2" w:rsidRDefault="00F66028" w:rsidP="009C588B">
      <w:pPr>
        <w:pStyle w:val="ListParagraph"/>
        <w:numPr>
          <w:ilvl w:val="0"/>
          <w:numId w:val="62"/>
        </w:numPr>
        <w:tabs>
          <w:tab w:val="left" w:pos="720"/>
        </w:tabs>
        <w:autoSpaceDE w:val="0"/>
        <w:autoSpaceDN w:val="0"/>
        <w:adjustRightInd w:val="0"/>
        <w:spacing w:after="240"/>
        <w:contextualSpacing w:val="0"/>
        <w:rPr>
          <w:rFonts w:cs="Arial"/>
        </w:rPr>
      </w:pPr>
      <w:r w:rsidRPr="003B1A44">
        <w:rPr>
          <w:rFonts w:cs="Arial"/>
        </w:rPr>
        <w:t>We are</w:t>
      </w:r>
      <w:r w:rsidR="00AD57D2" w:rsidRPr="00AD57D2">
        <w:rPr>
          <w:rFonts w:cs="Arial"/>
        </w:rPr>
        <w:t xml:space="preserve"> concerned that MEP students are not feeling connected to school as demonstrated by a 22</w:t>
      </w:r>
      <w:r w:rsidR="00AD57D2">
        <w:t> </w:t>
      </w:r>
      <w:r w:rsidR="00AD57D2">
        <w:rPr>
          <w:rFonts w:cs="Arial"/>
        </w:rPr>
        <w:t>percent</w:t>
      </w:r>
      <w:r w:rsidR="00AD57D2" w:rsidRPr="00AD57D2">
        <w:rPr>
          <w:rFonts w:cs="Arial"/>
        </w:rPr>
        <w:t xml:space="preserve"> absentee rate.</w:t>
      </w:r>
    </w:p>
    <w:p w14:paraId="7C41834E" w14:textId="13367A85" w:rsidR="00AD57D2" w:rsidRPr="00AD57D2" w:rsidRDefault="00F66028" w:rsidP="009C588B">
      <w:pPr>
        <w:pStyle w:val="ListParagraph"/>
        <w:numPr>
          <w:ilvl w:val="0"/>
          <w:numId w:val="62"/>
        </w:numPr>
        <w:tabs>
          <w:tab w:val="left" w:pos="720"/>
        </w:tabs>
        <w:autoSpaceDE w:val="0"/>
        <w:autoSpaceDN w:val="0"/>
        <w:adjustRightInd w:val="0"/>
        <w:spacing w:after="240"/>
        <w:contextualSpacing w:val="0"/>
        <w:rPr>
          <w:rFonts w:cs="Arial"/>
        </w:rPr>
      </w:pPr>
      <w:r w:rsidRPr="003B1A44">
        <w:rPr>
          <w:rFonts w:cs="Arial"/>
        </w:rPr>
        <w:t>We ar</w:t>
      </w:r>
      <w:r>
        <w:rPr>
          <w:rFonts w:cs="Arial"/>
        </w:rPr>
        <w:t>e</w:t>
      </w:r>
      <w:r w:rsidR="00AD57D2" w:rsidRPr="00AD57D2">
        <w:rPr>
          <w:rFonts w:cs="Arial"/>
        </w:rPr>
        <w:t xml:space="preserve"> concerned that MEP students do not regularly feel their voices elevated, experience agency, belonging or self-confidence.</w:t>
      </w:r>
    </w:p>
    <w:p w14:paraId="69AFB847" w14:textId="66BABE9B" w:rsidR="00AD57D2" w:rsidRPr="00AD57D2" w:rsidRDefault="00F66028" w:rsidP="009C588B">
      <w:pPr>
        <w:pStyle w:val="ListParagraph"/>
        <w:numPr>
          <w:ilvl w:val="0"/>
          <w:numId w:val="62"/>
        </w:numPr>
        <w:spacing w:after="240"/>
        <w:contextualSpacing w:val="0"/>
        <w:rPr>
          <w:rFonts w:cs="Arial"/>
        </w:rPr>
      </w:pPr>
      <w:r w:rsidRPr="003B1A44">
        <w:rPr>
          <w:rFonts w:cs="Arial"/>
        </w:rPr>
        <w:t>We are</w:t>
      </w:r>
      <w:r w:rsidRPr="00AD57D2">
        <w:rPr>
          <w:rFonts w:cs="Arial"/>
        </w:rPr>
        <w:t xml:space="preserve"> </w:t>
      </w:r>
      <w:r w:rsidR="00AD57D2" w:rsidRPr="00AD57D2">
        <w:rPr>
          <w:rFonts w:cs="Arial"/>
        </w:rPr>
        <w:t>concerned that an average 82.3</w:t>
      </w:r>
      <w:r w:rsidR="00AD57D2">
        <w:t> </w:t>
      </w:r>
      <w:r w:rsidR="00AD57D2">
        <w:rPr>
          <w:rFonts w:cs="Arial"/>
        </w:rPr>
        <w:t>percent</w:t>
      </w:r>
      <w:r w:rsidR="00AD57D2" w:rsidRPr="00AD57D2">
        <w:rPr>
          <w:rFonts w:cs="Arial"/>
        </w:rPr>
        <w:t xml:space="preserve"> of parents of </w:t>
      </w:r>
      <w:proofErr w:type="gramStart"/>
      <w:r w:rsidR="00AD57D2" w:rsidRPr="00AD57D2">
        <w:rPr>
          <w:rFonts w:cs="Arial"/>
        </w:rPr>
        <w:t>students</w:t>
      </w:r>
      <w:proofErr w:type="gramEnd"/>
      <w:r w:rsidR="00AD57D2" w:rsidRPr="00AD57D2">
        <w:rPr>
          <w:rFonts w:cs="Arial"/>
        </w:rPr>
        <w:t xml:space="preserve"> </w:t>
      </w:r>
      <w:r w:rsidR="00167888">
        <w:rPr>
          <w:rFonts w:cs="Arial"/>
        </w:rPr>
        <w:t>prekindergarten through grade twelve</w:t>
      </w:r>
      <w:r w:rsidR="00AD57D2" w:rsidRPr="00AD57D2">
        <w:rPr>
          <w:rFonts w:cs="Arial"/>
        </w:rPr>
        <w:t xml:space="preserve"> stated that SEL is a need.</w:t>
      </w:r>
    </w:p>
    <w:p w14:paraId="153D6359" w14:textId="58096D2A" w:rsidR="00AD57D2" w:rsidRPr="00AD57D2" w:rsidRDefault="00F66028" w:rsidP="009C588B">
      <w:pPr>
        <w:pStyle w:val="ListParagraph"/>
        <w:numPr>
          <w:ilvl w:val="0"/>
          <w:numId w:val="62"/>
        </w:numPr>
        <w:tabs>
          <w:tab w:val="left" w:pos="720"/>
        </w:tabs>
        <w:autoSpaceDE w:val="0"/>
        <w:autoSpaceDN w:val="0"/>
        <w:adjustRightInd w:val="0"/>
        <w:spacing w:after="240"/>
        <w:contextualSpacing w:val="0"/>
        <w:rPr>
          <w:rFonts w:cs="Arial"/>
        </w:rPr>
      </w:pPr>
      <w:r w:rsidRPr="003B1A44">
        <w:rPr>
          <w:rFonts w:cs="Arial"/>
        </w:rPr>
        <w:t>We are</w:t>
      </w:r>
      <w:r w:rsidR="00AD57D2" w:rsidRPr="00AD57D2">
        <w:rPr>
          <w:rFonts w:cs="Arial"/>
        </w:rPr>
        <w:t xml:space="preserve"> concerned that migratory students do not feel like their voices are elevated, </w:t>
      </w:r>
      <w:r w:rsidR="00F96E15">
        <w:rPr>
          <w:rFonts w:cs="Arial"/>
        </w:rPr>
        <w:t xml:space="preserve">[they have a] </w:t>
      </w:r>
      <w:r w:rsidR="00AD57D2" w:rsidRPr="00AD57D2">
        <w:rPr>
          <w:rFonts w:cs="Arial"/>
        </w:rPr>
        <w:t>sense of agency, and</w:t>
      </w:r>
      <w:r w:rsidR="00F96E15">
        <w:rPr>
          <w:rFonts w:cs="Arial"/>
        </w:rPr>
        <w:t xml:space="preserve"> [they lack]</w:t>
      </w:r>
      <w:r w:rsidR="00AD57D2" w:rsidRPr="00AD57D2">
        <w:rPr>
          <w:rFonts w:cs="Arial"/>
        </w:rPr>
        <w:t xml:space="preserve"> confidence.</w:t>
      </w:r>
    </w:p>
    <w:p w14:paraId="6F1901DB" w14:textId="1AECAF85" w:rsidR="00AD57D2" w:rsidRPr="00AD57D2" w:rsidRDefault="00F66028" w:rsidP="009C588B">
      <w:pPr>
        <w:pStyle w:val="ListParagraph"/>
        <w:numPr>
          <w:ilvl w:val="0"/>
          <w:numId w:val="62"/>
        </w:numPr>
        <w:tabs>
          <w:tab w:val="left" w:pos="720"/>
        </w:tabs>
        <w:autoSpaceDE w:val="0"/>
        <w:autoSpaceDN w:val="0"/>
        <w:adjustRightInd w:val="0"/>
        <w:spacing w:after="240"/>
        <w:contextualSpacing w:val="0"/>
        <w:rPr>
          <w:rFonts w:cs="Arial"/>
        </w:rPr>
      </w:pPr>
      <w:r>
        <w:rPr>
          <w:rFonts w:cs="Arial"/>
        </w:rPr>
        <w:t xml:space="preserve">We are </w:t>
      </w:r>
      <w:r w:rsidR="00AD57D2" w:rsidRPr="00AD57D2">
        <w:rPr>
          <w:rFonts w:cs="Arial"/>
        </w:rPr>
        <w:t>concerned that MEP parents are not receiving enough SEL workshops to empower them at home and school.</w:t>
      </w:r>
    </w:p>
    <w:p w14:paraId="3359CCDF" w14:textId="04A87938" w:rsidR="00AD57D2" w:rsidRDefault="00AD57D2" w:rsidP="009C588B">
      <w:pPr>
        <w:pStyle w:val="ListParagraph"/>
        <w:numPr>
          <w:ilvl w:val="0"/>
          <w:numId w:val="62"/>
        </w:numPr>
        <w:tabs>
          <w:tab w:val="left" w:pos="720"/>
        </w:tabs>
        <w:autoSpaceDE w:val="0"/>
        <w:autoSpaceDN w:val="0"/>
        <w:adjustRightInd w:val="0"/>
        <w:spacing w:after="240"/>
        <w:contextualSpacing w:val="0"/>
        <w:rPr>
          <w:rFonts w:cs="Arial"/>
        </w:rPr>
      </w:pPr>
      <w:r w:rsidRPr="00AD57D2">
        <w:rPr>
          <w:rFonts w:cs="Arial"/>
        </w:rPr>
        <w:t>I am concerned that only 80</w:t>
      </w:r>
      <w:r w:rsidR="00075954">
        <w:t> </w:t>
      </w:r>
      <w:r>
        <w:rPr>
          <w:rFonts w:cs="Arial"/>
        </w:rPr>
        <w:t>percent</w:t>
      </w:r>
      <w:r w:rsidRPr="00AD57D2">
        <w:rPr>
          <w:rFonts w:cs="Arial"/>
        </w:rPr>
        <w:t xml:space="preserve"> of parents from </w:t>
      </w:r>
      <w:r w:rsidR="00167888">
        <w:rPr>
          <w:rFonts w:cs="Arial"/>
        </w:rPr>
        <w:t>prekindergarten through grade twelve</w:t>
      </w:r>
      <w:r w:rsidRPr="00AD57D2">
        <w:rPr>
          <w:rFonts w:cs="Arial"/>
        </w:rPr>
        <w:t xml:space="preserve"> are expressing </w:t>
      </w:r>
      <w:r>
        <w:rPr>
          <w:rFonts w:cs="Arial"/>
        </w:rPr>
        <w:t xml:space="preserve">a </w:t>
      </w:r>
      <w:r w:rsidRPr="00AD57D2">
        <w:rPr>
          <w:rFonts w:cs="Arial"/>
        </w:rPr>
        <w:t>need for SEL workshops.</w:t>
      </w:r>
    </w:p>
    <w:p w14:paraId="3252541A" w14:textId="6F0F4554" w:rsidR="00B04D01" w:rsidRPr="00B04D01" w:rsidRDefault="00B04D01" w:rsidP="00B04D01">
      <w:pPr>
        <w:pStyle w:val="ListParagraph"/>
        <w:numPr>
          <w:ilvl w:val="0"/>
          <w:numId w:val="62"/>
        </w:numPr>
        <w:tabs>
          <w:tab w:val="left" w:pos="720"/>
        </w:tabs>
        <w:autoSpaceDE w:val="0"/>
        <w:autoSpaceDN w:val="0"/>
        <w:adjustRightInd w:val="0"/>
        <w:spacing w:after="240"/>
        <w:contextualSpacing w:val="0"/>
        <w:rPr>
          <w:rFonts w:cs="Arial"/>
        </w:rPr>
      </w:pPr>
      <w:r>
        <w:rPr>
          <w:rFonts w:cs="Arial"/>
        </w:rPr>
        <w:t>We are</w:t>
      </w:r>
      <w:r w:rsidRPr="00AD57D2">
        <w:rPr>
          <w:rFonts w:cs="Arial"/>
        </w:rPr>
        <w:t xml:space="preserve"> concerned that there is </w:t>
      </w:r>
      <w:proofErr w:type="gramStart"/>
      <w:r w:rsidRPr="00AD57D2">
        <w:rPr>
          <w:rFonts w:cs="Arial"/>
        </w:rPr>
        <w:t>lack</w:t>
      </w:r>
      <w:proofErr w:type="gramEnd"/>
      <w:r w:rsidRPr="00AD57D2">
        <w:rPr>
          <w:rFonts w:cs="Arial"/>
        </w:rPr>
        <w:t xml:space="preserve"> of education for navigating resources and how to access them.</w:t>
      </w:r>
    </w:p>
    <w:p w14:paraId="4BEF7503" w14:textId="4CBE2552" w:rsidR="00B04D01" w:rsidRPr="00B04D01" w:rsidRDefault="00B04D01" w:rsidP="00B04D01">
      <w:pPr>
        <w:tabs>
          <w:tab w:val="left" w:pos="720"/>
        </w:tabs>
        <w:autoSpaceDE w:val="0"/>
        <w:autoSpaceDN w:val="0"/>
        <w:adjustRightInd w:val="0"/>
        <w:spacing w:after="240"/>
        <w:rPr>
          <w:rFonts w:cs="Arial"/>
        </w:rPr>
      </w:pPr>
      <w:r>
        <w:rPr>
          <w:rFonts w:cs="Arial"/>
        </w:rPr>
        <w:t xml:space="preserve">Theme: Staffing Shortages </w:t>
      </w:r>
    </w:p>
    <w:p w14:paraId="72469AAA" w14:textId="77777777" w:rsidR="00B04D01" w:rsidRPr="00AD57D2" w:rsidRDefault="00B04D01" w:rsidP="009A1ED0">
      <w:pPr>
        <w:pStyle w:val="ListParagraph"/>
        <w:numPr>
          <w:ilvl w:val="0"/>
          <w:numId w:val="62"/>
        </w:numPr>
        <w:tabs>
          <w:tab w:val="left" w:pos="720"/>
        </w:tabs>
        <w:autoSpaceDE w:val="0"/>
        <w:autoSpaceDN w:val="0"/>
        <w:adjustRightInd w:val="0"/>
        <w:spacing w:after="240"/>
        <w:contextualSpacing w:val="0"/>
        <w:rPr>
          <w:rFonts w:cs="Arial"/>
        </w:rPr>
      </w:pPr>
      <w:r>
        <w:rPr>
          <w:rFonts w:cs="Arial"/>
        </w:rPr>
        <w:t>We are</w:t>
      </w:r>
      <w:r w:rsidRPr="00AD57D2">
        <w:rPr>
          <w:rFonts w:cs="Arial"/>
        </w:rPr>
        <w:t xml:space="preserve"> concerned that there is not enough </w:t>
      </w:r>
      <w:proofErr w:type="gramStart"/>
      <w:r w:rsidRPr="00AD57D2">
        <w:rPr>
          <w:rFonts w:cs="Arial"/>
        </w:rPr>
        <w:t>staff capacity</w:t>
      </w:r>
      <w:proofErr w:type="gramEnd"/>
      <w:r w:rsidRPr="00AD57D2">
        <w:rPr>
          <w:rFonts w:cs="Arial"/>
        </w:rPr>
        <w:t xml:space="preserve"> to support SEL. </w:t>
      </w:r>
    </w:p>
    <w:p w14:paraId="1A13523C" w14:textId="778D9153" w:rsidR="00B04D01" w:rsidRPr="00B04D01" w:rsidRDefault="00B04D01" w:rsidP="000F057F">
      <w:pPr>
        <w:pStyle w:val="ListParagraph"/>
        <w:numPr>
          <w:ilvl w:val="0"/>
          <w:numId w:val="62"/>
        </w:numPr>
        <w:tabs>
          <w:tab w:val="left" w:pos="720"/>
        </w:tabs>
        <w:autoSpaceDE w:val="0"/>
        <w:autoSpaceDN w:val="0"/>
        <w:adjustRightInd w:val="0"/>
        <w:spacing w:after="240"/>
        <w:contextualSpacing w:val="0"/>
        <w:rPr>
          <w:rFonts w:cs="Arial"/>
        </w:rPr>
      </w:pPr>
      <w:r>
        <w:rPr>
          <w:rFonts w:cs="Arial"/>
        </w:rPr>
        <w:t>We are</w:t>
      </w:r>
      <w:r w:rsidRPr="00AD57D2">
        <w:rPr>
          <w:rFonts w:cs="Arial"/>
        </w:rPr>
        <w:t xml:space="preserve"> concerned about the lack of one-on-one time staff </w:t>
      </w:r>
      <w:proofErr w:type="gramStart"/>
      <w:r w:rsidRPr="00AD57D2">
        <w:rPr>
          <w:rFonts w:cs="Arial"/>
        </w:rPr>
        <w:t>ha</w:t>
      </w:r>
      <w:r>
        <w:rPr>
          <w:rFonts w:cs="Arial"/>
        </w:rPr>
        <w:t>ve</w:t>
      </w:r>
      <w:proofErr w:type="gramEnd"/>
      <w:r w:rsidRPr="00AD57D2">
        <w:rPr>
          <w:rFonts w:cs="Arial"/>
        </w:rPr>
        <w:t xml:space="preserve"> with students.</w:t>
      </w:r>
    </w:p>
    <w:p w14:paraId="5D3D6D59" w14:textId="28E74EC3" w:rsidR="00CE2820" w:rsidRPr="00CE2820" w:rsidRDefault="00B04D01" w:rsidP="00CE2820">
      <w:pPr>
        <w:tabs>
          <w:tab w:val="left" w:pos="720"/>
        </w:tabs>
        <w:autoSpaceDE w:val="0"/>
        <w:autoSpaceDN w:val="0"/>
        <w:adjustRightInd w:val="0"/>
        <w:spacing w:after="240"/>
        <w:rPr>
          <w:rFonts w:cs="Arial"/>
        </w:rPr>
      </w:pPr>
      <w:r>
        <w:rPr>
          <w:rFonts w:cs="Arial"/>
        </w:rPr>
        <w:t>Theme: Miscellaneous</w:t>
      </w:r>
    </w:p>
    <w:p w14:paraId="22F5EAC9" w14:textId="3920876C" w:rsidR="00CE2820" w:rsidRPr="00AD57D2" w:rsidRDefault="00CE2820" w:rsidP="00CE2820">
      <w:pPr>
        <w:pStyle w:val="ListParagraph"/>
        <w:numPr>
          <w:ilvl w:val="0"/>
          <w:numId w:val="62"/>
        </w:numPr>
        <w:tabs>
          <w:tab w:val="left" w:pos="720"/>
        </w:tabs>
        <w:autoSpaceDE w:val="0"/>
        <w:autoSpaceDN w:val="0"/>
        <w:adjustRightInd w:val="0"/>
        <w:spacing w:after="240"/>
        <w:contextualSpacing w:val="0"/>
        <w:rPr>
          <w:rFonts w:cs="Arial"/>
        </w:rPr>
      </w:pPr>
      <w:r>
        <w:rPr>
          <w:rFonts w:cs="Arial"/>
        </w:rPr>
        <w:t>We are</w:t>
      </w:r>
      <w:r w:rsidRPr="00AD57D2">
        <w:rPr>
          <w:rFonts w:cs="Arial"/>
        </w:rPr>
        <w:t xml:space="preserve"> concerned that 71</w:t>
      </w:r>
      <w:r>
        <w:t> </w:t>
      </w:r>
      <w:r>
        <w:rPr>
          <w:rFonts w:cs="Arial"/>
        </w:rPr>
        <w:t>percent</w:t>
      </w:r>
      <w:r w:rsidRPr="00AD57D2">
        <w:rPr>
          <w:rFonts w:cs="Arial"/>
        </w:rPr>
        <w:t xml:space="preserve"> of OSY have a </w:t>
      </w:r>
      <w:r w:rsidR="00F428AC">
        <w:rPr>
          <w:rFonts w:cs="Arial"/>
        </w:rPr>
        <w:t xml:space="preserve">scheduling </w:t>
      </w:r>
      <w:r w:rsidRPr="00AD57D2">
        <w:rPr>
          <w:rFonts w:cs="Arial"/>
        </w:rPr>
        <w:t>conflict between work and services we offer.</w:t>
      </w:r>
    </w:p>
    <w:p w14:paraId="4F3CE67A" w14:textId="77777777" w:rsidR="00CE2820" w:rsidRPr="00AD57D2" w:rsidRDefault="00CE2820" w:rsidP="00CE2820">
      <w:pPr>
        <w:pStyle w:val="ListParagraph"/>
        <w:numPr>
          <w:ilvl w:val="0"/>
          <w:numId w:val="62"/>
        </w:numPr>
        <w:tabs>
          <w:tab w:val="left" w:pos="720"/>
        </w:tabs>
        <w:autoSpaceDE w:val="0"/>
        <w:autoSpaceDN w:val="0"/>
        <w:adjustRightInd w:val="0"/>
        <w:spacing w:after="240"/>
        <w:contextualSpacing w:val="0"/>
        <w:rPr>
          <w:rFonts w:cs="Arial"/>
        </w:rPr>
      </w:pPr>
      <w:r w:rsidRPr="003B1A44">
        <w:rPr>
          <w:rFonts w:cs="Arial"/>
        </w:rPr>
        <w:t>We are</w:t>
      </w:r>
      <w:r w:rsidRPr="00AD57D2">
        <w:rPr>
          <w:rFonts w:cs="Arial"/>
        </w:rPr>
        <w:t xml:space="preserve"> concerned that 58</w:t>
      </w:r>
      <w:r>
        <w:t> </w:t>
      </w:r>
      <w:r>
        <w:rPr>
          <w:rFonts w:cs="Arial"/>
        </w:rPr>
        <w:t>percent</w:t>
      </w:r>
      <w:r w:rsidRPr="00AD57D2">
        <w:rPr>
          <w:rFonts w:cs="Arial"/>
        </w:rPr>
        <w:t xml:space="preserve"> of OSY need transportation to receive services.</w:t>
      </w:r>
    </w:p>
    <w:p w14:paraId="293D07DD" w14:textId="65055FF7" w:rsidR="00AD57D2" w:rsidRPr="00AD57D2" w:rsidRDefault="00B04D01" w:rsidP="009C588B">
      <w:pPr>
        <w:pStyle w:val="ListParagraph"/>
        <w:numPr>
          <w:ilvl w:val="0"/>
          <w:numId w:val="62"/>
        </w:numPr>
        <w:tabs>
          <w:tab w:val="left" w:pos="720"/>
        </w:tabs>
        <w:autoSpaceDE w:val="0"/>
        <w:autoSpaceDN w:val="0"/>
        <w:adjustRightInd w:val="0"/>
        <w:spacing w:after="240"/>
        <w:contextualSpacing w:val="0"/>
        <w:rPr>
          <w:rFonts w:cs="Arial"/>
        </w:rPr>
      </w:pPr>
      <w:r>
        <w:rPr>
          <w:rFonts w:cs="Arial"/>
        </w:rPr>
        <w:t>We are</w:t>
      </w:r>
      <w:r w:rsidR="00AD57D2" w:rsidRPr="00AD57D2">
        <w:rPr>
          <w:rFonts w:cs="Arial"/>
        </w:rPr>
        <w:t xml:space="preserve"> concerned about</w:t>
      </w:r>
      <w:r w:rsidR="00AD57D2">
        <w:rPr>
          <w:rFonts w:cs="Arial"/>
        </w:rPr>
        <w:t xml:space="preserve"> the</w:t>
      </w:r>
      <w:r w:rsidR="00AD57D2" w:rsidRPr="00AD57D2">
        <w:rPr>
          <w:rFonts w:cs="Arial"/>
        </w:rPr>
        <w:t xml:space="preserve"> lack of technology in rural areas and how availability of technology is </w:t>
      </w:r>
      <w:proofErr w:type="gramStart"/>
      <w:r w:rsidR="00AD57D2" w:rsidRPr="00AD57D2">
        <w:rPr>
          <w:rFonts w:cs="Arial"/>
        </w:rPr>
        <w:t>often times</w:t>
      </w:r>
      <w:proofErr w:type="gramEnd"/>
      <w:r w:rsidR="00AD57D2" w:rsidRPr="00AD57D2">
        <w:rPr>
          <w:rFonts w:cs="Arial"/>
        </w:rPr>
        <w:t xml:space="preserve"> compared to urban areas.</w:t>
      </w:r>
    </w:p>
    <w:sectPr w:rsidR="00AD57D2" w:rsidRPr="00AD57D2" w:rsidSect="00001CCF">
      <w:headerReference w:type="default" r:id="rId48"/>
      <w:footerReference w:type="even" r:id="rId49"/>
      <w:footerReference w:type="default" r:id="rId50"/>
      <w:footerReference w:type="first" r:id="rId5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792FD" w14:textId="77777777" w:rsidR="00660CD5" w:rsidRPr="002F0E3F" w:rsidRDefault="00660CD5" w:rsidP="00DA068D">
      <w:r w:rsidRPr="002F0E3F">
        <w:separator/>
      </w:r>
    </w:p>
  </w:endnote>
  <w:endnote w:type="continuationSeparator" w:id="0">
    <w:p w14:paraId="2B5618C2" w14:textId="77777777" w:rsidR="00660CD5" w:rsidRPr="002F0E3F" w:rsidRDefault="00660CD5" w:rsidP="00DA068D">
      <w:r w:rsidRPr="002F0E3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vert MT">
    <w:altName w:val="Calibri"/>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ceanSanMM">
    <w:altName w:val="Calibri"/>
    <w:panose1 w:val="00000000000000000000"/>
    <w:charset w:val="00"/>
    <w:family w:val="swiss"/>
    <w:notTrueType/>
    <w:pitch w:val="default"/>
    <w:sig w:usb0="00000003" w:usb1="00000000" w:usb2="00000000" w:usb3="00000000" w:csb0="00000001" w:csb1="00000000"/>
  </w:font>
  <w:font w:name="Book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9882" w14:textId="77777777" w:rsidR="008D74A1" w:rsidRPr="002F0E3F" w:rsidRDefault="008D74A1">
    <w:pPr>
      <w:pStyle w:val="Footer"/>
      <w:jc w:val="center"/>
    </w:pPr>
    <w:r w:rsidRPr="002F0E3F">
      <w:fldChar w:fldCharType="begin"/>
    </w:r>
    <w:r w:rsidRPr="002F0E3F">
      <w:instrText xml:space="preserve"> PAGE   \* MERGEFORMAT </w:instrText>
    </w:r>
    <w:r w:rsidRPr="002F0E3F">
      <w:fldChar w:fldCharType="separate"/>
    </w:r>
    <w:r w:rsidR="00806A04" w:rsidRPr="002F0E3F">
      <w:t>ix</w:t>
    </w:r>
    <w:r w:rsidRPr="002F0E3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7FF10" w14:textId="77777777" w:rsidR="008D74A1" w:rsidRPr="002F0E3F" w:rsidRDefault="008D74A1" w:rsidP="0033179C">
    <w:pPr>
      <w:pStyle w:val="Footer"/>
      <w:framePr w:wrap="none" w:vAnchor="text" w:hAnchor="margin" w:xAlign="center" w:y="1"/>
      <w:rPr>
        <w:rStyle w:val="PageNumber"/>
      </w:rPr>
    </w:pPr>
    <w:r w:rsidRPr="002F0E3F">
      <w:rPr>
        <w:rStyle w:val="PageNumber"/>
      </w:rPr>
      <w:fldChar w:fldCharType="begin"/>
    </w:r>
    <w:r w:rsidRPr="002F0E3F">
      <w:rPr>
        <w:rStyle w:val="PageNumber"/>
      </w:rPr>
      <w:instrText xml:space="preserve">PAGE  </w:instrText>
    </w:r>
    <w:r w:rsidRPr="002F0E3F">
      <w:rPr>
        <w:rStyle w:val="PageNumber"/>
      </w:rPr>
      <w:fldChar w:fldCharType="end"/>
    </w:r>
  </w:p>
  <w:p w14:paraId="53B11873" w14:textId="77777777" w:rsidR="008D74A1" w:rsidRPr="002F0E3F" w:rsidRDefault="008D7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4AA5D" w14:textId="77777777" w:rsidR="008D74A1" w:rsidRPr="002F0E3F" w:rsidRDefault="008D74A1" w:rsidP="0033179C">
    <w:pPr>
      <w:pStyle w:val="Footer"/>
      <w:framePr w:wrap="none" w:vAnchor="text" w:hAnchor="margin" w:xAlign="center" w:y="1"/>
      <w:rPr>
        <w:rStyle w:val="PageNumber"/>
        <w:rFonts w:cs="Arial"/>
      </w:rPr>
    </w:pPr>
    <w:r w:rsidRPr="002F0E3F">
      <w:rPr>
        <w:rStyle w:val="PageNumber"/>
        <w:rFonts w:cs="Arial"/>
      </w:rPr>
      <w:fldChar w:fldCharType="begin"/>
    </w:r>
    <w:r w:rsidRPr="002F0E3F">
      <w:rPr>
        <w:rStyle w:val="PageNumber"/>
        <w:rFonts w:cs="Arial"/>
      </w:rPr>
      <w:instrText xml:space="preserve">PAGE  </w:instrText>
    </w:r>
    <w:r w:rsidRPr="002F0E3F">
      <w:rPr>
        <w:rStyle w:val="PageNumber"/>
        <w:rFonts w:cs="Arial"/>
      </w:rPr>
      <w:fldChar w:fldCharType="separate"/>
    </w:r>
    <w:r w:rsidR="00806A04" w:rsidRPr="002F0E3F">
      <w:rPr>
        <w:rStyle w:val="PageNumber"/>
        <w:rFonts w:cs="Arial"/>
      </w:rPr>
      <w:t>11</w:t>
    </w:r>
    <w:r w:rsidRPr="002F0E3F">
      <w:rPr>
        <w:rStyle w:val="PageNumber"/>
        <w:rFonts w:cs="Arial"/>
      </w:rPr>
      <w:fldChar w:fldCharType="end"/>
    </w:r>
  </w:p>
  <w:p w14:paraId="7BA87C56" w14:textId="77777777" w:rsidR="008D74A1" w:rsidRPr="002F0E3F" w:rsidRDefault="008D74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EBF4" w14:textId="77777777" w:rsidR="008D74A1" w:rsidRPr="002F0E3F" w:rsidRDefault="008D74A1">
    <w:pPr>
      <w:pStyle w:val="Footer"/>
      <w:jc w:val="center"/>
    </w:pPr>
    <w:r w:rsidRPr="002F0E3F">
      <w:fldChar w:fldCharType="begin"/>
    </w:r>
    <w:r w:rsidRPr="002F0E3F">
      <w:instrText xml:space="preserve"> PAGE   \* MERGEFORMAT </w:instrText>
    </w:r>
    <w:r w:rsidRPr="002F0E3F">
      <w:fldChar w:fldCharType="separate"/>
    </w:r>
    <w:r w:rsidR="00806A04" w:rsidRPr="002F0E3F">
      <w:t>1</w:t>
    </w:r>
    <w:r w:rsidRPr="002F0E3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9ED95" w14:textId="77777777" w:rsidR="00660CD5" w:rsidRPr="002F0E3F" w:rsidRDefault="00660CD5" w:rsidP="00DA068D">
      <w:r w:rsidRPr="002F0E3F">
        <w:separator/>
      </w:r>
    </w:p>
  </w:footnote>
  <w:footnote w:type="continuationSeparator" w:id="0">
    <w:p w14:paraId="222365D1" w14:textId="77777777" w:rsidR="00660CD5" w:rsidRPr="002F0E3F" w:rsidRDefault="00660CD5" w:rsidP="00DA068D">
      <w:r w:rsidRPr="002F0E3F">
        <w:continuationSeparator/>
      </w:r>
    </w:p>
  </w:footnote>
  <w:footnote w:id="1">
    <w:p w14:paraId="7ACA079E" w14:textId="125C8FED" w:rsidR="008D74A1" w:rsidRPr="00E77FA2" w:rsidRDefault="008D74A1">
      <w:pPr>
        <w:pStyle w:val="FootnoteText"/>
        <w:rPr>
          <w:rFonts w:ascii="Arial" w:hAnsi="Arial" w:cs="Arial"/>
        </w:rPr>
      </w:pPr>
      <w:r w:rsidRPr="00E77FA2">
        <w:rPr>
          <w:rStyle w:val="FootnoteReference"/>
          <w:rFonts w:ascii="Arial" w:hAnsi="Arial" w:cs="Arial"/>
        </w:rPr>
        <w:footnoteRef/>
      </w:r>
      <w:r w:rsidRPr="00E77FA2">
        <w:rPr>
          <w:rFonts w:ascii="Arial" w:hAnsi="Arial" w:cs="Arial"/>
        </w:rPr>
        <w:t xml:space="preserve"> California Department of Food and Agriculture. 2015. </w:t>
      </w:r>
      <w:hyperlink r:id="rId1" w:history="1">
        <w:r w:rsidR="00066268">
          <w:rPr>
            <w:rStyle w:val="Hyperlink"/>
            <w:rFonts w:ascii="Arial" w:hAnsi="Arial" w:cs="Arial"/>
          </w:rPr>
          <w:t>2015 Crop Year Report</w:t>
        </w:r>
      </w:hyperlink>
      <w:r w:rsidRPr="00E77FA2">
        <w:rPr>
          <w:rFonts w:ascii="Arial" w:hAnsi="Arial" w:cs="Arial"/>
        </w:rPr>
        <w:t xml:space="preserve">. Sacramento, California: California Department of Food and Agriculture. </w:t>
      </w:r>
    </w:p>
  </w:footnote>
  <w:footnote w:id="2">
    <w:p w14:paraId="13724725" w14:textId="401A22F0" w:rsidR="001E7D53" w:rsidRPr="00E77FA2" w:rsidRDefault="001E7D53">
      <w:pPr>
        <w:pStyle w:val="FootnoteText"/>
        <w:rPr>
          <w:rFonts w:ascii="Arial" w:hAnsi="Arial" w:cs="Arial"/>
        </w:rPr>
      </w:pPr>
      <w:r w:rsidRPr="00E77FA2">
        <w:rPr>
          <w:rStyle w:val="FootnoteReference"/>
          <w:rFonts w:ascii="Arial" w:hAnsi="Arial" w:cs="Arial"/>
        </w:rPr>
        <w:footnoteRef/>
      </w:r>
      <w:r w:rsidRPr="00E77FA2">
        <w:rPr>
          <w:rFonts w:ascii="Arial" w:hAnsi="Arial" w:cs="Arial"/>
        </w:rPr>
        <w:t xml:space="preserve"> 2022–23 child count</w:t>
      </w:r>
      <w:r w:rsidR="00C5508B" w:rsidRPr="00E77FA2">
        <w:rPr>
          <w:rFonts w:ascii="Arial" w:hAnsi="Arial" w:cs="Arial"/>
        </w:rPr>
        <w:t xml:space="preserve">s provided by the US Department of Education include counts from the Migrant Student Information Exchange (MSIX) which is slightly off from the MSIN data due to the timing </w:t>
      </w:r>
      <w:r w:rsidR="00EA1BAD">
        <w:rPr>
          <w:rFonts w:ascii="Arial" w:hAnsi="Arial" w:cs="Arial"/>
        </w:rPr>
        <w:t>when</w:t>
      </w:r>
      <w:r w:rsidR="00C5508B" w:rsidRPr="00E77FA2">
        <w:rPr>
          <w:rFonts w:ascii="Arial" w:hAnsi="Arial" w:cs="Arial"/>
        </w:rPr>
        <w:t xml:space="preserve"> the data is submitted to the federal office.</w:t>
      </w:r>
    </w:p>
  </w:footnote>
  <w:footnote w:id="3">
    <w:p w14:paraId="33933A1A" w14:textId="77777777" w:rsidR="008D74A1" w:rsidRPr="00E77FA2" w:rsidRDefault="008D74A1" w:rsidP="008F576B">
      <w:pPr>
        <w:pStyle w:val="FootnoteText"/>
        <w:rPr>
          <w:rFonts w:ascii="Arial" w:hAnsi="Arial" w:cs="Arial"/>
        </w:rPr>
      </w:pPr>
      <w:r w:rsidRPr="00E77FA2">
        <w:rPr>
          <w:rStyle w:val="FootnoteReference"/>
          <w:rFonts w:ascii="Arial" w:hAnsi="Arial" w:cs="Arial"/>
        </w:rPr>
        <w:footnoteRef/>
      </w:r>
      <w:r w:rsidRPr="00E77FA2">
        <w:rPr>
          <w:rFonts w:ascii="Arial" w:hAnsi="Arial" w:cs="Arial"/>
        </w:rPr>
        <w:t xml:space="preserve"> The OME’s Goal Areas are reading achievement; math achievement high school graduation; school dropouts; and school readiness, if established by the state, and any other performance targets the state has established for migratory children.</w:t>
      </w:r>
    </w:p>
  </w:footnote>
  <w:footnote w:id="4">
    <w:p w14:paraId="3228BB1B" w14:textId="361EC259" w:rsidR="008D74A1" w:rsidRPr="00E77FA2" w:rsidRDefault="008D74A1" w:rsidP="00883BEF">
      <w:pPr>
        <w:pStyle w:val="FootnoteText"/>
        <w:rPr>
          <w:rFonts w:ascii="Arial" w:hAnsi="Arial" w:cs="Arial"/>
        </w:rPr>
      </w:pPr>
      <w:r w:rsidRPr="00E77FA2">
        <w:rPr>
          <w:rStyle w:val="FootnoteReference"/>
          <w:rFonts w:ascii="Arial" w:hAnsi="Arial" w:cs="Arial"/>
        </w:rPr>
        <w:footnoteRef/>
      </w:r>
      <w:r w:rsidRPr="00E77FA2">
        <w:rPr>
          <w:rFonts w:ascii="Arial" w:hAnsi="Arial" w:cs="Arial"/>
        </w:rPr>
        <w:t xml:space="preserve"> The CDE Management and Data Team was responsible for planning, implementing and evaluating the various aspects of the CNA and SDP development.</w:t>
      </w:r>
    </w:p>
  </w:footnote>
  <w:footnote w:id="5">
    <w:p w14:paraId="59EE96DE" w14:textId="77777777" w:rsidR="00821203" w:rsidRPr="00E77FA2" w:rsidRDefault="00821203" w:rsidP="00821203">
      <w:pPr>
        <w:pStyle w:val="FootnoteText"/>
        <w:rPr>
          <w:rFonts w:ascii="Arial" w:hAnsi="Arial" w:cs="Arial"/>
          <w:sz w:val="20"/>
          <w:szCs w:val="20"/>
        </w:rPr>
      </w:pPr>
      <w:r w:rsidRPr="00E77FA2">
        <w:rPr>
          <w:rStyle w:val="FootnoteReference"/>
          <w:rFonts w:ascii="Arial" w:hAnsi="Arial" w:cs="Arial"/>
        </w:rPr>
        <w:footnoteRef/>
      </w:r>
      <w:r w:rsidRPr="00E77FA2">
        <w:rPr>
          <w:rFonts w:ascii="Arial" w:hAnsi="Arial" w:cs="Arial"/>
        </w:rPr>
        <w:t xml:space="preserve"> The Migratory Student Profile compiled all available data for migratory children and youth for the ten focus areas into one report that the CNA SDP Committee and CDE Management and Data Team used to identify student needs and guide CNA development.</w:t>
      </w:r>
    </w:p>
  </w:footnote>
  <w:footnote w:id="6">
    <w:p w14:paraId="7B828512" w14:textId="6ECA62BD" w:rsidR="008D74A1" w:rsidRPr="00E77FA2" w:rsidRDefault="008D74A1" w:rsidP="00605C16">
      <w:pPr>
        <w:pStyle w:val="FootnoteText"/>
        <w:rPr>
          <w:rFonts w:ascii="Arial" w:hAnsi="Arial" w:cs="Arial"/>
        </w:rPr>
      </w:pPr>
      <w:r w:rsidRPr="00E77FA2">
        <w:rPr>
          <w:rStyle w:val="FootnoteReference"/>
          <w:rFonts w:ascii="Arial" w:hAnsi="Arial" w:cs="Arial"/>
        </w:rPr>
        <w:footnoteRef/>
      </w:r>
      <w:r w:rsidRPr="00E77FA2">
        <w:rPr>
          <w:rFonts w:ascii="Arial" w:hAnsi="Arial" w:cs="Arial"/>
        </w:rPr>
        <w:t xml:space="preserve"> The </w:t>
      </w:r>
      <w:r w:rsidR="009E352E">
        <w:rPr>
          <w:rFonts w:ascii="Arial" w:hAnsi="Arial" w:cs="Arial"/>
        </w:rPr>
        <w:t>Migratory Student Profile</w:t>
      </w:r>
      <w:r w:rsidRPr="00E77FA2">
        <w:rPr>
          <w:rFonts w:ascii="Arial" w:hAnsi="Arial" w:cs="Arial"/>
        </w:rPr>
        <w:t xml:space="preserve"> is a standalone document and can be found </w:t>
      </w:r>
      <w:r w:rsidR="00066268">
        <w:rPr>
          <w:rFonts w:ascii="Arial" w:hAnsi="Arial" w:cs="Arial"/>
        </w:rPr>
        <w:t>on the</w:t>
      </w:r>
      <w:r w:rsidRPr="00E77FA2">
        <w:rPr>
          <w:rFonts w:ascii="Arial" w:hAnsi="Arial" w:cs="Arial"/>
        </w:rPr>
        <w:t xml:space="preserve"> </w:t>
      </w:r>
      <w:hyperlink r:id="rId2" w:history="1">
        <w:r w:rsidR="00066268">
          <w:rPr>
            <w:rStyle w:val="Hyperlink"/>
            <w:rFonts w:ascii="Arial" w:hAnsi="Arial" w:cs="Arial"/>
          </w:rPr>
          <w:t>California Department of Education Migrant web page</w:t>
        </w:r>
      </w:hyperlink>
      <w:r w:rsidRPr="00E77FA2">
        <w:rPr>
          <w:rFonts w:ascii="Arial" w:hAnsi="Arial" w:cs="Arial"/>
        </w:rPr>
        <w:t xml:space="preserve"> </w:t>
      </w:r>
    </w:p>
  </w:footnote>
  <w:footnote w:id="7">
    <w:p w14:paraId="7D4B0CB5" w14:textId="23594283" w:rsidR="00EC169D" w:rsidRPr="00E77FA2" w:rsidRDefault="00EC169D" w:rsidP="00EC169D">
      <w:pPr>
        <w:pStyle w:val="FootnoteText"/>
        <w:rPr>
          <w:rFonts w:ascii="Arial" w:hAnsi="Arial" w:cs="Arial"/>
          <w:shd w:val="clear" w:color="auto" w:fill="FFFFFF"/>
        </w:rPr>
      </w:pPr>
      <w:r w:rsidRPr="00E77FA2">
        <w:rPr>
          <w:rStyle w:val="FootnoteReference"/>
          <w:rFonts w:ascii="Arial" w:hAnsi="Arial" w:cs="Arial"/>
        </w:rPr>
        <w:footnoteRef/>
      </w:r>
      <w:r w:rsidRPr="00E77FA2">
        <w:rPr>
          <w:rFonts w:ascii="Arial" w:hAnsi="Arial" w:cs="Arial"/>
        </w:rPr>
        <w:t xml:space="preserve"> </w:t>
      </w:r>
      <w:hyperlink r:id="rId3" w:history="1">
        <w:r w:rsidRPr="00E77FA2">
          <w:rPr>
            <w:rStyle w:val="Hyperlink"/>
            <w:rFonts w:ascii="Arial" w:hAnsi="Arial" w:cs="Arial"/>
            <w:shd w:val="clear" w:color="auto" w:fill="FFFFFF"/>
          </w:rPr>
          <w:t>California Department of Education</w:t>
        </w:r>
        <w:r w:rsidRPr="00E77FA2">
          <w:rPr>
            <w:rStyle w:val="Hyperlink"/>
            <w:rFonts w:ascii="Arial" w:hAnsi="Arial" w:cs="Arial"/>
          </w:rPr>
          <w:t xml:space="preserve"> </w:t>
        </w:r>
        <w:r w:rsidRPr="00E77FA2">
          <w:rPr>
            <w:rStyle w:val="Hyperlink"/>
            <w:rFonts w:ascii="Arial" w:hAnsi="Arial" w:cs="Arial"/>
            <w:shd w:val="clear" w:color="auto" w:fill="FFFFFF"/>
          </w:rPr>
          <w:t xml:space="preserve">Data Reporting Office, </w:t>
        </w:r>
        <w:r w:rsidRPr="00E77FA2">
          <w:rPr>
            <w:rStyle w:val="Hyperlink"/>
            <w:rFonts w:ascii="Arial" w:hAnsi="Arial" w:cs="Arial"/>
            <w:i/>
            <w:iCs/>
            <w:shd w:val="clear" w:color="auto" w:fill="FFFFFF"/>
          </w:rPr>
          <w:t xml:space="preserve">Glossary of Terms for English </w:t>
        </w:r>
        <w:r w:rsidR="0022106F" w:rsidRPr="00E77FA2">
          <w:rPr>
            <w:rStyle w:val="Hyperlink"/>
            <w:rFonts w:ascii="Arial" w:hAnsi="Arial" w:cs="Arial"/>
            <w:i/>
            <w:iCs/>
            <w:shd w:val="clear" w:color="auto" w:fill="FFFFFF"/>
          </w:rPr>
          <w:t>L</w:t>
        </w:r>
        <w:r w:rsidRPr="00E77FA2">
          <w:rPr>
            <w:rStyle w:val="Hyperlink"/>
            <w:rFonts w:ascii="Arial" w:hAnsi="Arial" w:cs="Arial"/>
            <w:i/>
            <w:iCs/>
            <w:shd w:val="clear" w:color="auto" w:fill="FFFFFF"/>
          </w:rPr>
          <w:t>earner Reports</w:t>
        </w:r>
      </w:hyperlink>
      <w:r w:rsidRPr="00E77FA2">
        <w:rPr>
          <w:rFonts w:ascii="Arial" w:hAnsi="Arial" w:cs="Arial"/>
          <w:shd w:val="clear" w:color="auto" w:fill="FFFFFF"/>
        </w:rPr>
        <w:t>, accessed April 4, 2024.</w:t>
      </w:r>
    </w:p>
  </w:footnote>
  <w:footnote w:id="8">
    <w:p w14:paraId="7A0519C9" w14:textId="7797FD3B" w:rsidR="004B4809" w:rsidRPr="00E77FA2" w:rsidRDefault="004B4809" w:rsidP="004B4809">
      <w:pPr>
        <w:pStyle w:val="Footnote"/>
        <w:rPr>
          <w:rFonts w:cs="Arial"/>
          <w:color w:val="auto"/>
        </w:rPr>
      </w:pPr>
      <w:r w:rsidRPr="00E77FA2">
        <w:rPr>
          <w:rStyle w:val="FootnoteReference"/>
          <w:rFonts w:cs="Arial"/>
          <w:color w:val="auto"/>
        </w:rPr>
        <w:footnoteRef/>
      </w:r>
      <w:r w:rsidRPr="00E77FA2">
        <w:rPr>
          <w:rFonts w:cs="Arial"/>
          <w:color w:val="auto"/>
        </w:rPr>
        <w:t xml:space="preserve"> California Department of Education,</w:t>
      </w:r>
      <w:r w:rsidRPr="00E77FA2">
        <w:rPr>
          <w:rFonts w:cs="Arial"/>
        </w:rPr>
        <w:t xml:space="preserve"> </w:t>
      </w:r>
      <w:hyperlink r:id="rId4" w:anchor="sb" w:history="1">
        <w:r w:rsidRPr="00E77FA2">
          <w:rPr>
            <w:rStyle w:val="Hyperlink"/>
            <w:rFonts w:cs="Arial"/>
            <w:i/>
            <w:iCs/>
          </w:rPr>
          <w:t>About CAASPP and ELPAC</w:t>
        </w:r>
      </w:hyperlink>
      <w:r w:rsidRPr="00E77FA2">
        <w:rPr>
          <w:rFonts w:cs="Arial"/>
        </w:rPr>
        <w:t xml:space="preserve">, </w:t>
      </w:r>
      <w:r w:rsidRPr="00E77FA2">
        <w:rPr>
          <w:rFonts w:cs="Arial"/>
          <w:color w:val="auto"/>
        </w:rPr>
        <w:t xml:space="preserve">accessed </w:t>
      </w:r>
      <w:r w:rsidR="00CF6D72" w:rsidRPr="00E77FA2">
        <w:rPr>
          <w:rFonts w:cs="Arial"/>
          <w:color w:val="auto"/>
        </w:rPr>
        <w:t>September</w:t>
      </w:r>
      <w:r w:rsidRPr="00E77FA2">
        <w:rPr>
          <w:rFonts w:cs="Arial"/>
          <w:color w:val="auto"/>
        </w:rPr>
        <w:t>, 202</w:t>
      </w:r>
      <w:r w:rsidR="00CF6D72" w:rsidRPr="00E77FA2">
        <w:rPr>
          <w:rFonts w:cs="Arial"/>
          <w:color w:val="auto"/>
        </w:rPr>
        <w:t>4</w:t>
      </w:r>
      <w:hyperlink r:id="rId5" w:anchor="sb" w:history="1"/>
      <w:r w:rsidRPr="00E77FA2">
        <w:rPr>
          <w:rFonts w:cs="Arial"/>
          <w:color w:val="auto"/>
        </w:rPr>
        <w:t>.</w:t>
      </w:r>
    </w:p>
  </w:footnote>
  <w:footnote w:id="9">
    <w:p w14:paraId="2616BBBE" w14:textId="4CF167CC" w:rsidR="008D74A1" w:rsidRPr="00E77FA2" w:rsidRDefault="008D74A1" w:rsidP="00EE3D37">
      <w:pPr>
        <w:pStyle w:val="BodyText"/>
        <w:ind w:right="330" w:hanging="10"/>
        <w:rPr>
          <w:rFonts w:ascii="Arial" w:hAnsi="Arial" w:cs="Arial"/>
          <w:color w:val="231F20"/>
          <w:sz w:val="24"/>
          <w:szCs w:val="24"/>
        </w:rPr>
      </w:pPr>
      <w:r w:rsidRPr="00E77FA2">
        <w:rPr>
          <w:rStyle w:val="FootnoteReference"/>
          <w:rFonts w:ascii="Arial" w:hAnsi="Arial" w:cs="Arial"/>
          <w:sz w:val="24"/>
          <w:szCs w:val="24"/>
        </w:rPr>
        <w:footnoteRef/>
      </w:r>
      <w:r w:rsidRPr="00E77FA2">
        <w:rPr>
          <w:rFonts w:ascii="Arial" w:hAnsi="Arial" w:cs="Arial"/>
          <w:sz w:val="24"/>
          <w:szCs w:val="24"/>
        </w:rPr>
        <w:t xml:space="preserve"> </w:t>
      </w:r>
      <w:r w:rsidRPr="00E77FA2">
        <w:rPr>
          <w:rFonts w:ascii="Arial" w:hAnsi="Arial" w:cs="Arial"/>
          <w:color w:val="231F20"/>
          <w:sz w:val="24"/>
          <w:szCs w:val="24"/>
        </w:rPr>
        <w:t xml:space="preserve">California Department of Education. 2015. </w:t>
      </w:r>
      <w:r w:rsidRPr="00E77FA2">
        <w:rPr>
          <w:rFonts w:ascii="Arial" w:hAnsi="Arial" w:cs="Arial"/>
          <w:i/>
          <w:color w:val="231F20"/>
          <w:sz w:val="24"/>
          <w:szCs w:val="24"/>
        </w:rPr>
        <w:t>English Language Arts/English Language Development Framework for California Public Schools Kindergarten through Grade Twelve,</w:t>
      </w:r>
      <w:r w:rsidRPr="00E77FA2">
        <w:rPr>
          <w:rFonts w:ascii="Arial" w:hAnsi="Arial" w:cs="Arial"/>
          <w:color w:val="231F20"/>
          <w:sz w:val="24"/>
          <w:szCs w:val="24"/>
        </w:rPr>
        <w:t xml:space="preserve"> Sacramento: California Department of Education, pg.</w:t>
      </w:r>
      <w:r w:rsidR="00BA701C" w:rsidRPr="00E77FA2">
        <w:rPr>
          <w:rFonts w:ascii="Arial" w:hAnsi="Arial" w:cs="Arial"/>
          <w:color w:val="231F20"/>
          <w:sz w:val="24"/>
          <w:szCs w:val="24"/>
        </w:rPr>
        <w:t xml:space="preserve"> 4.</w:t>
      </w:r>
    </w:p>
  </w:footnote>
  <w:footnote w:id="10">
    <w:p w14:paraId="4E75C1C7" w14:textId="037F6114" w:rsidR="008D74A1" w:rsidRPr="00E77FA2" w:rsidRDefault="008D74A1">
      <w:pPr>
        <w:pStyle w:val="FootnoteText"/>
        <w:rPr>
          <w:rFonts w:ascii="Arial" w:hAnsi="Arial" w:cs="Arial"/>
          <w:sz w:val="16"/>
          <w:szCs w:val="16"/>
        </w:rPr>
      </w:pPr>
      <w:r w:rsidRPr="00E77FA2">
        <w:rPr>
          <w:rStyle w:val="FootnoteReference"/>
          <w:rFonts w:ascii="Arial" w:hAnsi="Arial" w:cs="Arial"/>
        </w:rPr>
        <w:footnoteRef/>
      </w:r>
      <w:r w:rsidRPr="00E77FA2">
        <w:rPr>
          <w:rFonts w:ascii="Arial" w:hAnsi="Arial" w:cs="Arial"/>
        </w:rPr>
        <w:t xml:space="preserve"> Student scores are reported on overall achievement and by claims that focus on specific knowledge and skills. </w:t>
      </w:r>
      <w:r w:rsidR="00F8556E" w:rsidRPr="00E77FA2">
        <w:rPr>
          <w:rFonts w:ascii="Arial" w:hAnsi="Arial" w:cs="Arial"/>
        </w:rPr>
        <w:t>Overall,</w:t>
      </w:r>
      <w:r w:rsidRPr="00E77FA2">
        <w:rPr>
          <w:rFonts w:ascii="Arial" w:hAnsi="Arial" w:cs="Arial"/>
        </w:rPr>
        <w:t xml:space="preserve"> ELA and math achievement levels consist of: Level 1 – </w:t>
      </w:r>
      <w:r w:rsidR="00D54E2C">
        <w:rPr>
          <w:rFonts w:ascii="Arial" w:hAnsi="Arial" w:cs="Arial"/>
        </w:rPr>
        <w:t>s</w:t>
      </w:r>
      <w:r w:rsidRPr="00E77FA2">
        <w:rPr>
          <w:rFonts w:ascii="Arial" w:hAnsi="Arial" w:cs="Arial"/>
        </w:rPr>
        <w:t xml:space="preserve">tandard </w:t>
      </w:r>
      <w:r w:rsidR="00D54E2C">
        <w:rPr>
          <w:rFonts w:ascii="Arial" w:hAnsi="Arial" w:cs="Arial"/>
        </w:rPr>
        <w:t>n</w:t>
      </w:r>
      <w:r w:rsidRPr="00E77FA2">
        <w:rPr>
          <w:rFonts w:ascii="Arial" w:hAnsi="Arial" w:cs="Arial"/>
        </w:rPr>
        <w:t xml:space="preserve">ot </w:t>
      </w:r>
      <w:r w:rsidR="00D54E2C">
        <w:rPr>
          <w:rFonts w:ascii="Arial" w:hAnsi="Arial" w:cs="Arial"/>
        </w:rPr>
        <w:t>m</w:t>
      </w:r>
      <w:r w:rsidRPr="00E77FA2">
        <w:rPr>
          <w:rFonts w:ascii="Arial" w:hAnsi="Arial" w:cs="Arial"/>
        </w:rPr>
        <w:t xml:space="preserve">et, Level 2 – </w:t>
      </w:r>
      <w:r w:rsidR="00D54E2C">
        <w:rPr>
          <w:rFonts w:ascii="Arial" w:hAnsi="Arial" w:cs="Arial"/>
        </w:rPr>
        <w:t>s</w:t>
      </w:r>
      <w:r w:rsidRPr="00E77FA2">
        <w:rPr>
          <w:rFonts w:ascii="Arial" w:hAnsi="Arial" w:cs="Arial"/>
        </w:rPr>
        <w:t xml:space="preserve">tandard </w:t>
      </w:r>
      <w:r w:rsidR="00D54E2C">
        <w:rPr>
          <w:rFonts w:ascii="Arial" w:hAnsi="Arial" w:cs="Arial"/>
        </w:rPr>
        <w:t>n</w:t>
      </w:r>
      <w:r w:rsidR="005234F9">
        <w:rPr>
          <w:rFonts w:ascii="Arial" w:hAnsi="Arial" w:cs="Arial"/>
        </w:rPr>
        <w:t>ear</w:t>
      </w:r>
      <w:r w:rsidRPr="00E77FA2">
        <w:rPr>
          <w:rFonts w:ascii="Arial" w:hAnsi="Arial" w:cs="Arial"/>
        </w:rPr>
        <w:t xml:space="preserve">ly </w:t>
      </w:r>
      <w:r w:rsidR="00D54E2C">
        <w:rPr>
          <w:rFonts w:ascii="Arial" w:hAnsi="Arial" w:cs="Arial"/>
        </w:rPr>
        <w:t>m</w:t>
      </w:r>
      <w:r w:rsidRPr="00E77FA2">
        <w:rPr>
          <w:rFonts w:ascii="Arial" w:hAnsi="Arial" w:cs="Arial"/>
        </w:rPr>
        <w:t xml:space="preserve">et, Level 3 – </w:t>
      </w:r>
      <w:r w:rsidR="00D54E2C">
        <w:rPr>
          <w:rFonts w:ascii="Arial" w:hAnsi="Arial" w:cs="Arial"/>
        </w:rPr>
        <w:t>s</w:t>
      </w:r>
      <w:r w:rsidRPr="00E77FA2">
        <w:rPr>
          <w:rFonts w:ascii="Arial" w:hAnsi="Arial" w:cs="Arial"/>
        </w:rPr>
        <w:t xml:space="preserve">tandard </w:t>
      </w:r>
      <w:r w:rsidR="00D54E2C">
        <w:rPr>
          <w:rFonts w:ascii="Arial" w:hAnsi="Arial" w:cs="Arial"/>
        </w:rPr>
        <w:t>m</w:t>
      </w:r>
      <w:r w:rsidRPr="00E77FA2">
        <w:rPr>
          <w:rFonts w:ascii="Arial" w:hAnsi="Arial" w:cs="Arial"/>
        </w:rPr>
        <w:t xml:space="preserve">et and Level 4 – </w:t>
      </w:r>
      <w:r w:rsidR="00D54E2C">
        <w:rPr>
          <w:rFonts w:ascii="Arial" w:hAnsi="Arial" w:cs="Arial"/>
        </w:rPr>
        <w:t>s</w:t>
      </w:r>
      <w:r w:rsidRPr="00E77FA2">
        <w:rPr>
          <w:rFonts w:ascii="Arial" w:hAnsi="Arial" w:cs="Arial"/>
        </w:rPr>
        <w:t xml:space="preserve">tandard </w:t>
      </w:r>
      <w:r w:rsidR="00D54E2C">
        <w:rPr>
          <w:rFonts w:ascii="Arial" w:hAnsi="Arial" w:cs="Arial"/>
        </w:rPr>
        <w:t>e</w:t>
      </w:r>
      <w:r w:rsidRPr="00E77FA2">
        <w:rPr>
          <w:rFonts w:ascii="Arial" w:hAnsi="Arial" w:cs="Arial"/>
        </w:rPr>
        <w:t xml:space="preserve">xceeded. The three scoring levels for the claim data include: </w:t>
      </w:r>
      <w:r w:rsidR="00D55EE4">
        <w:rPr>
          <w:rFonts w:ascii="Arial" w:hAnsi="Arial" w:cs="Arial"/>
        </w:rPr>
        <w:t>below standard</w:t>
      </w:r>
      <w:r w:rsidRPr="00E77FA2">
        <w:rPr>
          <w:rFonts w:ascii="Arial" w:hAnsi="Arial" w:cs="Arial"/>
        </w:rPr>
        <w:t xml:space="preserve">, </w:t>
      </w:r>
      <w:r w:rsidR="00D55EE4">
        <w:rPr>
          <w:rFonts w:ascii="Arial" w:hAnsi="Arial" w:cs="Arial"/>
        </w:rPr>
        <w:t>near standard</w:t>
      </w:r>
      <w:r w:rsidR="005015BB">
        <w:rPr>
          <w:rFonts w:ascii="Arial" w:hAnsi="Arial" w:cs="Arial"/>
        </w:rPr>
        <w:t>,</w:t>
      </w:r>
      <w:r w:rsidRPr="00E77FA2">
        <w:rPr>
          <w:rFonts w:ascii="Arial" w:hAnsi="Arial" w:cs="Arial"/>
        </w:rPr>
        <w:t xml:space="preserve"> and </w:t>
      </w:r>
      <w:r w:rsidR="00D55EE4">
        <w:rPr>
          <w:rFonts w:ascii="Arial" w:hAnsi="Arial" w:cs="Arial"/>
        </w:rPr>
        <w:t>above standard</w:t>
      </w:r>
      <w:r w:rsidRPr="00E77FA2">
        <w:rPr>
          <w:rFonts w:ascii="Arial" w:hAnsi="Arial" w:cs="Arial"/>
        </w:rPr>
        <w:t>.</w:t>
      </w:r>
    </w:p>
  </w:footnote>
  <w:footnote w:id="11">
    <w:p w14:paraId="23A55D15" w14:textId="695CD312" w:rsidR="005267BF" w:rsidRPr="005267BF" w:rsidRDefault="005267BF">
      <w:pPr>
        <w:pStyle w:val="FootnoteText"/>
        <w:rPr>
          <w:rFonts w:ascii="Arial" w:hAnsi="Arial" w:cs="Arial"/>
        </w:rPr>
      </w:pPr>
      <w:r w:rsidRPr="005267BF">
        <w:rPr>
          <w:rStyle w:val="FootnoteReference"/>
          <w:rFonts w:ascii="Arial" w:hAnsi="Arial" w:cs="Arial"/>
        </w:rPr>
        <w:footnoteRef/>
      </w:r>
      <w:r w:rsidRPr="005267BF">
        <w:rPr>
          <w:rFonts w:ascii="Arial" w:hAnsi="Arial" w:cs="Arial"/>
        </w:rPr>
        <w:t xml:space="preserve"> English Language Arts/Literacy and Mathematics Smarter Balanced Summative Assessments Results by Student Group for 2022–23.</w:t>
      </w:r>
    </w:p>
  </w:footnote>
  <w:footnote w:id="12">
    <w:p w14:paraId="1697D400" w14:textId="7C4C99C6" w:rsidR="008D74A1" w:rsidRPr="00E77FA2" w:rsidRDefault="008D74A1" w:rsidP="00B81ADF">
      <w:pPr>
        <w:pStyle w:val="BodyText"/>
        <w:ind w:right="330" w:hanging="10"/>
        <w:jc w:val="left"/>
        <w:rPr>
          <w:rFonts w:ascii="Arial" w:hAnsi="Arial" w:cs="Arial"/>
          <w:color w:val="231F20"/>
          <w:sz w:val="24"/>
          <w:szCs w:val="24"/>
        </w:rPr>
      </w:pPr>
      <w:r w:rsidRPr="00E77FA2">
        <w:rPr>
          <w:rStyle w:val="FootnoteReference"/>
          <w:rFonts w:ascii="Arial" w:hAnsi="Arial" w:cs="Arial"/>
          <w:sz w:val="24"/>
          <w:szCs w:val="24"/>
        </w:rPr>
        <w:footnoteRef/>
      </w:r>
      <w:r w:rsidRPr="00E77FA2">
        <w:rPr>
          <w:rFonts w:ascii="Arial" w:hAnsi="Arial" w:cs="Arial"/>
          <w:sz w:val="24"/>
          <w:szCs w:val="24"/>
        </w:rPr>
        <w:t xml:space="preserve"> </w:t>
      </w:r>
      <w:r w:rsidRPr="00E77FA2">
        <w:rPr>
          <w:rFonts w:ascii="Arial" w:hAnsi="Arial" w:cs="Arial"/>
          <w:color w:val="231F20"/>
          <w:sz w:val="24"/>
          <w:szCs w:val="24"/>
        </w:rPr>
        <w:t>California Department of Education. 20</w:t>
      </w:r>
      <w:r w:rsidR="00197B9A">
        <w:rPr>
          <w:rFonts w:ascii="Arial" w:hAnsi="Arial" w:cs="Arial"/>
          <w:color w:val="231F20"/>
          <w:sz w:val="24"/>
          <w:szCs w:val="24"/>
        </w:rPr>
        <w:t>2</w:t>
      </w:r>
      <w:r w:rsidRPr="00E77FA2">
        <w:rPr>
          <w:rFonts w:ascii="Arial" w:hAnsi="Arial" w:cs="Arial"/>
          <w:color w:val="231F20"/>
          <w:sz w:val="24"/>
          <w:szCs w:val="24"/>
        </w:rPr>
        <w:t xml:space="preserve">3. </w:t>
      </w:r>
      <w:r w:rsidRPr="00E77FA2">
        <w:rPr>
          <w:rFonts w:ascii="Arial" w:hAnsi="Arial" w:cs="Arial"/>
          <w:i/>
          <w:color w:val="231F20"/>
          <w:sz w:val="24"/>
          <w:szCs w:val="24"/>
        </w:rPr>
        <w:t xml:space="preserve">Mathematics Framework for California </w:t>
      </w:r>
      <w:r w:rsidRPr="00E77FA2">
        <w:rPr>
          <w:rFonts w:ascii="Arial" w:hAnsi="Arial" w:cs="Arial"/>
          <w:i/>
          <w:sz w:val="24"/>
          <w:szCs w:val="24"/>
        </w:rPr>
        <w:t>Public Schools Kindergarten through Grade Twelve</w:t>
      </w:r>
      <w:r w:rsidRPr="00E77FA2">
        <w:rPr>
          <w:rFonts w:ascii="Arial" w:hAnsi="Arial" w:cs="Arial"/>
          <w:sz w:val="24"/>
          <w:szCs w:val="24"/>
        </w:rPr>
        <w:t xml:space="preserve">, Sacramento: California </w:t>
      </w:r>
      <w:r w:rsidRPr="00E77FA2">
        <w:rPr>
          <w:rFonts w:ascii="Arial" w:hAnsi="Arial" w:cs="Arial"/>
          <w:color w:val="231F20"/>
          <w:sz w:val="24"/>
          <w:szCs w:val="24"/>
        </w:rPr>
        <w:t>Department of Education.</w:t>
      </w:r>
    </w:p>
  </w:footnote>
  <w:footnote w:id="13">
    <w:p w14:paraId="59ACBC45" w14:textId="2973C413" w:rsidR="008D74A1" w:rsidRPr="00E77FA2" w:rsidRDefault="008D74A1" w:rsidP="00C47406">
      <w:pPr>
        <w:rPr>
          <w:rFonts w:cs="Arial"/>
          <w:color w:val="000000"/>
        </w:rPr>
      </w:pPr>
      <w:r w:rsidRPr="00E77FA2">
        <w:rPr>
          <w:rStyle w:val="FootnoteReference"/>
          <w:rFonts w:cs="Arial"/>
        </w:rPr>
        <w:footnoteRef/>
      </w:r>
      <w:r w:rsidRPr="00E77FA2">
        <w:rPr>
          <w:rFonts w:cs="Arial"/>
        </w:rPr>
        <w:t xml:space="preserve"> </w:t>
      </w:r>
      <w:r w:rsidRPr="00E77FA2">
        <w:rPr>
          <w:rFonts w:cs="Arial"/>
          <w:color w:val="000000"/>
        </w:rPr>
        <w:t xml:space="preserve">Moschkovich, Judit. 2012. “Mathematics, the Common Core, and Language: Recommendations for Mathematics Instruction for ELs Aligned with the Common Core.” </w:t>
      </w:r>
      <w:r w:rsidRPr="00E77FA2">
        <w:rPr>
          <w:rFonts w:cs="Arial"/>
          <w:i/>
          <w:color w:val="000000"/>
        </w:rPr>
        <w:t>Understanding Language: Commissioned Papers on Language and Literacy Issues in the Common Core State Standards and Next Generation Science Standards</w:t>
      </w:r>
      <w:r w:rsidRPr="00E77FA2">
        <w:rPr>
          <w:rFonts w:cs="Arial"/>
          <w:color w:val="000000"/>
        </w:rPr>
        <w:t>, April</w:t>
      </w:r>
      <w:r w:rsidR="00E0112A">
        <w:rPr>
          <w:rFonts w:cs="Arial"/>
          <w:color w:val="000000"/>
        </w:rPr>
        <w:t> </w:t>
      </w:r>
      <w:r w:rsidRPr="00E77FA2">
        <w:rPr>
          <w:rFonts w:cs="Arial"/>
          <w:color w:val="000000"/>
        </w:rPr>
        <w:t>5</w:t>
      </w:r>
      <w:r w:rsidR="00E0112A">
        <w:rPr>
          <w:rFonts w:cs="Arial"/>
          <w:color w:val="000000"/>
        </w:rPr>
        <w:t> </w:t>
      </w:r>
      <w:r w:rsidRPr="00E77FA2">
        <w:rPr>
          <w:rFonts w:cs="Arial"/>
          <w:color w:val="000000"/>
        </w:rPr>
        <w:t xml:space="preserve"> 2012.</w:t>
      </w:r>
    </w:p>
  </w:footnote>
  <w:footnote w:id="14">
    <w:p w14:paraId="52BF8CB7" w14:textId="77777777" w:rsidR="008D74A1" w:rsidRPr="00E77FA2" w:rsidRDefault="008D74A1" w:rsidP="004D1753">
      <w:pPr>
        <w:pStyle w:val="FootnoteText"/>
        <w:rPr>
          <w:rFonts w:ascii="Arial" w:hAnsi="Arial" w:cs="Arial"/>
          <w:sz w:val="20"/>
          <w:szCs w:val="20"/>
        </w:rPr>
      </w:pPr>
      <w:r w:rsidRPr="00E77FA2">
        <w:rPr>
          <w:rStyle w:val="FootnoteReference"/>
          <w:rFonts w:ascii="Arial" w:hAnsi="Arial" w:cs="Arial"/>
        </w:rPr>
        <w:footnoteRef/>
      </w:r>
      <w:r w:rsidRPr="00E77FA2">
        <w:rPr>
          <w:rFonts w:ascii="Arial" w:hAnsi="Arial" w:cs="Arial"/>
        </w:rPr>
        <w:t xml:space="preserve"> </w:t>
      </w:r>
      <w:r w:rsidRPr="00E77FA2">
        <w:rPr>
          <w:rFonts w:ascii="Arial" w:hAnsi="Arial" w:cs="Arial"/>
          <w:color w:val="000000"/>
        </w:rPr>
        <w:t xml:space="preserve">Francis, David J., Mabel Rivera, Nonie Lesaux, Michael Kieffer, and Hector Rivera. 2006. </w:t>
      </w:r>
      <w:r w:rsidRPr="00E77FA2">
        <w:rPr>
          <w:rFonts w:ascii="Arial" w:hAnsi="Arial" w:cs="Arial"/>
          <w:i/>
          <w:color w:val="000000"/>
        </w:rPr>
        <w:t>Practical Guidelines for the Education of English Language Learners: Research-Based Recommendations for Instruction and Academic Interventions.</w:t>
      </w:r>
      <w:r w:rsidRPr="00E77FA2">
        <w:rPr>
          <w:rFonts w:ascii="Arial" w:hAnsi="Arial" w:cs="Arial"/>
          <w:color w:val="000000"/>
        </w:rPr>
        <w:t xml:space="preserve"> Portsmouth, NH: RMC Research Corporation, Center on Instruction.</w:t>
      </w:r>
      <w:r w:rsidRPr="00E77FA2">
        <w:rPr>
          <w:rFonts w:ascii="Arial" w:hAnsi="Arial" w:cs="Arial"/>
          <w:color w:val="000000"/>
          <w:sz w:val="20"/>
          <w:szCs w:val="20"/>
        </w:rPr>
        <w:t xml:space="preserve"> </w:t>
      </w:r>
    </w:p>
  </w:footnote>
  <w:footnote w:id="15">
    <w:p w14:paraId="198626AB" w14:textId="77777777" w:rsidR="008D74A1" w:rsidRPr="00E77FA2" w:rsidRDefault="008D74A1" w:rsidP="0039066D">
      <w:pPr>
        <w:pStyle w:val="BodyText"/>
        <w:ind w:right="330" w:hanging="10"/>
        <w:rPr>
          <w:rFonts w:ascii="Arial" w:hAnsi="Arial" w:cs="Arial"/>
          <w:color w:val="231F20"/>
          <w:sz w:val="24"/>
          <w:szCs w:val="24"/>
        </w:rPr>
      </w:pPr>
      <w:r w:rsidRPr="00E77FA2">
        <w:rPr>
          <w:rStyle w:val="FootnoteReference"/>
          <w:rFonts w:ascii="Arial" w:hAnsi="Arial" w:cs="Arial"/>
          <w:sz w:val="24"/>
          <w:szCs w:val="24"/>
        </w:rPr>
        <w:footnoteRef/>
      </w:r>
      <w:r w:rsidRPr="00E77FA2">
        <w:rPr>
          <w:rFonts w:ascii="Arial" w:hAnsi="Arial" w:cs="Arial"/>
          <w:sz w:val="24"/>
          <w:szCs w:val="24"/>
        </w:rPr>
        <w:t xml:space="preserve"> </w:t>
      </w:r>
      <w:r w:rsidRPr="00E77FA2">
        <w:rPr>
          <w:rFonts w:ascii="Arial" w:hAnsi="Arial" w:cs="Arial"/>
          <w:color w:val="231F20"/>
          <w:sz w:val="24"/>
          <w:szCs w:val="24"/>
        </w:rPr>
        <w:t xml:space="preserve">California Department of Education. 2015. </w:t>
      </w:r>
      <w:r w:rsidRPr="00E77FA2">
        <w:rPr>
          <w:rFonts w:ascii="Arial" w:hAnsi="Arial" w:cs="Arial"/>
          <w:i/>
          <w:color w:val="231F20"/>
          <w:sz w:val="24"/>
          <w:szCs w:val="24"/>
        </w:rPr>
        <w:t>English Language Arts/English Language Development Framework for California Public Schools Kindergarten through Grade Twelve,</w:t>
      </w:r>
      <w:r w:rsidRPr="00E77FA2">
        <w:rPr>
          <w:rFonts w:ascii="Arial" w:hAnsi="Arial" w:cs="Arial"/>
          <w:color w:val="231F20"/>
          <w:sz w:val="24"/>
          <w:szCs w:val="24"/>
        </w:rPr>
        <w:t xml:space="preserve"> Sacramento: California Department of Education.</w:t>
      </w:r>
    </w:p>
    <w:p w14:paraId="4A862DF6" w14:textId="77777777" w:rsidR="008D74A1" w:rsidRPr="00E77FA2" w:rsidRDefault="008D74A1" w:rsidP="0039066D">
      <w:pPr>
        <w:pStyle w:val="FootnoteText"/>
        <w:rPr>
          <w:rFonts w:ascii="Arial" w:hAnsi="Arial" w:cs="Arial"/>
        </w:rPr>
      </w:pPr>
    </w:p>
  </w:footnote>
  <w:footnote w:id="16">
    <w:p w14:paraId="189E06EB" w14:textId="77777777" w:rsidR="008D74A1" w:rsidRPr="00E77FA2" w:rsidRDefault="008D74A1">
      <w:pPr>
        <w:pStyle w:val="FootnoteText"/>
        <w:rPr>
          <w:rFonts w:ascii="Arial" w:hAnsi="Arial" w:cs="Arial"/>
        </w:rPr>
      </w:pPr>
      <w:r w:rsidRPr="00E77FA2">
        <w:rPr>
          <w:rStyle w:val="FootnoteReference"/>
          <w:rFonts w:ascii="Arial" w:hAnsi="Arial" w:cs="Arial"/>
        </w:rPr>
        <w:footnoteRef/>
      </w:r>
      <w:r w:rsidRPr="00E77FA2">
        <w:rPr>
          <w:rFonts w:ascii="Arial" w:hAnsi="Arial" w:cs="Arial"/>
        </w:rPr>
        <w:t xml:space="preserve"> </w:t>
      </w:r>
      <w:r w:rsidRPr="00E77FA2">
        <w:rPr>
          <w:rFonts w:ascii="Arial" w:hAnsi="Arial" w:cs="Arial"/>
          <w:color w:val="000000"/>
        </w:rPr>
        <w:t>Hernandez, Donald J. 2011. Double Jeopardy: How Third Grade Reading Skills and Poverty Influence High School Graduation. Foundation for Child Development. The Annie E. Casey Foundation.</w:t>
      </w:r>
    </w:p>
  </w:footnote>
  <w:footnote w:id="17">
    <w:p w14:paraId="017C22F7" w14:textId="3B3F19DC" w:rsidR="008D74A1" w:rsidRPr="00E77FA2" w:rsidRDefault="008D74A1" w:rsidP="00E845F9">
      <w:pPr>
        <w:pStyle w:val="FootnoteText"/>
        <w:rPr>
          <w:rFonts w:ascii="Arial" w:hAnsi="Arial" w:cs="Arial"/>
        </w:rPr>
      </w:pPr>
      <w:r w:rsidRPr="00E77FA2">
        <w:rPr>
          <w:rStyle w:val="FootnoteReference"/>
          <w:rFonts w:ascii="Arial" w:hAnsi="Arial" w:cs="Arial"/>
        </w:rPr>
        <w:footnoteRef/>
      </w:r>
      <w:r w:rsidRPr="00E77FA2">
        <w:rPr>
          <w:rFonts w:ascii="Arial" w:hAnsi="Arial" w:cs="Arial"/>
        </w:rPr>
        <w:t xml:space="preserve"> California Department of Education. 20</w:t>
      </w:r>
      <w:r w:rsidR="009F6FF4" w:rsidRPr="00E77FA2">
        <w:rPr>
          <w:rFonts w:ascii="Arial" w:hAnsi="Arial" w:cs="Arial"/>
        </w:rPr>
        <w:t>21</w:t>
      </w:r>
      <w:r w:rsidRPr="00E77FA2">
        <w:rPr>
          <w:rFonts w:ascii="Arial" w:hAnsi="Arial" w:cs="Arial"/>
        </w:rPr>
        <w:t>. California Preschool</w:t>
      </w:r>
      <w:r w:rsidR="009F6FF4" w:rsidRPr="00E77FA2">
        <w:rPr>
          <w:rFonts w:ascii="Arial" w:hAnsi="Arial" w:cs="Arial"/>
        </w:rPr>
        <w:t>/Transitional Kindergarten</w:t>
      </w:r>
      <w:r w:rsidRPr="00E77FA2">
        <w:rPr>
          <w:rFonts w:ascii="Arial" w:hAnsi="Arial" w:cs="Arial"/>
        </w:rPr>
        <w:t xml:space="preserve"> Learning Foundations. Sacramento, California: California Department of Education.</w:t>
      </w:r>
    </w:p>
  </w:footnote>
  <w:footnote w:id="18">
    <w:p w14:paraId="12561D0C" w14:textId="77777777" w:rsidR="008D74A1" w:rsidRPr="00E77FA2" w:rsidRDefault="008D74A1" w:rsidP="00133E01">
      <w:pPr>
        <w:pStyle w:val="FootnoteText"/>
        <w:rPr>
          <w:rFonts w:ascii="Arial" w:hAnsi="Arial" w:cs="Arial"/>
          <w:sz w:val="20"/>
          <w:szCs w:val="20"/>
        </w:rPr>
      </w:pPr>
      <w:r w:rsidRPr="00E77FA2">
        <w:rPr>
          <w:rStyle w:val="FootnoteReference"/>
          <w:rFonts w:ascii="Arial" w:hAnsi="Arial" w:cs="Arial"/>
        </w:rPr>
        <w:footnoteRef/>
      </w:r>
      <w:r w:rsidRPr="00E77FA2">
        <w:rPr>
          <w:rFonts w:ascii="Arial" w:hAnsi="Arial" w:cs="Arial"/>
        </w:rPr>
        <w:t xml:space="preserve"> Webster-Stratton, Carol and M. Jamila Reid. 2004. Strengthening Social and Emotional Competence in Young Children–The Foundation for Early School Readiness and Success: Incredible Years Classroom Social Skills and Problem-Solving Curriculum. </w:t>
      </w:r>
      <w:r w:rsidRPr="00E77FA2">
        <w:rPr>
          <w:rFonts w:ascii="Arial" w:hAnsi="Arial" w:cs="Arial"/>
          <w:i/>
        </w:rPr>
        <w:t xml:space="preserve">Infants and Young Children </w:t>
      </w:r>
      <w:r w:rsidRPr="00E77FA2">
        <w:rPr>
          <w:rFonts w:ascii="Arial" w:hAnsi="Arial" w:cs="Arial"/>
        </w:rPr>
        <w:t>17, no. 2:96-113.</w:t>
      </w:r>
    </w:p>
  </w:footnote>
  <w:footnote w:id="19">
    <w:p w14:paraId="19DE52FB" w14:textId="67AC4D33" w:rsidR="00E77FA2" w:rsidRPr="00E77FA2" w:rsidRDefault="00E77FA2">
      <w:pPr>
        <w:pStyle w:val="FootnoteText"/>
        <w:rPr>
          <w:rFonts w:ascii="Arial" w:hAnsi="Arial" w:cs="Arial"/>
        </w:rPr>
      </w:pPr>
      <w:r w:rsidRPr="00E77FA2">
        <w:rPr>
          <w:rStyle w:val="FootnoteReference"/>
          <w:rFonts w:ascii="Arial" w:hAnsi="Arial" w:cs="Arial"/>
        </w:rPr>
        <w:footnoteRef/>
      </w:r>
      <w:r w:rsidRPr="00E77FA2">
        <w:rPr>
          <w:rFonts w:ascii="Arial" w:hAnsi="Arial" w:cs="Arial"/>
        </w:rPr>
        <w:t xml:space="preserve"> G. J. Duncan et al., “School Readiness and Later Achievement.” Developmental Psychology 43, no. 6 (November 2007): 1428; A. Claessens and M. Engel, “How Important Is Where You Start? Early Mathematics Knowledge and Later School Success,” Teachers College Record 115, no. 6 (June 2013): 1–29; T. Nguyen et al., “Which Preschool Mathematics Competencies Are Most Predictive of Fifth Grade Achievement?” Early Childhood Research Quarterly 36 (3rd quarter 2016): 550–560.</w:t>
      </w:r>
    </w:p>
  </w:footnote>
  <w:footnote w:id="20">
    <w:p w14:paraId="0CA51B7F" w14:textId="49BD9D98" w:rsidR="008D74A1" w:rsidRPr="00E77FA2" w:rsidRDefault="008D74A1" w:rsidP="009B350F">
      <w:pPr>
        <w:rPr>
          <w:rFonts w:cs="Arial"/>
        </w:rPr>
      </w:pPr>
      <w:r w:rsidRPr="00E77FA2">
        <w:rPr>
          <w:rStyle w:val="FootnoteReference"/>
          <w:rFonts w:cs="Arial"/>
        </w:rPr>
        <w:footnoteRef/>
      </w:r>
      <w:r w:rsidRPr="00E77FA2">
        <w:rPr>
          <w:rFonts w:cs="Arial"/>
        </w:rPr>
        <w:t xml:space="preserve"> Hill, Laura E. and Hayes, Joseph M. 2007.</w:t>
      </w:r>
      <w:r w:rsidR="00E302C4" w:rsidRPr="00E302C4">
        <w:t xml:space="preserve"> </w:t>
      </w:r>
      <w:hyperlink r:id="rId6" w:history="1">
        <w:r w:rsidR="00E302C4">
          <w:rPr>
            <w:rStyle w:val="Hyperlink"/>
            <w:rFonts w:cs="Arial"/>
          </w:rPr>
          <w:t>Out-of-School Immigrant Youth</w:t>
        </w:r>
      </w:hyperlink>
      <w:r w:rsidR="00E302C4" w:rsidRPr="00E77FA2">
        <w:rPr>
          <w:rFonts w:cs="Arial"/>
        </w:rPr>
        <w:t xml:space="preserve"> (accessed on November 14, 2016)</w:t>
      </w:r>
      <w:r w:rsidRPr="00E77FA2">
        <w:rPr>
          <w:rFonts w:cs="Arial"/>
        </w:rPr>
        <w:t>. Public Policy Institute of California. San Francisco, CA.</w:t>
      </w:r>
    </w:p>
  </w:footnote>
  <w:footnote w:id="21">
    <w:p w14:paraId="24CEB5D3" w14:textId="5FAA486C" w:rsidR="008D74A1" w:rsidRPr="00E77FA2" w:rsidRDefault="008D74A1" w:rsidP="00E77FA2">
      <w:pPr>
        <w:rPr>
          <w:rFonts w:cs="Arial"/>
        </w:rPr>
      </w:pPr>
      <w:r w:rsidRPr="00E77FA2">
        <w:rPr>
          <w:rStyle w:val="FootnoteReference"/>
          <w:rFonts w:cs="Arial"/>
        </w:rPr>
        <w:footnoteRef/>
      </w:r>
      <w:r w:rsidRPr="00E77FA2">
        <w:rPr>
          <w:rFonts w:cs="Arial"/>
        </w:rPr>
        <w:t xml:space="preserve"> Graduation and Outcomes for Success for OSY. OSY Literature Review Update. Strategies Opportunities Services for Out-of-School Youth. </w:t>
      </w:r>
    </w:p>
  </w:footnote>
  <w:footnote w:id="22">
    <w:p w14:paraId="2922187D" w14:textId="77777777" w:rsidR="008D74A1" w:rsidRPr="00E77FA2" w:rsidRDefault="008D74A1">
      <w:pPr>
        <w:pStyle w:val="FootnoteText"/>
        <w:rPr>
          <w:rFonts w:ascii="Arial" w:hAnsi="Arial" w:cs="Arial"/>
        </w:rPr>
      </w:pPr>
      <w:r w:rsidRPr="00E77FA2">
        <w:rPr>
          <w:rStyle w:val="FootnoteReference"/>
          <w:rFonts w:ascii="Arial" w:hAnsi="Arial" w:cs="Arial"/>
        </w:rPr>
        <w:footnoteRef/>
      </w:r>
      <w:r w:rsidRPr="00E77FA2">
        <w:rPr>
          <w:rFonts w:ascii="Arial" w:hAnsi="Arial" w:cs="Arial"/>
        </w:rPr>
        <w:t xml:space="preserve"> Holt K, Barzel R. 2013. Oral Health and Learning: When Children’s Oral Health Suffers, So Does Their Ability to Learn (3</w:t>
      </w:r>
      <w:r w:rsidRPr="00E77FA2">
        <w:rPr>
          <w:rFonts w:ascii="Arial" w:hAnsi="Arial" w:cs="Arial"/>
          <w:vertAlign w:val="superscript"/>
        </w:rPr>
        <w:t>rd</w:t>
      </w:r>
      <w:r w:rsidRPr="00E77FA2">
        <w:rPr>
          <w:rFonts w:ascii="Arial" w:hAnsi="Arial" w:cs="Arial"/>
        </w:rPr>
        <w:t xml:space="preserve"> ed.). Washington, DC: National Maternal and Child Oral Health Resource Center.</w:t>
      </w:r>
    </w:p>
  </w:footnote>
  <w:footnote w:id="23">
    <w:p w14:paraId="1C12316A" w14:textId="77777777" w:rsidR="008D74A1" w:rsidRPr="00E77FA2" w:rsidRDefault="008D74A1">
      <w:pPr>
        <w:pStyle w:val="FootnoteText"/>
        <w:rPr>
          <w:rFonts w:ascii="Arial" w:hAnsi="Arial" w:cs="Arial"/>
        </w:rPr>
      </w:pPr>
      <w:r w:rsidRPr="00E77FA2">
        <w:rPr>
          <w:rStyle w:val="FootnoteReference"/>
          <w:rFonts w:ascii="Arial" w:hAnsi="Arial" w:cs="Arial"/>
        </w:rPr>
        <w:footnoteRef/>
      </w:r>
      <w:r w:rsidRPr="00E77FA2">
        <w:rPr>
          <w:rFonts w:ascii="Arial" w:hAnsi="Arial" w:cs="Arial"/>
        </w:rPr>
        <w:t xml:space="preserve"> Caspe, Margaret, M. Elena Lopez, and Cassandra Wolos. 2007. “Family Involvement in Elementary School Children’s’ Education.” </w:t>
      </w:r>
      <w:r w:rsidRPr="00E77FA2">
        <w:rPr>
          <w:rFonts w:ascii="Arial" w:hAnsi="Arial" w:cs="Arial"/>
          <w:i/>
        </w:rPr>
        <w:t>Family Involvement Makes a Difference.</w:t>
      </w:r>
      <w:r w:rsidRPr="00E77FA2">
        <w:rPr>
          <w:rFonts w:ascii="Arial" w:hAnsi="Arial" w:cs="Arial"/>
        </w:rPr>
        <w:t xml:space="preserve"> Cambridge: Harvard Family Research Project, Harvard Graduate School of Education.</w:t>
      </w:r>
    </w:p>
  </w:footnote>
  <w:footnote w:id="24">
    <w:p w14:paraId="00FE81F8" w14:textId="77777777" w:rsidR="008D74A1" w:rsidRPr="00E77FA2" w:rsidRDefault="008D74A1">
      <w:pPr>
        <w:pStyle w:val="FootnoteText"/>
        <w:rPr>
          <w:rFonts w:ascii="Arial" w:hAnsi="Arial" w:cs="Arial"/>
          <w:sz w:val="16"/>
          <w:szCs w:val="16"/>
        </w:rPr>
      </w:pPr>
      <w:r w:rsidRPr="00E77FA2">
        <w:rPr>
          <w:rStyle w:val="FootnoteReference"/>
          <w:rFonts w:ascii="Arial" w:hAnsi="Arial" w:cs="Arial"/>
        </w:rPr>
        <w:footnoteRef/>
      </w:r>
      <w:r w:rsidRPr="00E77FA2">
        <w:rPr>
          <w:rFonts w:ascii="Arial" w:hAnsi="Arial" w:cs="Arial"/>
        </w:rPr>
        <w:t xml:space="preserve"> Kreider, Holly, Margaret Caspe, Susan Kennedy, and Heather Weiss. 2007. “Family Involvement in Middle and High School Students’ Education.”</w:t>
      </w:r>
      <w:r w:rsidRPr="00E77FA2">
        <w:rPr>
          <w:rFonts w:ascii="Arial" w:hAnsi="Arial" w:cs="Arial"/>
          <w:i/>
        </w:rPr>
        <w:t xml:space="preserve"> Family Involvement Makes a Difference</w:t>
      </w:r>
      <w:r w:rsidRPr="00E77FA2">
        <w:rPr>
          <w:rFonts w:ascii="Arial" w:hAnsi="Arial" w:cs="Arial"/>
        </w:rPr>
        <w:t>. Cambridge: Harvard Family Research Project, Harvard Graduate School of Education.</w:t>
      </w:r>
    </w:p>
  </w:footnote>
  <w:footnote w:id="25">
    <w:p w14:paraId="3ECCC9BE" w14:textId="77777777" w:rsidR="008D74A1" w:rsidRPr="00E77FA2" w:rsidRDefault="008D74A1">
      <w:pPr>
        <w:pStyle w:val="FootnoteText"/>
        <w:rPr>
          <w:rFonts w:ascii="Arial" w:hAnsi="Arial" w:cs="Arial"/>
        </w:rPr>
      </w:pPr>
      <w:r w:rsidRPr="00E77FA2">
        <w:rPr>
          <w:rStyle w:val="FootnoteReference"/>
          <w:rFonts w:ascii="Arial" w:hAnsi="Arial" w:cs="Arial"/>
        </w:rPr>
        <w:footnoteRef/>
      </w:r>
      <w:r w:rsidRPr="00E77FA2">
        <w:rPr>
          <w:rFonts w:ascii="Arial" w:hAnsi="Arial" w:cs="Arial"/>
        </w:rPr>
        <w:t xml:space="preserve"> Henderson, Anne T., and Karen Mapp. 2002. </w:t>
      </w:r>
      <w:r w:rsidRPr="00E77FA2">
        <w:rPr>
          <w:rFonts w:ascii="Arial" w:hAnsi="Arial" w:cs="Arial"/>
          <w:i/>
        </w:rPr>
        <w:t>A New Wave of Evidence: The Impact of School, Family, and Community Connections on Student Achievement</w:t>
      </w:r>
      <w:r w:rsidRPr="00E77FA2">
        <w:rPr>
          <w:rFonts w:ascii="Arial" w:hAnsi="Arial" w:cs="Arial"/>
        </w:rPr>
        <w:t>. Southwest Education Development Laboratory.</w:t>
      </w:r>
    </w:p>
  </w:footnote>
  <w:footnote w:id="26">
    <w:p w14:paraId="51645A86" w14:textId="77777777" w:rsidR="008D74A1" w:rsidRPr="00E77FA2" w:rsidRDefault="008D74A1" w:rsidP="009B350F">
      <w:pPr>
        <w:adjustRightInd w:val="0"/>
        <w:contextualSpacing/>
        <w:rPr>
          <w:rFonts w:cs="Arial"/>
        </w:rPr>
      </w:pPr>
      <w:r w:rsidRPr="00E77FA2">
        <w:rPr>
          <w:rStyle w:val="FootnoteReference"/>
          <w:rFonts w:cs="Arial"/>
        </w:rPr>
        <w:footnoteRef/>
      </w:r>
      <w:r w:rsidRPr="00E77FA2">
        <w:rPr>
          <w:rFonts w:cs="Arial"/>
        </w:rPr>
        <w:t xml:space="preserve"> Reschly, A., &amp; Christenson, S. L. 2006a. “Prediction of Dropout Among Students with Mild Disabilities: A Case for the Inclusion of Student Engagement Variables.” </w:t>
      </w:r>
      <w:r w:rsidRPr="00E77FA2">
        <w:rPr>
          <w:rFonts w:cs="Arial"/>
          <w:i/>
          <w:iCs/>
        </w:rPr>
        <w:t>Remedial and</w:t>
      </w:r>
      <w:r w:rsidRPr="00E77FA2">
        <w:rPr>
          <w:rFonts w:cs="Arial"/>
        </w:rPr>
        <w:t xml:space="preserve"> </w:t>
      </w:r>
      <w:r w:rsidRPr="00E77FA2">
        <w:rPr>
          <w:rFonts w:cs="Arial"/>
          <w:i/>
          <w:iCs/>
        </w:rPr>
        <w:t>Special Education</w:t>
      </w:r>
      <w:r w:rsidRPr="00E77FA2">
        <w:rPr>
          <w:rFonts w:cs="Arial"/>
        </w:rPr>
        <w:t xml:space="preserve"> </w:t>
      </w:r>
      <w:r w:rsidRPr="00E77FA2">
        <w:rPr>
          <w:rFonts w:cs="Arial"/>
          <w:i/>
          <w:iCs/>
        </w:rPr>
        <w:t>27</w:t>
      </w:r>
      <w:r w:rsidRPr="00E77FA2">
        <w:rPr>
          <w:rFonts w:cs="Arial"/>
        </w:rPr>
        <w:t>: 276–292.</w:t>
      </w:r>
    </w:p>
  </w:footnote>
  <w:footnote w:id="27">
    <w:p w14:paraId="11F1A1DF" w14:textId="77777777" w:rsidR="008D74A1" w:rsidRPr="00E77FA2" w:rsidRDefault="008D74A1" w:rsidP="009B350F">
      <w:pPr>
        <w:adjustRightInd w:val="0"/>
        <w:contextualSpacing/>
        <w:rPr>
          <w:rFonts w:cs="Arial"/>
        </w:rPr>
      </w:pPr>
      <w:r w:rsidRPr="00E77FA2">
        <w:rPr>
          <w:rStyle w:val="FootnoteReference"/>
          <w:rFonts w:cs="Arial"/>
        </w:rPr>
        <w:footnoteRef/>
      </w:r>
      <w:r w:rsidRPr="00E77FA2">
        <w:rPr>
          <w:rFonts w:cs="Arial"/>
        </w:rPr>
        <w:t xml:space="preserve"> Reschly, A., &amp; Christenson, S. L. 2006b. “Promoting School Completion.” In </w:t>
      </w:r>
      <w:r w:rsidRPr="00E77FA2">
        <w:rPr>
          <w:rFonts w:cs="Arial"/>
          <w:i/>
          <w:iCs/>
        </w:rPr>
        <w:t>Children’s needs III: Understanding and Addressing the Developmental</w:t>
      </w:r>
      <w:r w:rsidRPr="00E77FA2">
        <w:rPr>
          <w:rFonts w:cs="Arial"/>
        </w:rPr>
        <w:t xml:space="preserve"> </w:t>
      </w:r>
      <w:r w:rsidRPr="00E77FA2">
        <w:rPr>
          <w:rFonts w:cs="Arial"/>
          <w:i/>
          <w:iCs/>
        </w:rPr>
        <w:t xml:space="preserve">Needs of Children, </w:t>
      </w:r>
      <w:r w:rsidRPr="00E77FA2">
        <w:rPr>
          <w:rFonts w:cs="Arial"/>
          <w:iCs/>
        </w:rPr>
        <w:t>edited by</w:t>
      </w:r>
      <w:r w:rsidRPr="00E77FA2">
        <w:rPr>
          <w:rFonts w:cs="Arial"/>
          <w:i/>
          <w:iCs/>
        </w:rPr>
        <w:t xml:space="preserve"> </w:t>
      </w:r>
      <w:r w:rsidRPr="00E77FA2">
        <w:rPr>
          <w:rFonts w:cs="Arial"/>
        </w:rPr>
        <w:t>G. Bear, &amp; K. Minke. Bethesda, MD: National Association of School Psychologists.</w:t>
      </w:r>
    </w:p>
  </w:footnote>
  <w:footnote w:id="28">
    <w:p w14:paraId="7DDB9DA8" w14:textId="670CE9E1" w:rsidR="008D74A1" w:rsidRPr="00E77FA2" w:rsidRDefault="008D74A1" w:rsidP="009B350F">
      <w:pPr>
        <w:ind w:right="118"/>
        <w:contextualSpacing/>
        <w:rPr>
          <w:rFonts w:cs="Arial"/>
          <w:spacing w:val="-3"/>
        </w:rPr>
      </w:pPr>
      <w:r w:rsidRPr="00E77FA2">
        <w:rPr>
          <w:rStyle w:val="FootnoteReference"/>
          <w:rFonts w:cs="Arial"/>
        </w:rPr>
        <w:footnoteRef/>
      </w:r>
      <w:r w:rsidRPr="00E77FA2">
        <w:rPr>
          <w:rFonts w:cs="Arial"/>
        </w:rPr>
        <w:t xml:space="preserve"> </w:t>
      </w:r>
      <w:r w:rsidRPr="00E77FA2">
        <w:rPr>
          <w:rFonts w:cs="Arial"/>
          <w:spacing w:val="-3"/>
        </w:rPr>
        <w:t xml:space="preserve">Public Agenda. 1997. Getting by: What American Teenagers Really Think about Their Schools. New York: Public Agenda. </w:t>
      </w:r>
    </w:p>
  </w:footnote>
  <w:footnote w:id="29">
    <w:p w14:paraId="6D3C3854" w14:textId="77777777" w:rsidR="008D74A1" w:rsidRPr="00E77FA2" w:rsidRDefault="008D74A1" w:rsidP="009B350F">
      <w:pPr>
        <w:ind w:right="118"/>
        <w:contextualSpacing/>
        <w:rPr>
          <w:rFonts w:cs="Arial"/>
          <w:spacing w:val="-3"/>
        </w:rPr>
      </w:pPr>
      <w:r w:rsidRPr="00E77FA2">
        <w:rPr>
          <w:rStyle w:val="FootnoteReference"/>
          <w:rFonts w:cs="Arial"/>
        </w:rPr>
        <w:footnoteRef/>
      </w:r>
      <w:r w:rsidRPr="00E77FA2">
        <w:rPr>
          <w:rFonts w:cs="Arial"/>
        </w:rPr>
        <w:t xml:space="preserve"> </w:t>
      </w:r>
      <w:r w:rsidRPr="00E77FA2">
        <w:rPr>
          <w:rFonts w:cs="Arial"/>
          <w:spacing w:val="-3"/>
        </w:rPr>
        <w:t xml:space="preserve">Roeser, R. W., Eccles, J. S., &amp; Sameroff, A. J. 1998. Academic and Emotional Functioning in Early Adolescence: Longitudinal Relations, Patterns, and Prediction by Experience in Middle School. </w:t>
      </w:r>
      <w:r w:rsidRPr="00E77FA2">
        <w:rPr>
          <w:rFonts w:cs="Arial"/>
          <w:i/>
          <w:spacing w:val="-3"/>
        </w:rPr>
        <w:t>Development and Psychopathology</w:t>
      </w:r>
      <w:r w:rsidRPr="00E77FA2">
        <w:rPr>
          <w:rFonts w:cs="Arial"/>
          <w:spacing w:val="-3"/>
        </w:rPr>
        <w:t xml:space="preserve"> 10(2): 321–352.</w:t>
      </w:r>
    </w:p>
  </w:footnote>
  <w:footnote w:id="30">
    <w:p w14:paraId="3A49E9EC" w14:textId="77777777" w:rsidR="008D74A1" w:rsidRPr="00E77FA2" w:rsidRDefault="008D74A1" w:rsidP="009B350F">
      <w:pPr>
        <w:ind w:right="118"/>
        <w:contextualSpacing/>
        <w:rPr>
          <w:rFonts w:cs="Arial"/>
          <w:spacing w:val="-3"/>
        </w:rPr>
      </w:pPr>
      <w:r w:rsidRPr="00E77FA2">
        <w:rPr>
          <w:rStyle w:val="FootnoteReference"/>
          <w:rFonts w:cs="Arial"/>
        </w:rPr>
        <w:footnoteRef/>
      </w:r>
      <w:r w:rsidRPr="00E77FA2">
        <w:rPr>
          <w:rFonts w:cs="Arial"/>
        </w:rPr>
        <w:t xml:space="preserve"> </w:t>
      </w:r>
      <w:r w:rsidRPr="00E77FA2">
        <w:rPr>
          <w:rFonts w:cs="Arial"/>
          <w:spacing w:val="-3"/>
        </w:rPr>
        <w:t xml:space="preserve">Skinner, E. A., Wellborn, J. G., &amp; Connell, J. P. 1990. What it Takes to do well in School and Whether I’ve got it: The Role of Perceived Control in Children’s Engagement and School Achievement. </w:t>
      </w:r>
      <w:r w:rsidRPr="00E77FA2">
        <w:rPr>
          <w:rFonts w:cs="Arial"/>
          <w:i/>
          <w:spacing w:val="-3"/>
        </w:rPr>
        <w:t>Journal of Educational Psychology</w:t>
      </w:r>
      <w:r w:rsidRPr="00E77FA2">
        <w:rPr>
          <w:rFonts w:cs="Arial"/>
          <w:spacing w:val="-3"/>
        </w:rPr>
        <w:t xml:space="preserve"> 82: 22–32.</w:t>
      </w:r>
    </w:p>
  </w:footnote>
  <w:footnote w:id="31">
    <w:p w14:paraId="409FE2DE" w14:textId="77777777" w:rsidR="008D74A1" w:rsidRPr="00E77FA2" w:rsidRDefault="008D74A1" w:rsidP="009B350F">
      <w:pPr>
        <w:spacing w:before="4"/>
        <w:ind w:right="118"/>
        <w:contextualSpacing/>
        <w:rPr>
          <w:rFonts w:cs="Arial"/>
        </w:rPr>
      </w:pPr>
      <w:r w:rsidRPr="00E77FA2">
        <w:rPr>
          <w:rStyle w:val="FootnoteReference"/>
          <w:rFonts w:cs="Arial"/>
        </w:rPr>
        <w:footnoteRef/>
      </w:r>
      <w:r w:rsidRPr="00E77FA2">
        <w:rPr>
          <w:rFonts w:cs="Arial"/>
        </w:rPr>
        <w:t xml:space="preserve"> Pianta, R.C., Hamre, B. K., &amp; Allen, J. P. 2012. “Teacher-Student Relationships and Engagement: Conceptualizing, Measuring, and Improving the Capacity of Classroom Interactions.” In </w:t>
      </w:r>
      <w:r w:rsidRPr="00E77FA2">
        <w:rPr>
          <w:rFonts w:cs="Arial"/>
          <w:i/>
        </w:rPr>
        <w:t xml:space="preserve">Handbook of Research on Student Engagement, </w:t>
      </w:r>
      <w:r w:rsidRPr="00E77FA2">
        <w:rPr>
          <w:rFonts w:cs="Arial"/>
        </w:rPr>
        <w:t>edited by S.L. Christenson, A. L. Reschly, &amp; C. Wylie</w:t>
      </w:r>
      <w:r w:rsidRPr="00E77FA2">
        <w:rPr>
          <w:rFonts w:cs="Arial"/>
          <w:i/>
        </w:rPr>
        <w:t>.</w:t>
      </w:r>
      <w:r w:rsidRPr="00E77FA2">
        <w:rPr>
          <w:rFonts w:cs="Arial"/>
        </w:rPr>
        <w:t xml:space="preserve"> New York, NY: Springer Science + Business Media.</w:t>
      </w:r>
    </w:p>
  </w:footnote>
  <w:footnote w:id="32">
    <w:p w14:paraId="50CF3A36" w14:textId="77777777" w:rsidR="008D74A1" w:rsidRPr="00E77FA2" w:rsidRDefault="008D74A1" w:rsidP="009B350F">
      <w:pPr>
        <w:tabs>
          <w:tab w:val="left" w:pos="450"/>
        </w:tabs>
        <w:spacing w:before="4"/>
        <w:ind w:right="118"/>
        <w:contextualSpacing/>
        <w:rPr>
          <w:rFonts w:cs="Arial"/>
          <w:sz w:val="16"/>
          <w:szCs w:val="16"/>
        </w:rPr>
      </w:pPr>
      <w:r w:rsidRPr="00E77FA2">
        <w:rPr>
          <w:rStyle w:val="FootnoteReference"/>
          <w:rFonts w:cs="Arial"/>
        </w:rPr>
        <w:footnoteRef/>
      </w:r>
      <w:r w:rsidRPr="00E77FA2">
        <w:rPr>
          <w:rFonts w:cs="Arial"/>
        </w:rPr>
        <w:t xml:space="preserve"> Juvonen, J., Espinoza, G., &amp; Knifsend C. 2012. “The Role of Peer Relationships in Student Academic and Extracurricular Engagement.” In </w:t>
      </w:r>
      <w:r w:rsidRPr="00E77FA2">
        <w:rPr>
          <w:rFonts w:cs="Arial"/>
          <w:i/>
        </w:rPr>
        <w:t xml:space="preserve">Handbook of Research on Student Engagement, </w:t>
      </w:r>
      <w:r w:rsidRPr="00E77FA2">
        <w:rPr>
          <w:rFonts w:cs="Arial"/>
        </w:rPr>
        <w:t>edited by S.L. Christenson, A. L. Reschly, &amp; C. Wylie</w:t>
      </w:r>
      <w:r w:rsidRPr="00E77FA2">
        <w:rPr>
          <w:rFonts w:cs="Arial"/>
          <w:i/>
        </w:rPr>
        <w:t>.</w:t>
      </w:r>
      <w:r w:rsidRPr="00E77FA2">
        <w:rPr>
          <w:rFonts w:cs="Arial"/>
        </w:rPr>
        <w:t xml:space="preserve"> New York, NY: Springer Science + Business Media.</w:t>
      </w:r>
    </w:p>
  </w:footnote>
  <w:footnote w:id="33">
    <w:p w14:paraId="38F9021C" w14:textId="77777777" w:rsidR="008D74A1" w:rsidRPr="00E77FA2" w:rsidRDefault="008D74A1" w:rsidP="009B350F">
      <w:pPr>
        <w:tabs>
          <w:tab w:val="left" w:pos="450"/>
        </w:tabs>
        <w:spacing w:before="4"/>
        <w:ind w:right="118"/>
        <w:contextualSpacing/>
        <w:rPr>
          <w:rFonts w:cs="Arial"/>
        </w:rPr>
      </w:pPr>
      <w:r w:rsidRPr="00E77FA2">
        <w:rPr>
          <w:rStyle w:val="FootnoteReference"/>
          <w:rFonts w:cs="Arial"/>
        </w:rPr>
        <w:footnoteRef/>
      </w:r>
      <w:r w:rsidRPr="00E77FA2">
        <w:rPr>
          <w:rFonts w:cs="Arial"/>
        </w:rPr>
        <w:t xml:space="preserve"> Brown, R., &amp; Evans, W. P. 2002. “Extracurricular Activity and Ethnicity: Creating Greater School Connection among Diverse Student Populations.” </w:t>
      </w:r>
      <w:r w:rsidRPr="00E77FA2">
        <w:rPr>
          <w:rFonts w:cs="Arial"/>
          <w:i/>
        </w:rPr>
        <w:t>Urban Education</w:t>
      </w:r>
      <w:r w:rsidRPr="00E77FA2">
        <w:rPr>
          <w:rFonts w:cs="Arial"/>
        </w:rPr>
        <w:t xml:space="preserve"> 37: 41–58.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5619" w14:textId="77777777" w:rsidR="008D74A1" w:rsidRPr="002F0E3F" w:rsidRDefault="008D74A1" w:rsidP="009663DE">
    <w:pPr>
      <w:pStyle w:val="Header"/>
      <w:jc w:val="right"/>
      <w:rPr>
        <w:rFonts w:cs="Arial"/>
      </w:rPr>
    </w:pPr>
    <w:r w:rsidRPr="002F0E3F">
      <w:rPr>
        <w:rFonts w:cs="Arial"/>
      </w:rPr>
      <w:t>Comprehensive Needs Assessment</w:t>
    </w:r>
  </w:p>
  <w:p w14:paraId="565BC8FC" w14:textId="77777777" w:rsidR="008D74A1" w:rsidRPr="002F0E3F" w:rsidRDefault="008D74A1" w:rsidP="006E2205">
    <w:pPr>
      <w:pStyle w:val="Header"/>
      <w:jc w:val="right"/>
      <w:rPr>
        <w:rFonts w:cs="Arial"/>
      </w:rPr>
    </w:pPr>
    <w:r w:rsidRPr="002F0E3F">
      <w:rPr>
        <w:rFonts w:cs="Arial"/>
      </w:rPr>
      <w:t>California Migrant Education Office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3EBD" w14:textId="712686B8" w:rsidR="008D74A1" w:rsidRPr="002F0E3F" w:rsidRDefault="00CD2779" w:rsidP="00C42C3B">
    <w:pPr>
      <w:pStyle w:val="Header"/>
      <w:jc w:val="right"/>
      <w:rPr>
        <w:rFonts w:cs="Arial"/>
      </w:rPr>
    </w:pPr>
    <w:r>
      <w:rPr>
        <w:rFonts w:cs="Arial"/>
      </w:rPr>
      <w:t xml:space="preserve">2025 </w:t>
    </w:r>
    <w:r w:rsidR="008D74A1" w:rsidRPr="002F0E3F">
      <w:rPr>
        <w:rFonts w:cs="Arial"/>
      </w:rPr>
      <w:t>Comprehensive Needs Assessment</w:t>
    </w:r>
  </w:p>
  <w:p w14:paraId="136FA9E0" w14:textId="77777777" w:rsidR="00CD2779" w:rsidRDefault="008D74A1" w:rsidP="006E2205">
    <w:pPr>
      <w:pStyle w:val="Header"/>
      <w:jc w:val="right"/>
      <w:rPr>
        <w:rFonts w:cs="Arial"/>
      </w:rPr>
    </w:pPr>
    <w:r w:rsidRPr="002F0E3F">
      <w:rPr>
        <w:rFonts w:cs="Arial"/>
      </w:rPr>
      <w:t xml:space="preserve">California </w:t>
    </w:r>
    <w:r w:rsidR="00CD2779">
      <w:rPr>
        <w:rFonts w:cs="Arial"/>
      </w:rPr>
      <w:t xml:space="preserve">Department of Education </w:t>
    </w:r>
  </w:p>
  <w:p w14:paraId="231D3B04" w14:textId="52F67609" w:rsidR="00CD2779" w:rsidRPr="002F0E3F" w:rsidRDefault="008D74A1" w:rsidP="00CD2779">
    <w:pPr>
      <w:pStyle w:val="Header"/>
      <w:spacing w:after="240"/>
      <w:jc w:val="right"/>
      <w:rPr>
        <w:rFonts w:cs="Arial"/>
      </w:rPr>
    </w:pPr>
    <w:r w:rsidRPr="002F0E3F">
      <w:rPr>
        <w:rFonts w:cs="Arial"/>
      </w:rPr>
      <w:t>Migrant Education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7FA"/>
    <w:multiLevelType w:val="hybridMultilevel"/>
    <w:tmpl w:val="D60A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A742B"/>
    <w:multiLevelType w:val="hybridMultilevel"/>
    <w:tmpl w:val="BDB6953E"/>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6114DD"/>
    <w:multiLevelType w:val="hybridMultilevel"/>
    <w:tmpl w:val="3872E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A821AB"/>
    <w:multiLevelType w:val="hybridMultilevel"/>
    <w:tmpl w:val="C382D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67810"/>
    <w:multiLevelType w:val="multilevel"/>
    <w:tmpl w:val="50065DC4"/>
    <w:styleLink w:val="List3Levels"/>
    <w:lvl w:ilvl="0">
      <w:start w:val="1"/>
      <w:numFmt w:val="bullet"/>
      <w:pStyle w:val="List-Level1"/>
      <w:lvlText w:val=""/>
      <w:lvlJc w:val="left"/>
      <w:pPr>
        <w:ind w:left="792" w:hanging="216"/>
      </w:pPr>
      <w:rPr>
        <w:rFonts w:ascii="Symbol" w:hAnsi="Symbol" w:hint="default"/>
        <w:b/>
        <w:bCs/>
        <w:color w:val="4472C4" w:themeColor="accent5"/>
        <w:sz w:val="18"/>
        <w:szCs w:val="24"/>
      </w:rPr>
    </w:lvl>
    <w:lvl w:ilvl="1">
      <w:start w:val="1"/>
      <w:numFmt w:val="bullet"/>
      <w:lvlText w:val="-"/>
      <w:lvlJc w:val="left"/>
      <w:pPr>
        <w:ind w:left="1296" w:hanging="216"/>
      </w:pPr>
      <w:rPr>
        <w:rFonts w:ascii="Calibri" w:hAnsi="Calibri" w:hint="default"/>
        <w:b w:val="0"/>
        <w:bCs/>
        <w:i w:val="0"/>
        <w:color w:val="4472C4" w:themeColor="accent5"/>
        <w:sz w:val="24"/>
        <w:szCs w:val="24"/>
      </w:rPr>
    </w:lvl>
    <w:lvl w:ilvl="2">
      <w:start w:val="1"/>
      <w:numFmt w:val="bullet"/>
      <w:pStyle w:val="List-Level3"/>
      <w:lvlText w:val="○"/>
      <w:lvlJc w:val="left"/>
      <w:pPr>
        <w:ind w:left="1800" w:hanging="216"/>
      </w:pPr>
      <w:rPr>
        <w:rFonts w:ascii="Courier New" w:hAnsi="Courier New" w:hint="default"/>
        <w:b/>
        <w:bCs/>
        <w:color w:val="4472C4"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5" w15:restartNumberingAfterBreak="0">
    <w:nsid w:val="078769E3"/>
    <w:multiLevelType w:val="hybridMultilevel"/>
    <w:tmpl w:val="243A1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21F02"/>
    <w:multiLevelType w:val="hybridMultilevel"/>
    <w:tmpl w:val="B0BE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5D0DDE"/>
    <w:multiLevelType w:val="hybridMultilevel"/>
    <w:tmpl w:val="580655F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8652988"/>
    <w:multiLevelType w:val="hybridMultilevel"/>
    <w:tmpl w:val="2256A35A"/>
    <w:lvl w:ilvl="0" w:tplc="0409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86826D0"/>
    <w:multiLevelType w:val="hybridMultilevel"/>
    <w:tmpl w:val="5B74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554452"/>
    <w:multiLevelType w:val="hybridMultilevel"/>
    <w:tmpl w:val="A31CEA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C56EF8"/>
    <w:multiLevelType w:val="hybridMultilevel"/>
    <w:tmpl w:val="D3145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A7E4283"/>
    <w:multiLevelType w:val="hybridMultilevel"/>
    <w:tmpl w:val="D92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440B1A"/>
    <w:multiLevelType w:val="hybridMultilevel"/>
    <w:tmpl w:val="465A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DB0F6C"/>
    <w:multiLevelType w:val="multilevel"/>
    <w:tmpl w:val="9D36C1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8F400C"/>
    <w:multiLevelType w:val="hybridMultilevel"/>
    <w:tmpl w:val="8E7EEAE6"/>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7F77A9"/>
    <w:multiLevelType w:val="hybridMultilevel"/>
    <w:tmpl w:val="A31CE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AB0A39"/>
    <w:multiLevelType w:val="hybridMultilevel"/>
    <w:tmpl w:val="DDDE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DD5C80"/>
    <w:multiLevelType w:val="multilevel"/>
    <w:tmpl w:val="50065DC4"/>
    <w:numStyleLink w:val="List3Levels"/>
  </w:abstractNum>
  <w:abstractNum w:abstractNumId="19" w15:restartNumberingAfterBreak="0">
    <w:nsid w:val="1DAA4342"/>
    <w:multiLevelType w:val="hybridMultilevel"/>
    <w:tmpl w:val="07BE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0014CE"/>
    <w:multiLevelType w:val="hybridMultilevel"/>
    <w:tmpl w:val="E2B24F82"/>
    <w:lvl w:ilvl="0" w:tplc="04090019">
      <w:start w:val="1"/>
      <w:numFmt w:val="lowerLetter"/>
      <w:lvlText w:val="%1."/>
      <w:lvlJc w:val="left"/>
      <w:pPr>
        <w:ind w:left="1489" w:hanging="360"/>
      </w:pPr>
      <w:rPr>
        <w:b w:val="0"/>
      </w:rPr>
    </w:lvl>
    <w:lvl w:ilvl="1" w:tplc="0409000F">
      <w:start w:val="1"/>
      <w:numFmt w:val="decimal"/>
      <w:lvlText w:val="%2."/>
      <w:lvlJc w:val="left"/>
      <w:pPr>
        <w:ind w:left="769"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2B7093E"/>
    <w:multiLevelType w:val="multilevel"/>
    <w:tmpl w:val="41CC7F6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37A32DD"/>
    <w:multiLevelType w:val="hybridMultilevel"/>
    <w:tmpl w:val="FA86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6F3173"/>
    <w:multiLevelType w:val="hybridMultilevel"/>
    <w:tmpl w:val="ADC297B0"/>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69B37AB"/>
    <w:multiLevelType w:val="hybridMultilevel"/>
    <w:tmpl w:val="9C0E3A64"/>
    <w:lvl w:ilvl="0" w:tplc="80E659C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C36460"/>
    <w:multiLevelType w:val="hybridMultilevel"/>
    <w:tmpl w:val="10F0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B20ACA"/>
    <w:multiLevelType w:val="hybridMultilevel"/>
    <w:tmpl w:val="27BA67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D9E3778"/>
    <w:multiLevelType w:val="hybridMultilevel"/>
    <w:tmpl w:val="6688D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890BAD"/>
    <w:multiLevelType w:val="hybridMultilevel"/>
    <w:tmpl w:val="587CE0F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F5E708D"/>
    <w:multiLevelType w:val="hybridMultilevel"/>
    <w:tmpl w:val="6080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5E541F"/>
    <w:multiLevelType w:val="hybridMultilevel"/>
    <w:tmpl w:val="A31CEA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0962A88"/>
    <w:multiLevelType w:val="multilevel"/>
    <w:tmpl w:val="668A3D9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52C0E79"/>
    <w:multiLevelType w:val="hybridMultilevel"/>
    <w:tmpl w:val="5BBEEDF8"/>
    <w:lvl w:ilvl="0" w:tplc="D5AA86C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DF7A96"/>
    <w:multiLevelType w:val="hybridMultilevel"/>
    <w:tmpl w:val="5E880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A411811"/>
    <w:multiLevelType w:val="hybridMultilevel"/>
    <w:tmpl w:val="EA4C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7663A6"/>
    <w:multiLevelType w:val="multilevel"/>
    <w:tmpl w:val="9D36C1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D22747D"/>
    <w:multiLevelType w:val="hybridMultilevel"/>
    <w:tmpl w:val="4FF4C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480AF3"/>
    <w:multiLevelType w:val="hybridMultilevel"/>
    <w:tmpl w:val="67C0A4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EDC5057"/>
    <w:multiLevelType w:val="hybridMultilevel"/>
    <w:tmpl w:val="E07205AC"/>
    <w:lvl w:ilvl="0" w:tplc="8B2215E6">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A55127"/>
    <w:multiLevelType w:val="hybridMultilevel"/>
    <w:tmpl w:val="857EDD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50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DB1609"/>
    <w:multiLevelType w:val="hybridMultilevel"/>
    <w:tmpl w:val="25B02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90802DD"/>
    <w:multiLevelType w:val="hybridMultilevel"/>
    <w:tmpl w:val="EC808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BF6F1E"/>
    <w:multiLevelType w:val="multilevel"/>
    <w:tmpl w:val="9D36C1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AD80904"/>
    <w:multiLevelType w:val="hybridMultilevel"/>
    <w:tmpl w:val="587CE0F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C470F75"/>
    <w:multiLevelType w:val="hybridMultilevel"/>
    <w:tmpl w:val="3374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7A15A2"/>
    <w:multiLevelType w:val="hybridMultilevel"/>
    <w:tmpl w:val="4378C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A84DAA"/>
    <w:multiLevelType w:val="hybridMultilevel"/>
    <w:tmpl w:val="8DA80114"/>
    <w:lvl w:ilvl="0" w:tplc="0409000F">
      <w:start w:val="1"/>
      <w:numFmt w:val="decimal"/>
      <w:lvlText w:val="%1."/>
      <w:lvlJc w:val="left"/>
      <w:pPr>
        <w:ind w:left="769"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3465AC7"/>
    <w:multiLevelType w:val="hybridMultilevel"/>
    <w:tmpl w:val="9A1C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AB597A"/>
    <w:multiLevelType w:val="hybridMultilevel"/>
    <w:tmpl w:val="A31CE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417E2B"/>
    <w:multiLevelType w:val="hybridMultilevel"/>
    <w:tmpl w:val="FC7E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3">
      <w:start w:val="1"/>
      <w:numFmt w:val="bullet"/>
      <w:lvlText w:val="o"/>
      <w:lvlJc w:val="left"/>
      <w:pPr>
        <w:ind w:left="144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7F7175"/>
    <w:multiLevelType w:val="hybridMultilevel"/>
    <w:tmpl w:val="D7C2E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F2C66E9"/>
    <w:multiLevelType w:val="hybridMultilevel"/>
    <w:tmpl w:val="4CB4F220"/>
    <w:lvl w:ilvl="0" w:tplc="B09A8B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0BA7876"/>
    <w:multiLevelType w:val="hybridMultilevel"/>
    <w:tmpl w:val="3766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D0663C"/>
    <w:multiLevelType w:val="multilevel"/>
    <w:tmpl w:val="9D36C1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0E373B7"/>
    <w:multiLevelType w:val="hybridMultilevel"/>
    <w:tmpl w:val="0AF502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71A47BE4"/>
    <w:multiLevelType w:val="multilevel"/>
    <w:tmpl w:val="DBBAFD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b w:val="0"/>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1E47831"/>
    <w:multiLevelType w:val="hybridMultilevel"/>
    <w:tmpl w:val="7D9C3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20C1857"/>
    <w:multiLevelType w:val="hybridMultilevel"/>
    <w:tmpl w:val="3FB4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C04146"/>
    <w:multiLevelType w:val="hybridMultilevel"/>
    <w:tmpl w:val="4FAA80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75877D87"/>
    <w:multiLevelType w:val="hybridMultilevel"/>
    <w:tmpl w:val="A31CEA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38028F"/>
    <w:multiLevelType w:val="hybridMultilevel"/>
    <w:tmpl w:val="ADE0EAF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61" w15:restartNumberingAfterBreak="0">
    <w:nsid w:val="79F57FA8"/>
    <w:multiLevelType w:val="multilevel"/>
    <w:tmpl w:val="9D36C1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A590524"/>
    <w:multiLevelType w:val="hybridMultilevel"/>
    <w:tmpl w:val="BDB695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AE90D33"/>
    <w:multiLevelType w:val="hybridMultilevel"/>
    <w:tmpl w:val="A31CEA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B11042B"/>
    <w:multiLevelType w:val="hybridMultilevel"/>
    <w:tmpl w:val="8628370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E124FDF"/>
    <w:multiLevelType w:val="multilevel"/>
    <w:tmpl w:val="E006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9D31B5"/>
    <w:multiLevelType w:val="hybridMultilevel"/>
    <w:tmpl w:val="55F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058403">
    <w:abstractNumId w:val="41"/>
  </w:num>
  <w:num w:numId="2" w16cid:durableId="1928691495">
    <w:abstractNumId w:val="12"/>
  </w:num>
  <w:num w:numId="3" w16cid:durableId="1881820455">
    <w:abstractNumId w:val="36"/>
  </w:num>
  <w:num w:numId="4" w16cid:durableId="496071804">
    <w:abstractNumId w:val="9"/>
  </w:num>
  <w:num w:numId="5" w16cid:durableId="1738553901">
    <w:abstractNumId w:val="17"/>
  </w:num>
  <w:num w:numId="6" w16cid:durableId="778986952">
    <w:abstractNumId w:val="49"/>
  </w:num>
  <w:num w:numId="7" w16cid:durableId="868877072">
    <w:abstractNumId w:val="31"/>
  </w:num>
  <w:num w:numId="8" w16cid:durableId="2076318889">
    <w:abstractNumId w:val="28"/>
  </w:num>
  <w:num w:numId="9" w16cid:durableId="1174757773">
    <w:abstractNumId w:val="51"/>
  </w:num>
  <w:num w:numId="10" w16cid:durableId="170294662">
    <w:abstractNumId w:val="34"/>
  </w:num>
  <w:num w:numId="11" w16cid:durableId="413015533">
    <w:abstractNumId w:val="47"/>
  </w:num>
  <w:num w:numId="12" w16cid:durableId="1452360354">
    <w:abstractNumId w:val="19"/>
  </w:num>
  <w:num w:numId="13" w16cid:durableId="1371568324">
    <w:abstractNumId w:val="20"/>
  </w:num>
  <w:num w:numId="14" w16cid:durableId="730272117">
    <w:abstractNumId w:val="55"/>
  </w:num>
  <w:num w:numId="15" w16cid:durableId="1824161144">
    <w:abstractNumId w:val="6"/>
  </w:num>
  <w:num w:numId="16" w16cid:durableId="1824159231">
    <w:abstractNumId w:val="45"/>
  </w:num>
  <w:num w:numId="17" w16cid:durableId="849219863">
    <w:abstractNumId w:val="39"/>
  </w:num>
  <w:num w:numId="18" w16cid:durableId="820773914">
    <w:abstractNumId w:val="27"/>
  </w:num>
  <w:num w:numId="19" w16cid:durableId="1637838019">
    <w:abstractNumId w:val="5"/>
  </w:num>
  <w:num w:numId="20" w16cid:durableId="973295631">
    <w:abstractNumId w:val="52"/>
  </w:num>
  <w:num w:numId="21" w16cid:durableId="1805346824">
    <w:abstractNumId w:val="3"/>
  </w:num>
  <w:num w:numId="22" w16cid:durableId="856846899">
    <w:abstractNumId w:val="44"/>
  </w:num>
  <w:num w:numId="23" w16cid:durableId="1616016637">
    <w:abstractNumId w:val="54"/>
  </w:num>
  <w:num w:numId="24" w16cid:durableId="1148206007">
    <w:abstractNumId w:val="25"/>
  </w:num>
  <w:num w:numId="25" w16cid:durableId="1791584422">
    <w:abstractNumId w:val="43"/>
  </w:num>
  <w:num w:numId="26" w16cid:durableId="1880165980">
    <w:abstractNumId w:val="16"/>
  </w:num>
  <w:num w:numId="27" w16cid:durableId="1457262900">
    <w:abstractNumId w:val="38"/>
  </w:num>
  <w:num w:numId="28" w16cid:durableId="28847321">
    <w:abstractNumId w:val="59"/>
  </w:num>
  <w:num w:numId="29" w16cid:durableId="1484001795">
    <w:abstractNumId w:val="48"/>
  </w:num>
  <w:num w:numId="30" w16cid:durableId="1571118039">
    <w:abstractNumId w:val="10"/>
  </w:num>
  <w:num w:numId="31" w16cid:durableId="2088842750">
    <w:abstractNumId w:val="42"/>
  </w:num>
  <w:num w:numId="32" w16cid:durableId="1965188106">
    <w:abstractNumId w:val="61"/>
  </w:num>
  <w:num w:numId="33" w16cid:durableId="1443987218">
    <w:abstractNumId w:val="14"/>
  </w:num>
  <w:num w:numId="34" w16cid:durableId="680668534">
    <w:abstractNumId w:val="29"/>
  </w:num>
  <w:num w:numId="35" w16cid:durableId="1169447941">
    <w:abstractNumId w:val="22"/>
  </w:num>
  <w:num w:numId="36" w16cid:durableId="1485388692">
    <w:abstractNumId w:val="60"/>
  </w:num>
  <w:num w:numId="37" w16cid:durableId="554437591">
    <w:abstractNumId w:val="57"/>
  </w:num>
  <w:num w:numId="38" w16cid:durableId="1916012394">
    <w:abstractNumId w:val="0"/>
  </w:num>
  <w:num w:numId="39" w16cid:durableId="1865285664">
    <w:abstractNumId w:val="66"/>
  </w:num>
  <w:num w:numId="40" w16cid:durableId="1266183350">
    <w:abstractNumId w:val="32"/>
  </w:num>
  <w:num w:numId="41" w16cid:durableId="1557624208">
    <w:abstractNumId w:val="24"/>
  </w:num>
  <w:num w:numId="42" w16cid:durableId="779301458">
    <w:abstractNumId w:val="33"/>
  </w:num>
  <w:num w:numId="43" w16cid:durableId="448546445">
    <w:abstractNumId w:val="4"/>
  </w:num>
  <w:num w:numId="44" w16cid:durableId="78210876">
    <w:abstractNumId w:val="18"/>
    <w:lvlOverride w:ilvl="0">
      <w:lvl w:ilvl="0">
        <w:start w:val="1"/>
        <w:numFmt w:val="bullet"/>
        <w:pStyle w:val="List-Level1"/>
        <w:lvlText w:val=""/>
        <w:lvlJc w:val="left"/>
        <w:pPr>
          <w:ind w:left="792" w:hanging="216"/>
        </w:pPr>
        <w:rPr>
          <w:rFonts w:ascii="Symbol" w:hAnsi="Symbol" w:hint="default"/>
          <w:b/>
          <w:bCs/>
          <w:color w:val="auto"/>
          <w:sz w:val="24"/>
          <w:szCs w:val="24"/>
        </w:rPr>
      </w:lvl>
    </w:lvlOverride>
  </w:num>
  <w:num w:numId="45" w16cid:durableId="1130824558">
    <w:abstractNumId w:val="37"/>
  </w:num>
  <w:num w:numId="46" w16cid:durableId="905916668">
    <w:abstractNumId w:val="58"/>
  </w:num>
  <w:num w:numId="47" w16cid:durableId="638147453">
    <w:abstractNumId w:val="7"/>
  </w:num>
  <w:num w:numId="48" w16cid:durableId="597101781">
    <w:abstractNumId w:val="8"/>
  </w:num>
  <w:num w:numId="49" w16cid:durableId="1276593680">
    <w:abstractNumId w:val="2"/>
  </w:num>
  <w:num w:numId="50" w16cid:durableId="86073892">
    <w:abstractNumId w:val="64"/>
  </w:num>
  <w:num w:numId="51" w16cid:durableId="608657099">
    <w:abstractNumId w:val="50"/>
  </w:num>
  <w:num w:numId="52" w16cid:durableId="1499999568">
    <w:abstractNumId w:val="11"/>
  </w:num>
  <w:num w:numId="53" w16cid:durableId="1689091021">
    <w:abstractNumId w:val="30"/>
  </w:num>
  <w:num w:numId="54" w16cid:durableId="1891184291">
    <w:abstractNumId w:val="46"/>
  </w:num>
  <w:num w:numId="55" w16cid:durableId="1970283238">
    <w:abstractNumId w:val="1"/>
  </w:num>
  <w:num w:numId="56" w16cid:durableId="143592447">
    <w:abstractNumId w:val="53"/>
  </w:num>
  <w:num w:numId="57" w16cid:durableId="1770852512">
    <w:abstractNumId w:val="62"/>
  </w:num>
  <w:num w:numId="58" w16cid:durableId="428812755">
    <w:abstractNumId w:val="26"/>
  </w:num>
  <w:num w:numId="59" w16cid:durableId="771049350">
    <w:abstractNumId w:val="21"/>
  </w:num>
  <w:num w:numId="60" w16cid:durableId="519971397">
    <w:abstractNumId w:val="35"/>
  </w:num>
  <w:num w:numId="61" w16cid:durableId="464469636">
    <w:abstractNumId w:val="63"/>
  </w:num>
  <w:num w:numId="62" w16cid:durableId="1732580639">
    <w:abstractNumId w:val="13"/>
  </w:num>
  <w:num w:numId="63" w16cid:durableId="1010378391">
    <w:abstractNumId w:val="23"/>
  </w:num>
  <w:num w:numId="64" w16cid:durableId="153960642">
    <w:abstractNumId w:val="15"/>
  </w:num>
  <w:num w:numId="65" w16cid:durableId="715812619">
    <w:abstractNumId w:val="40"/>
  </w:num>
  <w:num w:numId="66" w16cid:durableId="2047370579">
    <w:abstractNumId w:val="56"/>
  </w:num>
  <w:num w:numId="67" w16cid:durableId="329455512">
    <w:abstractNumId w:val="6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68D"/>
    <w:rsid w:val="00001785"/>
    <w:rsid w:val="000019CC"/>
    <w:rsid w:val="00001CCF"/>
    <w:rsid w:val="00002AD4"/>
    <w:rsid w:val="000031E4"/>
    <w:rsid w:val="00004735"/>
    <w:rsid w:val="00007573"/>
    <w:rsid w:val="000079A1"/>
    <w:rsid w:val="00011DC8"/>
    <w:rsid w:val="000123D9"/>
    <w:rsid w:val="0001254F"/>
    <w:rsid w:val="00012936"/>
    <w:rsid w:val="0001457C"/>
    <w:rsid w:val="00016BF7"/>
    <w:rsid w:val="000175B9"/>
    <w:rsid w:val="00021088"/>
    <w:rsid w:val="00022B92"/>
    <w:rsid w:val="00023074"/>
    <w:rsid w:val="00023817"/>
    <w:rsid w:val="000238F8"/>
    <w:rsid w:val="00023904"/>
    <w:rsid w:val="00026E26"/>
    <w:rsid w:val="000340B4"/>
    <w:rsid w:val="00034557"/>
    <w:rsid w:val="00035944"/>
    <w:rsid w:val="000361EF"/>
    <w:rsid w:val="000375F6"/>
    <w:rsid w:val="00040009"/>
    <w:rsid w:val="000412AE"/>
    <w:rsid w:val="0004137E"/>
    <w:rsid w:val="00043545"/>
    <w:rsid w:val="00043BAC"/>
    <w:rsid w:val="00043C4D"/>
    <w:rsid w:val="00044516"/>
    <w:rsid w:val="000452DB"/>
    <w:rsid w:val="000469A0"/>
    <w:rsid w:val="00047912"/>
    <w:rsid w:val="00047DDA"/>
    <w:rsid w:val="000505AA"/>
    <w:rsid w:val="00050942"/>
    <w:rsid w:val="000524A6"/>
    <w:rsid w:val="00054EDE"/>
    <w:rsid w:val="0006025D"/>
    <w:rsid w:val="000619C9"/>
    <w:rsid w:val="000622EE"/>
    <w:rsid w:val="000653AE"/>
    <w:rsid w:val="00065809"/>
    <w:rsid w:val="00066268"/>
    <w:rsid w:val="00066C5B"/>
    <w:rsid w:val="0006749E"/>
    <w:rsid w:val="00067E4A"/>
    <w:rsid w:val="00072ECC"/>
    <w:rsid w:val="0007334F"/>
    <w:rsid w:val="00075236"/>
    <w:rsid w:val="00075622"/>
    <w:rsid w:val="000756B2"/>
    <w:rsid w:val="00075954"/>
    <w:rsid w:val="00082709"/>
    <w:rsid w:val="00085243"/>
    <w:rsid w:val="000869B7"/>
    <w:rsid w:val="00086F47"/>
    <w:rsid w:val="000878A8"/>
    <w:rsid w:val="000878B7"/>
    <w:rsid w:val="00090238"/>
    <w:rsid w:val="00091AC1"/>
    <w:rsid w:val="00091B21"/>
    <w:rsid w:val="00093402"/>
    <w:rsid w:val="00093493"/>
    <w:rsid w:val="00093726"/>
    <w:rsid w:val="000946EC"/>
    <w:rsid w:val="00094837"/>
    <w:rsid w:val="0009541E"/>
    <w:rsid w:val="0009557B"/>
    <w:rsid w:val="00096A2A"/>
    <w:rsid w:val="00096ECB"/>
    <w:rsid w:val="00097426"/>
    <w:rsid w:val="000A3054"/>
    <w:rsid w:val="000A5031"/>
    <w:rsid w:val="000A54D3"/>
    <w:rsid w:val="000A6864"/>
    <w:rsid w:val="000A75CB"/>
    <w:rsid w:val="000A7BCC"/>
    <w:rsid w:val="000B04F7"/>
    <w:rsid w:val="000B2FA6"/>
    <w:rsid w:val="000B3D5F"/>
    <w:rsid w:val="000B619E"/>
    <w:rsid w:val="000B67F5"/>
    <w:rsid w:val="000B6D4D"/>
    <w:rsid w:val="000B6E4E"/>
    <w:rsid w:val="000B78F2"/>
    <w:rsid w:val="000C3997"/>
    <w:rsid w:val="000C4F83"/>
    <w:rsid w:val="000C5448"/>
    <w:rsid w:val="000C5509"/>
    <w:rsid w:val="000C5E80"/>
    <w:rsid w:val="000C67F1"/>
    <w:rsid w:val="000D3B62"/>
    <w:rsid w:val="000D5406"/>
    <w:rsid w:val="000D602E"/>
    <w:rsid w:val="000D66A8"/>
    <w:rsid w:val="000D7882"/>
    <w:rsid w:val="000D79CB"/>
    <w:rsid w:val="000E066F"/>
    <w:rsid w:val="000E1603"/>
    <w:rsid w:val="000E1CF4"/>
    <w:rsid w:val="000E2104"/>
    <w:rsid w:val="000E2563"/>
    <w:rsid w:val="000E4055"/>
    <w:rsid w:val="000E4BD7"/>
    <w:rsid w:val="000E598A"/>
    <w:rsid w:val="000E60AA"/>
    <w:rsid w:val="000E6FFA"/>
    <w:rsid w:val="000E7A99"/>
    <w:rsid w:val="000F057F"/>
    <w:rsid w:val="000F181B"/>
    <w:rsid w:val="000F1E03"/>
    <w:rsid w:val="000F280B"/>
    <w:rsid w:val="000F3746"/>
    <w:rsid w:val="000F4028"/>
    <w:rsid w:val="000F4898"/>
    <w:rsid w:val="000F4EEA"/>
    <w:rsid w:val="000F5C69"/>
    <w:rsid w:val="000F736B"/>
    <w:rsid w:val="001108C2"/>
    <w:rsid w:val="00110C77"/>
    <w:rsid w:val="001120F8"/>
    <w:rsid w:val="00113D89"/>
    <w:rsid w:val="00117063"/>
    <w:rsid w:val="00122959"/>
    <w:rsid w:val="00123116"/>
    <w:rsid w:val="001265B5"/>
    <w:rsid w:val="0013331D"/>
    <w:rsid w:val="00133DC9"/>
    <w:rsid w:val="00133E01"/>
    <w:rsid w:val="00134B99"/>
    <w:rsid w:val="001356E3"/>
    <w:rsid w:val="001358AF"/>
    <w:rsid w:val="00136561"/>
    <w:rsid w:val="00136599"/>
    <w:rsid w:val="00137FB8"/>
    <w:rsid w:val="00141A07"/>
    <w:rsid w:val="00142340"/>
    <w:rsid w:val="00142B63"/>
    <w:rsid w:val="001438C9"/>
    <w:rsid w:val="00145136"/>
    <w:rsid w:val="001451BE"/>
    <w:rsid w:val="00146B49"/>
    <w:rsid w:val="00146DC4"/>
    <w:rsid w:val="001470CC"/>
    <w:rsid w:val="00152822"/>
    <w:rsid w:val="0015341F"/>
    <w:rsid w:val="00157FA4"/>
    <w:rsid w:val="00161CE6"/>
    <w:rsid w:val="00161E86"/>
    <w:rsid w:val="00162E23"/>
    <w:rsid w:val="001641C5"/>
    <w:rsid w:val="00164495"/>
    <w:rsid w:val="00166CC4"/>
    <w:rsid w:val="00167888"/>
    <w:rsid w:val="00170239"/>
    <w:rsid w:val="001703F5"/>
    <w:rsid w:val="0017183D"/>
    <w:rsid w:val="00171D03"/>
    <w:rsid w:val="00175141"/>
    <w:rsid w:val="0017520C"/>
    <w:rsid w:val="00175E75"/>
    <w:rsid w:val="001760FC"/>
    <w:rsid w:val="00176D0F"/>
    <w:rsid w:val="001778AF"/>
    <w:rsid w:val="001800D1"/>
    <w:rsid w:val="00180545"/>
    <w:rsid w:val="00181049"/>
    <w:rsid w:val="00181BF6"/>
    <w:rsid w:val="001843F2"/>
    <w:rsid w:val="0018505F"/>
    <w:rsid w:val="0018720B"/>
    <w:rsid w:val="00187694"/>
    <w:rsid w:val="00187FD5"/>
    <w:rsid w:val="001907ED"/>
    <w:rsid w:val="001938EE"/>
    <w:rsid w:val="00194648"/>
    <w:rsid w:val="001949F4"/>
    <w:rsid w:val="00194B5D"/>
    <w:rsid w:val="00197528"/>
    <w:rsid w:val="00197B9A"/>
    <w:rsid w:val="001A0DD3"/>
    <w:rsid w:val="001A11DC"/>
    <w:rsid w:val="001A1E62"/>
    <w:rsid w:val="001A3EC1"/>
    <w:rsid w:val="001A454B"/>
    <w:rsid w:val="001A4E01"/>
    <w:rsid w:val="001A67C2"/>
    <w:rsid w:val="001A6B9B"/>
    <w:rsid w:val="001B0CB2"/>
    <w:rsid w:val="001B15E7"/>
    <w:rsid w:val="001B1B8D"/>
    <w:rsid w:val="001B211F"/>
    <w:rsid w:val="001B29EA"/>
    <w:rsid w:val="001B2A73"/>
    <w:rsid w:val="001B2B61"/>
    <w:rsid w:val="001B34DE"/>
    <w:rsid w:val="001B3784"/>
    <w:rsid w:val="001B4407"/>
    <w:rsid w:val="001B6CFF"/>
    <w:rsid w:val="001C058F"/>
    <w:rsid w:val="001C1449"/>
    <w:rsid w:val="001C1775"/>
    <w:rsid w:val="001C217F"/>
    <w:rsid w:val="001C3649"/>
    <w:rsid w:val="001C3F56"/>
    <w:rsid w:val="001C4FF9"/>
    <w:rsid w:val="001C5017"/>
    <w:rsid w:val="001C52F5"/>
    <w:rsid w:val="001C550B"/>
    <w:rsid w:val="001C6061"/>
    <w:rsid w:val="001C6433"/>
    <w:rsid w:val="001D0688"/>
    <w:rsid w:val="001D0AFE"/>
    <w:rsid w:val="001D174D"/>
    <w:rsid w:val="001D17C0"/>
    <w:rsid w:val="001D1881"/>
    <w:rsid w:val="001D20AB"/>
    <w:rsid w:val="001D261A"/>
    <w:rsid w:val="001D2958"/>
    <w:rsid w:val="001D3102"/>
    <w:rsid w:val="001D6CF5"/>
    <w:rsid w:val="001E02AB"/>
    <w:rsid w:val="001E2594"/>
    <w:rsid w:val="001E28C8"/>
    <w:rsid w:val="001E64EF"/>
    <w:rsid w:val="001E694E"/>
    <w:rsid w:val="001E71A1"/>
    <w:rsid w:val="001E7855"/>
    <w:rsid w:val="001E7D53"/>
    <w:rsid w:val="001F000A"/>
    <w:rsid w:val="001F0D45"/>
    <w:rsid w:val="001F25B5"/>
    <w:rsid w:val="001F5CF6"/>
    <w:rsid w:val="001F6B82"/>
    <w:rsid w:val="001F6CFD"/>
    <w:rsid w:val="001F77B4"/>
    <w:rsid w:val="001F78F4"/>
    <w:rsid w:val="00201DA4"/>
    <w:rsid w:val="00202BCD"/>
    <w:rsid w:val="00205909"/>
    <w:rsid w:val="00205F63"/>
    <w:rsid w:val="00205FB1"/>
    <w:rsid w:val="0020709E"/>
    <w:rsid w:val="00207EDC"/>
    <w:rsid w:val="00210628"/>
    <w:rsid w:val="00210AFF"/>
    <w:rsid w:val="00210FA1"/>
    <w:rsid w:val="002121A5"/>
    <w:rsid w:val="0021247C"/>
    <w:rsid w:val="00213D82"/>
    <w:rsid w:val="0021433B"/>
    <w:rsid w:val="0021462A"/>
    <w:rsid w:val="00214FE7"/>
    <w:rsid w:val="00216F51"/>
    <w:rsid w:val="00217108"/>
    <w:rsid w:val="00217203"/>
    <w:rsid w:val="00217C5F"/>
    <w:rsid w:val="00217DAA"/>
    <w:rsid w:val="0022001E"/>
    <w:rsid w:val="00220DF6"/>
    <w:rsid w:val="0022106F"/>
    <w:rsid w:val="00221B8E"/>
    <w:rsid w:val="00222F71"/>
    <w:rsid w:val="00223B88"/>
    <w:rsid w:val="00223CB1"/>
    <w:rsid w:val="00223F35"/>
    <w:rsid w:val="00224ABF"/>
    <w:rsid w:val="00224AC0"/>
    <w:rsid w:val="00225314"/>
    <w:rsid w:val="002264E5"/>
    <w:rsid w:val="002275FF"/>
    <w:rsid w:val="002279B7"/>
    <w:rsid w:val="002306C4"/>
    <w:rsid w:val="00230D82"/>
    <w:rsid w:val="00231E55"/>
    <w:rsid w:val="002327A9"/>
    <w:rsid w:val="002344B2"/>
    <w:rsid w:val="00237C9E"/>
    <w:rsid w:val="00240785"/>
    <w:rsid w:val="00240BD0"/>
    <w:rsid w:val="0024224A"/>
    <w:rsid w:val="0024327D"/>
    <w:rsid w:val="0024346B"/>
    <w:rsid w:val="0024365B"/>
    <w:rsid w:val="0024587A"/>
    <w:rsid w:val="002500E3"/>
    <w:rsid w:val="00250398"/>
    <w:rsid w:val="00251FDF"/>
    <w:rsid w:val="00252151"/>
    <w:rsid w:val="0025360F"/>
    <w:rsid w:val="00257B99"/>
    <w:rsid w:val="00261754"/>
    <w:rsid w:val="00264584"/>
    <w:rsid w:val="00264A74"/>
    <w:rsid w:val="00266C5F"/>
    <w:rsid w:val="00267B24"/>
    <w:rsid w:val="00267F9E"/>
    <w:rsid w:val="002704F0"/>
    <w:rsid w:val="00272FC1"/>
    <w:rsid w:val="00276AFC"/>
    <w:rsid w:val="00280A29"/>
    <w:rsid w:val="00280EDE"/>
    <w:rsid w:val="0028194C"/>
    <w:rsid w:val="00282616"/>
    <w:rsid w:val="002827E6"/>
    <w:rsid w:val="00284411"/>
    <w:rsid w:val="00286D5C"/>
    <w:rsid w:val="002914CA"/>
    <w:rsid w:val="002922E5"/>
    <w:rsid w:val="00292303"/>
    <w:rsid w:val="00292B74"/>
    <w:rsid w:val="002935AB"/>
    <w:rsid w:val="002954EB"/>
    <w:rsid w:val="002955E8"/>
    <w:rsid w:val="002957AE"/>
    <w:rsid w:val="00296450"/>
    <w:rsid w:val="00296A66"/>
    <w:rsid w:val="002A03D7"/>
    <w:rsid w:val="002A1C40"/>
    <w:rsid w:val="002A45EE"/>
    <w:rsid w:val="002A5183"/>
    <w:rsid w:val="002A6171"/>
    <w:rsid w:val="002A6CB3"/>
    <w:rsid w:val="002A7BA9"/>
    <w:rsid w:val="002B26D3"/>
    <w:rsid w:val="002B34BD"/>
    <w:rsid w:val="002B6C55"/>
    <w:rsid w:val="002B7C2F"/>
    <w:rsid w:val="002C0BDD"/>
    <w:rsid w:val="002C1ED2"/>
    <w:rsid w:val="002C25C2"/>
    <w:rsid w:val="002C443C"/>
    <w:rsid w:val="002C4707"/>
    <w:rsid w:val="002C47E5"/>
    <w:rsid w:val="002C5799"/>
    <w:rsid w:val="002C5ED7"/>
    <w:rsid w:val="002D02F8"/>
    <w:rsid w:val="002D22D5"/>
    <w:rsid w:val="002D25C8"/>
    <w:rsid w:val="002D29E0"/>
    <w:rsid w:val="002D40F2"/>
    <w:rsid w:val="002D6140"/>
    <w:rsid w:val="002D639A"/>
    <w:rsid w:val="002D6B19"/>
    <w:rsid w:val="002D6B53"/>
    <w:rsid w:val="002D7E6F"/>
    <w:rsid w:val="002E3989"/>
    <w:rsid w:val="002E3F94"/>
    <w:rsid w:val="002E4543"/>
    <w:rsid w:val="002E46FF"/>
    <w:rsid w:val="002E5168"/>
    <w:rsid w:val="002E639B"/>
    <w:rsid w:val="002E690C"/>
    <w:rsid w:val="002E6AEB"/>
    <w:rsid w:val="002E78A0"/>
    <w:rsid w:val="002F0E3F"/>
    <w:rsid w:val="002F18E7"/>
    <w:rsid w:val="002F319C"/>
    <w:rsid w:val="002F3A20"/>
    <w:rsid w:val="002F4302"/>
    <w:rsid w:val="002F7668"/>
    <w:rsid w:val="0030098B"/>
    <w:rsid w:val="003011C7"/>
    <w:rsid w:val="0030200B"/>
    <w:rsid w:val="003026CD"/>
    <w:rsid w:val="00302E46"/>
    <w:rsid w:val="00303934"/>
    <w:rsid w:val="00304D03"/>
    <w:rsid w:val="00306996"/>
    <w:rsid w:val="00307D31"/>
    <w:rsid w:val="00312A7A"/>
    <w:rsid w:val="00312E43"/>
    <w:rsid w:val="0031379D"/>
    <w:rsid w:val="003151C5"/>
    <w:rsid w:val="00316AD8"/>
    <w:rsid w:val="00320F4C"/>
    <w:rsid w:val="00323B0F"/>
    <w:rsid w:val="003249C2"/>
    <w:rsid w:val="00324A73"/>
    <w:rsid w:val="0032578D"/>
    <w:rsid w:val="003273F8"/>
    <w:rsid w:val="00331151"/>
    <w:rsid w:val="0033179C"/>
    <w:rsid w:val="003356DD"/>
    <w:rsid w:val="00337112"/>
    <w:rsid w:val="0033751A"/>
    <w:rsid w:val="00340551"/>
    <w:rsid w:val="00340882"/>
    <w:rsid w:val="00341EAB"/>
    <w:rsid w:val="00344A2C"/>
    <w:rsid w:val="003471D4"/>
    <w:rsid w:val="00347376"/>
    <w:rsid w:val="003506D4"/>
    <w:rsid w:val="00350ADB"/>
    <w:rsid w:val="00351076"/>
    <w:rsid w:val="00352C41"/>
    <w:rsid w:val="00356BF5"/>
    <w:rsid w:val="0035740C"/>
    <w:rsid w:val="00357EC7"/>
    <w:rsid w:val="00357ED4"/>
    <w:rsid w:val="00360929"/>
    <w:rsid w:val="003639FB"/>
    <w:rsid w:val="0036562A"/>
    <w:rsid w:val="0036691E"/>
    <w:rsid w:val="00366AF8"/>
    <w:rsid w:val="0037233E"/>
    <w:rsid w:val="0037340E"/>
    <w:rsid w:val="0037396D"/>
    <w:rsid w:val="00374981"/>
    <w:rsid w:val="00374B62"/>
    <w:rsid w:val="00374FC8"/>
    <w:rsid w:val="00375F10"/>
    <w:rsid w:val="00376EA3"/>
    <w:rsid w:val="0037731F"/>
    <w:rsid w:val="00377DAF"/>
    <w:rsid w:val="00380A96"/>
    <w:rsid w:val="00380C75"/>
    <w:rsid w:val="003828A2"/>
    <w:rsid w:val="003828AF"/>
    <w:rsid w:val="003849C3"/>
    <w:rsid w:val="00386210"/>
    <w:rsid w:val="0039066D"/>
    <w:rsid w:val="0039196C"/>
    <w:rsid w:val="00393393"/>
    <w:rsid w:val="00393E70"/>
    <w:rsid w:val="00394F2C"/>
    <w:rsid w:val="00395269"/>
    <w:rsid w:val="00396175"/>
    <w:rsid w:val="00397230"/>
    <w:rsid w:val="00397368"/>
    <w:rsid w:val="003A102C"/>
    <w:rsid w:val="003A2D0F"/>
    <w:rsid w:val="003A2ECC"/>
    <w:rsid w:val="003A578D"/>
    <w:rsid w:val="003A609F"/>
    <w:rsid w:val="003A6144"/>
    <w:rsid w:val="003A685B"/>
    <w:rsid w:val="003A7DB6"/>
    <w:rsid w:val="003B0E16"/>
    <w:rsid w:val="003B1465"/>
    <w:rsid w:val="003B163A"/>
    <w:rsid w:val="003B1A44"/>
    <w:rsid w:val="003B1F9C"/>
    <w:rsid w:val="003B2137"/>
    <w:rsid w:val="003B43E6"/>
    <w:rsid w:val="003B4E94"/>
    <w:rsid w:val="003B5EBE"/>
    <w:rsid w:val="003B7767"/>
    <w:rsid w:val="003C057F"/>
    <w:rsid w:val="003C118E"/>
    <w:rsid w:val="003C1331"/>
    <w:rsid w:val="003C4E9D"/>
    <w:rsid w:val="003C6F06"/>
    <w:rsid w:val="003C750A"/>
    <w:rsid w:val="003D0015"/>
    <w:rsid w:val="003D0F50"/>
    <w:rsid w:val="003D14FA"/>
    <w:rsid w:val="003D16CA"/>
    <w:rsid w:val="003D1ADA"/>
    <w:rsid w:val="003D1EB8"/>
    <w:rsid w:val="003D28D0"/>
    <w:rsid w:val="003D29FD"/>
    <w:rsid w:val="003D3A16"/>
    <w:rsid w:val="003D4B82"/>
    <w:rsid w:val="003D59D1"/>
    <w:rsid w:val="003D5F51"/>
    <w:rsid w:val="003D7DFA"/>
    <w:rsid w:val="003E2AF2"/>
    <w:rsid w:val="003E2EC2"/>
    <w:rsid w:val="003E36BF"/>
    <w:rsid w:val="003E3C7B"/>
    <w:rsid w:val="003E4124"/>
    <w:rsid w:val="003E5B3A"/>
    <w:rsid w:val="003E63C0"/>
    <w:rsid w:val="003F029F"/>
    <w:rsid w:val="003F192D"/>
    <w:rsid w:val="003F2BA3"/>
    <w:rsid w:val="003F3ADB"/>
    <w:rsid w:val="003F5281"/>
    <w:rsid w:val="003F5FE3"/>
    <w:rsid w:val="003F72A5"/>
    <w:rsid w:val="004008A3"/>
    <w:rsid w:val="004009F4"/>
    <w:rsid w:val="00400C4F"/>
    <w:rsid w:val="0040169E"/>
    <w:rsid w:val="0040184E"/>
    <w:rsid w:val="004027AB"/>
    <w:rsid w:val="00404788"/>
    <w:rsid w:val="00404E8D"/>
    <w:rsid w:val="004050CA"/>
    <w:rsid w:val="00406C11"/>
    <w:rsid w:val="00407DBB"/>
    <w:rsid w:val="0041127F"/>
    <w:rsid w:val="00411D89"/>
    <w:rsid w:val="0041205C"/>
    <w:rsid w:val="00414A5F"/>
    <w:rsid w:val="00415437"/>
    <w:rsid w:val="004165B1"/>
    <w:rsid w:val="00417874"/>
    <w:rsid w:val="00422791"/>
    <w:rsid w:val="00423A42"/>
    <w:rsid w:val="004247A8"/>
    <w:rsid w:val="0042562F"/>
    <w:rsid w:val="0042692B"/>
    <w:rsid w:val="004269EB"/>
    <w:rsid w:val="0042733B"/>
    <w:rsid w:val="00427899"/>
    <w:rsid w:val="0043061A"/>
    <w:rsid w:val="00430950"/>
    <w:rsid w:val="00430F93"/>
    <w:rsid w:val="00433C90"/>
    <w:rsid w:val="0043497B"/>
    <w:rsid w:val="004354E8"/>
    <w:rsid w:val="00435BB2"/>
    <w:rsid w:val="004369B2"/>
    <w:rsid w:val="00437481"/>
    <w:rsid w:val="00437602"/>
    <w:rsid w:val="004444BA"/>
    <w:rsid w:val="00446009"/>
    <w:rsid w:val="004474FA"/>
    <w:rsid w:val="0044758B"/>
    <w:rsid w:val="00447B9F"/>
    <w:rsid w:val="0045115C"/>
    <w:rsid w:val="004529BC"/>
    <w:rsid w:val="00453F20"/>
    <w:rsid w:val="00454B32"/>
    <w:rsid w:val="0045517D"/>
    <w:rsid w:val="00455605"/>
    <w:rsid w:val="00455C67"/>
    <w:rsid w:val="00455F78"/>
    <w:rsid w:val="00456414"/>
    <w:rsid w:val="004601B9"/>
    <w:rsid w:val="00461F6D"/>
    <w:rsid w:val="004620C0"/>
    <w:rsid w:val="00463A3D"/>
    <w:rsid w:val="00463E15"/>
    <w:rsid w:val="0046479E"/>
    <w:rsid w:val="00465EB5"/>
    <w:rsid w:val="00466CD9"/>
    <w:rsid w:val="004710AC"/>
    <w:rsid w:val="00471546"/>
    <w:rsid w:val="004730C2"/>
    <w:rsid w:val="00474A57"/>
    <w:rsid w:val="00474CFA"/>
    <w:rsid w:val="00474D14"/>
    <w:rsid w:val="00477657"/>
    <w:rsid w:val="00480AED"/>
    <w:rsid w:val="004828DE"/>
    <w:rsid w:val="00483A95"/>
    <w:rsid w:val="00484AD2"/>
    <w:rsid w:val="00485660"/>
    <w:rsid w:val="004879D0"/>
    <w:rsid w:val="00487D4B"/>
    <w:rsid w:val="004908A4"/>
    <w:rsid w:val="004912BE"/>
    <w:rsid w:val="00492DAC"/>
    <w:rsid w:val="00492E18"/>
    <w:rsid w:val="004944E2"/>
    <w:rsid w:val="004958AF"/>
    <w:rsid w:val="00496904"/>
    <w:rsid w:val="004A2D05"/>
    <w:rsid w:val="004A3A15"/>
    <w:rsid w:val="004A42EB"/>
    <w:rsid w:val="004A4FF6"/>
    <w:rsid w:val="004A575A"/>
    <w:rsid w:val="004A75A6"/>
    <w:rsid w:val="004B078F"/>
    <w:rsid w:val="004B26DA"/>
    <w:rsid w:val="004B4032"/>
    <w:rsid w:val="004B4809"/>
    <w:rsid w:val="004B4BA6"/>
    <w:rsid w:val="004B75E8"/>
    <w:rsid w:val="004C0B0E"/>
    <w:rsid w:val="004C2742"/>
    <w:rsid w:val="004C2F44"/>
    <w:rsid w:val="004C309C"/>
    <w:rsid w:val="004C5428"/>
    <w:rsid w:val="004D07D6"/>
    <w:rsid w:val="004D0F9B"/>
    <w:rsid w:val="004D1753"/>
    <w:rsid w:val="004D2448"/>
    <w:rsid w:val="004D2EAE"/>
    <w:rsid w:val="004D33C9"/>
    <w:rsid w:val="004D6807"/>
    <w:rsid w:val="004D79E6"/>
    <w:rsid w:val="004E1D99"/>
    <w:rsid w:val="004E32F0"/>
    <w:rsid w:val="004E3788"/>
    <w:rsid w:val="004E4526"/>
    <w:rsid w:val="004E4845"/>
    <w:rsid w:val="004F0EC0"/>
    <w:rsid w:val="004F3750"/>
    <w:rsid w:val="004F3AC8"/>
    <w:rsid w:val="004F4BFB"/>
    <w:rsid w:val="004F4EF5"/>
    <w:rsid w:val="004F4F52"/>
    <w:rsid w:val="004F611C"/>
    <w:rsid w:val="004F75EB"/>
    <w:rsid w:val="004F7687"/>
    <w:rsid w:val="00500437"/>
    <w:rsid w:val="005015BB"/>
    <w:rsid w:val="00502711"/>
    <w:rsid w:val="00504B45"/>
    <w:rsid w:val="00504DA8"/>
    <w:rsid w:val="0050539C"/>
    <w:rsid w:val="00505973"/>
    <w:rsid w:val="0051153D"/>
    <w:rsid w:val="005124B4"/>
    <w:rsid w:val="00512BBA"/>
    <w:rsid w:val="005132D3"/>
    <w:rsid w:val="0051339F"/>
    <w:rsid w:val="00513448"/>
    <w:rsid w:val="005137E7"/>
    <w:rsid w:val="005143DC"/>
    <w:rsid w:val="00514AB3"/>
    <w:rsid w:val="00514D00"/>
    <w:rsid w:val="005159A3"/>
    <w:rsid w:val="00515E7E"/>
    <w:rsid w:val="00522A1A"/>
    <w:rsid w:val="005234F9"/>
    <w:rsid w:val="00524433"/>
    <w:rsid w:val="00525EEA"/>
    <w:rsid w:val="005267BF"/>
    <w:rsid w:val="00527BBA"/>
    <w:rsid w:val="005307E5"/>
    <w:rsid w:val="00533E84"/>
    <w:rsid w:val="00534171"/>
    <w:rsid w:val="00534A49"/>
    <w:rsid w:val="00534FD4"/>
    <w:rsid w:val="0054148D"/>
    <w:rsid w:val="00543EA3"/>
    <w:rsid w:val="00543FD3"/>
    <w:rsid w:val="00544675"/>
    <w:rsid w:val="005452D4"/>
    <w:rsid w:val="00545F91"/>
    <w:rsid w:val="0054726B"/>
    <w:rsid w:val="0054794E"/>
    <w:rsid w:val="00550678"/>
    <w:rsid w:val="005508BF"/>
    <w:rsid w:val="00552F01"/>
    <w:rsid w:val="00554C7D"/>
    <w:rsid w:val="005553F1"/>
    <w:rsid w:val="005569B0"/>
    <w:rsid w:val="005626F4"/>
    <w:rsid w:val="005636B8"/>
    <w:rsid w:val="00564EDE"/>
    <w:rsid w:val="00565E0E"/>
    <w:rsid w:val="00566EBC"/>
    <w:rsid w:val="005674FF"/>
    <w:rsid w:val="0057043C"/>
    <w:rsid w:val="00571FC2"/>
    <w:rsid w:val="00572894"/>
    <w:rsid w:val="00573DEA"/>
    <w:rsid w:val="0057591C"/>
    <w:rsid w:val="005763B7"/>
    <w:rsid w:val="00576802"/>
    <w:rsid w:val="00577A7B"/>
    <w:rsid w:val="00581E0D"/>
    <w:rsid w:val="00583B1F"/>
    <w:rsid w:val="00587D56"/>
    <w:rsid w:val="005908EF"/>
    <w:rsid w:val="00591901"/>
    <w:rsid w:val="00591E3F"/>
    <w:rsid w:val="00592BA3"/>
    <w:rsid w:val="00593766"/>
    <w:rsid w:val="00594AE9"/>
    <w:rsid w:val="00597201"/>
    <w:rsid w:val="005A08F2"/>
    <w:rsid w:val="005A2483"/>
    <w:rsid w:val="005A262C"/>
    <w:rsid w:val="005A2C5A"/>
    <w:rsid w:val="005A41CD"/>
    <w:rsid w:val="005A54AB"/>
    <w:rsid w:val="005A5F49"/>
    <w:rsid w:val="005A608E"/>
    <w:rsid w:val="005A7826"/>
    <w:rsid w:val="005A7CDD"/>
    <w:rsid w:val="005A7FF6"/>
    <w:rsid w:val="005B19C4"/>
    <w:rsid w:val="005B19E9"/>
    <w:rsid w:val="005B1DCE"/>
    <w:rsid w:val="005B3D46"/>
    <w:rsid w:val="005B4312"/>
    <w:rsid w:val="005B5A80"/>
    <w:rsid w:val="005B7BE8"/>
    <w:rsid w:val="005B7EB3"/>
    <w:rsid w:val="005C0666"/>
    <w:rsid w:val="005C20E7"/>
    <w:rsid w:val="005C378C"/>
    <w:rsid w:val="005C39D2"/>
    <w:rsid w:val="005C4799"/>
    <w:rsid w:val="005C537D"/>
    <w:rsid w:val="005C76C6"/>
    <w:rsid w:val="005D025F"/>
    <w:rsid w:val="005D2D08"/>
    <w:rsid w:val="005D504C"/>
    <w:rsid w:val="005D540B"/>
    <w:rsid w:val="005D5C66"/>
    <w:rsid w:val="005D6DD8"/>
    <w:rsid w:val="005D755B"/>
    <w:rsid w:val="005D7CF6"/>
    <w:rsid w:val="005E3E00"/>
    <w:rsid w:val="005E3E02"/>
    <w:rsid w:val="005E45D7"/>
    <w:rsid w:val="005E48A0"/>
    <w:rsid w:val="005E64AC"/>
    <w:rsid w:val="005E65DD"/>
    <w:rsid w:val="005E7FD3"/>
    <w:rsid w:val="005F0DA4"/>
    <w:rsid w:val="005F19F7"/>
    <w:rsid w:val="005F1D37"/>
    <w:rsid w:val="005F2106"/>
    <w:rsid w:val="005F488C"/>
    <w:rsid w:val="005F5BFB"/>
    <w:rsid w:val="005F5F9C"/>
    <w:rsid w:val="005F65E4"/>
    <w:rsid w:val="005F6623"/>
    <w:rsid w:val="00600602"/>
    <w:rsid w:val="00600D9C"/>
    <w:rsid w:val="006025F2"/>
    <w:rsid w:val="006039EB"/>
    <w:rsid w:val="00603F5B"/>
    <w:rsid w:val="00604719"/>
    <w:rsid w:val="00604FCF"/>
    <w:rsid w:val="00605B36"/>
    <w:rsid w:val="00605C16"/>
    <w:rsid w:val="006065A6"/>
    <w:rsid w:val="006069BD"/>
    <w:rsid w:val="00606B54"/>
    <w:rsid w:val="00607B8D"/>
    <w:rsid w:val="00610776"/>
    <w:rsid w:val="00611508"/>
    <w:rsid w:val="00611A28"/>
    <w:rsid w:val="00613240"/>
    <w:rsid w:val="00615C76"/>
    <w:rsid w:val="00615C95"/>
    <w:rsid w:val="00616EB1"/>
    <w:rsid w:val="00617E95"/>
    <w:rsid w:val="00622FD1"/>
    <w:rsid w:val="00623717"/>
    <w:rsid w:val="006248A3"/>
    <w:rsid w:val="00624A97"/>
    <w:rsid w:val="006267A9"/>
    <w:rsid w:val="00630616"/>
    <w:rsid w:val="00630926"/>
    <w:rsid w:val="00630B8C"/>
    <w:rsid w:val="00631E58"/>
    <w:rsid w:val="00632BAC"/>
    <w:rsid w:val="00634BF8"/>
    <w:rsid w:val="00636985"/>
    <w:rsid w:val="00636DBE"/>
    <w:rsid w:val="006439D8"/>
    <w:rsid w:val="00643EA4"/>
    <w:rsid w:val="0064430D"/>
    <w:rsid w:val="006445DD"/>
    <w:rsid w:val="0064487A"/>
    <w:rsid w:val="00644AD0"/>
    <w:rsid w:val="006450FC"/>
    <w:rsid w:val="00645A92"/>
    <w:rsid w:val="00645CF0"/>
    <w:rsid w:val="00650208"/>
    <w:rsid w:val="00652464"/>
    <w:rsid w:val="006536DE"/>
    <w:rsid w:val="0065673C"/>
    <w:rsid w:val="00660CD5"/>
    <w:rsid w:val="0066255E"/>
    <w:rsid w:val="00663654"/>
    <w:rsid w:val="00663E4A"/>
    <w:rsid w:val="006708C0"/>
    <w:rsid w:val="00671E83"/>
    <w:rsid w:val="0067240C"/>
    <w:rsid w:val="00672530"/>
    <w:rsid w:val="006740D4"/>
    <w:rsid w:val="0067455D"/>
    <w:rsid w:val="00675C1F"/>
    <w:rsid w:val="006775A8"/>
    <w:rsid w:val="0067772C"/>
    <w:rsid w:val="006814BB"/>
    <w:rsid w:val="00681722"/>
    <w:rsid w:val="006821A8"/>
    <w:rsid w:val="00682F08"/>
    <w:rsid w:val="00683644"/>
    <w:rsid w:val="00685161"/>
    <w:rsid w:val="00685D03"/>
    <w:rsid w:val="00691CD4"/>
    <w:rsid w:val="0069626D"/>
    <w:rsid w:val="00696445"/>
    <w:rsid w:val="00696E1F"/>
    <w:rsid w:val="006A0535"/>
    <w:rsid w:val="006A2CAD"/>
    <w:rsid w:val="006A3567"/>
    <w:rsid w:val="006A414D"/>
    <w:rsid w:val="006A4764"/>
    <w:rsid w:val="006A4954"/>
    <w:rsid w:val="006A4C26"/>
    <w:rsid w:val="006A62A5"/>
    <w:rsid w:val="006A6367"/>
    <w:rsid w:val="006A7EC1"/>
    <w:rsid w:val="006B1194"/>
    <w:rsid w:val="006B15FB"/>
    <w:rsid w:val="006B2605"/>
    <w:rsid w:val="006B3AB8"/>
    <w:rsid w:val="006B5FBC"/>
    <w:rsid w:val="006B5FFF"/>
    <w:rsid w:val="006B77AE"/>
    <w:rsid w:val="006C047E"/>
    <w:rsid w:val="006C3A26"/>
    <w:rsid w:val="006C45F7"/>
    <w:rsid w:val="006C4F67"/>
    <w:rsid w:val="006C5DBE"/>
    <w:rsid w:val="006C6A49"/>
    <w:rsid w:val="006C6A92"/>
    <w:rsid w:val="006C7950"/>
    <w:rsid w:val="006D21A2"/>
    <w:rsid w:val="006D26AF"/>
    <w:rsid w:val="006D48B0"/>
    <w:rsid w:val="006D518E"/>
    <w:rsid w:val="006D6974"/>
    <w:rsid w:val="006D7630"/>
    <w:rsid w:val="006D7903"/>
    <w:rsid w:val="006D7FF6"/>
    <w:rsid w:val="006E039D"/>
    <w:rsid w:val="006E0AF6"/>
    <w:rsid w:val="006E0D91"/>
    <w:rsid w:val="006E1604"/>
    <w:rsid w:val="006E1D3B"/>
    <w:rsid w:val="006E2205"/>
    <w:rsid w:val="006E2D49"/>
    <w:rsid w:val="006E3D11"/>
    <w:rsid w:val="006E4E6A"/>
    <w:rsid w:val="006E5305"/>
    <w:rsid w:val="006E5710"/>
    <w:rsid w:val="006E5A39"/>
    <w:rsid w:val="006E7B6E"/>
    <w:rsid w:val="006F04F3"/>
    <w:rsid w:val="006F17E4"/>
    <w:rsid w:val="006F5A4D"/>
    <w:rsid w:val="00700BDB"/>
    <w:rsid w:val="0070208F"/>
    <w:rsid w:val="00706882"/>
    <w:rsid w:val="007123A3"/>
    <w:rsid w:val="007124AB"/>
    <w:rsid w:val="00713DDA"/>
    <w:rsid w:val="00713EBD"/>
    <w:rsid w:val="00714423"/>
    <w:rsid w:val="00714B1B"/>
    <w:rsid w:val="00714E71"/>
    <w:rsid w:val="007153EA"/>
    <w:rsid w:val="007165D6"/>
    <w:rsid w:val="00717D41"/>
    <w:rsid w:val="00717FD4"/>
    <w:rsid w:val="00727032"/>
    <w:rsid w:val="0072770C"/>
    <w:rsid w:val="007313CA"/>
    <w:rsid w:val="00731A21"/>
    <w:rsid w:val="0073264A"/>
    <w:rsid w:val="007327CA"/>
    <w:rsid w:val="00732808"/>
    <w:rsid w:val="00732D55"/>
    <w:rsid w:val="0073334C"/>
    <w:rsid w:val="007333B9"/>
    <w:rsid w:val="007334B6"/>
    <w:rsid w:val="007343AA"/>
    <w:rsid w:val="00735144"/>
    <w:rsid w:val="00735D2C"/>
    <w:rsid w:val="00735DF6"/>
    <w:rsid w:val="00736256"/>
    <w:rsid w:val="0073680C"/>
    <w:rsid w:val="007427A0"/>
    <w:rsid w:val="007461E6"/>
    <w:rsid w:val="00750581"/>
    <w:rsid w:val="007519D8"/>
    <w:rsid w:val="0075249A"/>
    <w:rsid w:val="00752C8B"/>
    <w:rsid w:val="00757A79"/>
    <w:rsid w:val="00760196"/>
    <w:rsid w:val="007603F4"/>
    <w:rsid w:val="00760ECD"/>
    <w:rsid w:val="007632A8"/>
    <w:rsid w:val="00766FE3"/>
    <w:rsid w:val="00767034"/>
    <w:rsid w:val="00767767"/>
    <w:rsid w:val="00767E12"/>
    <w:rsid w:val="00771561"/>
    <w:rsid w:val="0077285B"/>
    <w:rsid w:val="00775BC6"/>
    <w:rsid w:val="007768C9"/>
    <w:rsid w:val="0078190F"/>
    <w:rsid w:val="00782965"/>
    <w:rsid w:val="00782E2F"/>
    <w:rsid w:val="00783803"/>
    <w:rsid w:val="007839C4"/>
    <w:rsid w:val="00783E1A"/>
    <w:rsid w:val="00787C03"/>
    <w:rsid w:val="00790520"/>
    <w:rsid w:val="00791079"/>
    <w:rsid w:val="007911A9"/>
    <w:rsid w:val="00792C07"/>
    <w:rsid w:val="00794006"/>
    <w:rsid w:val="0079700B"/>
    <w:rsid w:val="007A0AD5"/>
    <w:rsid w:val="007A19EA"/>
    <w:rsid w:val="007A3265"/>
    <w:rsid w:val="007A66A4"/>
    <w:rsid w:val="007A6E7E"/>
    <w:rsid w:val="007A75DB"/>
    <w:rsid w:val="007B0B63"/>
    <w:rsid w:val="007B149B"/>
    <w:rsid w:val="007B1AD6"/>
    <w:rsid w:val="007B61BE"/>
    <w:rsid w:val="007B61FB"/>
    <w:rsid w:val="007B6A18"/>
    <w:rsid w:val="007B6C34"/>
    <w:rsid w:val="007B711B"/>
    <w:rsid w:val="007B759E"/>
    <w:rsid w:val="007C22BD"/>
    <w:rsid w:val="007C28AC"/>
    <w:rsid w:val="007C2EDB"/>
    <w:rsid w:val="007C3479"/>
    <w:rsid w:val="007C5230"/>
    <w:rsid w:val="007D1C41"/>
    <w:rsid w:val="007D340C"/>
    <w:rsid w:val="007D40E1"/>
    <w:rsid w:val="007E0E6D"/>
    <w:rsid w:val="007E0E72"/>
    <w:rsid w:val="007E2DFC"/>
    <w:rsid w:val="007E33B4"/>
    <w:rsid w:val="007E4799"/>
    <w:rsid w:val="007E4EA1"/>
    <w:rsid w:val="007E6181"/>
    <w:rsid w:val="007F0C1F"/>
    <w:rsid w:val="007F3E6A"/>
    <w:rsid w:val="007F5872"/>
    <w:rsid w:val="007F5973"/>
    <w:rsid w:val="007F74BB"/>
    <w:rsid w:val="00802BD5"/>
    <w:rsid w:val="00803B55"/>
    <w:rsid w:val="00803D7D"/>
    <w:rsid w:val="00803E29"/>
    <w:rsid w:val="00804A2D"/>
    <w:rsid w:val="00804A9D"/>
    <w:rsid w:val="00804B06"/>
    <w:rsid w:val="0080645E"/>
    <w:rsid w:val="00806A04"/>
    <w:rsid w:val="00810CFA"/>
    <w:rsid w:val="00811DD6"/>
    <w:rsid w:val="00811F6E"/>
    <w:rsid w:val="00812086"/>
    <w:rsid w:val="00813C6E"/>
    <w:rsid w:val="00813D36"/>
    <w:rsid w:val="00814264"/>
    <w:rsid w:val="00814A8D"/>
    <w:rsid w:val="00814D45"/>
    <w:rsid w:val="00815650"/>
    <w:rsid w:val="008157F2"/>
    <w:rsid w:val="00817585"/>
    <w:rsid w:val="0081798A"/>
    <w:rsid w:val="00817C14"/>
    <w:rsid w:val="00817F87"/>
    <w:rsid w:val="00820AC2"/>
    <w:rsid w:val="0082106C"/>
    <w:rsid w:val="00821203"/>
    <w:rsid w:val="0082147F"/>
    <w:rsid w:val="00821939"/>
    <w:rsid w:val="00821C74"/>
    <w:rsid w:val="00821C86"/>
    <w:rsid w:val="00823B50"/>
    <w:rsid w:val="00823C21"/>
    <w:rsid w:val="0082463A"/>
    <w:rsid w:val="00827C3C"/>
    <w:rsid w:val="0083066F"/>
    <w:rsid w:val="00831BC3"/>
    <w:rsid w:val="00831C30"/>
    <w:rsid w:val="00832B55"/>
    <w:rsid w:val="00835190"/>
    <w:rsid w:val="008351FC"/>
    <w:rsid w:val="00835A0B"/>
    <w:rsid w:val="00835FBB"/>
    <w:rsid w:val="00836AA9"/>
    <w:rsid w:val="008376CA"/>
    <w:rsid w:val="00841903"/>
    <w:rsid w:val="008433DB"/>
    <w:rsid w:val="00843931"/>
    <w:rsid w:val="0084483C"/>
    <w:rsid w:val="00844916"/>
    <w:rsid w:val="00844F32"/>
    <w:rsid w:val="00845447"/>
    <w:rsid w:val="0084700A"/>
    <w:rsid w:val="008472C5"/>
    <w:rsid w:val="00847345"/>
    <w:rsid w:val="0085387D"/>
    <w:rsid w:val="008542B9"/>
    <w:rsid w:val="00854712"/>
    <w:rsid w:val="00854A58"/>
    <w:rsid w:val="008573DA"/>
    <w:rsid w:val="0086004B"/>
    <w:rsid w:val="0086071A"/>
    <w:rsid w:val="00862D27"/>
    <w:rsid w:val="00864519"/>
    <w:rsid w:val="008712EA"/>
    <w:rsid w:val="00871417"/>
    <w:rsid w:val="00872021"/>
    <w:rsid w:val="0087297E"/>
    <w:rsid w:val="00873BD9"/>
    <w:rsid w:val="00874EC3"/>
    <w:rsid w:val="00874F2A"/>
    <w:rsid w:val="00877DC9"/>
    <w:rsid w:val="00880620"/>
    <w:rsid w:val="0088144A"/>
    <w:rsid w:val="008828FD"/>
    <w:rsid w:val="00883BEF"/>
    <w:rsid w:val="00883CED"/>
    <w:rsid w:val="00884D26"/>
    <w:rsid w:val="00886775"/>
    <w:rsid w:val="008868B2"/>
    <w:rsid w:val="00886B90"/>
    <w:rsid w:val="008900D7"/>
    <w:rsid w:val="00890720"/>
    <w:rsid w:val="00891393"/>
    <w:rsid w:val="00892381"/>
    <w:rsid w:val="0089266F"/>
    <w:rsid w:val="0089294F"/>
    <w:rsid w:val="00892FB0"/>
    <w:rsid w:val="00893997"/>
    <w:rsid w:val="00894353"/>
    <w:rsid w:val="00895E2A"/>
    <w:rsid w:val="008A0DD2"/>
    <w:rsid w:val="008A0DF9"/>
    <w:rsid w:val="008A4637"/>
    <w:rsid w:val="008A5B4E"/>
    <w:rsid w:val="008A5FBF"/>
    <w:rsid w:val="008B021F"/>
    <w:rsid w:val="008B0B71"/>
    <w:rsid w:val="008B0EF9"/>
    <w:rsid w:val="008B3900"/>
    <w:rsid w:val="008B3E2D"/>
    <w:rsid w:val="008B5765"/>
    <w:rsid w:val="008C00A1"/>
    <w:rsid w:val="008C0973"/>
    <w:rsid w:val="008C15E3"/>
    <w:rsid w:val="008C1888"/>
    <w:rsid w:val="008C2490"/>
    <w:rsid w:val="008C4051"/>
    <w:rsid w:val="008C5045"/>
    <w:rsid w:val="008C6C18"/>
    <w:rsid w:val="008C7BB6"/>
    <w:rsid w:val="008D15DC"/>
    <w:rsid w:val="008D1C6C"/>
    <w:rsid w:val="008D2E91"/>
    <w:rsid w:val="008D5B93"/>
    <w:rsid w:val="008D6C99"/>
    <w:rsid w:val="008D74A1"/>
    <w:rsid w:val="008E0D06"/>
    <w:rsid w:val="008E278A"/>
    <w:rsid w:val="008E4441"/>
    <w:rsid w:val="008E49FE"/>
    <w:rsid w:val="008E4DAC"/>
    <w:rsid w:val="008E66B3"/>
    <w:rsid w:val="008F03AD"/>
    <w:rsid w:val="008F27DD"/>
    <w:rsid w:val="008F2E7A"/>
    <w:rsid w:val="008F40F2"/>
    <w:rsid w:val="008F576B"/>
    <w:rsid w:val="008F62F6"/>
    <w:rsid w:val="008F71FA"/>
    <w:rsid w:val="00902221"/>
    <w:rsid w:val="009026BA"/>
    <w:rsid w:val="009036E8"/>
    <w:rsid w:val="009059E6"/>
    <w:rsid w:val="00905ABD"/>
    <w:rsid w:val="009060A9"/>
    <w:rsid w:val="0090737C"/>
    <w:rsid w:val="0090737E"/>
    <w:rsid w:val="00907727"/>
    <w:rsid w:val="00911367"/>
    <w:rsid w:val="00911644"/>
    <w:rsid w:val="0091174A"/>
    <w:rsid w:val="00915A57"/>
    <w:rsid w:val="00917045"/>
    <w:rsid w:val="009175F7"/>
    <w:rsid w:val="009214F9"/>
    <w:rsid w:val="00922269"/>
    <w:rsid w:val="0092446F"/>
    <w:rsid w:val="00924D97"/>
    <w:rsid w:val="0092529D"/>
    <w:rsid w:val="00927C8C"/>
    <w:rsid w:val="00930AAE"/>
    <w:rsid w:val="00931056"/>
    <w:rsid w:val="00931CCB"/>
    <w:rsid w:val="009324D1"/>
    <w:rsid w:val="009343EC"/>
    <w:rsid w:val="009354BE"/>
    <w:rsid w:val="00936FF1"/>
    <w:rsid w:val="00940EE4"/>
    <w:rsid w:val="0094226E"/>
    <w:rsid w:val="009426E6"/>
    <w:rsid w:val="0094335E"/>
    <w:rsid w:val="00943965"/>
    <w:rsid w:val="00943B32"/>
    <w:rsid w:val="0094686D"/>
    <w:rsid w:val="00947133"/>
    <w:rsid w:val="00947639"/>
    <w:rsid w:val="009477B6"/>
    <w:rsid w:val="00950530"/>
    <w:rsid w:val="00951ECA"/>
    <w:rsid w:val="009552EE"/>
    <w:rsid w:val="009565BC"/>
    <w:rsid w:val="00957197"/>
    <w:rsid w:val="009576BB"/>
    <w:rsid w:val="00960008"/>
    <w:rsid w:val="00960DE2"/>
    <w:rsid w:val="009639E4"/>
    <w:rsid w:val="00964F3F"/>
    <w:rsid w:val="009663DE"/>
    <w:rsid w:val="009670FC"/>
    <w:rsid w:val="00970C38"/>
    <w:rsid w:val="00971292"/>
    <w:rsid w:val="0097260F"/>
    <w:rsid w:val="00972AD7"/>
    <w:rsid w:val="00973924"/>
    <w:rsid w:val="00974D52"/>
    <w:rsid w:val="0097606B"/>
    <w:rsid w:val="009764B0"/>
    <w:rsid w:val="009817CE"/>
    <w:rsid w:val="00981BE2"/>
    <w:rsid w:val="00982AE6"/>
    <w:rsid w:val="00982EAD"/>
    <w:rsid w:val="00984D6C"/>
    <w:rsid w:val="00984FC3"/>
    <w:rsid w:val="009854AE"/>
    <w:rsid w:val="009855C8"/>
    <w:rsid w:val="009868FF"/>
    <w:rsid w:val="00987305"/>
    <w:rsid w:val="009904C6"/>
    <w:rsid w:val="0099242C"/>
    <w:rsid w:val="0099417B"/>
    <w:rsid w:val="009946F9"/>
    <w:rsid w:val="009974C2"/>
    <w:rsid w:val="00997BB4"/>
    <w:rsid w:val="009A1ED0"/>
    <w:rsid w:val="009A2FBD"/>
    <w:rsid w:val="009A37C4"/>
    <w:rsid w:val="009A576D"/>
    <w:rsid w:val="009A6377"/>
    <w:rsid w:val="009B2E25"/>
    <w:rsid w:val="009B319B"/>
    <w:rsid w:val="009B33CE"/>
    <w:rsid w:val="009B350F"/>
    <w:rsid w:val="009B3A99"/>
    <w:rsid w:val="009B5FB5"/>
    <w:rsid w:val="009B69B7"/>
    <w:rsid w:val="009C0C19"/>
    <w:rsid w:val="009C140D"/>
    <w:rsid w:val="009C26EA"/>
    <w:rsid w:val="009C2C8A"/>
    <w:rsid w:val="009C4540"/>
    <w:rsid w:val="009C4FBF"/>
    <w:rsid w:val="009C588B"/>
    <w:rsid w:val="009C5A15"/>
    <w:rsid w:val="009C5BD6"/>
    <w:rsid w:val="009C715E"/>
    <w:rsid w:val="009C760B"/>
    <w:rsid w:val="009D0261"/>
    <w:rsid w:val="009D10E5"/>
    <w:rsid w:val="009D1309"/>
    <w:rsid w:val="009D2150"/>
    <w:rsid w:val="009D24BE"/>
    <w:rsid w:val="009D27ED"/>
    <w:rsid w:val="009D39A3"/>
    <w:rsid w:val="009E05C6"/>
    <w:rsid w:val="009E0941"/>
    <w:rsid w:val="009E2152"/>
    <w:rsid w:val="009E352E"/>
    <w:rsid w:val="009E381F"/>
    <w:rsid w:val="009E3ACA"/>
    <w:rsid w:val="009E3F63"/>
    <w:rsid w:val="009E451F"/>
    <w:rsid w:val="009E56F2"/>
    <w:rsid w:val="009E60F8"/>
    <w:rsid w:val="009F01F1"/>
    <w:rsid w:val="009F09AB"/>
    <w:rsid w:val="009F191D"/>
    <w:rsid w:val="009F2CA3"/>
    <w:rsid w:val="009F2F81"/>
    <w:rsid w:val="009F3A7C"/>
    <w:rsid w:val="009F3E6A"/>
    <w:rsid w:val="009F4313"/>
    <w:rsid w:val="009F4D0A"/>
    <w:rsid w:val="009F5D05"/>
    <w:rsid w:val="009F6FF4"/>
    <w:rsid w:val="009F750A"/>
    <w:rsid w:val="009F7613"/>
    <w:rsid w:val="00A0156D"/>
    <w:rsid w:val="00A018E3"/>
    <w:rsid w:val="00A0258A"/>
    <w:rsid w:val="00A0338D"/>
    <w:rsid w:val="00A04105"/>
    <w:rsid w:val="00A0447F"/>
    <w:rsid w:val="00A04519"/>
    <w:rsid w:val="00A0663E"/>
    <w:rsid w:val="00A07F0D"/>
    <w:rsid w:val="00A103FC"/>
    <w:rsid w:val="00A10A10"/>
    <w:rsid w:val="00A1190A"/>
    <w:rsid w:val="00A124BF"/>
    <w:rsid w:val="00A13526"/>
    <w:rsid w:val="00A14A40"/>
    <w:rsid w:val="00A14DAA"/>
    <w:rsid w:val="00A21E22"/>
    <w:rsid w:val="00A2364D"/>
    <w:rsid w:val="00A24D64"/>
    <w:rsid w:val="00A263FB"/>
    <w:rsid w:val="00A30FF6"/>
    <w:rsid w:val="00A313C7"/>
    <w:rsid w:val="00A32ADA"/>
    <w:rsid w:val="00A334D6"/>
    <w:rsid w:val="00A339DB"/>
    <w:rsid w:val="00A34EA0"/>
    <w:rsid w:val="00A37025"/>
    <w:rsid w:val="00A37522"/>
    <w:rsid w:val="00A4103E"/>
    <w:rsid w:val="00A4344F"/>
    <w:rsid w:val="00A440BC"/>
    <w:rsid w:val="00A443F6"/>
    <w:rsid w:val="00A45127"/>
    <w:rsid w:val="00A4561B"/>
    <w:rsid w:val="00A467D0"/>
    <w:rsid w:val="00A53DAE"/>
    <w:rsid w:val="00A54457"/>
    <w:rsid w:val="00A54626"/>
    <w:rsid w:val="00A5468C"/>
    <w:rsid w:val="00A54F54"/>
    <w:rsid w:val="00A54FEE"/>
    <w:rsid w:val="00A57672"/>
    <w:rsid w:val="00A61D7E"/>
    <w:rsid w:val="00A63063"/>
    <w:rsid w:val="00A6598A"/>
    <w:rsid w:val="00A669AB"/>
    <w:rsid w:val="00A6782F"/>
    <w:rsid w:val="00A71141"/>
    <w:rsid w:val="00A73042"/>
    <w:rsid w:val="00A73C2D"/>
    <w:rsid w:val="00A73CAB"/>
    <w:rsid w:val="00A7442B"/>
    <w:rsid w:val="00A7454C"/>
    <w:rsid w:val="00A746B6"/>
    <w:rsid w:val="00A77D8E"/>
    <w:rsid w:val="00A80E21"/>
    <w:rsid w:val="00A82951"/>
    <w:rsid w:val="00A82F0C"/>
    <w:rsid w:val="00A84431"/>
    <w:rsid w:val="00A84F2F"/>
    <w:rsid w:val="00A850FD"/>
    <w:rsid w:val="00A854E3"/>
    <w:rsid w:val="00A85878"/>
    <w:rsid w:val="00A86FC2"/>
    <w:rsid w:val="00A901C8"/>
    <w:rsid w:val="00A929C9"/>
    <w:rsid w:val="00A92D44"/>
    <w:rsid w:val="00A93E27"/>
    <w:rsid w:val="00A943F8"/>
    <w:rsid w:val="00A94947"/>
    <w:rsid w:val="00A94A40"/>
    <w:rsid w:val="00A97F10"/>
    <w:rsid w:val="00AA1CF9"/>
    <w:rsid w:val="00AA221C"/>
    <w:rsid w:val="00AA2397"/>
    <w:rsid w:val="00AA310A"/>
    <w:rsid w:val="00AA561D"/>
    <w:rsid w:val="00AA663A"/>
    <w:rsid w:val="00AA69D8"/>
    <w:rsid w:val="00AB0CC7"/>
    <w:rsid w:val="00AB15FE"/>
    <w:rsid w:val="00AB184F"/>
    <w:rsid w:val="00AB281D"/>
    <w:rsid w:val="00AB52FF"/>
    <w:rsid w:val="00AC16B9"/>
    <w:rsid w:val="00AC1BFE"/>
    <w:rsid w:val="00AC37F4"/>
    <w:rsid w:val="00AC49BF"/>
    <w:rsid w:val="00AC4D74"/>
    <w:rsid w:val="00AC772E"/>
    <w:rsid w:val="00AD08B5"/>
    <w:rsid w:val="00AD1469"/>
    <w:rsid w:val="00AD1C51"/>
    <w:rsid w:val="00AD36FD"/>
    <w:rsid w:val="00AD39C8"/>
    <w:rsid w:val="00AD57D2"/>
    <w:rsid w:val="00AD6DD5"/>
    <w:rsid w:val="00AD7D16"/>
    <w:rsid w:val="00AD7D3A"/>
    <w:rsid w:val="00AE0F05"/>
    <w:rsid w:val="00AE2225"/>
    <w:rsid w:val="00AE3520"/>
    <w:rsid w:val="00AE52D2"/>
    <w:rsid w:val="00AE5D34"/>
    <w:rsid w:val="00AE7258"/>
    <w:rsid w:val="00AE7A60"/>
    <w:rsid w:val="00AE7E08"/>
    <w:rsid w:val="00AF08C3"/>
    <w:rsid w:val="00AF0CA8"/>
    <w:rsid w:val="00AF4E08"/>
    <w:rsid w:val="00AF55A8"/>
    <w:rsid w:val="00AF5691"/>
    <w:rsid w:val="00B00612"/>
    <w:rsid w:val="00B03195"/>
    <w:rsid w:val="00B0359A"/>
    <w:rsid w:val="00B03746"/>
    <w:rsid w:val="00B04D01"/>
    <w:rsid w:val="00B06227"/>
    <w:rsid w:val="00B079B1"/>
    <w:rsid w:val="00B1076D"/>
    <w:rsid w:val="00B10E20"/>
    <w:rsid w:val="00B11E37"/>
    <w:rsid w:val="00B13317"/>
    <w:rsid w:val="00B1369C"/>
    <w:rsid w:val="00B1476B"/>
    <w:rsid w:val="00B14F72"/>
    <w:rsid w:val="00B159AE"/>
    <w:rsid w:val="00B15C75"/>
    <w:rsid w:val="00B161DB"/>
    <w:rsid w:val="00B163B0"/>
    <w:rsid w:val="00B16444"/>
    <w:rsid w:val="00B174D9"/>
    <w:rsid w:val="00B175BB"/>
    <w:rsid w:val="00B23F88"/>
    <w:rsid w:val="00B2514D"/>
    <w:rsid w:val="00B25F1E"/>
    <w:rsid w:val="00B27E1E"/>
    <w:rsid w:val="00B32DB9"/>
    <w:rsid w:val="00B34D39"/>
    <w:rsid w:val="00B36850"/>
    <w:rsid w:val="00B3693A"/>
    <w:rsid w:val="00B36A93"/>
    <w:rsid w:val="00B3764D"/>
    <w:rsid w:val="00B408F5"/>
    <w:rsid w:val="00B4112A"/>
    <w:rsid w:val="00B41309"/>
    <w:rsid w:val="00B41D61"/>
    <w:rsid w:val="00B43EF7"/>
    <w:rsid w:val="00B449D5"/>
    <w:rsid w:val="00B45990"/>
    <w:rsid w:val="00B45E5C"/>
    <w:rsid w:val="00B46A3C"/>
    <w:rsid w:val="00B46E1D"/>
    <w:rsid w:val="00B47F88"/>
    <w:rsid w:val="00B50A91"/>
    <w:rsid w:val="00B5211B"/>
    <w:rsid w:val="00B5391C"/>
    <w:rsid w:val="00B53E6A"/>
    <w:rsid w:val="00B55072"/>
    <w:rsid w:val="00B5781C"/>
    <w:rsid w:val="00B57F5F"/>
    <w:rsid w:val="00B616FC"/>
    <w:rsid w:val="00B61A32"/>
    <w:rsid w:val="00B6306E"/>
    <w:rsid w:val="00B63592"/>
    <w:rsid w:val="00B63D7D"/>
    <w:rsid w:val="00B65536"/>
    <w:rsid w:val="00B663D5"/>
    <w:rsid w:val="00B70026"/>
    <w:rsid w:val="00B71AF1"/>
    <w:rsid w:val="00B71D0B"/>
    <w:rsid w:val="00B721D8"/>
    <w:rsid w:val="00B7355C"/>
    <w:rsid w:val="00B73F08"/>
    <w:rsid w:val="00B753DF"/>
    <w:rsid w:val="00B7585A"/>
    <w:rsid w:val="00B767C5"/>
    <w:rsid w:val="00B802DA"/>
    <w:rsid w:val="00B80577"/>
    <w:rsid w:val="00B80F88"/>
    <w:rsid w:val="00B81333"/>
    <w:rsid w:val="00B81ADF"/>
    <w:rsid w:val="00B81F30"/>
    <w:rsid w:val="00B83BF3"/>
    <w:rsid w:val="00B83E71"/>
    <w:rsid w:val="00B8612F"/>
    <w:rsid w:val="00B90F60"/>
    <w:rsid w:val="00B91BA0"/>
    <w:rsid w:val="00B92980"/>
    <w:rsid w:val="00B92E25"/>
    <w:rsid w:val="00B95910"/>
    <w:rsid w:val="00B95C82"/>
    <w:rsid w:val="00B97AC0"/>
    <w:rsid w:val="00B97E47"/>
    <w:rsid w:val="00BA0231"/>
    <w:rsid w:val="00BA0576"/>
    <w:rsid w:val="00BA0BDD"/>
    <w:rsid w:val="00BA1022"/>
    <w:rsid w:val="00BA11E0"/>
    <w:rsid w:val="00BA12C9"/>
    <w:rsid w:val="00BA1DC5"/>
    <w:rsid w:val="00BA216E"/>
    <w:rsid w:val="00BA618D"/>
    <w:rsid w:val="00BA6891"/>
    <w:rsid w:val="00BA701C"/>
    <w:rsid w:val="00BA7CE4"/>
    <w:rsid w:val="00BB0F86"/>
    <w:rsid w:val="00BB1372"/>
    <w:rsid w:val="00BB39E4"/>
    <w:rsid w:val="00BB681A"/>
    <w:rsid w:val="00BC077A"/>
    <w:rsid w:val="00BC594B"/>
    <w:rsid w:val="00BC5EA2"/>
    <w:rsid w:val="00BC60F1"/>
    <w:rsid w:val="00BC6DDA"/>
    <w:rsid w:val="00BC6F6E"/>
    <w:rsid w:val="00BC7B01"/>
    <w:rsid w:val="00BD1789"/>
    <w:rsid w:val="00BD2E4E"/>
    <w:rsid w:val="00BD42C7"/>
    <w:rsid w:val="00BD663D"/>
    <w:rsid w:val="00BD680D"/>
    <w:rsid w:val="00BE0512"/>
    <w:rsid w:val="00BE065D"/>
    <w:rsid w:val="00BE0AEA"/>
    <w:rsid w:val="00BE2BC6"/>
    <w:rsid w:val="00BE33BD"/>
    <w:rsid w:val="00BE4401"/>
    <w:rsid w:val="00BE5B79"/>
    <w:rsid w:val="00BE778C"/>
    <w:rsid w:val="00BE7ACE"/>
    <w:rsid w:val="00BF0AA4"/>
    <w:rsid w:val="00BF150F"/>
    <w:rsid w:val="00BF192B"/>
    <w:rsid w:val="00BF1DBC"/>
    <w:rsid w:val="00BF2603"/>
    <w:rsid w:val="00BF306B"/>
    <w:rsid w:val="00BF5A2E"/>
    <w:rsid w:val="00BF709B"/>
    <w:rsid w:val="00BF7C78"/>
    <w:rsid w:val="00C00611"/>
    <w:rsid w:val="00C01054"/>
    <w:rsid w:val="00C03E96"/>
    <w:rsid w:val="00C044F8"/>
    <w:rsid w:val="00C0510E"/>
    <w:rsid w:val="00C058DF"/>
    <w:rsid w:val="00C05A18"/>
    <w:rsid w:val="00C05D38"/>
    <w:rsid w:val="00C063A2"/>
    <w:rsid w:val="00C071A9"/>
    <w:rsid w:val="00C078C4"/>
    <w:rsid w:val="00C07BBB"/>
    <w:rsid w:val="00C13426"/>
    <w:rsid w:val="00C13931"/>
    <w:rsid w:val="00C14C4A"/>
    <w:rsid w:val="00C15744"/>
    <w:rsid w:val="00C16145"/>
    <w:rsid w:val="00C202D4"/>
    <w:rsid w:val="00C20A1C"/>
    <w:rsid w:val="00C21D31"/>
    <w:rsid w:val="00C24AA6"/>
    <w:rsid w:val="00C2532F"/>
    <w:rsid w:val="00C25F84"/>
    <w:rsid w:val="00C26106"/>
    <w:rsid w:val="00C26930"/>
    <w:rsid w:val="00C26D15"/>
    <w:rsid w:val="00C27E5D"/>
    <w:rsid w:val="00C30F4B"/>
    <w:rsid w:val="00C31127"/>
    <w:rsid w:val="00C31228"/>
    <w:rsid w:val="00C31EA7"/>
    <w:rsid w:val="00C334AC"/>
    <w:rsid w:val="00C336DE"/>
    <w:rsid w:val="00C34127"/>
    <w:rsid w:val="00C34B84"/>
    <w:rsid w:val="00C3554F"/>
    <w:rsid w:val="00C36D46"/>
    <w:rsid w:val="00C40A86"/>
    <w:rsid w:val="00C42C3B"/>
    <w:rsid w:val="00C43889"/>
    <w:rsid w:val="00C43A1B"/>
    <w:rsid w:val="00C44D80"/>
    <w:rsid w:val="00C454B5"/>
    <w:rsid w:val="00C46202"/>
    <w:rsid w:val="00C4684E"/>
    <w:rsid w:val="00C46E76"/>
    <w:rsid w:val="00C47406"/>
    <w:rsid w:val="00C501A2"/>
    <w:rsid w:val="00C517BB"/>
    <w:rsid w:val="00C52A41"/>
    <w:rsid w:val="00C54293"/>
    <w:rsid w:val="00C5508B"/>
    <w:rsid w:val="00C552B1"/>
    <w:rsid w:val="00C5548E"/>
    <w:rsid w:val="00C559DC"/>
    <w:rsid w:val="00C55C5F"/>
    <w:rsid w:val="00C572EC"/>
    <w:rsid w:val="00C61695"/>
    <w:rsid w:val="00C634E7"/>
    <w:rsid w:val="00C63913"/>
    <w:rsid w:val="00C63FF6"/>
    <w:rsid w:val="00C6568E"/>
    <w:rsid w:val="00C66818"/>
    <w:rsid w:val="00C700D2"/>
    <w:rsid w:val="00C70BB5"/>
    <w:rsid w:val="00C738BF"/>
    <w:rsid w:val="00C75723"/>
    <w:rsid w:val="00C76182"/>
    <w:rsid w:val="00C7656C"/>
    <w:rsid w:val="00C76575"/>
    <w:rsid w:val="00C80A8F"/>
    <w:rsid w:val="00C80F9E"/>
    <w:rsid w:val="00C84296"/>
    <w:rsid w:val="00C845C5"/>
    <w:rsid w:val="00C85926"/>
    <w:rsid w:val="00C87E57"/>
    <w:rsid w:val="00C91538"/>
    <w:rsid w:val="00C94422"/>
    <w:rsid w:val="00C962A9"/>
    <w:rsid w:val="00C96527"/>
    <w:rsid w:val="00C96DBF"/>
    <w:rsid w:val="00C977BB"/>
    <w:rsid w:val="00C97C05"/>
    <w:rsid w:val="00CA048A"/>
    <w:rsid w:val="00CA1924"/>
    <w:rsid w:val="00CA19F0"/>
    <w:rsid w:val="00CA2B15"/>
    <w:rsid w:val="00CA3E03"/>
    <w:rsid w:val="00CA5264"/>
    <w:rsid w:val="00CA5A26"/>
    <w:rsid w:val="00CA5BA0"/>
    <w:rsid w:val="00CA6C1F"/>
    <w:rsid w:val="00CA6E45"/>
    <w:rsid w:val="00CB04A4"/>
    <w:rsid w:val="00CB31B2"/>
    <w:rsid w:val="00CB3B17"/>
    <w:rsid w:val="00CB40E5"/>
    <w:rsid w:val="00CB4C76"/>
    <w:rsid w:val="00CB5619"/>
    <w:rsid w:val="00CB5D47"/>
    <w:rsid w:val="00CC0495"/>
    <w:rsid w:val="00CC0AAD"/>
    <w:rsid w:val="00CC11F4"/>
    <w:rsid w:val="00CC16CA"/>
    <w:rsid w:val="00CC1A46"/>
    <w:rsid w:val="00CC1E73"/>
    <w:rsid w:val="00CC233F"/>
    <w:rsid w:val="00CC23E0"/>
    <w:rsid w:val="00CC5B1D"/>
    <w:rsid w:val="00CC767E"/>
    <w:rsid w:val="00CD0419"/>
    <w:rsid w:val="00CD108E"/>
    <w:rsid w:val="00CD19A2"/>
    <w:rsid w:val="00CD2779"/>
    <w:rsid w:val="00CD43E9"/>
    <w:rsid w:val="00CD44DB"/>
    <w:rsid w:val="00CD65C5"/>
    <w:rsid w:val="00CD782F"/>
    <w:rsid w:val="00CE00B5"/>
    <w:rsid w:val="00CE046D"/>
    <w:rsid w:val="00CE1E1A"/>
    <w:rsid w:val="00CE2820"/>
    <w:rsid w:val="00CE5D77"/>
    <w:rsid w:val="00CE5DC6"/>
    <w:rsid w:val="00CE612E"/>
    <w:rsid w:val="00CF082D"/>
    <w:rsid w:val="00CF280A"/>
    <w:rsid w:val="00CF2A4E"/>
    <w:rsid w:val="00CF3D59"/>
    <w:rsid w:val="00CF457C"/>
    <w:rsid w:val="00CF55E9"/>
    <w:rsid w:val="00CF5CF2"/>
    <w:rsid w:val="00CF6A7E"/>
    <w:rsid w:val="00CF6B65"/>
    <w:rsid w:val="00CF6D72"/>
    <w:rsid w:val="00CF7F1A"/>
    <w:rsid w:val="00D00D9A"/>
    <w:rsid w:val="00D02A39"/>
    <w:rsid w:val="00D03B5F"/>
    <w:rsid w:val="00D04DC5"/>
    <w:rsid w:val="00D051C2"/>
    <w:rsid w:val="00D05D68"/>
    <w:rsid w:val="00D05F66"/>
    <w:rsid w:val="00D1036B"/>
    <w:rsid w:val="00D11E23"/>
    <w:rsid w:val="00D12EC5"/>
    <w:rsid w:val="00D12F98"/>
    <w:rsid w:val="00D15727"/>
    <w:rsid w:val="00D1572A"/>
    <w:rsid w:val="00D1613E"/>
    <w:rsid w:val="00D16652"/>
    <w:rsid w:val="00D166D3"/>
    <w:rsid w:val="00D172B5"/>
    <w:rsid w:val="00D17984"/>
    <w:rsid w:val="00D20ECD"/>
    <w:rsid w:val="00D211C0"/>
    <w:rsid w:val="00D21F69"/>
    <w:rsid w:val="00D231AE"/>
    <w:rsid w:val="00D2359B"/>
    <w:rsid w:val="00D2583C"/>
    <w:rsid w:val="00D26012"/>
    <w:rsid w:val="00D26234"/>
    <w:rsid w:val="00D26693"/>
    <w:rsid w:val="00D27FD8"/>
    <w:rsid w:val="00D304C4"/>
    <w:rsid w:val="00D313A0"/>
    <w:rsid w:val="00D31DDF"/>
    <w:rsid w:val="00D3358E"/>
    <w:rsid w:val="00D34785"/>
    <w:rsid w:val="00D3534A"/>
    <w:rsid w:val="00D378D4"/>
    <w:rsid w:val="00D37962"/>
    <w:rsid w:val="00D37BA3"/>
    <w:rsid w:val="00D419C2"/>
    <w:rsid w:val="00D41E59"/>
    <w:rsid w:val="00D44913"/>
    <w:rsid w:val="00D44DBF"/>
    <w:rsid w:val="00D452FA"/>
    <w:rsid w:val="00D45357"/>
    <w:rsid w:val="00D45978"/>
    <w:rsid w:val="00D46436"/>
    <w:rsid w:val="00D5185E"/>
    <w:rsid w:val="00D53A76"/>
    <w:rsid w:val="00D54E2C"/>
    <w:rsid w:val="00D55998"/>
    <w:rsid w:val="00D55DC6"/>
    <w:rsid w:val="00D55EE4"/>
    <w:rsid w:val="00D5761D"/>
    <w:rsid w:val="00D613B0"/>
    <w:rsid w:val="00D6257E"/>
    <w:rsid w:val="00D627E5"/>
    <w:rsid w:val="00D64955"/>
    <w:rsid w:val="00D6567A"/>
    <w:rsid w:val="00D6590C"/>
    <w:rsid w:val="00D672EF"/>
    <w:rsid w:val="00D67A25"/>
    <w:rsid w:val="00D703B0"/>
    <w:rsid w:val="00D71752"/>
    <w:rsid w:val="00D727C7"/>
    <w:rsid w:val="00D72FB7"/>
    <w:rsid w:val="00D732DB"/>
    <w:rsid w:val="00D75256"/>
    <w:rsid w:val="00D755C9"/>
    <w:rsid w:val="00D75F1D"/>
    <w:rsid w:val="00D77DF8"/>
    <w:rsid w:val="00D815E9"/>
    <w:rsid w:val="00D823FE"/>
    <w:rsid w:val="00D8316B"/>
    <w:rsid w:val="00D83888"/>
    <w:rsid w:val="00D84BFF"/>
    <w:rsid w:val="00D84DB9"/>
    <w:rsid w:val="00D85402"/>
    <w:rsid w:val="00D86337"/>
    <w:rsid w:val="00D90229"/>
    <w:rsid w:val="00D93A82"/>
    <w:rsid w:val="00D95ACF"/>
    <w:rsid w:val="00D95E64"/>
    <w:rsid w:val="00D97CF6"/>
    <w:rsid w:val="00DA01B7"/>
    <w:rsid w:val="00DA0536"/>
    <w:rsid w:val="00DA068D"/>
    <w:rsid w:val="00DA0A2B"/>
    <w:rsid w:val="00DA1365"/>
    <w:rsid w:val="00DA1724"/>
    <w:rsid w:val="00DA3267"/>
    <w:rsid w:val="00DA4E47"/>
    <w:rsid w:val="00DA6A42"/>
    <w:rsid w:val="00DA7C7E"/>
    <w:rsid w:val="00DB1024"/>
    <w:rsid w:val="00DB56B7"/>
    <w:rsid w:val="00DB5F4D"/>
    <w:rsid w:val="00DB6DD1"/>
    <w:rsid w:val="00DC0069"/>
    <w:rsid w:val="00DC05BB"/>
    <w:rsid w:val="00DC0E77"/>
    <w:rsid w:val="00DC1150"/>
    <w:rsid w:val="00DC3145"/>
    <w:rsid w:val="00DC3E82"/>
    <w:rsid w:val="00DC45BB"/>
    <w:rsid w:val="00DC45EC"/>
    <w:rsid w:val="00DC4A5B"/>
    <w:rsid w:val="00DC4D84"/>
    <w:rsid w:val="00DC541B"/>
    <w:rsid w:val="00DC5BCA"/>
    <w:rsid w:val="00DC7455"/>
    <w:rsid w:val="00DC7BD2"/>
    <w:rsid w:val="00DD01CE"/>
    <w:rsid w:val="00DD14A9"/>
    <w:rsid w:val="00DD17C5"/>
    <w:rsid w:val="00DD2D7B"/>
    <w:rsid w:val="00DD43E7"/>
    <w:rsid w:val="00DD70E4"/>
    <w:rsid w:val="00DD797A"/>
    <w:rsid w:val="00DE1C8C"/>
    <w:rsid w:val="00DE2495"/>
    <w:rsid w:val="00DE269A"/>
    <w:rsid w:val="00DE27C8"/>
    <w:rsid w:val="00DE2CE9"/>
    <w:rsid w:val="00DE2FA0"/>
    <w:rsid w:val="00DE3024"/>
    <w:rsid w:val="00DE3774"/>
    <w:rsid w:val="00DE4085"/>
    <w:rsid w:val="00DE5865"/>
    <w:rsid w:val="00DE5DAE"/>
    <w:rsid w:val="00DE7292"/>
    <w:rsid w:val="00DF1283"/>
    <w:rsid w:val="00DF2080"/>
    <w:rsid w:val="00DF2116"/>
    <w:rsid w:val="00DF262A"/>
    <w:rsid w:val="00DF4CCA"/>
    <w:rsid w:val="00DF651E"/>
    <w:rsid w:val="00DF7A3A"/>
    <w:rsid w:val="00E000CB"/>
    <w:rsid w:val="00E0112A"/>
    <w:rsid w:val="00E013E7"/>
    <w:rsid w:val="00E025EB"/>
    <w:rsid w:val="00E04C78"/>
    <w:rsid w:val="00E052B2"/>
    <w:rsid w:val="00E0594A"/>
    <w:rsid w:val="00E11722"/>
    <w:rsid w:val="00E1186E"/>
    <w:rsid w:val="00E12C70"/>
    <w:rsid w:val="00E13066"/>
    <w:rsid w:val="00E158A6"/>
    <w:rsid w:val="00E15DAE"/>
    <w:rsid w:val="00E17811"/>
    <w:rsid w:val="00E17DAC"/>
    <w:rsid w:val="00E20293"/>
    <w:rsid w:val="00E2071C"/>
    <w:rsid w:val="00E20891"/>
    <w:rsid w:val="00E214EC"/>
    <w:rsid w:val="00E21B93"/>
    <w:rsid w:val="00E23B75"/>
    <w:rsid w:val="00E23C4D"/>
    <w:rsid w:val="00E2508E"/>
    <w:rsid w:val="00E25DA9"/>
    <w:rsid w:val="00E2636A"/>
    <w:rsid w:val="00E2660E"/>
    <w:rsid w:val="00E26773"/>
    <w:rsid w:val="00E302C4"/>
    <w:rsid w:val="00E30C1E"/>
    <w:rsid w:val="00E33E87"/>
    <w:rsid w:val="00E34E68"/>
    <w:rsid w:val="00E35E5A"/>
    <w:rsid w:val="00E42D22"/>
    <w:rsid w:val="00E44013"/>
    <w:rsid w:val="00E4471A"/>
    <w:rsid w:val="00E4537B"/>
    <w:rsid w:val="00E45B66"/>
    <w:rsid w:val="00E46A49"/>
    <w:rsid w:val="00E51AF0"/>
    <w:rsid w:val="00E52711"/>
    <w:rsid w:val="00E532A8"/>
    <w:rsid w:val="00E5337C"/>
    <w:rsid w:val="00E535FE"/>
    <w:rsid w:val="00E53755"/>
    <w:rsid w:val="00E53E01"/>
    <w:rsid w:val="00E541A5"/>
    <w:rsid w:val="00E5442E"/>
    <w:rsid w:val="00E55DE0"/>
    <w:rsid w:val="00E6010A"/>
    <w:rsid w:val="00E60636"/>
    <w:rsid w:val="00E61C86"/>
    <w:rsid w:val="00E61CE0"/>
    <w:rsid w:val="00E61D52"/>
    <w:rsid w:val="00E6221F"/>
    <w:rsid w:val="00E62308"/>
    <w:rsid w:val="00E62C29"/>
    <w:rsid w:val="00E66AE9"/>
    <w:rsid w:val="00E66B1B"/>
    <w:rsid w:val="00E6714A"/>
    <w:rsid w:val="00E67841"/>
    <w:rsid w:val="00E67D6C"/>
    <w:rsid w:val="00E71BAC"/>
    <w:rsid w:val="00E72B74"/>
    <w:rsid w:val="00E73800"/>
    <w:rsid w:val="00E74197"/>
    <w:rsid w:val="00E7551E"/>
    <w:rsid w:val="00E7762C"/>
    <w:rsid w:val="00E77BF3"/>
    <w:rsid w:val="00E77FA2"/>
    <w:rsid w:val="00E8030F"/>
    <w:rsid w:val="00E820E4"/>
    <w:rsid w:val="00E821C0"/>
    <w:rsid w:val="00E83C2D"/>
    <w:rsid w:val="00E845F9"/>
    <w:rsid w:val="00E84D8D"/>
    <w:rsid w:val="00E85469"/>
    <w:rsid w:val="00E8700C"/>
    <w:rsid w:val="00E87DA0"/>
    <w:rsid w:val="00E904F9"/>
    <w:rsid w:val="00E90856"/>
    <w:rsid w:val="00E90E1B"/>
    <w:rsid w:val="00E91CBA"/>
    <w:rsid w:val="00E91DF4"/>
    <w:rsid w:val="00E92D4A"/>
    <w:rsid w:val="00E93147"/>
    <w:rsid w:val="00E9346C"/>
    <w:rsid w:val="00E94EF8"/>
    <w:rsid w:val="00E950AC"/>
    <w:rsid w:val="00E97571"/>
    <w:rsid w:val="00EA06F6"/>
    <w:rsid w:val="00EA0B4A"/>
    <w:rsid w:val="00EA0F87"/>
    <w:rsid w:val="00EA1BAD"/>
    <w:rsid w:val="00EA23C9"/>
    <w:rsid w:val="00EA26BE"/>
    <w:rsid w:val="00EA28A3"/>
    <w:rsid w:val="00EA2F77"/>
    <w:rsid w:val="00EA5FEC"/>
    <w:rsid w:val="00EA65BC"/>
    <w:rsid w:val="00EA754F"/>
    <w:rsid w:val="00EB0BE2"/>
    <w:rsid w:val="00EB109B"/>
    <w:rsid w:val="00EB2B00"/>
    <w:rsid w:val="00EB34A8"/>
    <w:rsid w:val="00EB3647"/>
    <w:rsid w:val="00EB4956"/>
    <w:rsid w:val="00EB6ACA"/>
    <w:rsid w:val="00EC0EE2"/>
    <w:rsid w:val="00EC11EB"/>
    <w:rsid w:val="00EC169D"/>
    <w:rsid w:val="00EC1A71"/>
    <w:rsid w:val="00EC41D3"/>
    <w:rsid w:val="00EC58A5"/>
    <w:rsid w:val="00EC626E"/>
    <w:rsid w:val="00EC75A9"/>
    <w:rsid w:val="00EC772B"/>
    <w:rsid w:val="00ED140C"/>
    <w:rsid w:val="00ED1CF7"/>
    <w:rsid w:val="00ED2F05"/>
    <w:rsid w:val="00ED3FA0"/>
    <w:rsid w:val="00ED4CAF"/>
    <w:rsid w:val="00ED6CFE"/>
    <w:rsid w:val="00ED7306"/>
    <w:rsid w:val="00EE0406"/>
    <w:rsid w:val="00EE0561"/>
    <w:rsid w:val="00EE0C4D"/>
    <w:rsid w:val="00EE0F38"/>
    <w:rsid w:val="00EE2254"/>
    <w:rsid w:val="00EE2C6D"/>
    <w:rsid w:val="00EE3D37"/>
    <w:rsid w:val="00EE5581"/>
    <w:rsid w:val="00EE6FF6"/>
    <w:rsid w:val="00EE70B9"/>
    <w:rsid w:val="00EE78DE"/>
    <w:rsid w:val="00EE7E92"/>
    <w:rsid w:val="00EF2BF3"/>
    <w:rsid w:val="00EF3F24"/>
    <w:rsid w:val="00EF43D5"/>
    <w:rsid w:val="00EF51C8"/>
    <w:rsid w:val="00EF6032"/>
    <w:rsid w:val="00EF739A"/>
    <w:rsid w:val="00F0050E"/>
    <w:rsid w:val="00F0173C"/>
    <w:rsid w:val="00F02343"/>
    <w:rsid w:val="00F046C3"/>
    <w:rsid w:val="00F04C80"/>
    <w:rsid w:val="00F04F3B"/>
    <w:rsid w:val="00F05F9A"/>
    <w:rsid w:val="00F06E40"/>
    <w:rsid w:val="00F07180"/>
    <w:rsid w:val="00F1025E"/>
    <w:rsid w:val="00F11AA8"/>
    <w:rsid w:val="00F12E5F"/>
    <w:rsid w:val="00F1510F"/>
    <w:rsid w:val="00F155A9"/>
    <w:rsid w:val="00F15AFF"/>
    <w:rsid w:val="00F16424"/>
    <w:rsid w:val="00F20276"/>
    <w:rsid w:val="00F22EC2"/>
    <w:rsid w:val="00F24170"/>
    <w:rsid w:val="00F24337"/>
    <w:rsid w:val="00F24723"/>
    <w:rsid w:val="00F250D8"/>
    <w:rsid w:val="00F251E3"/>
    <w:rsid w:val="00F274BC"/>
    <w:rsid w:val="00F30DC3"/>
    <w:rsid w:val="00F332EE"/>
    <w:rsid w:val="00F33B26"/>
    <w:rsid w:val="00F34171"/>
    <w:rsid w:val="00F34248"/>
    <w:rsid w:val="00F40E4F"/>
    <w:rsid w:val="00F41148"/>
    <w:rsid w:val="00F41459"/>
    <w:rsid w:val="00F41FB8"/>
    <w:rsid w:val="00F428AC"/>
    <w:rsid w:val="00F42DD0"/>
    <w:rsid w:val="00F43231"/>
    <w:rsid w:val="00F43BDE"/>
    <w:rsid w:val="00F453FA"/>
    <w:rsid w:val="00F464BD"/>
    <w:rsid w:val="00F5030F"/>
    <w:rsid w:val="00F504BF"/>
    <w:rsid w:val="00F512FF"/>
    <w:rsid w:val="00F513C9"/>
    <w:rsid w:val="00F52329"/>
    <w:rsid w:val="00F523D1"/>
    <w:rsid w:val="00F5470B"/>
    <w:rsid w:val="00F5524C"/>
    <w:rsid w:val="00F55385"/>
    <w:rsid w:val="00F5620A"/>
    <w:rsid w:val="00F56FF4"/>
    <w:rsid w:val="00F61DA5"/>
    <w:rsid w:val="00F61E6D"/>
    <w:rsid w:val="00F63CB8"/>
    <w:rsid w:val="00F652BE"/>
    <w:rsid w:val="00F66028"/>
    <w:rsid w:val="00F663E8"/>
    <w:rsid w:val="00F71B6D"/>
    <w:rsid w:val="00F7314C"/>
    <w:rsid w:val="00F73821"/>
    <w:rsid w:val="00F73DF7"/>
    <w:rsid w:val="00F76C17"/>
    <w:rsid w:val="00F771C8"/>
    <w:rsid w:val="00F80C88"/>
    <w:rsid w:val="00F8344A"/>
    <w:rsid w:val="00F84C64"/>
    <w:rsid w:val="00F8556E"/>
    <w:rsid w:val="00F855B7"/>
    <w:rsid w:val="00F85FEF"/>
    <w:rsid w:val="00F86313"/>
    <w:rsid w:val="00F86B41"/>
    <w:rsid w:val="00F916DD"/>
    <w:rsid w:val="00F921D0"/>
    <w:rsid w:val="00F925D2"/>
    <w:rsid w:val="00F9298F"/>
    <w:rsid w:val="00F94FC3"/>
    <w:rsid w:val="00F9572B"/>
    <w:rsid w:val="00F957E7"/>
    <w:rsid w:val="00F95BD1"/>
    <w:rsid w:val="00F9610C"/>
    <w:rsid w:val="00F966F3"/>
    <w:rsid w:val="00F96D31"/>
    <w:rsid w:val="00F96E15"/>
    <w:rsid w:val="00F97074"/>
    <w:rsid w:val="00F97E0B"/>
    <w:rsid w:val="00FA0925"/>
    <w:rsid w:val="00FA0D11"/>
    <w:rsid w:val="00FA1C4D"/>
    <w:rsid w:val="00FA262A"/>
    <w:rsid w:val="00FA27CC"/>
    <w:rsid w:val="00FA3BBB"/>
    <w:rsid w:val="00FA4119"/>
    <w:rsid w:val="00FA42F0"/>
    <w:rsid w:val="00FA4C94"/>
    <w:rsid w:val="00FA6D34"/>
    <w:rsid w:val="00FA6EC6"/>
    <w:rsid w:val="00FA7C6C"/>
    <w:rsid w:val="00FB38DA"/>
    <w:rsid w:val="00FB3D28"/>
    <w:rsid w:val="00FB3DB8"/>
    <w:rsid w:val="00FB5000"/>
    <w:rsid w:val="00FB58BB"/>
    <w:rsid w:val="00FB598F"/>
    <w:rsid w:val="00FB59FE"/>
    <w:rsid w:val="00FC17B8"/>
    <w:rsid w:val="00FC2A79"/>
    <w:rsid w:val="00FC3793"/>
    <w:rsid w:val="00FC3B39"/>
    <w:rsid w:val="00FC3C37"/>
    <w:rsid w:val="00FC3D74"/>
    <w:rsid w:val="00FC6B8C"/>
    <w:rsid w:val="00FC7A51"/>
    <w:rsid w:val="00FD03B2"/>
    <w:rsid w:val="00FD0BB1"/>
    <w:rsid w:val="00FD0C46"/>
    <w:rsid w:val="00FD0D70"/>
    <w:rsid w:val="00FD18EB"/>
    <w:rsid w:val="00FD2865"/>
    <w:rsid w:val="00FD387D"/>
    <w:rsid w:val="00FD4F68"/>
    <w:rsid w:val="00FD5C28"/>
    <w:rsid w:val="00FD61A8"/>
    <w:rsid w:val="00FD6D19"/>
    <w:rsid w:val="00FD6DE2"/>
    <w:rsid w:val="00FD7D3C"/>
    <w:rsid w:val="00FD7D4F"/>
    <w:rsid w:val="00FE16A4"/>
    <w:rsid w:val="00FE1B6B"/>
    <w:rsid w:val="00FE1BCD"/>
    <w:rsid w:val="00FE38B3"/>
    <w:rsid w:val="00FE4145"/>
    <w:rsid w:val="00FE5A22"/>
    <w:rsid w:val="00FE5CEE"/>
    <w:rsid w:val="00FE6C62"/>
    <w:rsid w:val="00FE7726"/>
    <w:rsid w:val="00FE7C99"/>
    <w:rsid w:val="00FF0A21"/>
    <w:rsid w:val="00FF1CA9"/>
    <w:rsid w:val="00FF1E89"/>
    <w:rsid w:val="00FF2122"/>
    <w:rsid w:val="00FF2831"/>
    <w:rsid w:val="00FF454C"/>
    <w:rsid w:val="00FF56E6"/>
    <w:rsid w:val="00FF6A57"/>
    <w:rsid w:val="00FF6C9D"/>
    <w:rsid w:val="00FF7A01"/>
    <w:rsid w:val="00FF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95FB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80C"/>
    <w:rPr>
      <w:rFonts w:ascii="Arial" w:hAnsi="Arial"/>
      <w:sz w:val="24"/>
      <w:szCs w:val="24"/>
    </w:rPr>
  </w:style>
  <w:style w:type="paragraph" w:styleId="Heading1">
    <w:name w:val="heading 1"/>
    <w:basedOn w:val="Normal"/>
    <w:next w:val="Normal"/>
    <w:link w:val="Heading1Char"/>
    <w:uiPriority w:val="9"/>
    <w:qFormat/>
    <w:rsid w:val="004D2448"/>
    <w:pPr>
      <w:keepNext/>
      <w:keepLines/>
      <w:spacing w:before="240"/>
      <w:jc w:val="center"/>
      <w:outlineLvl w:val="0"/>
    </w:pPr>
    <w:rPr>
      <w:rFonts w:eastAsia="Times New Roman"/>
      <w:caps/>
      <w:sz w:val="52"/>
      <w:szCs w:val="32"/>
    </w:rPr>
  </w:style>
  <w:style w:type="paragraph" w:styleId="Heading2">
    <w:name w:val="heading 2"/>
    <w:basedOn w:val="Normal"/>
    <w:next w:val="Normal"/>
    <w:link w:val="Heading2Char"/>
    <w:uiPriority w:val="9"/>
    <w:unhideWhenUsed/>
    <w:qFormat/>
    <w:rsid w:val="00AE52D2"/>
    <w:pPr>
      <w:keepNext/>
      <w:keepLines/>
      <w:spacing w:before="40"/>
      <w:jc w:val="center"/>
      <w:outlineLvl w:val="1"/>
    </w:pPr>
    <w:rPr>
      <w:rFonts w:eastAsia="Times New Roman"/>
      <w:sz w:val="36"/>
      <w:szCs w:val="26"/>
    </w:rPr>
  </w:style>
  <w:style w:type="paragraph" w:styleId="Heading3">
    <w:name w:val="heading 3"/>
    <w:basedOn w:val="Normal"/>
    <w:next w:val="Normal"/>
    <w:link w:val="Heading3Char"/>
    <w:uiPriority w:val="9"/>
    <w:unhideWhenUsed/>
    <w:qFormat/>
    <w:rsid w:val="00AE52D2"/>
    <w:pPr>
      <w:keepNext/>
      <w:keepLines/>
      <w:spacing w:before="40" w:after="120"/>
      <w:jc w:val="center"/>
      <w:outlineLvl w:val="2"/>
    </w:pPr>
    <w:rPr>
      <w:rFonts w:eastAsia="Times New Roman"/>
      <w:b/>
      <w:sz w:val="32"/>
    </w:rPr>
  </w:style>
  <w:style w:type="paragraph" w:styleId="Heading4">
    <w:name w:val="heading 4"/>
    <w:basedOn w:val="Normal"/>
    <w:next w:val="Normal"/>
    <w:link w:val="Heading4Char"/>
    <w:uiPriority w:val="9"/>
    <w:unhideWhenUsed/>
    <w:qFormat/>
    <w:rsid w:val="006E2205"/>
    <w:pPr>
      <w:keepNext/>
      <w:keepLines/>
      <w:spacing w:before="120" w:after="120"/>
      <w:outlineLvl w:val="3"/>
    </w:pPr>
    <w:rPr>
      <w:rFonts w:eastAsia="Times New Roman"/>
      <w:b/>
      <w:iCs/>
      <w:sz w:val="28"/>
    </w:rPr>
  </w:style>
  <w:style w:type="paragraph" w:styleId="Heading5">
    <w:name w:val="heading 5"/>
    <w:basedOn w:val="Caption"/>
    <w:next w:val="Normal"/>
    <w:link w:val="Heading5Char"/>
    <w:uiPriority w:val="9"/>
    <w:unhideWhenUsed/>
    <w:qFormat/>
    <w:rsid w:val="00066268"/>
    <w:pPr>
      <w:outlineLvl w:val="4"/>
    </w:pPr>
    <w:rPr>
      <w:color w:val="1F3864" w:themeColor="accent5" w:themeShade="80"/>
      <w:sz w:val="24"/>
      <w:szCs w:val="24"/>
    </w:rPr>
  </w:style>
  <w:style w:type="paragraph" w:styleId="Heading6">
    <w:name w:val="heading 6"/>
    <w:basedOn w:val="Normal"/>
    <w:next w:val="Normal"/>
    <w:link w:val="Heading6Char"/>
    <w:uiPriority w:val="9"/>
    <w:unhideWhenUsed/>
    <w:qFormat/>
    <w:rsid w:val="00623717"/>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C3554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A068D"/>
    <w:rPr>
      <w:rFonts w:eastAsia="Times New Roman"/>
      <w:sz w:val="22"/>
      <w:szCs w:val="22"/>
      <w:lang w:eastAsia="zh-CN"/>
    </w:rPr>
  </w:style>
  <w:style w:type="character" w:customStyle="1" w:styleId="NoSpacingChar">
    <w:name w:val="No Spacing Char"/>
    <w:link w:val="NoSpacing"/>
    <w:uiPriority w:val="1"/>
    <w:rsid w:val="00DA068D"/>
    <w:rPr>
      <w:rFonts w:eastAsia="Times New Roman"/>
      <w:sz w:val="22"/>
      <w:szCs w:val="22"/>
      <w:lang w:eastAsia="zh-CN"/>
    </w:rPr>
  </w:style>
  <w:style w:type="character" w:customStyle="1" w:styleId="Heading1Char">
    <w:name w:val="Heading 1 Char"/>
    <w:link w:val="Heading1"/>
    <w:uiPriority w:val="9"/>
    <w:rsid w:val="004D2448"/>
    <w:rPr>
      <w:rFonts w:ascii="Arial" w:eastAsia="Times New Roman" w:hAnsi="Arial"/>
      <w:caps/>
      <w:sz w:val="52"/>
      <w:szCs w:val="32"/>
    </w:rPr>
  </w:style>
  <w:style w:type="paragraph" w:styleId="TOCHeading">
    <w:name w:val="TOC Heading"/>
    <w:basedOn w:val="Heading1"/>
    <w:next w:val="Normal"/>
    <w:uiPriority w:val="39"/>
    <w:unhideWhenUsed/>
    <w:qFormat/>
    <w:rsid w:val="00DA068D"/>
    <w:pPr>
      <w:spacing w:before="480" w:line="276" w:lineRule="auto"/>
      <w:outlineLvl w:val="9"/>
    </w:pPr>
    <w:rPr>
      <w:b/>
      <w:bCs/>
      <w:sz w:val="28"/>
      <w:szCs w:val="28"/>
    </w:rPr>
  </w:style>
  <w:style w:type="paragraph" w:styleId="TOC2">
    <w:name w:val="toc 2"/>
    <w:basedOn w:val="Normal"/>
    <w:next w:val="Normal"/>
    <w:autoRedefine/>
    <w:uiPriority w:val="39"/>
    <w:unhideWhenUsed/>
    <w:rsid w:val="00E13066"/>
    <w:pPr>
      <w:tabs>
        <w:tab w:val="right" w:leader="dot" w:pos="9350"/>
      </w:tabs>
      <w:spacing w:after="120"/>
    </w:pPr>
    <w:rPr>
      <w:b/>
      <w:bCs/>
      <w:noProof/>
    </w:rPr>
  </w:style>
  <w:style w:type="paragraph" w:styleId="TOC1">
    <w:name w:val="toc 1"/>
    <w:basedOn w:val="Normal"/>
    <w:next w:val="Normal"/>
    <w:autoRedefine/>
    <w:uiPriority w:val="39"/>
    <w:unhideWhenUsed/>
    <w:rsid w:val="00DA068D"/>
    <w:pPr>
      <w:spacing w:before="120"/>
    </w:pPr>
    <w:rPr>
      <w:b/>
      <w:bCs/>
    </w:rPr>
  </w:style>
  <w:style w:type="paragraph" w:styleId="TOC3">
    <w:name w:val="toc 3"/>
    <w:basedOn w:val="Normal"/>
    <w:next w:val="Normal"/>
    <w:autoRedefine/>
    <w:uiPriority w:val="39"/>
    <w:unhideWhenUsed/>
    <w:rsid w:val="00DA068D"/>
    <w:pPr>
      <w:ind w:left="480"/>
    </w:pPr>
    <w:rPr>
      <w:sz w:val="22"/>
      <w:szCs w:val="22"/>
    </w:rPr>
  </w:style>
  <w:style w:type="paragraph" w:styleId="TOC4">
    <w:name w:val="toc 4"/>
    <w:basedOn w:val="Normal"/>
    <w:next w:val="Normal"/>
    <w:autoRedefine/>
    <w:uiPriority w:val="39"/>
    <w:semiHidden/>
    <w:unhideWhenUsed/>
    <w:rsid w:val="00DA068D"/>
    <w:pPr>
      <w:ind w:left="720"/>
    </w:pPr>
    <w:rPr>
      <w:sz w:val="20"/>
      <w:szCs w:val="20"/>
    </w:rPr>
  </w:style>
  <w:style w:type="paragraph" w:styleId="TOC5">
    <w:name w:val="toc 5"/>
    <w:basedOn w:val="Normal"/>
    <w:next w:val="Normal"/>
    <w:autoRedefine/>
    <w:uiPriority w:val="39"/>
    <w:semiHidden/>
    <w:unhideWhenUsed/>
    <w:rsid w:val="00DA068D"/>
    <w:pPr>
      <w:ind w:left="960"/>
    </w:pPr>
    <w:rPr>
      <w:sz w:val="20"/>
      <w:szCs w:val="20"/>
    </w:rPr>
  </w:style>
  <w:style w:type="paragraph" w:styleId="TOC6">
    <w:name w:val="toc 6"/>
    <w:basedOn w:val="Normal"/>
    <w:next w:val="Normal"/>
    <w:autoRedefine/>
    <w:uiPriority w:val="39"/>
    <w:semiHidden/>
    <w:unhideWhenUsed/>
    <w:rsid w:val="00DA068D"/>
    <w:pPr>
      <w:ind w:left="1200"/>
    </w:pPr>
    <w:rPr>
      <w:sz w:val="20"/>
      <w:szCs w:val="20"/>
    </w:rPr>
  </w:style>
  <w:style w:type="paragraph" w:styleId="TOC7">
    <w:name w:val="toc 7"/>
    <w:basedOn w:val="Normal"/>
    <w:next w:val="Normal"/>
    <w:autoRedefine/>
    <w:uiPriority w:val="39"/>
    <w:semiHidden/>
    <w:unhideWhenUsed/>
    <w:rsid w:val="00DA068D"/>
    <w:pPr>
      <w:ind w:left="1440"/>
    </w:pPr>
    <w:rPr>
      <w:sz w:val="20"/>
      <w:szCs w:val="20"/>
    </w:rPr>
  </w:style>
  <w:style w:type="paragraph" w:styleId="TOC8">
    <w:name w:val="toc 8"/>
    <w:basedOn w:val="Normal"/>
    <w:next w:val="Normal"/>
    <w:autoRedefine/>
    <w:uiPriority w:val="39"/>
    <w:semiHidden/>
    <w:unhideWhenUsed/>
    <w:rsid w:val="00DA068D"/>
    <w:pPr>
      <w:ind w:left="1680"/>
    </w:pPr>
    <w:rPr>
      <w:sz w:val="20"/>
      <w:szCs w:val="20"/>
    </w:rPr>
  </w:style>
  <w:style w:type="paragraph" w:styleId="TOC9">
    <w:name w:val="toc 9"/>
    <w:basedOn w:val="Normal"/>
    <w:next w:val="Normal"/>
    <w:autoRedefine/>
    <w:uiPriority w:val="39"/>
    <w:semiHidden/>
    <w:unhideWhenUsed/>
    <w:rsid w:val="00DA068D"/>
    <w:pPr>
      <w:ind w:left="1920"/>
    </w:pPr>
    <w:rPr>
      <w:sz w:val="20"/>
      <w:szCs w:val="20"/>
    </w:rPr>
  </w:style>
  <w:style w:type="character" w:styleId="IntenseEmphasis">
    <w:name w:val="Intense Emphasis"/>
    <w:uiPriority w:val="21"/>
    <w:qFormat/>
    <w:rsid w:val="00DA068D"/>
    <w:rPr>
      <w:i/>
      <w:iCs/>
      <w:color w:val="4472C4"/>
    </w:rPr>
  </w:style>
  <w:style w:type="character" w:customStyle="1" w:styleId="Heading2Char">
    <w:name w:val="Heading 2 Char"/>
    <w:link w:val="Heading2"/>
    <w:uiPriority w:val="9"/>
    <w:rsid w:val="00AE52D2"/>
    <w:rPr>
      <w:rFonts w:ascii="Arial" w:eastAsia="Times New Roman" w:hAnsi="Arial"/>
      <w:sz w:val="36"/>
      <w:szCs w:val="26"/>
    </w:rPr>
  </w:style>
  <w:style w:type="paragraph" w:styleId="Footer">
    <w:name w:val="footer"/>
    <w:basedOn w:val="Normal"/>
    <w:link w:val="FooterChar"/>
    <w:uiPriority w:val="99"/>
    <w:unhideWhenUsed/>
    <w:rsid w:val="00DA068D"/>
    <w:pPr>
      <w:tabs>
        <w:tab w:val="center" w:pos="4680"/>
        <w:tab w:val="right" w:pos="9360"/>
      </w:tabs>
    </w:pPr>
  </w:style>
  <w:style w:type="character" w:customStyle="1" w:styleId="FooterChar">
    <w:name w:val="Footer Char"/>
    <w:basedOn w:val="DefaultParagraphFont"/>
    <w:link w:val="Footer"/>
    <w:uiPriority w:val="99"/>
    <w:rsid w:val="00DA068D"/>
  </w:style>
  <w:style w:type="character" w:styleId="PageNumber">
    <w:name w:val="page number"/>
    <w:basedOn w:val="DefaultParagraphFont"/>
    <w:uiPriority w:val="99"/>
    <w:semiHidden/>
    <w:unhideWhenUsed/>
    <w:rsid w:val="00DA068D"/>
  </w:style>
  <w:style w:type="character" w:styleId="Hyperlink">
    <w:name w:val="Hyperlink"/>
    <w:uiPriority w:val="99"/>
    <w:unhideWhenUsed/>
    <w:qFormat/>
    <w:rsid w:val="00DA068D"/>
    <w:rPr>
      <w:color w:val="0563C1"/>
      <w:u w:val="single"/>
    </w:rPr>
  </w:style>
  <w:style w:type="paragraph" w:styleId="EndnoteText">
    <w:name w:val="endnote text"/>
    <w:basedOn w:val="Normal"/>
    <w:link w:val="EndnoteTextChar"/>
    <w:uiPriority w:val="99"/>
    <w:unhideWhenUsed/>
    <w:rsid w:val="00892FB0"/>
  </w:style>
  <w:style w:type="character" w:customStyle="1" w:styleId="EndnoteTextChar">
    <w:name w:val="Endnote Text Char"/>
    <w:basedOn w:val="DefaultParagraphFont"/>
    <w:link w:val="EndnoteText"/>
    <w:uiPriority w:val="99"/>
    <w:rsid w:val="00892FB0"/>
  </w:style>
  <w:style w:type="character" w:styleId="EndnoteReference">
    <w:name w:val="endnote reference"/>
    <w:uiPriority w:val="99"/>
    <w:unhideWhenUsed/>
    <w:rsid w:val="00892FB0"/>
    <w:rPr>
      <w:vertAlign w:val="superscript"/>
    </w:rPr>
  </w:style>
  <w:style w:type="character" w:customStyle="1" w:styleId="Heading3Char">
    <w:name w:val="Heading 3 Char"/>
    <w:link w:val="Heading3"/>
    <w:uiPriority w:val="9"/>
    <w:rsid w:val="00AE52D2"/>
    <w:rPr>
      <w:rFonts w:ascii="Arial" w:eastAsia="Times New Roman" w:hAnsi="Arial"/>
      <w:b/>
      <w:sz w:val="32"/>
      <w:szCs w:val="24"/>
    </w:rPr>
  </w:style>
  <w:style w:type="paragraph" w:styleId="NormalWeb">
    <w:name w:val="Normal (Web)"/>
    <w:basedOn w:val="Normal"/>
    <w:uiPriority w:val="99"/>
    <w:unhideWhenUsed/>
    <w:rsid w:val="00090238"/>
    <w:pPr>
      <w:spacing w:before="100" w:beforeAutospacing="1" w:after="100" w:afterAutospacing="1"/>
    </w:pPr>
    <w:rPr>
      <w:rFonts w:ascii="Times New Roman" w:hAnsi="Times New Roman"/>
    </w:rPr>
  </w:style>
  <w:style w:type="paragraph" w:styleId="ListParagraph">
    <w:name w:val="List Paragraph"/>
    <w:basedOn w:val="Normal"/>
    <w:uiPriority w:val="34"/>
    <w:qFormat/>
    <w:rsid w:val="0090737E"/>
    <w:pPr>
      <w:ind w:left="720"/>
      <w:contextualSpacing/>
    </w:pPr>
  </w:style>
  <w:style w:type="paragraph" w:styleId="BodyText">
    <w:name w:val="Body Text"/>
    <w:basedOn w:val="Normal"/>
    <w:link w:val="BodyTextChar"/>
    <w:uiPriority w:val="1"/>
    <w:qFormat/>
    <w:rsid w:val="00817C14"/>
    <w:pPr>
      <w:widowControl w:val="0"/>
      <w:autoSpaceDE w:val="0"/>
      <w:autoSpaceDN w:val="0"/>
      <w:jc w:val="both"/>
    </w:pPr>
    <w:rPr>
      <w:rFonts w:ascii="Times New Roman" w:eastAsia="Times New Roman" w:hAnsi="Times New Roman"/>
      <w:sz w:val="20"/>
      <w:szCs w:val="20"/>
    </w:rPr>
  </w:style>
  <w:style w:type="character" w:customStyle="1" w:styleId="BodyTextChar">
    <w:name w:val="Body Text Char"/>
    <w:link w:val="BodyText"/>
    <w:uiPriority w:val="1"/>
    <w:rsid w:val="00817C14"/>
    <w:rPr>
      <w:rFonts w:ascii="Times New Roman" w:eastAsia="Times New Roman" w:hAnsi="Times New Roman" w:cs="Times New Roman"/>
      <w:sz w:val="20"/>
      <w:szCs w:val="20"/>
    </w:rPr>
  </w:style>
  <w:style w:type="paragraph" w:customStyle="1" w:styleId="maintext">
    <w:name w:val="maintext"/>
    <w:basedOn w:val="Normal"/>
    <w:rsid w:val="00D727C7"/>
    <w:pPr>
      <w:spacing w:before="100" w:beforeAutospacing="1" w:after="100" w:afterAutospacing="1"/>
    </w:pPr>
    <w:rPr>
      <w:rFonts w:ascii="Times New Roman" w:eastAsia="Times New Roman" w:hAnsi="Times New Roman"/>
    </w:rPr>
  </w:style>
  <w:style w:type="paragraph" w:customStyle="1" w:styleId="Default">
    <w:name w:val="Default"/>
    <w:rsid w:val="00D727C7"/>
    <w:pPr>
      <w:autoSpaceDE w:val="0"/>
      <w:autoSpaceDN w:val="0"/>
      <w:adjustRightInd w:val="0"/>
    </w:pPr>
    <w:rPr>
      <w:rFonts w:ascii="Calvert MT" w:hAnsi="Calvert MT" w:cs="Calvert MT"/>
      <w:color w:val="000000"/>
      <w:sz w:val="24"/>
      <w:szCs w:val="24"/>
    </w:rPr>
  </w:style>
  <w:style w:type="character" w:customStyle="1" w:styleId="Heading4Char">
    <w:name w:val="Heading 4 Char"/>
    <w:link w:val="Heading4"/>
    <w:uiPriority w:val="9"/>
    <w:rsid w:val="006E2205"/>
    <w:rPr>
      <w:rFonts w:ascii="Arial" w:eastAsia="Times New Roman" w:hAnsi="Arial"/>
      <w:b/>
      <w:iCs/>
      <w:sz w:val="28"/>
      <w:szCs w:val="24"/>
    </w:rPr>
  </w:style>
  <w:style w:type="paragraph" w:styleId="Header">
    <w:name w:val="header"/>
    <w:basedOn w:val="Normal"/>
    <w:link w:val="HeaderChar"/>
    <w:uiPriority w:val="99"/>
    <w:unhideWhenUsed/>
    <w:rsid w:val="00C42C3B"/>
    <w:pPr>
      <w:tabs>
        <w:tab w:val="center" w:pos="4680"/>
        <w:tab w:val="right" w:pos="9360"/>
      </w:tabs>
    </w:pPr>
  </w:style>
  <w:style w:type="character" w:customStyle="1" w:styleId="HeaderChar">
    <w:name w:val="Header Char"/>
    <w:basedOn w:val="DefaultParagraphFont"/>
    <w:link w:val="Header"/>
    <w:uiPriority w:val="99"/>
    <w:rsid w:val="00C42C3B"/>
  </w:style>
  <w:style w:type="paragraph" w:styleId="BalloonText">
    <w:name w:val="Balloon Text"/>
    <w:basedOn w:val="Normal"/>
    <w:link w:val="BalloonTextChar"/>
    <w:uiPriority w:val="99"/>
    <w:semiHidden/>
    <w:unhideWhenUsed/>
    <w:rsid w:val="00181BF6"/>
    <w:rPr>
      <w:rFonts w:ascii="Segoe UI" w:hAnsi="Segoe UI" w:cs="Segoe UI"/>
      <w:sz w:val="18"/>
      <w:szCs w:val="18"/>
    </w:rPr>
  </w:style>
  <w:style w:type="character" w:customStyle="1" w:styleId="BalloonTextChar">
    <w:name w:val="Balloon Text Char"/>
    <w:link w:val="BalloonText"/>
    <w:uiPriority w:val="99"/>
    <w:semiHidden/>
    <w:rsid w:val="00181BF6"/>
    <w:rPr>
      <w:rFonts w:ascii="Segoe UI" w:hAnsi="Segoe UI" w:cs="Segoe UI"/>
      <w:sz w:val="18"/>
      <w:szCs w:val="18"/>
    </w:rPr>
  </w:style>
  <w:style w:type="paragraph" w:customStyle="1" w:styleId="DataSource">
    <w:name w:val="Data Source"/>
    <w:basedOn w:val="Normal"/>
    <w:qFormat/>
    <w:rsid w:val="006B5FFF"/>
    <w:pPr>
      <w:widowControl w:val="0"/>
      <w:autoSpaceDE w:val="0"/>
      <w:autoSpaceDN w:val="0"/>
      <w:adjustRightInd w:val="0"/>
      <w:spacing w:line="260" w:lineRule="atLeast"/>
      <w:textAlignment w:val="center"/>
    </w:pPr>
    <w:rPr>
      <w:rFonts w:ascii="Century Gothic" w:eastAsia="Times New Roman" w:hAnsi="Century Gothic"/>
      <w:color w:val="44546A"/>
      <w:spacing w:val="-2"/>
      <w:sz w:val="20"/>
    </w:rPr>
  </w:style>
  <w:style w:type="paragraph" w:styleId="Caption">
    <w:name w:val="caption"/>
    <w:aliases w:val="Table Caption"/>
    <w:basedOn w:val="Normal"/>
    <w:next w:val="Normal"/>
    <w:uiPriority w:val="35"/>
    <w:unhideWhenUsed/>
    <w:qFormat/>
    <w:rsid w:val="006B5FFF"/>
    <w:pPr>
      <w:autoSpaceDE w:val="0"/>
      <w:autoSpaceDN w:val="0"/>
      <w:adjustRightInd w:val="0"/>
    </w:pPr>
    <w:rPr>
      <w:rFonts w:eastAsia="Times New Roman" w:cs="Arial"/>
      <w:b/>
      <w:sz w:val="22"/>
      <w:szCs w:val="22"/>
      <w:lang w:eastAsia="zh-CN"/>
    </w:rPr>
  </w:style>
  <w:style w:type="paragraph" w:customStyle="1" w:styleId="FigureCaption">
    <w:name w:val="Figure Caption"/>
    <w:basedOn w:val="Caption"/>
    <w:qFormat/>
    <w:rsid w:val="006B5FFF"/>
  </w:style>
  <w:style w:type="paragraph" w:styleId="Title">
    <w:name w:val="Title"/>
    <w:basedOn w:val="Normal"/>
    <w:next w:val="Normal"/>
    <w:link w:val="TitleChar"/>
    <w:uiPriority w:val="10"/>
    <w:qFormat/>
    <w:rsid w:val="006B5FFF"/>
    <w:pPr>
      <w:contextualSpacing/>
    </w:pPr>
    <w:rPr>
      <w:rFonts w:ascii="Calibri Light" w:eastAsia="Times New Roman" w:hAnsi="Calibri Light"/>
      <w:spacing w:val="-10"/>
      <w:kern w:val="28"/>
      <w:sz w:val="56"/>
      <w:szCs w:val="56"/>
      <w:lang w:eastAsia="zh-CN"/>
    </w:rPr>
  </w:style>
  <w:style w:type="character" w:customStyle="1" w:styleId="TitleChar">
    <w:name w:val="Title Char"/>
    <w:link w:val="Title"/>
    <w:uiPriority w:val="10"/>
    <w:rsid w:val="006B5FFF"/>
    <w:rPr>
      <w:rFonts w:ascii="Calibri Light" w:eastAsia="Times New Roman" w:hAnsi="Calibri Light" w:cs="Times New Roman"/>
      <w:spacing w:val="-10"/>
      <w:kern w:val="28"/>
      <w:sz w:val="56"/>
      <w:szCs w:val="56"/>
      <w:lang w:eastAsia="zh-CN"/>
    </w:rPr>
  </w:style>
  <w:style w:type="paragraph" w:styleId="FootnoteText">
    <w:name w:val="footnote text"/>
    <w:basedOn w:val="Normal"/>
    <w:link w:val="FootnoteTextChar"/>
    <w:uiPriority w:val="99"/>
    <w:unhideWhenUsed/>
    <w:rsid w:val="00001CCF"/>
    <w:rPr>
      <w:rFonts w:ascii="Calibri Light" w:eastAsia="Times New Roman" w:hAnsi="Calibri Light"/>
      <w:lang w:eastAsia="zh-CN"/>
    </w:rPr>
  </w:style>
  <w:style w:type="character" w:customStyle="1" w:styleId="FootnoteTextChar">
    <w:name w:val="Footnote Text Char"/>
    <w:link w:val="FootnoteText"/>
    <w:uiPriority w:val="99"/>
    <w:rsid w:val="00001CCF"/>
    <w:rPr>
      <w:rFonts w:ascii="Calibri Light" w:eastAsia="Times New Roman" w:hAnsi="Calibri Light" w:cs="Times New Roman"/>
      <w:lang w:eastAsia="zh-CN"/>
    </w:rPr>
  </w:style>
  <w:style w:type="character" w:styleId="FootnoteReference">
    <w:name w:val="footnote reference"/>
    <w:uiPriority w:val="99"/>
    <w:unhideWhenUsed/>
    <w:rsid w:val="00001CCF"/>
    <w:rPr>
      <w:vertAlign w:val="superscript"/>
    </w:rPr>
  </w:style>
  <w:style w:type="table" w:styleId="TableGrid">
    <w:name w:val="Table Grid"/>
    <w:basedOn w:val="TableNormal"/>
    <w:uiPriority w:val="39"/>
    <w:rsid w:val="00BD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D680D"/>
    <w:rPr>
      <w:sz w:val="16"/>
      <w:szCs w:val="16"/>
    </w:rPr>
  </w:style>
  <w:style w:type="paragraph" w:styleId="CommentText">
    <w:name w:val="annotation text"/>
    <w:basedOn w:val="Normal"/>
    <w:link w:val="CommentTextChar"/>
    <w:uiPriority w:val="99"/>
    <w:unhideWhenUsed/>
    <w:rsid w:val="00BD680D"/>
    <w:rPr>
      <w:sz w:val="20"/>
      <w:szCs w:val="20"/>
    </w:rPr>
  </w:style>
  <w:style w:type="character" w:customStyle="1" w:styleId="CommentTextChar">
    <w:name w:val="Comment Text Char"/>
    <w:link w:val="CommentText"/>
    <w:uiPriority w:val="99"/>
    <w:rsid w:val="00BD680D"/>
    <w:rPr>
      <w:sz w:val="20"/>
      <w:szCs w:val="20"/>
    </w:rPr>
  </w:style>
  <w:style w:type="paragraph" w:styleId="CommentSubject">
    <w:name w:val="annotation subject"/>
    <w:basedOn w:val="CommentText"/>
    <w:next w:val="CommentText"/>
    <w:link w:val="CommentSubjectChar"/>
    <w:uiPriority w:val="99"/>
    <w:semiHidden/>
    <w:unhideWhenUsed/>
    <w:rsid w:val="008828FD"/>
    <w:rPr>
      <w:b/>
      <w:bCs/>
    </w:rPr>
  </w:style>
  <w:style w:type="character" w:customStyle="1" w:styleId="CommentSubjectChar">
    <w:name w:val="Comment Subject Char"/>
    <w:link w:val="CommentSubject"/>
    <w:uiPriority w:val="99"/>
    <w:semiHidden/>
    <w:rsid w:val="008828FD"/>
    <w:rPr>
      <w:b/>
      <w:bCs/>
      <w:sz w:val="20"/>
      <w:szCs w:val="20"/>
    </w:rPr>
  </w:style>
  <w:style w:type="paragraph" w:styleId="TableofFigures">
    <w:name w:val="table of figures"/>
    <w:aliases w:val="Table of Exhibits (Figures)"/>
    <w:basedOn w:val="Normal"/>
    <w:next w:val="Normal"/>
    <w:uiPriority w:val="99"/>
    <w:unhideWhenUsed/>
    <w:rsid w:val="001E2594"/>
  </w:style>
  <w:style w:type="character" w:styleId="FollowedHyperlink">
    <w:name w:val="FollowedHyperlink"/>
    <w:uiPriority w:val="99"/>
    <w:semiHidden/>
    <w:unhideWhenUsed/>
    <w:rsid w:val="000238F8"/>
    <w:rPr>
      <w:color w:val="954F72"/>
      <w:u w:val="single"/>
    </w:rPr>
  </w:style>
  <w:style w:type="paragraph" w:customStyle="1" w:styleId="CM19">
    <w:name w:val="CM19"/>
    <w:basedOn w:val="Default"/>
    <w:next w:val="Default"/>
    <w:uiPriority w:val="99"/>
    <w:rsid w:val="00C47406"/>
    <w:rPr>
      <w:rFonts w:ascii="OceanSanMM" w:hAnsi="OceanSanMM" w:cs="Times New Roman"/>
      <w:color w:val="auto"/>
    </w:rPr>
  </w:style>
  <w:style w:type="paragraph" w:customStyle="1" w:styleId="CM144">
    <w:name w:val="CM144"/>
    <w:basedOn w:val="Default"/>
    <w:next w:val="Default"/>
    <w:uiPriority w:val="99"/>
    <w:rsid w:val="00A04105"/>
    <w:rPr>
      <w:rFonts w:ascii="Bookman" w:hAnsi="Bookman" w:cs="Times New Roman"/>
      <w:color w:val="auto"/>
    </w:rPr>
  </w:style>
  <w:style w:type="paragraph" w:styleId="Revision">
    <w:name w:val="Revision"/>
    <w:hidden/>
    <w:uiPriority w:val="99"/>
    <w:semiHidden/>
    <w:rsid w:val="00E845F9"/>
    <w:rPr>
      <w:sz w:val="24"/>
      <w:szCs w:val="24"/>
    </w:rPr>
  </w:style>
  <w:style w:type="character" w:customStyle="1" w:styleId="u-smo-texttruncate">
    <w:name w:val="u-smo-texttruncate"/>
    <w:basedOn w:val="DefaultParagraphFont"/>
    <w:rsid w:val="003D3A16"/>
  </w:style>
  <w:style w:type="paragraph" w:styleId="BodyText2">
    <w:name w:val="Body Text 2"/>
    <w:basedOn w:val="Normal"/>
    <w:link w:val="BodyText2Char"/>
    <w:uiPriority w:val="99"/>
    <w:unhideWhenUsed/>
    <w:rsid w:val="00D823FE"/>
    <w:rPr>
      <w:sz w:val="22"/>
      <w:szCs w:val="22"/>
    </w:rPr>
  </w:style>
  <w:style w:type="character" w:customStyle="1" w:styleId="BodyText2Char">
    <w:name w:val="Body Text 2 Char"/>
    <w:link w:val="BodyText2"/>
    <w:uiPriority w:val="99"/>
    <w:rsid w:val="00D823FE"/>
    <w:rPr>
      <w:sz w:val="22"/>
      <w:szCs w:val="22"/>
    </w:rPr>
  </w:style>
  <w:style w:type="table" w:styleId="GridTable1Light">
    <w:name w:val="Grid Table 1 Light"/>
    <w:basedOn w:val="TableNormal"/>
    <w:uiPriority w:val="46"/>
    <w:rsid w:val="00CF5CF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066268"/>
    <w:rPr>
      <w:rFonts w:ascii="Arial" w:eastAsia="Times New Roman" w:hAnsi="Arial" w:cs="Arial"/>
      <w:b/>
      <w:color w:val="1F3864" w:themeColor="accent5" w:themeShade="80"/>
      <w:sz w:val="24"/>
      <w:szCs w:val="24"/>
      <w:lang w:eastAsia="zh-CN"/>
    </w:rPr>
  </w:style>
  <w:style w:type="character" w:customStyle="1" w:styleId="Heading6Char">
    <w:name w:val="Heading 6 Char"/>
    <w:basedOn w:val="DefaultParagraphFont"/>
    <w:link w:val="Heading6"/>
    <w:uiPriority w:val="9"/>
    <w:rsid w:val="00623717"/>
    <w:rPr>
      <w:rFonts w:asciiTheme="majorHAnsi" w:eastAsiaTheme="majorEastAsia" w:hAnsiTheme="majorHAnsi" w:cstheme="majorBidi"/>
      <w:color w:val="1F4D78" w:themeColor="accent1" w:themeShade="7F"/>
      <w:sz w:val="24"/>
      <w:szCs w:val="24"/>
    </w:rPr>
  </w:style>
  <w:style w:type="paragraph" w:customStyle="1" w:styleId="TableorFiguresNotesSources">
    <w:name w:val="Table or Figures Notes/Sources"/>
    <w:basedOn w:val="Normal"/>
    <w:qFormat/>
    <w:rsid w:val="006D7FF6"/>
    <w:pPr>
      <w:spacing w:before="120" w:after="400" w:line="280" w:lineRule="exact"/>
    </w:pPr>
    <w:rPr>
      <w:rFonts w:eastAsiaTheme="minorEastAsia" w:cstheme="minorBidi"/>
      <w:bCs/>
      <w:noProof/>
      <w:color w:val="4472C4" w:themeColor="accent5"/>
      <w:szCs w:val="18"/>
      <w:lang w:eastAsia="zh-CN"/>
    </w:rPr>
  </w:style>
  <w:style w:type="paragraph" w:customStyle="1" w:styleId="Paragraph">
    <w:name w:val="Paragraph"/>
    <w:basedOn w:val="Normal"/>
    <w:link w:val="ParagraphChar"/>
    <w:qFormat/>
    <w:rsid w:val="00775BC6"/>
    <w:pPr>
      <w:spacing w:after="200" w:line="310" w:lineRule="exact"/>
    </w:pPr>
    <w:rPr>
      <w:rFonts w:eastAsiaTheme="minorEastAsia" w:cstheme="minorBidi"/>
      <w:noProof/>
      <w:color w:val="3E535F"/>
      <w:lang w:eastAsia="zh-CN"/>
    </w:rPr>
  </w:style>
  <w:style w:type="character" w:customStyle="1" w:styleId="ParagraphChar">
    <w:name w:val="Paragraph Char"/>
    <w:basedOn w:val="DefaultParagraphFont"/>
    <w:link w:val="Paragraph"/>
    <w:rsid w:val="00775BC6"/>
    <w:rPr>
      <w:rFonts w:ascii="Arial" w:eastAsiaTheme="minorEastAsia" w:hAnsi="Arial" w:cstheme="minorBidi"/>
      <w:noProof/>
      <w:color w:val="3E535F"/>
      <w:sz w:val="24"/>
      <w:szCs w:val="24"/>
      <w:lang w:eastAsia="zh-CN"/>
    </w:rPr>
  </w:style>
  <w:style w:type="paragraph" w:customStyle="1" w:styleId="FigureTitle">
    <w:name w:val="Figure Title"/>
    <w:basedOn w:val="Normal"/>
    <w:uiPriority w:val="1"/>
    <w:qFormat/>
    <w:rsid w:val="00877DC9"/>
    <w:pPr>
      <w:keepNext/>
      <w:keepLines/>
      <w:pBdr>
        <w:top w:val="single" w:sz="12" w:space="8" w:color="CAE0F9"/>
      </w:pBdr>
      <w:spacing w:before="500" w:after="200"/>
    </w:pPr>
    <w:rPr>
      <w:rFonts w:eastAsiaTheme="minorEastAsia" w:cstheme="minorBidi"/>
      <w:b/>
      <w:bCs/>
      <w:noProof/>
      <w:color w:val="4472C4" w:themeColor="accent5"/>
      <w:sz w:val="26"/>
      <w:szCs w:val="26"/>
      <w:lang w:eastAsia="zh-CN"/>
    </w:rPr>
  </w:style>
  <w:style w:type="paragraph" w:customStyle="1" w:styleId="Heading3A">
    <w:name w:val="Heading 3A"/>
    <w:basedOn w:val="Normal"/>
    <w:qFormat/>
    <w:rsid w:val="00EC169D"/>
    <w:pPr>
      <w:keepNext/>
      <w:spacing w:before="470" w:after="180" w:line="360" w:lineRule="exact"/>
      <w:ind w:right="720"/>
      <w:outlineLvl w:val="2"/>
    </w:pPr>
    <w:rPr>
      <w:rFonts w:eastAsiaTheme="minorEastAsia" w:cstheme="minorBidi"/>
      <w:b/>
      <w:bCs/>
      <w:noProof/>
      <w:color w:val="4472C4" w:themeColor="accent5"/>
      <w:sz w:val="28"/>
      <w:szCs w:val="32"/>
      <w:lang w:eastAsia="zh-CN"/>
    </w:rPr>
  </w:style>
  <w:style w:type="paragraph" w:customStyle="1" w:styleId="TableTitle">
    <w:name w:val="Table Title"/>
    <w:basedOn w:val="Paragraph"/>
    <w:uiPriority w:val="1"/>
    <w:qFormat/>
    <w:rsid w:val="00EC169D"/>
    <w:pPr>
      <w:keepNext/>
      <w:keepLines/>
      <w:pBdr>
        <w:top w:val="single" w:sz="12" w:space="8" w:color="CAE0F9"/>
      </w:pBdr>
      <w:spacing w:before="500" w:line="240" w:lineRule="auto"/>
    </w:pPr>
    <w:rPr>
      <w:b/>
      <w:bCs/>
      <w:color w:val="4472C4" w:themeColor="accent5"/>
      <w:sz w:val="26"/>
      <w:szCs w:val="26"/>
    </w:rPr>
  </w:style>
  <w:style w:type="table" w:styleId="ListTable3-Accent5">
    <w:name w:val="List Table 3 Accent 5"/>
    <w:aliases w:val="WestEd Table,Accessibilioty Table"/>
    <w:basedOn w:val="TableNormal"/>
    <w:uiPriority w:val="48"/>
    <w:rsid w:val="00EC169D"/>
    <w:rPr>
      <w:rFonts w:asciiTheme="minorHAnsi" w:eastAsiaTheme="minorEastAsia" w:hAnsiTheme="minorHAnsi" w:cstheme="minorBidi"/>
      <w:szCs w:val="22"/>
      <w:lang w:val="en-CA" w:eastAsia="zh-CN"/>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4472C4" w:themeFill="accent5"/>
      </w:tcPr>
    </w:tblStylePr>
    <w:tblStylePr w:type="lastRow">
      <w:rPr>
        <w:b/>
        <w:bCs/>
      </w:rPr>
      <w:tblPr/>
      <w:tcPr>
        <w:shd w:val="clear" w:color="auto" w:fill="3D4B5F" w:themeFill="text2" w:themeFillShade="E6"/>
      </w:tcPr>
    </w:tblStylePr>
    <w:tblStylePr w:type="firstCol">
      <w:rPr>
        <w:b/>
        <w:bCs/>
      </w:rPr>
      <w:tblPr/>
      <w:tcPr>
        <w:shd w:val="clear" w:color="auto" w:fill="D9E2F3" w:themeFill="accent5" w:themeFillTint="33"/>
      </w:tcPr>
    </w:tblStylePr>
    <w:tblStylePr w:type="lastCol">
      <w:rPr>
        <w:b/>
        <w:bCs/>
      </w:rPr>
      <w:tblPr/>
      <w:tcPr>
        <w:shd w:val="clear" w:color="auto" w:fill="3D4B5F" w:themeFill="text2" w:themeFillShade="E6"/>
      </w:tcPr>
    </w:tblStylePr>
    <w:tblStylePr w:type="band1Vert">
      <w:tblPr/>
      <w:tcPr>
        <w:shd w:val="clear" w:color="auto" w:fill="44546A" w:themeFill="text2"/>
      </w:tcPr>
    </w:tblStylePr>
    <w:tblStylePr w:type="band2Vert">
      <w:tblPr/>
      <w:tcPr>
        <w:shd w:val="clear" w:color="auto" w:fill="44546A" w:themeFill="text2"/>
      </w:tcPr>
    </w:tblStylePr>
    <w:tblStylePr w:type="band1Horz">
      <w:tblPr/>
      <w:tcPr>
        <w:shd w:val="clear" w:color="auto" w:fill="44546A" w:themeFill="text2"/>
      </w:tcPr>
    </w:tblStylePr>
    <w:tblStylePr w:type="band2Horz">
      <w:tblPr/>
      <w:tcPr>
        <w:shd w:val="clear" w:color="auto" w:fill="44546A"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ableHeaderRow">
    <w:name w:val="Table Header Row"/>
    <w:basedOn w:val="Paragraph"/>
    <w:qFormat/>
    <w:rsid w:val="00EC169D"/>
    <w:pPr>
      <w:spacing w:after="0" w:line="240" w:lineRule="atLeast"/>
    </w:pPr>
    <w:rPr>
      <w:bCs/>
      <w:color w:val="FFFFFF"/>
      <w:szCs w:val="20"/>
    </w:rPr>
  </w:style>
  <w:style w:type="paragraph" w:customStyle="1" w:styleId="TableCategoryText">
    <w:name w:val="Table Category Text"/>
    <w:basedOn w:val="Paragraph"/>
    <w:autoRedefine/>
    <w:qFormat/>
    <w:rsid w:val="0041205C"/>
    <w:pPr>
      <w:spacing w:after="0" w:line="240" w:lineRule="auto"/>
    </w:pPr>
    <w:rPr>
      <w:rFonts w:cs="Arial"/>
      <w:bCs/>
      <w:color w:val="auto"/>
      <w:szCs w:val="20"/>
      <w:lang w:val="en-CA"/>
    </w:rPr>
  </w:style>
  <w:style w:type="paragraph" w:customStyle="1" w:styleId="TableBodyText">
    <w:name w:val="Table Body Text"/>
    <w:basedOn w:val="Paragraph"/>
    <w:qFormat/>
    <w:rsid w:val="00EC169D"/>
    <w:pPr>
      <w:spacing w:after="80" w:line="260" w:lineRule="exact"/>
    </w:pPr>
    <w:rPr>
      <w:color w:val="4472C4" w:themeColor="accent5"/>
      <w:szCs w:val="20"/>
    </w:rPr>
  </w:style>
  <w:style w:type="table" w:styleId="GridTable5Dark-Accent5">
    <w:name w:val="Grid Table 5 Dark Accent 5"/>
    <w:basedOn w:val="TableNormal"/>
    <w:uiPriority w:val="50"/>
    <w:rsid w:val="00EC16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ableorFiguresNotesSourcesline1">
    <w:name w:val="Table or Figures Notes/Sources_line 1"/>
    <w:qFormat/>
    <w:rsid w:val="000D7882"/>
    <w:pPr>
      <w:spacing w:before="120" w:after="120" w:line="280" w:lineRule="exact"/>
    </w:pPr>
    <w:rPr>
      <w:rFonts w:ascii="Arial" w:eastAsiaTheme="minorEastAsia" w:hAnsi="Arial" w:cstheme="minorBidi"/>
      <w:bCs/>
      <w:noProof/>
      <w:color w:val="4472C4" w:themeColor="accent5"/>
      <w:sz w:val="24"/>
      <w:szCs w:val="24"/>
      <w:lang w:eastAsia="zh-CN"/>
    </w:rPr>
  </w:style>
  <w:style w:type="table" w:styleId="GridTable4-Accent5">
    <w:name w:val="Grid Table 4 Accent 5"/>
    <w:basedOn w:val="TableNormal"/>
    <w:uiPriority w:val="49"/>
    <w:rsid w:val="00803E2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6">
    <w:name w:val="Grid Table 5 Dark Accent 6"/>
    <w:basedOn w:val="TableNormal"/>
    <w:uiPriority w:val="50"/>
    <w:rsid w:val="00803E29"/>
    <w:rPr>
      <w:rFonts w:asciiTheme="minorHAnsi" w:eastAsiaTheme="minorEastAsia" w:hAnsiTheme="minorHAnsi" w:cstheme="minorBidi"/>
      <w:sz w:val="22"/>
      <w:szCs w:val="22"/>
      <w:lang w:val="en-CA"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Heading4A">
    <w:name w:val="Heading 4A"/>
    <w:basedOn w:val="Heading3A"/>
    <w:qFormat/>
    <w:rsid w:val="000B78F2"/>
    <w:pPr>
      <w:spacing w:before="360" w:after="120"/>
      <w:ind w:right="1080"/>
      <w:outlineLvl w:val="3"/>
    </w:pPr>
    <w:rPr>
      <w:color w:val="3C8235"/>
      <w:sz w:val="24"/>
    </w:rPr>
  </w:style>
  <w:style w:type="paragraph" w:customStyle="1" w:styleId="List-Level1">
    <w:name w:val="List - Level 1"/>
    <w:basedOn w:val="Normal"/>
    <w:qFormat/>
    <w:rsid w:val="000B78F2"/>
    <w:pPr>
      <w:numPr>
        <w:numId w:val="44"/>
      </w:numPr>
      <w:spacing w:after="120" w:line="310" w:lineRule="exact"/>
    </w:pPr>
    <w:rPr>
      <w:rFonts w:eastAsiaTheme="minorEastAsia" w:cstheme="minorBidi"/>
      <w:noProof/>
      <w:color w:val="3E535F"/>
      <w:lang w:eastAsia="zh-CN"/>
    </w:rPr>
  </w:style>
  <w:style w:type="paragraph" w:customStyle="1" w:styleId="List-Level3">
    <w:name w:val="List - Level 3"/>
    <w:basedOn w:val="Normal"/>
    <w:qFormat/>
    <w:rsid w:val="000B78F2"/>
    <w:pPr>
      <w:keepNext/>
      <w:numPr>
        <w:ilvl w:val="2"/>
        <w:numId w:val="44"/>
      </w:numPr>
      <w:spacing w:after="120" w:line="310" w:lineRule="exact"/>
    </w:pPr>
    <w:rPr>
      <w:rFonts w:eastAsiaTheme="minorEastAsia" w:cstheme="minorBidi"/>
      <w:noProof/>
      <w:color w:val="3E535F"/>
      <w:lang w:eastAsia="zh-CN"/>
    </w:rPr>
  </w:style>
  <w:style w:type="paragraph" w:customStyle="1" w:styleId="Heading5A">
    <w:name w:val="Heading 5A"/>
    <w:basedOn w:val="Heading4A"/>
    <w:qFormat/>
    <w:rsid w:val="000B78F2"/>
    <w:pPr>
      <w:spacing w:line="310" w:lineRule="exact"/>
      <w:outlineLvl w:val="4"/>
    </w:pPr>
    <w:rPr>
      <w:rFonts w:cs="Arial"/>
      <w:b w:val="0"/>
      <w:bCs w:val="0"/>
      <w:noProof w:val="0"/>
      <w:szCs w:val="26"/>
    </w:rPr>
  </w:style>
  <w:style w:type="paragraph" w:customStyle="1" w:styleId="Figure">
    <w:name w:val="Figure"/>
    <w:basedOn w:val="Paragraph"/>
    <w:qFormat/>
    <w:rsid w:val="000B78F2"/>
    <w:pPr>
      <w:spacing w:after="240" w:line="240" w:lineRule="auto"/>
    </w:pPr>
  </w:style>
  <w:style w:type="numbering" w:customStyle="1" w:styleId="List3Levels">
    <w:name w:val="List 3 Levels"/>
    <w:uiPriority w:val="99"/>
    <w:rsid w:val="000B78F2"/>
    <w:pPr>
      <w:numPr>
        <w:numId w:val="43"/>
      </w:numPr>
    </w:pPr>
  </w:style>
  <w:style w:type="character" w:styleId="Emphasis">
    <w:name w:val="Emphasis"/>
    <w:basedOn w:val="DefaultParagraphFont"/>
    <w:uiPriority w:val="20"/>
    <w:qFormat/>
    <w:rsid w:val="000B78F2"/>
    <w:rPr>
      <w:i/>
      <w:iCs/>
    </w:rPr>
  </w:style>
  <w:style w:type="paragraph" w:customStyle="1" w:styleId="Paragraph-AfterList">
    <w:name w:val="Paragraph - After List"/>
    <w:basedOn w:val="Paragraph"/>
    <w:qFormat/>
    <w:rsid w:val="00437481"/>
    <w:pPr>
      <w:spacing w:before="280"/>
    </w:pPr>
  </w:style>
  <w:style w:type="character" w:customStyle="1" w:styleId="Heading7Char">
    <w:name w:val="Heading 7 Char"/>
    <w:basedOn w:val="DefaultParagraphFont"/>
    <w:link w:val="Heading7"/>
    <w:uiPriority w:val="9"/>
    <w:rsid w:val="00C3554F"/>
    <w:rPr>
      <w:rFonts w:asciiTheme="majorHAnsi" w:eastAsiaTheme="majorEastAsia" w:hAnsiTheme="majorHAnsi" w:cstheme="majorBidi"/>
      <w:i/>
      <w:iCs/>
      <w:color w:val="1F4D78" w:themeColor="accent1" w:themeShade="7F"/>
      <w:sz w:val="24"/>
      <w:szCs w:val="24"/>
    </w:rPr>
  </w:style>
  <w:style w:type="paragraph" w:customStyle="1" w:styleId="Footnote">
    <w:name w:val="Footnote"/>
    <w:basedOn w:val="FootnoteText"/>
    <w:qFormat/>
    <w:rsid w:val="004B4809"/>
    <w:pPr>
      <w:spacing w:after="86"/>
      <w:ind w:left="158" w:hanging="144"/>
    </w:pPr>
    <w:rPr>
      <w:rFonts w:ascii="Arial" w:eastAsiaTheme="minorEastAsia" w:hAnsi="Arial" w:cstheme="minorBidi"/>
      <w:color w:val="3E535F"/>
      <w:szCs w:val="18"/>
    </w:rPr>
  </w:style>
  <w:style w:type="character" w:styleId="UnresolvedMention">
    <w:name w:val="Unresolved Mention"/>
    <w:basedOn w:val="DefaultParagraphFont"/>
    <w:uiPriority w:val="99"/>
    <w:semiHidden/>
    <w:unhideWhenUsed/>
    <w:rsid w:val="00911644"/>
    <w:rPr>
      <w:color w:val="605E5C"/>
      <w:shd w:val="clear" w:color="auto" w:fill="E1DFDD"/>
    </w:rPr>
  </w:style>
  <w:style w:type="table" w:styleId="ListTable4-Accent5">
    <w:name w:val="List Table 4 Accent 5"/>
    <w:basedOn w:val="TableNormal"/>
    <w:uiPriority w:val="49"/>
    <w:rsid w:val="007F74B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1">
    <w:name w:val="Plain Table 1"/>
    <w:basedOn w:val="TableNormal"/>
    <w:uiPriority w:val="41"/>
    <w:rsid w:val="007F74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f0">
    <w:name w:val="pf0"/>
    <w:basedOn w:val="Normal"/>
    <w:rsid w:val="00D54E2C"/>
    <w:pPr>
      <w:spacing w:before="100" w:beforeAutospacing="1" w:after="100" w:afterAutospacing="1"/>
    </w:pPr>
    <w:rPr>
      <w:rFonts w:ascii="Times New Roman" w:eastAsia="Times New Roman" w:hAnsi="Times New Roman"/>
      <w:lang w:val="es-MX" w:eastAsia="es-MX"/>
    </w:rPr>
  </w:style>
  <w:style w:type="character" w:customStyle="1" w:styleId="cf01">
    <w:name w:val="cf01"/>
    <w:basedOn w:val="DefaultParagraphFont"/>
    <w:rsid w:val="00D54E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30487">
      <w:bodyDiv w:val="1"/>
      <w:marLeft w:val="0"/>
      <w:marRight w:val="0"/>
      <w:marTop w:val="0"/>
      <w:marBottom w:val="0"/>
      <w:divBdr>
        <w:top w:val="none" w:sz="0" w:space="0" w:color="auto"/>
        <w:left w:val="none" w:sz="0" w:space="0" w:color="auto"/>
        <w:bottom w:val="none" w:sz="0" w:space="0" w:color="auto"/>
        <w:right w:val="none" w:sz="0" w:space="0" w:color="auto"/>
      </w:divBdr>
    </w:div>
    <w:div w:id="147131774">
      <w:bodyDiv w:val="1"/>
      <w:marLeft w:val="0"/>
      <w:marRight w:val="0"/>
      <w:marTop w:val="0"/>
      <w:marBottom w:val="0"/>
      <w:divBdr>
        <w:top w:val="none" w:sz="0" w:space="0" w:color="auto"/>
        <w:left w:val="none" w:sz="0" w:space="0" w:color="auto"/>
        <w:bottom w:val="none" w:sz="0" w:space="0" w:color="auto"/>
        <w:right w:val="none" w:sz="0" w:space="0" w:color="auto"/>
      </w:divBdr>
    </w:div>
    <w:div w:id="158665088">
      <w:bodyDiv w:val="1"/>
      <w:marLeft w:val="0"/>
      <w:marRight w:val="0"/>
      <w:marTop w:val="0"/>
      <w:marBottom w:val="0"/>
      <w:divBdr>
        <w:top w:val="none" w:sz="0" w:space="0" w:color="auto"/>
        <w:left w:val="none" w:sz="0" w:space="0" w:color="auto"/>
        <w:bottom w:val="none" w:sz="0" w:space="0" w:color="auto"/>
        <w:right w:val="none" w:sz="0" w:space="0" w:color="auto"/>
      </w:divBdr>
      <w:divsChild>
        <w:div w:id="752244275">
          <w:marLeft w:val="0"/>
          <w:marRight w:val="0"/>
          <w:marTop w:val="0"/>
          <w:marBottom w:val="0"/>
          <w:divBdr>
            <w:top w:val="none" w:sz="0" w:space="0" w:color="auto"/>
            <w:left w:val="none" w:sz="0" w:space="0" w:color="auto"/>
            <w:bottom w:val="none" w:sz="0" w:space="0" w:color="auto"/>
            <w:right w:val="none" w:sz="0" w:space="0" w:color="auto"/>
          </w:divBdr>
          <w:divsChild>
            <w:div w:id="1479953491">
              <w:marLeft w:val="0"/>
              <w:marRight w:val="0"/>
              <w:marTop w:val="0"/>
              <w:marBottom w:val="0"/>
              <w:divBdr>
                <w:top w:val="none" w:sz="0" w:space="0" w:color="auto"/>
                <w:left w:val="none" w:sz="0" w:space="0" w:color="auto"/>
                <w:bottom w:val="none" w:sz="0" w:space="0" w:color="auto"/>
                <w:right w:val="none" w:sz="0" w:space="0" w:color="auto"/>
              </w:divBdr>
              <w:divsChild>
                <w:div w:id="2780902">
                  <w:marLeft w:val="0"/>
                  <w:marRight w:val="0"/>
                  <w:marTop w:val="0"/>
                  <w:marBottom w:val="0"/>
                  <w:divBdr>
                    <w:top w:val="none" w:sz="0" w:space="0" w:color="auto"/>
                    <w:left w:val="none" w:sz="0" w:space="0" w:color="auto"/>
                    <w:bottom w:val="none" w:sz="0" w:space="0" w:color="auto"/>
                    <w:right w:val="none" w:sz="0" w:space="0" w:color="auto"/>
                  </w:divBdr>
                  <w:divsChild>
                    <w:div w:id="662126399">
                      <w:marLeft w:val="0"/>
                      <w:marRight w:val="0"/>
                      <w:marTop w:val="0"/>
                      <w:marBottom w:val="0"/>
                      <w:divBdr>
                        <w:top w:val="none" w:sz="0" w:space="0" w:color="auto"/>
                        <w:left w:val="none" w:sz="0" w:space="0" w:color="auto"/>
                        <w:bottom w:val="none" w:sz="0" w:space="0" w:color="auto"/>
                        <w:right w:val="none" w:sz="0" w:space="0" w:color="auto"/>
                      </w:divBdr>
                    </w:div>
                  </w:divsChild>
                </w:div>
                <w:div w:id="20596045">
                  <w:marLeft w:val="0"/>
                  <w:marRight w:val="0"/>
                  <w:marTop w:val="0"/>
                  <w:marBottom w:val="0"/>
                  <w:divBdr>
                    <w:top w:val="none" w:sz="0" w:space="0" w:color="auto"/>
                    <w:left w:val="none" w:sz="0" w:space="0" w:color="auto"/>
                    <w:bottom w:val="none" w:sz="0" w:space="0" w:color="auto"/>
                    <w:right w:val="none" w:sz="0" w:space="0" w:color="auto"/>
                  </w:divBdr>
                  <w:divsChild>
                    <w:div w:id="1890876745">
                      <w:marLeft w:val="0"/>
                      <w:marRight w:val="0"/>
                      <w:marTop w:val="0"/>
                      <w:marBottom w:val="0"/>
                      <w:divBdr>
                        <w:top w:val="none" w:sz="0" w:space="0" w:color="auto"/>
                        <w:left w:val="none" w:sz="0" w:space="0" w:color="auto"/>
                        <w:bottom w:val="none" w:sz="0" w:space="0" w:color="auto"/>
                        <w:right w:val="none" w:sz="0" w:space="0" w:color="auto"/>
                      </w:divBdr>
                    </w:div>
                  </w:divsChild>
                </w:div>
                <w:div w:id="274945149">
                  <w:marLeft w:val="0"/>
                  <w:marRight w:val="0"/>
                  <w:marTop w:val="0"/>
                  <w:marBottom w:val="0"/>
                  <w:divBdr>
                    <w:top w:val="none" w:sz="0" w:space="0" w:color="auto"/>
                    <w:left w:val="none" w:sz="0" w:space="0" w:color="auto"/>
                    <w:bottom w:val="none" w:sz="0" w:space="0" w:color="auto"/>
                    <w:right w:val="none" w:sz="0" w:space="0" w:color="auto"/>
                  </w:divBdr>
                  <w:divsChild>
                    <w:div w:id="222914184">
                      <w:marLeft w:val="0"/>
                      <w:marRight w:val="0"/>
                      <w:marTop w:val="0"/>
                      <w:marBottom w:val="0"/>
                      <w:divBdr>
                        <w:top w:val="none" w:sz="0" w:space="0" w:color="auto"/>
                        <w:left w:val="none" w:sz="0" w:space="0" w:color="auto"/>
                        <w:bottom w:val="none" w:sz="0" w:space="0" w:color="auto"/>
                        <w:right w:val="none" w:sz="0" w:space="0" w:color="auto"/>
                      </w:divBdr>
                    </w:div>
                  </w:divsChild>
                </w:div>
                <w:div w:id="1156337035">
                  <w:marLeft w:val="0"/>
                  <w:marRight w:val="0"/>
                  <w:marTop w:val="0"/>
                  <w:marBottom w:val="0"/>
                  <w:divBdr>
                    <w:top w:val="none" w:sz="0" w:space="0" w:color="auto"/>
                    <w:left w:val="none" w:sz="0" w:space="0" w:color="auto"/>
                    <w:bottom w:val="none" w:sz="0" w:space="0" w:color="auto"/>
                    <w:right w:val="none" w:sz="0" w:space="0" w:color="auto"/>
                  </w:divBdr>
                  <w:divsChild>
                    <w:div w:id="873881118">
                      <w:marLeft w:val="0"/>
                      <w:marRight w:val="0"/>
                      <w:marTop w:val="0"/>
                      <w:marBottom w:val="0"/>
                      <w:divBdr>
                        <w:top w:val="none" w:sz="0" w:space="0" w:color="auto"/>
                        <w:left w:val="none" w:sz="0" w:space="0" w:color="auto"/>
                        <w:bottom w:val="none" w:sz="0" w:space="0" w:color="auto"/>
                        <w:right w:val="none" w:sz="0" w:space="0" w:color="auto"/>
                      </w:divBdr>
                    </w:div>
                  </w:divsChild>
                </w:div>
                <w:div w:id="1202597756">
                  <w:marLeft w:val="0"/>
                  <w:marRight w:val="0"/>
                  <w:marTop w:val="0"/>
                  <w:marBottom w:val="0"/>
                  <w:divBdr>
                    <w:top w:val="none" w:sz="0" w:space="0" w:color="auto"/>
                    <w:left w:val="none" w:sz="0" w:space="0" w:color="auto"/>
                    <w:bottom w:val="none" w:sz="0" w:space="0" w:color="auto"/>
                    <w:right w:val="none" w:sz="0" w:space="0" w:color="auto"/>
                  </w:divBdr>
                  <w:divsChild>
                    <w:div w:id="361251229">
                      <w:marLeft w:val="0"/>
                      <w:marRight w:val="0"/>
                      <w:marTop w:val="0"/>
                      <w:marBottom w:val="0"/>
                      <w:divBdr>
                        <w:top w:val="none" w:sz="0" w:space="0" w:color="auto"/>
                        <w:left w:val="none" w:sz="0" w:space="0" w:color="auto"/>
                        <w:bottom w:val="none" w:sz="0" w:space="0" w:color="auto"/>
                        <w:right w:val="none" w:sz="0" w:space="0" w:color="auto"/>
                      </w:divBdr>
                    </w:div>
                  </w:divsChild>
                </w:div>
                <w:div w:id="1582563969">
                  <w:marLeft w:val="0"/>
                  <w:marRight w:val="0"/>
                  <w:marTop w:val="0"/>
                  <w:marBottom w:val="0"/>
                  <w:divBdr>
                    <w:top w:val="none" w:sz="0" w:space="0" w:color="auto"/>
                    <w:left w:val="none" w:sz="0" w:space="0" w:color="auto"/>
                    <w:bottom w:val="none" w:sz="0" w:space="0" w:color="auto"/>
                    <w:right w:val="none" w:sz="0" w:space="0" w:color="auto"/>
                  </w:divBdr>
                  <w:divsChild>
                    <w:div w:id="1800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0880">
      <w:bodyDiv w:val="1"/>
      <w:marLeft w:val="0"/>
      <w:marRight w:val="0"/>
      <w:marTop w:val="0"/>
      <w:marBottom w:val="0"/>
      <w:divBdr>
        <w:top w:val="none" w:sz="0" w:space="0" w:color="auto"/>
        <w:left w:val="none" w:sz="0" w:space="0" w:color="auto"/>
        <w:bottom w:val="none" w:sz="0" w:space="0" w:color="auto"/>
        <w:right w:val="none" w:sz="0" w:space="0" w:color="auto"/>
      </w:divBdr>
      <w:divsChild>
        <w:div w:id="464154312">
          <w:marLeft w:val="0"/>
          <w:marRight w:val="0"/>
          <w:marTop w:val="0"/>
          <w:marBottom w:val="0"/>
          <w:divBdr>
            <w:top w:val="none" w:sz="0" w:space="0" w:color="auto"/>
            <w:left w:val="none" w:sz="0" w:space="0" w:color="auto"/>
            <w:bottom w:val="none" w:sz="0" w:space="0" w:color="auto"/>
            <w:right w:val="none" w:sz="0" w:space="0" w:color="auto"/>
          </w:divBdr>
          <w:divsChild>
            <w:div w:id="788007691">
              <w:marLeft w:val="0"/>
              <w:marRight w:val="0"/>
              <w:marTop w:val="0"/>
              <w:marBottom w:val="0"/>
              <w:divBdr>
                <w:top w:val="none" w:sz="0" w:space="0" w:color="auto"/>
                <w:left w:val="none" w:sz="0" w:space="0" w:color="auto"/>
                <w:bottom w:val="none" w:sz="0" w:space="0" w:color="auto"/>
                <w:right w:val="none" w:sz="0" w:space="0" w:color="auto"/>
              </w:divBdr>
              <w:divsChild>
                <w:div w:id="611861376">
                  <w:marLeft w:val="0"/>
                  <w:marRight w:val="0"/>
                  <w:marTop w:val="0"/>
                  <w:marBottom w:val="0"/>
                  <w:divBdr>
                    <w:top w:val="none" w:sz="0" w:space="0" w:color="auto"/>
                    <w:left w:val="none" w:sz="0" w:space="0" w:color="auto"/>
                    <w:bottom w:val="none" w:sz="0" w:space="0" w:color="auto"/>
                    <w:right w:val="none" w:sz="0" w:space="0" w:color="auto"/>
                  </w:divBdr>
                </w:div>
                <w:div w:id="846096716">
                  <w:marLeft w:val="0"/>
                  <w:marRight w:val="0"/>
                  <w:marTop w:val="0"/>
                  <w:marBottom w:val="0"/>
                  <w:divBdr>
                    <w:top w:val="none" w:sz="0" w:space="0" w:color="auto"/>
                    <w:left w:val="none" w:sz="0" w:space="0" w:color="auto"/>
                    <w:bottom w:val="none" w:sz="0" w:space="0" w:color="auto"/>
                    <w:right w:val="none" w:sz="0" w:space="0" w:color="auto"/>
                  </w:divBdr>
                </w:div>
              </w:divsChild>
            </w:div>
            <w:div w:id="1034421346">
              <w:marLeft w:val="0"/>
              <w:marRight w:val="0"/>
              <w:marTop w:val="0"/>
              <w:marBottom w:val="0"/>
              <w:divBdr>
                <w:top w:val="none" w:sz="0" w:space="0" w:color="auto"/>
                <w:left w:val="none" w:sz="0" w:space="0" w:color="auto"/>
                <w:bottom w:val="none" w:sz="0" w:space="0" w:color="auto"/>
                <w:right w:val="none" w:sz="0" w:space="0" w:color="auto"/>
              </w:divBdr>
              <w:divsChild>
                <w:div w:id="1961721336">
                  <w:marLeft w:val="0"/>
                  <w:marRight w:val="0"/>
                  <w:marTop w:val="0"/>
                  <w:marBottom w:val="0"/>
                  <w:divBdr>
                    <w:top w:val="none" w:sz="0" w:space="0" w:color="auto"/>
                    <w:left w:val="none" w:sz="0" w:space="0" w:color="auto"/>
                    <w:bottom w:val="none" w:sz="0" w:space="0" w:color="auto"/>
                    <w:right w:val="none" w:sz="0" w:space="0" w:color="auto"/>
                  </w:divBdr>
                </w:div>
              </w:divsChild>
            </w:div>
            <w:div w:id="1844929557">
              <w:marLeft w:val="0"/>
              <w:marRight w:val="0"/>
              <w:marTop w:val="0"/>
              <w:marBottom w:val="0"/>
              <w:divBdr>
                <w:top w:val="none" w:sz="0" w:space="0" w:color="auto"/>
                <w:left w:val="none" w:sz="0" w:space="0" w:color="auto"/>
                <w:bottom w:val="none" w:sz="0" w:space="0" w:color="auto"/>
                <w:right w:val="none" w:sz="0" w:space="0" w:color="auto"/>
              </w:divBdr>
              <w:divsChild>
                <w:div w:id="244800271">
                  <w:marLeft w:val="0"/>
                  <w:marRight w:val="0"/>
                  <w:marTop w:val="0"/>
                  <w:marBottom w:val="0"/>
                  <w:divBdr>
                    <w:top w:val="none" w:sz="0" w:space="0" w:color="auto"/>
                    <w:left w:val="none" w:sz="0" w:space="0" w:color="auto"/>
                    <w:bottom w:val="none" w:sz="0" w:space="0" w:color="auto"/>
                    <w:right w:val="none" w:sz="0" w:space="0" w:color="auto"/>
                  </w:divBdr>
                </w:div>
                <w:div w:id="6022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5076">
          <w:marLeft w:val="0"/>
          <w:marRight w:val="0"/>
          <w:marTop w:val="0"/>
          <w:marBottom w:val="0"/>
          <w:divBdr>
            <w:top w:val="none" w:sz="0" w:space="0" w:color="auto"/>
            <w:left w:val="none" w:sz="0" w:space="0" w:color="auto"/>
            <w:bottom w:val="none" w:sz="0" w:space="0" w:color="auto"/>
            <w:right w:val="none" w:sz="0" w:space="0" w:color="auto"/>
          </w:divBdr>
          <w:divsChild>
            <w:div w:id="488250531">
              <w:marLeft w:val="0"/>
              <w:marRight w:val="0"/>
              <w:marTop w:val="0"/>
              <w:marBottom w:val="0"/>
              <w:divBdr>
                <w:top w:val="none" w:sz="0" w:space="0" w:color="auto"/>
                <w:left w:val="none" w:sz="0" w:space="0" w:color="auto"/>
                <w:bottom w:val="none" w:sz="0" w:space="0" w:color="auto"/>
                <w:right w:val="none" w:sz="0" w:space="0" w:color="auto"/>
              </w:divBdr>
              <w:divsChild>
                <w:div w:id="1915041039">
                  <w:marLeft w:val="0"/>
                  <w:marRight w:val="0"/>
                  <w:marTop w:val="0"/>
                  <w:marBottom w:val="0"/>
                  <w:divBdr>
                    <w:top w:val="none" w:sz="0" w:space="0" w:color="auto"/>
                    <w:left w:val="none" w:sz="0" w:space="0" w:color="auto"/>
                    <w:bottom w:val="none" w:sz="0" w:space="0" w:color="auto"/>
                    <w:right w:val="none" w:sz="0" w:space="0" w:color="auto"/>
                  </w:divBdr>
                  <w:divsChild>
                    <w:div w:id="6401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7591">
              <w:marLeft w:val="0"/>
              <w:marRight w:val="0"/>
              <w:marTop w:val="0"/>
              <w:marBottom w:val="0"/>
              <w:divBdr>
                <w:top w:val="none" w:sz="0" w:space="0" w:color="auto"/>
                <w:left w:val="none" w:sz="0" w:space="0" w:color="auto"/>
                <w:bottom w:val="none" w:sz="0" w:space="0" w:color="auto"/>
                <w:right w:val="none" w:sz="0" w:space="0" w:color="auto"/>
              </w:divBdr>
              <w:divsChild>
                <w:div w:id="400057690">
                  <w:marLeft w:val="0"/>
                  <w:marRight w:val="0"/>
                  <w:marTop w:val="0"/>
                  <w:marBottom w:val="0"/>
                  <w:divBdr>
                    <w:top w:val="none" w:sz="0" w:space="0" w:color="auto"/>
                    <w:left w:val="none" w:sz="0" w:space="0" w:color="auto"/>
                    <w:bottom w:val="none" w:sz="0" w:space="0" w:color="auto"/>
                    <w:right w:val="none" w:sz="0" w:space="0" w:color="auto"/>
                  </w:divBdr>
                  <w:divsChild>
                    <w:div w:id="237791690">
                      <w:marLeft w:val="0"/>
                      <w:marRight w:val="0"/>
                      <w:marTop w:val="0"/>
                      <w:marBottom w:val="0"/>
                      <w:divBdr>
                        <w:top w:val="none" w:sz="0" w:space="0" w:color="auto"/>
                        <w:left w:val="none" w:sz="0" w:space="0" w:color="auto"/>
                        <w:bottom w:val="none" w:sz="0" w:space="0" w:color="auto"/>
                        <w:right w:val="none" w:sz="0" w:space="0" w:color="auto"/>
                      </w:divBdr>
                    </w:div>
                    <w:div w:id="413358063">
                      <w:marLeft w:val="0"/>
                      <w:marRight w:val="0"/>
                      <w:marTop w:val="0"/>
                      <w:marBottom w:val="0"/>
                      <w:divBdr>
                        <w:top w:val="none" w:sz="0" w:space="0" w:color="auto"/>
                        <w:left w:val="none" w:sz="0" w:space="0" w:color="auto"/>
                        <w:bottom w:val="none" w:sz="0" w:space="0" w:color="auto"/>
                        <w:right w:val="none" w:sz="0" w:space="0" w:color="auto"/>
                      </w:divBdr>
                    </w:div>
                  </w:divsChild>
                </w:div>
                <w:div w:id="560870134">
                  <w:marLeft w:val="0"/>
                  <w:marRight w:val="0"/>
                  <w:marTop w:val="0"/>
                  <w:marBottom w:val="0"/>
                  <w:divBdr>
                    <w:top w:val="none" w:sz="0" w:space="0" w:color="auto"/>
                    <w:left w:val="none" w:sz="0" w:space="0" w:color="auto"/>
                    <w:bottom w:val="none" w:sz="0" w:space="0" w:color="auto"/>
                    <w:right w:val="none" w:sz="0" w:space="0" w:color="auto"/>
                  </w:divBdr>
                  <w:divsChild>
                    <w:div w:id="18866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6814">
          <w:marLeft w:val="0"/>
          <w:marRight w:val="0"/>
          <w:marTop w:val="0"/>
          <w:marBottom w:val="0"/>
          <w:divBdr>
            <w:top w:val="none" w:sz="0" w:space="0" w:color="auto"/>
            <w:left w:val="none" w:sz="0" w:space="0" w:color="auto"/>
            <w:bottom w:val="none" w:sz="0" w:space="0" w:color="auto"/>
            <w:right w:val="none" w:sz="0" w:space="0" w:color="auto"/>
          </w:divBdr>
          <w:divsChild>
            <w:div w:id="237599673">
              <w:marLeft w:val="0"/>
              <w:marRight w:val="0"/>
              <w:marTop w:val="0"/>
              <w:marBottom w:val="0"/>
              <w:divBdr>
                <w:top w:val="none" w:sz="0" w:space="0" w:color="auto"/>
                <w:left w:val="none" w:sz="0" w:space="0" w:color="auto"/>
                <w:bottom w:val="none" w:sz="0" w:space="0" w:color="auto"/>
                <w:right w:val="none" w:sz="0" w:space="0" w:color="auto"/>
              </w:divBdr>
              <w:divsChild>
                <w:div w:id="188302673">
                  <w:marLeft w:val="0"/>
                  <w:marRight w:val="0"/>
                  <w:marTop w:val="0"/>
                  <w:marBottom w:val="0"/>
                  <w:divBdr>
                    <w:top w:val="none" w:sz="0" w:space="0" w:color="auto"/>
                    <w:left w:val="none" w:sz="0" w:space="0" w:color="auto"/>
                    <w:bottom w:val="none" w:sz="0" w:space="0" w:color="auto"/>
                    <w:right w:val="none" w:sz="0" w:space="0" w:color="auto"/>
                  </w:divBdr>
                </w:div>
                <w:div w:id="14698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67099">
      <w:bodyDiv w:val="1"/>
      <w:marLeft w:val="0"/>
      <w:marRight w:val="0"/>
      <w:marTop w:val="0"/>
      <w:marBottom w:val="0"/>
      <w:divBdr>
        <w:top w:val="none" w:sz="0" w:space="0" w:color="auto"/>
        <w:left w:val="none" w:sz="0" w:space="0" w:color="auto"/>
        <w:bottom w:val="none" w:sz="0" w:space="0" w:color="auto"/>
        <w:right w:val="none" w:sz="0" w:space="0" w:color="auto"/>
      </w:divBdr>
    </w:div>
    <w:div w:id="375663211">
      <w:bodyDiv w:val="1"/>
      <w:marLeft w:val="0"/>
      <w:marRight w:val="0"/>
      <w:marTop w:val="0"/>
      <w:marBottom w:val="0"/>
      <w:divBdr>
        <w:top w:val="none" w:sz="0" w:space="0" w:color="auto"/>
        <w:left w:val="none" w:sz="0" w:space="0" w:color="auto"/>
        <w:bottom w:val="none" w:sz="0" w:space="0" w:color="auto"/>
        <w:right w:val="none" w:sz="0" w:space="0" w:color="auto"/>
      </w:divBdr>
    </w:div>
    <w:div w:id="376006940">
      <w:bodyDiv w:val="1"/>
      <w:marLeft w:val="0"/>
      <w:marRight w:val="0"/>
      <w:marTop w:val="0"/>
      <w:marBottom w:val="0"/>
      <w:divBdr>
        <w:top w:val="none" w:sz="0" w:space="0" w:color="auto"/>
        <w:left w:val="none" w:sz="0" w:space="0" w:color="auto"/>
        <w:bottom w:val="none" w:sz="0" w:space="0" w:color="auto"/>
        <w:right w:val="none" w:sz="0" w:space="0" w:color="auto"/>
      </w:divBdr>
    </w:div>
    <w:div w:id="498927640">
      <w:bodyDiv w:val="1"/>
      <w:marLeft w:val="0"/>
      <w:marRight w:val="0"/>
      <w:marTop w:val="0"/>
      <w:marBottom w:val="0"/>
      <w:divBdr>
        <w:top w:val="none" w:sz="0" w:space="0" w:color="auto"/>
        <w:left w:val="none" w:sz="0" w:space="0" w:color="auto"/>
        <w:bottom w:val="none" w:sz="0" w:space="0" w:color="auto"/>
        <w:right w:val="none" w:sz="0" w:space="0" w:color="auto"/>
      </w:divBdr>
      <w:divsChild>
        <w:div w:id="2021083949">
          <w:marLeft w:val="0"/>
          <w:marRight w:val="0"/>
          <w:marTop w:val="0"/>
          <w:marBottom w:val="0"/>
          <w:divBdr>
            <w:top w:val="none" w:sz="0" w:space="0" w:color="auto"/>
            <w:left w:val="none" w:sz="0" w:space="0" w:color="auto"/>
            <w:bottom w:val="none" w:sz="0" w:space="0" w:color="auto"/>
            <w:right w:val="none" w:sz="0" w:space="0" w:color="auto"/>
          </w:divBdr>
          <w:divsChild>
            <w:div w:id="132916900">
              <w:marLeft w:val="0"/>
              <w:marRight w:val="0"/>
              <w:marTop w:val="0"/>
              <w:marBottom w:val="0"/>
              <w:divBdr>
                <w:top w:val="none" w:sz="0" w:space="0" w:color="auto"/>
                <w:left w:val="none" w:sz="0" w:space="0" w:color="auto"/>
                <w:bottom w:val="none" w:sz="0" w:space="0" w:color="auto"/>
                <w:right w:val="none" w:sz="0" w:space="0" w:color="auto"/>
              </w:divBdr>
              <w:divsChild>
                <w:div w:id="639850539">
                  <w:marLeft w:val="0"/>
                  <w:marRight w:val="0"/>
                  <w:marTop w:val="0"/>
                  <w:marBottom w:val="0"/>
                  <w:divBdr>
                    <w:top w:val="none" w:sz="0" w:space="0" w:color="auto"/>
                    <w:left w:val="none" w:sz="0" w:space="0" w:color="auto"/>
                    <w:bottom w:val="none" w:sz="0" w:space="0" w:color="auto"/>
                    <w:right w:val="none" w:sz="0" w:space="0" w:color="auto"/>
                  </w:divBdr>
                  <w:divsChild>
                    <w:div w:id="4081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855047">
      <w:bodyDiv w:val="1"/>
      <w:marLeft w:val="0"/>
      <w:marRight w:val="0"/>
      <w:marTop w:val="0"/>
      <w:marBottom w:val="0"/>
      <w:divBdr>
        <w:top w:val="none" w:sz="0" w:space="0" w:color="auto"/>
        <w:left w:val="none" w:sz="0" w:space="0" w:color="auto"/>
        <w:bottom w:val="none" w:sz="0" w:space="0" w:color="auto"/>
        <w:right w:val="none" w:sz="0" w:space="0" w:color="auto"/>
      </w:divBdr>
    </w:div>
    <w:div w:id="706566155">
      <w:bodyDiv w:val="1"/>
      <w:marLeft w:val="0"/>
      <w:marRight w:val="0"/>
      <w:marTop w:val="0"/>
      <w:marBottom w:val="0"/>
      <w:divBdr>
        <w:top w:val="none" w:sz="0" w:space="0" w:color="auto"/>
        <w:left w:val="none" w:sz="0" w:space="0" w:color="auto"/>
        <w:bottom w:val="none" w:sz="0" w:space="0" w:color="auto"/>
        <w:right w:val="none" w:sz="0" w:space="0" w:color="auto"/>
      </w:divBdr>
      <w:divsChild>
        <w:div w:id="1354916668">
          <w:marLeft w:val="0"/>
          <w:marRight w:val="0"/>
          <w:marTop w:val="0"/>
          <w:marBottom w:val="0"/>
          <w:divBdr>
            <w:top w:val="none" w:sz="0" w:space="0" w:color="auto"/>
            <w:left w:val="none" w:sz="0" w:space="0" w:color="auto"/>
            <w:bottom w:val="none" w:sz="0" w:space="0" w:color="auto"/>
            <w:right w:val="none" w:sz="0" w:space="0" w:color="auto"/>
          </w:divBdr>
          <w:divsChild>
            <w:div w:id="1258054862">
              <w:marLeft w:val="0"/>
              <w:marRight w:val="0"/>
              <w:marTop w:val="0"/>
              <w:marBottom w:val="0"/>
              <w:divBdr>
                <w:top w:val="none" w:sz="0" w:space="0" w:color="auto"/>
                <w:left w:val="none" w:sz="0" w:space="0" w:color="auto"/>
                <w:bottom w:val="none" w:sz="0" w:space="0" w:color="auto"/>
                <w:right w:val="none" w:sz="0" w:space="0" w:color="auto"/>
              </w:divBdr>
              <w:divsChild>
                <w:div w:id="1622374811">
                  <w:marLeft w:val="-225"/>
                  <w:marRight w:val="-225"/>
                  <w:marTop w:val="0"/>
                  <w:marBottom w:val="0"/>
                  <w:divBdr>
                    <w:top w:val="none" w:sz="0" w:space="0" w:color="auto"/>
                    <w:left w:val="none" w:sz="0" w:space="0" w:color="auto"/>
                    <w:bottom w:val="none" w:sz="0" w:space="0" w:color="auto"/>
                    <w:right w:val="none" w:sz="0" w:space="0" w:color="auto"/>
                  </w:divBdr>
                  <w:divsChild>
                    <w:div w:id="10002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40097">
      <w:bodyDiv w:val="1"/>
      <w:marLeft w:val="0"/>
      <w:marRight w:val="0"/>
      <w:marTop w:val="0"/>
      <w:marBottom w:val="0"/>
      <w:divBdr>
        <w:top w:val="none" w:sz="0" w:space="0" w:color="auto"/>
        <w:left w:val="none" w:sz="0" w:space="0" w:color="auto"/>
        <w:bottom w:val="none" w:sz="0" w:space="0" w:color="auto"/>
        <w:right w:val="none" w:sz="0" w:space="0" w:color="auto"/>
      </w:divBdr>
    </w:div>
    <w:div w:id="885143976">
      <w:bodyDiv w:val="1"/>
      <w:marLeft w:val="0"/>
      <w:marRight w:val="0"/>
      <w:marTop w:val="0"/>
      <w:marBottom w:val="0"/>
      <w:divBdr>
        <w:top w:val="none" w:sz="0" w:space="0" w:color="auto"/>
        <w:left w:val="none" w:sz="0" w:space="0" w:color="auto"/>
        <w:bottom w:val="none" w:sz="0" w:space="0" w:color="auto"/>
        <w:right w:val="none" w:sz="0" w:space="0" w:color="auto"/>
      </w:divBdr>
    </w:div>
    <w:div w:id="888031765">
      <w:bodyDiv w:val="1"/>
      <w:marLeft w:val="0"/>
      <w:marRight w:val="0"/>
      <w:marTop w:val="0"/>
      <w:marBottom w:val="0"/>
      <w:divBdr>
        <w:top w:val="none" w:sz="0" w:space="0" w:color="auto"/>
        <w:left w:val="none" w:sz="0" w:space="0" w:color="auto"/>
        <w:bottom w:val="none" w:sz="0" w:space="0" w:color="auto"/>
        <w:right w:val="none" w:sz="0" w:space="0" w:color="auto"/>
      </w:divBdr>
    </w:div>
    <w:div w:id="899294349">
      <w:bodyDiv w:val="1"/>
      <w:marLeft w:val="0"/>
      <w:marRight w:val="0"/>
      <w:marTop w:val="0"/>
      <w:marBottom w:val="0"/>
      <w:divBdr>
        <w:top w:val="none" w:sz="0" w:space="0" w:color="auto"/>
        <w:left w:val="none" w:sz="0" w:space="0" w:color="auto"/>
        <w:bottom w:val="none" w:sz="0" w:space="0" w:color="auto"/>
        <w:right w:val="none" w:sz="0" w:space="0" w:color="auto"/>
      </w:divBdr>
    </w:div>
    <w:div w:id="924606625">
      <w:bodyDiv w:val="1"/>
      <w:marLeft w:val="0"/>
      <w:marRight w:val="0"/>
      <w:marTop w:val="0"/>
      <w:marBottom w:val="0"/>
      <w:divBdr>
        <w:top w:val="none" w:sz="0" w:space="0" w:color="auto"/>
        <w:left w:val="none" w:sz="0" w:space="0" w:color="auto"/>
        <w:bottom w:val="none" w:sz="0" w:space="0" w:color="auto"/>
        <w:right w:val="none" w:sz="0" w:space="0" w:color="auto"/>
      </w:divBdr>
    </w:div>
    <w:div w:id="1009137727">
      <w:bodyDiv w:val="1"/>
      <w:marLeft w:val="0"/>
      <w:marRight w:val="0"/>
      <w:marTop w:val="0"/>
      <w:marBottom w:val="0"/>
      <w:divBdr>
        <w:top w:val="none" w:sz="0" w:space="0" w:color="auto"/>
        <w:left w:val="none" w:sz="0" w:space="0" w:color="auto"/>
        <w:bottom w:val="none" w:sz="0" w:space="0" w:color="auto"/>
        <w:right w:val="none" w:sz="0" w:space="0" w:color="auto"/>
      </w:divBdr>
      <w:divsChild>
        <w:div w:id="1159535633">
          <w:marLeft w:val="0"/>
          <w:marRight w:val="0"/>
          <w:marTop w:val="0"/>
          <w:marBottom w:val="0"/>
          <w:divBdr>
            <w:top w:val="none" w:sz="0" w:space="0" w:color="auto"/>
            <w:left w:val="none" w:sz="0" w:space="0" w:color="auto"/>
            <w:bottom w:val="none" w:sz="0" w:space="0" w:color="auto"/>
            <w:right w:val="none" w:sz="0" w:space="0" w:color="auto"/>
          </w:divBdr>
          <w:divsChild>
            <w:div w:id="343481471">
              <w:marLeft w:val="0"/>
              <w:marRight w:val="0"/>
              <w:marTop w:val="0"/>
              <w:marBottom w:val="0"/>
              <w:divBdr>
                <w:top w:val="none" w:sz="0" w:space="0" w:color="auto"/>
                <w:left w:val="none" w:sz="0" w:space="0" w:color="auto"/>
                <w:bottom w:val="none" w:sz="0" w:space="0" w:color="auto"/>
                <w:right w:val="none" w:sz="0" w:space="0" w:color="auto"/>
              </w:divBdr>
              <w:divsChild>
                <w:div w:id="17475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9691">
      <w:bodyDiv w:val="1"/>
      <w:marLeft w:val="0"/>
      <w:marRight w:val="0"/>
      <w:marTop w:val="0"/>
      <w:marBottom w:val="0"/>
      <w:divBdr>
        <w:top w:val="none" w:sz="0" w:space="0" w:color="auto"/>
        <w:left w:val="none" w:sz="0" w:space="0" w:color="auto"/>
        <w:bottom w:val="none" w:sz="0" w:space="0" w:color="auto"/>
        <w:right w:val="none" w:sz="0" w:space="0" w:color="auto"/>
      </w:divBdr>
      <w:divsChild>
        <w:div w:id="804126721">
          <w:marLeft w:val="360"/>
          <w:marRight w:val="0"/>
          <w:marTop w:val="86"/>
          <w:marBottom w:val="0"/>
          <w:divBdr>
            <w:top w:val="none" w:sz="0" w:space="0" w:color="auto"/>
            <w:left w:val="none" w:sz="0" w:space="0" w:color="auto"/>
            <w:bottom w:val="none" w:sz="0" w:space="0" w:color="auto"/>
            <w:right w:val="none" w:sz="0" w:space="0" w:color="auto"/>
          </w:divBdr>
        </w:div>
        <w:div w:id="901210639">
          <w:marLeft w:val="1080"/>
          <w:marRight w:val="0"/>
          <w:marTop w:val="86"/>
          <w:marBottom w:val="0"/>
          <w:divBdr>
            <w:top w:val="none" w:sz="0" w:space="0" w:color="auto"/>
            <w:left w:val="none" w:sz="0" w:space="0" w:color="auto"/>
            <w:bottom w:val="none" w:sz="0" w:space="0" w:color="auto"/>
            <w:right w:val="none" w:sz="0" w:space="0" w:color="auto"/>
          </w:divBdr>
        </w:div>
        <w:div w:id="1083332997">
          <w:marLeft w:val="360"/>
          <w:marRight w:val="0"/>
          <w:marTop w:val="86"/>
          <w:marBottom w:val="0"/>
          <w:divBdr>
            <w:top w:val="none" w:sz="0" w:space="0" w:color="auto"/>
            <w:left w:val="none" w:sz="0" w:space="0" w:color="auto"/>
            <w:bottom w:val="none" w:sz="0" w:space="0" w:color="auto"/>
            <w:right w:val="none" w:sz="0" w:space="0" w:color="auto"/>
          </w:divBdr>
        </w:div>
        <w:div w:id="1129739154">
          <w:marLeft w:val="360"/>
          <w:marRight w:val="0"/>
          <w:marTop w:val="86"/>
          <w:marBottom w:val="0"/>
          <w:divBdr>
            <w:top w:val="none" w:sz="0" w:space="0" w:color="auto"/>
            <w:left w:val="none" w:sz="0" w:space="0" w:color="auto"/>
            <w:bottom w:val="none" w:sz="0" w:space="0" w:color="auto"/>
            <w:right w:val="none" w:sz="0" w:space="0" w:color="auto"/>
          </w:divBdr>
        </w:div>
        <w:div w:id="1385987567">
          <w:marLeft w:val="360"/>
          <w:marRight w:val="0"/>
          <w:marTop w:val="86"/>
          <w:marBottom w:val="0"/>
          <w:divBdr>
            <w:top w:val="none" w:sz="0" w:space="0" w:color="auto"/>
            <w:left w:val="none" w:sz="0" w:space="0" w:color="auto"/>
            <w:bottom w:val="none" w:sz="0" w:space="0" w:color="auto"/>
            <w:right w:val="none" w:sz="0" w:space="0" w:color="auto"/>
          </w:divBdr>
        </w:div>
      </w:divsChild>
    </w:div>
    <w:div w:id="1250581561">
      <w:bodyDiv w:val="1"/>
      <w:marLeft w:val="0"/>
      <w:marRight w:val="0"/>
      <w:marTop w:val="0"/>
      <w:marBottom w:val="0"/>
      <w:divBdr>
        <w:top w:val="none" w:sz="0" w:space="0" w:color="auto"/>
        <w:left w:val="none" w:sz="0" w:space="0" w:color="auto"/>
        <w:bottom w:val="none" w:sz="0" w:space="0" w:color="auto"/>
        <w:right w:val="none" w:sz="0" w:space="0" w:color="auto"/>
      </w:divBdr>
    </w:div>
    <w:div w:id="1266765918">
      <w:bodyDiv w:val="1"/>
      <w:marLeft w:val="0"/>
      <w:marRight w:val="0"/>
      <w:marTop w:val="0"/>
      <w:marBottom w:val="0"/>
      <w:divBdr>
        <w:top w:val="none" w:sz="0" w:space="0" w:color="auto"/>
        <w:left w:val="none" w:sz="0" w:space="0" w:color="auto"/>
        <w:bottom w:val="none" w:sz="0" w:space="0" w:color="auto"/>
        <w:right w:val="none" w:sz="0" w:space="0" w:color="auto"/>
      </w:divBdr>
    </w:div>
    <w:div w:id="1479296556">
      <w:bodyDiv w:val="1"/>
      <w:marLeft w:val="0"/>
      <w:marRight w:val="0"/>
      <w:marTop w:val="0"/>
      <w:marBottom w:val="0"/>
      <w:divBdr>
        <w:top w:val="none" w:sz="0" w:space="0" w:color="auto"/>
        <w:left w:val="none" w:sz="0" w:space="0" w:color="auto"/>
        <w:bottom w:val="none" w:sz="0" w:space="0" w:color="auto"/>
        <w:right w:val="none" w:sz="0" w:space="0" w:color="auto"/>
      </w:divBdr>
    </w:div>
    <w:div w:id="1507207664">
      <w:bodyDiv w:val="1"/>
      <w:marLeft w:val="0"/>
      <w:marRight w:val="0"/>
      <w:marTop w:val="0"/>
      <w:marBottom w:val="0"/>
      <w:divBdr>
        <w:top w:val="none" w:sz="0" w:space="0" w:color="auto"/>
        <w:left w:val="none" w:sz="0" w:space="0" w:color="auto"/>
        <w:bottom w:val="none" w:sz="0" w:space="0" w:color="auto"/>
        <w:right w:val="none" w:sz="0" w:space="0" w:color="auto"/>
      </w:divBdr>
      <w:divsChild>
        <w:div w:id="597907034">
          <w:marLeft w:val="0"/>
          <w:marRight w:val="0"/>
          <w:marTop w:val="0"/>
          <w:marBottom w:val="0"/>
          <w:divBdr>
            <w:top w:val="none" w:sz="0" w:space="0" w:color="auto"/>
            <w:left w:val="none" w:sz="0" w:space="0" w:color="auto"/>
            <w:bottom w:val="none" w:sz="0" w:space="0" w:color="auto"/>
            <w:right w:val="none" w:sz="0" w:space="0" w:color="auto"/>
          </w:divBdr>
          <w:divsChild>
            <w:div w:id="776557401">
              <w:marLeft w:val="0"/>
              <w:marRight w:val="0"/>
              <w:marTop w:val="0"/>
              <w:marBottom w:val="0"/>
              <w:divBdr>
                <w:top w:val="none" w:sz="0" w:space="0" w:color="auto"/>
                <w:left w:val="none" w:sz="0" w:space="0" w:color="auto"/>
                <w:bottom w:val="none" w:sz="0" w:space="0" w:color="auto"/>
                <w:right w:val="none" w:sz="0" w:space="0" w:color="auto"/>
              </w:divBdr>
              <w:divsChild>
                <w:div w:id="325283775">
                  <w:marLeft w:val="0"/>
                  <w:marRight w:val="0"/>
                  <w:marTop w:val="0"/>
                  <w:marBottom w:val="0"/>
                  <w:divBdr>
                    <w:top w:val="none" w:sz="0" w:space="0" w:color="auto"/>
                    <w:left w:val="none" w:sz="0" w:space="0" w:color="auto"/>
                    <w:bottom w:val="none" w:sz="0" w:space="0" w:color="auto"/>
                    <w:right w:val="none" w:sz="0" w:space="0" w:color="auto"/>
                  </w:divBdr>
                  <w:divsChild>
                    <w:div w:id="15642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51257">
      <w:bodyDiv w:val="1"/>
      <w:marLeft w:val="0"/>
      <w:marRight w:val="0"/>
      <w:marTop w:val="0"/>
      <w:marBottom w:val="0"/>
      <w:divBdr>
        <w:top w:val="none" w:sz="0" w:space="0" w:color="auto"/>
        <w:left w:val="none" w:sz="0" w:space="0" w:color="auto"/>
        <w:bottom w:val="none" w:sz="0" w:space="0" w:color="auto"/>
        <w:right w:val="none" w:sz="0" w:space="0" w:color="auto"/>
      </w:divBdr>
    </w:div>
    <w:div w:id="1545483007">
      <w:bodyDiv w:val="1"/>
      <w:marLeft w:val="0"/>
      <w:marRight w:val="0"/>
      <w:marTop w:val="0"/>
      <w:marBottom w:val="0"/>
      <w:divBdr>
        <w:top w:val="none" w:sz="0" w:space="0" w:color="auto"/>
        <w:left w:val="none" w:sz="0" w:space="0" w:color="auto"/>
        <w:bottom w:val="none" w:sz="0" w:space="0" w:color="auto"/>
        <w:right w:val="none" w:sz="0" w:space="0" w:color="auto"/>
      </w:divBdr>
    </w:div>
    <w:div w:id="1597593496">
      <w:bodyDiv w:val="1"/>
      <w:marLeft w:val="0"/>
      <w:marRight w:val="0"/>
      <w:marTop w:val="0"/>
      <w:marBottom w:val="0"/>
      <w:divBdr>
        <w:top w:val="none" w:sz="0" w:space="0" w:color="auto"/>
        <w:left w:val="none" w:sz="0" w:space="0" w:color="auto"/>
        <w:bottom w:val="none" w:sz="0" w:space="0" w:color="auto"/>
        <w:right w:val="none" w:sz="0" w:space="0" w:color="auto"/>
      </w:divBdr>
    </w:div>
    <w:div w:id="1620256603">
      <w:bodyDiv w:val="1"/>
      <w:marLeft w:val="0"/>
      <w:marRight w:val="0"/>
      <w:marTop w:val="0"/>
      <w:marBottom w:val="0"/>
      <w:divBdr>
        <w:top w:val="none" w:sz="0" w:space="0" w:color="auto"/>
        <w:left w:val="none" w:sz="0" w:space="0" w:color="auto"/>
        <w:bottom w:val="none" w:sz="0" w:space="0" w:color="auto"/>
        <w:right w:val="none" w:sz="0" w:space="0" w:color="auto"/>
      </w:divBdr>
    </w:div>
    <w:div w:id="1646932393">
      <w:bodyDiv w:val="1"/>
      <w:marLeft w:val="0"/>
      <w:marRight w:val="0"/>
      <w:marTop w:val="0"/>
      <w:marBottom w:val="0"/>
      <w:divBdr>
        <w:top w:val="none" w:sz="0" w:space="0" w:color="auto"/>
        <w:left w:val="none" w:sz="0" w:space="0" w:color="auto"/>
        <w:bottom w:val="none" w:sz="0" w:space="0" w:color="auto"/>
        <w:right w:val="none" w:sz="0" w:space="0" w:color="auto"/>
      </w:divBdr>
      <w:divsChild>
        <w:div w:id="31656646">
          <w:marLeft w:val="0"/>
          <w:marRight w:val="0"/>
          <w:marTop w:val="0"/>
          <w:marBottom w:val="0"/>
          <w:divBdr>
            <w:top w:val="none" w:sz="0" w:space="0" w:color="auto"/>
            <w:left w:val="none" w:sz="0" w:space="0" w:color="auto"/>
            <w:bottom w:val="none" w:sz="0" w:space="0" w:color="auto"/>
            <w:right w:val="none" w:sz="0" w:space="0" w:color="auto"/>
          </w:divBdr>
          <w:divsChild>
            <w:div w:id="509293385">
              <w:marLeft w:val="0"/>
              <w:marRight w:val="0"/>
              <w:marTop w:val="0"/>
              <w:marBottom w:val="0"/>
              <w:divBdr>
                <w:top w:val="none" w:sz="0" w:space="0" w:color="auto"/>
                <w:left w:val="none" w:sz="0" w:space="0" w:color="auto"/>
                <w:bottom w:val="none" w:sz="0" w:space="0" w:color="auto"/>
                <w:right w:val="none" w:sz="0" w:space="0" w:color="auto"/>
              </w:divBdr>
              <w:divsChild>
                <w:div w:id="16514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4982">
      <w:bodyDiv w:val="1"/>
      <w:marLeft w:val="0"/>
      <w:marRight w:val="0"/>
      <w:marTop w:val="0"/>
      <w:marBottom w:val="0"/>
      <w:divBdr>
        <w:top w:val="none" w:sz="0" w:space="0" w:color="auto"/>
        <w:left w:val="none" w:sz="0" w:space="0" w:color="auto"/>
        <w:bottom w:val="none" w:sz="0" w:space="0" w:color="auto"/>
        <w:right w:val="none" w:sz="0" w:space="0" w:color="auto"/>
      </w:divBdr>
    </w:div>
    <w:div w:id="1793479418">
      <w:bodyDiv w:val="1"/>
      <w:marLeft w:val="0"/>
      <w:marRight w:val="0"/>
      <w:marTop w:val="0"/>
      <w:marBottom w:val="0"/>
      <w:divBdr>
        <w:top w:val="none" w:sz="0" w:space="0" w:color="auto"/>
        <w:left w:val="none" w:sz="0" w:space="0" w:color="auto"/>
        <w:bottom w:val="none" w:sz="0" w:space="0" w:color="auto"/>
        <w:right w:val="none" w:sz="0" w:space="0" w:color="auto"/>
      </w:divBdr>
    </w:div>
    <w:div w:id="1809663443">
      <w:bodyDiv w:val="1"/>
      <w:marLeft w:val="0"/>
      <w:marRight w:val="0"/>
      <w:marTop w:val="0"/>
      <w:marBottom w:val="0"/>
      <w:divBdr>
        <w:top w:val="none" w:sz="0" w:space="0" w:color="auto"/>
        <w:left w:val="none" w:sz="0" w:space="0" w:color="auto"/>
        <w:bottom w:val="none" w:sz="0" w:space="0" w:color="auto"/>
        <w:right w:val="none" w:sz="0" w:space="0" w:color="auto"/>
      </w:divBdr>
      <w:divsChild>
        <w:div w:id="359404044">
          <w:marLeft w:val="0"/>
          <w:marRight w:val="0"/>
          <w:marTop w:val="0"/>
          <w:marBottom w:val="0"/>
          <w:divBdr>
            <w:top w:val="none" w:sz="0" w:space="0" w:color="auto"/>
            <w:left w:val="none" w:sz="0" w:space="0" w:color="auto"/>
            <w:bottom w:val="none" w:sz="0" w:space="0" w:color="auto"/>
            <w:right w:val="none" w:sz="0" w:space="0" w:color="auto"/>
          </w:divBdr>
          <w:divsChild>
            <w:div w:id="233975038">
              <w:marLeft w:val="0"/>
              <w:marRight w:val="0"/>
              <w:marTop w:val="0"/>
              <w:marBottom w:val="0"/>
              <w:divBdr>
                <w:top w:val="none" w:sz="0" w:space="0" w:color="auto"/>
                <w:left w:val="none" w:sz="0" w:space="0" w:color="auto"/>
                <w:bottom w:val="none" w:sz="0" w:space="0" w:color="auto"/>
                <w:right w:val="none" w:sz="0" w:space="0" w:color="auto"/>
              </w:divBdr>
              <w:divsChild>
                <w:div w:id="208753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14850">
      <w:bodyDiv w:val="1"/>
      <w:marLeft w:val="0"/>
      <w:marRight w:val="0"/>
      <w:marTop w:val="0"/>
      <w:marBottom w:val="0"/>
      <w:divBdr>
        <w:top w:val="none" w:sz="0" w:space="0" w:color="auto"/>
        <w:left w:val="none" w:sz="0" w:space="0" w:color="auto"/>
        <w:bottom w:val="none" w:sz="0" w:space="0" w:color="auto"/>
        <w:right w:val="none" w:sz="0" w:space="0" w:color="auto"/>
      </w:divBdr>
    </w:div>
    <w:div w:id="1970624213">
      <w:bodyDiv w:val="1"/>
      <w:marLeft w:val="0"/>
      <w:marRight w:val="0"/>
      <w:marTop w:val="0"/>
      <w:marBottom w:val="0"/>
      <w:divBdr>
        <w:top w:val="none" w:sz="0" w:space="0" w:color="auto"/>
        <w:left w:val="none" w:sz="0" w:space="0" w:color="auto"/>
        <w:bottom w:val="none" w:sz="0" w:space="0" w:color="auto"/>
        <w:right w:val="none" w:sz="0" w:space="0" w:color="auto"/>
      </w:divBdr>
    </w:div>
    <w:div w:id="2051221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8.png"/><Relationship Id="rId26" Type="http://schemas.openxmlformats.org/officeDocument/2006/relationships/hyperlink" Target="https://dq.cde.ca.gov/dataquest/DQCensus/SPEDEnr.aspx?cds=00&amp;agglevel=State&amp;year=2022-23&amp;ListReportRows=GrdSpan&amp;charter=All&amp;Display=Pct&amp;ro=1" TargetMode="External"/><Relationship Id="rId39"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hyperlink" Target="https://dq.cde.ca.gov/dataquest/longtermel/EverElType.aspx?cds=00&amp;agglevel=State&amp;year=2022-23" TargetMode="External"/><Relationship Id="rId34" Type="http://schemas.openxmlformats.org/officeDocument/2006/relationships/chart" Target="charts/chart8.xml"/><Relationship Id="rId42" Type="http://schemas.openxmlformats.org/officeDocument/2006/relationships/chart" Target="charts/chart15.xml"/><Relationship Id="rId47" Type="http://schemas.openxmlformats.org/officeDocument/2006/relationships/hyperlink" Target="https://casel.org/fundamentals-of-sel/" TargetMode="Externa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png"/><Relationship Id="rId25" Type="http://schemas.openxmlformats.org/officeDocument/2006/relationships/hyperlink" Target="https://dq.cde.ca.gov/dataquest/DQCensus/SPEDEnr.aspx?cds=00&amp;agglevel=State&amp;year=2022-23&amp;ListReportRows=GrdSpan&amp;charter=All&amp;Display=Pct&amp;ro=1" TargetMode="External"/><Relationship Id="rId33" Type="http://schemas.openxmlformats.org/officeDocument/2006/relationships/chart" Target="charts/chart7.xml"/><Relationship Id="rId38" Type="http://schemas.openxmlformats.org/officeDocument/2006/relationships/chart" Target="charts/chart11.xml"/><Relationship Id="rId46" Type="http://schemas.openxmlformats.org/officeDocument/2006/relationships/hyperlink" Target="https://dq.cde.ca.gov/dataquest/DQCensus/AttChrAbsRate.aspx?cds=00&amp;agglevel=State&amp;year=2022-23&amp;initrow=Sub&amp;ro=y"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chart" Target="charts/chart3.xml"/><Relationship Id="rId41"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sp/me/mt/documents/camigratorysp.docx" TargetMode="External"/><Relationship Id="rId24" Type="http://schemas.openxmlformats.org/officeDocument/2006/relationships/chart" Target="charts/chart1.xml"/><Relationship Id="rId32" Type="http://schemas.openxmlformats.org/officeDocument/2006/relationships/chart" Target="charts/chart6.xml"/><Relationship Id="rId37" Type="http://schemas.openxmlformats.org/officeDocument/2006/relationships/hyperlink" Target="https://www.cde.ca.gov/ta/tg/ep/documents/summativescalescores.pdf" TargetMode="External"/><Relationship Id="rId40" Type="http://schemas.openxmlformats.org/officeDocument/2006/relationships/chart" Target="charts/chart13.xml"/><Relationship Id="rId45" Type="http://schemas.openxmlformats.org/officeDocument/2006/relationships/hyperlink" Target="http://www.cde.ca.gov/ls/he/at/chks.asp"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dq.cde.ca.gov/dataquest/SpringData/StudentsByLanguage.aspx?Level=State&amp;TheYear=2021%2022&amp;SubGroup=Mig&amp;ShortYear=2122&amp;GenderGroup=B&amp;CDSCode=00000000000000&amp;RecordType=EL" TargetMode="External"/><Relationship Id="rId28" Type="http://schemas.openxmlformats.org/officeDocument/2006/relationships/chart" Target="charts/chart2.xml"/><Relationship Id="rId36" Type="http://schemas.openxmlformats.org/officeDocument/2006/relationships/chart" Target="charts/chart10.xml"/><Relationship Id="rId49"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dq.cde.ca.gov/dataquest/longtermel/EverElType.aspx?cds=00&amp;agglevel=State&amp;year=2022-23" TargetMode="External"/><Relationship Id="rId31" Type="http://schemas.openxmlformats.org/officeDocument/2006/relationships/chart" Target="charts/chart5.xml"/><Relationship Id="rId44" Type="http://schemas.openxmlformats.org/officeDocument/2006/relationships/hyperlink" Target="https://www.cde.ca.gov/sp/me/mt/documents/camigratorysp.doc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dq.cde.ca.gov/dataquest/DQCensus/EnrELAS.aspx?cds=00&amp;agglevel=State&amp;year=2022-23" TargetMode="External"/><Relationship Id="rId27" Type="http://schemas.openxmlformats.org/officeDocument/2006/relationships/hyperlink" Target="https://www.cde.ca.gov/sp/me/mt/documents/camigratorysp.docx" TargetMode="External"/><Relationship Id="rId30" Type="http://schemas.openxmlformats.org/officeDocument/2006/relationships/chart" Target="charts/chart4.xml"/><Relationship Id="rId35" Type="http://schemas.openxmlformats.org/officeDocument/2006/relationships/chart" Target="charts/chart9.xml"/><Relationship Id="rId43" Type="http://schemas.openxmlformats.org/officeDocument/2006/relationships/hyperlink" Target="https://caaspp-elpac.ets.org/caaspp/DashViewReportSB?ps=true&amp;lstTestYear=2023&amp;lstTestType=B&amp;lstGroup=5&amp;lstSubGroup=80&amp;lstGrade=13&amp;lstSchoolType=A&amp;lstCounty=00&amp;lstDistrict=00000&amp;lstSchool=0000000&amp;lstFocus=a" TargetMode="Externa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dq.cde.ca.gov/dataquest/longtermel/Glossary.aspx" TargetMode="External"/><Relationship Id="rId2" Type="http://schemas.openxmlformats.org/officeDocument/2006/relationships/hyperlink" Target="https://www.cde.ca.gov/sp/me/mt/" TargetMode="External"/><Relationship Id="rId1" Type="http://schemas.openxmlformats.org/officeDocument/2006/relationships/hyperlink" Target="https://www.cdfa.ca.gov/statistics/" TargetMode="External"/><Relationship Id="rId6" Type="http://schemas.openxmlformats.org/officeDocument/2006/relationships/hyperlink" Target="http://www.ppic.org/content/pubs/report/R_407LHR.pdf" TargetMode="External"/><Relationship Id="rId5" Type="http://schemas.openxmlformats.org/officeDocument/2006/relationships/hyperlink" Target="https://caaspp-elpac.ets.org/caaspp/AboutCAASPP" TargetMode="External"/><Relationship Id="rId4" Type="http://schemas.openxmlformats.org/officeDocument/2006/relationships/hyperlink" Target="https://caaspp-elpac.ets.org/caaspp/AboutCAASP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Users\lseveri\Library\Application%20Support\Box\Box%20Edit\Documents\1170412905970\Migratory%20Students%20Disabilities%20and%20Grade%20Data%20Table%20+%20Data%20Viz.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Users\ttran\Library\Application%20Support\Box\Box%20Edit\Documents\1123242187242\CAASPP%20Math%20Data%20Table_Template%20+%20viz.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Users\ttran\Library\Application%20Support\Box\Box%20Edit\Documents\1123240572206\ELPAC%20Data%20Table_Template%20+%20viz.xlsx" TargetMode="External"/></Relationships>
</file>

<file path=word/charts/_rels/chart12.xml.rels><?xml version="1.0" encoding="UTF-8" standalone="yes"?>
<Relationships xmlns="http://schemas.openxmlformats.org/package/2006/relationships"><Relationship Id="rId2" Type="http://schemas.openxmlformats.org/officeDocument/2006/relationships/oleObject" Target="file:///\\Users\ttran\Library\Application%20Support\Box\Box%20Edit\Documents\1170426238084\Grad%20&amp;%20dropout%20rates%20Viz,%20by%20group_TT+%20ls%20.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Users\ttran\Library\Application%20Support\Box\Box%20Edit\Documents\1170426238084\Grad%20&amp;%20dropout%20rates%20Viz,%20by%20group_TT+%20ls%20.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Users\lseveri\Library\Application%20Support\Box\Box%20Edit\Documents\1000360190113\OSY%20Needs%20+%20Services%20Data%20Tables%20+%20Data%20Viz%2022-23%20Data.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Users\lseveri\Library\Application%20Support\Box\Box%20Edit\Documents\1008362892608\Migrant%20Student%20Health%20Needs%20+%20Services%20Data%20Tables%20+%20Data%20Viz%20through%2022-23-%20Templat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Users\ttran\Library\Application%20Support\Box\Box%20Edit\Documents\1123231737885\CAASPP%20ELA%20Data%20Table_Template%20+%20viz.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Users\ttran\Library\Application%20Support\Box\Box%20Edit\Documents\1123231737885\CAASPP%20ELA%20Data%20Table_Template%20+%20viz.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Users\ttran\Library\Application%20Support\Box\Box%20Edit\Documents\1123231737885\CAASPP%20ELA%20Data%20Table_Template%20+%20viz.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Users\ttran\Library\Application%20Support\Box\Box%20Edit\Documents\1123231737885\CAASPP%20ELA%20Data%20Table_Template%20+%20viz.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Users\ttran\Library\Application%20Support\Box\Box%20Edit\Documents\1123242187242\CAASPP%20Math%20Data%20Table_Template%20+%20viz.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Users\ttran\Library\Application%20Support\Box\Box%20Edit\Documents\1123242187242\CAASPP%20Math%20Data%20Table_Template%20+%20viz.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Users\ttran\Library\Application%20Support\Box\Box%20Edit\Documents\1123242187242\CAASPP%20Math%20Data%20Table_Template%20+%20viz.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9248342137055046E-2"/>
          <c:y val="2.9726202257504698E-2"/>
          <c:w val="0.95018038139076988"/>
          <c:h val="0.91262772481308685"/>
        </c:manualLayout>
      </c:layout>
      <c:barChart>
        <c:barDir val="bar"/>
        <c:grouping val="clustered"/>
        <c:varyColors val="0"/>
        <c:ser>
          <c:idx val="0"/>
          <c:order val="0"/>
          <c:tx>
            <c:strRef>
              <c:f>'Data Viz for Final Profile'!$U$1</c:f>
              <c:strCache>
                <c:ptCount val="1"/>
                <c:pt idx="0">
                  <c:v>Migratory Students
(N=59,190)</c:v>
                </c:pt>
              </c:strCache>
            </c:strRef>
          </c:tx>
          <c:spPr>
            <a:solidFill>
              <a:srgbClr val="1569C8"/>
            </a:solidFill>
            <a:ln w="19050">
              <a:solidFill>
                <a:srgbClr val="1569C8"/>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Viz for Final Profile'!$T$2:$T$6</c:f>
              <c:strCache>
                <c:ptCount val="5"/>
                <c:pt idx="0">
                  <c:v>K–3</c:v>
                </c:pt>
                <c:pt idx="1">
                  <c:v>4–6</c:v>
                </c:pt>
                <c:pt idx="2">
                  <c:v>7–8</c:v>
                </c:pt>
                <c:pt idx="3">
                  <c:v>9–12</c:v>
                </c:pt>
                <c:pt idx="4">
                  <c:v>K–12</c:v>
                </c:pt>
              </c:strCache>
            </c:strRef>
          </c:cat>
          <c:val>
            <c:numRef>
              <c:f>'Data Viz for Final Profile'!$U$2:$U$6</c:f>
              <c:numCache>
                <c:formatCode>0.0%</c:formatCode>
                <c:ptCount val="5"/>
                <c:pt idx="0">
                  <c:v>0.10548098434004474</c:v>
                </c:pt>
                <c:pt idx="1">
                  <c:v>0.11734583483591778</c:v>
                </c:pt>
                <c:pt idx="2">
                  <c:v>0.11458782908933966</c:v>
                </c:pt>
                <c:pt idx="3">
                  <c:v>0.11349507619519172</c:v>
                </c:pt>
                <c:pt idx="4">
                  <c:v>0.11214732218280114</c:v>
                </c:pt>
              </c:numCache>
            </c:numRef>
          </c:val>
          <c:extLst>
            <c:ext xmlns:c16="http://schemas.microsoft.com/office/drawing/2014/chart" uri="{C3380CC4-5D6E-409C-BE32-E72D297353CC}">
              <c16:uniqueId val="{00000000-FAB8-41C3-BEEF-489AB2029AB6}"/>
            </c:ext>
          </c:extLst>
        </c:ser>
        <c:ser>
          <c:idx val="1"/>
          <c:order val="1"/>
          <c:tx>
            <c:strRef>
              <c:f>'Data Viz for Final Profile'!$V$1</c:f>
              <c:strCache>
                <c:ptCount val="1"/>
                <c:pt idx="0">
                  <c:v>All Students
(N=5,852,544)</c:v>
                </c:pt>
              </c:strCache>
            </c:strRef>
          </c:tx>
          <c:spPr>
            <a:solidFill>
              <a:srgbClr val="CBE1FA"/>
            </a:solidFill>
            <a:ln w="19050">
              <a:solidFill>
                <a:srgbClr val="1569C8"/>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Viz for Final Profile'!$T$2:$T$6</c:f>
              <c:strCache>
                <c:ptCount val="5"/>
                <c:pt idx="0">
                  <c:v>K–3</c:v>
                </c:pt>
                <c:pt idx="1">
                  <c:v>4–6</c:v>
                </c:pt>
                <c:pt idx="2">
                  <c:v>7–8</c:v>
                </c:pt>
                <c:pt idx="3">
                  <c:v>9–12</c:v>
                </c:pt>
                <c:pt idx="4">
                  <c:v>K–12</c:v>
                </c:pt>
              </c:strCache>
            </c:strRef>
          </c:cat>
          <c:val>
            <c:numRef>
              <c:f>'Data Viz for Final Profile'!$V$2:$V$6</c:f>
              <c:numCache>
                <c:formatCode>0.0%</c:formatCode>
                <c:ptCount val="5"/>
                <c:pt idx="0">
                  <c:v>0.1345752741705894</c:v>
                </c:pt>
                <c:pt idx="1">
                  <c:v>0.13833154089603403</c:v>
                </c:pt>
                <c:pt idx="2">
                  <c:v>0.13555576345597431</c:v>
                </c:pt>
                <c:pt idx="3">
                  <c:v>0.13490320242141102</c:v>
                </c:pt>
                <c:pt idx="4">
                  <c:v>0.13566493477024691</c:v>
                </c:pt>
              </c:numCache>
            </c:numRef>
          </c:val>
          <c:extLst>
            <c:ext xmlns:c16="http://schemas.microsoft.com/office/drawing/2014/chart" uri="{C3380CC4-5D6E-409C-BE32-E72D297353CC}">
              <c16:uniqueId val="{00000001-FAB8-41C3-BEEF-489AB2029AB6}"/>
            </c:ext>
          </c:extLst>
        </c:ser>
        <c:dLbls>
          <c:showLegendKey val="0"/>
          <c:showVal val="0"/>
          <c:showCatName val="0"/>
          <c:showSerName val="0"/>
          <c:showPercent val="0"/>
          <c:showBubbleSize val="0"/>
        </c:dLbls>
        <c:gapWidth val="85"/>
        <c:axId val="940893615"/>
        <c:axId val="864208575"/>
      </c:barChart>
      <c:catAx>
        <c:axId val="940893615"/>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864208575"/>
        <c:crosses val="autoZero"/>
        <c:auto val="1"/>
        <c:lblAlgn val="ctr"/>
        <c:lblOffset val="100"/>
        <c:noMultiLvlLbl val="0"/>
      </c:catAx>
      <c:valAx>
        <c:axId val="864208575"/>
        <c:scaling>
          <c:orientation val="minMax"/>
          <c:max val="0.2"/>
          <c:min val="0"/>
        </c:scaling>
        <c:delete val="0"/>
        <c:axPos val="t"/>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940893615"/>
        <c:crosses val="autoZero"/>
        <c:crossBetween val="between"/>
        <c:majorUnit val="0.1"/>
      </c:val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ln>
                  <a:noFill/>
                </a:ln>
                <a:solidFill>
                  <a:schemeClr val="tx1"/>
                </a:solidFill>
                <a:latin typeface="Arial" panose="020B0604020202020204" pitchFamily="34" charset="0"/>
                <a:ea typeface="+mn-ea"/>
                <a:cs typeface="Arial" panose="020B0604020202020204" pitchFamily="34" charset="0"/>
              </a:defRPr>
            </a:pPr>
            <a:endParaRPr lang="es-MX"/>
          </a:p>
        </c:txPr>
      </c:legendEntry>
      <c:legendEntry>
        <c:idx val="1"/>
        <c:txPr>
          <a:bodyPr rot="0" spcFirstLastPara="1" vertOverflow="ellipsis" vert="horz" wrap="square" anchor="ctr" anchorCtr="1"/>
          <a:lstStyle/>
          <a:p>
            <a:pPr>
              <a:defRPr sz="1200" b="0" i="0" u="none" strike="noStrike" kern="1200" baseline="0">
                <a:ln>
                  <a:noFill/>
                </a:ln>
                <a:solidFill>
                  <a:schemeClr val="tx1"/>
                </a:solidFill>
                <a:latin typeface="Arial" panose="020B0604020202020204" pitchFamily="34" charset="0"/>
                <a:ea typeface="+mn-ea"/>
                <a:cs typeface="Arial" panose="020B0604020202020204" pitchFamily="34" charset="0"/>
              </a:defRPr>
            </a:pPr>
            <a:endParaRPr lang="es-MX"/>
          </a:p>
        </c:txPr>
      </c:legendEntry>
      <c:layout>
        <c:manualLayout>
          <c:xMode val="edge"/>
          <c:yMode val="edge"/>
          <c:x val="0.76516622922134736"/>
          <c:y val="4.1634139994795732E-2"/>
          <c:w val="0.21129265091863517"/>
          <c:h val="0.27027010967891307"/>
        </c:manualLayout>
      </c:layout>
      <c:overlay val="0"/>
      <c:spPr>
        <a:noFill/>
        <a:ln>
          <a:noFill/>
        </a:ln>
        <a:effectLst/>
      </c:spPr>
      <c:txPr>
        <a:bodyPr rot="0" spcFirstLastPara="1" vertOverflow="ellipsis" vert="horz" wrap="square" anchor="ctr" anchorCtr="1"/>
        <a:lstStyle/>
        <a:p>
          <a:pPr>
            <a:defRPr sz="1200" b="0" i="0" u="none" strike="noStrike" kern="1200" baseline="0">
              <a:ln>
                <a:solidFill>
                  <a:srgbClr val="1569C8"/>
                </a:solidFill>
              </a:ln>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Arial" panose="020B0604020202020204" pitchFamily="34" charset="0"/>
          <a:cs typeface="Arial" panose="020B0604020202020204" pitchFamily="34" charset="0"/>
        </a:defRPr>
      </a:pPr>
      <a:endParaRPr lang="es-MX"/>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965371417180447E-2"/>
          <c:y val="2.9812252514678447E-2"/>
          <c:w val="0.70297005595819506"/>
          <c:h val="0.8905682490555733"/>
        </c:manualLayout>
      </c:layout>
      <c:lineChart>
        <c:grouping val="standard"/>
        <c:varyColors val="0"/>
        <c:ser>
          <c:idx val="0"/>
          <c:order val="0"/>
          <c:tx>
            <c:strRef>
              <c:f>'CAASPP Math - COMMUNICAT CLAIM '!$M$43</c:f>
              <c:strCache>
                <c:ptCount val="1"/>
                <c:pt idx="0">
                  <c:v>All Students</c:v>
                </c:pt>
              </c:strCache>
            </c:strRef>
          </c:tx>
          <c:spPr>
            <a:ln w="28575" cap="rnd">
              <a:solidFill>
                <a:srgbClr val="4472C4"/>
              </a:solidFill>
              <a:round/>
            </a:ln>
            <a:effectLst/>
          </c:spPr>
          <c:marker>
            <c:symbol val="square"/>
            <c:size val="8"/>
            <c:spPr>
              <a:solidFill>
                <a:srgbClr val="4472C4"/>
              </a:solidFill>
              <a:ln w="9525">
                <a:solidFill>
                  <a:srgbClr val="4472C4"/>
                </a:solidFill>
              </a:ln>
              <a:effectLst/>
            </c:spPr>
          </c:marker>
          <c:dLbls>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'CAASPP Math - COMMUNICAT CLAIM '!$N$42:$Q$42</c:f>
              <c:strCache>
                <c:ptCount val="4"/>
                <c:pt idx="0">
                  <c:v>2017–18</c:v>
                </c:pt>
                <c:pt idx="1">
                  <c:v>2018–19</c:v>
                </c:pt>
                <c:pt idx="2">
                  <c:v>2021–22</c:v>
                </c:pt>
                <c:pt idx="3">
                  <c:v>2022–23</c:v>
                </c:pt>
              </c:strCache>
            </c:strRef>
          </c:cat>
          <c:val>
            <c:numRef>
              <c:f>'CAASPP Math - COMMUNICAT CLAIM '!$N$43:$Q$43</c:f>
              <c:numCache>
                <c:formatCode>0.0%</c:formatCode>
                <c:ptCount val="4"/>
                <c:pt idx="0">
                  <c:v>0.2117033647008654</c:v>
                </c:pt>
                <c:pt idx="1">
                  <c:v>0.21488273429487301</c:v>
                </c:pt>
                <c:pt idx="2">
                  <c:v>0.14766737256969237</c:v>
                </c:pt>
                <c:pt idx="3">
                  <c:v>0.1543610762097529</c:v>
                </c:pt>
              </c:numCache>
            </c:numRef>
          </c:val>
          <c:smooth val="0"/>
          <c:extLst>
            <c:ext xmlns:c16="http://schemas.microsoft.com/office/drawing/2014/chart" uri="{C3380CC4-5D6E-409C-BE32-E72D297353CC}">
              <c16:uniqueId val="{00000000-0D86-4894-909A-A53D6619B729}"/>
            </c:ext>
          </c:extLst>
        </c:ser>
        <c:ser>
          <c:idx val="1"/>
          <c:order val="1"/>
          <c:tx>
            <c:strRef>
              <c:f>'CAASPP Math - COMMUNICAT CLAIM '!$M$44</c:f>
              <c:strCache>
                <c:ptCount val="1"/>
                <c:pt idx="0">
                  <c:v>Migratory Students</c:v>
                </c:pt>
              </c:strCache>
            </c:strRef>
          </c:tx>
          <c:spPr>
            <a:ln w="28575" cap="rnd">
              <a:solidFill>
                <a:schemeClr val="tx1"/>
              </a:solidFill>
              <a:round/>
            </a:ln>
            <a:effectLst/>
          </c:spPr>
          <c:marker>
            <c:symbol val="circle"/>
            <c:size val="8"/>
            <c:spPr>
              <a:solidFill>
                <a:schemeClr val="tx1"/>
              </a:solidFill>
              <a:ln w="9525">
                <a:solidFill>
                  <a:schemeClr val="tx1"/>
                </a:solidFill>
              </a:ln>
              <a:effectLst/>
            </c:spPr>
          </c:marker>
          <c:dLbls>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'CAASPP Math - COMMUNICAT CLAIM '!$N$42:$Q$42</c:f>
              <c:strCache>
                <c:ptCount val="4"/>
                <c:pt idx="0">
                  <c:v>2017–18</c:v>
                </c:pt>
                <c:pt idx="1">
                  <c:v>2018–19</c:v>
                </c:pt>
                <c:pt idx="2">
                  <c:v>2021–22</c:v>
                </c:pt>
                <c:pt idx="3">
                  <c:v>2022–23</c:v>
                </c:pt>
              </c:strCache>
            </c:strRef>
          </c:cat>
          <c:val>
            <c:numRef>
              <c:f>'CAASPP Math - COMMUNICAT CLAIM '!$N$44:$Q$44</c:f>
              <c:numCache>
                <c:formatCode>0.0%</c:formatCode>
                <c:ptCount val="4"/>
                <c:pt idx="0">
                  <c:v>7.7287066246056788E-2</c:v>
                </c:pt>
                <c:pt idx="1">
                  <c:v>8.2214069229542192E-2</c:v>
                </c:pt>
                <c:pt idx="2">
                  <c:v>3.9076015060547468E-2</c:v>
                </c:pt>
                <c:pt idx="3">
                  <c:v>4.3998103238043623E-2</c:v>
                </c:pt>
              </c:numCache>
            </c:numRef>
          </c:val>
          <c:smooth val="0"/>
          <c:extLst>
            <c:ext xmlns:c16="http://schemas.microsoft.com/office/drawing/2014/chart" uri="{C3380CC4-5D6E-409C-BE32-E72D297353CC}">
              <c16:uniqueId val="{00000001-0D86-4894-909A-A53D6619B729}"/>
            </c:ext>
          </c:extLst>
        </c:ser>
        <c:ser>
          <c:idx val="2"/>
          <c:order val="2"/>
          <c:tx>
            <c:strRef>
              <c:f>'CAASPP Math - COMMUNICAT CLAIM '!$M$45</c:f>
              <c:strCache>
                <c:ptCount val="1"/>
                <c:pt idx="0">
                  <c:v>Migratory PFS Students</c:v>
                </c:pt>
              </c:strCache>
            </c:strRef>
          </c:tx>
          <c:spPr>
            <a:ln w="28575" cap="rnd">
              <a:solidFill>
                <a:srgbClr val="3C8235"/>
              </a:solidFill>
              <a:round/>
            </a:ln>
            <a:effectLst/>
          </c:spPr>
          <c:marker>
            <c:symbol val="triangle"/>
            <c:size val="8"/>
            <c:spPr>
              <a:solidFill>
                <a:srgbClr val="3C8235"/>
              </a:solidFill>
              <a:ln w="9525">
                <a:solidFill>
                  <a:srgbClr val="3C8235"/>
                </a:solidFill>
              </a:ln>
              <a:effectLst/>
            </c:spPr>
          </c:marker>
          <c:dLbls>
            <c:dLbl>
              <c:idx val="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D86-4894-909A-A53D6619B729}"/>
                </c:ext>
              </c:extLst>
            </c:dLbl>
            <c:dLbl>
              <c:idx val="3"/>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86-4894-909A-A53D6619B729}"/>
                </c:ext>
              </c:extLst>
            </c:dLbl>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'CAASPP Math - COMMUNICAT CLAIM '!$N$42:$Q$42</c:f>
              <c:strCache>
                <c:ptCount val="4"/>
                <c:pt idx="0">
                  <c:v>2017–18</c:v>
                </c:pt>
                <c:pt idx="1">
                  <c:v>2018–19</c:v>
                </c:pt>
                <c:pt idx="2">
                  <c:v>2021–22</c:v>
                </c:pt>
                <c:pt idx="3">
                  <c:v>2022–23</c:v>
                </c:pt>
              </c:strCache>
            </c:strRef>
          </c:cat>
          <c:val>
            <c:numRef>
              <c:f>'CAASPP Math - COMMUNICAT CLAIM '!$N$45:$Q$45</c:f>
              <c:numCache>
                <c:formatCode>0.0%</c:formatCode>
                <c:ptCount val="4"/>
                <c:pt idx="0">
                  <c:v>0.02</c:v>
                </c:pt>
                <c:pt idx="1">
                  <c:v>0.02</c:v>
                </c:pt>
                <c:pt idx="2">
                  <c:v>2.1280379371665679E-2</c:v>
                </c:pt>
                <c:pt idx="3">
                  <c:v>1.9233957884264633E-2</c:v>
                </c:pt>
              </c:numCache>
            </c:numRef>
          </c:val>
          <c:smooth val="0"/>
          <c:extLst>
            <c:ext xmlns:c16="http://schemas.microsoft.com/office/drawing/2014/chart" uri="{C3380CC4-5D6E-409C-BE32-E72D297353CC}">
              <c16:uniqueId val="{00000004-0D86-4894-909A-A53D6619B729}"/>
            </c:ext>
          </c:extLst>
        </c:ser>
        <c:dLbls>
          <c:dLblPos val="t"/>
          <c:showLegendKey val="0"/>
          <c:showVal val="1"/>
          <c:showCatName val="0"/>
          <c:showSerName val="0"/>
          <c:showPercent val="0"/>
          <c:showBubbleSize val="0"/>
        </c:dLbls>
        <c:marker val="1"/>
        <c:smooth val="0"/>
        <c:axId val="1595511264"/>
        <c:axId val="1595758048"/>
      </c:lineChart>
      <c:catAx>
        <c:axId val="159551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crossAx val="1595758048"/>
        <c:crosses val="autoZero"/>
        <c:auto val="1"/>
        <c:lblAlgn val="ctr"/>
        <c:lblOffset val="100"/>
        <c:noMultiLvlLbl val="0"/>
      </c:catAx>
      <c:valAx>
        <c:axId val="1595758048"/>
        <c:scaling>
          <c:orientation val="minMax"/>
          <c:max val="0.300000000000000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crossAx val="1595511264"/>
        <c:crosses val="autoZero"/>
        <c:crossBetween val="between"/>
        <c:majorUnit val="0.15000000000000002"/>
      </c:valAx>
      <c:spPr>
        <a:noFill/>
        <a:ln>
          <a:noFill/>
        </a:ln>
        <a:effectLst/>
      </c:spPr>
    </c:plotArea>
    <c:legend>
      <c:legendPos val="r"/>
      <c:layout>
        <c:manualLayout>
          <c:xMode val="edge"/>
          <c:yMode val="edge"/>
          <c:x val="0.77488542297597418"/>
          <c:y val="0.24531359519366444"/>
          <c:w val="0.21788125042062054"/>
          <c:h val="0.52253743571070943"/>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ysClr val="windowText" lastClr="000000"/>
      </a:solidFill>
      <a:round/>
    </a:ln>
    <a:effectLst/>
  </c:spPr>
  <c:txPr>
    <a:bodyPr/>
    <a:lstStyle/>
    <a:p>
      <a:pPr>
        <a:defRPr sz="1200">
          <a:solidFill>
            <a:srgbClr val="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866271541479959E-2"/>
          <c:y val="2.6607299087614049E-2"/>
          <c:w val="0.7008666975572011"/>
          <c:h val="0.88391513560804902"/>
        </c:manualLayout>
      </c:layout>
      <c:lineChart>
        <c:grouping val="standard"/>
        <c:varyColors val="0"/>
        <c:ser>
          <c:idx val="0"/>
          <c:order val="0"/>
          <c:tx>
            <c:strRef>
              <c:f>'ELPAC OVERALL'!$O$70</c:f>
              <c:strCache>
                <c:ptCount val="1"/>
                <c:pt idx="0">
                  <c:v>All Students</c:v>
                </c:pt>
              </c:strCache>
            </c:strRef>
          </c:tx>
          <c:spPr>
            <a:ln w="28575" cap="rnd">
              <a:solidFill>
                <a:schemeClr val="accent1"/>
              </a:solidFill>
              <a:round/>
            </a:ln>
            <a:effectLst/>
          </c:spPr>
          <c:marker>
            <c:symbol val="square"/>
            <c:size val="8"/>
            <c:spPr>
              <a:solidFill>
                <a:schemeClr val="accent1"/>
              </a:solidFill>
              <a:ln w="9525">
                <a:solidFill>
                  <a:schemeClr val="accent1"/>
                </a:solidFill>
              </a:ln>
              <a:effectLst/>
            </c:spPr>
          </c:marker>
          <c:dPt>
            <c:idx val="0"/>
            <c:marker>
              <c:symbol val="square"/>
              <c:size val="8"/>
              <c:spPr>
                <a:solidFill>
                  <a:schemeClr val="accent1"/>
                </a:solidFill>
                <a:ln w="9525">
                  <a:solidFill>
                    <a:schemeClr val="accent1"/>
                  </a:solidFill>
                </a:ln>
                <a:effectLst/>
              </c:spPr>
            </c:marker>
            <c:bubble3D val="0"/>
            <c:extLst>
              <c:ext xmlns:c16="http://schemas.microsoft.com/office/drawing/2014/chart" uri="{C3380CC4-5D6E-409C-BE32-E72D297353CC}">
                <c16:uniqueId val="{00000000-D844-43F0-87AE-FA7A6E7F9503}"/>
              </c:ext>
            </c:extLst>
          </c:dPt>
          <c:dLbls>
            <c:dLbl>
              <c:idx val="1"/>
              <c:layout>
                <c:manualLayout>
                  <c:x val="-9.9827926135800816E-3"/>
                  <c:y val="-3.93130448316378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44-43F0-87AE-FA7A6E7F9503}"/>
                </c:ext>
              </c:extLst>
            </c:dLbl>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'ELPAC OVERALL'!$P$69:$T$69</c:f>
              <c:strCache>
                <c:ptCount val="5"/>
                <c:pt idx="0">
                  <c:v>2017–18</c:v>
                </c:pt>
                <c:pt idx="1">
                  <c:v>2018–19</c:v>
                </c:pt>
                <c:pt idx="2">
                  <c:v>2020–21</c:v>
                </c:pt>
                <c:pt idx="3">
                  <c:v>2021–22</c:v>
                </c:pt>
                <c:pt idx="4">
                  <c:v>2022–23</c:v>
                </c:pt>
              </c:strCache>
            </c:strRef>
          </c:cat>
          <c:val>
            <c:numRef>
              <c:f>'ELPAC OVERALL'!$P$70:$T$70</c:f>
              <c:numCache>
                <c:formatCode>0.0%</c:formatCode>
                <c:ptCount val="5"/>
                <c:pt idx="0">
                  <c:v>0.30559777157798385</c:v>
                </c:pt>
                <c:pt idx="1">
                  <c:v>0.16396723499742513</c:v>
                </c:pt>
                <c:pt idx="2">
                  <c:v>0.13976289442148801</c:v>
                </c:pt>
                <c:pt idx="3">
                  <c:v>0.15570354000378142</c:v>
                </c:pt>
                <c:pt idx="4">
                  <c:v>0.16498426023084994</c:v>
                </c:pt>
              </c:numCache>
            </c:numRef>
          </c:val>
          <c:smooth val="0"/>
          <c:extLst>
            <c:ext xmlns:c16="http://schemas.microsoft.com/office/drawing/2014/chart" uri="{C3380CC4-5D6E-409C-BE32-E72D297353CC}">
              <c16:uniqueId val="{00000002-D844-43F0-87AE-FA7A6E7F9503}"/>
            </c:ext>
          </c:extLst>
        </c:ser>
        <c:ser>
          <c:idx val="1"/>
          <c:order val="1"/>
          <c:tx>
            <c:strRef>
              <c:f>'ELPAC OVERALL'!$O$71</c:f>
              <c:strCache>
                <c:ptCount val="1"/>
                <c:pt idx="0">
                  <c:v>Migratory Students</c:v>
                </c:pt>
              </c:strCache>
            </c:strRef>
          </c:tx>
          <c:spPr>
            <a:ln w="28575" cap="rnd">
              <a:solidFill>
                <a:schemeClr val="tx1"/>
              </a:solidFill>
              <a:round/>
            </a:ln>
            <a:effectLst/>
          </c:spPr>
          <c:marker>
            <c:symbol val="circle"/>
            <c:size val="8"/>
            <c:spPr>
              <a:solidFill>
                <a:schemeClr val="tx1"/>
              </a:solidFill>
              <a:ln w="9525">
                <a:solidFill>
                  <a:schemeClr val="tx1"/>
                </a:solidFill>
              </a:ln>
              <a:effectLst/>
            </c:spPr>
          </c:marker>
          <c:dLbls>
            <c:dLbl>
              <c:idx val="1"/>
              <c:layout>
                <c:manualLayout>
                  <c:x val="-4.7158119658119696E-2"/>
                  <c:y val="-5.91369828771403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44-43F0-87AE-FA7A6E7F9503}"/>
                </c:ext>
              </c:extLst>
            </c:dLbl>
            <c:dLbl>
              <c:idx val="3"/>
              <c:dLblPos val="t"/>
              <c:showLegendKey val="0"/>
              <c:showVal val="1"/>
              <c:showCatName val="0"/>
              <c:showSerName val="0"/>
              <c:showPercent val="0"/>
              <c:showBubbleSize val="0"/>
              <c:extLst>
                <c:ext xmlns:c15="http://schemas.microsoft.com/office/drawing/2012/chart" uri="{CE6537A1-D6FC-4f65-9D91-7224C49458BB}">
                  <c15:layout>
                    <c:manualLayout>
                      <c:w val="0.11931724880543776"/>
                      <c:h val="5.7691226096737908E-2"/>
                    </c:manualLayout>
                  </c15:layout>
                </c:ext>
                <c:ext xmlns:c16="http://schemas.microsoft.com/office/drawing/2014/chart" uri="{C3380CC4-5D6E-409C-BE32-E72D297353CC}">
                  <c16:uniqueId val="{00000004-D844-43F0-87AE-FA7A6E7F9503}"/>
                </c:ext>
              </c:extLst>
            </c:dLbl>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'ELPAC OVERALL'!$P$69:$T$69</c:f>
              <c:strCache>
                <c:ptCount val="5"/>
                <c:pt idx="0">
                  <c:v>2017–18</c:v>
                </c:pt>
                <c:pt idx="1">
                  <c:v>2018–19</c:v>
                </c:pt>
                <c:pt idx="2">
                  <c:v>2020–21</c:v>
                </c:pt>
                <c:pt idx="3">
                  <c:v>2021–22</c:v>
                </c:pt>
                <c:pt idx="4">
                  <c:v>2022–23</c:v>
                </c:pt>
              </c:strCache>
            </c:strRef>
          </c:cat>
          <c:val>
            <c:numRef>
              <c:f>'ELPAC OVERALL'!$P$71:$T$71</c:f>
              <c:numCache>
                <c:formatCode>0.0%</c:formatCode>
                <c:ptCount val="5"/>
                <c:pt idx="0">
                  <c:v>0.21603357706623025</c:v>
                </c:pt>
                <c:pt idx="1">
                  <c:v>0.11455356122099006</c:v>
                </c:pt>
                <c:pt idx="2">
                  <c:v>8.3534185556945417E-2</c:v>
                </c:pt>
                <c:pt idx="3">
                  <c:v>0.10477335853162673</c:v>
                </c:pt>
                <c:pt idx="4">
                  <c:v>0.11791266575217192</c:v>
                </c:pt>
              </c:numCache>
            </c:numRef>
          </c:val>
          <c:smooth val="0"/>
          <c:extLst>
            <c:ext xmlns:c16="http://schemas.microsoft.com/office/drawing/2014/chart" uri="{C3380CC4-5D6E-409C-BE32-E72D297353CC}">
              <c16:uniqueId val="{00000005-D844-43F0-87AE-FA7A6E7F9503}"/>
            </c:ext>
          </c:extLst>
        </c:ser>
        <c:ser>
          <c:idx val="2"/>
          <c:order val="2"/>
          <c:tx>
            <c:strRef>
              <c:f>'ELPAC OVERALL'!$O$72</c:f>
              <c:strCache>
                <c:ptCount val="1"/>
                <c:pt idx="0">
                  <c:v>Migratory PFS Students</c:v>
                </c:pt>
              </c:strCache>
            </c:strRef>
          </c:tx>
          <c:spPr>
            <a:ln w="28575" cap="rnd">
              <a:solidFill>
                <a:srgbClr val="3C8235"/>
              </a:solidFill>
              <a:round/>
            </a:ln>
            <a:effectLst/>
          </c:spPr>
          <c:marker>
            <c:symbol val="triangle"/>
            <c:size val="8"/>
            <c:spPr>
              <a:solidFill>
                <a:srgbClr val="3C8235"/>
              </a:solidFill>
              <a:ln w="9525">
                <a:solidFill>
                  <a:srgbClr val="3C8235"/>
                </a:solidFill>
              </a:ln>
              <a:effectLst/>
            </c:spPr>
          </c:marker>
          <c:dLbls>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'ELPAC OVERALL'!$P$69:$T$69</c:f>
              <c:strCache>
                <c:ptCount val="5"/>
                <c:pt idx="0">
                  <c:v>2017–18</c:v>
                </c:pt>
                <c:pt idx="1">
                  <c:v>2018–19</c:v>
                </c:pt>
                <c:pt idx="2">
                  <c:v>2020–21</c:v>
                </c:pt>
                <c:pt idx="3">
                  <c:v>2021–22</c:v>
                </c:pt>
                <c:pt idx="4">
                  <c:v>2022–23</c:v>
                </c:pt>
              </c:strCache>
            </c:strRef>
          </c:cat>
          <c:val>
            <c:numRef>
              <c:f>'ELPAC OVERALL'!$P$72:$T$72</c:f>
              <c:numCache>
                <c:formatCode>0.0%</c:formatCode>
                <c:ptCount val="5"/>
                <c:pt idx="0">
                  <c:v>0.08</c:v>
                </c:pt>
                <c:pt idx="1">
                  <c:v>0.05</c:v>
                </c:pt>
                <c:pt idx="2">
                  <c:v>0.08</c:v>
                </c:pt>
                <c:pt idx="3">
                  <c:v>0.09</c:v>
                </c:pt>
                <c:pt idx="4">
                  <c:v>9.8155787430235383E-2</c:v>
                </c:pt>
              </c:numCache>
            </c:numRef>
          </c:val>
          <c:smooth val="0"/>
          <c:extLst>
            <c:ext xmlns:c16="http://schemas.microsoft.com/office/drawing/2014/chart" uri="{C3380CC4-5D6E-409C-BE32-E72D297353CC}">
              <c16:uniqueId val="{00000006-D844-43F0-87AE-FA7A6E7F9503}"/>
            </c:ext>
          </c:extLst>
        </c:ser>
        <c:dLbls>
          <c:dLblPos val="t"/>
          <c:showLegendKey val="0"/>
          <c:showVal val="1"/>
          <c:showCatName val="0"/>
          <c:showSerName val="0"/>
          <c:showPercent val="0"/>
          <c:showBubbleSize val="0"/>
        </c:dLbls>
        <c:marker val="1"/>
        <c:smooth val="0"/>
        <c:axId val="1595511264"/>
        <c:axId val="1595758048"/>
      </c:lineChart>
      <c:catAx>
        <c:axId val="159551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crossAx val="1595758048"/>
        <c:crosses val="autoZero"/>
        <c:auto val="1"/>
        <c:lblAlgn val="ctr"/>
        <c:lblOffset val="100"/>
        <c:noMultiLvlLbl val="0"/>
      </c:catAx>
      <c:valAx>
        <c:axId val="1595758048"/>
        <c:scaling>
          <c:orientation val="minMax"/>
          <c:max val="0.4"/>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crossAx val="1595511264"/>
        <c:crosses val="autoZero"/>
        <c:crossBetween val="between"/>
        <c:majorUnit val="0.2"/>
      </c:valAx>
      <c:spPr>
        <a:noFill/>
        <a:ln>
          <a:noFill/>
        </a:ln>
        <a:effectLst/>
      </c:spPr>
    </c:plotArea>
    <c:legend>
      <c:legendPos val="r"/>
      <c:layout>
        <c:manualLayout>
          <c:xMode val="edge"/>
          <c:yMode val="edge"/>
          <c:x val="0.77509206229663952"/>
          <c:y val="0.19896762904636917"/>
          <c:w val="0.21767464969863201"/>
          <c:h val="0.54343332083489559"/>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ysClr val="windowText" lastClr="000000"/>
      </a:solidFill>
      <a:round/>
    </a:ln>
    <a:effectLst/>
  </c:spPr>
  <c:txPr>
    <a:bodyPr/>
    <a:lstStyle/>
    <a:p>
      <a:pPr>
        <a:defRPr sz="1200">
          <a:solidFill>
            <a:srgbClr val="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601070019798383E-2"/>
          <c:y val="5.4096040357594216E-2"/>
          <c:w val="0.88347781293693428"/>
          <c:h val="0.82369123906661645"/>
        </c:manualLayout>
      </c:layout>
      <c:lineChart>
        <c:grouping val="standard"/>
        <c:varyColors val="0"/>
        <c:ser>
          <c:idx val="2"/>
          <c:order val="0"/>
          <c:tx>
            <c:strRef>
              <c:f>'grad rate only + viz'!$A$4</c:f>
              <c:strCache>
                <c:ptCount val="1"/>
                <c:pt idx="0">
                  <c:v>All Students</c:v>
                </c:pt>
              </c:strCache>
            </c:strRef>
          </c:tx>
          <c:spPr>
            <a:ln w="28575" cap="rnd">
              <a:solidFill>
                <a:srgbClr val="4472C4"/>
              </a:solidFill>
              <a:round/>
            </a:ln>
            <a:effectLst/>
          </c:spPr>
          <c:marker>
            <c:symbol val="square"/>
            <c:size val="10"/>
            <c:spPr>
              <a:solidFill>
                <a:srgbClr val="4472C4"/>
              </a:solidFill>
              <a:ln w="9525">
                <a:noFill/>
              </a:ln>
              <a:effectLst/>
            </c:spPr>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B0-42D1-A944-5483B117C4A3}"/>
                </c:ext>
              </c:extLst>
            </c:dLbl>
            <c:dLbl>
              <c:idx val="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B0-42D1-A944-5483B117C4A3}"/>
                </c:ext>
              </c:extLst>
            </c:dLbl>
            <c:dLbl>
              <c:idx val="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BB0-42D1-A944-5483B117C4A3}"/>
                </c:ext>
              </c:extLst>
            </c:dLbl>
            <c:dLbl>
              <c:idx val="3"/>
              <c:layout>
                <c:manualLayout>
                  <c:x val="-6.9989736859815674E-2"/>
                  <c:y val="-6.16613106532834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B0-42D1-A944-5483B117C4A3}"/>
                </c:ext>
              </c:extLst>
            </c:dLbl>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BB0-42D1-A944-5483B117C4A3}"/>
                </c:ext>
              </c:extLst>
            </c:dLbl>
            <c:dLbl>
              <c:idx val="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BB0-42D1-A944-5483B117C4A3}"/>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ext>
            </c:extLst>
          </c:dLbls>
          <c:cat>
            <c:strRef>
              <c:f>'grad rate only + viz'!$B$1:$G$1</c:f>
              <c:strCache>
                <c:ptCount val="6"/>
                <c:pt idx="0">
                  <c:v>2017–18</c:v>
                </c:pt>
                <c:pt idx="1">
                  <c:v>2018–19</c:v>
                </c:pt>
                <c:pt idx="2">
                  <c:v>2019–20</c:v>
                </c:pt>
                <c:pt idx="3">
                  <c:v>2020–21</c:v>
                </c:pt>
                <c:pt idx="4">
                  <c:v>2021–22</c:v>
                </c:pt>
                <c:pt idx="5">
                  <c:v>2022–23</c:v>
                </c:pt>
              </c:strCache>
            </c:strRef>
          </c:cat>
          <c:val>
            <c:numRef>
              <c:f>'grad rate only + viz'!$B$4:$G$4</c:f>
              <c:numCache>
                <c:formatCode>0.0%</c:formatCode>
                <c:ptCount val="6"/>
                <c:pt idx="0">
                  <c:v>0.83</c:v>
                </c:pt>
                <c:pt idx="1">
                  <c:v>0.84499999999999997</c:v>
                </c:pt>
                <c:pt idx="2">
                  <c:v>0.84199999999999997</c:v>
                </c:pt>
                <c:pt idx="3">
                  <c:v>0.83599999999999997</c:v>
                </c:pt>
                <c:pt idx="4">
                  <c:v>0.87</c:v>
                </c:pt>
                <c:pt idx="5">
                  <c:v>0.86199999999999999</c:v>
                </c:pt>
              </c:numCache>
            </c:numRef>
          </c:val>
          <c:smooth val="0"/>
          <c:extLst>
            <c:ext xmlns:c16="http://schemas.microsoft.com/office/drawing/2014/chart" uri="{C3380CC4-5D6E-409C-BE32-E72D297353CC}">
              <c16:uniqueId val="{00000006-6BB0-42D1-A944-5483B117C4A3}"/>
            </c:ext>
          </c:extLst>
        </c:ser>
        <c:ser>
          <c:idx val="0"/>
          <c:order val="1"/>
          <c:tx>
            <c:strRef>
              <c:f>'grad rate only + viz'!$A$2</c:f>
              <c:strCache>
                <c:ptCount val="1"/>
                <c:pt idx="0">
                  <c:v>Migratory Students</c:v>
                </c:pt>
              </c:strCache>
            </c:strRef>
          </c:tx>
          <c:spPr>
            <a:ln w="28575" cap="rnd">
              <a:solidFill>
                <a:schemeClr val="tx1"/>
              </a:solidFill>
              <a:round/>
            </a:ln>
            <a:effectLst/>
          </c:spPr>
          <c:marker>
            <c:symbol val="circle"/>
            <c:size val="10"/>
            <c:spPr>
              <a:solidFill>
                <a:schemeClr val="tx1"/>
              </a:solidFill>
              <a:ln w="9525">
                <a:noFill/>
              </a:ln>
              <a:effectLst/>
            </c:spPr>
          </c:marker>
          <c:dLbls>
            <c:dLbl>
              <c:idx val="0"/>
              <c:layout>
                <c:manualLayout>
                  <c:x val="-0.11899808197052292"/>
                  <c:y val="5.726111654474781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0.20380812975301163"/>
                      <c:h val="9.1625538793912928E-2"/>
                    </c:manualLayout>
                  </c15:layout>
                </c:ext>
                <c:ext xmlns:c16="http://schemas.microsoft.com/office/drawing/2014/chart" uri="{C3380CC4-5D6E-409C-BE32-E72D297353CC}">
                  <c16:uniqueId val="{00000007-6BB0-42D1-A944-5483B117C4A3}"/>
                </c:ext>
              </c:extLst>
            </c:dLbl>
            <c:dLbl>
              <c:idx val="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BB0-42D1-A944-5483B117C4A3}"/>
                </c:ext>
              </c:extLst>
            </c:dLbl>
            <c:dLbl>
              <c:idx val="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BB0-42D1-A944-5483B117C4A3}"/>
                </c:ext>
              </c:extLst>
            </c:dLbl>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BB0-42D1-A944-5483B117C4A3}"/>
                </c:ext>
              </c:extLst>
            </c:dLbl>
            <c:dLbl>
              <c:idx val="4"/>
              <c:layout>
                <c:manualLayout>
                  <c:x val="-3.5229235268745634E-2"/>
                  <c:y val="9.10540700795749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BB0-42D1-A944-5483B117C4A3}"/>
                </c:ext>
              </c:extLst>
            </c:dLbl>
            <c:dLbl>
              <c:idx val="5"/>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BB0-42D1-A944-5483B117C4A3}"/>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b"/>
            <c:showLegendKey val="0"/>
            <c:showVal val="0"/>
            <c:showCatName val="0"/>
            <c:showSerName val="0"/>
            <c:showPercent val="0"/>
            <c:showBubbleSize val="0"/>
            <c:extLst>
              <c:ext xmlns:c15="http://schemas.microsoft.com/office/drawing/2012/chart" uri="{CE6537A1-D6FC-4f65-9D91-7224C49458BB}">
                <c15:showLeaderLines val="0"/>
              </c:ext>
            </c:extLst>
          </c:dLbls>
          <c:cat>
            <c:strRef>
              <c:f>'grad rate only + viz'!$B$1:$G$1</c:f>
              <c:strCache>
                <c:ptCount val="6"/>
                <c:pt idx="0">
                  <c:v>2017–18</c:v>
                </c:pt>
                <c:pt idx="1">
                  <c:v>2018–19</c:v>
                </c:pt>
                <c:pt idx="2">
                  <c:v>2019–20</c:v>
                </c:pt>
                <c:pt idx="3">
                  <c:v>2020–21</c:v>
                </c:pt>
                <c:pt idx="4">
                  <c:v>2021–22</c:v>
                </c:pt>
                <c:pt idx="5">
                  <c:v>2022–23</c:v>
                </c:pt>
              </c:strCache>
            </c:strRef>
          </c:cat>
          <c:val>
            <c:numRef>
              <c:f>'grad rate only + viz'!$B$2:$G$2</c:f>
              <c:numCache>
                <c:formatCode>0.0%</c:formatCode>
                <c:ptCount val="6"/>
                <c:pt idx="0">
                  <c:v>0.81699999999999995</c:v>
                </c:pt>
                <c:pt idx="1">
                  <c:v>0.81599999999999995</c:v>
                </c:pt>
                <c:pt idx="2">
                  <c:v>0.81499999999999995</c:v>
                </c:pt>
                <c:pt idx="3">
                  <c:v>0.79400000000000004</c:v>
                </c:pt>
                <c:pt idx="4">
                  <c:v>0.85</c:v>
                </c:pt>
                <c:pt idx="5" formatCode="General">
                  <c:v>0.82799999999999996</c:v>
                </c:pt>
              </c:numCache>
            </c:numRef>
          </c:val>
          <c:smooth val="0"/>
          <c:extLst>
            <c:ext xmlns:c16="http://schemas.microsoft.com/office/drawing/2014/chart" uri="{C3380CC4-5D6E-409C-BE32-E72D297353CC}">
              <c16:uniqueId val="{0000000D-6BB0-42D1-A944-5483B117C4A3}"/>
            </c:ext>
          </c:extLst>
        </c:ser>
        <c:dLbls>
          <c:showLegendKey val="0"/>
          <c:showVal val="0"/>
          <c:showCatName val="0"/>
          <c:showSerName val="0"/>
          <c:showPercent val="0"/>
          <c:showBubbleSize val="0"/>
        </c:dLbls>
        <c:marker val="1"/>
        <c:smooth val="0"/>
        <c:axId val="1264918112"/>
        <c:axId val="1264919840"/>
      </c:lineChart>
      <c:catAx>
        <c:axId val="126491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64919840"/>
        <c:crosses val="autoZero"/>
        <c:auto val="1"/>
        <c:lblAlgn val="ctr"/>
        <c:lblOffset val="100"/>
        <c:noMultiLvlLbl val="0"/>
      </c:catAx>
      <c:valAx>
        <c:axId val="1264919840"/>
        <c:scaling>
          <c:orientation val="minMax"/>
          <c:max val="0.9"/>
          <c:min val="0.7500000000000001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64918112"/>
        <c:crosses val="autoZero"/>
        <c:crossBetween val="between"/>
        <c:majorUnit val="0.15000000000000002"/>
      </c:valAx>
    </c:plotArea>
    <c:legend>
      <c:legendPos val="r"/>
      <c:layout>
        <c:manualLayout>
          <c:xMode val="edge"/>
          <c:yMode val="edge"/>
          <c:x val="0.76108110990316336"/>
          <c:y val="0.56085419186749785"/>
          <c:w val="0.22010847831174332"/>
          <c:h val="0.2118506299643506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ln w="3175">
      <a:solidFill>
        <a:sysClr val="windowText" lastClr="000000"/>
      </a:solidFill>
    </a:ln>
  </c:spPr>
  <c:txPr>
    <a:bodyPr/>
    <a:lstStyle/>
    <a:p>
      <a:pPr>
        <a:defRPr sz="1200">
          <a:solidFill>
            <a:schemeClr val="tx1"/>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601070019798383E-2"/>
          <c:y val="5.4096040357594216E-2"/>
          <c:w val="0.88347781293693428"/>
          <c:h val="0.82369123906661645"/>
        </c:manualLayout>
      </c:layout>
      <c:lineChart>
        <c:grouping val="standard"/>
        <c:varyColors val="0"/>
        <c:ser>
          <c:idx val="2"/>
          <c:order val="0"/>
          <c:tx>
            <c:strRef>
              <c:f>'dropout rate only + viz'!$A$2</c:f>
              <c:strCache>
                <c:ptCount val="1"/>
                <c:pt idx="0">
                  <c:v>Migratory Students</c:v>
                </c:pt>
              </c:strCache>
            </c:strRef>
          </c:tx>
          <c:spPr>
            <a:ln w="28575" cap="rnd">
              <a:solidFill>
                <a:srgbClr val="000000"/>
              </a:solidFill>
              <a:round/>
            </a:ln>
            <a:effectLst/>
          </c:spPr>
          <c:marker>
            <c:symbol val="circle"/>
            <c:size val="10"/>
            <c:spPr>
              <a:solidFill>
                <a:srgbClr val="000000"/>
              </a:solidFill>
              <a:ln w="9525">
                <a:noFill/>
              </a:ln>
              <a:effectLst/>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'dropout rate only + viz'!$B$1:$G$1</c:f>
              <c:strCache>
                <c:ptCount val="6"/>
                <c:pt idx="0">
                  <c:v>2017–18</c:v>
                </c:pt>
                <c:pt idx="1">
                  <c:v>2018–19</c:v>
                </c:pt>
                <c:pt idx="2">
                  <c:v>2019–20</c:v>
                </c:pt>
                <c:pt idx="3">
                  <c:v>2020–21</c:v>
                </c:pt>
                <c:pt idx="4">
                  <c:v>2021–22</c:v>
                </c:pt>
                <c:pt idx="5">
                  <c:v>2022–23</c:v>
                </c:pt>
              </c:strCache>
            </c:strRef>
          </c:cat>
          <c:val>
            <c:numRef>
              <c:f>'dropout rate only + viz'!$B$2:$G$2</c:f>
              <c:numCache>
                <c:formatCode>0.0%</c:formatCode>
                <c:ptCount val="6"/>
                <c:pt idx="0">
                  <c:v>0.105</c:v>
                </c:pt>
                <c:pt idx="1">
                  <c:v>0.112</c:v>
                </c:pt>
                <c:pt idx="2">
                  <c:v>0.111</c:v>
                </c:pt>
                <c:pt idx="3">
                  <c:v>0.107</c:v>
                </c:pt>
                <c:pt idx="4">
                  <c:v>9.4E-2</c:v>
                </c:pt>
                <c:pt idx="5">
                  <c:v>0.10100000000000001</c:v>
                </c:pt>
              </c:numCache>
            </c:numRef>
          </c:val>
          <c:smooth val="0"/>
          <c:extLst>
            <c:ext xmlns:c16="http://schemas.microsoft.com/office/drawing/2014/chart" uri="{C3380CC4-5D6E-409C-BE32-E72D297353CC}">
              <c16:uniqueId val="{00000000-7D76-4A6A-8155-4DF80B42D59F}"/>
            </c:ext>
          </c:extLst>
        </c:ser>
        <c:ser>
          <c:idx val="0"/>
          <c:order val="1"/>
          <c:tx>
            <c:strRef>
              <c:f>'dropout rate only + viz'!$A$4</c:f>
              <c:strCache>
                <c:ptCount val="1"/>
                <c:pt idx="0">
                  <c:v>All Students</c:v>
                </c:pt>
              </c:strCache>
            </c:strRef>
          </c:tx>
          <c:spPr>
            <a:ln w="28575" cap="rnd">
              <a:solidFill>
                <a:srgbClr val="4472C4"/>
              </a:solidFill>
              <a:round/>
            </a:ln>
            <a:effectLst/>
          </c:spPr>
          <c:marker>
            <c:symbol val="square"/>
            <c:size val="10"/>
            <c:spPr>
              <a:solidFill>
                <a:srgbClr val="4472C4"/>
              </a:solidFill>
              <a:ln w="9525">
                <a:noFill/>
              </a:ln>
              <a:effectLst/>
            </c:spPr>
          </c:marker>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'dropout rate only + viz'!$B$1:$G$1</c:f>
              <c:strCache>
                <c:ptCount val="6"/>
                <c:pt idx="0">
                  <c:v>2017–18</c:v>
                </c:pt>
                <c:pt idx="1">
                  <c:v>2018–19</c:v>
                </c:pt>
                <c:pt idx="2">
                  <c:v>2019–20</c:v>
                </c:pt>
                <c:pt idx="3">
                  <c:v>2020–21</c:v>
                </c:pt>
                <c:pt idx="4">
                  <c:v>2021–22</c:v>
                </c:pt>
                <c:pt idx="5">
                  <c:v>2022–23</c:v>
                </c:pt>
              </c:strCache>
            </c:strRef>
          </c:cat>
          <c:val>
            <c:numRef>
              <c:f>'dropout rate only + viz'!$B$4:$G$4</c:f>
              <c:numCache>
                <c:formatCode>0.0%</c:formatCode>
                <c:ptCount val="6"/>
                <c:pt idx="0">
                  <c:v>9.6000000000000002E-2</c:v>
                </c:pt>
                <c:pt idx="1">
                  <c:v>0.09</c:v>
                </c:pt>
                <c:pt idx="2">
                  <c:v>8.8999999999999996E-2</c:v>
                </c:pt>
                <c:pt idx="3">
                  <c:v>9.4E-2</c:v>
                </c:pt>
                <c:pt idx="4">
                  <c:v>7.8E-2</c:v>
                </c:pt>
                <c:pt idx="5">
                  <c:v>8.2000000000000003E-2</c:v>
                </c:pt>
              </c:numCache>
            </c:numRef>
          </c:val>
          <c:smooth val="0"/>
          <c:extLst>
            <c:ext xmlns:c16="http://schemas.microsoft.com/office/drawing/2014/chart" uri="{C3380CC4-5D6E-409C-BE32-E72D297353CC}">
              <c16:uniqueId val="{00000001-7D76-4A6A-8155-4DF80B42D59F}"/>
            </c:ext>
          </c:extLst>
        </c:ser>
        <c:dLbls>
          <c:dLblPos val="t"/>
          <c:showLegendKey val="0"/>
          <c:showVal val="1"/>
          <c:showCatName val="0"/>
          <c:showSerName val="0"/>
          <c:showPercent val="0"/>
          <c:showBubbleSize val="0"/>
        </c:dLbls>
        <c:marker val="1"/>
        <c:smooth val="0"/>
        <c:axId val="1264918112"/>
        <c:axId val="1264919840"/>
      </c:lineChart>
      <c:catAx>
        <c:axId val="126491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64919840"/>
        <c:crosses val="autoZero"/>
        <c:auto val="1"/>
        <c:lblAlgn val="ctr"/>
        <c:lblOffset val="100"/>
        <c:noMultiLvlLbl val="0"/>
      </c:catAx>
      <c:valAx>
        <c:axId val="1264919840"/>
        <c:scaling>
          <c:orientation val="minMax"/>
          <c:max val="0.15"/>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64918112"/>
        <c:crosses val="autoZero"/>
        <c:crossBetween val="between"/>
        <c:majorUnit val="0.15000000000000002"/>
      </c:valAx>
    </c:plotArea>
    <c:legend>
      <c:legendPos val="r"/>
      <c:layout>
        <c:manualLayout>
          <c:xMode val="edge"/>
          <c:yMode val="edge"/>
          <c:x val="0.76108110990316336"/>
          <c:y val="0.56085419186749785"/>
          <c:w val="0.22010847831174332"/>
          <c:h val="0.2674723614093692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ln w="3175">
      <a:solidFill>
        <a:sysClr val="windowText" lastClr="000000"/>
      </a:solidFill>
    </a:ln>
  </c:spPr>
  <c:txPr>
    <a:bodyPr/>
    <a:lstStyle/>
    <a:p>
      <a:pPr>
        <a:defRPr sz="1200">
          <a:solidFill>
            <a:schemeClr val="tx1"/>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772881212429091"/>
          <c:y val="6.4188363754301869E-2"/>
          <c:w val="0.84270129540259076"/>
          <c:h val="0.81448314384042952"/>
        </c:manualLayout>
      </c:layout>
      <c:lineChart>
        <c:grouping val="standard"/>
        <c:varyColors val="0"/>
        <c:ser>
          <c:idx val="0"/>
          <c:order val="0"/>
          <c:tx>
            <c:strRef>
              <c:f>'OSY educ needs vs services'!$Q$2</c:f>
              <c:strCache>
                <c:ptCount val="1"/>
                <c:pt idx="0">
                  <c:v>English literacy 
(ELA, ESL, ELD)</c:v>
                </c:pt>
              </c:strCache>
            </c:strRef>
          </c:tx>
          <c:spPr>
            <a:ln w="28575" cap="rnd">
              <a:solidFill>
                <a:schemeClr val="tx1"/>
              </a:solidFill>
              <a:round/>
            </a:ln>
            <a:effectLst/>
          </c:spPr>
          <c:marker>
            <c:symbol val="circle"/>
            <c:size val="8"/>
            <c:spPr>
              <a:solidFill>
                <a:schemeClr val="tx1"/>
              </a:solidFill>
              <a:ln w="9525">
                <a:noFill/>
              </a:ln>
              <a:effectLst/>
            </c:spPr>
          </c:marker>
          <c:dLbls>
            <c:dLbl>
              <c:idx val="0"/>
              <c:layout>
                <c:manualLayout>
                  <c:x val="-0.40890992960557349"/>
                  <c:y val="-3.4884797343622015E-2"/>
                </c:manualLayout>
              </c:layout>
              <c:tx>
                <c:rich>
                  <a:bodyPr/>
                  <a:lstStyle/>
                  <a:p>
                    <a:fld id="{DBE9E241-6779-7240-B7BF-347236D6F7F0}" type="SERIESNAME">
                      <a:rPr lang="en-US"/>
                      <a:pPr/>
                      <a:t>[SERIES NAME]</a:t>
                    </a:fld>
                    <a:r>
                      <a:rPr lang="en-US" baseline="0"/>
                      <a:t>,</a:t>
                    </a:r>
                    <a:endParaRPr lang="en-US" sz="1200" b="0" i="0" u="none" strike="noStrike" kern="1200" baseline="0">
                      <a:solidFill>
                        <a:sysClr val="windowText" lastClr="000000">
                          <a:lumMod val="75000"/>
                          <a:lumOff val="25000"/>
                        </a:sysClr>
                      </a:solidFill>
                      <a:latin typeface="Arial" panose="020B0604020202020204" pitchFamily="34" charset="0"/>
                      <a:ea typeface="+mn-ea"/>
                      <a:cs typeface="Arial" panose="020B0604020202020204" pitchFamily="34" charset="0"/>
                    </a:endParaRPr>
                  </a:p>
                  <a:p>
                    <a:fld id="{1910C099-0FCC-9D44-A12E-EEB2A9F0DFE1}" type="VALUE">
                      <a:rPr lang="en-US" baseline="0"/>
                      <a:pPr/>
                      <a:t>[VALUE]</a:t>
                    </a:fld>
                    <a:endParaRPr lang="en-US"/>
                  </a:p>
                </c:rich>
              </c:tx>
              <c:dLblPos val="r"/>
              <c:showLegendKey val="0"/>
              <c:showVal val="1"/>
              <c:showCatName val="0"/>
              <c:showSerName val="1"/>
              <c:showPercent val="0"/>
              <c:showBubbleSize val="0"/>
              <c:extLst>
                <c:ext xmlns:c15="http://schemas.microsoft.com/office/drawing/2012/chart" uri="{CE6537A1-D6FC-4f65-9D91-7224C49458BB}">
                  <c15:layout>
                    <c:manualLayout>
                      <c:w val="0.4393791733480123"/>
                      <c:h val="0.14658949210296079"/>
                    </c:manualLayout>
                  </c15:layout>
                  <c15:dlblFieldTable/>
                  <c15:showDataLabelsRange val="0"/>
                </c:ext>
                <c:ext xmlns:c16="http://schemas.microsoft.com/office/drawing/2014/chart" uri="{C3380CC4-5D6E-409C-BE32-E72D297353CC}">
                  <c16:uniqueId val="{00000000-15F4-4FFE-B882-FC3BE38774FE}"/>
                </c:ext>
              </c:extLst>
            </c:dLbl>
            <c:dLbl>
              <c:idx val="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F4-4FFE-B882-FC3BE38774FE}"/>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'OSY educ needs vs services'!$R$1:$T$1</c:f>
              <c:strCache>
                <c:ptCount val="3"/>
                <c:pt idx="0">
                  <c:v>2020–21
(N=1,724)</c:v>
                </c:pt>
                <c:pt idx="1">
                  <c:v>2021–22
(N=3,086)</c:v>
                </c:pt>
                <c:pt idx="2">
                  <c:v>2021–22
(N=3,017)</c:v>
                </c:pt>
              </c:strCache>
            </c:strRef>
          </c:cat>
          <c:val>
            <c:numRef>
              <c:f>'OSY educ needs vs services'!$R$2:$T$2</c:f>
              <c:numCache>
                <c:formatCode>0%</c:formatCode>
                <c:ptCount val="3"/>
                <c:pt idx="0">
                  <c:v>0.59744779582366592</c:v>
                </c:pt>
                <c:pt idx="1">
                  <c:v>0.45074530136098512</c:v>
                </c:pt>
                <c:pt idx="2">
                  <c:v>0.32780908186940672</c:v>
                </c:pt>
              </c:numCache>
            </c:numRef>
          </c:val>
          <c:smooth val="0"/>
          <c:extLst>
            <c:ext xmlns:c16="http://schemas.microsoft.com/office/drawing/2014/chart" uri="{C3380CC4-5D6E-409C-BE32-E72D297353CC}">
              <c16:uniqueId val="{00000002-15F4-4FFE-B882-FC3BE38774FE}"/>
            </c:ext>
          </c:extLst>
        </c:ser>
        <c:ser>
          <c:idx val="1"/>
          <c:order val="1"/>
          <c:tx>
            <c:strRef>
              <c:f>'OSY educ needs vs services'!$Q$3</c:f>
              <c:strCache>
                <c:ptCount val="1"/>
                <c:pt idx="0">
                  <c:v>Home language literacy</c:v>
                </c:pt>
              </c:strCache>
            </c:strRef>
          </c:tx>
          <c:spPr>
            <a:ln w="28575" cap="rnd">
              <a:solidFill>
                <a:schemeClr val="tx1"/>
              </a:solidFill>
              <a:round/>
            </a:ln>
            <a:effectLst/>
          </c:spPr>
          <c:marker>
            <c:symbol val="circle"/>
            <c:size val="8"/>
            <c:spPr>
              <a:solidFill>
                <a:schemeClr val="tx1"/>
              </a:solidFill>
              <a:ln w="9525">
                <a:noFill/>
              </a:ln>
              <a:effectLst/>
            </c:spPr>
          </c:marker>
          <c:dLbls>
            <c:dLbl>
              <c:idx val="0"/>
              <c:layout>
                <c:manualLayout>
                  <c:x val="-0.20452154418197727"/>
                  <c:y val="-4.5023333753761413E-2"/>
                </c:manualLayout>
              </c:layout>
              <c:tx>
                <c:rich>
                  <a:bodyPr/>
                  <a:lstStyle/>
                  <a:p>
                    <a:fld id="{5E79348E-1DE1-5C4E-A9CB-1C974E629AB0}" type="SERIESNAME">
                      <a:rPr lang="en-US"/>
                      <a:pPr/>
                      <a:t>[SERIES NAME]</a:t>
                    </a:fld>
                    <a:r>
                      <a:rPr lang="en-US" baseline="0"/>
                      <a:t>, </a:t>
                    </a:r>
                  </a:p>
                  <a:p>
                    <a:fld id="{B7E3140E-326F-C943-BCEE-8AAD16D79EAC}" type="VALUE">
                      <a:rPr lang="en-US" baseline="0"/>
                      <a:pPr/>
                      <a:t>[VALUE]</a:t>
                    </a:fld>
                    <a:endParaRPr lang="en-US"/>
                  </a:p>
                </c:rich>
              </c:tx>
              <c:dLblPos val="r"/>
              <c:showLegendKey val="0"/>
              <c:showVal val="1"/>
              <c:showCatName val="0"/>
              <c:showSerName val="1"/>
              <c:showPercent val="0"/>
              <c:showBubbleSize val="0"/>
              <c:extLst>
                <c:ext xmlns:c15="http://schemas.microsoft.com/office/drawing/2012/chart" uri="{CE6537A1-D6FC-4f65-9D91-7224C49458BB}">
                  <c15:layout>
                    <c:manualLayout>
                      <c:w val="0.23031660104986876"/>
                      <c:h val="0.10863475017567883"/>
                    </c:manualLayout>
                  </c15:layout>
                  <c15:dlblFieldTable/>
                  <c15:showDataLabelsRange val="0"/>
                </c:ext>
                <c:ext xmlns:c16="http://schemas.microsoft.com/office/drawing/2014/chart" uri="{C3380CC4-5D6E-409C-BE32-E72D297353CC}">
                  <c16:uniqueId val="{00000003-15F4-4FFE-B882-FC3BE38774FE}"/>
                </c:ext>
              </c:extLst>
            </c:dLbl>
            <c:dLbl>
              <c:idx val="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5F4-4FFE-B882-FC3BE38774FE}"/>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'OSY educ needs vs services'!$R$1:$T$1</c:f>
              <c:strCache>
                <c:ptCount val="3"/>
                <c:pt idx="0">
                  <c:v>2020–21
(N=1,724)</c:v>
                </c:pt>
                <c:pt idx="1">
                  <c:v>2021–22
(N=3,086)</c:v>
                </c:pt>
                <c:pt idx="2">
                  <c:v>2021–22
(N=3,017)</c:v>
                </c:pt>
              </c:strCache>
            </c:strRef>
          </c:cat>
          <c:val>
            <c:numRef>
              <c:f>'OSY educ needs vs services'!$R$3:$T$3</c:f>
              <c:numCache>
                <c:formatCode>0%</c:formatCode>
                <c:ptCount val="3"/>
                <c:pt idx="0">
                  <c:v>2.4361948955916472E-2</c:v>
                </c:pt>
                <c:pt idx="1">
                  <c:v>2.2359040829552819E-2</c:v>
                </c:pt>
                <c:pt idx="2">
                  <c:v>4.1763341067285381E-2</c:v>
                </c:pt>
              </c:numCache>
            </c:numRef>
          </c:val>
          <c:smooth val="0"/>
          <c:extLst>
            <c:ext xmlns:c16="http://schemas.microsoft.com/office/drawing/2014/chart" uri="{C3380CC4-5D6E-409C-BE32-E72D297353CC}">
              <c16:uniqueId val="{00000005-15F4-4FFE-B882-FC3BE38774FE}"/>
            </c:ext>
          </c:extLst>
        </c:ser>
        <c:ser>
          <c:idx val="2"/>
          <c:order val="2"/>
          <c:tx>
            <c:strRef>
              <c:f>'OSY educ needs vs services'!$Q$4</c:f>
              <c:strCache>
                <c:ptCount val="1"/>
                <c:pt idx="0">
                  <c:v>GED/HEP</c:v>
                </c:pt>
              </c:strCache>
            </c:strRef>
          </c:tx>
          <c:spPr>
            <a:ln w="28575" cap="rnd">
              <a:solidFill>
                <a:schemeClr val="tx1"/>
              </a:solidFill>
              <a:round/>
            </a:ln>
            <a:effectLst/>
          </c:spPr>
          <c:marker>
            <c:symbol val="circle"/>
            <c:size val="8"/>
            <c:spPr>
              <a:solidFill>
                <a:schemeClr val="tx1"/>
              </a:solidFill>
              <a:ln w="9525">
                <a:noFill/>
              </a:ln>
              <a:effectLst/>
            </c:spPr>
          </c:marker>
          <c:dLbls>
            <c:dLbl>
              <c:idx val="0"/>
              <c:layout>
                <c:manualLayout>
                  <c:x val="-0.21029409084281131"/>
                  <c:y val="-1.4386925890556587E-2"/>
                </c:manualLayout>
              </c:layout>
              <c:tx>
                <c:rich>
                  <a:bodyPr/>
                  <a:lstStyle/>
                  <a:p>
                    <a:fld id="{6EF81722-1369-0349-957B-382308067729}" type="SERIESNAME">
                      <a:rPr lang="en-US"/>
                      <a:pPr/>
                      <a:t>[SERIES NAME]</a:t>
                    </a:fld>
                    <a:r>
                      <a:rPr lang="en-US" baseline="0"/>
                      <a:t>,</a:t>
                    </a:r>
                    <a:endParaRPr lang="en-US" sz="1200" b="0" i="0" u="none" strike="noStrike" kern="1200" baseline="0">
                      <a:solidFill>
                        <a:sysClr val="windowText" lastClr="000000">
                          <a:lumMod val="75000"/>
                          <a:lumOff val="25000"/>
                        </a:sysClr>
                      </a:solidFill>
                      <a:latin typeface="Arial" panose="020B0604020202020204" pitchFamily="34" charset="0"/>
                      <a:ea typeface="+mn-ea"/>
                      <a:cs typeface="Arial" panose="020B0604020202020204" pitchFamily="34" charset="0"/>
                    </a:endParaRPr>
                  </a:p>
                  <a:p>
                    <a:fld id="{42AA1654-A143-B64D-9D0D-EE03A13423ED}" type="VALUE">
                      <a:rPr lang="en-US" baseline="0"/>
                      <a:pPr/>
                      <a:t>[VALUE]</a:t>
                    </a:fld>
                    <a:endParaRPr lang="en-US"/>
                  </a:p>
                </c:rich>
              </c:tx>
              <c:dLblPos val="r"/>
              <c:showLegendKey val="0"/>
              <c:showVal val="1"/>
              <c:showCatName val="0"/>
              <c:showSerName val="1"/>
              <c:showPercent val="0"/>
              <c:showBubbleSize val="0"/>
              <c:extLst>
                <c:ext xmlns:c15="http://schemas.microsoft.com/office/drawing/2012/chart" uri="{CE6537A1-D6FC-4f65-9D91-7224C49458BB}">
                  <c15:layout>
                    <c:manualLayout>
                      <c:w val="0.21508723643587105"/>
                      <c:h val="0.12752356929805211"/>
                    </c:manualLayout>
                  </c15:layout>
                  <c15:dlblFieldTable/>
                  <c15:showDataLabelsRange val="0"/>
                </c:ext>
                <c:ext xmlns:c16="http://schemas.microsoft.com/office/drawing/2014/chart" uri="{C3380CC4-5D6E-409C-BE32-E72D297353CC}">
                  <c16:uniqueId val="{00000006-15F4-4FFE-B882-FC3BE38774FE}"/>
                </c:ext>
              </c:extLst>
            </c:dLbl>
            <c:dLbl>
              <c:idx val="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5F4-4FFE-B882-FC3BE38774FE}"/>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'OSY educ needs vs services'!$R$1:$T$1</c:f>
              <c:strCache>
                <c:ptCount val="3"/>
                <c:pt idx="0">
                  <c:v>2020–21
(N=1,724)</c:v>
                </c:pt>
                <c:pt idx="1">
                  <c:v>2021–22
(N=3,086)</c:v>
                </c:pt>
                <c:pt idx="2">
                  <c:v>2021–22
(N=3,017)</c:v>
                </c:pt>
              </c:strCache>
            </c:strRef>
          </c:cat>
          <c:val>
            <c:numRef>
              <c:f>'OSY educ needs vs services'!$R$4:$T$4</c:f>
              <c:numCache>
                <c:formatCode>0%</c:formatCode>
                <c:ptCount val="3"/>
                <c:pt idx="0">
                  <c:v>0.35266821345707655</c:v>
                </c:pt>
                <c:pt idx="1">
                  <c:v>0.21062864549578741</c:v>
                </c:pt>
                <c:pt idx="2">
                  <c:v>0.24096784885647995</c:v>
                </c:pt>
              </c:numCache>
            </c:numRef>
          </c:val>
          <c:smooth val="0"/>
          <c:extLst>
            <c:ext xmlns:c16="http://schemas.microsoft.com/office/drawing/2014/chart" uri="{C3380CC4-5D6E-409C-BE32-E72D297353CC}">
              <c16:uniqueId val="{00000008-15F4-4FFE-B882-FC3BE38774FE}"/>
            </c:ext>
          </c:extLst>
        </c:ser>
        <c:dLbls>
          <c:showLegendKey val="0"/>
          <c:showVal val="0"/>
          <c:showCatName val="0"/>
          <c:showSerName val="0"/>
          <c:showPercent val="0"/>
          <c:showBubbleSize val="0"/>
        </c:dLbls>
        <c:marker val="1"/>
        <c:smooth val="0"/>
        <c:axId val="1246402528"/>
        <c:axId val="1072885232"/>
      </c:lineChart>
      <c:catAx>
        <c:axId val="1246402528"/>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72885232"/>
        <c:crosses val="autoZero"/>
        <c:auto val="1"/>
        <c:lblAlgn val="ctr"/>
        <c:lblOffset val="100"/>
        <c:noMultiLvlLbl val="0"/>
      </c:catAx>
      <c:valAx>
        <c:axId val="1072885232"/>
        <c:scaling>
          <c:orientation val="minMax"/>
          <c:max val="0.7500000000000001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46402528"/>
        <c:crosses val="autoZero"/>
        <c:crossBetween val="between"/>
        <c:majorUnit val="0.25"/>
      </c:valAx>
    </c:plotArea>
    <c:plotVisOnly val="1"/>
    <c:dispBlanksAs val="gap"/>
    <c:showDLblsOverMax val="0"/>
    <c:extLst/>
  </c:chart>
  <c:spPr>
    <a:ln w="3175">
      <a:solidFill>
        <a:sysClr val="windowText" lastClr="000000"/>
      </a:solidFill>
    </a:ln>
  </c:spPr>
  <c:txPr>
    <a:bodyPr/>
    <a:lstStyle/>
    <a:p>
      <a:pPr>
        <a:defRPr sz="12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409349649933557"/>
          <c:y val="3.8427458317057621E-2"/>
          <c:w val="0.84417283167060042"/>
          <c:h val="0.81801181102362208"/>
        </c:manualLayout>
      </c:layout>
      <c:lineChart>
        <c:grouping val="standard"/>
        <c:varyColors val="0"/>
        <c:ser>
          <c:idx val="0"/>
          <c:order val="0"/>
          <c:tx>
            <c:strRef>
              <c:f>'Data Viz - Health Needs + Serv'!$A$25</c:f>
              <c:strCache>
                <c:ptCount val="1"/>
                <c:pt idx="0">
                  <c:v>Medical</c:v>
                </c:pt>
              </c:strCache>
            </c:strRef>
          </c:tx>
          <c:spPr>
            <a:ln w="28575" cap="rnd">
              <a:solidFill>
                <a:schemeClr val="tx1"/>
              </a:solidFill>
              <a:round/>
            </a:ln>
            <a:effectLst/>
          </c:spPr>
          <c:marker>
            <c:symbol val="circle"/>
            <c:size val="8"/>
            <c:spPr>
              <a:solidFill>
                <a:schemeClr val="tx1"/>
              </a:solidFill>
              <a:ln w="9525">
                <a:noFill/>
              </a:ln>
              <a:effectLst/>
            </c:spPr>
          </c:marker>
          <c:dLbls>
            <c:dLbl>
              <c:idx val="0"/>
              <c:layout>
                <c:manualLayout>
                  <c:x val="-0.13606629874597009"/>
                  <c:y val="9.6112902804917546E-3"/>
                </c:manualLayout>
              </c:layout>
              <c:tx>
                <c:rich>
                  <a:bodyPr/>
                  <a:lstStyle/>
                  <a:p>
                    <a:fld id="{06F8C5A3-7F99-174D-8EC8-7E932A670BDC}" type="SERIESNAME">
                      <a:rPr lang="en-US"/>
                      <a:pPr/>
                      <a:t>[SERIES NAME]</a:t>
                    </a:fld>
                    <a:r>
                      <a:rPr lang="en-US" baseline="0"/>
                      <a:t>, </a:t>
                    </a:r>
                  </a:p>
                  <a:p>
                    <a:fld id="{26F3768E-37E3-5D4C-95B1-9F6C159689F0}" type="VALUE">
                      <a:rPr lang="en-US" baseline="0"/>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C08-4B15-BD99-7423A5B25694}"/>
                </c:ext>
              </c:extLst>
            </c:dLbl>
            <c:dLbl>
              <c:idx val="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C08-4B15-BD99-7423A5B25694}"/>
                </c:ext>
              </c:extLst>
            </c:dLbl>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Viz - Health Needs + Serv'!$B$24:$D$24</c:f>
              <c:strCache>
                <c:ptCount val="3"/>
                <c:pt idx="0">
                  <c:v>2020–21
(N=48,418)</c:v>
                </c:pt>
                <c:pt idx="1">
                  <c:v>2021–22
(N=55,510)</c:v>
                </c:pt>
                <c:pt idx="2">
                  <c:v>2022–23 
(N=55,847)</c:v>
                </c:pt>
              </c:strCache>
            </c:strRef>
          </c:cat>
          <c:val>
            <c:numRef>
              <c:f>'Data Viz - Health Needs + Serv'!$B$25:$D$25</c:f>
              <c:numCache>
                <c:formatCode>0.0%</c:formatCode>
                <c:ptCount val="3"/>
                <c:pt idx="0">
                  <c:v>1.9021851377586847E-2</c:v>
                </c:pt>
                <c:pt idx="1">
                  <c:v>1.3114754098360656E-2</c:v>
                </c:pt>
                <c:pt idx="2">
                  <c:v>1.2731212061525238E-2</c:v>
                </c:pt>
              </c:numCache>
            </c:numRef>
          </c:val>
          <c:smooth val="0"/>
          <c:extLst>
            <c:ext xmlns:c16="http://schemas.microsoft.com/office/drawing/2014/chart" uri="{C3380CC4-5D6E-409C-BE32-E72D297353CC}">
              <c16:uniqueId val="{00000002-0C08-4B15-BD99-7423A5B25694}"/>
            </c:ext>
          </c:extLst>
        </c:ser>
        <c:ser>
          <c:idx val="1"/>
          <c:order val="1"/>
          <c:tx>
            <c:strRef>
              <c:f>'Data Viz - Health Needs + Serv'!$A$26</c:f>
              <c:strCache>
                <c:ptCount val="1"/>
                <c:pt idx="0">
                  <c:v>Dental</c:v>
                </c:pt>
              </c:strCache>
            </c:strRef>
          </c:tx>
          <c:spPr>
            <a:ln w="28575" cap="rnd">
              <a:solidFill>
                <a:schemeClr val="tx1"/>
              </a:solidFill>
              <a:round/>
            </a:ln>
            <a:effectLst/>
          </c:spPr>
          <c:marker>
            <c:symbol val="circle"/>
            <c:size val="8"/>
            <c:spPr>
              <a:solidFill>
                <a:schemeClr val="tx1"/>
              </a:solidFill>
              <a:ln w="9525">
                <a:noFill/>
              </a:ln>
              <a:effectLst/>
            </c:spPr>
          </c:marker>
          <c:dLbls>
            <c:dLbl>
              <c:idx val="0"/>
              <c:layout>
                <c:manualLayout>
                  <c:x val="-0.13288391494249399"/>
                  <c:y val="5.0447566291417924E-2"/>
                </c:manualLayout>
              </c:layout>
              <c:tx>
                <c:rich>
                  <a:bodyPr/>
                  <a:lstStyle/>
                  <a:p>
                    <a:fld id="{28D1F4CE-F8BB-564D-BE48-3AFC3877F364}" type="SERIESNAME">
                      <a:rPr lang="en-US"/>
                      <a:pPr/>
                      <a:t>[SERIES NAME]</a:t>
                    </a:fld>
                    <a:r>
                      <a:rPr lang="en-US" baseline="0"/>
                      <a:t>,</a:t>
                    </a:r>
                    <a:endParaRPr lang="en-US" sz="1200" b="0" i="0" u="none" strike="noStrike" kern="1200" baseline="0">
                      <a:solidFill>
                        <a:sysClr val="windowText" lastClr="000000"/>
                      </a:solidFill>
                      <a:latin typeface="Arial" panose="020B0604020202020204" pitchFamily="34" charset="0"/>
                      <a:ea typeface="+mn-ea"/>
                      <a:cs typeface="Arial" panose="020B0604020202020204" pitchFamily="34" charset="0"/>
                    </a:endParaRPr>
                  </a:p>
                  <a:p>
                    <a:fld id="{39C8BB49-C40B-874B-96C2-4770E7934DBD}" type="VALUE">
                      <a:rPr lang="en-US" baseline="0"/>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C08-4B15-BD99-7423A5B25694}"/>
                </c:ext>
              </c:extLst>
            </c:dLbl>
            <c:dLbl>
              <c:idx val="1"/>
              <c:layout>
                <c:manualLayout>
                  <c:x val="-4.7872353287892827E-2"/>
                  <c:y val="-4.87256789635631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C08-4B15-BD99-7423A5B25694}"/>
                </c:ext>
              </c:extLst>
            </c:dLbl>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Viz - Health Needs + Serv'!$B$24:$D$24</c:f>
              <c:strCache>
                <c:ptCount val="3"/>
                <c:pt idx="0">
                  <c:v>2020–21
(N=48,418)</c:v>
                </c:pt>
                <c:pt idx="1">
                  <c:v>2021–22
(N=55,510)</c:v>
                </c:pt>
                <c:pt idx="2">
                  <c:v>2022–23 
(N=55,847)</c:v>
                </c:pt>
              </c:strCache>
            </c:strRef>
          </c:cat>
          <c:val>
            <c:numRef>
              <c:f>'Data Viz - Health Needs + Serv'!$B$26:$D$26</c:f>
              <c:numCache>
                <c:formatCode>0.0%</c:formatCode>
                <c:ptCount val="3"/>
                <c:pt idx="0">
                  <c:v>3.5379404353752739E-2</c:v>
                </c:pt>
                <c:pt idx="1">
                  <c:v>2.6643847955323364E-2</c:v>
                </c:pt>
                <c:pt idx="2">
                  <c:v>3.0010564578222643E-2</c:v>
                </c:pt>
              </c:numCache>
            </c:numRef>
          </c:val>
          <c:smooth val="0"/>
          <c:extLst>
            <c:ext xmlns:c16="http://schemas.microsoft.com/office/drawing/2014/chart" uri="{C3380CC4-5D6E-409C-BE32-E72D297353CC}">
              <c16:uniqueId val="{00000005-0C08-4B15-BD99-7423A5B25694}"/>
            </c:ext>
          </c:extLst>
        </c:ser>
        <c:ser>
          <c:idx val="2"/>
          <c:order val="2"/>
          <c:tx>
            <c:strRef>
              <c:f>'Data Viz - Health Needs + Serv'!$A$27</c:f>
              <c:strCache>
                <c:ptCount val="1"/>
                <c:pt idx="0">
                  <c:v>Vision</c:v>
                </c:pt>
              </c:strCache>
            </c:strRef>
          </c:tx>
          <c:spPr>
            <a:ln w="28575" cap="rnd">
              <a:solidFill>
                <a:schemeClr val="tx1"/>
              </a:solidFill>
              <a:round/>
            </a:ln>
            <a:effectLst/>
          </c:spPr>
          <c:marker>
            <c:symbol val="circle"/>
            <c:size val="8"/>
            <c:spPr>
              <a:solidFill>
                <a:schemeClr val="tx1"/>
              </a:solidFill>
              <a:ln w="9525">
                <a:noFill/>
              </a:ln>
              <a:effectLst/>
            </c:spPr>
          </c:marker>
          <c:dLbls>
            <c:dLbl>
              <c:idx val="0"/>
              <c:layout>
                <c:manualLayout>
                  <c:x val="-0.12963713029153506"/>
                  <c:y val="-7.3604711402228434E-2"/>
                </c:manualLayout>
              </c:layout>
              <c:tx>
                <c:rich>
                  <a:bodyPr/>
                  <a:lstStyle/>
                  <a:p>
                    <a:fld id="{F9FA2BC7-1C58-8048-AB36-6F418015CB3E}" type="SERIESNAME">
                      <a:rPr lang="en-US"/>
                      <a:pPr/>
                      <a:t>[SERIES NAME]</a:t>
                    </a:fld>
                    <a:r>
                      <a:rPr lang="en-US" baseline="0"/>
                      <a:t>, </a:t>
                    </a:r>
                  </a:p>
                  <a:p>
                    <a:fld id="{20BD56FB-A3C9-CF4D-BB31-BD915C2C5E56}" type="VALUE">
                      <a:rPr lang="en-US" baseline="0"/>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0C08-4B15-BD99-7423A5B25694}"/>
                </c:ext>
              </c:extLst>
            </c:dLbl>
            <c:dLbl>
              <c:idx val="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C08-4B15-BD99-7423A5B25694}"/>
                </c:ext>
              </c:extLst>
            </c:dLbl>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Viz - Health Needs + Serv'!$B$24:$D$24</c:f>
              <c:strCache>
                <c:ptCount val="3"/>
                <c:pt idx="0">
                  <c:v>2020–21
(N=48,418)</c:v>
                </c:pt>
                <c:pt idx="1">
                  <c:v>2021–22
(N=55,510)</c:v>
                </c:pt>
                <c:pt idx="2">
                  <c:v>2022–23 
(N=55,847)</c:v>
                </c:pt>
              </c:strCache>
            </c:strRef>
          </c:cat>
          <c:val>
            <c:numRef>
              <c:f>'Data Viz - Health Needs + Serv'!$B$27:$D$27</c:f>
              <c:numCache>
                <c:formatCode>0.0%</c:formatCode>
                <c:ptCount val="3"/>
                <c:pt idx="0">
                  <c:v>3.7052335908133338E-2</c:v>
                </c:pt>
                <c:pt idx="1">
                  <c:v>4.0785444064132592E-2</c:v>
                </c:pt>
                <c:pt idx="2">
                  <c:v>4.1309291457016492E-2</c:v>
                </c:pt>
              </c:numCache>
            </c:numRef>
          </c:val>
          <c:smooth val="0"/>
          <c:extLst>
            <c:ext xmlns:c16="http://schemas.microsoft.com/office/drawing/2014/chart" uri="{C3380CC4-5D6E-409C-BE32-E72D297353CC}">
              <c16:uniqueId val="{00000008-0C08-4B15-BD99-7423A5B25694}"/>
            </c:ext>
          </c:extLst>
        </c:ser>
        <c:ser>
          <c:idx val="3"/>
          <c:order val="3"/>
          <c:tx>
            <c:strRef>
              <c:f>'Data Viz - Health Needs + Serv'!$A$28</c:f>
              <c:strCache>
                <c:ptCount val="1"/>
                <c:pt idx="0">
                  <c:v>Mental 
health</c:v>
                </c:pt>
              </c:strCache>
            </c:strRef>
          </c:tx>
          <c:spPr>
            <a:ln w="28575" cap="rnd">
              <a:solidFill>
                <a:schemeClr val="tx1"/>
              </a:solidFill>
              <a:round/>
            </a:ln>
            <a:effectLst/>
          </c:spPr>
          <c:marker>
            <c:symbol val="circle"/>
            <c:size val="8"/>
            <c:spPr>
              <a:solidFill>
                <a:schemeClr val="tx1"/>
              </a:solidFill>
              <a:ln w="9525">
                <a:noFill/>
              </a:ln>
              <a:effectLst/>
            </c:spPr>
          </c:marker>
          <c:dLbls>
            <c:dLbl>
              <c:idx val="0"/>
              <c:layout>
                <c:manualLayout>
                  <c:x val="-0.12303202502758173"/>
                  <c:y val="1.1369681744460857E-2"/>
                </c:manualLayout>
              </c:layout>
              <c:tx>
                <c:rich>
                  <a:bodyPr/>
                  <a:lstStyle/>
                  <a:p>
                    <a:fld id="{EDC4EBF0-0E73-414D-8FDB-826D32E5BC38}" type="SERIESNAME">
                      <a:rPr lang="en-US"/>
                      <a:pPr/>
                      <a:t>[SERIES NAME]</a:t>
                    </a:fld>
                    <a:r>
                      <a:rPr lang="en-US" baseline="0"/>
                      <a:t>, </a:t>
                    </a:r>
                  </a:p>
                  <a:p>
                    <a:fld id="{876CBB00-0C04-A646-8CE3-B11FF8D55AF4}" type="VALUE">
                      <a:rPr lang="en-US" baseline="0"/>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C08-4B15-BD99-7423A5B25694}"/>
                </c:ext>
              </c:extLst>
            </c:dLbl>
            <c:dLbl>
              <c:idx val="1"/>
              <c:layout>
                <c:manualLayout>
                  <c:x val="-4.6998201520395362E-2"/>
                  <c:y val="4.88597970661229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C08-4B15-BD99-7423A5B25694}"/>
                </c:ext>
              </c:extLst>
            </c:dLbl>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Viz - Health Needs + Serv'!$B$24:$D$24</c:f>
              <c:strCache>
                <c:ptCount val="3"/>
                <c:pt idx="0">
                  <c:v>2020–21
(N=48,418)</c:v>
                </c:pt>
                <c:pt idx="1">
                  <c:v>2021–22
(N=55,510)</c:v>
                </c:pt>
                <c:pt idx="2">
                  <c:v>2022–23 
(N=55,847)</c:v>
                </c:pt>
              </c:strCache>
            </c:strRef>
          </c:cat>
          <c:val>
            <c:numRef>
              <c:f>'Data Viz - Health Needs + Serv'!$B$28:$D$28</c:f>
              <c:numCache>
                <c:formatCode>0.0%</c:formatCode>
                <c:ptCount val="3"/>
                <c:pt idx="0">
                  <c:v>8.984262051303234E-3</c:v>
                </c:pt>
                <c:pt idx="1">
                  <c:v>8.1606917672491439E-3</c:v>
                </c:pt>
                <c:pt idx="2">
                  <c:v>9.0783748455601915E-3</c:v>
                </c:pt>
              </c:numCache>
            </c:numRef>
          </c:val>
          <c:smooth val="0"/>
          <c:extLst>
            <c:ext xmlns:c16="http://schemas.microsoft.com/office/drawing/2014/chart" uri="{C3380CC4-5D6E-409C-BE32-E72D297353CC}">
              <c16:uniqueId val="{0000000B-0C08-4B15-BD99-7423A5B25694}"/>
            </c:ext>
          </c:extLst>
        </c:ser>
        <c:dLbls>
          <c:showLegendKey val="0"/>
          <c:showVal val="0"/>
          <c:showCatName val="0"/>
          <c:showSerName val="0"/>
          <c:showPercent val="0"/>
          <c:showBubbleSize val="0"/>
        </c:dLbls>
        <c:marker val="1"/>
        <c:smooth val="0"/>
        <c:axId val="90534911"/>
        <c:axId val="90610895"/>
      </c:lineChart>
      <c:catAx>
        <c:axId val="90534911"/>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0610895"/>
        <c:crosses val="autoZero"/>
        <c:auto val="1"/>
        <c:lblAlgn val="ctr"/>
        <c:lblOffset val="100"/>
        <c:noMultiLvlLbl val="0"/>
      </c:catAx>
      <c:valAx>
        <c:axId val="90610895"/>
        <c:scaling>
          <c:orientation val="minMax"/>
          <c:max val="0.05"/>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0534911"/>
        <c:crosses val="autoZero"/>
        <c:crossBetween val="between"/>
        <c:majorUnit val="0.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ysClr val="windowText" lastClr="000000"/>
      </a:solidFill>
      <a:round/>
    </a:ln>
    <a:effectLst/>
  </c:spPr>
  <c:txPr>
    <a:bodyPr/>
    <a:lstStyle/>
    <a:p>
      <a:pPr>
        <a:defRPr sz="1200">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965371417180447E-2"/>
          <c:y val="2.6607299087614049E-2"/>
          <c:w val="0.69014957264957266"/>
          <c:h val="0.88391513560804902"/>
        </c:manualLayout>
      </c:layout>
      <c:lineChart>
        <c:grouping val="standard"/>
        <c:varyColors val="0"/>
        <c:ser>
          <c:idx val="0"/>
          <c:order val="0"/>
          <c:tx>
            <c:strRef>
              <c:f>'CAASPP ELA OVERALL Proficiency'!$M$43</c:f>
              <c:strCache>
                <c:ptCount val="1"/>
                <c:pt idx="0">
                  <c:v>All Students</c:v>
                </c:pt>
              </c:strCache>
            </c:strRef>
          </c:tx>
          <c:spPr>
            <a:ln w="28575" cap="rnd">
              <a:solidFill>
                <a:srgbClr val="4472C4"/>
              </a:solidFill>
              <a:round/>
            </a:ln>
            <a:effectLst/>
          </c:spPr>
          <c:marker>
            <c:symbol val="square"/>
            <c:size val="8"/>
            <c:spPr>
              <a:solidFill>
                <a:srgbClr val="4472C4"/>
              </a:solidFill>
              <a:ln w="9525">
                <a:solidFill>
                  <a:srgbClr val="4472C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'CAASPP ELA OVERALL Proficiency'!$N$42:$Q$42</c:f>
              <c:strCache>
                <c:ptCount val="4"/>
                <c:pt idx="0">
                  <c:v>2017–18</c:v>
                </c:pt>
                <c:pt idx="1">
                  <c:v>2018–19</c:v>
                </c:pt>
                <c:pt idx="2">
                  <c:v>2021–22</c:v>
                </c:pt>
                <c:pt idx="3">
                  <c:v>2022–23</c:v>
                </c:pt>
              </c:strCache>
            </c:strRef>
          </c:cat>
          <c:val>
            <c:numRef>
              <c:f>'CAASPP ELA OVERALL Proficiency'!$N$43:$Q$43</c:f>
              <c:numCache>
                <c:formatCode>0.0%</c:formatCode>
                <c:ptCount val="4"/>
                <c:pt idx="0">
                  <c:v>0.49835719340538354</c:v>
                </c:pt>
                <c:pt idx="1">
                  <c:v>0.51055214828567663</c:v>
                </c:pt>
                <c:pt idx="2">
                  <c:v>0.46989971453302631</c:v>
                </c:pt>
                <c:pt idx="3">
                  <c:v>0.46602950819893552</c:v>
                </c:pt>
              </c:numCache>
            </c:numRef>
          </c:val>
          <c:smooth val="0"/>
          <c:extLst>
            <c:ext xmlns:c16="http://schemas.microsoft.com/office/drawing/2014/chart" uri="{C3380CC4-5D6E-409C-BE32-E72D297353CC}">
              <c16:uniqueId val="{00000000-4E79-4A03-A263-1AAD220F802F}"/>
            </c:ext>
          </c:extLst>
        </c:ser>
        <c:ser>
          <c:idx val="1"/>
          <c:order val="1"/>
          <c:tx>
            <c:strRef>
              <c:f>'CAASPP ELA OVERALL Proficiency'!$M$44</c:f>
              <c:strCache>
                <c:ptCount val="1"/>
                <c:pt idx="0">
                  <c:v>Migratory Students</c:v>
                </c:pt>
              </c:strCache>
            </c:strRef>
          </c:tx>
          <c:spPr>
            <a:ln w="28575" cap="rnd">
              <a:solidFill>
                <a:schemeClr val="tx1"/>
              </a:solidFill>
              <a:round/>
            </a:ln>
            <a:effectLst/>
          </c:spPr>
          <c:marker>
            <c:symbol val="circle"/>
            <c:size val="8"/>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'CAASPP ELA OVERALL Proficiency'!$N$42:$Q$42</c:f>
              <c:strCache>
                <c:ptCount val="4"/>
                <c:pt idx="0">
                  <c:v>2017–18</c:v>
                </c:pt>
                <c:pt idx="1">
                  <c:v>2018–19</c:v>
                </c:pt>
                <c:pt idx="2">
                  <c:v>2021–22</c:v>
                </c:pt>
                <c:pt idx="3">
                  <c:v>2022–23</c:v>
                </c:pt>
              </c:strCache>
            </c:strRef>
          </c:cat>
          <c:val>
            <c:numRef>
              <c:f>'CAASPP ELA OVERALL Proficiency'!$N$44:$Q$44</c:f>
              <c:numCache>
                <c:formatCode>0.0%</c:formatCode>
                <c:ptCount val="4"/>
                <c:pt idx="0">
                  <c:v>0.27316229816924453</c:v>
                </c:pt>
                <c:pt idx="1">
                  <c:v>0.29168704953853181</c:v>
                </c:pt>
                <c:pt idx="2">
                  <c:v>0.23918144799503072</c:v>
                </c:pt>
                <c:pt idx="3">
                  <c:v>0.23442044038221854</c:v>
                </c:pt>
              </c:numCache>
            </c:numRef>
          </c:val>
          <c:smooth val="0"/>
          <c:extLst>
            <c:ext xmlns:c16="http://schemas.microsoft.com/office/drawing/2014/chart" uri="{C3380CC4-5D6E-409C-BE32-E72D297353CC}">
              <c16:uniqueId val="{00000001-4E79-4A03-A263-1AAD220F802F}"/>
            </c:ext>
          </c:extLst>
        </c:ser>
        <c:ser>
          <c:idx val="2"/>
          <c:order val="2"/>
          <c:tx>
            <c:strRef>
              <c:f>'CAASPP ELA OVERALL Proficiency'!$M$45</c:f>
              <c:strCache>
                <c:ptCount val="1"/>
                <c:pt idx="0">
                  <c:v>Migratory PFS Students</c:v>
                </c:pt>
              </c:strCache>
            </c:strRef>
          </c:tx>
          <c:spPr>
            <a:ln w="28575" cap="rnd">
              <a:solidFill>
                <a:srgbClr val="3C8235"/>
              </a:solidFill>
              <a:round/>
            </a:ln>
            <a:effectLst/>
          </c:spPr>
          <c:marker>
            <c:symbol val="triangle"/>
            <c:size val="8"/>
            <c:spPr>
              <a:solidFill>
                <a:srgbClr val="3C8235"/>
              </a:solidFill>
              <a:ln w="9525">
                <a:solidFill>
                  <a:srgbClr val="3C823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'CAASPP ELA OVERALL Proficiency'!$N$42:$Q$42</c:f>
              <c:strCache>
                <c:ptCount val="4"/>
                <c:pt idx="0">
                  <c:v>2017–18</c:v>
                </c:pt>
                <c:pt idx="1">
                  <c:v>2018–19</c:v>
                </c:pt>
                <c:pt idx="2">
                  <c:v>2021–22</c:v>
                </c:pt>
                <c:pt idx="3">
                  <c:v>2022–23</c:v>
                </c:pt>
              </c:strCache>
            </c:strRef>
          </c:cat>
          <c:val>
            <c:numRef>
              <c:f>'CAASPP ELA OVERALL Proficiency'!$N$45:$Q$45</c:f>
              <c:numCache>
                <c:formatCode>0.0%</c:formatCode>
                <c:ptCount val="4"/>
                <c:pt idx="0">
                  <c:v>0.16</c:v>
                </c:pt>
                <c:pt idx="1">
                  <c:v>0.16</c:v>
                </c:pt>
                <c:pt idx="2">
                  <c:v>0.16</c:v>
                </c:pt>
                <c:pt idx="3">
                  <c:v>0.15384615384615385</c:v>
                </c:pt>
              </c:numCache>
            </c:numRef>
          </c:val>
          <c:smooth val="0"/>
          <c:extLst>
            <c:ext xmlns:c16="http://schemas.microsoft.com/office/drawing/2014/chart" uri="{C3380CC4-5D6E-409C-BE32-E72D297353CC}">
              <c16:uniqueId val="{00000002-4E79-4A03-A263-1AAD220F802F}"/>
            </c:ext>
          </c:extLst>
        </c:ser>
        <c:dLbls>
          <c:dLblPos val="t"/>
          <c:showLegendKey val="0"/>
          <c:showVal val="1"/>
          <c:showCatName val="0"/>
          <c:showSerName val="0"/>
          <c:showPercent val="0"/>
          <c:showBubbleSize val="0"/>
        </c:dLbls>
        <c:marker val="1"/>
        <c:smooth val="0"/>
        <c:axId val="1595511264"/>
        <c:axId val="1595758048"/>
      </c:lineChart>
      <c:catAx>
        <c:axId val="159551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crossAx val="1595758048"/>
        <c:crosses val="autoZero"/>
        <c:auto val="1"/>
        <c:lblAlgn val="ctr"/>
        <c:lblOffset val="100"/>
        <c:noMultiLvlLbl val="0"/>
      </c:catAx>
      <c:valAx>
        <c:axId val="1595758048"/>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crossAx val="1595511264"/>
        <c:crosses val="autoZero"/>
        <c:crossBetween val="between"/>
        <c:majorUnit val="0.30000000000000004"/>
      </c:valAx>
      <c:spPr>
        <a:noFill/>
        <a:ln>
          <a:noFill/>
        </a:ln>
        <a:effectLst/>
      </c:spPr>
    </c:plotArea>
    <c:legend>
      <c:legendPos val="r"/>
      <c:layout>
        <c:manualLayout>
          <c:xMode val="edge"/>
          <c:yMode val="edge"/>
          <c:x val="0.75992815801870917"/>
          <c:y val="0.24531359519366444"/>
          <c:w val="0.23283851537788547"/>
          <c:h val="0.52253743571070943"/>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rgbClr val="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965371417180447E-2"/>
          <c:y val="2.6607299087614049E-2"/>
          <c:w val="0.70297005595819506"/>
          <c:h val="0.88391513560804902"/>
        </c:manualLayout>
      </c:layout>
      <c:lineChart>
        <c:grouping val="standard"/>
        <c:varyColors val="0"/>
        <c:ser>
          <c:idx val="0"/>
          <c:order val="0"/>
          <c:tx>
            <c:strRef>
              <c:f>'CAASPP ELA - READING CLAIM '!$M$43</c:f>
              <c:strCache>
                <c:ptCount val="1"/>
                <c:pt idx="0">
                  <c:v>All Students</c:v>
                </c:pt>
              </c:strCache>
            </c:strRef>
          </c:tx>
          <c:spPr>
            <a:ln w="28575" cap="rnd">
              <a:solidFill>
                <a:srgbClr val="4472C4"/>
              </a:solidFill>
              <a:round/>
            </a:ln>
            <a:effectLst/>
          </c:spPr>
          <c:marker>
            <c:symbol val="square"/>
            <c:size val="6"/>
            <c:spPr>
              <a:solidFill>
                <a:srgbClr val="4472C4"/>
              </a:solidFill>
              <a:ln w="9525">
                <a:solidFill>
                  <a:srgbClr val="4472C4"/>
                </a:solidFill>
              </a:ln>
              <a:effectLst/>
            </c:spPr>
          </c:marker>
          <c:dLbls>
            <c:dLbl>
              <c:idx val="0"/>
              <c:layout>
                <c:manualLayout>
                  <c:x val="-5.7041785923263782E-2"/>
                  <c:y val="-4.0222028516252603E-2"/>
                </c:manualLayout>
              </c:layout>
              <c:tx>
                <c:rich>
                  <a:bodyPr/>
                  <a:lstStyle/>
                  <a:p>
                    <a:fld id="{5F095512-30E6-EB4E-9478-F0F905AFD008}" type="VALUE">
                      <a:rPr lang="en-US"/>
                      <a:pPr/>
                      <a:t>[VALUE]</a:t>
                    </a:fld>
                    <a:endParaRPr lang="en-US"/>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48B-4F96-A0A5-54AF1DEFD29F}"/>
                </c:ext>
              </c:extLst>
            </c:dLbl>
            <c:dLbl>
              <c:idx val="2"/>
              <c:layout>
                <c:manualLayout>
                  <c:x val="-4.3399638336347197E-2"/>
                  <c:y val="-6.3583815028901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8B-4F96-A0A5-54AF1DEFD29F}"/>
                </c:ext>
              </c:extLst>
            </c:dLbl>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'CAASPP ELA - READING CLAIM '!$N$42:$Q$42</c:f>
              <c:strCache>
                <c:ptCount val="4"/>
                <c:pt idx="0">
                  <c:v>2017–18</c:v>
                </c:pt>
                <c:pt idx="1">
                  <c:v>2018–19</c:v>
                </c:pt>
                <c:pt idx="2">
                  <c:v>2021–22</c:v>
                </c:pt>
                <c:pt idx="3">
                  <c:v>2022–23</c:v>
                </c:pt>
              </c:strCache>
            </c:strRef>
          </c:cat>
          <c:val>
            <c:numRef>
              <c:f>'CAASPP ELA - READING CLAIM '!$N$43:$Q$43</c:f>
              <c:numCache>
                <c:formatCode>0.0%</c:formatCode>
                <c:ptCount val="4"/>
                <c:pt idx="0">
                  <c:v>0.24950428527980728</c:v>
                </c:pt>
                <c:pt idx="1">
                  <c:v>0.26086461395480076</c:v>
                </c:pt>
                <c:pt idx="2">
                  <c:v>0.19490411822197423</c:v>
                </c:pt>
                <c:pt idx="3">
                  <c:v>0.18744550678269339</c:v>
                </c:pt>
              </c:numCache>
            </c:numRef>
          </c:val>
          <c:smooth val="0"/>
          <c:extLst>
            <c:ext xmlns:c16="http://schemas.microsoft.com/office/drawing/2014/chart" uri="{C3380CC4-5D6E-409C-BE32-E72D297353CC}">
              <c16:uniqueId val="{00000002-348B-4F96-A0A5-54AF1DEFD29F}"/>
            </c:ext>
          </c:extLst>
        </c:ser>
        <c:ser>
          <c:idx val="1"/>
          <c:order val="1"/>
          <c:tx>
            <c:strRef>
              <c:f>'CAASPP ELA - READING CLAIM '!$M$44</c:f>
              <c:strCache>
                <c:ptCount val="1"/>
                <c:pt idx="0">
                  <c:v>Migratory Students</c:v>
                </c:pt>
              </c:strCache>
            </c:strRef>
          </c:tx>
          <c:spPr>
            <a:ln w="28575" cap="rnd">
              <a:solidFill>
                <a:schemeClr val="tx1"/>
              </a:solidFill>
              <a:round/>
            </a:ln>
            <a:effectLst/>
          </c:spPr>
          <c:marker>
            <c:symbol val="circle"/>
            <c:size val="6"/>
            <c:spPr>
              <a:solidFill>
                <a:schemeClr val="tx1"/>
              </a:solidFill>
              <a:ln w="9525">
                <a:solidFill>
                  <a:schemeClr val="tx1"/>
                </a:solidFill>
              </a:ln>
              <a:effectLst/>
            </c:spPr>
          </c:marker>
          <c:dLbls>
            <c:dLbl>
              <c:idx val="0"/>
              <c:layout>
                <c:manualLayout>
                  <c:x val="-0.13341363506020573"/>
                  <c:y val="-4.3112337794313726E-2"/>
                </c:manualLayout>
              </c:layout>
              <c:tx>
                <c:rich>
                  <a:bodyPr/>
                  <a:lstStyle/>
                  <a:p>
                    <a:fld id="{69914066-BCE2-5648-AD75-6533E7306DC3}" type="VALUE">
                      <a:rPr lang="en-US"/>
                      <a:pPr/>
                      <a:t>[VALUE]</a:t>
                    </a:fld>
                    <a:endParaRPr lang="en-US"/>
                  </a:p>
                </c:rich>
              </c:tx>
              <c:dLblPos val="r"/>
              <c:showLegendKey val="0"/>
              <c:showVal val="1"/>
              <c:showCatName val="0"/>
              <c:showSerName val="0"/>
              <c:showPercent val="0"/>
              <c:showBubbleSize val="0"/>
              <c:extLst>
                <c:ext xmlns:c15="http://schemas.microsoft.com/office/drawing/2012/chart" uri="{CE6537A1-D6FC-4f65-9D91-7224C49458BB}">
                  <c15:layout>
                    <c:manualLayout>
                      <c:w val="0.24594025430365504"/>
                      <c:h val="0.13414751263028538"/>
                    </c:manualLayout>
                  </c15:layout>
                  <c15:dlblFieldTable/>
                  <c15:showDataLabelsRange val="0"/>
                </c:ext>
                <c:ext xmlns:c16="http://schemas.microsoft.com/office/drawing/2014/chart" uri="{C3380CC4-5D6E-409C-BE32-E72D297353CC}">
                  <c16:uniqueId val="{00000003-348B-4F96-A0A5-54AF1DEFD29F}"/>
                </c:ext>
              </c:extLst>
            </c:dLbl>
            <c:dLbl>
              <c:idx val="2"/>
              <c:layout>
                <c:manualLayout>
                  <c:x val="-3.8465408170132581E-2"/>
                  <c:y val="-5.45234970628672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48B-4F96-A0A5-54AF1DEFD29F}"/>
                </c:ext>
              </c:extLst>
            </c:dLbl>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'CAASPP ELA - READING CLAIM '!$N$42:$Q$42</c:f>
              <c:strCache>
                <c:ptCount val="4"/>
                <c:pt idx="0">
                  <c:v>2017–18</c:v>
                </c:pt>
                <c:pt idx="1">
                  <c:v>2018–19</c:v>
                </c:pt>
                <c:pt idx="2">
                  <c:v>2021–22</c:v>
                </c:pt>
                <c:pt idx="3">
                  <c:v>2022–23</c:v>
                </c:pt>
              </c:strCache>
            </c:strRef>
          </c:cat>
          <c:val>
            <c:numRef>
              <c:f>'CAASPP ELA - READING CLAIM '!$N$44:$Q$44</c:f>
              <c:numCache>
                <c:formatCode>0.0%</c:formatCode>
                <c:ptCount val="4"/>
                <c:pt idx="0">
                  <c:v>9.1940519986397504E-2</c:v>
                </c:pt>
                <c:pt idx="1">
                  <c:v>0.10557951130275708</c:v>
                </c:pt>
                <c:pt idx="2">
                  <c:v>6.8590808416389815E-2</c:v>
                </c:pt>
                <c:pt idx="3">
                  <c:v>6.7744846255292562E-2</c:v>
                </c:pt>
              </c:numCache>
            </c:numRef>
          </c:val>
          <c:smooth val="0"/>
          <c:extLst>
            <c:ext xmlns:c16="http://schemas.microsoft.com/office/drawing/2014/chart" uri="{C3380CC4-5D6E-409C-BE32-E72D297353CC}">
              <c16:uniqueId val="{00000005-348B-4F96-A0A5-54AF1DEFD29F}"/>
            </c:ext>
          </c:extLst>
        </c:ser>
        <c:ser>
          <c:idx val="2"/>
          <c:order val="2"/>
          <c:tx>
            <c:strRef>
              <c:f>'CAASPP ELA - READING CLAIM '!$M$45</c:f>
              <c:strCache>
                <c:ptCount val="1"/>
                <c:pt idx="0">
                  <c:v>Migratory PFS Students</c:v>
                </c:pt>
              </c:strCache>
            </c:strRef>
          </c:tx>
          <c:spPr>
            <a:ln w="28575" cap="rnd">
              <a:solidFill>
                <a:srgbClr val="3C8235"/>
              </a:solidFill>
              <a:round/>
            </a:ln>
            <a:effectLst/>
          </c:spPr>
          <c:marker>
            <c:symbol val="triangle"/>
            <c:size val="6"/>
            <c:spPr>
              <a:solidFill>
                <a:srgbClr val="3C8235"/>
              </a:solidFill>
              <a:ln w="9525">
                <a:solidFill>
                  <a:srgbClr val="3C8235"/>
                </a:solidFill>
              </a:ln>
              <a:effectLst/>
            </c:spPr>
          </c:marker>
          <c:dLbls>
            <c:dLbl>
              <c:idx val="0"/>
              <c:layout>
                <c:manualLayout>
                  <c:x val="-0.13903677905646408"/>
                  <c:y val="6.0215285589301337E-2"/>
                </c:manualLayout>
              </c:layout>
              <c:tx>
                <c:rich>
                  <a:bodyPr/>
                  <a:lstStyle/>
                  <a:p>
                    <a:fld id="{801F0DC5-C834-7B4A-89B7-A5F91DDC5E08}" type="VALUE">
                      <a:rPr lang="en-US"/>
                      <a:pPr/>
                      <a:t>[VALUE]</a:t>
                    </a:fld>
                    <a:endParaRPr lang="en-US"/>
                  </a:p>
                </c:rich>
              </c:tx>
              <c:dLblPos val="r"/>
              <c:showLegendKey val="0"/>
              <c:showVal val="1"/>
              <c:showCatName val="0"/>
              <c:showSerName val="0"/>
              <c:showPercent val="0"/>
              <c:showBubbleSize val="0"/>
              <c:extLst>
                <c:ext xmlns:c15="http://schemas.microsoft.com/office/drawing/2012/chart" uri="{CE6537A1-D6FC-4f65-9D91-7224C49458BB}">
                  <c15:layout>
                    <c:manualLayout>
                      <c:w val="0.26525309336332953"/>
                      <c:h val="0.12836716580947613"/>
                    </c:manualLayout>
                  </c15:layout>
                  <c15:dlblFieldTable/>
                  <c15:showDataLabelsRange val="0"/>
                </c:ext>
                <c:ext xmlns:c16="http://schemas.microsoft.com/office/drawing/2014/chart" uri="{C3380CC4-5D6E-409C-BE32-E72D297353CC}">
                  <c16:uniqueId val="{00000006-348B-4F96-A0A5-54AF1DEFD29F}"/>
                </c:ext>
              </c:extLst>
            </c:dLbl>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'CAASPP ELA - READING CLAIM '!$N$42:$Q$42</c:f>
              <c:strCache>
                <c:ptCount val="4"/>
                <c:pt idx="0">
                  <c:v>2017–18</c:v>
                </c:pt>
                <c:pt idx="1">
                  <c:v>2018–19</c:v>
                </c:pt>
                <c:pt idx="2">
                  <c:v>2021–22</c:v>
                </c:pt>
                <c:pt idx="3">
                  <c:v>2022–23</c:v>
                </c:pt>
              </c:strCache>
            </c:strRef>
          </c:cat>
          <c:val>
            <c:numRef>
              <c:f>'CAASPP ELA - READING CLAIM '!$N$45:$Q$45</c:f>
              <c:numCache>
                <c:formatCode>0.0%</c:formatCode>
                <c:ptCount val="4"/>
                <c:pt idx="0">
                  <c:v>3.8221653606268988E-2</c:v>
                </c:pt>
                <c:pt idx="1">
                  <c:v>3.8282160901671199E-2</c:v>
                </c:pt>
                <c:pt idx="2">
                  <c:v>3.5758323057953144E-2</c:v>
                </c:pt>
                <c:pt idx="3">
                  <c:v>3.3386895197286201E-2</c:v>
                </c:pt>
              </c:numCache>
            </c:numRef>
          </c:val>
          <c:smooth val="0"/>
          <c:extLst>
            <c:ext xmlns:c16="http://schemas.microsoft.com/office/drawing/2014/chart" uri="{C3380CC4-5D6E-409C-BE32-E72D297353CC}">
              <c16:uniqueId val="{00000007-348B-4F96-A0A5-54AF1DEFD29F}"/>
            </c:ext>
          </c:extLst>
        </c:ser>
        <c:dLbls>
          <c:dLblPos val="t"/>
          <c:showLegendKey val="0"/>
          <c:showVal val="1"/>
          <c:showCatName val="0"/>
          <c:showSerName val="0"/>
          <c:showPercent val="0"/>
          <c:showBubbleSize val="0"/>
        </c:dLbls>
        <c:marker val="1"/>
        <c:smooth val="0"/>
        <c:axId val="1595511264"/>
        <c:axId val="1595758048"/>
      </c:lineChart>
      <c:catAx>
        <c:axId val="159551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crossAx val="1595758048"/>
        <c:crosses val="autoZero"/>
        <c:auto val="1"/>
        <c:lblAlgn val="ctr"/>
        <c:lblOffset val="100"/>
        <c:noMultiLvlLbl val="0"/>
      </c:catAx>
      <c:valAx>
        <c:axId val="1595758048"/>
        <c:scaling>
          <c:orientation val="minMax"/>
          <c:max val="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crossAx val="1595511264"/>
        <c:crosses val="autoZero"/>
        <c:crossBetween val="between"/>
        <c:majorUnit val="0.2"/>
      </c:valAx>
      <c:spPr>
        <a:noFill/>
        <a:ln>
          <a:noFill/>
        </a:ln>
        <a:effectLst/>
      </c:spPr>
    </c:plotArea>
    <c:legend>
      <c:legendPos val="r"/>
      <c:layout>
        <c:manualLayout>
          <c:xMode val="edge"/>
          <c:yMode val="edge"/>
          <c:x val="0.77702217511272631"/>
          <c:y val="0.24531359519366444"/>
          <c:w val="0.22297782488727372"/>
          <c:h val="0.52253743571070943"/>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ysClr val="windowText" lastClr="000000"/>
      </a:solidFill>
      <a:round/>
    </a:ln>
    <a:effectLst/>
  </c:spPr>
  <c:txPr>
    <a:bodyPr/>
    <a:lstStyle/>
    <a:p>
      <a:pPr>
        <a:defRPr sz="1200">
          <a:solidFill>
            <a:srgbClr val="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965371417180447E-2"/>
          <c:y val="2.6607299087614049E-2"/>
          <c:w val="0.70297005595819506"/>
          <c:h val="0.88391513560804902"/>
        </c:manualLayout>
      </c:layout>
      <c:lineChart>
        <c:grouping val="standard"/>
        <c:varyColors val="0"/>
        <c:ser>
          <c:idx val="0"/>
          <c:order val="0"/>
          <c:tx>
            <c:strRef>
              <c:f>'CAASPP ELA - WRITING CLAIM '!$M$43</c:f>
              <c:strCache>
                <c:ptCount val="1"/>
                <c:pt idx="0">
                  <c:v>All Students</c:v>
                </c:pt>
              </c:strCache>
            </c:strRef>
          </c:tx>
          <c:spPr>
            <a:ln w="28575" cap="rnd">
              <a:solidFill>
                <a:srgbClr val="4472C4"/>
              </a:solidFill>
              <a:round/>
            </a:ln>
            <a:effectLst/>
          </c:spPr>
          <c:marker>
            <c:symbol val="square"/>
            <c:size val="6"/>
            <c:spPr>
              <a:solidFill>
                <a:srgbClr val="4472C4"/>
              </a:solidFill>
              <a:ln w="9525">
                <a:solidFill>
                  <a:srgbClr val="4472C4"/>
                </a:solidFill>
              </a:ln>
              <a:effectLst/>
            </c:spPr>
          </c:marker>
          <c:dLbls>
            <c:dLbl>
              <c:idx val="0"/>
              <c:tx>
                <c:rich>
                  <a:bodyPr/>
                  <a:lstStyle/>
                  <a:p>
                    <a:fld id="{5F095512-30E6-EB4E-9478-F0F905AFD008}" type="VALUE">
                      <a:rPr lang="en-US"/>
                      <a:pPr/>
                      <a:t>[VALUE]</a:t>
                    </a:fld>
                    <a:endParaRPr lang="en-US"/>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AE6-489F-BDFB-9DD734DC0A28}"/>
                </c:ext>
              </c:extLst>
            </c:dLbl>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'CAASPP ELA - WRITING CLAIM '!$N$42:$Q$42</c:f>
              <c:strCache>
                <c:ptCount val="4"/>
                <c:pt idx="0">
                  <c:v>2017–18</c:v>
                </c:pt>
                <c:pt idx="1">
                  <c:v>2018–19</c:v>
                </c:pt>
                <c:pt idx="2">
                  <c:v>2021–22</c:v>
                </c:pt>
                <c:pt idx="3">
                  <c:v>2022–23</c:v>
                </c:pt>
              </c:strCache>
            </c:strRef>
          </c:cat>
          <c:val>
            <c:numRef>
              <c:f>'CAASPP ELA - WRITING CLAIM '!$N$43:$Q$43</c:f>
              <c:numCache>
                <c:formatCode>0.0%</c:formatCode>
                <c:ptCount val="4"/>
                <c:pt idx="0">
                  <c:v>0.26711839036468499</c:v>
                </c:pt>
                <c:pt idx="1">
                  <c:v>0.26170350889242899</c:v>
                </c:pt>
                <c:pt idx="2">
                  <c:v>0.1942405634265206</c:v>
                </c:pt>
                <c:pt idx="3">
                  <c:v>0.19205045153118475</c:v>
                </c:pt>
              </c:numCache>
            </c:numRef>
          </c:val>
          <c:smooth val="0"/>
          <c:extLst>
            <c:ext xmlns:c16="http://schemas.microsoft.com/office/drawing/2014/chart" uri="{C3380CC4-5D6E-409C-BE32-E72D297353CC}">
              <c16:uniqueId val="{00000001-7AE6-489F-BDFB-9DD734DC0A28}"/>
            </c:ext>
          </c:extLst>
        </c:ser>
        <c:ser>
          <c:idx val="1"/>
          <c:order val="1"/>
          <c:tx>
            <c:strRef>
              <c:f>'CAASPP ELA - WRITING CLAIM '!$M$44</c:f>
              <c:strCache>
                <c:ptCount val="1"/>
                <c:pt idx="0">
                  <c:v>Migratory Students</c:v>
                </c:pt>
              </c:strCache>
            </c:strRef>
          </c:tx>
          <c:spPr>
            <a:ln w="28575" cap="rnd">
              <a:solidFill>
                <a:schemeClr val="tx1"/>
              </a:solidFill>
              <a:round/>
            </a:ln>
            <a:effectLst/>
          </c:spPr>
          <c:marker>
            <c:symbol val="circle"/>
            <c:size val="6"/>
            <c:spPr>
              <a:solidFill>
                <a:schemeClr val="tx1"/>
              </a:solidFill>
              <a:ln w="9525">
                <a:solidFill>
                  <a:schemeClr val="tx1"/>
                </a:solidFill>
              </a:ln>
              <a:effectLst/>
            </c:spPr>
          </c:marker>
          <c:dLbls>
            <c:dLbl>
              <c:idx val="0"/>
              <c:layout>
                <c:manualLayout>
                  <c:x val="-0.13201157608463499"/>
                  <c:y val="-4.1062081835146327E-2"/>
                </c:manualLayout>
              </c:layout>
              <c:tx>
                <c:rich>
                  <a:bodyPr/>
                  <a:lstStyle/>
                  <a:p>
                    <a:fld id="{69914066-BCE2-5648-AD75-6533E7306DC3}" type="VALUE">
                      <a:rPr lang="en-US"/>
                      <a:pPr/>
                      <a:t>[VALUE]</a:t>
                    </a:fld>
                    <a:endParaRPr lang="en-US"/>
                  </a:p>
                </c:rich>
              </c:tx>
              <c:dLblPos val="r"/>
              <c:showLegendKey val="0"/>
              <c:showVal val="1"/>
              <c:showCatName val="0"/>
              <c:showSerName val="0"/>
              <c:showPercent val="0"/>
              <c:showBubbleSize val="0"/>
              <c:extLst>
                <c:ext xmlns:c15="http://schemas.microsoft.com/office/drawing/2012/chart" uri="{CE6537A1-D6FC-4f65-9D91-7224C49458BB}">
                  <c15:layout>
                    <c:manualLayout>
                      <c:w val="0.24594025430365504"/>
                      <c:h val="0.13414751263028538"/>
                    </c:manualLayout>
                  </c15:layout>
                  <c15:dlblFieldTable/>
                  <c15:showDataLabelsRange val="0"/>
                </c:ext>
                <c:ext xmlns:c16="http://schemas.microsoft.com/office/drawing/2014/chart" uri="{C3380CC4-5D6E-409C-BE32-E72D297353CC}">
                  <c16:uniqueId val="{00000002-7AE6-489F-BDFB-9DD734DC0A28}"/>
                </c:ext>
              </c:extLst>
            </c:dLbl>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'CAASPP ELA - WRITING CLAIM '!$N$42:$Q$42</c:f>
              <c:strCache>
                <c:ptCount val="4"/>
                <c:pt idx="0">
                  <c:v>2017–18</c:v>
                </c:pt>
                <c:pt idx="1">
                  <c:v>2018–19</c:v>
                </c:pt>
                <c:pt idx="2">
                  <c:v>2021–22</c:v>
                </c:pt>
                <c:pt idx="3">
                  <c:v>2022–23</c:v>
                </c:pt>
              </c:strCache>
            </c:strRef>
          </c:cat>
          <c:val>
            <c:numRef>
              <c:f>'CAASPP ELA - WRITING CLAIM '!$N$44:$Q$44</c:f>
              <c:numCache>
                <c:formatCode>0.0%</c:formatCode>
                <c:ptCount val="4"/>
                <c:pt idx="0">
                  <c:v>9.8937521296038167E-2</c:v>
                </c:pt>
                <c:pt idx="1">
                  <c:v>0.11513308482113661</c:v>
                </c:pt>
                <c:pt idx="2">
                  <c:v>6.6897746967071056E-2</c:v>
                </c:pt>
                <c:pt idx="3">
                  <c:v>6.7801319902744003E-2</c:v>
                </c:pt>
              </c:numCache>
            </c:numRef>
          </c:val>
          <c:smooth val="0"/>
          <c:extLst>
            <c:ext xmlns:c16="http://schemas.microsoft.com/office/drawing/2014/chart" uri="{C3380CC4-5D6E-409C-BE32-E72D297353CC}">
              <c16:uniqueId val="{00000003-7AE6-489F-BDFB-9DD734DC0A28}"/>
            </c:ext>
          </c:extLst>
        </c:ser>
        <c:ser>
          <c:idx val="2"/>
          <c:order val="2"/>
          <c:tx>
            <c:strRef>
              <c:f>'CAASPP ELA - WRITING CLAIM '!$M$45</c:f>
              <c:strCache>
                <c:ptCount val="1"/>
                <c:pt idx="0">
                  <c:v>Migratory PFS Students</c:v>
                </c:pt>
              </c:strCache>
            </c:strRef>
          </c:tx>
          <c:spPr>
            <a:ln w="28575" cap="rnd">
              <a:solidFill>
                <a:srgbClr val="3C8235"/>
              </a:solidFill>
              <a:round/>
            </a:ln>
            <a:effectLst/>
          </c:spPr>
          <c:marker>
            <c:symbol val="triangle"/>
            <c:size val="6"/>
            <c:spPr>
              <a:solidFill>
                <a:srgbClr val="3C8235"/>
              </a:solidFill>
              <a:ln w="9525">
                <a:solidFill>
                  <a:srgbClr val="3C8235"/>
                </a:solidFill>
              </a:ln>
              <a:effectLst/>
            </c:spPr>
          </c:marker>
          <c:dLbls>
            <c:dLbl>
              <c:idx val="0"/>
              <c:layout>
                <c:manualLayout>
                  <c:x val="-0.13690002691971195"/>
                  <c:y val="5.6247031621047369E-2"/>
                </c:manualLayout>
              </c:layout>
              <c:tx>
                <c:rich>
                  <a:bodyPr/>
                  <a:lstStyle/>
                  <a:p>
                    <a:fld id="{801F0DC5-C834-7B4A-89B7-A5F91DDC5E08}" type="VALUE">
                      <a:rPr lang="en-US"/>
                      <a:pPr/>
                      <a:t>[VALUE]</a:t>
                    </a:fld>
                    <a:endParaRPr lang="en-US"/>
                  </a:p>
                </c:rich>
              </c:tx>
              <c:dLblPos val="r"/>
              <c:showLegendKey val="0"/>
              <c:showVal val="1"/>
              <c:showCatName val="0"/>
              <c:showSerName val="0"/>
              <c:showPercent val="0"/>
              <c:showBubbleSize val="0"/>
              <c:extLst>
                <c:ext xmlns:c15="http://schemas.microsoft.com/office/drawing/2012/chart" uri="{CE6537A1-D6FC-4f65-9D91-7224C49458BB}">
                  <c15:layout>
                    <c:manualLayout>
                      <c:w val="0.26525309336332953"/>
                      <c:h val="0.12836716580947613"/>
                    </c:manualLayout>
                  </c15:layout>
                  <c15:dlblFieldTable/>
                  <c15:showDataLabelsRange val="0"/>
                </c:ext>
                <c:ext xmlns:c16="http://schemas.microsoft.com/office/drawing/2014/chart" uri="{C3380CC4-5D6E-409C-BE32-E72D297353CC}">
                  <c16:uniqueId val="{00000004-7AE6-489F-BDFB-9DD734DC0A28}"/>
                </c:ext>
              </c:extLst>
            </c:dLbl>
            <c:dLbl>
              <c:idx val="2"/>
              <c:dLblPos val="b"/>
              <c:showLegendKey val="0"/>
              <c:showVal val="1"/>
              <c:showCatName val="0"/>
              <c:showSerName val="0"/>
              <c:showPercent val="0"/>
              <c:showBubbleSize val="0"/>
              <c:extLst>
                <c:ext xmlns:c15="http://schemas.microsoft.com/office/drawing/2012/chart" uri="{CE6537A1-D6FC-4f65-9D91-7224C49458BB}">
                  <c15:layout>
                    <c:manualLayout>
                      <c:w val="7.494531933508311E-2"/>
                      <c:h val="7.4925009373828247E-2"/>
                    </c:manualLayout>
                  </c15:layout>
                </c:ext>
                <c:ext xmlns:c16="http://schemas.microsoft.com/office/drawing/2014/chart" uri="{C3380CC4-5D6E-409C-BE32-E72D297353CC}">
                  <c16:uniqueId val="{00000005-7AE6-489F-BDFB-9DD734DC0A28}"/>
                </c:ext>
              </c:extLst>
            </c:dLbl>
            <c:dLbl>
              <c:idx val="3"/>
              <c:dLblPos val="b"/>
              <c:showLegendKey val="0"/>
              <c:showVal val="1"/>
              <c:showCatName val="0"/>
              <c:showSerName val="0"/>
              <c:showPercent val="0"/>
              <c:showBubbleSize val="0"/>
              <c:extLst>
                <c:ext xmlns:c15="http://schemas.microsoft.com/office/drawing/2012/chart" uri="{CE6537A1-D6FC-4f65-9D91-7224C49458BB}">
                  <c15:layout>
                    <c:manualLayout>
                      <c:w val="9.2638973012988735E-2"/>
                      <c:h val="6.271841019872515E-2"/>
                    </c:manualLayout>
                  </c15:layout>
                </c:ext>
                <c:ext xmlns:c16="http://schemas.microsoft.com/office/drawing/2014/chart" uri="{C3380CC4-5D6E-409C-BE32-E72D297353CC}">
                  <c16:uniqueId val="{00000006-7AE6-489F-BDFB-9DD734DC0A28}"/>
                </c:ext>
              </c:extLst>
            </c:dLbl>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'CAASPP ELA - WRITING CLAIM '!$N$42:$Q$42</c:f>
              <c:strCache>
                <c:ptCount val="4"/>
                <c:pt idx="0">
                  <c:v>2017–18</c:v>
                </c:pt>
                <c:pt idx="1">
                  <c:v>2018–19</c:v>
                </c:pt>
                <c:pt idx="2">
                  <c:v>2021–22</c:v>
                </c:pt>
                <c:pt idx="3">
                  <c:v>2022–23</c:v>
                </c:pt>
              </c:strCache>
            </c:strRef>
          </c:cat>
          <c:val>
            <c:numRef>
              <c:f>'CAASPP ELA - WRITING CLAIM '!$N$45:$Q$45</c:f>
              <c:numCache>
                <c:formatCode>0.0%</c:formatCode>
                <c:ptCount val="4"/>
                <c:pt idx="0">
                  <c:v>4.1887337506018293E-2</c:v>
                </c:pt>
                <c:pt idx="1">
                  <c:v>5.353319057815846E-2</c:v>
                </c:pt>
                <c:pt idx="2">
                  <c:v>3.8841807909604523E-2</c:v>
                </c:pt>
                <c:pt idx="3">
                  <c:v>3.5548410146480885E-2</c:v>
                </c:pt>
              </c:numCache>
            </c:numRef>
          </c:val>
          <c:smooth val="0"/>
          <c:extLst>
            <c:ext xmlns:c16="http://schemas.microsoft.com/office/drawing/2014/chart" uri="{C3380CC4-5D6E-409C-BE32-E72D297353CC}">
              <c16:uniqueId val="{00000007-7AE6-489F-BDFB-9DD734DC0A28}"/>
            </c:ext>
          </c:extLst>
        </c:ser>
        <c:dLbls>
          <c:dLblPos val="t"/>
          <c:showLegendKey val="0"/>
          <c:showVal val="1"/>
          <c:showCatName val="0"/>
          <c:showSerName val="0"/>
          <c:showPercent val="0"/>
          <c:showBubbleSize val="0"/>
        </c:dLbls>
        <c:marker val="1"/>
        <c:smooth val="0"/>
        <c:axId val="1595511264"/>
        <c:axId val="1595758048"/>
      </c:lineChart>
      <c:catAx>
        <c:axId val="159551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crossAx val="1595758048"/>
        <c:crosses val="autoZero"/>
        <c:auto val="1"/>
        <c:lblAlgn val="ctr"/>
        <c:lblOffset val="100"/>
        <c:noMultiLvlLbl val="0"/>
      </c:catAx>
      <c:valAx>
        <c:axId val="1595758048"/>
        <c:scaling>
          <c:orientation val="minMax"/>
          <c:max val="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crossAx val="1595511264"/>
        <c:crosses val="autoZero"/>
        <c:crossBetween val="between"/>
        <c:majorUnit val="0.2"/>
      </c:valAx>
      <c:spPr>
        <a:noFill/>
        <a:ln>
          <a:noFill/>
        </a:ln>
        <a:effectLst/>
      </c:spPr>
    </c:plotArea>
    <c:legend>
      <c:legendPos val="r"/>
      <c:layout>
        <c:manualLayout>
          <c:xMode val="edge"/>
          <c:yMode val="edge"/>
          <c:x val="0.76633841442896566"/>
          <c:y val="0.24531359519366444"/>
          <c:w val="0.22642825896762905"/>
          <c:h val="0.52253743571070943"/>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solidFill>
        <a:sysClr val="windowText" lastClr="000000"/>
      </a:solidFill>
      <a:round/>
    </a:ln>
    <a:effectLst/>
  </c:spPr>
  <c:txPr>
    <a:bodyPr/>
    <a:lstStyle/>
    <a:p>
      <a:pPr>
        <a:defRPr sz="1200">
          <a:solidFill>
            <a:srgbClr val="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965371417180447E-2"/>
          <c:y val="0.13963884211005417"/>
          <c:w val="0.70297005595819506"/>
          <c:h val="0.78074165946019758"/>
        </c:manualLayout>
      </c:layout>
      <c:lineChart>
        <c:grouping val="standard"/>
        <c:varyColors val="0"/>
        <c:ser>
          <c:idx val="0"/>
          <c:order val="0"/>
          <c:tx>
            <c:strRef>
              <c:f>'CAASPP ELA - LISTENING CLAIM '!$M$43</c:f>
              <c:strCache>
                <c:ptCount val="1"/>
                <c:pt idx="0">
                  <c:v>All Students</c:v>
                </c:pt>
              </c:strCache>
            </c:strRef>
          </c:tx>
          <c:spPr>
            <a:ln w="28575" cap="rnd">
              <a:solidFill>
                <a:srgbClr val="4472C4"/>
              </a:solidFill>
              <a:round/>
            </a:ln>
            <a:effectLst/>
          </c:spPr>
          <c:marker>
            <c:symbol val="square"/>
            <c:size val="6"/>
            <c:spPr>
              <a:solidFill>
                <a:srgbClr val="4472C4"/>
              </a:solidFill>
              <a:ln w="9525">
                <a:solidFill>
                  <a:srgbClr val="4472C4"/>
                </a:solidFill>
              </a:ln>
              <a:effectLst/>
            </c:spPr>
          </c:marker>
          <c:dLbls>
            <c:dLbl>
              <c:idx val="0"/>
              <c:tx>
                <c:rich>
                  <a:bodyPr/>
                  <a:lstStyle/>
                  <a:p>
                    <a:fld id="{5F095512-30E6-EB4E-9478-F0F905AFD008}" type="VALUE">
                      <a:rPr lang="en-US"/>
                      <a:pPr/>
                      <a:t>[VALUE]</a:t>
                    </a:fld>
                    <a:endParaRPr lang="en-US"/>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DC53-442B-BB36-8C749951355D}"/>
                </c:ext>
              </c:extLst>
            </c:dLbl>
            <c:dLbl>
              <c:idx val="2"/>
              <c:layout>
                <c:manualLayout>
                  <c:x val="-5.5587690961706786E-2"/>
                  <c:y val="-6.90576177977752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3-442B-BB36-8C749951355D}"/>
                </c:ext>
              </c:extLst>
            </c:dLbl>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'CAASPP ELA - LISTENING CLAIM '!$N$42:$Q$42</c:f>
              <c:strCache>
                <c:ptCount val="4"/>
                <c:pt idx="0">
                  <c:v>2017–18</c:v>
                </c:pt>
                <c:pt idx="1">
                  <c:v>2018–19</c:v>
                </c:pt>
                <c:pt idx="2">
                  <c:v>2021–22</c:v>
                </c:pt>
                <c:pt idx="3">
                  <c:v>2022–23</c:v>
                </c:pt>
              </c:strCache>
            </c:strRef>
          </c:cat>
          <c:val>
            <c:numRef>
              <c:f>'CAASPP ELA - LISTENING CLAIM '!$N$43:$Q$43</c:f>
              <c:numCache>
                <c:formatCode>0.0%</c:formatCode>
                <c:ptCount val="4"/>
                <c:pt idx="0">
                  <c:v>0.17673430343532481</c:v>
                </c:pt>
                <c:pt idx="1">
                  <c:v>0.18684525789928436</c:v>
                </c:pt>
                <c:pt idx="2">
                  <c:v>0.13324267622220956</c:v>
                </c:pt>
                <c:pt idx="3">
                  <c:v>0.13266153319100107</c:v>
                </c:pt>
              </c:numCache>
            </c:numRef>
          </c:val>
          <c:smooth val="0"/>
          <c:extLst>
            <c:ext xmlns:c16="http://schemas.microsoft.com/office/drawing/2014/chart" uri="{C3380CC4-5D6E-409C-BE32-E72D297353CC}">
              <c16:uniqueId val="{00000002-DC53-442B-BB36-8C749951355D}"/>
            </c:ext>
          </c:extLst>
        </c:ser>
        <c:ser>
          <c:idx val="1"/>
          <c:order val="1"/>
          <c:tx>
            <c:strRef>
              <c:f>'CAASPP ELA - LISTENING CLAIM '!$M$44</c:f>
              <c:strCache>
                <c:ptCount val="1"/>
                <c:pt idx="0">
                  <c:v>Migratory Students</c:v>
                </c:pt>
              </c:strCache>
            </c:strRef>
          </c:tx>
          <c:spPr>
            <a:ln w="28575" cap="rnd">
              <a:solidFill>
                <a:schemeClr val="tx1"/>
              </a:solidFill>
              <a:round/>
            </a:ln>
            <a:effectLst/>
          </c:spPr>
          <c:marker>
            <c:symbol val="circle"/>
            <c:size val="6"/>
            <c:spPr>
              <a:solidFill>
                <a:schemeClr val="tx1"/>
              </a:solidFill>
              <a:ln w="9525">
                <a:solidFill>
                  <a:schemeClr val="tx1"/>
                </a:solidFill>
              </a:ln>
              <a:effectLst/>
            </c:spPr>
          </c:marker>
          <c:dLbls>
            <c:dLbl>
              <c:idx val="0"/>
              <c:layout>
                <c:manualLayout>
                  <c:x val="-0.13953866343630122"/>
                  <c:y val="-5.8491594800649992E-2"/>
                </c:manualLayout>
              </c:layout>
              <c:tx>
                <c:rich>
                  <a:bodyPr/>
                  <a:lstStyle/>
                  <a:p>
                    <a:fld id="{69914066-BCE2-5648-AD75-6533E7306DC3}" type="VALUE">
                      <a:rPr lang="en-US"/>
                      <a:pPr/>
                      <a:t>[VALUE]</a:t>
                    </a:fld>
                    <a:endParaRPr lang="en-US"/>
                  </a:p>
                </c:rich>
              </c:tx>
              <c:dLblPos val="r"/>
              <c:showLegendKey val="0"/>
              <c:showVal val="1"/>
              <c:showCatName val="0"/>
              <c:showSerName val="0"/>
              <c:showPercent val="0"/>
              <c:showBubbleSize val="0"/>
              <c:extLst>
                <c:ext xmlns:c15="http://schemas.microsoft.com/office/drawing/2012/chart" uri="{CE6537A1-D6FC-4f65-9D91-7224C49458BB}">
                  <c15:layout>
                    <c:manualLayout>
                      <c:w val="0.24594025430365504"/>
                      <c:h val="0.13414751263028538"/>
                    </c:manualLayout>
                  </c15:layout>
                  <c15:dlblFieldTable/>
                  <c15:showDataLabelsRange val="0"/>
                </c:ext>
                <c:ext xmlns:c16="http://schemas.microsoft.com/office/drawing/2014/chart" uri="{C3380CC4-5D6E-409C-BE32-E72D297353CC}">
                  <c16:uniqueId val="{00000003-DC53-442B-BB36-8C749951355D}"/>
                </c:ext>
              </c:extLst>
            </c:dLbl>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'CAASPP ELA - LISTENING CLAIM '!$N$42:$Q$42</c:f>
              <c:strCache>
                <c:ptCount val="4"/>
                <c:pt idx="0">
                  <c:v>2017–18</c:v>
                </c:pt>
                <c:pt idx="1">
                  <c:v>2018–19</c:v>
                </c:pt>
                <c:pt idx="2">
                  <c:v>2021–22</c:v>
                </c:pt>
                <c:pt idx="3">
                  <c:v>2022–23</c:v>
                </c:pt>
              </c:strCache>
            </c:strRef>
          </c:cat>
          <c:val>
            <c:numRef>
              <c:f>'CAASPP ELA - LISTENING CLAIM '!$N$44:$Q$44</c:f>
              <c:numCache>
                <c:formatCode>0.0%</c:formatCode>
                <c:ptCount val="4"/>
                <c:pt idx="0">
                  <c:v>7.048131317815079E-2</c:v>
                </c:pt>
                <c:pt idx="1">
                  <c:v>8.0116271474296161E-2</c:v>
                </c:pt>
                <c:pt idx="2">
                  <c:v>6.4539571581825106E-2</c:v>
                </c:pt>
                <c:pt idx="3">
                  <c:v>6.2666990527082828E-2</c:v>
                </c:pt>
              </c:numCache>
            </c:numRef>
          </c:val>
          <c:smooth val="0"/>
          <c:extLst>
            <c:ext xmlns:c16="http://schemas.microsoft.com/office/drawing/2014/chart" uri="{C3380CC4-5D6E-409C-BE32-E72D297353CC}">
              <c16:uniqueId val="{00000004-DC53-442B-BB36-8C749951355D}"/>
            </c:ext>
          </c:extLst>
        </c:ser>
        <c:ser>
          <c:idx val="2"/>
          <c:order val="2"/>
          <c:tx>
            <c:strRef>
              <c:f>'CAASPP ELA - LISTENING CLAIM '!$M$45</c:f>
              <c:strCache>
                <c:ptCount val="1"/>
                <c:pt idx="0">
                  <c:v>Migratory PFS Students</c:v>
                </c:pt>
              </c:strCache>
            </c:strRef>
          </c:tx>
          <c:spPr>
            <a:ln w="28575" cap="rnd">
              <a:solidFill>
                <a:srgbClr val="3C8235"/>
              </a:solidFill>
              <a:round/>
            </a:ln>
            <a:effectLst/>
          </c:spPr>
          <c:marker>
            <c:symbol val="triangle"/>
            <c:size val="6"/>
            <c:spPr>
              <a:solidFill>
                <a:srgbClr val="3C8235"/>
              </a:solidFill>
              <a:ln w="9525">
                <a:solidFill>
                  <a:srgbClr val="3C8235"/>
                </a:solidFill>
              </a:ln>
              <a:effectLst/>
            </c:spPr>
          </c:marker>
          <c:dLbls>
            <c:dLbl>
              <c:idx val="0"/>
              <c:layout>
                <c:manualLayout>
                  <c:x val="-0.1454470354667205"/>
                  <c:y val="5.6247031621047223E-2"/>
                </c:manualLayout>
              </c:layout>
              <c:tx>
                <c:rich>
                  <a:bodyPr/>
                  <a:lstStyle/>
                  <a:p>
                    <a:fld id="{801F0DC5-C834-7B4A-89B7-A5F91DDC5E08}" type="VALUE">
                      <a:rPr lang="en-US"/>
                      <a:pPr/>
                      <a:t>[VALUE]</a:t>
                    </a:fld>
                    <a:endParaRPr lang="en-US"/>
                  </a:p>
                </c:rich>
              </c:tx>
              <c:dLblPos val="r"/>
              <c:showLegendKey val="0"/>
              <c:showVal val="1"/>
              <c:showCatName val="0"/>
              <c:showSerName val="0"/>
              <c:showPercent val="0"/>
              <c:showBubbleSize val="0"/>
              <c:extLst>
                <c:ext xmlns:c15="http://schemas.microsoft.com/office/drawing/2012/chart" uri="{CE6537A1-D6FC-4f65-9D91-7224C49458BB}">
                  <c15:layout>
                    <c:manualLayout>
                      <c:w val="0.26525309336332953"/>
                      <c:h val="0.12836716580947613"/>
                    </c:manualLayout>
                  </c15:layout>
                  <c15:dlblFieldTable/>
                  <c15:showDataLabelsRange val="0"/>
                </c:ext>
                <c:ext xmlns:c16="http://schemas.microsoft.com/office/drawing/2014/chart" uri="{C3380CC4-5D6E-409C-BE32-E72D297353CC}">
                  <c16:uniqueId val="{00000005-DC53-442B-BB36-8C749951355D}"/>
                </c:ext>
              </c:extLst>
            </c:dLbl>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'CAASPP ELA - LISTENING CLAIM '!$N$42:$Q$42</c:f>
              <c:strCache>
                <c:ptCount val="4"/>
                <c:pt idx="0">
                  <c:v>2017–18</c:v>
                </c:pt>
                <c:pt idx="1">
                  <c:v>2018–19</c:v>
                </c:pt>
                <c:pt idx="2">
                  <c:v>2021–22</c:v>
                </c:pt>
                <c:pt idx="3">
                  <c:v>2022–23</c:v>
                </c:pt>
              </c:strCache>
            </c:strRef>
          </c:cat>
          <c:val>
            <c:numRef>
              <c:f>'CAASPP ELA - LISTENING CLAIM '!$N$45:$Q$45</c:f>
              <c:numCache>
                <c:formatCode>0.0%</c:formatCode>
                <c:ptCount val="4"/>
                <c:pt idx="0">
                  <c:v>3.2944186790340634E-2</c:v>
                </c:pt>
                <c:pt idx="1">
                  <c:v>3.5950252623396815E-2</c:v>
                </c:pt>
                <c:pt idx="2">
                  <c:v>4.3317485472794508E-2</c:v>
                </c:pt>
                <c:pt idx="3">
                  <c:v>4.194930382006426E-2</c:v>
                </c:pt>
              </c:numCache>
            </c:numRef>
          </c:val>
          <c:smooth val="0"/>
          <c:extLst>
            <c:ext xmlns:c16="http://schemas.microsoft.com/office/drawing/2014/chart" uri="{C3380CC4-5D6E-409C-BE32-E72D297353CC}">
              <c16:uniqueId val="{00000006-DC53-442B-BB36-8C749951355D}"/>
            </c:ext>
          </c:extLst>
        </c:ser>
        <c:dLbls>
          <c:dLblPos val="t"/>
          <c:showLegendKey val="0"/>
          <c:showVal val="1"/>
          <c:showCatName val="0"/>
          <c:showSerName val="0"/>
          <c:showPercent val="0"/>
          <c:showBubbleSize val="0"/>
        </c:dLbls>
        <c:marker val="1"/>
        <c:smooth val="0"/>
        <c:axId val="1595511264"/>
        <c:axId val="1595758048"/>
      </c:lineChart>
      <c:catAx>
        <c:axId val="159551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crossAx val="1595758048"/>
        <c:crosses val="autoZero"/>
        <c:auto val="1"/>
        <c:lblAlgn val="ctr"/>
        <c:lblOffset val="100"/>
        <c:noMultiLvlLbl val="0"/>
      </c:catAx>
      <c:valAx>
        <c:axId val="1595758048"/>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crossAx val="1595511264"/>
        <c:crosses val="autoZero"/>
        <c:crossBetween val="between"/>
        <c:majorUnit val="0.1"/>
      </c:valAx>
      <c:spPr>
        <a:noFill/>
        <a:ln>
          <a:noFill/>
        </a:ln>
        <a:effectLst/>
      </c:spPr>
    </c:plotArea>
    <c:legend>
      <c:legendPos val="r"/>
      <c:layout>
        <c:manualLayout>
          <c:xMode val="edge"/>
          <c:yMode val="edge"/>
          <c:x val="0.77488542297597418"/>
          <c:y val="0.29690101237345334"/>
          <c:w val="0.22297782488727372"/>
          <c:h val="0.50817259114287017"/>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ysClr val="windowText" lastClr="000000"/>
      </a:solidFill>
      <a:round/>
    </a:ln>
    <a:effectLst/>
  </c:spPr>
  <c:txPr>
    <a:bodyPr/>
    <a:lstStyle/>
    <a:p>
      <a:pPr>
        <a:defRPr sz="1200">
          <a:solidFill>
            <a:srgbClr val="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965371417180447E-2"/>
          <c:y val="2.6607299087614049E-2"/>
          <c:w val="0.70297005595819506"/>
          <c:h val="0.88391513560804902"/>
        </c:manualLayout>
      </c:layout>
      <c:lineChart>
        <c:grouping val="standard"/>
        <c:varyColors val="0"/>
        <c:ser>
          <c:idx val="0"/>
          <c:order val="0"/>
          <c:tx>
            <c:strRef>
              <c:f>'CAASPP ELA - RESEARCH CLAIM '!$M$43</c:f>
              <c:strCache>
                <c:ptCount val="1"/>
                <c:pt idx="0">
                  <c:v>All Students</c:v>
                </c:pt>
              </c:strCache>
            </c:strRef>
          </c:tx>
          <c:spPr>
            <a:ln w="28575" cap="rnd">
              <a:solidFill>
                <a:srgbClr val="4472C4"/>
              </a:solidFill>
              <a:round/>
            </a:ln>
            <a:effectLst/>
          </c:spPr>
          <c:marker>
            <c:symbol val="square"/>
            <c:size val="8"/>
            <c:spPr>
              <a:solidFill>
                <a:srgbClr val="4472C4"/>
              </a:solidFill>
              <a:ln w="9525">
                <a:solidFill>
                  <a:srgbClr val="4472C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'CAASPP ELA - RESEARCH CLAIM '!$N$42:$Q$42</c:f>
              <c:strCache>
                <c:ptCount val="4"/>
                <c:pt idx="0">
                  <c:v>2017–18</c:v>
                </c:pt>
                <c:pt idx="1">
                  <c:v>2018–19</c:v>
                </c:pt>
                <c:pt idx="2">
                  <c:v>2021–22</c:v>
                </c:pt>
                <c:pt idx="3">
                  <c:v>2022–23</c:v>
                </c:pt>
              </c:strCache>
            </c:strRef>
          </c:cat>
          <c:val>
            <c:numRef>
              <c:f>'CAASPP ELA - RESEARCH CLAIM '!$N$43:$Q$43</c:f>
              <c:numCache>
                <c:formatCode>0.0%</c:formatCode>
                <c:ptCount val="4"/>
                <c:pt idx="0">
                  <c:v>0.2943980888390062</c:v>
                </c:pt>
                <c:pt idx="1">
                  <c:v>0.2723067777321842</c:v>
                </c:pt>
                <c:pt idx="2">
                  <c:v>0.18479305500570903</c:v>
                </c:pt>
                <c:pt idx="3">
                  <c:v>0.18503937141000268</c:v>
                </c:pt>
              </c:numCache>
            </c:numRef>
          </c:val>
          <c:smooth val="0"/>
          <c:extLst>
            <c:ext xmlns:c16="http://schemas.microsoft.com/office/drawing/2014/chart" uri="{C3380CC4-5D6E-409C-BE32-E72D297353CC}">
              <c16:uniqueId val="{00000000-CBF2-446D-973F-AF302149BA31}"/>
            </c:ext>
          </c:extLst>
        </c:ser>
        <c:ser>
          <c:idx val="1"/>
          <c:order val="1"/>
          <c:tx>
            <c:strRef>
              <c:f>'CAASPP ELA - RESEARCH CLAIM '!$M$44</c:f>
              <c:strCache>
                <c:ptCount val="1"/>
                <c:pt idx="0">
                  <c:v>Migratory Students</c:v>
                </c:pt>
              </c:strCache>
            </c:strRef>
          </c:tx>
          <c:spPr>
            <a:ln w="28575" cap="rnd">
              <a:solidFill>
                <a:schemeClr val="tx1"/>
              </a:solidFill>
              <a:round/>
            </a:ln>
            <a:effectLst/>
          </c:spPr>
          <c:marker>
            <c:symbol val="circle"/>
            <c:size val="8"/>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'CAASPP ELA - RESEARCH CLAIM '!$N$42:$Q$42</c:f>
              <c:strCache>
                <c:ptCount val="4"/>
                <c:pt idx="0">
                  <c:v>2017–18</c:v>
                </c:pt>
                <c:pt idx="1">
                  <c:v>2018–19</c:v>
                </c:pt>
                <c:pt idx="2">
                  <c:v>2021–22</c:v>
                </c:pt>
                <c:pt idx="3">
                  <c:v>2022–23</c:v>
                </c:pt>
              </c:strCache>
            </c:strRef>
          </c:cat>
          <c:val>
            <c:numRef>
              <c:f>'CAASPP ELA - RESEARCH CLAIM '!$N$44:$Q$44</c:f>
              <c:numCache>
                <c:formatCode>0.0%</c:formatCode>
                <c:ptCount val="4"/>
                <c:pt idx="0">
                  <c:v>0.14769459133500323</c:v>
                </c:pt>
                <c:pt idx="1">
                  <c:v>0.13401522826051437</c:v>
                </c:pt>
                <c:pt idx="2">
                  <c:v>8.2295558322955584E-2</c:v>
                </c:pt>
                <c:pt idx="3">
                  <c:v>8.5455554784539589E-2</c:v>
                </c:pt>
              </c:numCache>
            </c:numRef>
          </c:val>
          <c:smooth val="0"/>
          <c:extLst>
            <c:ext xmlns:c16="http://schemas.microsoft.com/office/drawing/2014/chart" uri="{C3380CC4-5D6E-409C-BE32-E72D297353CC}">
              <c16:uniqueId val="{00000001-CBF2-446D-973F-AF302149BA31}"/>
            </c:ext>
          </c:extLst>
        </c:ser>
        <c:ser>
          <c:idx val="2"/>
          <c:order val="2"/>
          <c:tx>
            <c:strRef>
              <c:f>'CAASPP ELA - RESEARCH CLAIM '!$M$45</c:f>
              <c:strCache>
                <c:ptCount val="1"/>
                <c:pt idx="0">
                  <c:v>Migratory PFS Students</c:v>
                </c:pt>
              </c:strCache>
            </c:strRef>
          </c:tx>
          <c:spPr>
            <a:ln w="28575" cap="rnd">
              <a:solidFill>
                <a:srgbClr val="3C8235"/>
              </a:solidFill>
              <a:round/>
            </a:ln>
            <a:effectLst/>
          </c:spPr>
          <c:marker>
            <c:symbol val="triangle"/>
            <c:size val="8"/>
            <c:spPr>
              <a:solidFill>
                <a:srgbClr val="3C8235"/>
              </a:solidFill>
              <a:ln w="9525">
                <a:solidFill>
                  <a:srgbClr val="3C823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'CAASPP ELA - RESEARCH CLAIM '!$N$42:$Q$42</c:f>
              <c:strCache>
                <c:ptCount val="4"/>
                <c:pt idx="0">
                  <c:v>2017–18</c:v>
                </c:pt>
                <c:pt idx="1">
                  <c:v>2018–19</c:v>
                </c:pt>
                <c:pt idx="2">
                  <c:v>2021–22</c:v>
                </c:pt>
                <c:pt idx="3">
                  <c:v>2022–23</c:v>
                </c:pt>
              </c:strCache>
            </c:strRef>
          </c:cat>
          <c:val>
            <c:numRef>
              <c:f>'CAASPP ELA - RESEARCH CLAIM '!$N$45:$Q$45</c:f>
              <c:numCache>
                <c:formatCode>0.0%</c:formatCode>
                <c:ptCount val="4"/>
                <c:pt idx="0">
                  <c:v>8.2574126221633265E-2</c:v>
                </c:pt>
                <c:pt idx="1">
                  <c:v>0.06</c:v>
                </c:pt>
                <c:pt idx="2">
                  <c:v>0.05</c:v>
                </c:pt>
                <c:pt idx="3">
                  <c:v>4.8723897911832945E-2</c:v>
                </c:pt>
              </c:numCache>
            </c:numRef>
          </c:val>
          <c:smooth val="0"/>
          <c:extLst>
            <c:ext xmlns:c16="http://schemas.microsoft.com/office/drawing/2014/chart" uri="{C3380CC4-5D6E-409C-BE32-E72D297353CC}">
              <c16:uniqueId val="{00000002-CBF2-446D-973F-AF302149BA31}"/>
            </c:ext>
          </c:extLst>
        </c:ser>
        <c:dLbls>
          <c:dLblPos val="t"/>
          <c:showLegendKey val="0"/>
          <c:showVal val="1"/>
          <c:showCatName val="0"/>
          <c:showSerName val="0"/>
          <c:showPercent val="0"/>
          <c:showBubbleSize val="0"/>
        </c:dLbls>
        <c:marker val="1"/>
        <c:smooth val="0"/>
        <c:axId val="1595511264"/>
        <c:axId val="1595758048"/>
      </c:lineChart>
      <c:catAx>
        <c:axId val="159551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crossAx val="1595758048"/>
        <c:crosses val="autoZero"/>
        <c:auto val="1"/>
        <c:lblAlgn val="ctr"/>
        <c:lblOffset val="100"/>
        <c:noMultiLvlLbl val="0"/>
      </c:catAx>
      <c:valAx>
        <c:axId val="1595758048"/>
        <c:scaling>
          <c:orientation val="minMax"/>
          <c:max val="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crossAx val="1595511264"/>
        <c:crosses val="autoZero"/>
        <c:crossBetween val="between"/>
        <c:majorUnit val="0.2"/>
      </c:valAx>
      <c:spPr>
        <a:noFill/>
        <a:ln>
          <a:noFill/>
        </a:ln>
        <a:effectLst/>
      </c:spPr>
    </c:plotArea>
    <c:legend>
      <c:legendPos val="r"/>
      <c:layout>
        <c:manualLayout>
          <c:xMode val="edge"/>
          <c:yMode val="edge"/>
          <c:x val="0.75138114947170065"/>
          <c:y val="0.21753593300837396"/>
          <c:w val="0.2486188505282993"/>
          <c:h val="0.44924509436320464"/>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ysClr val="windowText" lastClr="000000"/>
      </a:solidFill>
      <a:round/>
    </a:ln>
    <a:effectLst/>
  </c:spPr>
  <c:txPr>
    <a:bodyPr/>
    <a:lstStyle/>
    <a:p>
      <a:pPr>
        <a:defRPr sz="1200">
          <a:solidFill>
            <a:srgbClr val="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965371417180447E-2"/>
          <c:y val="2.9812252514678447E-2"/>
          <c:w val="0.70297005595819506"/>
          <c:h val="0.8905682490555733"/>
        </c:manualLayout>
      </c:layout>
      <c:lineChart>
        <c:grouping val="standard"/>
        <c:varyColors val="0"/>
        <c:ser>
          <c:idx val="0"/>
          <c:order val="0"/>
          <c:tx>
            <c:strRef>
              <c:f>'CAASPP Math OVERALL Proficiency'!$M$43</c:f>
              <c:strCache>
                <c:ptCount val="1"/>
                <c:pt idx="0">
                  <c:v>All Students</c:v>
                </c:pt>
              </c:strCache>
            </c:strRef>
          </c:tx>
          <c:spPr>
            <a:ln w="28575" cap="rnd">
              <a:solidFill>
                <a:srgbClr val="4472C4"/>
              </a:solidFill>
              <a:round/>
            </a:ln>
            <a:effectLst/>
          </c:spPr>
          <c:marker>
            <c:symbol val="square"/>
            <c:size val="8"/>
            <c:spPr>
              <a:solidFill>
                <a:srgbClr val="4472C4"/>
              </a:solidFill>
              <a:ln w="9525">
                <a:solidFill>
                  <a:srgbClr val="4472C4"/>
                </a:solidFill>
              </a:ln>
              <a:effectLst/>
            </c:spPr>
          </c:marker>
          <c:dLbls>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'CAASPP Math OVERALL Proficiency'!$N$42:$Q$42</c:f>
              <c:strCache>
                <c:ptCount val="4"/>
                <c:pt idx="0">
                  <c:v>2017–18</c:v>
                </c:pt>
                <c:pt idx="1">
                  <c:v>2018–19</c:v>
                </c:pt>
                <c:pt idx="2">
                  <c:v>2021–22</c:v>
                </c:pt>
                <c:pt idx="3">
                  <c:v>2022–23</c:v>
                </c:pt>
              </c:strCache>
            </c:strRef>
          </c:cat>
          <c:val>
            <c:numRef>
              <c:f>'CAASPP Math OVERALL Proficiency'!$N$43:$Q$43</c:f>
              <c:numCache>
                <c:formatCode>0.0%</c:formatCode>
                <c:ptCount val="4"/>
                <c:pt idx="0">
                  <c:v>0.38627917592855493</c:v>
                </c:pt>
                <c:pt idx="1">
                  <c:v>0.39703443129999016</c:v>
                </c:pt>
                <c:pt idx="2">
                  <c:v>0.333458436114348</c:v>
                </c:pt>
                <c:pt idx="3">
                  <c:v>0.34592467935670151</c:v>
                </c:pt>
              </c:numCache>
            </c:numRef>
          </c:val>
          <c:smooth val="0"/>
          <c:extLst>
            <c:ext xmlns:c16="http://schemas.microsoft.com/office/drawing/2014/chart" uri="{C3380CC4-5D6E-409C-BE32-E72D297353CC}">
              <c16:uniqueId val="{00000000-130B-417B-B0A4-26737E5A8C32}"/>
            </c:ext>
          </c:extLst>
        </c:ser>
        <c:ser>
          <c:idx val="1"/>
          <c:order val="1"/>
          <c:tx>
            <c:strRef>
              <c:f>'CAASPP Math OVERALL Proficiency'!$M$44</c:f>
              <c:strCache>
                <c:ptCount val="1"/>
                <c:pt idx="0">
                  <c:v>Migratory Students</c:v>
                </c:pt>
              </c:strCache>
            </c:strRef>
          </c:tx>
          <c:spPr>
            <a:ln w="28575" cap="rnd">
              <a:solidFill>
                <a:schemeClr val="tx1"/>
              </a:solidFill>
              <a:round/>
            </a:ln>
            <a:effectLst/>
          </c:spPr>
          <c:marker>
            <c:symbol val="circle"/>
            <c:size val="8"/>
            <c:spPr>
              <a:solidFill>
                <a:schemeClr val="tx1"/>
              </a:solidFill>
              <a:ln w="9525">
                <a:solidFill>
                  <a:schemeClr val="tx1"/>
                </a:solidFill>
              </a:ln>
              <a:effectLst/>
            </c:spPr>
          </c:marker>
          <c:dLbls>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'CAASPP Math OVERALL Proficiency'!$N$42:$Q$42</c:f>
              <c:strCache>
                <c:ptCount val="4"/>
                <c:pt idx="0">
                  <c:v>2017–18</c:v>
                </c:pt>
                <c:pt idx="1">
                  <c:v>2018–19</c:v>
                </c:pt>
                <c:pt idx="2">
                  <c:v>2021–22</c:v>
                </c:pt>
                <c:pt idx="3">
                  <c:v>2022–23</c:v>
                </c:pt>
              </c:strCache>
            </c:strRef>
          </c:cat>
          <c:val>
            <c:numRef>
              <c:f>'CAASPP Math OVERALL Proficiency'!$N$44:$Q$44</c:f>
              <c:numCache>
                <c:formatCode>0.0%</c:formatCode>
                <c:ptCount val="4"/>
                <c:pt idx="0">
                  <c:v>0.19328545889767598</c:v>
                </c:pt>
                <c:pt idx="1">
                  <c:v>0.20725916956119944</c:v>
                </c:pt>
                <c:pt idx="2">
                  <c:v>0.13478349257979264</c:v>
                </c:pt>
                <c:pt idx="3">
                  <c:v>0.14273142663733288</c:v>
                </c:pt>
              </c:numCache>
            </c:numRef>
          </c:val>
          <c:smooth val="0"/>
          <c:extLst>
            <c:ext xmlns:c16="http://schemas.microsoft.com/office/drawing/2014/chart" uri="{C3380CC4-5D6E-409C-BE32-E72D297353CC}">
              <c16:uniqueId val="{00000001-130B-417B-B0A4-26737E5A8C32}"/>
            </c:ext>
          </c:extLst>
        </c:ser>
        <c:ser>
          <c:idx val="2"/>
          <c:order val="2"/>
          <c:tx>
            <c:strRef>
              <c:f>'CAASPP Math OVERALL Proficiency'!$M$45</c:f>
              <c:strCache>
                <c:ptCount val="1"/>
                <c:pt idx="0">
                  <c:v>Migratory PFS Students</c:v>
                </c:pt>
              </c:strCache>
            </c:strRef>
          </c:tx>
          <c:spPr>
            <a:ln w="28575" cap="rnd">
              <a:solidFill>
                <a:srgbClr val="3C8235"/>
              </a:solidFill>
              <a:round/>
            </a:ln>
            <a:effectLst/>
          </c:spPr>
          <c:marker>
            <c:symbol val="triangle"/>
            <c:size val="8"/>
            <c:spPr>
              <a:solidFill>
                <a:srgbClr val="3C8235"/>
              </a:solidFill>
              <a:ln w="9525">
                <a:solidFill>
                  <a:srgbClr val="3C8235"/>
                </a:solidFill>
              </a:ln>
              <a:effectLst/>
            </c:spPr>
          </c:marker>
          <c:dLbls>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'CAASPP Math OVERALL Proficiency'!$N$42:$Q$42</c:f>
              <c:strCache>
                <c:ptCount val="4"/>
                <c:pt idx="0">
                  <c:v>2017–18</c:v>
                </c:pt>
                <c:pt idx="1">
                  <c:v>2018–19</c:v>
                </c:pt>
                <c:pt idx="2">
                  <c:v>2021–22</c:v>
                </c:pt>
                <c:pt idx="3">
                  <c:v>2022–23</c:v>
                </c:pt>
              </c:strCache>
            </c:strRef>
          </c:cat>
          <c:val>
            <c:numRef>
              <c:f>'CAASPP Math OVERALL Proficiency'!$N$45:$Q$45</c:f>
              <c:numCache>
                <c:formatCode>0.0%</c:formatCode>
                <c:ptCount val="4"/>
                <c:pt idx="0">
                  <c:v>7.0000000000000007E-2</c:v>
                </c:pt>
                <c:pt idx="1">
                  <c:v>7.0000000000000007E-2</c:v>
                </c:pt>
                <c:pt idx="2">
                  <c:v>0.06</c:v>
                </c:pt>
                <c:pt idx="3">
                  <c:v>6.7715231788079464E-2</c:v>
                </c:pt>
              </c:numCache>
            </c:numRef>
          </c:val>
          <c:smooth val="0"/>
          <c:extLst>
            <c:ext xmlns:c16="http://schemas.microsoft.com/office/drawing/2014/chart" uri="{C3380CC4-5D6E-409C-BE32-E72D297353CC}">
              <c16:uniqueId val="{00000002-130B-417B-B0A4-26737E5A8C32}"/>
            </c:ext>
          </c:extLst>
        </c:ser>
        <c:dLbls>
          <c:dLblPos val="t"/>
          <c:showLegendKey val="0"/>
          <c:showVal val="1"/>
          <c:showCatName val="0"/>
          <c:showSerName val="0"/>
          <c:showPercent val="0"/>
          <c:showBubbleSize val="0"/>
        </c:dLbls>
        <c:marker val="1"/>
        <c:smooth val="0"/>
        <c:axId val="1595511264"/>
        <c:axId val="1595758048"/>
      </c:lineChart>
      <c:catAx>
        <c:axId val="159551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crossAx val="1595758048"/>
        <c:crosses val="autoZero"/>
        <c:auto val="1"/>
        <c:lblAlgn val="ctr"/>
        <c:lblOffset val="100"/>
        <c:noMultiLvlLbl val="0"/>
      </c:catAx>
      <c:valAx>
        <c:axId val="1595758048"/>
        <c:scaling>
          <c:orientation val="minMax"/>
          <c:max val="0.5"/>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crossAx val="1595511264"/>
        <c:crosses val="autoZero"/>
        <c:crossBetween val="between"/>
        <c:majorUnit val="0.25"/>
      </c:valAx>
      <c:spPr>
        <a:noFill/>
        <a:ln>
          <a:noFill/>
        </a:ln>
        <a:effectLst/>
      </c:spPr>
    </c:plotArea>
    <c:legend>
      <c:legendPos val="r"/>
      <c:layout>
        <c:manualLayout>
          <c:xMode val="edge"/>
          <c:yMode val="edge"/>
          <c:x val="0.75565465374520491"/>
          <c:y val="0.24531359519366444"/>
          <c:w val="0.23711201965138973"/>
          <c:h val="0.52253743571070943"/>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ysClr val="windowText" lastClr="000000"/>
      </a:solidFill>
      <a:round/>
    </a:ln>
    <a:effectLst/>
  </c:spPr>
  <c:txPr>
    <a:bodyPr/>
    <a:lstStyle/>
    <a:p>
      <a:pPr>
        <a:defRPr sz="1200">
          <a:solidFill>
            <a:srgbClr val="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965371417180447E-2"/>
          <c:y val="2.9812252514678447E-2"/>
          <c:w val="0.70297005595819506"/>
          <c:h val="0.8905682490555733"/>
        </c:manualLayout>
      </c:layout>
      <c:lineChart>
        <c:grouping val="standard"/>
        <c:varyColors val="0"/>
        <c:ser>
          <c:idx val="0"/>
          <c:order val="0"/>
          <c:tx>
            <c:strRef>
              <c:f>'CAASPP Math - CONCEPTS CLAIM '!$M$43</c:f>
              <c:strCache>
                <c:ptCount val="1"/>
                <c:pt idx="0">
                  <c:v>All Students</c:v>
                </c:pt>
              </c:strCache>
            </c:strRef>
          </c:tx>
          <c:spPr>
            <a:ln w="28575" cap="rnd">
              <a:solidFill>
                <a:srgbClr val="4472C4"/>
              </a:solidFill>
              <a:round/>
            </a:ln>
            <a:effectLst/>
          </c:spPr>
          <c:marker>
            <c:symbol val="square"/>
            <c:size val="8"/>
            <c:spPr>
              <a:solidFill>
                <a:srgbClr val="4472C4"/>
              </a:solidFill>
              <a:ln w="9525">
                <a:solidFill>
                  <a:srgbClr val="4472C4"/>
                </a:solidFill>
              </a:ln>
              <a:effectLst/>
            </c:spPr>
          </c:marker>
          <c:dLbls>
            <c:dLbl>
              <c:idx val="1"/>
              <c:layout>
                <c:manualLayout>
                  <c:x val="-5.7724443098458887E-2"/>
                  <c:y val="-4.92163479565054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A6-4750-98C5-2B2410F3E2DC}"/>
                </c:ext>
              </c:extLst>
            </c:dLbl>
            <c:dLbl>
              <c:idx val="2"/>
              <c:layout>
                <c:manualLayout>
                  <c:x val="-4.9177434551450377E-2"/>
                  <c:y val="-6.11211098612673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A6-4750-98C5-2B2410F3E2DC}"/>
                </c:ext>
              </c:extLst>
            </c:dLbl>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'CAASPP Math - CONCEPTS CLAIM '!$N$42:$Q$42</c:f>
              <c:strCache>
                <c:ptCount val="4"/>
                <c:pt idx="0">
                  <c:v>2017–18</c:v>
                </c:pt>
                <c:pt idx="1">
                  <c:v>2018–19</c:v>
                </c:pt>
                <c:pt idx="2">
                  <c:v>2021–22</c:v>
                </c:pt>
                <c:pt idx="3">
                  <c:v>2022–23</c:v>
                </c:pt>
              </c:strCache>
            </c:strRef>
          </c:cat>
          <c:val>
            <c:numRef>
              <c:f>'CAASPP Math - CONCEPTS CLAIM '!$N$43:$Q$43</c:f>
              <c:numCache>
                <c:formatCode>0.0%</c:formatCode>
                <c:ptCount val="4"/>
                <c:pt idx="0">
                  <c:v>0.26487398357513325</c:v>
                </c:pt>
                <c:pt idx="1">
                  <c:v>0.27461078278753809</c:v>
                </c:pt>
                <c:pt idx="2">
                  <c:v>0.18222062380160547</c:v>
                </c:pt>
                <c:pt idx="3">
                  <c:v>0.19252372514592708</c:v>
                </c:pt>
              </c:numCache>
            </c:numRef>
          </c:val>
          <c:smooth val="0"/>
          <c:extLst>
            <c:ext xmlns:c16="http://schemas.microsoft.com/office/drawing/2014/chart" uri="{C3380CC4-5D6E-409C-BE32-E72D297353CC}">
              <c16:uniqueId val="{00000002-46A6-4750-98C5-2B2410F3E2DC}"/>
            </c:ext>
          </c:extLst>
        </c:ser>
        <c:ser>
          <c:idx val="1"/>
          <c:order val="1"/>
          <c:tx>
            <c:strRef>
              <c:f>'CAASPP Math - CONCEPTS CLAIM '!$M$44</c:f>
              <c:strCache>
                <c:ptCount val="1"/>
                <c:pt idx="0">
                  <c:v>Migratory Students</c:v>
                </c:pt>
              </c:strCache>
            </c:strRef>
          </c:tx>
          <c:spPr>
            <a:ln w="28575" cap="rnd">
              <a:solidFill>
                <a:schemeClr val="tx1"/>
              </a:solidFill>
              <a:round/>
            </a:ln>
            <a:effectLst/>
          </c:spPr>
          <c:marker>
            <c:symbol val="circle"/>
            <c:size val="8"/>
            <c:spPr>
              <a:solidFill>
                <a:schemeClr val="tx1"/>
              </a:solidFill>
              <a:ln w="9525">
                <a:solidFill>
                  <a:schemeClr val="tx1"/>
                </a:solidFill>
              </a:ln>
              <a:effectLst/>
            </c:spPr>
          </c:marker>
          <c:dLbls>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'CAASPP Math - CONCEPTS CLAIM '!$N$42:$Q$42</c:f>
              <c:strCache>
                <c:ptCount val="4"/>
                <c:pt idx="0">
                  <c:v>2017–18</c:v>
                </c:pt>
                <c:pt idx="1">
                  <c:v>2018–19</c:v>
                </c:pt>
                <c:pt idx="2">
                  <c:v>2021–22</c:v>
                </c:pt>
                <c:pt idx="3">
                  <c:v>2022–23</c:v>
                </c:pt>
              </c:strCache>
            </c:strRef>
          </c:cat>
          <c:val>
            <c:numRef>
              <c:f>'CAASPP Math - CONCEPTS CLAIM '!$N$44:$Q$44</c:f>
              <c:numCache>
                <c:formatCode>0.0%</c:formatCode>
                <c:ptCount val="4"/>
                <c:pt idx="0">
                  <c:v>0.11152912621359223</c:v>
                </c:pt>
                <c:pt idx="1">
                  <c:v>0.12088052320944329</c:v>
                </c:pt>
                <c:pt idx="2">
                  <c:v>5.3135179153094465E-2</c:v>
                </c:pt>
                <c:pt idx="3">
                  <c:v>5.7725532707747551E-2</c:v>
                </c:pt>
              </c:numCache>
            </c:numRef>
          </c:val>
          <c:smooth val="0"/>
          <c:extLst>
            <c:ext xmlns:c16="http://schemas.microsoft.com/office/drawing/2014/chart" uri="{C3380CC4-5D6E-409C-BE32-E72D297353CC}">
              <c16:uniqueId val="{00000003-46A6-4750-98C5-2B2410F3E2DC}"/>
            </c:ext>
          </c:extLst>
        </c:ser>
        <c:ser>
          <c:idx val="2"/>
          <c:order val="2"/>
          <c:tx>
            <c:strRef>
              <c:f>'CAASPP Math - CONCEPTS CLAIM '!$M$45</c:f>
              <c:strCache>
                <c:ptCount val="1"/>
                <c:pt idx="0">
                  <c:v>Migratory PFS Students</c:v>
                </c:pt>
              </c:strCache>
            </c:strRef>
          </c:tx>
          <c:spPr>
            <a:ln w="28575" cap="rnd">
              <a:solidFill>
                <a:srgbClr val="3C8235"/>
              </a:solidFill>
              <a:round/>
            </a:ln>
            <a:effectLst/>
          </c:spPr>
          <c:marker>
            <c:symbol val="triangle"/>
            <c:size val="8"/>
            <c:spPr>
              <a:solidFill>
                <a:srgbClr val="3C8235"/>
              </a:solidFill>
              <a:ln w="9525">
                <a:solidFill>
                  <a:srgbClr val="3C8235"/>
                </a:solidFill>
              </a:ln>
              <a:effectLst/>
            </c:spPr>
          </c:marker>
          <c:dLbls>
            <c:dLbl>
              <c:idx val="1"/>
              <c:layout>
                <c:manualLayout>
                  <c:x val="-4.8456322767346426E-2"/>
                  <c:y val="-4.92163479565054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6A6-4750-98C5-2B2410F3E2DC}"/>
                </c:ext>
              </c:extLst>
            </c:dLbl>
            <c:dLbl>
              <c:idx val="2"/>
              <c:layout>
                <c:manualLayout>
                  <c:x val="-4.8456322767346391E-2"/>
                  <c:y val="-5.31846019247594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6A6-4750-98C5-2B2410F3E2DC}"/>
                </c:ext>
              </c:extLst>
            </c:dLbl>
            <c:dLbl>
              <c:idx val="3"/>
              <c:layout>
                <c:manualLayout>
                  <c:x val="-5.0593074904098527E-2"/>
                  <c:y val="-4.5248093988251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6A6-4750-98C5-2B2410F3E2DC}"/>
                </c:ext>
              </c:extLst>
            </c:dLbl>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'CAASPP Math - CONCEPTS CLAIM '!$N$42:$Q$42</c:f>
              <c:strCache>
                <c:ptCount val="4"/>
                <c:pt idx="0">
                  <c:v>2017–18</c:v>
                </c:pt>
                <c:pt idx="1">
                  <c:v>2018–19</c:v>
                </c:pt>
                <c:pt idx="2">
                  <c:v>2021–22</c:v>
                </c:pt>
                <c:pt idx="3">
                  <c:v>2022–23</c:v>
                </c:pt>
              </c:strCache>
            </c:strRef>
          </c:cat>
          <c:val>
            <c:numRef>
              <c:f>'CAASPP Math - CONCEPTS CLAIM '!$N$45:$Q$45</c:f>
              <c:numCache>
                <c:formatCode>0.0%</c:formatCode>
                <c:ptCount val="4"/>
                <c:pt idx="0">
                  <c:v>0.03</c:v>
                </c:pt>
                <c:pt idx="1">
                  <c:v>0.03</c:v>
                </c:pt>
                <c:pt idx="2">
                  <c:v>0.02</c:v>
                </c:pt>
                <c:pt idx="3">
                  <c:v>2.2391773096699288E-2</c:v>
                </c:pt>
              </c:numCache>
            </c:numRef>
          </c:val>
          <c:smooth val="0"/>
          <c:extLst>
            <c:ext xmlns:c16="http://schemas.microsoft.com/office/drawing/2014/chart" uri="{C3380CC4-5D6E-409C-BE32-E72D297353CC}">
              <c16:uniqueId val="{00000007-46A6-4750-98C5-2B2410F3E2DC}"/>
            </c:ext>
          </c:extLst>
        </c:ser>
        <c:dLbls>
          <c:dLblPos val="t"/>
          <c:showLegendKey val="0"/>
          <c:showVal val="1"/>
          <c:showCatName val="0"/>
          <c:showSerName val="0"/>
          <c:showPercent val="0"/>
          <c:showBubbleSize val="0"/>
        </c:dLbls>
        <c:marker val="1"/>
        <c:smooth val="0"/>
        <c:axId val="1595511264"/>
        <c:axId val="1595758048"/>
      </c:lineChart>
      <c:catAx>
        <c:axId val="159551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crossAx val="1595758048"/>
        <c:crosses val="autoZero"/>
        <c:auto val="1"/>
        <c:lblAlgn val="ctr"/>
        <c:lblOffset val="100"/>
        <c:noMultiLvlLbl val="0"/>
      </c:catAx>
      <c:valAx>
        <c:axId val="1595758048"/>
        <c:scaling>
          <c:orientation val="minMax"/>
          <c:max val="0.300000000000000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crossAx val="1595511264"/>
        <c:crosses val="autoZero"/>
        <c:crossBetween val="between"/>
        <c:majorUnit val="0.15000000000000002"/>
      </c:valAx>
      <c:spPr>
        <a:noFill/>
        <a:ln>
          <a:noFill/>
        </a:ln>
        <a:effectLst/>
      </c:spPr>
    </c:plotArea>
    <c:legend>
      <c:legendPos val="r"/>
      <c:layout>
        <c:manualLayout>
          <c:xMode val="edge"/>
          <c:yMode val="edge"/>
          <c:x val="0.77702217511272631"/>
          <c:y val="0.24531359519366444"/>
          <c:w val="0.21574449828386835"/>
          <c:h val="0.52253743571070943"/>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ysClr val="windowText" lastClr="000000"/>
      </a:solidFill>
      <a:round/>
    </a:ln>
    <a:effectLst/>
  </c:spPr>
  <c:txPr>
    <a:bodyPr/>
    <a:lstStyle/>
    <a:p>
      <a:pPr>
        <a:defRPr sz="1200">
          <a:solidFill>
            <a:srgbClr val="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965371417180447E-2"/>
          <c:y val="2.9812252514678447E-2"/>
          <c:w val="0.70297005595819506"/>
          <c:h val="0.8905682490555733"/>
        </c:manualLayout>
      </c:layout>
      <c:lineChart>
        <c:grouping val="standard"/>
        <c:varyColors val="0"/>
        <c:ser>
          <c:idx val="0"/>
          <c:order val="0"/>
          <c:tx>
            <c:strRef>
              <c:f>'CAASPP Math - PROBLEM SO CLAIM '!$M$43</c:f>
              <c:strCache>
                <c:ptCount val="1"/>
                <c:pt idx="0">
                  <c:v>All Students</c:v>
                </c:pt>
              </c:strCache>
            </c:strRef>
          </c:tx>
          <c:spPr>
            <a:ln w="28575" cap="rnd">
              <a:solidFill>
                <a:srgbClr val="4472C4"/>
              </a:solidFill>
              <a:round/>
            </a:ln>
            <a:effectLst/>
          </c:spPr>
          <c:marker>
            <c:symbol val="square"/>
            <c:size val="8"/>
            <c:spPr>
              <a:solidFill>
                <a:srgbClr val="4472C4"/>
              </a:solidFill>
              <a:ln w="9525">
                <a:solidFill>
                  <a:srgbClr val="4472C4"/>
                </a:solidFill>
              </a:ln>
              <a:effectLst/>
            </c:spPr>
          </c:marker>
          <c:dLbls>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'CAASPP Math - PROBLEM SO CLAIM '!$N$42:$Q$42</c:f>
              <c:strCache>
                <c:ptCount val="4"/>
                <c:pt idx="0">
                  <c:v>2017–18</c:v>
                </c:pt>
                <c:pt idx="1">
                  <c:v>2018–19</c:v>
                </c:pt>
                <c:pt idx="2">
                  <c:v>2021–22</c:v>
                </c:pt>
                <c:pt idx="3">
                  <c:v>2022–23</c:v>
                </c:pt>
              </c:strCache>
            </c:strRef>
          </c:cat>
          <c:val>
            <c:numRef>
              <c:f>'CAASPP Math - PROBLEM SO CLAIM '!$N$43:$Q$43</c:f>
              <c:numCache>
                <c:formatCode>0.0%</c:formatCode>
                <c:ptCount val="4"/>
                <c:pt idx="0">
                  <c:v>0.20726352019622582</c:v>
                </c:pt>
                <c:pt idx="1">
                  <c:v>0.21339718289961793</c:v>
                </c:pt>
                <c:pt idx="2">
                  <c:v>0.15510090863553858</c:v>
                </c:pt>
                <c:pt idx="3">
                  <c:v>0.16251837801459199</c:v>
                </c:pt>
              </c:numCache>
            </c:numRef>
          </c:val>
          <c:smooth val="0"/>
          <c:extLst>
            <c:ext xmlns:c16="http://schemas.microsoft.com/office/drawing/2014/chart" uri="{C3380CC4-5D6E-409C-BE32-E72D297353CC}">
              <c16:uniqueId val="{00000000-0655-4F6D-A5E7-5172517D26A8}"/>
            </c:ext>
          </c:extLst>
        </c:ser>
        <c:ser>
          <c:idx val="1"/>
          <c:order val="1"/>
          <c:tx>
            <c:strRef>
              <c:f>'CAASPP Math - PROBLEM SO CLAIM '!$M$44</c:f>
              <c:strCache>
                <c:ptCount val="1"/>
                <c:pt idx="0">
                  <c:v>Migratory Students</c:v>
                </c:pt>
              </c:strCache>
            </c:strRef>
          </c:tx>
          <c:spPr>
            <a:ln w="28575" cap="rnd">
              <a:solidFill>
                <a:schemeClr val="tx1"/>
              </a:solidFill>
              <a:round/>
            </a:ln>
            <a:effectLst/>
          </c:spPr>
          <c:marker>
            <c:symbol val="circle"/>
            <c:size val="8"/>
            <c:spPr>
              <a:solidFill>
                <a:schemeClr val="tx1"/>
              </a:solidFill>
              <a:ln w="9525">
                <a:solidFill>
                  <a:schemeClr val="tx1"/>
                </a:solidFill>
              </a:ln>
              <a:effectLst/>
            </c:spPr>
          </c:marker>
          <c:dLbls>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'CAASPP Math - PROBLEM SO CLAIM '!$N$42:$Q$42</c:f>
              <c:strCache>
                <c:ptCount val="4"/>
                <c:pt idx="0">
                  <c:v>2017–18</c:v>
                </c:pt>
                <c:pt idx="1">
                  <c:v>2018–19</c:v>
                </c:pt>
                <c:pt idx="2">
                  <c:v>2021–22</c:v>
                </c:pt>
                <c:pt idx="3">
                  <c:v>2022–23</c:v>
                </c:pt>
              </c:strCache>
            </c:strRef>
          </c:cat>
          <c:val>
            <c:numRef>
              <c:f>'CAASPP Math - PROBLEM SO CLAIM '!$N$44:$Q$44</c:f>
              <c:numCache>
                <c:formatCode>0.0%</c:formatCode>
                <c:ptCount val="4"/>
                <c:pt idx="0">
                  <c:v>7.0696348416838528E-2</c:v>
                </c:pt>
                <c:pt idx="1">
                  <c:v>7.6236044657097282E-2</c:v>
                </c:pt>
                <c:pt idx="2">
                  <c:v>4.0655381059215449E-2</c:v>
                </c:pt>
                <c:pt idx="3">
                  <c:v>4.416596104995766E-2</c:v>
                </c:pt>
              </c:numCache>
            </c:numRef>
          </c:val>
          <c:smooth val="0"/>
          <c:extLst>
            <c:ext xmlns:c16="http://schemas.microsoft.com/office/drawing/2014/chart" uri="{C3380CC4-5D6E-409C-BE32-E72D297353CC}">
              <c16:uniqueId val="{00000001-0655-4F6D-A5E7-5172517D26A8}"/>
            </c:ext>
          </c:extLst>
        </c:ser>
        <c:ser>
          <c:idx val="2"/>
          <c:order val="2"/>
          <c:tx>
            <c:strRef>
              <c:f>'CAASPP Math - PROBLEM SO CLAIM '!$M$45</c:f>
              <c:strCache>
                <c:ptCount val="1"/>
                <c:pt idx="0">
                  <c:v>Migratory PFS Students</c:v>
                </c:pt>
              </c:strCache>
            </c:strRef>
          </c:tx>
          <c:spPr>
            <a:ln w="28575" cap="rnd">
              <a:solidFill>
                <a:srgbClr val="3C8235"/>
              </a:solidFill>
              <a:round/>
            </a:ln>
            <a:effectLst/>
          </c:spPr>
          <c:marker>
            <c:symbol val="triangle"/>
            <c:size val="8"/>
            <c:spPr>
              <a:solidFill>
                <a:srgbClr val="3C8235"/>
              </a:solidFill>
              <a:ln w="9525">
                <a:solidFill>
                  <a:srgbClr val="3C8235"/>
                </a:solidFill>
              </a:ln>
              <a:effectLst/>
            </c:spPr>
          </c:marker>
          <c:dLbls>
            <c:dLbl>
              <c:idx val="2"/>
              <c:layout>
                <c:manualLayout>
                  <c:x val="-9.4396241335217707E-2"/>
                  <c:y val="-3.9295713035870518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7.3408203782219517E-2"/>
                      <c:h val="5.4781902262217221E-2"/>
                    </c:manualLayout>
                  </c15:layout>
                </c:ext>
                <c:ext xmlns:c16="http://schemas.microsoft.com/office/drawing/2014/chart" uri="{C3380CC4-5D6E-409C-BE32-E72D297353CC}">
                  <c16:uniqueId val="{00000002-0655-4F6D-A5E7-5172517D26A8}"/>
                </c:ext>
              </c:extLst>
            </c:dLbl>
            <c:dLbl>
              <c:idx val="3"/>
              <c:layout>
                <c:manualLayout>
                  <c:x val="-4.8456322767346467E-2"/>
                  <c:y val="-3.73115860517435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55-4F6D-A5E7-5172517D26A8}"/>
                </c:ext>
              </c:extLst>
            </c:dLbl>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'CAASPP Math - PROBLEM SO CLAIM '!$N$42:$Q$42</c:f>
              <c:strCache>
                <c:ptCount val="4"/>
                <c:pt idx="0">
                  <c:v>2017–18</c:v>
                </c:pt>
                <c:pt idx="1">
                  <c:v>2018–19</c:v>
                </c:pt>
                <c:pt idx="2">
                  <c:v>2021–22</c:v>
                </c:pt>
                <c:pt idx="3">
                  <c:v>2022–23</c:v>
                </c:pt>
              </c:strCache>
            </c:strRef>
          </c:cat>
          <c:val>
            <c:numRef>
              <c:f>'CAASPP Math - PROBLEM SO CLAIM '!$N$45:$Q$45</c:f>
              <c:numCache>
                <c:formatCode>0.0%</c:formatCode>
                <c:ptCount val="4"/>
                <c:pt idx="0">
                  <c:v>0.02</c:v>
                </c:pt>
                <c:pt idx="1">
                  <c:v>0.02</c:v>
                </c:pt>
                <c:pt idx="2">
                  <c:v>0.02</c:v>
                </c:pt>
                <c:pt idx="3">
                  <c:v>1.5751948267285692E-2</c:v>
                </c:pt>
              </c:numCache>
            </c:numRef>
          </c:val>
          <c:smooth val="0"/>
          <c:extLst>
            <c:ext xmlns:c16="http://schemas.microsoft.com/office/drawing/2014/chart" uri="{C3380CC4-5D6E-409C-BE32-E72D297353CC}">
              <c16:uniqueId val="{00000004-0655-4F6D-A5E7-5172517D26A8}"/>
            </c:ext>
          </c:extLst>
        </c:ser>
        <c:dLbls>
          <c:dLblPos val="t"/>
          <c:showLegendKey val="0"/>
          <c:showVal val="1"/>
          <c:showCatName val="0"/>
          <c:showSerName val="0"/>
          <c:showPercent val="0"/>
          <c:showBubbleSize val="0"/>
        </c:dLbls>
        <c:marker val="1"/>
        <c:smooth val="0"/>
        <c:axId val="1595511264"/>
        <c:axId val="1595758048"/>
      </c:lineChart>
      <c:catAx>
        <c:axId val="159551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crossAx val="1595758048"/>
        <c:crosses val="autoZero"/>
        <c:auto val="1"/>
        <c:lblAlgn val="ctr"/>
        <c:lblOffset val="100"/>
        <c:noMultiLvlLbl val="0"/>
      </c:catAx>
      <c:valAx>
        <c:axId val="1595758048"/>
        <c:scaling>
          <c:orientation val="minMax"/>
          <c:max val="0.300000000000000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crossAx val="1595511264"/>
        <c:crosses val="autoZero"/>
        <c:crossBetween val="between"/>
        <c:majorUnit val="0.15000000000000002"/>
      </c:valAx>
      <c:spPr>
        <a:noFill/>
        <a:ln>
          <a:noFill/>
        </a:ln>
        <a:effectLst/>
      </c:spPr>
    </c:plotArea>
    <c:legend>
      <c:legendPos val="r"/>
      <c:layout>
        <c:manualLayout>
          <c:xMode val="edge"/>
          <c:yMode val="edge"/>
          <c:x val="0.76420166229221342"/>
          <c:y val="0.24531359519366444"/>
          <c:w val="0.22856501110438118"/>
          <c:h val="0.52253743571070943"/>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ysClr val="windowText" lastClr="000000"/>
      </a:solidFill>
      <a:round/>
    </a:ln>
    <a:effectLst/>
  </c:spPr>
  <c:txPr>
    <a:bodyPr/>
    <a:lstStyle/>
    <a:p>
      <a:pPr>
        <a:defRPr sz="1200">
          <a:solidFill>
            <a:srgbClr val="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F1649D-50C2-40DA-96F3-FB99EE94D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34377</Words>
  <Characters>195955</Characters>
  <Application>Microsoft Office Word</Application>
  <DocSecurity>0</DocSecurity>
  <Lines>1632</Lines>
  <Paragraphs>459</Paragraphs>
  <ScaleCrop>false</ScaleCrop>
  <HeadingPairs>
    <vt:vector size="2" baseType="variant">
      <vt:variant>
        <vt:lpstr>Title</vt:lpstr>
      </vt:variant>
      <vt:variant>
        <vt:i4>1</vt:i4>
      </vt:variant>
    </vt:vector>
  </HeadingPairs>
  <TitlesOfParts>
    <vt:vector size="1" baseType="lpstr">
      <vt:lpstr>Migrant CNA - Migrant (CA Dept of Education)</vt:lpstr>
    </vt:vector>
  </TitlesOfParts>
  <Company/>
  <LinksUpToDate>false</LinksUpToDate>
  <CharactersWithSpaces>229873</CharactersWithSpaces>
  <SharedDoc>false</SharedDoc>
  <HLinks>
    <vt:vector size="390" baseType="variant">
      <vt:variant>
        <vt:i4>2818165</vt:i4>
      </vt:variant>
      <vt:variant>
        <vt:i4>378</vt:i4>
      </vt:variant>
      <vt:variant>
        <vt:i4>0</vt:i4>
      </vt:variant>
      <vt:variant>
        <vt:i4>5</vt:i4>
      </vt:variant>
      <vt:variant>
        <vt:lpwstr>http://dq.cde.ca.gov/dataquest/</vt:lpwstr>
      </vt:variant>
      <vt:variant>
        <vt:lpwstr/>
      </vt:variant>
      <vt:variant>
        <vt:i4>2818165</vt:i4>
      </vt:variant>
      <vt:variant>
        <vt:i4>372</vt:i4>
      </vt:variant>
      <vt:variant>
        <vt:i4>0</vt:i4>
      </vt:variant>
      <vt:variant>
        <vt:i4>5</vt:i4>
      </vt:variant>
      <vt:variant>
        <vt:lpwstr>http://dq.cde.ca.gov/dataquest/</vt:lpwstr>
      </vt:variant>
      <vt:variant>
        <vt:lpwstr/>
      </vt:variant>
      <vt:variant>
        <vt:i4>1572913</vt:i4>
      </vt:variant>
      <vt:variant>
        <vt:i4>314</vt:i4>
      </vt:variant>
      <vt:variant>
        <vt:i4>0</vt:i4>
      </vt:variant>
      <vt:variant>
        <vt:i4>5</vt:i4>
      </vt:variant>
      <vt:variant>
        <vt:lpwstr/>
      </vt:variant>
      <vt:variant>
        <vt:lpwstr>_Toc496524175</vt:lpwstr>
      </vt:variant>
      <vt:variant>
        <vt:i4>1572913</vt:i4>
      </vt:variant>
      <vt:variant>
        <vt:i4>308</vt:i4>
      </vt:variant>
      <vt:variant>
        <vt:i4>0</vt:i4>
      </vt:variant>
      <vt:variant>
        <vt:i4>5</vt:i4>
      </vt:variant>
      <vt:variant>
        <vt:lpwstr/>
      </vt:variant>
      <vt:variant>
        <vt:lpwstr>_Toc496524174</vt:lpwstr>
      </vt:variant>
      <vt:variant>
        <vt:i4>1572913</vt:i4>
      </vt:variant>
      <vt:variant>
        <vt:i4>302</vt:i4>
      </vt:variant>
      <vt:variant>
        <vt:i4>0</vt:i4>
      </vt:variant>
      <vt:variant>
        <vt:i4>5</vt:i4>
      </vt:variant>
      <vt:variant>
        <vt:lpwstr/>
      </vt:variant>
      <vt:variant>
        <vt:lpwstr>_Toc496524173</vt:lpwstr>
      </vt:variant>
      <vt:variant>
        <vt:i4>1572913</vt:i4>
      </vt:variant>
      <vt:variant>
        <vt:i4>299</vt:i4>
      </vt:variant>
      <vt:variant>
        <vt:i4>0</vt:i4>
      </vt:variant>
      <vt:variant>
        <vt:i4>5</vt:i4>
      </vt:variant>
      <vt:variant>
        <vt:lpwstr/>
      </vt:variant>
      <vt:variant>
        <vt:lpwstr>_Toc496524172</vt:lpwstr>
      </vt:variant>
      <vt:variant>
        <vt:i4>1835056</vt:i4>
      </vt:variant>
      <vt:variant>
        <vt:i4>293</vt:i4>
      </vt:variant>
      <vt:variant>
        <vt:i4>0</vt:i4>
      </vt:variant>
      <vt:variant>
        <vt:i4>5</vt:i4>
      </vt:variant>
      <vt:variant>
        <vt:lpwstr/>
      </vt:variant>
      <vt:variant>
        <vt:lpwstr>_Toc496524031</vt:lpwstr>
      </vt:variant>
      <vt:variant>
        <vt:i4>1835056</vt:i4>
      </vt:variant>
      <vt:variant>
        <vt:i4>290</vt:i4>
      </vt:variant>
      <vt:variant>
        <vt:i4>0</vt:i4>
      </vt:variant>
      <vt:variant>
        <vt:i4>5</vt:i4>
      </vt:variant>
      <vt:variant>
        <vt:lpwstr/>
      </vt:variant>
      <vt:variant>
        <vt:lpwstr>_Toc496524030</vt:lpwstr>
      </vt:variant>
      <vt:variant>
        <vt:i4>1900592</vt:i4>
      </vt:variant>
      <vt:variant>
        <vt:i4>284</vt:i4>
      </vt:variant>
      <vt:variant>
        <vt:i4>0</vt:i4>
      </vt:variant>
      <vt:variant>
        <vt:i4>5</vt:i4>
      </vt:variant>
      <vt:variant>
        <vt:lpwstr/>
      </vt:variant>
      <vt:variant>
        <vt:lpwstr>_Toc496524029</vt:lpwstr>
      </vt:variant>
      <vt:variant>
        <vt:i4>1900592</vt:i4>
      </vt:variant>
      <vt:variant>
        <vt:i4>278</vt:i4>
      </vt:variant>
      <vt:variant>
        <vt:i4>0</vt:i4>
      </vt:variant>
      <vt:variant>
        <vt:i4>5</vt:i4>
      </vt:variant>
      <vt:variant>
        <vt:lpwstr/>
      </vt:variant>
      <vt:variant>
        <vt:lpwstr>_Toc496524028</vt:lpwstr>
      </vt:variant>
      <vt:variant>
        <vt:i4>1900592</vt:i4>
      </vt:variant>
      <vt:variant>
        <vt:i4>272</vt:i4>
      </vt:variant>
      <vt:variant>
        <vt:i4>0</vt:i4>
      </vt:variant>
      <vt:variant>
        <vt:i4>5</vt:i4>
      </vt:variant>
      <vt:variant>
        <vt:lpwstr/>
      </vt:variant>
      <vt:variant>
        <vt:lpwstr>_Toc496524027</vt:lpwstr>
      </vt:variant>
      <vt:variant>
        <vt:i4>1900592</vt:i4>
      </vt:variant>
      <vt:variant>
        <vt:i4>266</vt:i4>
      </vt:variant>
      <vt:variant>
        <vt:i4>0</vt:i4>
      </vt:variant>
      <vt:variant>
        <vt:i4>5</vt:i4>
      </vt:variant>
      <vt:variant>
        <vt:lpwstr/>
      </vt:variant>
      <vt:variant>
        <vt:lpwstr>_Toc496524026</vt:lpwstr>
      </vt:variant>
      <vt:variant>
        <vt:i4>1900592</vt:i4>
      </vt:variant>
      <vt:variant>
        <vt:i4>260</vt:i4>
      </vt:variant>
      <vt:variant>
        <vt:i4>0</vt:i4>
      </vt:variant>
      <vt:variant>
        <vt:i4>5</vt:i4>
      </vt:variant>
      <vt:variant>
        <vt:lpwstr/>
      </vt:variant>
      <vt:variant>
        <vt:lpwstr>_Toc496524025</vt:lpwstr>
      </vt:variant>
      <vt:variant>
        <vt:i4>1900592</vt:i4>
      </vt:variant>
      <vt:variant>
        <vt:i4>254</vt:i4>
      </vt:variant>
      <vt:variant>
        <vt:i4>0</vt:i4>
      </vt:variant>
      <vt:variant>
        <vt:i4>5</vt:i4>
      </vt:variant>
      <vt:variant>
        <vt:lpwstr/>
      </vt:variant>
      <vt:variant>
        <vt:lpwstr>_Toc496524024</vt:lpwstr>
      </vt:variant>
      <vt:variant>
        <vt:i4>1900592</vt:i4>
      </vt:variant>
      <vt:variant>
        <vt:i4>251</vt:i4>
      </vt:variant>
      <vt:variant>
        <vt:i4>0</vt:i4>
      </vt:variant>
      <vt:variant>
        <vt:i4>5</vt:i4>
      </vt:variant>
      <vt:variant>
        <vt:lpwstr/>
      </vt:variant>
      <vt:variant>
        <vt:lpwstr>_Toc496524023</vt:lpwstr>
      </vt:variant>
      <vt:variant>
        <vt:i4>1900592</vt:i4>
      </vt:variant>
      <vt:variant>
        <vt:i4>248</vt:i4>
      </vt:variant>
      <vt:variant>
        <vt:i4>0</vt:i4>
      </vt:variant>
      <vt:variant>
        <vt:i4>5</vt:i4>
      </vt:variant>
      <vt:variant>
        <vt:lpwstr/>
      </vt:variant>
      <vt:variant>
        <vt:lpwstr>_Toc496524022</vt:lpwstr>
      </vt:variant>
      <vt:variant>
        <vt:i4>1900592</vt:i4>
      </vt:variant>
      <vt:variant>
        <vt:i4>245</vt:i4>
      </vt:variant>
      <vt:variant>
        <vt:i4>0</vt:i4>
      </vt:variant>
      <vt:variant>
        <vt:i4>5</vt:i4>
      </vt:variant>
      <vt:variant>
        <vt:lpwstr/>
      </vt:variant>
      <vt:variant>
        <vt:lpwstr>_Toc496524021</vt:lpwstr>
      </vt:variant>
      <vt:variant>
        <vt:i4>1900592</vt:i4>
      </vt:variant>
      <vt:variant>
        <vt:i4>242</vt:i4>
      </vt:variant>
      <vt:variant>
        <vt:i4>0</vt:i4>
      </vt:variant>
      <vt:variant>
        <vt:i4>5</vt:i4>
      </vt:variant>
      <vt:variant>
        <vt:lpwstr/>
      </vt:variant>
      <vt:variant>
        <vt:lpwstr>_Toc496524020</vt:lpwstr>
      </vt:variant>
      <vt:variant>
        <vt:i4>1966128</vt:i4>
      </vt:variant>
      <vt:variant>
        <vt:i4>236</vt:i4>
      </vt:variant>
      <vt:variant>
        <vt:i4>0</vt:i4>
      </vt:variant>
      <vt:variant>
        <vt:i4>5</vt:i4>
      </vt:variant>
      <vt:variant>
        <vt:lpwstr/>
      </vt:variant>
      <vt:variant>
        <vt:lpwstr>_Toc496524019</vt:lpwstr>
      </vt:variant>
      <vt:variant>
        <vt:i4>1966128</vt:i4>
      </vt:variant>
      <vt:variant>
        <vt:i4>233</vt:i4>
      </vt:variant>
      <vt:variant>
        <vt:i4>0</vt:i4>
      </vt:variant>
      <vt:variant>
        <vt:i4>5</vt:i4>
      </vt:variant>
      <vt:variant>
        <vt:lpwstr/>
      </vt:variant>
      <vt:variant>
        <vt:lpwstr>_Toc496524018</vt:lpwstr>
      </vt:variant>
      <vt:variant>
        <vt:i4>1966128</vt:i4>
      </vt:variant>
      <vt:variant>
        <vt:i4>227</vt:i4>
      </vt:variant>
      <vt:variant>
        <vt:i4>0</vt:i4>
      </vt:variant>
      <vt:variant>
        <vt:i4>5</vt:i4>
      </vt:variant>
      <vt:variant>
        <vt:lpwstr/>
      </vt:variant>
      <vt:variant>
        <vt:lpwstr>_Toc496524017</vt:lpwstr>
      </vt:variant>
      <vt:variant>
        <vt:i4>1310773</vt:i4>
      </vt:variant>
      <vt:variant>
        <vt:i4>218</vt:i4>
      </vt:variant>
      <vt:variant>
        <vt:i4>0</vt:i4>
      </vt:variant>
      <vt:variant>
        <vt:i4>5</vt:i4>
      </vt:variant>
      <vt:variant>
        <vt:lpwstr/>
      </vt:variant>
      <vt:variant>
        <vt:lpwstr>_Toc522257747</vt:lpwstr>
      </vt:variant>
      <vt:variant>
        <vt:i4>1310773</vt:i4>
      </vt:variant>
      <vt:variant>
        <vt:i4>212</vt:i4>
      </vt:variant>
      <vt:variant>
        <vt:i4>0</vt:i4>
      </vt:variant>
      <vt:variant>
        <vt:i4>5</vt:i4>
      </vt:variant>
      <vt:variant>
        <vt:lpwstr/>
      </vt:variant>
      <vt:variant>
        <vt:lpwstr>_Toc522257746</vt:lpwstr>
      </vt:variant>
      <vt:variant>
        <vt:i4>1310773</vt:i4>
      </vt:variant>
      <vt:variant>
        <vt:i4>206</vt:i4>
      </vt:variant>
      <vt:variant>
        <vt:i4>0</vt:i4>
      </vt:variant>
      <vt:variant>
        <vt:i4>5</vt:i4>
      </vt:variant>
      <vt:variant>
        <vt:lpwstr/>
      </vt:variant>
      <vt:variant>
        <vt:lpwstr>_Toc522257745</vt:lpwstr>
      </vt:variant>
      <vt:variant>
        <vt:i4>1310773</vt:i4>
      </vt:variant>
      <vt:variant>
        <vt:i4>200</vt:i4>
      </vt:variant>
      <vt:variant>
        <vt:i4>0</vt:i4>
      </vt:variant>
      <vt:variant>
        <vt:i4>5</vt:i4>
      </vt:variant>
      <vt:variant>
        <vt:lpwstr/>
      </vt:variant>
      <vt:variant>
        <vt:lpwstr>_Toc522257744</vt:lpwstr>
      </vt:variant>
      <vt:variant>
        <vt:i4>1310773</vt:i4>
      </vt:variant>
      <vt:variant>
        <vt:i4>194</vt:i4>
      </vt:variant>
      <vt:variant>
        <vt:i4>0</vt:i4>
      </vt:variant>
      <vt:variant>
        <vt:i4>5</vt:i4>
      </vt:variant>
      <vt:variant>
        <vt:lpwstr/>
      </vt:variant>
      <vt:variant>
        <vt:lpwstr>_Toc522257743</vt:lpwstr>
      </vt:variant>
      <vt:variant>
        <vt:i4>1310773</vt:i4>
      </vt:variant>
      <vt:variant>
        <vt:i4>188</vt:i4>
      </vt:variant>
      <vt:variant>
        <vt:i4>0</vt:i4>
      </vt:variant>
      <vt:variant>
        <vt:i4>5</vt:i4>
      </vt:variant>
      <vt:variant>
        <vt:lpwstr/>
      </vt:variant>
      <vt:variant>
        <vt:lpwstr>_Toc522257742</vt:lpwstr>
      </vt:variant>
      <vt:variant>
        <vt:i4>1310773</vt:i4>
      </vt:variant>
      <vt:variant>
        <vt:i4>182</vt:i4>
      </vt:variant>
      <vt:variant>
        <vt:i4>0</vt:i4>
      </vt:variant>
      <vt:variant>
        <vt:i4>5</vt:i4>
      </vt:variant>
      <vt:variant>
        <vt:lpwstr/>
      </vt:variant>
      <vt:variant>
        <vt:lpwstr>_Toc522257741</vt:lpwstr>
      </vt:variant>
      <vt:variant>
        <vt:i4>1310773</vt:i4>
      </vt:variant>
      <vt:variant>
        <vt:i4>176</vt:i4>
      </vt:variant>
      <vt:variant>
        <vt:i4>0</vt:i4>
      </vt:variant>
      <vt:variant>
        <vt:i4>5</vt:i4>
      </vt:variant>
      <vt:variant>
        <vt:lpwstr/>
      </vt:variant>
      <vt:variant>
        <vt:lpwstr>_Toc522257740</vt:lpwstr>
      </vt:variant>
      <vt:variant>
        <vt:i4>1245237</vt:i4>
      </vt:variant>
      <vt:variant>
        <vt:i4>170</vt:i4>
      </vt:variant>
      <vt:variant>
        <vt:i4>0</vt:i4>
      </vt:variant>
      <vt:variant>
        <vt:i4>5</vt:i4>
      </vt:variant>
      <vt:variant>
        <vt:lpwstr/>
      </vt:variant>
      <vt:variant>
        <vt:lpwstr>_Toc522257739</vt:lpwstr>
      </vt:variant>
      <vt:variant>
        <vt:i4>1245237</vt:i4>
      </vt:variant>
      <vt:variant>
        <vt:i4>164</vt:i4>
      </vt:variant>
      <vt:variant>
        <vt:i4>0</vt:i4>
      </vt:variant>
      <vt:variant>
        <vt:i4>5</vt:i4>
      </vt:variant>
      <vt:variant>
        <vt:lpwstr/>
      </vt:variant>
      <vt:variant>
        <vt:lpwstr>_Toc522257738</vt:lpwstr>
      </vt:variant>
      <vt:variant>
        <vt:i4>1245237</vt:i4>
      </vt:variant>
      <vt:variant>
        <vt:i4>158</vt:i4>
      </vt:variant>
      <vt:variant>
        <vt:i4>0</vt:i4>
      </vt:variant>
      <vt:variant>
        <vt:i4>5</vt:i4>
      </vt:variant>
      <vt:variant>
        <vt:lpwstr/>
      </vt:variant>
      <vt:variant>
        <vt:lpwstr>_Toc522257737</vt:lpwstr>
      </vt:variant>
      <vt:variant>
        <vt:i4>1245237</vt:i4>
      </vt:variant>
      <vt:variant>
        <vt:i4>152</vt:i4>
      </vt:variant>
      <vt:variant>
        <vt:i4>0</vt:i4>
      </vt:variant>
      <vt:variant>
        <vt:i4>5</vt:i4>
      </vt:variant>
      <vt:variant>
        <vt:lpwstr/>
      </vt:variant>
      <vt:variant>
        <vt:lpwstr>_Toc522257736</vt:lpwstr>
      </vt:variant>
      <vt:variant>
        <vt:i4>1245237</vt:i4>
      </vt:variant>
      <vt:variant>
        <vt:i4>146</vt:i4>
      </vt:variant>
      <vt:variant>
        <vt:i4>0</vt:i4>
      </vt:variant>
      <vt:variant>
        <vt:i4>5</vt:i4>
      </vt:variant>
      <vt:variant>
        <vt:lpwstr/>
      </vt:variant>
      <vt:variant>
        <vt:lpwstr>_Toc522257735</vt:lpwstr>
      </vt:variant>
      <vt:variant>
        <vt:i4>1245237</vt:i4>
      </vt:variant>
      <vt:variant>
        <vt:i4>140</vt:i4>
      </vt:variant>
      <vt:variant>
        <vt:i4>0</vt:i4>
      </vt:variant>
      <vt:variant>
        <vt:i4>5</vt:i4>
      </vt:variant>
      <vt:variant>
        <vt:lpwstr/>
      </vt:variant>
      <vt:variant>
        <vt:lpwstr>_Toc522257734</vt:lpwstr>
      </vt:variant>
      <vt:variant>
        <vt:i4>1245237</vt:i4>
      </vt:variant>
      <vt:variant>
        <vt:i4>134</vt:i4>
      </vt:variant>
      <vt:variant>
        <vt:i4>0</vt:i4>
      </vt:variant>
      <vt:variant>
        <vt:i4>5</vt:i4>
      </vt:variant>
      <vt:variant>
        <vt:lpwstr/>
      </vt:variant>
      <vt:variant>
        <vt:lpwstr>_Toc522257733</vt:lpwstr>
      </vt:variant>
      <vt:variant>
        <vt:i4>1245237</vt:i4>
      </vt:variant>
      <vt:variant>
        <vt:i4>128</vt:i4>
      </vt:variant>
      <vt:variant>
        <vt:i4>0</vt:i4>
      </vt:variant>
      <vt:variant>
        <vt:i4>5</vt:i4>
      </vt:variant>
      <vt:variant>
        <vt:lpwstr/>
      </vt:variant>
      <vt:variant>
        <vt:lpwstr>_Toc522257732</vt:lpwstr>
      </vt:variant>
      <vt:variant>
        <vt:i4>1245237</vt:i4>
      </vt:variant>
      <vt:variant>
        <vt:i4>122</vt:i4>
      </vt:variant>
      <vt:variant>
        <vt:i4>0</vt:i4>
      </vt:variant>
      <vt:variant>
        <vt:i4>5</vt:i4>
      </vt:variant>
      <vt:variant>
        <vt:lpwstr/>
      </vt:variant>
      <vt:variant>
        <vt:lpwstr>_Toc522257731</vt:lpwstr>
      </vt:variant>
      <vt:variant>
        <vt:i4>1245237</vt:i4>
      </vt:variant>
      <vt:variant>
        <vt:i4>116</vt:i4>
      </vt:variant>
      <vt:variant>
        <vt:i4>0</vt:i4>
      </vt:variant>
      <vt:variant>
        <vt:i4>5</vt:i4>
      </vt:variant>
      <vt:variant>
        <vt:lpwstr/>
      </vt:variant>
      <vt:variant>
        <vt:lpwstr>_Toc522257730</vt:lpwstr>
      </vt:variant>
      <vt:variant>
        <vt:i4>1179701</vt:i4>
      </vt:variant>
      <vt:variant>
        <vt:i4>110</vt:i4>
      </vt:variant>
      <vt:variant>
        <vt:i4>0</vt:i4>
      </vt:variant>
      <vt:variant>
        <vt:i4>5</vt:i4>
      </vt:variant>
      <vt:variant>
        <vt:lpwstr/>
      </vt:variant>
      <vt:variant>
        <vt:lpwstr>_Toc522257729</vt:lpwstr>
      </vt:variant>
      <vt:variant>
        <vt:i4>1179701</vt:i4>
      </vt:variant>
      <vt:variant>
        <vt:i4>104</vt:i4>
      </vt:variant>
      <vt:variant>
        <vt:i4>0</vt:i4>
      </vt:variant>
      <vt:variant>
        <vt:i4>5</vt:i4>
      </vt:variant>
      <vt:variant>
        <vt:lpwstr/>
      </vt:variant>
      <vt:variant>
        <vt:lpwstr>_Toc522257728</vt:lpwstr>
      </vt:variant>
      <vt:variant>
        <vt:i4>1179701</vt:i4>
      </vt:variant>
      <vt:variant>
        <vt:i4>98</vt:i4>
      </vt:variant>
      <vt:variant>
        <vt:i4>0</vt:i4>
      </vt:variant>
      <vt:variant>
        <vt:i4>5</vt:i4>
      </vt:variant>
      <vt:variant>
        <vt:lpwstr/>
      </vt:variant>
      <vt:variant>
        <vt:lpwstr>_Toc522257727</vt:lpwstr>
      </vt:variant>
      <vt:variant>
        <vt:i4>1179701</vt:i4>
      </vt:variant>
      <vt:variant>
        <vt:i4>92</vt:i4>
      </vt:variant>
      <vt:variant>
        <vt:i4>0</vt:i4>
      </vt:variant>
      <vt:variant>
        <vt:i4>5</vt:i4>
      </vt:variant>
      <vt:variant>
        <vt:lpwstr/>
      </vt:variant>
      <vt:variant>
        <vt:lpwstr>_Toc522257726</vt:lpwstr>
      </vt:variant>
      <vt:variant>
        <vt:i4>1179701</vt:i4>
      </vt:variant>
      <vt:variant>
        <vt:i4>86</vt:i4>
      </vt:variant>
      <vt:variant>
        <vt:i4>0</vt:i4>
      </vt:variant>
      <vt:variant>
        <vt:i4>5</vt:i4>
      </vt:variant>
      <vt:variant>
        <vt:lpwstr/>
      </vt:variant>
      <vt:variant>
        <vt:lpwstr>_Toc522257725</vt:lpwstr>
      </vt:variant>
      <vt:variant>
        <vt:i4>1179701</vt:i4>
      </vt:variant>
      <vt:variant>
        <vt:i4>80</vt:i4>
      </vt:variant>
      <vt:variant>
        <vt:i4>0</vt:i4>
      </vt:variant>
      <vt:variant>
        <vt:i4>5</vt:i4>
      </vt:variant>
      <vt:variant>
        <vt:lpwstr/>
      </vt:variant>
      <vt:variant>
        <vt:lpwstr>_Toc522257724</vt:lpwstr>
      </vt:variant>
      <vt:variant>
        <vt:i4>1179701</vt:i4>
      </vt:variant>
      <vt:variant>
        <vt:i4>74</vt:i4>
      </vt:variant>
      <vt:variant>
        <vt:i4>0</vt:i4>
      </vt:variant>
      <vt:variant>
        <vt:i4>5</vt:i4>
      </vt:variant>
      <vt:variant>
        <vt:lpwstr/>
      </vt:variant>
      <vt:variant>
        <vt:lpwstr>_Toc522257723</vt:lpwstr>
      </vt:variant>
      <vt:variant>
        <vt:i4>1179701</vt:i4>
      </vt:variant>
      <vt:variant>
        <vt:i4>68</vt:i4>
      </vt:variant>
      <vt:variant>
        <vt:i4>0</vt:i4>
      </vt:variant>
      <vt:variant>
        <vt:i4>5</vt:i4>
      </vt:variant>
      <vt:variant>
        <vt:lpwstr/>
      </vt:variant>
      <vt:variant>
        <vt:lpwstr>_Toc522257722</vt:lpwstr>
      </vt:variant>
      <vt:variant>
        <vt:i4>1179701</vt:i4>
      </vt:variant>
      <vt:variant>
        <vt:i4>62</vt:i4>
      </vt:variant>
      <vt:variant>
        <vt:i4>0</vt:i4>
      </vt:variant>
      <vt:variant>
        <vt:i4>5</vt:i4>
      </vt:variant>
      <vt:variant>
        <vt:lpwstr/>
      </vt:variant>
      <vt:variant>
        <vt:lpwstr>_Toc522257721</vt:lpwstr>
      </vt:variant>
      <vt:variant>
        <vt:i4>1179701</vt:i4>
      </vt:variant>
      <vt:variant>
        <vt:i4>56</vt:i4>
      </vt:variant>
      <vt:variant>
        <vt:i4>0</vt:i4>
      </vt:variant>
      <vt:variant>
        <vt:i4>5</vt:i4>
      </vt:variant>
      <vt:variant>
        <vt:lpwstr/>
      </vt:variant>
      <vt:variant>
        <vt:lpwstr>_Toc522257720</vt:lpwstr>
      </vt:variant>
      <vt:variant>
        <vt:i4>1114165</vt:i4>
      </vt:variant>
      <vt:variant>
        <vt:i4>50</vt:i4>
      </vt:variant>
      <vt:variant>
        <vt:i4>0</vt:i4>
      </vt:variant>
      <vt:variant>
        <vt:i4>5</vt:i4>
      </vt:variant>
      <vt:variant>
        <vt:lpwstr/>
      </vt:variant>
      <vt:variant>
        <vt:lpwstr>_Toc522257719</vt:lpwstr>
      </vt:variant>
      <vt:variant>
        <vt:i4>1114165</vt:i4>
      </vt:variant>
      <vt:variant>
        <vt:i4>44</vt:i4>
      </vt:variant>
      <vt:variant>
        <vt:i4>0</vt:i4>
      </vt:variant>
      <vt:variant>
        <vt:i4>5</vt:i4>
      </vt:variant>
      <vt:variant>
        <vt:lpwstr/>
      </vt:variant>
      <vt:variant>
        <vt:lpwstr>_Toc522257718</vt:lpwstr>
      </vt:variant>
      <vt:variant>
        <vt:i4>1114165</vt:i4>
      </vt:variant>
      <vt:variant>
        <vt:i4>38</vt:i4>
      </vt:variant>
      <vt:variant>
        <vt:i4>0</vt:i4>
      </vt:variant>
      <vt:variant>
        <vt:i4>5</vt:i4>
      </vt:variant>
      <vt:variant>
        <vt:lpwstr/>
      </vt:variant>
      <vt:variant>
        <vt:lpwstr>_Toc522257717</vt:lpwstr>
      </vt:variant>
      <vt:variant>
        <vt:i4>1114165</vt:i4>
      </vt:variant>
      <vt:variant>
        <vt:i4>32</vt:i4>
      </vt:variant>
      <vt:variant>
        <vt:i4>0</vt:i4>
      </vt:variant>
      <vt:variant>
        <vt:i4>5</vt:i4>
      </vt:variant>
      <vt:variant>
        <vt:lpwstr/>
      </vt:variant>
      <vt:variant>
        <vt:lpwstr>_Toc522257716</vt:lpwstr>
      </vt:variant>
      <vt:variant>
        <vt:i4>1114165</vt:i4>
      </vt:variant>
      <vt:variant>
        <vt:i4>26</vt:i4>
      </vt:variant>
      <vt:variant>
        <vt:i4>0</vt:i4>
      </vt:variant>
      <vt:variant>
        <vt:i4>5</vt:i4>
      </vt:variant>
      <vt:variant>
        <vt:lpwstr/>
      </vt:variant>
      <vt:variant>
        <vt:lpwstr>_Toc522257715</vt:lpwstr>
      </vt:variant>
      <vt:variant>
        <vt:i4>1114165</vt:i4>
      </vt:variant>
      <vt:variant>
        <vt:i4>20</vt:i4>
      </vt:variant>
      <vt:variant>
        <vt:i4>0</vt:i4>
      </vt:variant>
      <vt:variant>
        <vt:i4>5</vt:i4>
      </vt:variant>
      <vt:variant>
        <vt:lpwstr/>
      </vt:variant>
      <vt:variant>
        <vt:lpwstr>_Toc522257714</vt:lpwstr>
      </vt:variant>
      <vt:variant>
        <vt:i4>1114165</vt:i4>
      </vt:variant>
      <vt:variant>
        <vt:i4>14</vt:i4>
      </vt:variant>
      <vt:variant>
        <vt:i4>0</vt:i4>
      </vt:variant>
      <vt:variant>
        <vt:i4>5</vt:i4>
      </vt:variant>
      <vt:variant>
        <vt:lpwstr/>
      </vt:variant>
      <vt:variant>
        <vt:lpwstr>_Toc522257713</vt:lpwstr>
      </vt:variant>
      <vt:variant>
        <vt:i4>1114165</vt:i4>
      </vt:variant>
      <vt:variant>
        <vt:i4>8</vt:i4>
      </vt:variant>
      <vt:variant>
        <vt:i4>0</vt:i4>
      </vt:variant>
      <vt:variant>
        <vt:i4>5</vt:i4>
      </vt:variant>
      <vt:variant>
        <vt:lpwstr/>
      </vt:variant>
      <vt:variant>
        <vt:lpwstr>_Toc522257712</vt:lpwstr>
      </vt:variant>
      <vt:variant>
        <vt:i4>1114165</vt:i4>
      </vt:variant>
      <vt:variant>
        <vt:i4>2</vt:i4>
      </vt:variant>
      <vt:variant>
        <vt:i4>0</vt:i4>
      </vt:variant>
      <vt:variant>
        <vt:i4>5</vt:i4>
      </vt:variant>
      <vt:variant>
        <vt:lpwstr/>
      </vt:variant>
      <vt:variant>
        <vt:lpwstr>_Toc522257711</vt:lpwstr>
      </vt:variant>
      <vt:variant>
        <vt:i4>4980817</vt:i4>
      </vt:variant>
      <vt:variant>
        <vt:i4>18</vt:i4>
      </vt:variant>
      <vt:variant>
        <vt:i4>0</vt:i4>
      </vt:variant>
      <vt:variant>
        <vt:i4>5</vt:i4>
      </vt:variant>
      <vt:variant>
        <vt:lpwstr>https://www.publicagenda.org/press-releases/public-school-teenagers-call-higher-standards-more-order-and-discipline-classroom</vt:lpwstr>
      </vt:variant>
      <vt:variant>
        <vt:lpwstr/>
      </vt:variant>
      <vt:variant>
        <vt:i4>7208978</vt:i4>
      </vt:variant>
      <vt:variant>
        <vt:i4>15</vt:i4>
      </vt:variant>
      <vt:variant>
        <vt:i4>0</vt:i4>
      </vt:variant>
      <vt:variant>
        <vt:i4>5</vt:i4>
      </vt:variant>
      <vt:variant>
        <vt:lpwstr>http://www.osymigrant.org/lr_doc110512.pdf</vt:lpwstr>
      </vt:variant>
      <vt:variant>
        <vt:lpwstr/>
      </vt:variant>
      <vt:variant>
        <vt:i4>2424903</vt:i4>
      </vt:variant>
      <vt:variant>
        <vt:i4>12</vt:i4>
      </vt:variant>
      <vt:variant>
        <vt:i4>0</vt:i4>
      </vt:variant>
      <vt:variant>
        <vt:i4>5</vt:i4>
      </vt:variant>
      <vt:variant>
        <vt:lpwstr>http://www.ppic.org/content/pubs/report/R_407LHR.pdf</vt:lpwstr>
      </vt:variant>
      <vt:variant>
        <vt:lpwstr/>
      </vt:variant>
      <vt:variant>
        <vt:i4>3801130</vt:i4>
      </vt:variant>
      <vt:variant>
        <vt:i4>9</vt:i4>
      </vt:variant>
      <vt:variant>
        <vt:i4>0</vt:i4>
      </vt:variant>
      <vt:variant>
        <vt:i4>5</vt:i4>
      </vt:variant>
      <vt:variant>
        <vt:lpwstr>http://data1.cde.ca.gov/dataquest/cohortrates/CohortOutcomeDefinitions2016_8_22.pdf</vt:lpwstr>
      </vt:variant>
      <vt:variant>
        <vt:lpwstr/>
      </vt:variant>
      <vt:variant>
        <vt:i4>6815784</vt:i4>
      </vt:variant>
      <vt:variant>
        <vt:i4>6</vt:i4>
      </vt:variant>
      <vt:variant>
        <vt:i4>0</vt:i4>
      </vt:variant>
      <vt:variant>
        <vt:i4>5</vt:i4>
      </vt:variant>
      <vt:variant>
        <vt:lpwstr>http://www.cde.ca.gov/ta/tg/ca/caasppssreports.asp</vt:lpwstr>
      </vt:variant>
      <vt:variant>
        <vt:lpwstr/>
      </vt:variant>
      <vt:variant>
        <vt:i4>6684734</vt:i4>
      </vt:variant>
      <vt:variant>
        <vt:i4>3</vt:i4>
      </vt:variant>
      <vt:variant>
        <vt:i4>0</vt:i4>
      </vt:variant>
      <vt:variant>
        <vt:i4>5</vt:i4>
      </vt:variant>
      <vt:variant>
        <vt:lpwstr>http://www.cde.ca.gov/sp/me/mt/</vt:lpwstr>
      </vt:variant>
      <vt:variant>
        <vt:lpwstr/>
      </vt:variant>
      <vt:variant>
        <vt:i4>2687095</vt:i4>
      </vt:variant>
      <vt:variant>
        <vt:i4>0</vt:i4>
      </vt:variant>
      <vt:variant>
        <vt:i4>0</vt:i4>
      </vt:variant>
      <vt:variant>
        <vt:i4>5</vt:i4>
      </vt:variant>
      <vt:variant>
        <vt:lpwstr>https://www.cdfa.ca.gov/statistics/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Migrant CNA - Migrant (CA Dept of Education)</dc:title>
  <dc:subject>Comprehensive Needs Assessment (CNA) Report of Initial Findings for 2024.</dc:subject>
  <dc:creator/>
  <cp:keywords/>
  <dc:description/>
  <cp:lastModifiedBy/>
  <cp:revision>1</cp:revision>
  <dcterms:created xsi:type="dcterms:W3CDTF">2025-06-03T18:40:00Z</dcterms:created>
  <dcterms:modified xsi:type="dcterms:W3CDTF">2025-06-06T22:33:00Z</dcterms:modified>
</cp:coreProperties>
</file>