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9FF0" w14:textId="77777777" w:rsidR="00E82955" w:rsidRPr="00E82955" w:rsidRDefault="00E82955" w:rsidP="00E82955">
      <w:pPr>
        <w:rPr>
          <w:rFonts w:ascii="Arial" w:hAnsi="Arial" w:cs="Arial"/>
          <w:sz w:val="24"/>
          <w:szCs w:val="24"/>
        </w:rPr>
      </w:pPr>
      <w:r w:rsidRPr="00E82955">
        <w:rPr>
          <w:rFonts w:ascii="Arial" w:hAnsi="Arial" w:cs="Arial"/>
          <w:sz w:val="24"/>
          <w:szCs w:val="24"/>
        </w:rPr>
        <w:t>California Department of Education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September 2018</w:t>
      </w:r>
    </w:p>
    <w:p w14:paraId="7FDE949F" w14:textId="77777777" w:rsidR="00DE05E6" w:rsidRDefault="00332598" w:rsidP="00FF43B4">
      <w:pPr>
        <w:pStyle w:val="Heading1"/>
        <w:spacing w:before="0" w:after="120"/>
        <w:jc w:val="center"/>
      </w:pPr>
      <w:r>
        <w:t xml:space="preserve">Title II, Part A Method of </w:t>
      </w:r>
      <w:r w:rsidR="00664794" w:rsidRPr="00664794">
        <w:t xml:space="preserve">Calculating Equitable Services </w:t>
      </w:r>
      <w:r>
        <w:t>Proportional Share</w:t>
      </w:r>
    </w:p>
    <w:p w14:paraId="18F8A12F" w14:textId="77777777" w:rsidR="00664794" w:rsidRDefault="00664794" w:rsidP="00FF43B4">
      <w:pPr>
        <w:tabs>
          <w:tab w:val="left" w:pos="1201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Elementary and Secondary Education Act, </w:t>
      </w:r>
      <w:r w:rsidRPr="005532E0">
        <w:rPr>
          <w:rFonts w:ascii="Arial" w:hAnsi="Arial" w:cs="Arial"/>
          <w:color w:val="000000"/>
          <w:sz w:val="24"/>
          <w:szCs w:val="24"/>
        </w:rPr>
        <w:t xml:space="preserve">as amended by </w:t>
      </w:r>
      <w:proofErr w:type="gramStart"/>
      <w:r w:rsidRPr="005532E0"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z w:val="24"/>
          <w:szCs w:val="24"/>
        </w:rPr>
        <w:t>Every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Student Succeeds Act</w:t>
      </w:r>
      <w:r w:rsidR="002A68CE">
        <w:rPr>
          <w:rFonts w:ascii="Arial" w:hAnsi="Arial" w:cs="Arial"/>
          <w:color w:val="000000"/>
          <w:sz w:val="24"/>
          <w:szCs w:val="24"/>
        </w:rPr>
        <w:t xml:space="preserve"> (ESSA)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532E0">
        <w:rPr>
          <w:rFonts w:ascii="Arial" w:hAnsi="Arial" w:cs="Arial"/>
          <w:color w:val="000000"/>
          <w:sz w:val="24"/>
          <w:szCs w:val="24"/>
        </w:rPr>
        <w:t>Section</w:t>
      </w:r>
      <w:r>
        <w:rPr>
          <w:rFonts w:ascii="Arial" w:hAnsi="Arial" w:cs="Arial"/>
          <w:color w:val="000000"/>
          <w:sz w:val="24"/>
          <w:szCs w:val="24"/>
        </w:rPr>
        <w:t xml:space="preserve"> 2102(a), requires f</w:t>
      </w:r>
      <w:r w:rsidRPr="00664794">
        <w:rPr>
          <w:rFonts w:ascii="Arial" w:hAnsi="Arial" w:cs="Arial"/>
          <w:sz w:val="24"/>
          <w:szCs w:val="24"/>
        </w:rPr>
        <w:t xml:space="preserve">rom funds reserved by a State under </w:t>
      </w:r>
      <w:r w:rsidR="002A68CE">
        <w:rPr>
          <w:rFonts w:ascii="Arial" w:hAnsi="Arial" w:cs="Arial"/>
          <w:sz w:val="24"/>
          <w:szCs w:val="24"/>
        </w:rPr>
        <w:t xml:space="preserve">ESSA </w:t>
      </w:r>
      <w:r>
        <w:rPr>
          <w:rFonts w:ascii="Arial" w:hAnsi="Arial" w:cs="Arial"/>
          <w:sz w:val="24"/>
          <w:szCs w:val="24"/>
        </w:rPr>
        <w:t>S</w:t>
      </w:r>
      <w:r w:rsidRPr="00664794">
        <w:rPr>
          <w:rFonts w:ascii="Arial" w:hAnsi="Arial" w:cs="Arial"/>
          <w:sz w:val="24"/>
          <w:szCs w:val="24"/>
        </w:rPr>
        <w:t>ection 2101(c)(1) for a fiscal year, the State, acting through the State educational agency</w:t>
      </w:r>
      <w:r w:rsidR="00FC7BCA">
        <w:rPr>
          <w:rFonts w:ascii="Arial" w:hAnsi="Arial" w:cs="Arial"/>
          <w:sz w:val="24"/>
          <w:szCs w:val="24"/>
        </w:rPr>
        <w:t xml:space="preserve"> (SEA)</w:t>
      </w:r>
      <w:r w:rsidRPr="00664794">
        <w:rPr>
          <w:rFonts w:ascii="Arial" w:hAnsi="Arial" w:cs="Arial"/>
          <w:sz w:val="24"/>
          <w:szCs w:val="24"/>
        </w:rPr>
        <w:t>, shall award sub</w:t>
      </w:r>
      <w:r w:rsidR="00332598">
        <w:rPr>
          <w:rFonts w:ascii="Arial" w:hAnsi="Arial" w:cs="Arial"/>
          <w:sz w:val="24"/>
          <w:szCs w:val="24"/>
        </w:rPr>
        <w:t>-</w:t>
      </w:r>
      <w:r w:rsidRPr="00664794">
        <w:rPr>
          <w:rFonts w:ascii="Arial" w:hAnsi="Arial" w:cs="Arial"/>
          <w:sz w:val="24"/>
          <w:szCs w:val="24"/>
        </w:rPr>
        <w:t>grants to eligible local educational agencies</w:t>
      </w:r>
      <w:r w:rsidR="00332598">
        <w:rPr>
          <w:rFonts w:ascii="Arial" w:hAnsi="Arial" w:cs="Arial"/>
          <w:sz w:val="24"/>
          <w:szCs w:val="24"/>
        </w:rPr>
        <w:t xml:space="preserve"> (LEAs)</w:t>
      </w:r>
      <w:r w:rsidRPr="00664794">
        <w:rPr>
          <w:rFonts w:ascii="Arial" w:hAnsi="Arial" w:cs="Arial"/>
          <w:sz w:val="24"/>
          <w:szCs w:val="24"/>
        </w:rPr>
        <w:t xml:space="preserve"> from allocations described in paragraph (2).</w:t>
      </w:r>
      <w:r>
        <w:rPr>
          <w:rFonts w:ascii="Arial" w:hAnsi="Arial" w:cs="Arial"/>
          <w:sz w:val="24"/>
          <w:szCs w:val="24"/>
        </w:rPr>
        <w:t xml:space="preserve"> F</w:t>
      </w:r>
      <w:r w:rsidRPr="00664794">
        <w:rPr>
          <w:rFonts w:ascii="Arial" w:hAnsi="Arial" w:cs="Arial"/>
          <w:sz w:val="24"/>
          <w:szCs w:val="24"/>
        </w:rPr>
        <w:t xml:space="preserve">rom the funds described in paragraph (1), the </w:t>
      </w:r>
      <w:r w:rsidR="002C38B5">
        <w:rPr>
          <w:rFonts w:ascii="Arial" w:hAnsi="Arial" w:cs="Arial"/>
          <w:sz w:val="24"/>
          <w:szCs w:val="24"/>
        </w:rPr>
        <w:t>SEA</w:t>
      </w:r>
      <w:r w:rsidRPr="00664794">
        <w:rPr>
          <w:rFonts w:ascii="Arial" w:hAnsi="Arial" w:cs="Arial"/>
          <w:sz w:val="24"/>
          <w:szCs w:val="24"/>
        </w:rPr>
        <w:t xml:space="preserve"> shall allocate to each of the eligible </w:t>
      </w:r>
      <w:r w:rsidR="00332598">
        <w:rPr>
          <w:rFonts w:ascii="Arial" w:hAnsi="Arial" w:cs="Arial"/>
          <w:sz w:val="24"/>
          <w:szCs w:val="24"/>
        </w:rPr>
        <w:t>LEAs</w:t>
      </w:r>
      <w:r w:rsidRPr="00664794">
        <w:rPr>
          <w:rFonts w:ascii="Arial" w:hAnsi="Arial" w:cs="Arial"/>
          <w:sz w:val="24"/>
          <w:szCs w:val="24"/>
        </w:rPr>
        <w:t xml:space="preserve"> in the Stat</w:t>
      </w:r>
      <w:r w:rsidR="003E7549">
        <w:rPr>
          <w:rFonts w:ascii="Arial" w:hAnsi="Arial" w:cs="Arial"/>
          <w:sz w:val="24"/>
          <w:szCs w:val="24"/>
        </w:rPr>
        <w:t>e for a fiscal year the sum of:</w:t>
      </w:r>
    </w:p>
    <w:p w14:paraId="154C40A6" w14:textId="77777777" w:rsidR="00664794" w:rsidRPr="003E1269" w:rsidRDefault="00664794" w:rsidP="003E1269">
      <w:pPr>
        <w:pStyle w:val="ListParagraph"/>
        <w:numPr>
          <w:ilvl w:val="0"/>
          <w:numId w:val="1"/>
        </w:numPr>
        <w:tabs>
          <w:tab w:val="left" w:pos="1201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3E1269">
        <w:rPr>
          <w:rFonts w:ascii="Arial" w:hAnsi="Arial" w:cs="Arial"/>
          <w:sz w:val="24"/>
          <w:szCs w:val="24"/>
        </w:rPr>
        <w:t xml:space="preserve">an amount that bears the same relationship to 20 percent of such funds for such fiscal year as </w:t>
      </w:r>
      <w:r w:rsidR="003E7549" w:rsidRPr="003E1269">
        <w:rPr>
          <w:rFonts w:ascii="Arial" w:hAnsi="Arial" w:cs="Arial"/>
          <w:sz w:val="24"/>
          <w:szCs w:val="24"/>
        </w:rPr>
        <w:t>the number of individuals aged five</w:t>
      </w:r>
      <w:r w:rsidRPr="003E1269">
        <w:rPr>
          <w:rFonts w:ascii="Arial" w:hAnsi="Arial" w:cs="Arial"/>
          <w:sz w:val="24"/>
          <w:szCs w:val="24"/>
        </w:rPr>
        <w:t xml:space="preserve"> through </w:t>
      </w:r>
      <w:r w:rsidR="003E7549" w:rsidRPr="003E1269">
        <w:rPr>
          <w:rFonts w:ascii="Arial" w:hAnsi="Arial" w:cs="Arial"/>
          <w:sz w:val="24"/>
          <w:szCs w:val="24"/>
        </w:rPr>
        <w:t>seventeen</w:t>
      </w:r>
      <w:r w:rsidRPr="003E1269">
        <w:rPr>
          <w:rFonts w:ascii="Arial" w:hAnsi="Arial" w:cs="Arial"/>
          <w:sz w:val="24"/>
          <w:szCs w:val="24"/>
        </w:rPr>
        <w:t xml:space="preserve"> in the geographic area served by the </w:t>
      </w:r>
      <w:r w:rsidR="002363C2" w:rsidRPr="003E1269">
        <w:rPr>
          <w:rFonts w:ascii="Arial" w:hAnsi="Arial" w:cs="Arial"/>
          <w:sz w:val="24"/>
          <w:szCs w:val="24"/>
        </w:rPr>
        <w:t>LEA</w:t>
      </w:r>
      <w:r w:rsidRPr="003E1269">
        <w:rPr>
          <w:rFonts w:ascii="Arial" w:hAnsi="Arial" w:cs="Arial"/>
          <w:sz w:val="24"/>
          <w:szCs w:val="24"/>
        </w:rPr>
        <w:t xml:space="preserve">, as determined by the Secretary on the basis of the most recent satisfactory data, bears to the number of those individuals in the geographic areas served by all eligible </w:t>
      </w:r>
      <w:r w:rsidR="00332598" w:rsidRPr="003E1269">
        <w:rPr>
          <w:rFonts w:ascii="Arial" w:hAnsi="Arial" w:cs="Arial"/>
          <w:sz w:val="24"/>
          <w:szCs w:val="24"/>
        </w:rPr>
        <w:t>LEAs</w:t>
      </w:r>
      <w:r w:rsidRPr="003E1269">
        <w:rPr>
          <w:rFonts w:ascii="Arial" w:hAnsi="Arial" w:cs="Arial"/>
          <w:sz w:val="24"/>
          <w:szCs w:val="24"/>
        </w:rPr>
        <w:t xml:space="preserve"> in the State, as so determined; and</w:t>
      </w:r>
    </w:p>
    <w:p w14:paraId="2958D91A" w14:textId="77777777" w:rsidR="00CB2AE5" w:rsidRPr="003E1269" w:rsidRDefault="00664794" w:rsidP="003E1269">
      <w:pPr>
        <w:pStyle w:val="ListParagraph"/>
        <w:numPr>
          <w:ilvl w:val="0"/>
          <w:numId w:val="1"/>
        </w:numPr>
        <w:tabs>
          <w:tab w:val="left" w:pos="1201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3E1269">
        <w:rPr>
          <w:rFonts w:ascii="Arial" w:hAnsi="Arial" w:cs="Arial"/>
          <w:sz w:val="24"/>
          <w:szCs w:val="24"/>
        </w:rPr>
        <w:t xml:space="preserve">an amount that bears the same relationship to 80 percent of the funds for such fiscal year as </w:t>
      </w:r>
      <w:r w:rsidR="003E7549" w:rsidRPr="003E1269">
        <w:rPr>
          <w:rFonts w:ascii="Arial" w:hAnsi="Arial" w:cs="Arial"/>
          <w:sz w:val="24"/>
          <w:szCs w:val="24"/>
        </w:rPr>
        <w:t>the number of individuals aged five through seventeen</w:t>
      </w:r>
      <w:r w:rsidRPr="003E1269">
        <w:rPr>
          <w:rFonts w:ascii="Arial" w:hAnsi="Arial" w:cs="Arial"/>
          <w:sz w:val="24"/>
          <w:szCs w:val="24"/>
        </w:rPr>
        <w:t xml:space="preserve"> from families with incomes below the poverty line in the geographic area served by the </w:t>
      </w:r>
      <w:r w:rsidR="002363C2" w:rsidRPr="003E1269">
        <w:rPr>
          <w:rFonts w:ascii="Arial" w:hAnsi="Arial" w:cs="Arial"/>
          <w:sz w:val="24"/>
          <w:szCs w:val="24"/>
        </w:rPr>
        <w:t>LEA</w:t>
      </w:r>
      <w:r w:rsidRPr="003E1269">
        <w:rPr>
          <w:rFonts w:ascii="Arial" w:hAnsi="Arial" w:cs="Arial"/>
          <w:sz w:val="24"/>
          <w:szCs w:val="24"/>
        </w:rPr>
        <w:t xml:space="preserve">, as determined by the Secretary on the basis of the most recent satisfactory data, bears to the number of those individuals in the geographic areas served by all the eligible </w:t>
      </w:r>
      <w:r w:rsidR="00332598" w:rsidRPr="003E1269">
        <w:rPr>
          <w:rFonts w:ascii="Arial" w:hAnsi="Arial" w:cs="Arial"/>
          <w:sz w:val="24"/>
          <w:szCs w:val="24"/>
        </w:rPr>
        <w:t>LEAs</w:t>
      </w:r>
      <w:r w:rsidRPr="003E1269">
        <w:rPr>
          <w:rFonts w:ascii="Arial" w:hAnsi="Arial" w:cs="Arial"/>
          <w:sz w:val="24"/>
          <w:szCs w:val="24"/>
        </w:rPr>
        <w:t xml:space="preserve"> in the State, as</w:t>
      </w:r>
      <w:r w:rsidR="00B842B9" w:rsidRPr="003E1269">
        <w:rPr>
          <w:rFonts w:ascii="Arial" w:hAnsi="Arial" w:cs="Arial"/>
          <w:sz w:val="24"/>
          <w:szCs w:val="24"/>
        </w:rPr>
        <w:t xml:space="preserve"> is so determined.</w:t>
      </w:r>
    </w:p>
    <w:p w14:paraId="508D8825" w14:textId="77777777" w:rsidR="002E4B0A" w:rsidRDefault="002E4B0A" w:rsidP="00FF43B4">
      <w:pPr>
        <w:pStyle w:val="Default"/>
        <w:spacing w:after="120"/>
        <w:rPr>
          <w:rFonts w:ascii="Arial" w:hAnsi="Arial" w:cs="Arial"/>
        </w:rPr>
      </w:pPr>
      <w:r w:rsidRPr="00664794">
        <w:rPr>
          <w:rFonts w:ascii="Arial" w:hAnsi="Arial" w:cs="Arial"/>
        </w:rPr>
        <w:t xml:space="preserve">The amount an LEA must reserve to provide equitable services for </w:t>
      </w:r>
      <w:r w:rsidR="00E36AB3">
        <w:rPr>
          <w:rFonts w:ascii="Arial" w:hAnsi="Arial" w:cs="Arial"/>
        </w:rPr>
        <w:t xml:space="preserve">nonprofit </w:t>
      </w:r>
      <w:r w:rsidRPr="00664794">
        <w:rPr>
          <w:rFonts w:ascii="Arial" w:hAnsi="Arial" w:cs="Arial"/>
        </w:rPr>
        <w:t xml:space="preserve">private school teachers and other educational personnel for Title II, Part A services is based on the LEA’s total Title II, Part A allocation, less administrative costs. The LEA determines the amount of funds available for Title II, Part A equitable services for </w:t>
      </w:r>
      <w:r w:rsidR="00E36AB3">
        <w:rPr>
          <w:rFonts w:ascii="Arial" w:hAnsi="Arial" w:cs="Arial"/>
        </w:rPr>
        <w:t>nonprofit</w:t>
      </w:r>
      <w:r w:rsidR="00E36AB3" w:rsidRPr="00664794">
        <w:rPr>
          <w:rFonts w:ascii="Arial" w:hAnsi="Arial" w:cs="Arial"/>
        </w:rPr>
        <w:t xml:space="preserve"> </w:t>
      </w:r>
      <w:r w:rsidRPr="00664794">
        <w:rPr>
          <w:rFonts w:ascii="Arial" w:hAnsi="Arial" w:cs="Arial"/>
        </w:rPr>
        <w:t xml:space="preserve">private school teachers and other educational personnel by calculating, on a per-pupil basis, the amount available for all public and </w:t>
      </w:r>
      <w:r w:rsidR="00E36AB3">
        <w:rPr>
          <w:rFonts w:ascii="Arial" w:hAnsi="Arial" w:cs="Arial"/>
        </w:rPr>
        <w:t>nonprofit</w:t>
      </w:r>
      <w:r w:rsidR="00E36AB3" w:rsidRPr="00664794">
        <w:rPr>
          <w:rFonts w:ascii="Arial" w:hAnsi="Arial" w:cs="Arial"/>
        </w:rPr>
        <w:t xml:space="preserve"> </w:t>
      </w:r>
      <w:r w:rsidRPr="00664794">
        <w:rPr>
          <w:rFonts w:ascii="Arial" w:hAnsi="Arial" w:cs="Arial"/>
        </w:rPr>
        <w:t xml:space="preserve">private school students enrolled in participating </w:t>
      </w:r>
      <w:r w:rsidR="00E36AB3">
        <w:rPr>
          <w:rFonts w:ascii="Arial" w:hAnsi="Arial" w:cs="Arial"/>
        </w:rPr>
        <w:t>n</w:t>
      </w:r>
      <w:r w:rsidR="00E36AB3" w:rsidRPr="00E36AB3">
        <w:rPr>
          <w:rFonts w:ascii="Arial" w:hAnsi="Arial" w:cs="Arial"/>
        </w:rPr>
        <w:t>onprofit</w:t>
      </w:r>
      <w:r w:rsidR="00E36AB3">
        <w:rPr>
          <w:rFonts w:ascii="Arial" w:hAnsi="Arial" w:cs="Arial"/>
        </w:rPr>
        <w:t xml:space="preserve"> </w:t>
      </w:r>
      <w:r w:rsidRPr="00664794">
        <w:rPr>
          <w:rFonts w:ascii="Arial" w:hAnsi="Arial" w:cs="Arial"/>
        </w:rPr>
        <w:t>private elementary and secondary schools in areas served by the LEA (regardless of a student’s residency), taking into consideration the number and needs of the children, their teachers and other educational personnel to be served.</w:t>
      </w:r>
    </w:p>
    <w:p w14:paraId="60ACDB24" w14:textId="77777777" w:rsidR="003E1269" w:rsidRDefault="003E1269" w:rsidP="003E1269">
      <w:pPr>
        <w:pStyle w:val="Heading2"/>
        <w:spacing w:before="0" w:after="120"/>
        <w:jc w:val="center"/>
      </w:pPr>
      <w:r>
        <w:t>Example of Formula to Determine A</w:t>
      </w:r>
      <w:r w:rsidRPr="005532E0">
        <w:t xml:space="preserve">mount for Title </w:t>
      </w:r>
      <w:r>
        <w:t>II, Part A Equitable E</w:t>
      </w:r>
      <w:r w:rsidRPr="005532E0">
        <w:t>xpenditures</w:t>
      </w:r>
    </w:p>
    <w:p w14:paraId="625FDCE7" w14:textId="77777777" w:rsidR="003E1269" w:rsidRDefault="003E1269" w:rsidP="003E1269">
      <w:pPr>
        <w:pStyle w:val="Heading3"/>
        <w:numPr>
          <w:ilvl w:val="0"/>
          <w:numId w:val="3"/>
        </w:numPr>
      </w:pPr>
      <w:r>
        <w:t>Number of Students</w:t>
      </w:r>
    </w:p>
    <w:p w14:paraId="12AA682E" w14:textId="77777777" w:rsidR="003E1269" w:rsidRDefault="003E1269" w:rsidP="003E126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1269">
        <w:rPr>
          <w:rFonts w:ascii="Arial" w:hAnsi="Arial" w:cs="Arial"/>
          <w:sz w:val="24"/>
          <w:szCs w:val="24"/>
        </w:rPr>
        <w:t>A1. LEA Enrollment</w:t>
      </w:r>
      <w:r>
        <w:rPr>
          <w:rFonts w:ascii="Arial" w:hAnsi="Arial" w:cs="Arial"/>
          <w:sz w:val="24"/>
          <w:szCs w:val="24"/>
        </w:rPr>
        <w:t>: 900</w:t>
      </w:r>
    </w:p>
    <w:p w14:paraId="2E6B7385" w14:textId="77777777" w:rsidR="003E1269" w:rsidRDefault="003E1269" w:rsidP="003E126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1269">
        <w:rPr>
          <w:rFonts w:ascii="Arial" w:hAnsi="Arial" w:cs="Arial"/>
          <w:sz w:val="24"/>
          <w:szCs w:val="24"/>
        </w:rPr>
        <w:t>A2. Participating Nonprofit Private Schools Enrollment</w:t>
      </w:r>
      <w:r>
        <w:rPr>
          <w:rFonts w:ascii="Arial" w:hAnsi="Arial" w:cs="Arial"/>
          <w:sz w:val="24"/>
          <w:szCs w:val="24"/>
        </w:rPr>
        <w:t>: 100</w:t>
      </w:r>
    </w:p>
    <w:p w14:paraId="6B3B81BE" w14:textId="77777777" w:rsidR="003E1269" w:rsidRDefault="003E1269" w:rsidP="003E126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1269">
        <w:rPr>
          <w:rFonts w:ascii="Arial" w:hAnsi="Arial" w:cs="Arial"/>
          <w:sz w:val="24"/>
          <w:szCs w:val="24"/>
        </w:rPr>
        <w:t>A3. Total Enrollment (A1 + A2)</w:t>
      </w:r>
      <w:r>
        <w:rPr>
          <w:rFonts w:ascii="Arial" w:hAnsi="Arial" w:cs="Arial"/>
          <w:sz w:val="24"/>
          <w:szCs w:val="24"/>
        </w:rPr>
        <w:t>: 1,000</w:t>
      </w:r>
    </w:p>
    <w:p w14:paraId="64ED3A5A" w14:textId="77777777" w:rsidR="003E1269" w:rsidRDefault="003E1269" w:rsidP="003E1269">
      <w:pPr>
        <w:pStyle w:val="Heading3"/>
        <w:numPr>
          <w:ilvl w:val="0"/>
          <w:numId w:val="3"/>
        </w:numPr>
      </w:pPr>
      <w:r>
        <w:t>Title II, Part A Allocation</w:t>
      </w:r>
    </w:p>
    <w:p w14:paraId="7BE470EC" w14:textId="77777777" w:rsidR="003E1269" w:rsidRDefault="003E1269" w:rsidP="003E126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E1269">
        <w:rPr>
          <w:rFonts w:ascii="Arial" w:hAnsi="Arial" w:cs="Arial"/>
          <w:sz w:val="24"/>
          <w:szCs w:val="24"/>
        </w:rPr>
        <w:t>B1. Total LEA Allocation</w:t>
      </w:r>
      <w:r>
        <w:rPr>
          <w:rFonts w:ascii="Arial" w:hAnsi="Arial" w:cs="Arial"/>
          <w:sz w:val="24"/>
          <w:szCs w:val="24"/>
        </w:rPr>
        <w:t>: $1,000,000</w:t>
      </w:r>
    </w:p>
    <w:p w14:paraId="05CD12F6" w14:textId="77777777" w:rsidR="003E1269" w:rsidRDefault="003E1269" w:rsidP="003E126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E1269">
        <w:rPr>
          <w:rFonts w:ascii="Arial" w:hAnsi="Arial" w:cs="Arial"/>
          <w:sz w:val="24"/>
          <w:szCs w:val="24"/>
        </w:rPr>
        <w:t>B2. Administrative Costs (for public and nonprofit private school programs)</w:t>
      </w:r>
      <w:r>
        <w:rPr>
          <w:rFonts w:ascii="Arial" w:hAnsi="Arial" w:cs="Arial"/>
          <w:sz w:val="24"/>
          <w:szCs w:val="24"/>
        </w:rPr>
        <w:t>: $50,000</w:t>
      </w:r>
    </w:p>
    <w:p w14:paraId="275D1959" w14:textId="77777777" w:rsidR="003E1269" w:rsidRDefault="003E1269" w:rsidP="003E126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E1269">
        <w:rPr>
          <w:rFonts w:ascii="Arial" w:hAnsi="Arial" w:cs="Arial"/>
          <w:sz w:val="24"/>
          <w:szCs w:val="24"/>
        </w:rPr>
        <w:t>B3. Available LEA Allocation for determining Equitable Services (B1 – B2</w:t>
      </w:r>
      <w:r>
        <w:rPr>
          <w:rFonts w:ascii="Arial" w:hAnsi="Arial" w:cs="Arial"/>
          <w:sz w:val="24"/>
          <w:szCs w:val="24"/>
        </w:rPr>
        <w:t>): $950,000</w:t>
      </w:r>
    </w:p>
    <w:p w14:paraId="39A224BA" w14:textId="77777777" w:rsidR="003E1269" w:rsidRDefault="003E1269" w:rsidP="003E1269">
      <w:pPr>
        <w:pStyle w:val="Heading3"/>
        <w:numPr>
          <w:ilvl w:val="0"/>
          <w:numId w:val="3"/>
        </w:numPr>
      </w:pPr>
      <w:r>
        <w:t>Per Pupil Rate</w:t>
      </w:r>
    </w:p>
    <w:p w14:paraId="1C67D2A8" w14:textId="77777777" w:rsidR="003E1269" w:rsidRPr="003E1269" w:rsidRDefault="003E1269" w:rsidP="003E1269">
      <w:pPr>
        <w:pStyle w:val="ListParagraph"/>
        <w:numPr>
          <w:ilvl w:val="0"/>
          <w:numId w:val="8"/>
        </w:numPr>
      </w:pPr>
      <w:r>
        <w:rPr>
          <w:rFonts w:ascii="Arial" w:hAnsi="Arial" w:cs="Arial"/>
          <w:color w:val="000000"/>
          <w:sz w:val="24"/>
          <w:szCs w:val="24"/>
        </w:rPr>
        <w:t>C1. Available Per Pupil Allocation for Equitable Services (B3 ÷ A3): $950</w:t>
      </w:r>
    </w:p>
    <w:p w14:paraId="56093DC3" w14:textId="77777777" w:rsidR="003E1269" w:rsidRDefault="003E1269" w:rsidP="003E1269">
      <w:pPr>
        <w:pStyle w:val="Heading3"/>
        <w:numPr>
          <w:ilvl w:val="0"/>
          <w:numId w:val="3"/>
        </w:numPr>
      </w:pPr>
      <w:r>
        <w:lastRenderedPageBreak/>
        <w:t>Number of Students</w:t>
      </w:r>
    </w:p>
    <w:p w14:paraId="3B934DAA" w14:textId="77777777" w:rsidR="00D7591C" w:rsidRPr="003E1269" w:rsidRDefault="003E1269" w:rsidP="00D7591C">
      <w:pPr>
        <w:pStyle w:val="ListParagraph"/>
        <w:numPr>
          <w:ilvl w:val="0"/>
          <w:numId w:val="8"/>
        </w:numPr>
      </w:pPr>
      <w:r>
        <w:rPr>
          <w:rFonts w:ascii="Arial" w:hAnsi="Arial" w:cs="Arial"/>
          <w:color w:val="000000"/>
          <w:sz w:val="24"/>
          <w:szCs w:val="24"/>
        </w:rPr>
        <w:t>D1. Amount LEA shall allocate for equitable services for nonprofit private school teachers and other educational personnel (A2 x C1): $95,000</w:t>
      </w:r>
    </w:p>
    <w:sectPr w:rsidR="00D7591C" w:rsidRPr="003E1269" w:rsidSect="00851308">
      <w:footerReference w:type="default" r:id="rId7"/>
      <w:pgSz w:w="12240" w:h="15840" w:code="1"/>
      <w:pgMar w:top="900" w:right="72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F184" w14:textId="77777777" w:rsidR="00851308" w:rsidRDefault="00851308" w:rsidP="003E1269">
      <w:pPr>
        <w:spacing w:after="0" w:line="240" w:lineRule="auto"/>
      </w:pPr>
      <w:r>
        <w:separator/>
      </w:r>
    </w:p>
  </w:endnote>
  <w:endnote w:type="continuationSeparator" w:id="0">
    <w:p w14:paraId="6493B00E" w14:textId="77777777" w:rsidR="00851308" w:rsidRDefault="00851308" w:rsidP="003E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A395" w14:textId="77777777" w:rsidR="003E1269" w:rsidRPr="003E1269" w:rsidRDefault="003E1269" w:rsidP="003E1269">
    <w:pPr>
      <w:shd w:val="clear" w:color="auto" w:fill="FFFFFF"/>
      <w:tabs>
        <w:tab w:val="left" w:pos="5400"/>
      </w:tabs>
      <w:spacing w:before="240" w:after="0" w:line="240" w:lineRule="auto"/>
      <w:rPr>
        <w:rFonts w:ascii="Arial" w:eastAsia="Times New Roman" w:hAnsi="Arial" w:cs="Arial"/>
        <w:color w:val="000000"/>
        <w:sz w:val="24"/>
        <w:szCs w:val="24"/>
        <w:lang w:val="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28F6" w14:textId="77777777" w:rsidR="00851308" w:rsidRDefault="00851308" w:rsidP="003E1269">
      <w:pPr>
        <w:spacing w:after="0" w:line="240" w:lineRule="auto"/>
      </w:pPr>
      <w:r>
        <w:separator/>
      </w:r>
    </w:p>
  </w:footnote>
  <w:footnote w:type="continuationSeparator" w:id="0">
    <w:p w14:paraId="6810C61C" w14:textId="77777777" w:rsidR="00851308" w:rsidRDefault="00851308" w:rsidP="003E1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B5C"/>
    <w:multiLevelType w:val="hybridMultilevel"/>
    <w:tmpl w:val="611279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3C36"/>
    <w:multiLevelType w:val="hybridMultilevel"/>
    <w:tmpl w:val="FAF40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49190A"/>
    <w:multiLevelType w:val="hybridMultilevel"/>
    <w:tmpl w:val="82F2FB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04D5F"/>
    <w:multiLevelType w:val="hybridMultilevel"/>
    <w:tmpl w:val="FFC4B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BA0E3A"/>
    <w:multiLevelType w:val="hybridMultilevel"/>
    <w:tmpl w:val="D81C3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4B3EE3"/>
    <w:multiLevelType w:val="hybridMultilevel"/>
    <w:tmpl w:val="E0A0138A"/>
    <w:lvl w:ilvl="0" w:tplc="A8FC5B96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F72EA5"/>
    <w:multiLevelType w:val="hybridMultilevel"/>
    <w:tmpl w:val="649662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440D5"/>
    <w:multiLevelType w:val="hybridMultilevel"/>
    <w:tmpl w:val="E39A5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579271">
    <w:abstractNumId w:val="2"/>
  </w:num>
  <w:num w:numId="2" w16cid:durableId="1608543694">
    <w:abstractNumId w:val="5"/>
  </w:num>
  <w:num w:numId="3" w16cid:durableId="2067952154">
    <w:abstractNumId w:val="0"/>
  </w:num>
  <w:num w:numId="4" w16cid:durableId="1880163587">
    <w:abstractNumId w:val="4"/>
  </w:num>
  <w:num w:numId="5" w16cid:durableId="321349898">
    <w:abstractNumId w:val="7"/>
  </w:num>
  <w:num w:numId="6" w16cid:durableId="1934430535">
    <w:abstractNumId w:val="6"/>
  </w:num>
  <w:num w:numId="7" w16cid:durableId="1006636955">
    <w:abstractNumId w:val="3"/>
  </w:num>
  <w:num w:numId="8" w16cid:durableId="70865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xMjUwNTC0NDEwMDVW0lEKTi0uzszPAykwrAUAhxVf4iwAAAA="/>
  </w:docVars>
  <w:rsids>
    <w:rsidRoot w:val="002E6D01"/>
    <w:rsid w:val="0011286E"/>
    <w:rsid w:val="00153C78"/>
    <w:rsid w:val="001801C8"/>
    <w:rsid w:val="002120B8"/>
    <w:rsid w:val="002363C2"/>
    <w:rsid w:val="002A68CE"/>
    <w:rsid w:val="002C38B5"/>
    <w:rsid w:val="002E4B0A"/>
    <w:rsid w:val="002E6D01"/>
    <w:rsid w:val="00332598"/>
    <w:rsid w:val="0034099A"/>
    <w:rsid w:val="00356F8F"/>
    <w:rsid w:val="003E1269"/>
    <w:rsid w:val="003E7549"/>
    <w:rsid w:val="00433058"/>
    <w:rsid w:val="00501DBF"/>
    <w:rsid w:val="00560DAB"/>
    <w:rsid w:val="00613169"/>
    <w:rsid w:val="00664794"/>
    <w:rsid w:val="00762D94"/>
    <w:rsid w:val="007B7EB1"/>
    <w:rsid w:val="007C7003"/>
    <w:rsid w:val="00851308"/>
    <w:rsid w:val="008A00E5"/>
    <w:rsid w:val="008C5DF6"/>
    <w:rsid w:val="00992AEF"/>
    <w:rsid w:val="009E6C7A"/>
    <w:rsid w:val="009F6634"/>
    <w:rsid w:val="00B24DFD"/>
    <w:rsid w:val="00B570E0"/>
    <w:rsid w:val="00B842B9"/>
    <w:rsid w:val="00C35131"/>
    <w:rsid w:val="00CB2AE5"/>
    <w:rsid w:val="00D7591C"/>
    <w:rsid w:val="00DA2CAA"/>
    <w:rsid w:val="00DE05E6"/>
    <w:rsid w:val="00E36AB3"/>
    <w:rsid w:val="00E51A5E"/>
    <w:rsid w:val="00E82955"/>
    <w:rsid w:val="00F152AB"/>
    <w:rsid w:val="00F54642"/>
    <w:rsid w:val="00F54C05"/>
    <w:rsid w:val="00FC7BCA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E0C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EB1"/>
  </w:style>
  <w:style w:type="paragraph" w:styleId="Heading1">
    <w:name w:val="heading 1"/>
    <w:basedOn w:val="Normal"/>
    <w:next w:val="Normal"/>
    <w:link w:val="Heading1Char"/>
    <w:uiPriority w:val="9"/>
    <w:qFormat/>
    <w:rsid w:val="0033259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F8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7EB1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6D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2598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B7EB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56F8F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E12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269"/>
  </w:style>
  <w:style w:type="paragraph" w:styleId="Footer">
    <w:name w:val="footer"/>
    <w:basedOn w:val="Normal"/>
    <w:link w:val="FooterChar"/>
    <w:uiPriority w:val="99"/>
    <w:unhideWhenUsed/>
    <w:rsid w:val="003E1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2519</Characters>
  <Application>Microsoft Office Word</Application>
  <DocSecurity>0</DocSecurity>
  <Lines>44</Lines>
  <Paragraphs>22</Paragraphs>
  <ScaleCrop>false</ScaleCrop>
  <Manager/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II, Part A Calc Method Equit Svs Propor Share - Title I, Part A (CA Dept of Education)</dc:title>
  <dc:subject>Sample document of Title II, Part A Method of Calculating Equitable Services Proportional Share formula.</dc:subject>
  <dc:creator/>
  <cp:keywords/>
  <dc:description/>
  <cp:lastModifiedBy/>
  <cp:revision>1</cp:revision>
  <dcterms:created xsi:type="dcterms:W3CDTF">2024-02-14T22:58:00Z</dcterms:created>
  <dcterms:modified xsi:type="dcterms:W3CDTF">2024-02-14T22:58:00Z</dcterms:modified>
</cp:coreProperties>
</file>