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13B2" w14:textId="6A481E27" w:rsidR="00C76A7E" w:rsidRDefault="00C76A7E" w:rsidP="003E01E1">
      <w:pPr>
        <w:pStyle w:val="Footer"/>
        <w:tabs>
          <w:tab w:val="clear" w:pos="4680"/>
        </w:tabs>
        <w:spacing w:after="480"/>
      </w:pPr>
      <w:r w:rsidRPr="00771E71">
        <w:rPr>
          <w:sz w:val="24"/>
          <w:szCs w:val="24"/>
        </w:rPr>
        <w:t>California Department of Education</w:t>
      </w:r>
      <w:r w:rsidR="003E01E1">
        <w:rPr>
          <w:sz w:val="24"/>
          <w:szCs w:val="24"/>
        </w:rPr>
        <w:tab/>
        <w:t>December 2024</w:t>
      </w:r>
    </w:p>
    <w:p w14:paraId="72955A94" w14:textId="0EB2202D" w:rsidR="00AD1646" w:rsidRDefault="00CC7449" w:rsidP="00CC7449">
      <w:pPr>
        <w:pStyle w:val="Heading1"/>
        <w:spacing w:after="240"/>
        <w:jc w:val="center"/>
      </w:pPr>
      <w:r>
        <w:t>Title I</w:t>
      </w:r>
      <w:r w:rsidR="007D0CFA">
        <w:t>,</w:t>
      </w:r>
      <w:r>
        <w:t xml:space="preserve"> Part A Method of </w:t>
      </w:r>
      <w:r w:rsidR="00664794" w:rsidRPr="00664794">
        <w:t xml:space="preserve">Calculating Equitable Services </w:t>
      </w:r>
      <w:r>
        <w:t>Proportional Share</w:t>
      </w:r>
    </w:p>
    <w:p w14:paraId="66C0D89F" w14:textId="77777777" w:rsidR="00ED2DCC" w:rsidRPr="00ED2DCC" w:rsidRDefault="00664794" w:rsidP="00AD1646">
      <w:pPr>
        <w:autoSpaceDE w:val="0"/>
        <w:autoSpaceDN w:val="0"/>
        <w:adjustRightInd w:val="0"/>
        <w:spacing w:after="240" w:line="240" w:lineRule="auto"/>
        <w:rPr>
          <w:rFonts w:ascii="Arial" w:hAnsi="Arial" w:cs="Arial"/>
          <w:color w:val="000000"/>
          <w:sz w:val="24"/>
          <w:szCs w:val="24"/>
        </w:rPr>
      </w:pPr>
      <w:r w:rsidRPr="00ED2DCC">
        <w:rPr>
          <w:rFonts w:ascii="Arial" w:hAnsi="Arial" w:cs="Arial"/>
          <w:color w:val="000000"/>
          <w:sz w:val="24"/>
          <w:szCs w:val="24"/>
        </w:rPr>
        <w:t>The Elementary and Secondary Education Act, as amended by the Every Student Succeeds Act</w:t>
      </w:r>
      <w:r w:rsidR="00CC7449">
        <w:rPr>
          <w:rFonts w:ascii="Arial" w:hAnsi="Arial" w:cs="Arial"/>
          <w:color w:val="000000"/>
          <w:sz w:val="24"/>
          <w:szCs w:val="24"/>
        </w:rPr>
        <w:t xml:space="preserve"> (ESSA)</w:t>
      </w:r>
      <w:r w:rsidRPr="00ED2DCC">
        <w:rPr>
          <w:rFonts w:ascii="Arial" w:hAnsi="Arial" w:cs="Arial"/>
          <w:color w:val="000000"/>
          <w:sz w:val="24"/>
          <w:szCs w:val="24"/>
        </w:rPr>
        <w:t xml:space="preserve"> Section </w:t>
      </w:r>
      <w:r w:rsidR="002F2193" w:rsidRPr="00ED2DCC">
        <w:rPr>
          <w:rFonts w:ascii="Arial" w:hAnsi="Arial" w:cs="Arial"/>
          <w:color w:val="000000"/>
          <w:sz w:val="24"/>
          <w:szCs w:val="24"/>
        </w:rPr>
        <w:t>1117</w:t>
      </w:r>
      <w:r w:rsidRPr="00ED2DCC">
        <w:rPr>
          <w:rFonts w:ascii="Arial" w:hAnsi="Arial" w:cs="Arial"/>
          <w:color w:val="000000"/>
          <w:sz w:val="24"/>
          <w:szCs w:val="24"/>
        </w:rPr>
        <w:t>(a), requires</w:t>
      </w:r>
      <w:r w:rsidR="00ED2DCC">
        <w:rPr>
          <w:rFonts w:ascii="Arial" w:hAnsi="Arial" w:cs="Arial"/>
          <w:color w:val="000000"/>
          <w:sz w:val="24"/>
          <w:szCs w:val="24"/>
        </w:rPr>
        <w:t>,</w:t>
      </w:r>
      <w:r w:rsidRPr="00ED2DCC">
        <w:rPr>
          <w:rFonts w:ascii="Arial" w:hAnsi="Arial" w:cs="Arial"/>
          <w:color w:val="000000"/>
          <w:sz w:val="24"/>
          <w:szCs w:val="24"/>
        </w:rPr>
        <w:t xml:space="preserve"> </w:t>
      </w:r>
      <w:r w:rsidR="00ED2DCC">
        <w:rPr>
          <w:rFonts w:ascii="Arial" w:hAnsi="Arial" w:cs="Arial"/>
          <w:color w:val="000000"/>
          <w:sz w:val="24"/>
          <w:szCs w:val="24"/>
        </w:rPr>
        <w:t>t</w:t>
      </w:r>
      <w:r w:rsidR="00ED2DCC" w:rsidRPr="00ED2DCC">
        <w:rPr>
          <w:rFonts w:ascii="Arial" w:hAnsi="Arial" w:cs="Arial"/>
          <w:color w:val="000000"/>
          <w:sz w:val="24"/>
          <w:szCs w:val="24"/>
        </w:rPr>
        <w:t>o the extent consistent with the number of eligible children</w:t>
      </w:r>
      <w:r w:rsidR="00CC7449">
        <w:rPr>
          <w:rFonts w:ascii="Arial" w:hAnsi="Arial" w:cs="Arial"/>
          <w:color w:val="000000"/>
          <w:sz w:val="24"/>
          <w:szCs w:val="24"/>
        </w:rPr>
        <w:t xml:space="preserve"> identified under ESSA S</w:t>
      </w:r>
      <w:r w:rsidR="00ED2DCC" w:rsidRPr="00ED2DCC">
        <w:rPr>
          <w:rFonts w:ascii="Arial" w:hAnsi="Arial" w:cs="Arial"/>
          <w:color w:val="000000"/>
          <w:sz w:val="24"/>
          <w:szCs w:val="24"/>
        </w:rPr>
        <w:t>ection 1115(c) in the school district served by a local educational agency</w:t>
      </w:r>
      <w:r w:rsidR="00ED2DCC">
        <w:rPr>
          <w:rFonts w:ascii="Arial" w:hAnsi="Arial" w:cs="Arial"/>
          <w:color w:val="000000"/>
          <w:sz w:val="24"/>
          <w:szCs w:val="24"/>
        </w:rPr>
        <w:t xml:space="preserve"> (LEA)</w:t>
      </w:r>
      <w:r w:rsidR="00ED2DCC" w:rsidRPr="00ED2DCC">
        <w:rPr>
          <w:rFonts w:ascii="Arial" w:hAnsi="Arial" w:cs="Arial"/>
          <w:color w:val="000000"/>
          <w:sz w:val="24"/>
          <w:szCs w:val="24"/>
        </w:rPr>
        <w:t xml:space="preserve"> who are enrolled in </w:t>
      </w:r>
      <w:r w:rsidR="00ED2DCC">
        <w:rPr>
          <w:rFonts w:ascii="Arial" w:hAnsi="Arial" w:cs="Arial"/>
          <w:color w:val="000000"/>
          <w:sz w:val="24"/>
          <w:szCs w:val="24"/>
        </w:rPr>
        <w:t xml:space="preserve">nonprofit </w:t>
      </w:r>
      <w:r w:rsidR="00ED2DCC" w:rsidRPr="00ED2DCC">
        <w:rPr>
          <w:rFonts w:ascii="Arial" w:hAnsi="Arial" w:cs="Arial"/>
          <w:color w:val="000000"/>
          <w:sz w:val="24"/>
          <w:szCs w:val="24"/>
        </w:rPr>
        <w:t>private elementary</w:t>
      </w:r>
      <w:r w:rsidR="00ED2DCC">
        <w:rPr>
          <w:rFonts w:ascii="Arial" w:hAnsi="Arial" w:cs="Arial"/>
          <w:color w:val="000000"/>
          <w:sz w:val="24"/>
          <w:szCs w:val="24"/>
        </w:rPr>
        <w:t xml:space="preserve"> schools and secondary schools, </w:t>
      </w:r>
      <w:r w:rsidR="00ED2DCC" w:rsidRPr="00ED2DCC">
        <w:rPr>
          <w:rFonts w:ascii="Arial" w:hAnsi="Arial" w:cs="Arial"/>
          <w:color w:val="000000"/>
          <w:sz w:val="24"/>
          <w:szCs w:val="24"/>
        </w:rPr>
        <w:t>after timely and meaningful consultation with appro</w:t>
      </w:r>
      <w:r w:rsidR="00ED2DCC">
        <w:rPr>
          <w:rFonts w:ascii="Arial" w:hAnsi="Arial" w:cs="Arial"/>
          <w:color w:val="000000"/>
          <w:sz w:val="24"/>
          <w:szCs w:val="24"/>
        </w:rPr>
        <w:t>priate private school officials</w:t>
      </w:r>
      <w:r w:rsidR="00ED2DCC" w:rsidRPr="00ED2DCC">
        <w:rPr>
          <w:rFonts w:ascii="Arial" w:hAnsi="Arial" w:cs="Arial"/>
          <w:color w:val="000000"/>
          <w:sz w:val="24"/>
          <w:szCs w:val="24"/>
        </w:rPr>
        <w:t xml:space="preserve"> </w:t>
      </w:r>
      <w:r w:rsidR="00ED2DCC">
        <w:rPr>
          <w:rFonts w:ascii="Arial" w:hAnsi="Arial" w:cs="Arial"/>
          <w:color w:val="000000"/>
          <w:sz w:val="24"/>
          <w:szCs w:val="24"/>
        </w:rPr>
        <w:t xml:space="preserve">to </w:t>
      </w:r>
      <w:r w:rsidR="00ED2DCC" w:rsidRPr="00ED2DCC">
        <w:rPr>
          <w:rFonts w:ascii="Arial" w:hAnsi="Arial" w:cs="Arial"/>
          <w:color w:val="000000"/>
          <w:sz w:val="24"/>
          <w:szCs w:val="24"/>
        </w:rPr>
        <w:t xml:space="preserve">provide such </w:t>
      </w:r>
      <w:r w:rsidR="00ED2DCC">
        <w:rPr>
          <w:rFonts w:ascii="Arial" w:hAnsi="Arial" w:cs="Arial"/>
          <w:color w:val="000000"/>
          <w:sz w:val="24"/>
          <w:szCs w:val="24"/>
        </w:rPr>
        <w:t>students</w:t>
      </w:r>
      <w:r w:rsidR="00ED2DCC" w:rsidRPr="00ED2DCC">
        <w:rPr>
          <w:rFonts w:ascii="Arial" w:hAnsi="Arial" w:cs="Arial"/>
          <w:color w:val="000000"/>
          <w:sz w:val="24"/>
          <w:szCs w:val="24"/>
        </w:rPr>
        <w:t>, on an equitable basis and individually or in combination, as requested by the officials to best meet the needs of such children, special educational services, instructional services (including evaluations to determine the progress being made in meeting such students’ academic needs), counseling, mentoring, one-on-one tutoring, or other benefits under this part (such as dual or concurrent enrollment, educational radio and television, computer equipment and materials, other technology, and mobile educational services and equipment) that address their needs; and</w:t>
      </w:r>
      <w:r w:rsidR="00ED2DCC">
        <w:rPr>
          <w:rFonts w:ascii="Arial" w:hAnsi="Arial" w:cs="Arial"/>
          <w:color w:val="000000"/>
          <w:sz w:val="24"/>
          <w:szCs w:val="24"/>
        </w:rPr>
        <w:t xml:space="preserve"> to </w:t>
      </w:r>
      <w:r w:rsidR="00ED2DCC" w:rsidRPr="00ED2DCC">
        <w:rPr>
          <w:rFonts w:ascii="Arial" w:hAnsi="Arial" w:cs="Arial"/>
          <w:color w:val="000000"/>
          <w:sz w:val="24"/>
          <w:szCs w:val="24"/>
        </w:rPr>
        <w:t>ensure that teachers and families of the children participate, on an equitable basis, in services and ac</w:t>
      </w:r>
      <w:r w:rsidR="00CC7449">
        <w:rPr>
          <w:rFonts w:ascii="Arial" w:hAnsi="Arial" w:cs="Arial"/>
          <w:color w:val="000000"/>
          <w:sz w:val="24"/>
          <w:szCs w:val="24"/>
        </w:rPr>
        <w:t>tivities developed pursuant to ESSA S</w:t>
      </w:r>
      <w:r w:rsidR="00ED2DCC" w:rsidRPr="00ED2DCC">
        <w:rPr>
          <w:rFonts w:ascii="Arial" w:hAnsi="Arial" w:cs="Arial"/>
          <w:color w:val="000000"/>
          <w:sz w:val="24"/>
          <w:szCs w:val="24"/>
        </w:rPr>
        <w:t>ection 1116.</w:t>
      </w:r>
    </w:p>
    <w:p w14:paraId="0F434B85" w14:textId="77777777" w:rsidR="00D94855" w:rsidRDefault="002E4B0A" w:rsidP="00C22259">
      <w:pPr>
        <w:tabs>
          <w:tab w:val="left" w:pos="12015"/>
        </w:tabs>
        <w:spacing w:after="240" w:line="240" w:lineRule="auto"/>
        <w:rPr>
          <w:rFonts w:ascii="Arial" w:hAnsi="Arial" w:cs="Arial"/>
          <w:color w:val="000000"/>
          <w:sz w:val="24"/>
          <w:szCs w:val="24"/>
        </w:rPr>
      </w:pPr>
      <w:r w:rsidRPr="00D94855">
        <w:rPr>
          <w:rFonts w:ascii="Arial" w:hAnsi="Arial" w:cs="Arial"/>
          <w:sz w:val="24"/>
          <w:szCs w:val="24"/>
        </w:rPr>
        <w:t xml:space="preserve">The amount an LEA must reserve to provide equitable services for </w:t>
      </w:r>
      <w:r w:rsidR="00D94855" w:rsidRPr="00D94855">
        <w:rPr>
          <w:rFonts w:ascii="Arial" w:hAnsi="Arial" w:cs="Arial"/>
          <w:sz w:val="24"/>
          <w:szCs w:val="24"/>
        </w:rPr>
        <w:t xml:space="preserve">nonprofit </w:t>
      </w:r>
      <w:r w:rsidRPr="00D94855">
        <w:rPr>
          <w:rFonts w:ascii="Arial" w:hAnsi="Arial" w:cs="Arial"/>
          <w:sz w:val="24"/>
          <w:szCs w:val="24"/>
        </w:rPr>
        <w:t xml:space="preserve">private school </w:t>
      </w:r>
      <w:r w:rsidR="00D94855" w:rsidRPr="00D94855">
        <w:rPr>
          <w:rFonts w:ascii="Arial" w:hAnsi="Arial" w:cs="Arial"/>
          <w:sz w:val="24"/>
          <w:szCs w:val="24"/>
        </w:rPr>
        <w:t xml:space="preserve">eligible students, </w:t>
      </w:r>
      <w:r w:rsidRPr="00D94855">
        <w:rPr>
          <w:rFonts w:ascii="Arial" w:hAnsi="Arial" w:cs="Arial"/>
          <w:sz w:val="24"/>
          <w:szCs w:val="24"/>
        </w:rPr>
        <w:t>teachers</w:t>
      </w:r>
      <w:r w:rsidR="00D94855" w:rsidRPr="00D94855">
        <w:rPr>
          <w:rFonts w:ascii="Arial" w:hAnsi="Arial" w:cs="Arial"/>
          <w:sz w:val="24"/>
          <w:szCs w:val="24"/>
        </w:rPr>
        <w:t xml:space="preserve">, </w:t>
      </w:r>
      <w:r w:rsidRPr="00D94855">
        <w:rPr>
          <w:rFonts w:ascii="Arial" w:hAnsi="Arial" w:cs="Arial"/>
          <w:sz w:val="24"/>
          <w:szCs w:val="24"/>
        </w:rPr>
        <w:t>and other educational personnel for Title I, Part A services is based on the LEA’s total Title I, Part A alloca</w:t>
      </w:r>
      <w:r w:rsidR="00D94855" w:rsidRPr="00D94855">
        <w:rPr>
          <w:rFonts w:ascii="Arial" w:hAnsi="Arial" w:cs="Arial"/>
          <w:sz w:val="24"/>
          <w:szCs w:val="24"/>
        </w:rPr>
        <w:t>tion</w:t>
      </w:r>
      <w:r w:rsidRPr="00D94855">
        <w:rPr>
          <w:rFonts w:ascii="Arial" w:hAnsi="Arial" w:cs="Arial"/>
          <w:sz w:val="24"/>
          <w:szCs w:val="24"/>
        </w:rPr>
        <w:t xml:space="preserve"> </w:t>
      </w:r>
      <w:r w:rsidR="00D94855" w:rsidRPr="00D94855">
        <w:rPr>
          <w:rFonts w:ascii="Arial" w:hAnsi="Arial" w:cs="Arial"/>
          <w:color w:val="000000"/>
          <w:sz w:val="24"/>
          <w:szCs w:val="24"/>
        </w:rPr>
        <w:t>prior to any allowable expenditures or transfers by the LEA</w:t>
      </w:r>
      <w:r w:rsidR="00D94855">
        <w:rPr>
          <w:rFonts w:ascii="Arial" w:hAnsi="Arial" w:cs="Arial"/>
          <w:color w:val="000000"/>
          <w:sz w:val="24"/>
          <w:szCs w:val="24"/>
        </w:rPr>
        <w:t>.</w:t>
      </w:r>
      <w:r w:rsidR="00D94855" w:rsidRPr="00D94855">
        <w:rPr>
          <w:rFonts w:ascii="Arial" w:hAnsi="Arial" w:cs="Arial"/>
          <w:color w:val="000000"/>
          <w:sz w:val="24"/>
          <w:szCs w:val="24"/>
        </w:rPr>
        <w:t xml:space="preserve"> </w:t>
      </w:r>
      <w:r w:rsidR="00D94855">
        <w:rPr>
          <w:rFonts w:ascii="Arial" w:hAnsi="Arial" w:cs="Arial"/>
          <w:color w:val="000000"/>
          <w:sz w:val="24"/>
          <w:szCs w:val="24"/>
        </w:rPr>
        <w:t>The e</w:t>
      </w:r>
      <w:r w:rsidR="00D94855" w:rsidRPr="00D94855">
        <w:rPr>
          <w:rFonts w:ascii="Arial" w:hAnsi="Arial" w:cs="Arial"/>
          <w:color w:val="000000"/>
          <w:sz w:val="24"/>
          <w:szCs w:val="24"/>
        </w:rPr>
        <w:t xml:space="preserve">xpenditures for educational services and other benefits to eligible </w:t>
      </w:r>
      <w:r w:rsidR="00D94855">
        <w:rPr>
          <w:rFonts w:ascii="Arial" w:hAnsi="Arial" w:cs="Arial"/>
          <w:color w:val="000000"/>
          <w:sz w:val="24"/>
          <w:szCs w:val="24"/>
        </w:rPr>
        <w:t xml:space="preserve">nonprofit </w:t>
      </w:r>
      <w:r w:rsidR="00D94855" w:rsidRPr="00D94855">
        <w:rPr>
          <w:rFonts w:ascii="Arial" w:hAnsi="Arial" w:cs="Arial"/>
          <w:color w:val="000000"/>
          <w:sz w:val="24"/>
          <w:szCs w:val="24"/>
        </w:rPr>
        <w:t xml:space="preserve">private school </w:t>
      </w:r>
      <w:r w:rsidR="00D94855">
        <w:rPr>
          <w:rFonts w:ascii="Arial" w:hAnsi="Arial" w:cs="Arial"/>
          <w:color w:val="000000"/>
          <w:sz w:val="24"/>
          <w:szCs w:val="24"/>
        </w:rPr>
        <w:t>students must</w:t>
      </w:r>
      <w:r w:rsidR="00D94855" w:rsidRPr="00D94855">
        <w:rPr>
          <w:rFonts w:ascii="Arial" w:hAnsi="Arial" w:cs="Arial"/>
          <w:color w:val="000000"/>
          <w:sz w:val="24"/>
          <w:szCs w:val="24"/>
        </w:rPr>
        <w:t xml:space="preserve"> be equal to the proportion of funds allocated to participating school attendance areas based on the number of </w:t>
      </w:r>
      <w:r w:rsidR="003C0F09">
        <w:rPr>
          <w:rFonts w:ascii="Arial" w:hAnsi="Arial" w:cs="Arial"/>
          <w:color w:val="000000"/>
          <w:sz w:val="24"/>
          <w:szCs w:val="24"/>
        </w:rPr>
        <w:t>students</w:t>
      </w:r>
      <w:r w:rsidR="00D94855" w:rsidRPr="00D94855">
        <w:rPr>
          <w:rFonts w:ascii="Arial" w:hAnsi="Arial" w:cs="Arial"/>
          <w:color w:val="000000"/>
          <w:sz w:val="24"/>
          <w:szCs w:val="24"/>
        </w:rPr>
        <w:t xml:space="preserve"> from low-income families who attend </w:t>
      </w:r>
      <w:r w:rsidR="00D94855">
        <w:rPr>
          <w:rFonts w:ascii="Arial" w:hAnsi="Arial" w:cs="Arial"/>
          <w:color w:val="000000"/>
          <w:sz w:val="24"/>
          <w:szCs w:val="24"/>
        </w:rPr>
        <w:t xml:space="preserve">nonprofit </w:t>
      </w:r>
      <w:r w:rsidR="00D94855" w:rsidRPr="00D94855">
        <w:rPr>
          <w:rFonts w:ascii="Arial" w:hAnsi="Arial" w:cs="Arial"/>
          <w:color w:val="000000"/>
          <w:sz w:val="24"/>
          <w:szCs w:val="24"/>
        </w:rPr>
        <w:t>private schools.</w:t>
      </w:r>
      <w:r w:rsidR="00D94855" w:rsidRPr="00D94855">
        <w:rPr>
          <w:rFonts w:ascii="Arial" w:hAnsi="Arial" w:cs="Arial"/>
          <w:color w:val="000000"/>
          <w:sz w:val="28"/>
          <w:szCs w:val="28"/>
        </w:rPr>
        <w:t xml:space="preserve"> </w:t>
      </w:r>
      <w:r w:rsidR="00D94855" w:rsidRPr="00D94855">
        <w:rPr>
          <w:rFonts w:ascii="Arial" w:hAnsi="Arial" w:cs="Arial"/>
          <w:color w:val="000000"/>
          <w:sz w:val="24"/>
          <w:szCs w:val="24"/>
        </w:rPr>
        <w:t>Such educational services or other benefits, including materials and equipment, shall be secul</w:t>
      </w:r>
      <w:r w:rsidR="003C0F09">
        <w:rPr>
          <w:rFonts w:ascii="Arial" w:hAnsi="Arial" w:cs="Arial"/>
          <w:color w:val="000000"/>
          <w:sz w:val="24"/>
          <w:szCs w:val="24"/>
        </w:rPr>
        <w:t>ar, neutral, and nonideological, and must</w:t>
      </w:r>
      <w:r w:rsidR="00D94855" w:rsidRPr="00D94855">
        <w:rPr>
          <w:rFonts w:ascii="Arial" w:hAnsi="Arial" w:cs="Arial"/>
          <w:color w:val="000000"/>
          <w:sz w:val="24"/>
          <w:szCs w:val="24"/>
        </w:rPr>
        <w:t xml:space="preserve"> be equitable in comparison to services and oth</w:t>
      </w:r>
      <w:r w:rsidR="003C0F09">
        <w:rPr>
          <w:rFonts w:ascii="Arial" w:hAnsi="Arial" w:cs="Arial"/>
          <w:color w:val="000000"/>
          <w:sz w:val="24"/>
          <w:szCs w:val="24"/>
        </w:rPr>
        <w:t>er benefits for public children.</w:t>
      </w:r>
    </w:p>
    <w:p w14:paraId="23B4D52E" w14:textId="77777777" w:rsidR="00771E71" w:rsidRDefault="00771E71" w:rsidP="00771E71">
      <w:pPr>
        <w:pStyle w:val="Heading2"/>
        <w:spacing w:before="0"/>
      </w:pPr>
      <w:r>
        <w:t>Example of Formula to Determine Amount for Title I, Part A Equitable E</w:t>
      </w:r>
      <w:r w:rsidRPr="00AD1646">
        <w:t>xpenditures</w:t>
      </w:r>
    </w:p>
    <w:p w14:paraId="6B631176" w14:textId="77777777" w:rsidR="00771E71" w:rsidRDefault="00771E71" w:rsidP="00771E71">
      <w:pPr>
        <w:pStyle w:val="Heading3"/>
        <w:numPr>
          <w:ilvl w:val="0"/>
          <w:numId w:val="1"/>
        </w:numPr>
      </w:pPr>
      <w:r>
        <w:t>Number of Students</w:t>
      </w:r>
    </w:p>
    <w:p w14:paraId="52A1CE35" w14:textId="77777777" w:rsidR="00771E71" w:rsidRPr="00771E71" w:rsidRDefault="00771E71" w:rsidP="00771E71">
      <w:pPr>
        <w:pStyle w:val="ListParagraph"/>
        <w:numPr>
          <w:ilvl w:val="0"/>
          <w:numId w:val="2"/>
        </w:numPr>
      </w:pPr>
      <w:r w:rsidRPr="00771E71">
        <w:t>A1. LEA Number of Low-Income Students</w:t>
      </w:r>
      <w:r>
        <w:rPr>
          <w:sz w:val="24"/>
          <w:szCs w:val="24"/>
        </w:rPr>
        <w:t>: 1,350</w:t>
      </w:r>
    </w:p>
    <w:p w14:paraId="2470A84A" w14:textId="77777777" w:rsidR="00771E71" w:rsidRPr="00771E71" w:rsidRDefault="00771E71" w:rsidP="00771E71">
      <w:pPr>
        <w:pStyle w:val="ListParagraph"/>
        <w:numPr>
          <w:ilvl w:val="0"/>
          <w:numId w:val="2"/>
        </w:numPr>
      </w:pPr>
      <w:r>
        <w:rPr>
          <w:rFonts w:ascii="Arial" w:hAnsi="Arial" w:cs="Arial"/>
          <w:color w:val="000000"/>
          <w:sz w:val="24"/>
          <w:szCs w:val="24"/>
        </w:rPr>
        <w:t>A2. Participating Nonprofit Private School Low-Income Students: 150</w:t>
      </w:r>
    </w:p>
    <w:p w14:paraId="10F4DAFA" w14:textId="77777777" w:rsidR="00771E71" w:rsidRPr="00771E71" w:rsidRDefault="00771E71" w:rsidP="00771E71">
      <w:pPr>
        <w:pStyle w:val="ListParagraph"/>
        <w:numPr>
          <w:ilvl w:val="0"/>
          <w:numId w:val="2"/>
        </w:numPr>
      </w:pPr>
      <w:r>
        <w:rPr>
          <w:rFonts w:ascii="Arial" w:hAnsi="Arial" w:cs="Arial"/>
          <w:color w:val="000000"/>
          <w:sz w:val="24"/>
          <w:szCs w:val="24"/>
        </w:rPr>
        <w:t>A3. Total Enrollment Low-Income Students (A1 + A2): 1,500</w:t>
      </w:r>
    </w:p>
    <w:p w14:paraId="1C817639" w14:textId="77777777" w:rsidR="00771E71" w:rsidRPr="00771E71" w:rsidRDefault="00771E71" w:rsidP="00771E71">
      <w:pPr>
        <w:pStyle w:val="ListParagraph"/>
        <w:numPr>
          <w:ilvl w:val="0"/>
          <w:numId w:val="2"/>
        </w:numPr>
      </w:pPr>
      <w:r>
        <w:rPr>
          <w:rFonts w:ascii="Arial" w:hAnsi="Arial" w:cs="Arial"/>
          <w:color w:val="000000"/>
          <w:sz w:val="24"/>
          <w:szCs w:val="24"/>
        </w:rPr>
        <w:t>A4. Proportional Rate Calculated Percentage (A2 / A3): 10%</w:t>
      </w:r>
    </w:p>
    <w:p w14:paraId="2DA13489" w14:textId="77777777" w:rsidR="00771E71" w:rsidRDefault="00771E71" w:rsidP="00771E71">
      <w:pPr>
        <w:pStyle w:val="Heading3"/>
        <w:numPr>
          <w:ilvl w:val="0"/>
          <w:numId w:val="1"/>
        </w:numPr>
      </w:pPr>
      <w:r>
        <w:t>Title I, Part A Allocation</w:t>
      </w:r>
    </w:p>
    <w:p w14:paraId="1C693EB8" w14:textId="77777777" w:rsidR="00771E71" w:rsidRPr="00771E71" w:rsidRDefault="00771E71" w:rsidP="00771E71">
      <w:pPr>
        <w:pStyle w:val="ListParagraph"/>
        <w:numPr>
          <w:ilvl w:val="0"/>
          <w:numId w:val="4"/>
        </w:numPr>
      </w:pPr>
      <w:r>
        <w:rPr>
          <w:rFonts w:ascii="Arial" w:hAnsi="Arial" w:cs="Arial"/>
          <w:color w:val="000000"/>
          <w:sz w:val="24"/>
          <w:szCs w:val="24"/>
        </w:rPr>
        <w:t>B1. Total LEA Allocation: $1,000,000</w:t>
      </w:r>
    </w:p>
    <w:p w14:paraId="0C97CF3F" w14:textId="77777777" w:rsidR="00771E71" w:rsidRPr="00771E71" w:rsidRDefault="00771E71" w:rsidP="00771E71">
      <w:pPr>
        <w:pStyle w:val="ListParagraph"/>
        <w:numPr>
          <w:ilvl w:val="0"/>
          <w:numId w:val="4"/>
        </w:numPr>
      </w:pPr>
      <w:r>
        <w:rPr>
          <w:rFonts w:ascii="Arial" w:hAnsi="Arial" w:cs="Arial"/>
          <w:color w:val="000000"/>
          <w:sz w:val="24"/>
          <w:szCs w:val="24"/>
        </w:rPr>
        <w:t>B2. Proportional Rate Calculated Percentage: 10%</w:t>
      </w:r>
    </w:p>
    <w:p w14:paraId="36F6526B" w14:textId="77777777" w:rsidR="00771E71" w:rsidRPr="004A78D1" w:rsidRDefault="00771E71" w:rsidP="00771E71">
      <w:pPr>
        <w:pStyle w:val="ListParagraph"/>
        <w:numPr>
          <w:ilvl w:val="0"/>
          <w:numId w:val="4"/>
        </w:numPr>
      </w:pPr>
      <w:r>
        <w:rPr>
          <w:rFonts w:ascii="Arial" w:hAnsi="Arial" w:cs="Arial"/>
          <w:color w:val="000000"/>
          <w:sz w:val="24"/>
          <w:szCs w:val="24"/>
        </w:rPr>
        <w:t>B3. Proportional Share for Equitable Services (B1 x B2): $100,000</w:t>
      </w:r>
    </w:p>
    <w:p w14:paraId="24D004AC" w14:textId="2BA2FCC8" w:rsidR="004A78D1" w:rsidRPr="004A78D1" w:rsidRDefault="004A78D1" w:rsidP="004A78D1">
      <w:pPr>
        <w:pStyle w:val="ListParagraph"/>
        <w:numPr>
          <w:ilvl w:val="0"/>
          <w:numId w:val="4"/>
        </w:numPr>
      </w:pPr>
      <w:r w:rsidRPr="004A78D1">
        <w:rPr>
          <w:rFonts w:ascii="Arial" w:hAnsi="Arial" w:cs="Arial"/>
          <w:color w:val="000000"/>
          <w:sz w:val="24"/>
          <w:szCs w:val="24"/>
        </w:rPr>
        <w:t>B4: Amount remaining for LEA Public School Allocation (B1-B3): $900,000</w:t>
      </w:r>
    </w:p>
    <w:p w14:paraId="22C4A4FF" w14:textId="77777777" w:rsidR="00771E71" w:rsidRDefault="00771E71" w:rsidP="00771E71">
      <w:pPr>
        <w:pStyle w:val="Heading3"/>
        <w:numPr>
          <w:ilvl w:val="0"/>
          <w:numId w:val="1"/>
        </w:numPr>
      </w:pPr>
      <w:r>
        <w:t>Required Parent and Family Engagement</w:t>
      </w:r>
    </w:p>
    <w:p w14:paraId="6CFA811B" w14:textId="77777777" w:rsidR="00771E71" w:rsidRPr="00771E71" w:rsidRDefault="00771E71" w:rsidP="00771E71">
      <w:pPr>
        <w:pStyle w:val="ListParagraph"/>
        <w:numPr>
          <w:ilvl w:val="0"/>
          <w:numId w:val="5"/>
        </w:numPr>
      </w:pPr>
      <w:r>
        <w:rPr>
          <w:rFonts w:ascii="Arial" w:hAnsi="Arial" w:cs="Arial"/>
          <w:color w:val="000000"/>
          <w:sz w:val="24"/>
          <w:szCs w:val="24"/>
        </w:rPr>
        <w:t>C1. Proportional Share for Equitable Services: $100,000</w:t>
      </w:r>
    </w:p>
    <w:p w14:paraId="4319C52B" w14:textId="77777777" w:rsidR="004A78D1" w:rsidRPr="004A78D1" w:rsidRDefault="004A78D1" w:rsidP="004A78D1">
      <w:pPr>
        <w:pStyle w:val="ListParagraph"/>
        <w:numPr>
          <w:ilvl w:val="0"/>
          <w:numId w:val="5"/>
        </w:numPr>
        <w:rPr>
          <w:rFonts w:ascii="Arial" w:hAnsi="Arial" w:cs="Arial"/>
          <w:sz w:val="24"/>
          <w:szCs w:val="24"/>
        </w:rPr>
      </w:pPr>
      <w:r w:rsidRPr="00771E71">
        <w:rPr>
          <w:rFonts w:ascii="Arial" w:hAnsi="Arial" w:cs="Arial"/>
          <w:sz w:val="24"/>
          <w:szCs w:val="24"/>
        </w:rPr>
        <w:t xml:space="preserve">C2. Minimum </w:t>
      </w:r>
      <w:r w:rsidRPr="004A78D1">
        <w:rPr>
          <w:rFonts w:ascii="Arial" w:hAnsi="Arial" w:cs="Arial"/>
          <w:sz w:val="24"/>
          <w:szCs w:val="24"/>
        </w:rPr>
        <w:t>Equitable Services Required Parent and Family Engagement Reservation 1% (C1 x C2): $1000</w:t>
      </w:r>
    </w:p>
    <w:p w14:paraId="4EADE2C1" w14:textId="77777777" w:rsidR="004A78D1" w:rsidRPr="004A78D1" w:rsidRDefault="004A78D1" w:rsidP="004A78D1">
      <w:pPr>
        <w:pStyle w:val="ListParagraph"/>
        <w:numPr>
          <w:ilvl w:val="0"/>
          <w:numId w:val="5"/>
        </w:numPr>
        <w:rPr>
          <w:rFonts w:ascii="Arial" w:hAnsi="Arial" w:cs="Arial"/>
          <w:sz w:val="24"/>
          <w:szCs w:val="24"/>
        </w:rPr>
      </w:pPr>
      <w:r w:rsidRPr="004A78D1">
        <w:rPr>
          <w:rFonts w:ascii="Arial" w:hAnsi="Arial" w:cs="Arial"/>
          <w:sz w:val="24"/>
          <w:szCs w:val="24"/>
        </w:rPr>
        <w:t>C3. Minimum LEA Public School Required Parent and Family Engagement Reservation 1% (B4 x C3): $9000</w:t>
      </w:r>
    </w:p>
    <w:p w14:paraId="3940866C" w14:textId="77777777" w:rsidR="00771E71" w:rsidRDefault="00771E71" w:rsidP="00771E71">
      <w:pPr>
        <w:pStyle w:val="Heading3"/>
        <w:numPr>
          <w:ilvl w:val="0"/>
          <w:numId w:val="1"/>
        </w:numPr>
      </w:pPr>
      <w:r>
        <w:lastRenderedPageBreak/>
        <w:t>Equitable Services</w:t>
      </w:r>
    </w:p>
    <w:p w14:paraId="7B71A204" w14:textId="77777777" w:rsidR="0012656B" w:rsidRPr="00771E71" w:rsidRDefault="00771E71" w:rsidP="00771E71">
      <w:pPr>
        <w:pStyle w:val="ListParagraph"/>
        <w:numPr>
          <w:ilvl w:val="0"/>
          <w:numId w:val="6"/>
        </w:numPr>
      </w:pPr>
      <w:r>
        <w:rPr>
          <w:rFonts w:ascii="Arial" w:hAnsi="Arial" w:cs="Arial"/>
          <w:color w:val="000000"/>
          <w:sz w:val="24"/>
          <w:szCs w:val="24"/>
        </w:rPr>
        <w:t xml:space="preserve">D1. Amount LEA shall allocate for equitable services for nonprofit private school eligible students, teachers and other educational personnel (C1 </w:t>
      </w:r>
      <w:r w:rsidRPr="00B64632">
        <w:rPr>
          <w:rFonts w:ascii="Arial" w:hAnsi="Arial" w:cs="Arial"/>
          <w:color w:val="000000"/>
          <w:sz w:val="24"/>
          <w:szCs w:val="24"/>
        </w:rPr>
        <w:t>–</w:t>
      </w:r>
      <w:r>
        <w:rPr>
          <w:rFonts w:ascii="Arial" w:hAnsi="Arial" w:cs="Arial"/>
          <w:color w:val="000000"/>
          <w:sz w:val="24"/>
          <w:szCs w:val="24"/>
        </w:rPr>
        <w:t xml:space="preserve"> C2): $99,000</w:t>
      </w:r>
    </w:p>
    <w:sectPr w:rsidR="0012656B" w:rsidRPr="00771E71" w:rsidSect="00640810">
      <w:pgSz w:w="12240" w:h="15840" w:code="1"/>
      <w:pgMar w:top="720" w:right="72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EB47" w14:textId="77777777" w:rsidR="00640810" w:rsidRDefault="00640810" w:rsidP="00771E71">
      <w:pPr>
        <w:spacing w:after="0" w:line="240" w:lineRule="auto"/>
      </w:pPr>
      <w:r>
        <w:separator/>
      </w:r>
    </w:p>
  </w:endnote>
  <w:endnote w:type="continuationSeparator" w:id="0">
    <w:p w14:paraId="0DFEF908" w14:textId="77777777" w:rsidR="00640810" w:rsidRDefault="00640810" w:rsidP="0077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521F" w14:textId="77777777" w:rsidR="00640810" w:rsidRDefault="00640810" w:rsidP="00771E71">
      <w:pPr>
        <w:spacing w:after="0" w:line="240" w:lineRule="auto"/>
      </w:pPr>
      <w:r>
        <w:separator/>
      </w:r>
    </w:p>
  </w:footnote>
  <w:footnote w:type="continuationSeparator" w:id="0">
    <w:p w14:paraId="4404DFC1" w14:textId="77777777" w:rsidR="00640810" w:rsidRDefault="00640810" w:rsidP="00771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169E"/>
    <w:multiLevelType w:val="hybridMultilevel"/>
    <w:tmpl w:val="B0842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55C20"/>
    <w:multiLevelType w:val="hybridMultilevel"/>
    <w:tmpl w:val="F07EA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A1A27"/>
    <w:multiLevelType w:val="hybridMultilevel"/>
    <w:tmpl w:val="3FA4E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B764E"/>
    <w:multiLevelType w:val="hybridMultilevel"/>
    <w:tmpl w:val="34B6A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5151C"/>
    <w:multiLevelType w:val="hybridMultilevel"/>
    <w:tmpl w:val="27426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0B6EC5"/>
    <w:multiLevelType w:val="hybridMultilevel"/>
    <w:tmpl w:val="9718F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5376834">
    <w:abstractNumId w:val="2"/>
  </w:num>
  <w:num w:numId="2" w16cid:durableId="701705172">
    <w:abstractNumId w:val="0"/>
  </w:num>
  <w:num w:numId="3" w16cid:durableId="1901481629">
    <w:abstractNumId w:val="3"/>
  </w:num>
  <w:num w:numId="4" w16cid:durableId="440958870">
    <w:abstractNumId w:val="1"/>
  </w:num>
  <w:num w:numId="5" w16cid:durableId="651982435">
    <w:abstractNumId w:val="5"/>
  </w:num>
  <w:num w:numId="6" w16cid:durableId="620451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tDQxNTIzMTIwNzFQ0lEKTi0uzszPAykwrAUAX+uiJywAAAA="/>
  </w:docVars>
  <w:rsids>
    <w:rsidRoot w:val="002E6D01"/>
    <w:rsid w:val="00017BE6"/>
    <w:rsid w:val="00113F5F"/>
    <w:rsid w:val="0012656B"/>
    <w:rsid w:val="001E4660"/>
    <w:rsid w:val="002120B8"/>
    <w:rsid w:val="002D09D8"/>
    <w:rsid w:val="002E4B0A"/>
    <w:rsid w:val="002E6D01"/>
    <w:rsid w:val="002F2193"/>
    <w:rsid w:val="003C0F09"/>
    <w:rsid w:val="003E01E1"/>
    <w:rsid w:val="00482596"/>
    <w:rsid w:val="00491E45"/>
    <w:rsid w:val="004A78D1"/>
    <w:rsid w:val="00501DBF"/>
    <w:rsid w:val="00514DAD"/>
    <w:rsid w:val="005C690F"/>
    <w:rsid w:val="006223F0"/>
    <w:rsid w:val="00640810"/>
    <w:rsid w:val="00664794"/>
    <w:rsid w:val="006A6A1E"/>
    <w:rsid w:val="006A7AC1"/>
    <w:rsid w:val="00703566"/>
    <w:rsid w:val="00762D94"/>
    <w:rsid w:val="00771E71"/>
    <w:rsid w:val="007C7003"/>
    <w:rsid w:val="007D0CFA"/>
    <w:rsid w:val="00836E35"/>
    <w:rsid w:val="008A00E5"/>
    <w:rsid w:val="008F2A8D"/>
    <w:rsid w:val="0094718E"/>
    <w:rsid w:val="00992AEF"/>
    <w:rsid w:val="00A27F4C"/>
    <w:rsid w:val="00AD1646"/>
    <w:rsid w:val="00C12296"/>
    <w:rsid w:val="00C22259"/>
    <w:rsid w:val="00C76A7E"/>
    <w:rsid w:val="00CC7449"/>
    <w:rsid w:val="00D24BC3"/>
    <w:rsid w:val="00D94855"/>
    <w:rsid w:val="00DA2CAA"/>
    <w:rsid w:val="00DD7ADA"/>
    <w:rsid w:val="00ED2DCC"/>
    <w:rsid w:val="00EF0629"/>
    <w:rsid w:val="00F107AF"/>
    <w:rsid w:val="00FB77A4"/>
    <w:rsid w:val="00FE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3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CFA"/>
    <w:pPr>
      <w:keepNext/>
      <w:keepLines/>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AD1646"/>
    <w:pPr>
      <w:keepNext/>
      <w:keepLines/>
      <w:spacing w:before="40" w:after="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DD7ADA"/>
    <w:pPr>
      <w:keepNext/>
      <w:keepLines/>
      <w:spacing w:before="40" w:after="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D0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D0CFA"/>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AD1646"/>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DD7ADA"/>
    <w:rPr>
      <w:rFonts w:ascii="Arial" w:eastAsiaTheme="majorEastAsia" w:hAnsi="Arial" w:cstheme="majorBidi"/>
      <w:b/>
      <w:color w:val="000000" w:themeColor="text1"/>
      <w:sz w:val="24"/>
      <w:szCs w:val="24"/>
    </w:rPr>
  </w:style>
  <w:style w:type="paragraph" w:styleId="BalloonText">
    <w:name w:val="Balloon Text"/>
    <w:basedOn w:val="Normal"/>
    <w:link w:val="BalloonTextChar"/>
    <w:uiPriority w:val="99"/>
    <w:semiHidden/>
    <w:unhideWhenUsed/>
    <w:rsid w:val="00703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66"/>
    <w:rPr>
      <w:rFonts w:ascii="Segoe UI" w:hAnsi="Segoe UI" w:cs="Segoe UI"/>
      <w:sz w:val="18"/>
      <w:szCs w:val="18"/>
    </w:rPr>
  </w:style>
  <w:style w:type="paragraph" w:styleId="ListParagraph">
    <w:name w:val="List Paragraph"/>
    <w:basedOn w:val="Normal"/>
    <w:uiPriority w:val="34"/>
    <w:qFormat/>
    <w:rsid w:val="00771E71"/>
    <w:pPr>
      <w:ind w:left="720"/>
      <w:contextualSpacing/>
    </w:pPr>
  </w:style>
  <w:style w:type="paragraph" w:styleId="Header">
    <w:name w:val="header"/>
    <w:basedOn w:val="Normal"/>
    <w:link w:val="HeaderChar"/>
    <w:uiPriority w:val="99"/>
    <w:unhideWhenUsed/>
    <w:rsid w:val="0077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71"/>
  </w:style>
  <w:style w:type="paragraph" w:styleId="Footer">
    <w:name w:val="footer"/>
    <w:basedOn w:val="Normal"/>
    <w:link w:val="FooterChar"/>
    <w:uiPriority w:val="99"/>
    <w:unhideWhenUsed/>
    <w:rsid w:val="0077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I, Part A Calc Method Equit Svs Propor Share - Title I, Part A (CA Dept of Education)</vt:lpstr>
    </vt:vector>
  </TitlesOfParts>
  <Manager/>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A Calc Method Equit Svs Propor Share - Title I, Part A (CA Dept of Education)</dc:title>
  <dc:subject>Sample document of Title I, Part A Method of Calculating Equitable Services Proportional Share formula.</dc:subject>
  <dc:creator/>
  <cp:keywords/>
  <dc:description/>
  <cp:lastModifiedBy/>
  <cp:revision>1</cp:revision>
  <dcterms:created xsi:type="dcterms:W3CDTF">2024-12-12T17:56:00Z</dcterms:created>
  <dcterms:modified xsi:type="dcterms:W3CDTF">2024-12-12T18:03:00Z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13ffb68d185e4be288cc263cc8081a677f8f1f0a050f0b0aa347af7f92c7e33f</vt:lpwstr>
  </property>
</Properties>
</file>