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BA0B" w14:textId="4EFE24B7" w:rsidR="00A60B2F" w:rsidRDefault="00A60B2F" w:rsidP="00A60B2F">
      <w:pPr>
        <w:spacing w:after="0"/>
        <w:jc w:val="right"/>
        <w:rPr>
          <w:rFonts w:ascii="Arial" w:hAnsi="Arial" w:cs="Arial"/>
          <w:sz w:val="24"/>
          <w:szCs w:val="24"/>
        </w:rPr>
      </w:pPr>
      <w:r w:rsidRPr="00A60B2F">
        <w:rPr>
          <w:rFonts w:ascii="Arial" w:hAnsi="Arial" w:cs="Arial"/>
          <w:sz w:val="24"/>
          <w:szCs w:val="24"/>
        </w:rPr>
        <w:t>California Department of Education</w:t>
      </w:r>
    </w:p>
    <w:p w14:paraId="7875C857" w14:textId="0C89796A" w:rsidR="00A60B2F" w:rsidRPr="00A60B2F" w:rsidRDefault="00A60B2F" w:rsidP="00A60B2F">
      <w:pPr>
        <w:spacing w:after="0"/>
        <w:jc w:val="right"/>
        <w:rPr>
          <w:rFonts w:ascii="Arial" w:hAnsi="Arial" w:cs="Arial"/>
          <w:sz w:val="24"/>
          <w:szCs w:val="24"/>
        </w:rPr>
      </w:pPr>
      <w:r>
        <w:rPr>
          <w:rFonts w:ascii="Arial" w:hAnsi="Arial" w:cs="Arial"/>
          <w:sz w:val="24"/>
          <w:szCs w:val="24"/>
        </w:rPr>
        <w:t>December 2023</w:t>
      </w:r>
    </w:p>
    <w:p w14:paraId="492F918C" w14:textId="77777777" w:rsidR="00A60B2F" w:rsidRPr="00A60B2F" w:rsidRDefault="00A60B2F" w:rsidP="00A60B2F">
      <w:pPr>
        <w:jc w:val="right"/>
      </w:pPr>
    </w:p>
    <w:p w14:paraId="37ED9B5D" w14:textId="6D6E9D6D" w:rsidR="00433C48" w:rsidRPr="00BF6156" w:rsidRDefault="00B90464" w:rsidP="00A60B2F">
      <w:pPr>
        <w:pStyle w:val="Heading1"/>
      </w:pPr>
      <w:r w:rsidRPr="00BF6156">
        <w:t xml:space="preserve">Transferability </w:t>
      </w:r>
      <w:r w:rsidR="0062518E" w:rsidRPr="00BF6156">
        <w:t xml:space="preserve">Guidance for </w:t>
      </w:r>
      <w:r w:rsidR="00FD2B92">
        <w:t>Local Educational Agencies (</w:t>
      </w:r>
      <w:r w:rsidR="0062518E" w:rsidRPr="00BF6156">
        <w:t>LEAs</w:t>
      </w:r>
      <w:r w:rsidR="00FD2B92">
        <w:t>)</w:t>
      </w:r>
      <w:r w:rsidR="007A2742">
        <w:t xml:space="preserve"> </w:t>
      </w:r>
      <w:r w:rsidR="00BF6156">
        <w:t>U</w:t>
      </w:r>
      <w:r w:rsidR="007B7128" w:rsidRPr="00BF6156">
        <w:t>nder the Elementary and Secondary Education Act of 1965</w:t>
      </w:r>
    </w:p>
    <w:p w14:paraId="67CA82C3" w14:textId="747DB4B0" w:rsidR="0074762C" w:rsidRPr="00BF6156" w:rsidRDefault="0074762C" w:rsidP="00A032F8">
      <w:pPr>
        <w:autoSpaceDE w:val="0"/>
        <w:autoSpaceDN w:val="0"/>
        <w:adjustRightInd w:val="0"/>
        <w:spacing w:after="240" w:line="240" w:lineRule="auto"/>
        <w:rPr>
          <w:rFonts w:ascii="Arial" w:hAnsi="Arial" w:cs="Arial"/>
          <w:sz w:val="24"/>
          <w:szCs w:val="24"/>
        </w:rPr>
      </w:pPr>
      <w:r w:rsidRPr="00BF6156">
        <w:rPr>
          <w:rFonts w:ascii="Arial" w:hAnsi="Arial" w:cs="Arial"/>
          <w:sz w:val="24"/>
          <w:szCs w:val="24"/>
        </w:rPr>
        <w:t>The Elementary and Secondary Education Act</w:t>
      </w:r>
      <w:r w:rsidR="00B90464" w:rsidRPr="00BF6156">
        <w:rPr>
          <w:rFonts w:ascii="Arial" w:hAnsi="Arial" w:cs="Arial"/>
          <w:sz w:val="24"/>
          <w:szCs w:val="24"/>
        </w:rPr>
        <w:t xml:space="preserve"> </w:t>
      </w:r>
      <w:r w:rsidR="00E92582" w:rsidRPr="00BF6156">
        <w:rPr>
          <w:rFonts w:ascii="Arial" w:hAnsi="Arial" w:cs="Arial"/>
          <w:sz w:val="24"/>
          <w:szCs w:val="24"/>
        </w:rPr>
        <w:t xml:space="preserve">of 1965 </w:t>
      </w:r>
      <w:r w:rsidR="00B90464" w:rsidRPr="00BF6156">
        <w:rPr>
          <w:rFonts w:ascii="Arial" w:hAnsi="Arial" w:cs="Arial"/>
          <w:sz w:val="24"/>
          <w:szCs w:val="24"/>
        </w:rPr>
        <w:t>(ESEA)</w:t>
      </w:r>
      <w:r w:rsidRPr="00BF6156">
        <w:rPr>
          <w:rFonts w:ascii="Arial" w:hAnsi="Arial" w:cs="Arial"/>
          <w:sz w:val="24"/>
          <w:szCs w:val="24"/>
        </w:rPr>
        <w:t xml:space="preserve">, as amended by the Every Student Succeeds Act </w:t>
      </w:r>
      <w:r w:rsidR="00B90464" w:rsidRPr="00BF6156">
        <w:rPr>
          <w:rFonts w:ascii="Arial" w:hAnsi="Arial" w:cs="Arial"/>
          <w:sz w:val="24"/>
          <w:szCs w:val="24"/>
        </w:rPr>
        <w:t>(ESSA)</w:t>
      </w:r>
      <w:r w:rsidR="00E92161" w:rsidRPr="00BF6156">
        <w:rPr>
          <w:rFonts w:ascii="Arial" w:hAnsi="Arial" w:cs="Arial"/>
          <w:sz w:val="24"/>
          <w:szCs w:val="24"/>
        </w:rPr>
        <w:t>,</w:t>
      </w:r>
      <w:r w:rsidR="00B90464" w:rsidRPr="00BF6156">
        <w:rPr>
          <w:rFonts w:ascii="Arial" w:hAnsi="Arial" w:cs="Arial"/>
          <w:sz w:val="24"/>
          <w:szCs w:val="24"/>
        </w:rPr>
        <w:t xml:space="preserve"> </w:t>
      </w:r>
      <w:r w:rsidRPr="00BF6156">
        <w:rPr>
          <w:rFonts w:ascii="Arial" w:hAnsi="Arial" w:cs="Arial"/>
          <w:sz w:val="24"/>
          <w:szCs w:val="24"/>
        </w:rPr>
        <w:t>Section 5103</w:t>
      </w:r>
      <w:r w:rsidR="00E92161" w:rsidRPr="00BF6156">
        <w:rPr>
          <w:rFonts w:ascii="Arial" w:hAnsi="Arial" w:cs="Arial"/>
          <w:sz w:val="24"/>
          <w:szCs w:val="24"/>
        </w:rPr>
        <w:t>,</w:t>
      </w:r>
      <w:r w:rsidR="007D7399" w:rsidRPr="00BF6156">
        <w:rPr>
          <w:rFonts w:ascii="Arial" w:hAnsi="Arial" w:cs="Arial"/>
          <w:sz w:val="24"/>
          <w:szCs w:val="24"/>
        </w:rPr>
        <w:t xml:space="preserve"> authorizes a</w:t>
      </w:r>
      <w:r w:rsidR="00FD2B92">
        <w:rPr>
          <w:rFonts w:ascii="Arial" w:hAnsi="Arial" w:cs="Arial"/>
          <w:sz w:val="24"/>
          <w:szCs w:val="24"/>
        </w:rPr>
        <w:t>n</w:t>
      </w:r>
      <w:r w:rsidRPr="00BF6156">
        <w:rPr>
          <w:rFonts w:ascii="Arial" w:hAnsi="Arial" w:cs="Arial"/>
          <w:sz w:val="24"/>
          <w:szCs w:val="24"/>
        </w:rPr>
        <w:t xml:space="preserve"> LEA </w:t>
      </w:r>
      <w:r w:rsidR="007D7399" w:rsidRPr="00BF6156">
        <w:rPr>
          <w:rFonts w:ascii="Arial" w:hAnsi="Arial" w:cs="Arial"/>
          <w:sz w:val="24"/>
          <w:szCs w:val="24"/>
        </w:rPr>
        <w:t>to transfer funds from Title II, Part A and Title IV, Part. Because each of these</w:t>
      </w:r>
      <w:r w:rsidRPr="00BF6156">
        <w:rPr>
          <w:rFonts w:ascii="Arial" w:hAnsi="Arial" w:cs="Arial"/>
          <w:sz w:val="24"/>
          <w:szCs w:val="24"/>
        </w:rPr>
        <w:t xml:space="preserve"> program</w:t>
      </w:r>
      <w:r w:rsidR="007D7399" w:rsidRPr="00BF6156">
        <w:rPr>
          <w:rFonts w:ascii="Arial" w:hAnsi="Arial" w:cs="Arial"/>
          <w:sz w:val="24"/>
          <w:szCs w:val="24"/>
        </w:rPr>
        <w:t>s</w:t>
      </w:r>
      <w:r w:rsidRPr="00BF6156">
        <w:rPr>
          <w:rFonts w:ascii="Arial" w:hAnsi="Arial" w:cs="Arial"/>
          <w:sz w:val="24"/>
          <w:szCs w:val="24"/>
        </w:rPr>
        <w:t xml:space="preserve"> provides for the participation of students, teachers, or other educational personnel from nonprofit private schools, </w:t>
      </w:r>
      <w:r w:rsidR="00135C6A" w:rsidRPr="00BF6156">
        <w:rPr>
          <w:rFonts w:ascii="Arial" w:hAnsi="Arial" w:cs="Arial"/>
          <w:sz w:val="24"/>
          <w:szCs w:val="24"/>
        </w:rPr>
        <w:t xml:space="preserve">under ESEA Section 5103(e)(2) </w:t>
      </w:r>
      <w:r w:rsidR="007D7399" w:rsidRPr="00BF6156">
        <w:rPr>
          <w:rFonts w:ascii="Arial" w:hAnsi="Arial" w:cs="Arial"/>
          <w:sz w:val="24"/>
          <w:szCs w:val="24"/>
        </w:rPr>
        <w:t>the LEA must</w:t>
      </w:r>
      <w:r w:rsidRPr="00BF6156">
        <w:rPr>
          <w:rFonts w:ascii="Arial" w:hAnsi="Arial" w:cs="Arial"/>
          <w:sz w:val="24"/>
          <w:szCs w:val="24"/>
        </w:rPr>
        <w:t xml:space="preserve"> conduct consultations </w:t>
      </w:r>
      <w:r w:rsidR="007D7399" w:rsidRPr="00BF6156">
        <w:rPr>
          <w:rFonts w:ascii="Arial" w:hAnsi="Arial" w:cs="Arial"/>
          <w:sz w:val="24"/>
          <w:szCs w:val="24"/>
        </w:rPr>
        <w:t xml:space="preserve">with appropriate private school officials </w:t>
      </w:r>
      <w:r w:rsidRPr="00BF6156">
        <w:rPr>
          <w:rFonts w:ascii="Arial" w:hAnsi="Arial" w:cs="Arial"/>
          <w:sz w:val="24"/>
          <w:szCs w:val="24"/>
        </w:rPr>
        <w:t xml:space="preserve">in accordance with </w:t>
      </w:r>
      <w:r w:rsidR="00B41707" w:rsidRPr="00BF6156">
        <w:rPr>
          <w:rFonts w:ascii="Arial" w:hAnsi="Arial" w:cs="Arial"/>
          <w:sz w:val="24"/>
          <w:szCs w:val="24"/>
        </w:rPr>
        <w:t xml:space="preserve">ESEA </w:t>
      </w:r>
      <w:r w:rsidR="00B90464" w:rsidRPr="00BF6156">
        <w:rPr>
          <w:rFonts w:ascii="Arial" w:hAnsi="Arial" w:cs="Arial"/>
          <w:sz w:val="24"/>
          <w:szCs w:val="24"/>
        </w:rPr>
        <w:t>S</w:t>
      </w:r>
      <w:r w:rsidRPr="00BF6156">
        <w:rPr>
          <w:rFonts w:ascii="Arial" w:hAnsi="Arial" w:cs="Arial"/>
          <w:sz w:val="24"/>
          <w:szCs w:val="24"/>
        </w:rPr>
        <w:t>ection 8501.</w:t>
      </w:r>
    </w:p>
    <w:p w14:paraId="36D33859" w14:textId="72ABAAAE" w:rsidR="004D6419" w:rsidRPr="00BF6156" w:rsidRDefault="004D6419" w:rsidP="00A032F8">
      <w:pPr>
        <w:autoSpaceDE w:val="0"/>
        <w:autoSpaceDN w:val="0"/>
        <w:spacing w:after="240" w:line="240" w:lineRule="auto"/>
        <w:rPr>
          <w:rFonts w:ascii="Arial" w:hAnsi="Arial" w:cs="Arial"/>
          <w:sz w:val="24"/>
          <w:szCs w:val="24"/>
        </w:rPr>
      </w:pPr>
      <w:r w:rsidRPr="00BF6156">
        <w:rPr>
          <w:rFonts w:ascii="Arial" w:hAnsi="Arial" w:cs="Arial"/>
          <w:sz w:val="24"/>
          <w:szCs w:val="24"/>
        </w:rPr>
        <w:t>The consultation required must occur prior to the LEA mak</w:t>
      </w:r>
      <w:r w:rsidR="00B90464" w:rsidRPr="00BF6156">
        <w:rPr>
          <w:rFonts w:ascii="Arial" w:hAnsi="Arial" w:cs="Arial"/>
          <w:sz w:val="24"/>
          <w:szCs w:val="24"/>
        </w:rPr>
        <w:t>ing</w:t>
      </w:r>
      <w:r w:rsidRPr="00BF6156">
        <w:rPr>
          <w:rFonts w:ascii="Arial" w:hAnsi="Arial" w:cs="Arial"/>
          <w:sz w:val="24"/>
          <w:szCs w:val="24"/>
        </w:rPr>
        <w:t xml:space="preserve"> any decision that affects the opportunities of eligible private school students, teachers, and other educational personnel to participate in programs under t</w:t>
      </w:r>
      <w:r w:rsidR="00771126" w:rsidRPr="00BF6156">
        <w:rPr>
          <w:rFonts w:ascii="Arial" w:hAnsi="Arial" w:cs="Arial"/>
          <w:sz w:val="24"/>
          <w:szCs w:val="24"/>
        </w:rPr>
        <w:t>he ES</w:t>
      </w:r>
      <w:r w:rsidR="00587DA2" w:rsidRPr="00BF6156">
        <w:rPr>
          <w:rFonts w:ascii="Arial" w:hAnsi="Arial" w:cs="Arial"/>
          <w:sz w:val="24"/>
          <w:szCs w:val="24"/>
        </w:rPr>
        <w:t>E</w:t>
      </w:r>
      <w:r w:rsidR="00771126" w:rsidRPr="00BF6156">
        <w:rPr>
          <w:rFonts w:ascii="Arial" w:hAnsi="Arial" w:cs="Arial"/>
          <w:sz w:val="24"/>
          <w:szCs w:val="24"/>
        </w:rPr>
        <w:t>A Section 8501</w:t>
      </w:r>
      <w:r w:rsidRPr="00BF6156">
        <w:rPr>
          <w:rFonts w:ascii="Arial" w:hAnsi="Arial" w:cs="Arial"/>
          <w:sz w:val="24"/>
          <w:szCs w:val="24"/>
        </w:rPr>
        <w:t>, and must continue throughout the implementation and assessment of the equitable services programs.</w:t>
      </w:r>
    </w:p>
    <w:p w14:paraId="1A505862" w14:textId="38C82B14" w:rsidR="009151E5" w:rsidRPr="00BF6156" w:rsidRDefault="009151E5" w:rsidP="00A032F8">
      <w:pPr>
        <w:spacing w:after="240" w:line="240" w:lineRule="auto"/>
        <w:rPr>
          <w:rFonts w:ascii="Arial" w:hAnsi="Arial" w:cs="Arial"/>
          <w:sz w:val="24"/>
          <w:szCs w:val="24"/>
        </w:rPr>
      </w:pPr>
      <w:r w:rsidRPr="00BF6156">
        <w:rPr>
          <w:rFonts w:ascii="Arial" w:hAnsi="Arial" w:cs="Arial"/>
          <w:sz w:val="24"/>
          <w:szCs w:val="24"/>
        </w:rPr>
        <w:t xml:space="preserve">In accordance </w:t>
      </w:r>
      <w:r w:rsidR="00B41707" w:rsidRPr="00BF6156">
        <w:rPr>
          <w:rFonts w:ascii="Arial" w:hAnsi="Arial" w:cs="Arial"/>
          <w:sz w:val="24"/>
          <w:szCs w:val="24"/>
        </w:rPr>
        <w:t xml:space="preserve">with </w:t>
      </w:r>
      <w:r w:rsidRPr="00BF6156">
        <w:rPr>
          <w:rFonts w:ascii="Arial" w:hAnsi="Arial" w:cs="Arial"/>
          <w:sz w:val="24"/>
          <w:szCs w:val="24"/>
        </w:rPr>
        <w:t>ES</w:t>
      </w:r>
      <w:r w:rsidR="00587DA2" w:rsidRPr="00BF6156">
        <w:rPr>
          <w:rFonts w:ascii="Arial" w:hAnsi="Arial" w:cs="Arial"/>
          <w:sz w:val="24"/>
          <w:szCs w:val="24"/>
        </w:rPr>
        <w:t>E</w:t>
      </w:r>
      <w:r w:rsidRPr="00BF6156">
        <w:rPr>
          <w:rFonts w:ascii="Arial" w:hAnsi="Arial" w:cs="Arial"/>
          <w:sz w:val="24"/>
          <w:szCs w:val="24"/>
        </w:rPr>
        <w:t>A Section 5103(e)</w:t>
      </w:r>
      <w:r w:rsidR="007D7399" w:rsidRPr="00BF6156">
        <w:rPr>
          <w:rFonts w:ascii="Arial" w:hAnsi="Arial" w:cs="Arial"/>
          <w:sz w:val="24"/>
          <w:szCs w:val="24"/>
        </w:rPr>
        <w:t>(1</w:t>
      </w:r>
      <w:r w:rsidRPr="00BF6156">
        <w:rPr>
          <w:rFonts w:ascii="Arial" w:hAnsi="Arial" w:cs="Arial"/>
          <w:sz w:val="24"/>
          <w:szCs w:val="24"/>
        </w:rPr>
        <w:t>)</w:t>
      </w:r>
      <w:r w:rsidR="00C72B98" w:rsidRPr="00BF6156">
        <w:rPr>
          <w:rFonts w:ascii="Arial" w:hAnsi="Arial" w:cs="Arial"/>
          <w:sz w:val="24"/>
          <w:szCs w:val="24"/>
        </w:rPr>
        <w:t>,</w:t>
      </w:r>
      <w:r w:rsidRPr="00BF6156">
        <w:rPr>
          <w:rFonts w:ascii="Arial" w:hAnsi="Arial" w:cs="Arial"/>
          <w:sz w:val="24"/>
          <w:szCs w:val="24"/>
        </w:rPr>
        <w:t xml:space="preserve"> funds transferred from Titles II</w:t>
      </w:r>
      <w:r w:rsidR="003D7A44" w:rsidRPr="00BF6156">
        <w:rPr>
          <w:rFonts w:ascii="Arial" w:hAnsi="Arial" w:cs="Arial"/>
          <w:sz w:val="24"/>
          <w:szCs w:val="24"/>
        </w:rPr>
        <w:t>, Part A</w:t>
      </w:r>
      <w:r w:rsidRPr="00BF6156">
        <w:rPr>
          <w:rFonts w:ascii="Arial" w:hAnsi="Arial" w:cs="Arial"/>
          <w:sz w:val="24"/>
          <w:szCs w:val="24"/>
        </w:rPr>
        <w:t xml:space="preserve"> and IV</w:t>
      </w:r>
      <w:r w:rsidR="003D7A44" w:rsidRPr="00BF6156">
        <w:rPr>
          <w:rFonts w:ascii="Arial" w:hAnsi="Arial" w:cs="Arial"/>
          <w:sz w:val="24"/>
          <w:szCs w:val="24"/>
        </w:rPr>
        <w:t>, Part A</w:t>
      </w:r>
      <w:r w:rsidRPr="00BF6156">
        <w:rPr>
          <w:rFonts w:ascii="Arial" w:hAnsi="Arial" w:cs="Arial"/>
          <w:sz w:val="24"/>
          <w:szCs w:val="24"/>
        </w:rPr>
        <w:t xml:space="preserve"> are subject to each of the rules and requirements applicable to the </w:t>
      </w:r>
      <w:r w:rsidR="004534AF" w:rsidRPr="00BF6156">
        <w:rPr>
          <w:rFonts w:ascii="Arial" w:hAnsi="Arial" w:cs="Arial"/>
          <w:sz w:val="24"/>
          <w:szCs w:val="24"/>
        </w:rPr>
        <w:t>programs</w:t>
      </w:r>
      <w:r w:rsidRPr="00BF6156">
        <w:rPr>
          <w:rFonts w:ascii="Arial" w:hAnsi="Arial" w:cs="Arial"/>
          <w:sz w:val="24"/>
          <w:szCs w:val="24"/>
        </w:rPr>
        <w:t xml:space="preserve"> to which the tran</w:t>
      </w:r>
      <w:r w:rsidR="00D26B2A" w:rsidRPr="00BF6156">
        <w:rPr>
          <w:rFonts w:ascii="Arial" w:hAnsi="Arial" w:cs="Arial"/>
          <w:sz w:val="24"/>
          <w:szCs w:val="24"/>
        </w:rPr>
        <w:t>sferred funds are transferred</w:t>
      </w:r>
      <w:r w:rsidR="007D7399" w:rsidRPr="00BF6156">
        <w:rPr>
          <w:rFonts w:ascii="Arial" w:hAnsi="Arial" w:cs="Arial"/>
          <w:sz w:val="24"/>
          <w:szCs w:val="24"/>
        </w:rPr>
        <w:t>,</w:t>
      </w:r>
      <w:r w:rsidR="00C72B98" w:rsidRPr="00BF6156">
        <w:rPr>
          <w:rFonts w:ascii="Arial" w:hAnsi="Arial" w:cs="Arial"/>
          <w:sz w:val="24"/>
          <w:szCs w:val="24"/>
        </w:rPr>
        <w:t xml:space="preserve"> which may include transferring to </w:t>
      </w:r>
      <w:r w:rsidR="00D26B2A" w:rsidRPr="00BF6156">
        <w:rPr>
          <w:rFonts w:ascii="Arial" w:hAnsi="Arial" w:cs="Arial"/>
          <w:sz w:val="24"/>
          <w:szCs w:val="24"/>
        </w:rPr>
        <w:t>Title I, Part</w:t>
      </w:r>
      <w:r w:rsidR="007D7399" w:rsidRPr="00BF6156">
        <w:rPr>
          <w:rFonts w:ascii="Arial" w:hAnsi="Arial" w:cs="Arial"/>
          <w:sz w:val="24"/>
          <w:szCs w:val="24"/>
        </w:rPr>
        <w:t>s</w:t>
      </w:r>
      <w:r w:rsidR="00D26B2A" w:rsidRPr="00BF6156">
        <w:rPr>
          <w:rFonts w:ascii="Arial" w:hAnsi="Arial" w:cs="Arial"/>
          <w:sz w:val="24"/>
          <w:szCs w:val="24"/>
        </w:rPr>
        <w:t xml:space="preserve"> A, C, </w:t>
      </w:r>
      <w:r w:rsidR="007D7399" w:rsidRPr="00BF6156">
        <w:rPr>
          <w:rFonts w:ascii="Arial" w:hAnsi="Arial" w:cs="Arial"/>
          <w:sz w:val="24"/>
          <w:szCs w:val="24"/>
        </w:rPr>
        <w:t xml:space="preserve">and </w:t>
      </w:r>
      <w:r w:rsidR="00D26B2A" w:rsidRPr="00BF6156">
        <w:rPr>
          <w:rFonts w:ascii="Arial" w:hAnsi="Arial" w:cs="Arial"/>
          <w:sz w:val="24"/>
          <w:szCs w:val="24"/>
        </w:rPr>
        <w:t>D</w:t>
      </w:r>
      <w:r w:rsidR="007D7399" w:rsidRPr="00BF6156">
        <w:rPr>
          <w:rFonts w:ascii="Arial" w:hAnsi="Arial" w:cs="Arial"/>
          <w:sz w:val="24"/>
          <w:szCs w:val="24"/>
        </w:rPr>
        <w:t>,</w:t>
      </w:r>
      <w:r w:rsidR="00D26B2A" w:rsidRPr="00BF6156">
        <w:rPr>
          <w:rFonts w:ascii="Arial" w:hAnsi="Arial" w:cs="Arial"/>
          <w:sz w:val="24"/>
          <w:szCs w:val="24"/>
        </w:rPr>
        <w:t xml:space="preserve"> Title III, Part A</w:t>
      </w:r>
      <w:r w:rsidR="007D7399" w:rsidRPr="00BF6156">
        <w:rPr>
          <w:rFonts w:ascii="Arial" w:hAnsi="Arial" w:cs="Arial"/>
          <w:sz w:val="24"/>
          <w:szCs w:val="24"/>
        </w:rPr>
        <w:t>,</w:t>
      </w:r>
      <w:r w:rsidR="00D26B2A" w:rsidRPr="00BF6156">
        <w:rPr>
          <w:rFonts w:ascii="Arial" w:hAnsi="Arial" w:cs="Arial"/>
          <w:sz w:val="24"/>
          <w:szCs w:val="24"/>
        </w:rPr>
        <w:t xml:space="preserve"> and </w:t>
      </w:r>
      <w:r w:rsidR="007D7399" w:rsidRPr="00BF6156">
        <w:rPr>
          <w:rFonts w:ascii="Arial" w:hAnsi="Arial" w:cs="Arial"/>
          <w:sz w:val="24"/>
          <w:szCs w:val="24"/>
        </w:rPr>
        <w:t xml:space="preserve">Title V, </w:t>
      </w:r>
      <w:r w:rsidR="00FA1A7F" w:rsidRPr="00BF6156">
        <w:rPr>
          <w:rFonts w:ascii="Arial" w:hAnsi="Arial" w:cs="Arial"/>
          <w:sz w:val="24"/>
          <w:szCs w:val="24"/>
        </w:rPr>
        <w:t xml:space="preserve">Part </w:t>
      </w:r>
      <w:r w:rsidR="00D26B2A" w:rsidRPr="00BF6156">
        <w:rPr>
          <w:rFonts w:ascii="Arial" w:hAnsi="Arial" w:cs="Arial"/>
          <w:sz w:val="24"/>
          <w:szCs w:val="24"/>
        </w:rPr>
        <w:t>B</w:t>
      </w:r>
      <w:r w:rsidR="001A217E" w:rsidRPr="00BF6156">
        <w:rPr>
          <w:rFonts w:ascii="Arial" w:hAnsi="Arial" w:cs="Arial"/>
          <w:sz w:val="24"/>
          <w:szCs w:val="24"/>
        </w:rPr>
        <w:t xml:space="preserve"> as well as to Titles II</w:t>
      </w:r>
      <w:r w:rsidR="003D7A44" w:rsidRPr="00BF6156">
        <w:rPr>
          <w:rFonts w:ascii="Arial" w:hAnsi="Arial" w:cs="Arial"/>
          <w:sz w:val="24"/>
          <w:szCs w:val="24"/>
        </w:rPr>
        <w:t>, Part A</w:t>
      </w:r>
      <w:r w:rsidR="001A217E" w:rsidRPr="00BF6156">
        <w:rPr>
          <w:rFonts w:ascii="Arial" w:hAnsi="Arial" w:cs="Arial"/>
          <w:sz w:val="24"/>
          <w:szCs w:val="24"/>
        </w:rPr>
        <w:t xml:space="preserve"> or IV</w:t>
      </w:r>
      <w:r w:rsidR="003D7A44" w:rsidRPr="00BF6156">
        <w:rPr>
          <w:rFonts w:ascii="Arial" w:hAnsi="Arial" w:cs="Arial"/>
          <w:sz w:val="24"/>
          <w:szCs w:val="24"/>
        </w:rPr>
        <w:t>, Part A</w:t>
      </w:r>
      <w:r w:rsidR="00D26B2A" w:rsidRPr="00BF6156">
        <w:rPr>
          <w:rFonts w:ascii="Arial" w:hAnsi="Arial" w:cs="Arial"/>
          <w:sz w:val="24"/>
          <w:szCs w:val="24"/>
        </w:rPr>
        <w:t>.</w:t>
      </w:r>
    </w:p>
    <w:p w14:paraId="2A0EF9EB" w14:textId="77777777" w:rsidR="00DF7956" w:rsidRPr="00BF6156" w:rsidRDefault="00DF7956" w:rsidP="00A032F8">
      <w:pPr>
        <w:spacing w:after="240" w:line="240" w:lineRule="auto"/>
        <w:rPr>
          <w:rFonts w:ascii="Arial" w:hAnsi="Arial" w:cs="Arial"/>
          <w:sz w:val="24"/>
          <w:szCs w:val="24"/>
        </w:rPr>
      </w:pPr>
      <w:r w:rsidRPr="00BF6156">
        <w:rPr>
          <w:rFonts w:ascii="Arial" w:hAnsi="Arial" w:cs="Arial"/>
          <w:sz w:val="24"/>
          <w:szCs w:val="24"/>
        </w:rPr>
        <w:t>This guidance outlines the federal requirements and limitations on transferability and how the calculation of equitable services may be impacted or informed by the transfer of funds.</w:t>
      </w:r>
    </w:p>
    <w:p w14:paraId="1E0F8A66" w14:textId="666F89BD" w:rsidR="007C1464" w:rsidRPr="000F41C7" w:rsidRDefault="005E0E4A" w:rsidP="001553CC">
      <w:pPr>
        <w:pStyle w:val="Heading2"/>
        <w:spacing w:before="0" w:after="240"/>
      </w:pPr>
      <w:r w:rsidRPr="000F41C7">
        <w:t>I.</w:t>
      </w:r>
      <w:r w:rsidRPr="000F41C7">
        <w:tab/>
      </w:r>
      <w:r w:rsidR="007C1464" w:rsidRPr="000F41C7">
        <w:t>Transferability</w:t>
      </w:r>
    </w:p>
    <w:p w14:paraId="263BE866" w14:textId="567AE8BE" w:rsidR="00470A00" w:rsidRPr="00231666" w:rsidRDefault="00EB0B13" w:rsidP="00231666">
      <w:pPr>
        <w:rPr>
          <w:rFonts w:ascii="Arial" w:hAnsi="Arial" w:cs="Arial"/>
          <w:sz w:val="24"/>
          <w:szCs w:val="24"/>
        </w:rPr>
      </w:pPr>
      <w:r w:rsidRPr="00231666">
        <w:rPr>
          <w:rFonts w:ascii="Arial" w:hAnsi="Arial" w:cs="Arial"/>
          <w:sz w:val="24"/>
          <w:szCs w:val="24"/>
        </w:rPr>
        <w:t>In a</w:t>
      </w:r>
      <w:r w:rsidR="00B90464" w:rsidRPr="00231666">
        <w:rPr>
          <w:rFonts w:ascii="Arial" w:hAnsi="Arial" w:cs="Arial"/>
          <w:sz w:val="24"/>
          <w:szCs w:val="24"/>
        </w:rPr>
        <w:t>ccord</w:t>
      </w:r>
      <w:r w:rsidRPr="00231666">
        <w:rPr>
          <w:rFonts w:ascii="Arial" w:hAnsi="Arial" w:cs="Arial"/>
          <w:sz w:val="24"/>
          <w:szCs w:val="24"/>
        </w:rPr>
        <w:t>ance</w:t>
      </w:r>
      <w:r w:rsidR="00B90464" w:rsidRPr="00231666">
        <w:rPr>
          <w:rFonts w:ascii="Arial" w:hAnsi="Arial" w:cs="Arial"/>
          <w:sz w:val="24"/>
          <w:szCs w:val="24"/>
        </w:rPr>
        <w:t xml:space="preserve"> </w:t>
      </w:r>
      <w:r w:rsidR="00733A46" w:rsidRPr="00231666">
        <w:rPr>
          <w:rFonts w:ascii="Arial" w:hAnsi="Arial" w:cs="Arial"/>
          <w:sz w:val="24"/>
          <w:szCs w:val="24"/>
        </w:rPr>
        <w:t>with</w:t>
      </w:r>
      <w:r w:rsidR="00B90464" w:rsidRPr="00231666">
        <w:rPr>
          <w:rFonts w:ascii="Arial" w:hAnsi="Arial" w:cs="Arial"/>
          <w:sz w:val="24"/>
          <w:szCs w:val="24"/>
        </w:rPr>
        <w:t xml:space="preserve"> </w:t>
      </w:r>
      <w:r w:rsidRPr="00231666">
        <w:rPr>
          <w:rFonts w:ascii="Arial" w:hAnsi="Arial" w:cs="Arial"/>
          <w:sz w:val="24"/>
          <w:szCs w:val="24"/>
        </w:rPr>
        <w:t xml:space="preserve">the </w:t>
      </w:r>
      <w:r w:rsidR="00B90464" w:rsidRPr="00231666">
        <w:rPr>
          <w:rFonts w:ascii="Arial" w:hAnsi="Arial" w:cs="Arial"/>
          <w:sz w:val="24"/>
          <w:szCs w:val="24"/>
        </w:rPr>
        <w:t>ES</w:t>
      </w:r>
      <w:r w:rsidR="00587DA2" w:rsidRPr="00231666">
        <w:rPr>
          <w:rFonts w:ascii="Arial" w:hAnsi="Arial" w:cs="Arial"/>
          <w:sz w:val="24"/>
          <w:szCs w:val="24"/>
        </w:rPr>
        <w:t>E</w:t>
      </w:r>
      <w:r w:rsidR="00B90464" w:rsidRPr="00231666">
        <w:rPr>
          <w:rFonts w:ascii="Arial" w:hAnsi="Arial" w:cs="Arial"/>
          <w:sz w:val="24"/>
          <w:szCs w:val="24"/>
        </w:rPr>
        <w:t>A Section 5103</w:t>
      </w:r>
      <w:r w:rsidR="00470A00" w:rsidRPr="00231666">
        <w:rPr>
          <w:rFonts w:ascii="Arial" w:hAnsi="Arial" w:cs="Arial"/>
          <w:sz w:val="24"/>
          <w:szCs w:val="24"/>
        </w:rPr>
        <w:t xml:space="preserve"> </w:t>
      </w:r>
      <w:r w:rsidR="005A690C" w:rsidRPr="00231666">
        <w:rPr>
          <w:rFonts w:ascii="Arial" w:hAnsi="Arial" w:cs="Arial"/>
          <w:sz w:val="24"/>
          <w:szCs w:val="24"/>
        </w:rPr>
        <w:t xml:space="preserve">as described </w:t>
      </w:r>
      <w:r w:rsidR="00980852" w:rsidRPr="00231666">
        <w:rPr>
          <w:rFonts w:ascii="Arial" w:hAnsi="Arial" w:cs="Arial"/>
          <w:sz w:val="24"/>
          <w:szCs w:val="24"/>
        </w:rPr>
        <w:t>in</w:t>
      </w:r>
      <w:r w:rsidR="005A690C" w:rsidRPr="00231666">
        <w:rPr>
          <w:rFonts w:ascii="Arial" w:hAnsi="Arial" w:cs="Arial"/>
          <w:sz w:val="24"/>
          <w:szCs w:val="24"/>
        </w:rPr>
        <w:t xml:space="preserve"> </w:t>
      </w:r>
      <w:r w:rsidR="00470A00" w:rsidRPr="00231666">
        <w:rPr>
          <w:rFonts w:ascii="Arial" w:hAnsi="Arial" w:cs="Arial"/>
          <w:sz w:val="24"/>
          <w:szCs w:val="24"/>
        </w:rPr>
        <w:t>the U.S. Department</w:t>
      </w:r>
      <w:r w:rsidR="00C72B98" w:rsidRPr="00231666">
        <w:rPr>
          <w:rFonts w:ascii="Arial" w:hAnsi="Arial" w:cs="Arial"/>
          <w:sz w:val="24"/>
          <w:szCs w:val="24"/>
        </w:rPr>
        <w:t xml:space="preserve"> of </w:t>
      </w:r>
      <w:r w:rsidR="00231666" w:rsidRPr="00231666">
        <w:rPr>
          <w:rFonts w:ascii="Arial" w:hAnsi="Arial" w:cs="Arial"/>
          <w:sz w:val="24"/>
          <w:szCs w:val="24"/>
        </w:rPr>
        <w:t>E</w:t>
      </w:r>
      <w:r w:rsidR="00C72B98" w:rsidRPr="00231666">
        <w:rPr>
          <w:rFonts w:ascii="Arial" w:hAnsi="Arial" w:cs="Arial"/>
          <w:sz w:val="24"/>
          <w:szCs w:val="24"/>
        </w:rPr>
        <w:t>ducation</w:t>
      </w:r>
      <w:r w:rsidR="00470A00" w:rsidRPr="00231666">
        <w:rPr>
          <w:rFonts w:ascii="Arial" w:hAnsi="Arial" w:cs="Arial"/>
          <w:sz w:val="24"/>
          <w:szCs w:val="24"/>
        </w:rPr>
        <w:t xml:space="preserve">’s Non-Regulatory Guidance: Fiscal Changes and Equitable Services Requirements under </w:t>
      </w:r>
      <w:r w:rsidR="00496DC3" w:rsidRPr="00231666">
        <w:rPr>
          <w:rFonts w:ascii="Arial" w:hAnsi="Arial" w:cs="Arial"/>
          <w:sz w:val="24"/>
          <w:szCs w:val="24"/>
        </w:rPr>
        <w:t>ES</w:t>
      </w:r>
      <w:r w:rsidR="00173219" w:rsidRPr="00231666">
        <w:rPr>
          <w:rFonts w:ascii="Arial" w:hAnsi="Arial" w:cs="Arial"/>
          <w:sz w:val="24"/>
          <w:szCs w:val="24"/>
        </w:rPr>
        <w:t>EA</w:t>
      </w:r>
      <w:r w:rsidR="00470A00" w:rsidRPr="00231666">
        <w:rPr>
          <w:rFonts w:ascii="Arial" w:hAnsi="Arial" w:cs="Arial"/>
          <w:sz w:val="24"/>
          <w:szCs w:val="24"/>
        </w:rPr>
        <w:t xml:space="preserve">, as amended by the ESSA </w:t>
      </w:r>
      <w:r w:rsidR="007C1464" w:rsidRPr="00231666">
        <w:rPr>
          <w:rFonts w:ascii="Arial" w:hAnsi="Arial" w:cs="Arial"/>
          <w:sz w:val="24"/>
          <w:szCs w:val="24"/>
        </w:rPr>
        <w:t>(</w:t>
      </w:r>
      <w:r w:rsidR="00470A00" w:rsidRPr="00231666">
        <w:rPr>
          <w:rFonts w:ascii="Arial" w:hAnsi="Arial" w:cs="Arial"/>
          <w:sz w:val="24"/>
          <w:szCs w:val="24"/>
        </w:rPr>
        <w:t>dated November 21, 2016</w:t>
      </w:r>
      <w:r w:rsidR="007C1464" w:rsidRPr="00231666">
        <w:rPr>
          <w:rFonts w:ascii="Arial" w:hAnsi="Arial" w:cs="Arial"/>
          <w:sz w:val="24"/>
          <w:szCs w:val="24"/>
        </w:rPr>
        <w:t>)</w:t>
      </w:r>
      <w:r w:rsidR="00470A00" w:rsidRPr="00231666">
        <w:rPr>
          <w:rFonts w:ascii="Arial" w:hAnsi="Arial" w:cs="Arial"/>
          <w:sz w:val="24"/>
          <w:szCs w:val="24"/>
        </w:rPr>
        <w:t>:</w:t>
      </w:r>
    </w:p>
    <w:p w14:paraId="73C57E69" w14:textId="1EDB632C" w:rsidR="003C2C27" w:rsidRPr="00BF6156" w:rsidRDefault="003C2C27" w:rsidP="00A032F8">
      <w:pPr>
        <w:spacing w:after="240" w:line="240" w:lineRule="auto"/>
        <w:rPr>
          <w:rFonts w:ascii="Arial" w:hAnsi="Arial" w:cs="Arial"/>
          <w:sz w:val="24"/>
          <w:szCs w:val="24"/>
        </w:rPr>
      </w:pPr>
      <w:r w:rsidRPr="00BF6156">
        <w:rPr>
          <w:rFonts w:ascii="Arial" w:hAnsi="Arial" w:cs="Arial"/>
          <w:sz w:val="24"/>
          <w:szCs w:val="24"/>
        </w:rPr>
        <w:t>Under the ESSA, LEAs may transfer funds they receive by formula under certain programs to other programs to better address State and local needs. The ES</w:t>
      </w:r>
      <w:r w:rsidR="00587DA2" w:rsidRPr="00BF6156">
        <w:rPr>
          <w:rFonts w:ascii="Arial" w:hAnsi="Arial" w:cs="Arial"/>
          <w:sz w:val="24"/>
          <w:szCs w:val="24"/>
        </w:rPr>
        <w:t>E</w:t>
      </w:r>
      <w:r w:rsidRPr="00BF6156">
        <w:rPr>
          <w:rFonts w:ascii="Arial" w:hAnsi="Arial" w:cs="Arial"/>
          <w:sz w:val="24"/>
          <w:szCs w:val="24"/>
        </w:rPr>
        <w:t>A amended the transferability authority by changing the programs from and to which an LEA may transfer funds and removing limits on the amount of funds that may be transferred. The below guidance addresses those changes.</w:t>
      </w:r>
    </w:p>
    <w:p w14:paraId="41058529" w14:textId="77777777" w:rsidR="00950A79" w:rsidRPr="000F41C7" w:rsidRDefault="00950A79" w:rsidP="001553CC">
      <w:pPr>
        <w:pStyle w:val="Heading2"/>
        <w:spacing w:before="0" w:after="240"/>
      </w:pPr>
      <w:r w:rsidRPr="000F41C7">
        <w:t>Transfers by LEA</w:t>
      </w:r>
      <w:r w:rsidR="00C72B98" w:rsidRPr="000F41C7">
        <w:t>s</w:t>
      </w:r>
      <w:r w:rsidR="00621DA2" w:rsidRPr="000F41C7">
        <w:t>:</w:t>
      </w:r>
    </w:p>
    <w:p w14:paraId="1E2452A7" w14:textId="159F9E0E" w:rsidR="003C2C27" w:rsidRPr="00BF6156" w:rsidRDefault="00950A79" w:rsidP="00A032F8">
      <w:pPr>
        <w:spacing w:after="240" w:line="240" w:lineRule="auto"/>
        <w:rPr>
          <w:rFonts w:ascii="Arial" w:hAnsi="Arial" w:cs="Arial"/>
          <w:sz w:val="24"/>
          <w:szCs w:val="24"/>
        </w:rPr>
      </w:pPr>
      <w:r w:rsidRPr="00BF6156">
        <w:rPr>
          <w:rFonts w:ascii="Arial" w:hAnsi="Arial" w:cs="Arial"/>
          <w:sz w:val="24"/>
          <w:szCs w:val="24"/>
        </w:rPr>
        <w:t>T-1</w:t>
      </w:r>
      <w:r w:rsidR="003C2C27" w:rsidRPr="00BF6156">
        <w:rPr>
          <w:rFonts w:ascii="Arial" w:hAnsi="Arial" w:cs="Arial"/>
          <w:sz w:val="24"/>
          <w:szCs w:val="24"/>
        </w:rPr>
        <w:t>.</w:t>
      </w:r>
      <w:r w:rsidRPr="00BF6156">
        <w:rPr>
          <w:rFonts w:ascii="Arial" w:hAnsi="Arial" w:cs="Arial"/>
          <w:sz w:val="24"/>
          <w:szCs w:val="24"/>
        </w:rPr>
        <w:t xml:space="preserve"> Update</w:t>
      </w:r>
      <w:r w:rsidR="003C2C27" w:rsidRPr="00BF6156">
        <w:rPr>
          <w:rFonts w:ascii="Arial" w:hAnsi="Arial" w:cs="Arial"/>
          <w:sz w:val="24"/>
          <w:szCs w:val="24"/>
        </w:rPr>
        <w:t>s to p</w:t>
      </w:r>
      <w:r w:rsidRPr="00BF6156">
        <w:rPr>
          <w:rFonts w:ascii="Arial" w:hAnsi="Arial" w:cs="Arial"/>
          <w:sz w:val="24"/>
          <w:szCs w:val="24"/>
        </w:rPr>
        <w:t xml:space="preserve">rograms from which an LEA </w:t>
      </w:r>
      <w:r w:rsidR="003C2C27" w:rsidRPr="00BF6156">
        <w:rPr>
          <w:rFonts w:ascii="Arial" w:hAnsi="Arial" w:cs="Arial"/>
          <w:sz w:val="24"/>
          <w:szCs w:val="24"/>
        </w:rPr>
        <w:t>m</w:t>
      </w:r>
      <w:r w:rsidRPr="00BF6156">
        <w:rPr>
          <w:rFonts w:ascii="Arial" w:hAnsi="Arial" w:cs="Arial"/>
          <w:sz w:val="24"/>
          <w:szCs w:val="24"/>
        </w:rPr>
        <w:t xml:space="preserve">ay </w:t>
      </w:r>
      <w:r w:rsidR="003C2C27" w:rsidRPr="00BF6156">
        <w:rPr>
          <w:rFonts w:ascii="Arial" w:hAnsi="Arial" w:cs="Arial"/>
          <w:sz w:val="24"/>
          <w:szCs w:val="24"/>
        </w:rPr>
        <w:t>t</w:t>
      </w:r>
      <w:r w:rsidRPr="00BF6156">
        <w:rPr>
          <w:rFonts w:ascii="Arial" w:hAnsi="Arial" w:cs="Arial"/>
          <w:sz w:val="24"/>
          <w:szCs w:val="24"/>
        </w:rPr>
        <w:t xml:space="preserve">ransfer </w:t>
      </w:r>
      <w:r w:rsidR="003C2C27" w:rsidRPr="00BF6156">
        <w:rPr>
          <w:rFonts w:ascii="Arial" w:hAnsi="Arial" w:cs="Arial"/>
          <w:sz w:val="24"/>
          <w:szCs w:val="24"/>
        </w:rPr>
        <w:t>f</w:t>
      </w:r>
      <w:r w:rsidRPr="00BF6156">
        <w:rPr>
          <w:rFonts w:ascii="Arial" w:hAnsi="Arial" w:cs="Arial"/>
          <w:sz w:val="24"/>
          <w:szCs w:val="24"/>
        </w:rPr>
        <w:t>unds</w:t>
      </w:r>
      <w:r w:rsidR="003C2C27" w:rsidRPr="00BF6156">
        <w:rPr>
          <w:rFonts w:ascii="Arial" w:hAnsi="Arial" w:cs="Arial"/>
          <w:sz w:val="24"/>
          <w:szCs w:val="24"/>
        </w:rPr>
        <w:t xml:space="preserve"> (ES</w:t>
      </w:r>
      <w:r w:rsidR="00587DA2" w:rsidRPr="00BF6156">
        <w:rPr>
          <w:rFonts w:ascii="Arial" w:hAnsi="Arial" w:cs="Arial"/>
          <w:sz w:val="24"/>
          <w:szCs w:val="24"/>
        </w:rPr>
        <w:t>E</w:t>
      </w:r>
      <w:r w:rsidR="00496DC3" w:rsidRPr="00BF6156">
        <w:rPr>
          <w:rFonts w:ascii="Arial" w:hAnsi="Arial" w:cs="Arial"/>
          <w:sz w:val="24"/>
          <w:szCs w:val="24"/>
        </w:rPr>
        <w:t>A</w:t>
      </w:r>
      <w:r w:rsidR="003C2C27" w:rsidRPr="00BF6156">
        <w:rPr>
          <w:rFonts w:ascii="Arial" w:hAnsi="Arial" w:cs="Arial"/>
          <w:sz w:val="24"/>
          <w:szCs w:val="24"/>
        </w:rPr>
        <w:t xml:space="preserve"> Section 5103</w:t>
      </w:r>
      <w:r w:rsidR="00FD2B92">
        <w:rPr>
          <w:rFonts w:ascii="Arial" w:hAnsi="Arial" w:cs="Arial"/>
          <w:sz w:val="24"/>
          <w:szCs w:val="24"/>
        </w:rPr>
        <w:t>[</w:t>
      </w:r>
      <w:r w:rsidR="003C2C27" w:rsidRPr="00BF6156">
        <w:rPr>
          <w:rFonts w:ascii="Arial" w:hAnsi="Arial" w:cs="Arial"/>
          <w:sz w:val="24"/>
          <w:szCs w:val="24"/>
        </w:rPr>
        <w:t>b</w:t>
      </w:r>
      <w:r w:rsidR="00FD2B92">
        <w:rPr>
          <w:rFonts w:ascii="Arial" w:hAnsi="Arial" w:cs="Arial"/>
          <w:sz w:val="24"/>
          <w:szCs w:val="24"/>
        </w:rPr>
        <w:t>][</w:t>
      </w:r>
      <w:r w:rsidR="003C2C27" w:rsidRPr="00BF6156">
        <w:rPr>
          <w:rFonts w:ascii="Arial" w:hAnsi="Arial" w:cs="Arial"/>
          <w:sz w:val="24"/>
          <w:szCs w:val="24"/>
        </w:rPr>
        <w:t>2</w:t>
      </w:r>
      <w:r w:rsidR="00FD2B92">
        <w:rPr>
          <w:rFonts w:ascii="Arial" w:hAnsi="Arial" w:cs="Arial"/>
          <w:sz w:val="24"/>
          <w:szCs w:val="24"/>
        </w:rPr>
        <w:t>]</w:t>
      </w:r>
      <w:r w:rsidR="003C2C27" w:rsidRPr="00BF6156">
        <w:rPr>
          <w:rFonts w:ascii="Arial" w:hAnsi="Arial" w:cs="Arial"/>
          <w:sz w:val="24"/>
          <w:szCs w:val="24"/>
        </w:rPr>
        <w:t>):</w:t>
      </w:r>
    </w:p>
    <w:p w14:paraId="3CA797A3" w14:textId="222B16C4" w:rsidR="009C573C" w:rsidRPr="00BF6156" w:rsidRDefault="00950A79" w:rsidP="00A032F8">
      <w:pPr>
        <w:spacing w:after="0" w:line="240" w:lineRule="auto"/>
        <w:rPr>
          <w:rFonts w:ascii="Arial" w:hAnsi="Arial" w:cs="Arial"/>
          <w:sz w:val="24"/>
          <w:szCs w:val="24"/>
        </w:rPr>
      </w:pPr>
      <w:r w:rsidRPr="00BF6156">
        <w:rPr>
          <w:rFonts w:ascii="Arial" w:hAnsi="Arial" w:cs="Arial"/>
          <w:sz w:val="24"/>
          <w:szCs w:val="24"/>
        </w:rPr>
        <w:t>Title II, Part A – Supporting effective instruction state grants</w:t>
      </w:r>
    </w:p>
    <w:p w14:paraId="04711B77" w14:textId="77777777" w:rsidR="00950A79" w:rsidRPr="00BF6156" w:rsidRDefault="00950A79" w:rsidP="00A032F8">
      <w:pPr>
        <w:pStyle w:val="ListParagraph"/>
        <w:numPr>
          <w:ilvl w:val="0"/>
          <w:numId w:val="21"/>
        </w:numPr>
        <w:spacing w:after="240" w:line="240" w:lineRule="auto"/>
        <w:rPr>
          <w:rFonts w:ascii="Arial" w:hAnsi="Arial" w:cs="Arial"/>
          <w:sz w:val="24"/>
          <w:szCs w:val="24"/>
        </w:rPr>
      </w:pPr>
      <w:r w:rsidRPr="00BF6156">
        <w:rPr>
          <w:rFonts w:ascii="Arial" w:hAnsi="Arial" w:cs="Arial"/>
          <w:sz w:val="24"/>
          <w:szCs w:val="24"/>
        </w:rPr>
        <w:t xml:space="preserve">Title IV, Part A – Student support and academic enrichment grants </w:t>
      </w:r>
    </w:p>
    <w:p w14:paraId="1F0A397D" w14:textId="1183A337" w:rsidR="003C2C27" w:rsidRPr="00BF6156" w:rsidRDefault="003C2C27" w:rsidP="00A032F8">
      <w:pPr>
        <w:spacing w:after="240" w:line="240" w:lineRule="auto"/>
        <w:rPr>
          <w:rFonts w:ascii="Arial" w:hAnsi="Arial" w:cs="Arial"/>
          <w:sz w:val="24"/>
          <w:szCs w:val="24"/>
        </w:rPr>
      </w:pPr>
      <w:r w:rsidRPr="00BF6156">
        <w:rPr>
          <w:rFonts w:ascii="Arial" w:hAnsi="Arial" w:cs="Arial"/>
          <w:sz w:val="24"/>
          <w:szCs w:val="24"/>
        </w:rPr>
        <w:t>An LEA may not transfer funds it receives under any other ES</w:t>
      </w:r>
      <w:r w:rsidR="00587DA2" w:rsidRPr="00BF6156">
        <w:rPr>
          <w:rFonts w:ascii="Arial" w:hAnsi="Arial" w:cs="Arial"/>
          <w:sz w:val="24"/>
          <w:szCs w:val="24"/>
        </w:rPr>
        <w:t>E</w:t>
      </w:r>
      <w:r w:rsidR="00496DC3" w:rsidRPr="00BF6156">
        <w:rPr>
          <w:rFonts w:ascii="Arial" w:hAnsi="Arial" w:cs="Arial"/>
          <w:sz w:val="24"/>
          <w:szCs w:val="24"/>
        </w:rPr>
        <w:t>A</w:t>
      </w:r>
      <w:r w:rsidRPr="00BF6156">
        <w:rPr>
          <w:rFonts w:ascii="Arial" w:hAnsi="Arial" w:cs="Arial"/>
          <w:sz w:val="24"/>
          <w:szCs w:val="24"/>
        </w:rPr>
        <w:t xml:space="preserve"> program.</w:t>
      </w:r>
    </w:p>
    <w:p w14:paraId="16DACCA9" w14:textId="5BE8E76A" w:rsidR="003C2C27" w:rsidRPr="00BF6156" w:rsidRDefault="00950A79" w:rsidP="00A032F8">
      <w:pPr>
        <w:spacing w:after="240" w:line="240" w:lineRule="auto"/>
        <w:rPr>
          <w:rFonts w:ascii="Arial" w:hAnsi="Arial" w:cs="Arial"/>
          <w:sz w:val="24"/>
          <w:szCs w:val="24"/>
        </w:rPr>
      </w:pPr>
      <w:r w:rsidRPr="00BF6156">
        <w:rPr>
          <w:rFonts w:ascii="Arial" w:hAnsi="Arial" w:cs="Arial"/>
          <w:sz w:val="24"/>
          <w:szCs w:val="24"/>
        </w:rPr>
        <w:t>T-2 Update</w:t>
      </w:r>
      <w:r w:rsidR="003C2C27" w:rsidRPr="00BF6156">
        <w:rPr>
          <w:rFonts w:ascii="Arial" w:hAnsi="Arial" w:cs="Arial"/>
          <w:sz w:val="24"/>
          <w:szCs w:val="24"/>
        </w:rPr>
        <w:t>s to p</w:t>
      </w:r>
      <w:r w:rsidRPr="00BF6156">
        <w:rPr>
          <w:rFonts w:ascii="Arial" w:hAnsi="Arial" w:cs="Arial"/>
          <w:sz w:val="24"/>
          <w:szCs w:val="24"/>
        </w:rPr>
        <w:t xml:space="preserve">rograms to which an LEA </w:t>
      </w:r>
      <w:r w:rsidR="003C2C27" w:rsidRPr="00BF6156">
        <w:rPr>
          <w:rFonts w:ascii="Arial" w:hAnsi="Arial" w:cs="Arial"/>
          <w:sz w:val="24"/>
          <w:szCs w:val="24"/>
        </w:rPr>
        <w:t>m</w:t>
      </w:r>
      <w:r w:rsidRPr="00BF6156">
        <w:rPr>
          <w:rFonts w:ascii="Arial" w:hAnsi="Arial" w:cs="Arial"/>
          <w:sz w:val="24"/>
          <w:szCs w:val="24"/>
        </w:rPr>
        <w:t xml:space="preserve">ay </w:t>
      </w:r>
      <w:r w:rsidR="003C2C27" w:rsidRPr="00BF6156">
        <w:rPr>
          <w:rFonts w:ascii="Arial" w:hAnsi="Arial" w:cs="Arial"/>
          <w:sz w:val="24"/>
          <w:szCs w:val="24"/>
        </w:rPr>
        <w:t>t</w:t>
      </w:r>
      <w:r w:rsidRPr="00BF6156">
        <w:rPr>
          <w:rFonts w:ascii="Arial" w:hAnsi="Arial" w:cs="Arial"/>
          <w:sz w:val="24"/>
          <w:szCs w:val="24"/>
        </w:rPr>
        <w:t xml:space="preserve">ransfer </w:t>
      </w:r>
      <w:r w:rsidR="003C2C27" w:rsidRPr="00BF6156">
        <w:rPr>
          <w:rFonts w:ascii="Arial" w:hAnsi="Arial" w:cs="Arial"/>
          <w:sz w:val="24"/>
          <w:szCs w:val="24"/>
        </w:rPr>
        <w:t>f</w:t>
      </w:r>
      <w:r w:rsidRPr="00BF6156">
        <w:rPr>
          <w:rFonts w:ascii="Arial" w:hAnsi="Arial" w:cs="Arial"/>
          <w:sz w:val="24"/>
          <w:szCs w:val="24"/>
        </w:rPr>
        <w:t>unds</w:t>
      </w:r>
      <w:r w:rsidR="003C2C27" w:rsidRPr="00BF6156">
        <w:rPr>
          <w:rFonts w:ascii="Arial" w:hAnsi="Arial" w:cs="Arial"/>
          <w:sz w:val="24"/>
          <w:szCs w:val="24"/>
        </w:rPr>
        <w:t xml:space="preserve"> (ESEA Section 5103</w:t>
      </w:r>
      <w:r w:rsidR="00FD2B92">
        <w:rPr>
          <w:rFonts w:ascii="Arial" w:hAnsi="Arial" w:cs="Arial"/>
          <w:sz w:val="24"/>
          <w:szCs w:val="24"/>
        </w:rPr>
        <w:t>[</w:t>
      </w:r>
      <w:r w:rsidR="003C2C27" w:rsidRPr="00BF6156">
        <w:rPr>
          <w:rFonts w:ascii="Arial" w:hAnsi="Arial" w:cs="Arial"/>
          <w:sz w:val="24"/>
          <w:szCs w:val="24"/>
        </w:rPr>
        <w:t>b</w:t>
      </w:r>
      <w:r w:rsidR="00FD2B92">
        <w:rPr>
          <w:rFonts w:ascii="Arial" w:hAnsi="Arial" w:cs="Arial"/>
          <w:sz w:val="24"/>
          <w:szCs w:val="24"/>
        </w:rPr>
        <w:t>]</w:t>
      </w:r>
      <w:r w:rsidR="003C2C27" w:rsidRPr="00BF6156">
        <w:rPr>
          <w:rFonts w:ascii="Arial" w:hAnsi="Arial" w:cs="Arial"/>
          <w:sz w:val="24"/>
          <w:szCs w:val="24"/>
        </w:rPr>
        <w:t>):</w:t>
      </w:r>
    </w:p>
    <w:p w14:paraId="4F1FAA74" w14:textId="77777777" w:rsidR="009C573C" w:rsidRPr="00BF6156" w:rsidRDefault="00950A79" w:rsidP="00BF6156">
      <w:pPr>
        <w:pStyle w:val="ListParagraph"/>
        <w:numPr>
          <w:ilvl w:val="0"/>
          <w:numId w:val="22"/>
        </w:numPr>
        <w:spacing w:after="0" w:line="240" w:lineRule="auto"/>
        <w:ind w:left="720"/>
        <w:rPr>
          <w:rFonts w:ascii="Arial" w:hAnsi="Arial" w:cs="Arial"/>
          <w:sz w:val="24"/>
          <w:szCs w:val="24"/>
        </w:rPr>
      </w:pPr>
      <w:r w:rsidRPr="00BF6156">
        <w:rPr>
          <w:rFonts w:ascii="Arial" w:hAnsi="Arial" w:cs="Arial"/>
          <w:sz w:val="24"/>
          <w:szCs w:val="24"/>
        </w:rPr>
        <w:lastRenderedPageBreak/>
        <w:t>Title I, Part A – Improving basic programs operated by LEAs</w:t>
      </w:r>
    </w:p>
    <w:p w14:paraId="0CDB0793" w14:textId="3EE92D39" w:rsidR="001B6B59" w:rsidRDefault="00950A79" w:rsidP="00BF6156">
      <w:pPr>
        <w:pStyle w:val="ListParagraph"/>
        <w:numPr>
          <w:ilvl w:val="0"/>
          <w:numId w:val="22"/>
        </w:numPr>
        <w:spacing w:after="0" w:line="240" w:lineRule="auto"/>
        <w:ind w:left="720"/>
        <w:rPr>
          <w:rFonts w:ascii="Arial" w:hAnsi="Arial" w:cs="Arial"/>
          <w:sz w:val="24"/>
          <w:szCs w:val="24"/>
        </w:rPr>
      </w:pPr>
      <w:r w:rsidRPr="00BF6156">
        <w:rPr>
          <w:rFonts w:ascii="Arial" w:hAnsi="Arial" w:cs="Arial"/>
          <w:sz w:val="24"/>
          <w:szCs w:val="24"/>
        </w:rPr>
        <w:t>Title I, Part C – Education of migratory children</w:t>
      </w:r>
    </w:p>
    <w:p w14:paraId="49BE474D" w14:textId="77777777" w:rsidR="009C573C" w:rsidRPr="00BF6156" w:rsidRDefault="00950A79" w:rsidP="001B6B59">
      <w:pPr>
        <w:pStyle w:val="ListParagraph"/>
        <w:numPr>
          <w:ilvl w:val="0"/>
          <w:numId w:val="22"/>
        </w:numPr>
        <w:spacing w:before="240" w:after="0" w:line="240" w:lineRule="auto"/>
        <w:ind w:left="720"/>
        <w:rPr>
          <w:rFonts w:ascii="Arial" w:hAnsi="Arial" w:cs="Arial"/>
          <w:sz w:val="24"/>
          <w:szCs w:val="24"/>
        </w:rPr>
      </w:pPr>
      <w:r w:rsidRPr="00BF6156">
        <w:rPr>
          <w:rFonts w:ascii="Arial" w:hAnsi="Arial" w:cs="Arial"/>
          <w:sz w:val="24"/>
          <w:szCs w:val="24"/>
        </w:rPr>
        <w:t>Title I, Part D − Prevention and intervention programs for children and youth who are neglected, delinquent, or at-risk</w:t>
      </w:r>
    </w:p>
    <w:p w14:paraId="23C237F4" w14:textId="77777777" w:rsidR="009C573C" w:rsidRPr="00BF6156" w:rsidRDefault="00950A79" w:rsidP="00BF6156">
      <w:pPr>
        <w:pStyle w:val="ListParagraph"/>
        <w:numPr>
          <w:ilvl w:val="0"/>
          <w:numId w:val="22"/>
        </w:numPr>
        <w:spacing w:after="0" w:line="240" w:lineRule="auto"/>
        <w:ind w:left="720"/>
        <w:rPr>
          <w:rFonts w:ascii="Arial" w:hAnsi="Arial" w:cs="Arial"/>
          <w:sz w:val="24"/>
          <w:szCs w:val="24"/>
        </w:rPr>
      </w:pPr>
      <w:r w:rsidRPr="00BF6156">
        <w:rPr>
          <w:rFonts w:ascii="Arial" w:hAnsi="Arial" w:cs="Arial"/>
          <w:sz w:val="24"/>
          <w:szCs w:val="24"/>
        </w:rPr>
        <w:t>Title II, Part A − Supporting effective instruction state grants</w:t>
      </w:r>
    </w:p>
    <w:p w14:paraId="6CE96374" w14:textId="77777777" w:rsidR="009C573C" w:rsidRPr="00BF6156" w:rsidRDefault="009C573C" w:rsidP="00BF6156">
      <w:pPr>
        <w:pStyle w:val="ListParagraph"/>
        <w:numPr>
          <w:ilvl w:val="0"/>
          <w:numId w:val="22"/>
        </w:numPr>
        <w:spacing w:after="0" w:line="240" w:lineRule="auto"/>
        <w:ind w:left="720"/>
        <w:rPr>
          <w:rFonts w:ascii="Arial" w:hAnsi="Arial" w:cs="Arial"/>
          <w:sz w:val="24"/>
          <w:szCs w:val="24"/>
        </w:rPr>
      </w:pPr>
      <w:r w:rsidRPr="00BF6156">
        <w:rPr>
          <w:rFonts w:ascii="Arial" w:hAnsi="Arial" w:cs="Arial"/>
          <w:sz w:val="24"/>
          <w:szCs w:val="24"/>
        </w:rPr>
        <w:t>T</w:t>
      </w:r>
      <w:r w:rsidR="00950A79" w:rsidRPr="00BF6156">
        <w:rPr>
          <w:rFonts w:ascii="Arial" w:hAnsi="Arial" w:cs="Arial"/>
          <w:sz w:val="24"/>
          <w:szCs w:val="24"/>
        </w:rPr>
        <w:t>itle III, Part A – State grants for English language acquisition and language enhancement</w:t>
      </w:r>
    </w:p>
    <w:p w14:paraId="509954D9" w14:textId="77777777" w:rsidR="009C573C" w:rsidRPr="00BF6156" w:rsidRDefault="00950A79" w:rsidP="00BF6156">
      <w:pPr>
        <w:pStyle w:val="ListParagraph"/>
        <w:numPr>
          <w:ilvl w:val="0"/>
          <w:numId w:val="22"/>
        </w:numPr>
        <w:spacing w:after="0" w:line="240" w:lineRule="auto"/>
        <w:ind w:left="720"/>
        <w:rPr>
          <w:rFonts w:ascii="Arial" w:hAnsi="Arial" w:cs="Arial"/>
          <w:sz w:val="24"/>
          <w:szCs w:val="24"/>
        </w:rPr>
      </w:pPr>
      <w:r w:rsidRPr="00BF6156">
        <w:rPr>
          <w:rFonts w:ascii="Arial" w:hAnsi="Arial" w:cs="Arial"/>
          <w:sz w:val="24"/>
          <w:szCs w:val="24"/>
        </w:rPr>
        <w:t>Title IV, Part A − Student support and academic enrichment grants</w:t>
      </w:r>
    </w:p>
    <w:p w14:paraId="2558DE7A" w14:textId="12E563C5" w:rsidR="00950A79" w:rsidRPr="00BF6156" w:rsidRDefault="00950A79" w:rsidP="00A032F8">
      <w:pPr>
        <w:pStyle w:val="ListParagraph"/>
        <w:numPr>
          <w:ilvl w:val="0"/>
          <w:numId w:val="22"/>
        </w:numPr>
        <w:spacing w:after="240" w:line="240" w:lineRule="auto"/>
        <w:ind w:left="720"/>
        <w:rPr>
          <w:rFonts w:ascii="Arial" w:hAnsi="Arial" w:cs="Arial"/>
          <w:sz w:val="24"/>
          <w:szCs w:val="24"/>
        </w:rPr>
      </w:pPr>
      <w:r w:rsidRPr="00BF6156">
        <w:rPr>
          <w:rFonts w:ascii="Arial" w:hAnsi="Arial" w:cs="Arial"/>
          <w:sz w:val="24"/>
          <w:szCs w:val="24"/>
        </w:rPr>
        <w:t>Tit</w:t>
      </w:r>
      <w:r w:rsidR="00A032F8">
        <w:rPr>
          <w:rFonts w:ascii="Arial" w:hAnsi="Arial" w:cs="Arial"/>
          <w:sz w:val="24"/>
          <w:szCs w:val="24"/>
        </w:rPr>
        <w:t>le V, Part B – Rural education</w:t>
      </w:r>
    </w:p>
    <w:p w14:paraId="22E4580C" w14:textId="1371B354" w:rsidR="00DF7956" w:rsidRPr="00542315" w:rsidRDefault="00DF7956" w:rsidP="00542315">
      <w:r w:rsidRPr="00542315">
        <w:rPr>
          <w:rStyle w:val="Heading2Char"/>
        </w:rPr>
        <w:t xml:space="preserve">The LEA must </w:t>
      </w:r>
      <w:r w:rsidR="003B0D1C" w:rsidRPr="00542315">
        <w:rPr>
          <w:rStyle w:val="Heading2Char"/>
        </w:rPr>
        <w:t xml:space="preserve">consult with appropriate private school officials </w:t>
      </w:r>
      <w:r w:rsidRPr="00542315">
        <w:rPr>
          <w:rStyle w:val="Heading2Char"/>
        </w:rPr>
        <w:t>prior to transfer</w:t>
      </w:r>
      <w:r w:rsidR="003B0D1C" w:rsidRPr="00542315">
        <w:rPr>
          <w:rStyle w:val="Heading2Char"/>
        </w:rPr>
        <w:t>ring</w:t>
      </w:r>
      <w:r w:rsidR="00542315" w:rsidRPr="00542315">
        <w:rPr>
          <w:rStyle w:val="Heading2Char"/>
        </w:rPr>
        <w:t xml:space="preserve"> </w:t>
      </w:r>
      <w:r w:rsidRPr="00542315">
        <w:rPr>
          <w:rStyle w:val="Heading2Char"/>
        </w:rPr>
        <w:t>Title II, Part A</w:t>
      </w:r>
      <w:r w:rsidRPr="00542315">
        <w:t xml:space="preserve"> </w:t>
      </w:r>
      <w:r w:rsidRPr="00542315">
        <w:rPr>
          <w:rStyle w:val="Heading2Char"/>
        </w:rPr>
        <w:t>and Title IV, Part A</w:t>
      </w:r>
      <w:r w:rsidR="001A217E" w:rsidRPr="00542315">
        <w:rPr>
          <w:rStyle w:val="Heading2Char"/>
        </w:rPr>
        <w:t xml:space="preserve"> </w:t>
      </w:r>
      <w:r w:rsidR="00A032F8" w:rsidRPr="00542315">
        <w:rPr>
          <w:rStyle w:val="Heading2Char"/>
        </w:rPr>
        <w:t>federal funds:</w:t>
      </w:r>
    </w:p>
    <w:p w14:paraId="421F9A63" w14:textId="1102C792" w:rsidR="003B0D1C" w:rsidRPr="00BF6156" w:rsidRDefault="003B0D1C" w:rsidP="00A032F8">
      <w:pPr>
        <w:autoSpaceDE w:val="0"/>
        <w:autoSpaceDN w:val="0"/>
        <w:adjustRightInd w:val="0"/>
        <w:spacing w:after="240" w:line="240" w:lineRule="auto"/>
        <w:rPr>
          <w:rFonts w:ascii="Arial" w:hAnsi="Arial" w:cs="Arial"/>
          <w:sz w:val="24"/>
          <w:szCs w:val="24"/>
        </w:rPr>
      </w:pPr>
      <w:r w:rsidRPr="00BF6156">
        <w:rPr>
          <w:rFonts w:ascii="Arial" w:hAnsi="Arial" w:cs="Arial"/>
          <w:sz w:val="24"/>
          <w:szCs w:val="24"/>
        </w:rPr>
        <w:t xml:space="preserve">As noted above, </w:t>
      </w:r>
      <w:r w:rsidR="00AA5F6B" w:rsidRPr="00BF6156">
        <w:rPr>
          <w:rFonts w:ascii="Arial" w:hAnsi="Arial" w:cs="Arial"/>
          <w:sz w:val="24"/>
          <w:szCs w:val="24"/>
        </w:rPr>
        <w:t xml:space="preserve">under ESEA Section 5103(e)(2) </w:t>
      </w:r>
      <w:r w:rsidRPr="00BF6156">
        <w:rPr>
          <w:rFonts w:ascii="Arial" w:hAnsi="Arial" w:cs="Arial"/>
          <w:sz w:val="24"/>
          <w:szCs w:val="24"/>
        </w:rPr>
        <w:t>an LEA must consult with appropriate private school officials in accordance with ESEA Section 8501. Such consultation must occur prior to the LEA making any decision that affects the opportunities of eligible private school students, teachers, and other educational personnel to participate in programs under the ESEA, including a decision to transfer eligible Federal funds</w:t>
      </w:r>
      <w:r w:rsidR="000749BE" w:rsidRPr="00BF6156">
        <w:rPr>
          <w:rFonts w:ascii="Arial" w:hAnsi="Arial" w:cs="Arial"/>
          <w:sz w:val="24"/>
          <w:szCs w:val="24"/>
        </w:rPr>
        <w:t xml:space="preserve"> from one program to another</w:t>
      </w:r>
      <w:r w:rsidRPr="00BF6156">
        <w:rPr>
          <w:rFonts w:ascii="Arial" w:hAnsi="Arial" w:cs="Arial"/>
          <w:sz w:val="24"/>
          <w:szCs w:val="24"/>
        </w:rPr>
        <w:t>. Specifically, with respect to transferring funds, the LEA must consult about</w:t>
      </w:r>
      <w:r w:rsidR="00FD2B92">
        <w:rPr>
          <w:rFonts w:ascii="Arial" w:hAnsi="Arial" w:cs="Arial"/>
          <w:sz w:val="24"/>
          <w:szCs w:val="24"/>
        </w:rPr>
        <w:t xml:space="preserve"> </w:t>
      </w:r>
      <w:r w:rsidRPr="00BF6156">
        <w:rPr>
          <w:rFonts w:ascii="Arial" w:hAnsi="Arial" w:cs="Arial"/>
          <w:sz w:val="24"/>
          <w:szCs w:val="24"/>
        </w:rPr>
        <w:t>—</w:t>
      </w:r>
    </w:p>
    <w:p w14:paraId="002A610A" w14:textId="7C1C30DD" w:rsidR="003B0D1C" w:rsidRPr="00BF6156" w:rsidRDefault="003B0D1C" w:rsidP="00BF6156">
      <w:pPr>
        <w:pStyle w:val="ListParagraph"/>
        <w:numPr>
          <w:ilvl w:val="0"/>
          <w:numId w:val="24"/>
        </w:numPr>
        <w:spacing w:after="0" w:line="240" w:lineRule="auto"/>
        <w:ind w:left="720"/>
        <w:rPr>
          <w:rFonts w:ascii="Arial" w:hAnsi="Arial" w:cs="Arial"/>
          <w:sz w:val="24"/>
          <w:szCs w:val="24"/>
        </w:rPr>
      </w:pPr>
      <w:r w:rsidRPr="00BF6156">
        <w:rPr>
          <w:rFonts w:ascii="Arial" w:hAnsi="Arial" w:cs="Arial"/>
          <w:sz w:val="24"/>
          <w:szCs w:val="24"/>
        </w:rPr>
        <w:t>Whether to transfer funds and, if so, from which program(s) and into which program(s)</w:t>
      </w:r>
    </w:p>
    <w:p w14:paraId="11981280" w14:textId="120A793E" w:rsidR="000749BE" w:rsidRPr="00BF6156" w:rsidRDefault="000749BE" w:rsidP="00BF6156">
      <w:pPr>
        <w:pStyle w:val="ListParagraph"/>
        <w:numPr>
          <w:ilvl w:val="0"/>
          <w:numId w:val="24"/>
        </w:numPr>
        <w:spacing w:after="0" w:line="240" w:lineRule="auto"/>
        <w:ind w:left="720"/>
        <w:rPr>
          <w:rFonts w:ascii="Arial" w:hAnsi="Arial" w:cs="Arial"/>
          <w:sz w:val="24"/>
          <w:szCs w:val="24"/>
        </w:rPr>
      </w:pPr>
      <w:r w:rsidRPr="00BF6156">
        <w:rPr>
          <w:rFonts w:ascii="Arial" w:hAnsi="Arial" w:cs="Arial"/>
          <w:sz w:val="24"/>
          <w:szCs w:val="24"/>
        </w:rPr>
        <w:t>The amount of funds to transfer</w:t>
      </w:r>
    </w:p>
    <w:p w14:paraId="36B6F713" w14:textId="10A8EAE4" w:rsidR="000749BE" w:rsidRPr="00BF6156" w:rsidRDefault="000749BE" w:rsidP="00BF6156">
      <w:pPr>
        <w:pStyle w:val="ListParagraph"/>
        <w:numPr>
          <w:ilvl w:val="0"/>
          <w:numId w:val="24"/>
        </w:numPr>
        <w:spacing w:after="0" w:line="240" w:lineRule="auto"/>
        <w:ind w:left="720"/>
        <w:rPr>
          <w:rFonts w:ascii="Arial" w:hAnsi="Arial" w:cs="Arial"/>
          <w:sz w:val="24"/>
          <w:szCs w:val="24"/>
        </w:rPr>
      </w:pPr>
      <w:r w:rsidRPr="00BF6156">
        <w:rPr>
          <w:rFonts w:ascii="Arial" w:hAnsi="Arial" w:cs="Arial"/>
          <w:sz w:val="24"/>
          <w:szCs w:val="24"/>
        </w:rPr>
        <w:t>How a transfer of funds might affect eligibility—e.g., eligibility for equitable services under Title II, Part A is different from eligibility for equitable services under Title I, Part A</w:t>
      </w:r>
    </w:p>
    <w:p w14:paraId="1D1868C7" w14:textId="12416167" w:rsidR="00DF7956" w:rsidRPr="00BF6156" w:rsidRDefault="000749BE" w:rsidP="00A032F8">
      <w:pPr>
        <w:pStyle w:val="ListParagraph"/>
        <w:numPr>
          <w:ilvl w:val="0"/>
          <w:numId w:val="24"/>
        </w:numPr>
        <w:spacing w:after="240" w:line="240" w:lineRule="auto"/>
        <w:ind w:left="720"/>
        <w:rPr>
          <w:rFonts w:ascii="Arial" w:hAnsi="Arial" w:cs="Arial"/>
          <w:sz w:val="24"/>
          <w:szCs w:val="24"/>
        </w:rPr>
      </w:pPr>
      <w:r w:rsidRPr="00BF6156">
        <w:rPr>
          <w:rFonts w:ascii="Arial" w:hAnsi="Arial" w:cs="Arial"/>
          <w:sz w:val="24"/>
          <w:szCs w:val="24"/>
        </w:rPr>
        <w:t>What</w:t>
      </w:r>
      <w:r w:rsidR="00DF7956" w:rsidRPr="00BF6156">
        <w:rPr>
          <w:rFonts w:ascii="Arial" w:hAnsi="Arial" w:cs="Arial"/>
          <w:sz w:val="24"/>
          <w:szCs w:val="24"/>
        </w:rPr>
        <w:t xml:space="preserve"> </w:t>
      </w:r>
      <w:r w:rsidR="00B87FE3" w:rsidRPr="00BF6156">
        <w:rPr>
          <w:rFonts w:ascii="Arial" w:hAnsi="Arial" w:cs="Arial"/>
          <w:sz w:val="24"/>
          <w:szCs w:val="24"/>
        </w:rPr>
        <w:t xml:space="preserve">equitable services </w:t>
      </w:r>
      <w:r w:rsidRPr="00BF6156">
        <w:rPr>
          <w:rFonts w:ascii="Arial" w:hAnsi="Arial" w:cs="Arial"/>
          <w:sz w:val="24"/>
          <w:szCs w:val="24"/>
        </w:rPr>
        <w:t xml:space="preserve">to provide </w:t>
      </w:r>
      <w:r w:rsidR="00B87FE3" w:rsidRPr="00BF6156">
        <w:rPr>
          <w:rFonts w:ascii="Arial" w:hAnsi="Arial" w:cs="Arial"/>
          <w:sz w:val="24"/>
          <w:szCs w:val="24"/>
        </w:rPr>
        <w:t xml:space="preserve">commensurate with the </w:t>
      </w:r>
      <w:r w:rsidR="00DF7956" w:rsidRPr="00BF6156">
        <w:rPr>
          <w:rFonts w:ascii="Arial" w:hAnsi="Arial" w:cs="Arial"/>
          <w:sz w:val="24"/>
          <w:szCs w:val="24"/>
        </w:rPr>
        <w:t xml:space="preserve">proportionate share of funds </w:t>
      </w:r>
      <w:r w:rsidR="00B87FE3" w:rsidRPr="00BF6156">
        <w:rPr>
          <w:rFonts w:ascii="Arial" w:hAnsi="Arial" w:cs="Arial"/>
          <w:sz w:val="24"/>
          <w:szCs w:val="24"/>
        </w:rPr>
        <w:t xml:space="preserve">available </w:t>
      </w:r>
      <w:r w:rsidR="00DF7956" w:rsidRPr="00BF6156">
        <w:rPr>
          <w:rFonts w:ascii="Arial" w:hAnsi="Arial" w:cs="Arial"/>
          <w:sz w:val="24"/>
          <w:szCs w:val="24"/>
        </w:rPr>
        <w:t>to private school</w:t>
      </w:r>
      <w:r w:rsidR="00B87FE3" w:rsidRPr="00BF6156">
        <w:rPr>
          <w:rFonts w:ascii="Arial" w:hAnsi="Arial" w:cs="Arial"/>
          <w:sz w:val="24"/>
          <w:szCs w:val="24"/>
        </w:rPr>
        <w:t xml:space="preserve"> </w:t>
      </w:r>
      <w:r w:rsidR="00DF7956" w:rsidRPr="00BF6156">
        <w:rPr>
          <w:rFonts w:ascii="Arial" w:hAnsi="Arial" w:cs="Arial"/>
          <w:sz w:val="24"/>
          <w:szCs w:val="24"/>
        </w:rPr>
        <w:t>s</w:t>
      </w:r>
      <w:r w:rsidR="00B87FE3" w:rsidRPr="00BF6156">
        <w:rPr>
          <w:rFonts w:ascii="Arial" w:hAnsi="Arial" w:cs="Arial"/>
          <w:sz w:val="24"/>
          <w:szCs w:val="24"/>
        </w:rPr>
        <w:t>tudents, teachers, or other educational personnel</w:t>
      </w:r>
      <w:r w:rsidR="009D1605" w:rsidRPr="00BF6156">
        <w:rPr>
          <w:rFonts w:ascii="Arial" w:hAnsi="Arial" w:cs="Arial"/>
          <w:sz w:val="24"/>
          <w:szCs w:val="24"/>
        </w:rPr>
        <w:t xml:space="preserve"> after the transfer has occurred</w:t>
      </w:r>
    </w:p>
    <w:p w14:paraId="18AAF711" w14:textId="269D7E2E" w:rsidR="00DF7956" w:rsidRPr="00BF6156" w:rsidRDefault="00DF7956" w:rsidP="00A032F8">
      <w:pPr>
        <w:spacing w:after="240" w:line="240" w:lineRule="auto"/>
        <w:rPr>
          <w:rFonts w:ascii="Arial" w:hAnsi="Arial" w:cs="Arial"/>
          <w:sz w:val="24"/>
          <w:szCs w:val="24"/>
        </w:rPr>
      </w:pPr>
      <w:r w:rsidRPr="00BF6156">
        <w:rPr>
          <w:rFonts w:ascii="Arial" w:hAnsi="Arial" w:cs="Arial"/>
          <w:sz w:val="24"/>
          <w:szCs w:val="24"/>
        </w:rPr>
        <w:t xml:space="preserve">Each LEA that transfers funds shall modify </w:t>
      </w:r>
      <w:r w:rsidR="00762D68" w:rsidRPr="00BF6156">
        <w:rPr>
          <w:rFonts w:ascii="Arial" w:hAnsi="Arial" w:cs="Arial"/>
          <w:sz w:val="24"/>
          <w:szCs w:val="24"/>
        </w:rPr>
        <w:t>its</w:t>
      </w:r>
      <w:r w:rsidRPr="00BF6156">
        <w:rPr>
          <w:rFonts w:ascii="Arial" w:hAnsi="Arial" w:cs="Arial"/>
          <w:sz w:val="24"/>
          <w:szCs w:val="24"/>
        </w:rPr>
        <w:t xml:space="preserve"> local plan or application to </w:t>
      </w:r>
      <w:r w:rsidR="00762D68" w:rsidRPr="00BF6156">
        <w:rPr>
          <w:rFonts w:ascii="Arial" w:hAnsi="Arial" w:cs="Arial"/>
          <w:sz w:val="24"/>
          <w:szCs w:val="24"/>
        </w:rPr>
        <w:t xml:space="preserve">which those funds relate </w:t>
      </w:r>
      <w:r w:rsidRPr="00BF6156">
        <w:rPr>
          <w:rFonts w:ascii="Arial" w:hAnsi="Arial" w:cs="Arial"/>
          <w:sz w:val="24"/>
          <w:szCs w:val="24"/>
        </w:rPr>
        <w:t xml:space="preserve">to account for such transfer. The LEA shall submit a copy of such modified plan or application to the State no later than 30 days </w:t>
      </w:r>
      <w:r w:rsidR="00762D68" w:rsidRPr="00BF6156">
        <w:rPr>
          <w:rFonts w:ascii="Arial" w:hAnsi="Arial" w:cs="Arial"/>
          <w:sz w:val="24"/>
          <w:szCs w:val="24"/>
        </w:rPr>
        <w:t>a</w:t>
      </w:r>
      <w:r w:rsidR="009E4551">
        <w:rPr>
          <w:rFonts w:ascii="Arial" w:hAnsi="Arial" w:cs="Arial"/>
          <w:sz w:val="24"/>
          <w:szCs w:val="24"/>
        </w:rPr>
        <w:t xml:space="preserve">fter the date of the transfer. </w:t>
      </w:r>
      <w:r w:rsidR="00762D68" w:rsidRPr="00BF6156">
        <w:rPr>
          <w:rFonts w:ascii="Arial" w:hAnsi="Arial" w:cs="Arial"/>
          <w:sz w:val="24"/>
          <w:szCs w:val="24"/>
        </w:rPr>
        <w:t xml:space="preserve">Not later than 30 days </w:t>
      </w:r>
      <w:r w:rsidRPr="00BF6156">
        <w:rPr>
          <w:rFonts w:ascii="Arial" w:hAnsi="Arial" w:cs="Arial"/>
          <w:sz w:val="24"/>
          <w:szCs w:val="24"/>
        </w:rPr>
        <w:t>before the effective date of such transfer</w:t>
      </w:r>
      <w:r w:rsidR="00762D68" w:rsidRPr="00BF6156">
        <w:rPr>
          <w:rFonts w:ascii="Arial" w:hAnsi="Arial" w:cs="Arial"/>
          <w:sz w:val="24"/>
          <w:szCs w:val="24"/>
        </w:rPr>
        <w:t>, the LEA must</w:t>
      </w:r>
      <w:r w:rsidRPr="00BF6156">
        <w:rPr>
          <w:rFonts w:ascii="Arial" w:hAnsi="Arial" w:cs="Arial"/>
          <w:sz w:val="24"/>
          <w:szCs w:val="24"/>
        </w:rPr>
        <w:t xml:space="preserve"> notify the State of such transfer (ES</w:t>
      </w:r>
      <w:r w:rsidR="00587DA2" w:rsidRPr="00BF6156">
        <w:rPr>
          <w:rFonts w:ascii="Arial" w:hAnsi="Arial" w:cs="Arial"/>
          <w:sz w:val="24"/>
          <w:szCs w:val="24"/>
        </w:rPr>
        <w:t>E</w:t>
      </w:r>
      <w:r w:rsidRPr="00BF6156">
        <w:rPr>
          <w:rFonts w:ascii="Arial" w:hAnsi="Arial" w:cs="Arial"/>
          <w:sz w:val="24"/>
          <w:szCs w:val="24"/>
        </w:rPr>
        <w:t>A Section 5103</w:t>
      </w:r>
      <w:r w:rsidR="00FD2B92">
        <w:rPr>
          <w:rFonts w:ascii="Arial" w:hAnsi="Arial" w:cs="Arial"/>
          <w:sz w:val="24"/>
          <w:szCs w:val="24"/>
        </w:rPr>
        <w:t>[</w:t>
      </w:r>
      <w:r w:rsidRPr="00BF6156">
        <w:rPr>
          <w:rFonts w:ascii="Arial" w:hAnsi="Arial" w:cs="Arial"/>
          <w:sz w:val="24"/>
          <w:szCs w:val="24"/>
        </w:rPr>
        <w:t>d</w:t>
      </w:r>
      <w:r w:rsidR="00FD2B92">
        <w:rPr>
          <w:rFonts w:ascii="Arial" w:hAnsi="Arial" w:cs="Arial"/>
          <w:sz w:val="24"/>
          <w:szCs w:val="24"/>
        </w:rPr>
        <w:t>]</w:t>
      </w:r>
      <w:r w:rsidR="005D4817" w:rsidRPr="00BF6156">
        <w:rPr>
          <w:rFonts w:ascii="Arial" w:hAnsi="Arial" w:cs="Arial"/>
          <w:sz w:val="24"/>
          <w:szCs w:val="24"/>
        </w:rPr>
        <w:t>)</w:t>
      </w:r>
      <w:r w:rsidRPr="00BF6156">
        <w:rPr>
          <w:rFonts w:ascii="Arial" w:hAnsi="Arial" w:cs="Arial"/>
          <w:sz w:val="24"/>
          <w:szCs w:val="24"/>
        </w:rPr>
        <w:t>.</w:t>
      </w:r>
    </w:p>
    <w:p w14:paraId="5F5907E1" w14:textId="5D03C5C4" w:rsidR="00496DC3" w:rsidRPr="007A2742" w:rsidRDefault="00496DC3" w:rsidP="00E33FA9">
      <w:pPr>
        <w:pStyle w:val="Heading3"/>
        <w:spacing w:after="240"/>
      </w:pPr>
      <w:r w:rsidRPr="007A2742">
        <w:rPr>
          <w:rStyle w:val="Heading2Char"/>
          <w:b/>
        </w:rPr>
        <w:t>Frequently Asked Questions</w:t>
      </w:r>
      <w:r w:rsidR="00DF7956" w:rsidRPr="007A2742">
        <w:rPr>
          <w:rStyle w:val="Heading2Char"/>
          <w:b/>
        </w:rPr>
        <w:t xml:space="preserve"> </w:t>
      </w:r>
      <w:r w:rsidR="00AC3462" w:rsidRPr="007A2742">
        <w:rPr>
          <w:rStyle w:val="Heading2Char"/>
          <w:b/>
        </w:rPr>
        <w:t>in the U.S. Department of Education’s Non-Regulatory Guidance</w:t>
      </w:r>
      <w:r w:rsidR="00AC3462" w:rsidRPr="007A2742">
        <w:t>: Fiscal Changes and Equitable Services Requirements under ESEA, as amended by the ESSA (dated November 21, 2016):</w:t>
      </w:r>
    </w:p>
    <w:p w14:paraId="379A508F" w14:textId="77777777" w:rsidR="007A2742" w:rsidRDefault="005B2374" w:rsidP="00B41F3D">
      <w:pPr>
        <w:pStyle w:val="ListParagraph"/>
        <w:numPr>
          <w:ilvl w:val="0"/>
          <w:numId w:val="25"/>
        </w:numPr>
        <w:spacing w:after="240" w:line="240" w:lineRule="auto"/>
        <w:rPr>
          <w:rFonts w:ascii="Arial" w:hAnsi="Arial" w:cs="Arial"/>
          <w:sz w:val="24"/>
          <w:szCs w:val="24"/>
        </w:rPr>
      </w:pPr>
      <w:r w:rsidRPr="007A2742">
        <w:rPr>
          <w:rFonts w:ascii="Arial" w:hAnsi="Arial" w:cs="Arial"/>
          <w:sz w:val="24"/>
          <w:szCs w:val="24"/>
        </w:rPr>
        <w:t>Is there a limit on the amount of funds an LEA may transfer?</w:t>
      </w:r>
    </w:p>
    <w:p w14:paraId="6AB37DD3" w14:textId="6F9B65B9" w:rsidR="005B2374" w:rsidRPr="007A2742" w:rsidRDefault="005B2374" w:rsidP="007A2742">
      <w:pPr>
        <w:spacing w:after="240" w:line="240" w:lineRule="auto"/>
        <w:ind w:left="720"/>
        <w:rPr>
          <w:rFonts w:ascii="Arial" w:hAnsi="Arial" w:cs="Arial"/>
          <w:sz w:val="24"/>
          <w:szCs w:val="24"/>
        </w:rPr>
      </w:pPr>
      <w:r w:rsidRPr="007A2742">
        <w:rPr>
          <w:rFonts w:ascii="Arial" w:hAnsi="Arial" w:cs="Arial"/>
          <w:sz w:val="24"/>
          <w:szCs w:val="24"/>
        </w:rPr>
        <w:t>No. An LEA may transfer all or a portion of funds it receives under each of the programs listed under T-1 above.</w:t>
      </w:r>
    </w:p>
    <w:p w14:paraId="254142ED" w14:textId="45E5F46C" w:rsidR="005B2374" w:rsidRPr="007A2742" w:rsidRDefault="005B2374" w:rsidP="007A2742">
      <w:pPr>
        <w:pStyle w:val="ListParagraph"/>
        <w:numPr>
          <w:ilvl w:val="0"/>
          <w:numId w:val="25"/>
        </w:numPr>
        <w:spacing w:after="240" w:line="240" w:lineRule="auto"/>
        <w:rPr>
          <w:rFonts w:ascii="Arial" w:hAnsi="Arial" w:cs="Arial"/>
          <w:sz w:val="24"/>
          <w:szCs w:val="24"/>
        </w:rPr>
      </w:pPr>
      <w:r w:rsidRPr="007A2742">
        <w:rPr>
          <w:rFonts w:ascii="Arial" w:hAnsi="Arial" w:cs="Arial"/>
          <w:sz w:val="24"/>
          <w:szCs w:val="24"/>
        </w:rPr>
        <w:t>What are the responsibilities of a</w:t>
      </w:r>
      <w:r w:rsidR="00FD2B92" w:rsidRPr="007A2742">
        <w:rPr>
          <w:rFonts w:ascii="Arial" w:hAnsi="Arial" w:cs="Arial"/>
          <w:sz w:val="24"/>
          <w:szCs w:val="24"/>
        </w:rPr>
        <w:t xml:space="preserve"> state educational agency</w:t>
      </w:r>
      <w:r w:rsidRPr="007A2742">
        <w:rPr>
          <w:rFonts w:ascii="Arial" w:hAnsi="Arial" w:cs="Arial"/>
          <w:sz w:val="24"/>
          <w:szCs w:val="24"/>
        </w:rPr>
        <w:t xml:space="preserve"> </w:t>
      </w:r>
      <w:r w:rsidR="00FD2B92" w:rsidRPr="007A2742">
        <w:rPr>
          <w:rFonts w:ascii="Arial" w:hAnsi="Arial" w:cs="Arial"/>
          <w:sz w:val="24"/>
          <w:szCs w:val="24"/>
        </w:rPr>
        <w:t>(</w:t>
      </w:r>
      <w:r w:rsidRPr="007A2742">
        <w:rPr>
          <w:rFonts w:ascii="Arial" w:hAnsi="Arial" w:cs="Arial"/>
          <w:sz w:val="24"/>
          <w:szCs w:val="24"/>
        </w:rPr>
        <w:t>SEA</w:t>
      </w:r>
      <w:r w:rsidR="00FD2B92" w:rsidRPr="007A2742">
        <w:rPr>
          <w:rFonts w:ascii="Arial" w:hAnsi="Arial" w:cs="Arial"/>
          <w:sz w:val="24"/>
          <w:szCs w:val="24"/>
        </w:rPr>
        <w:t>)</w:t>
      </w:r>
      <w:r w:rsidRPr="007A2742">
        <w:rPr>
          <w:rFonts w:ascii="Arial" w:hAnsi="Arial" w:cs="Arial"/>
          <w:sz w:val="24"/>
          <w:szCs w:val="24"/>
        </w:rPr>
        <w:t xml:space="preserve"> or LEA for the provision of equitable services to private school children and teachers with respect to funds being transferred?</w:t>
      </w:r>
    </w:p>
    <w:p w14:paraId="50CA7170" w14:textId="0373B895" w:rsidR="005B2374" w:rsidRPr="00BF6156" w:rsidRDefault="005B2374" w:rsidP="007A2742">
      <w:pPr>
        <w:spacing w:before="240" w:after="240" w:line="240" w:lineRule="auto"/>
        <w:ind w:left="720"/>
        <w:rPr>
          <w:rFonts w:ascii="Arial" w:hAnsi="Arial" w:cs="Arial"/>
          <w:sz w:val="24"/>
          <w:szCs w:val="24"/>
        </w:rPr>
      </w:pPr>
      <w:r w:rsidRPr="00BF6156">
        <w:rPr>
          <w:rFonts w:ascii="Arial" w:hAnsi="Arial" w:cs="Arial"/>
          <w:sz w:val="24"/>
          <w:szCs w:val="24"/>
        </w:rPr>
        <w:t xml:space="preserve">Excluding Title I, Part D and Title V, Part B, each program covered by the transferability authority is subject to the equitable services requirements under Title I </w:t>
      </w:r>
      <w:r w:rsidRPr="00BF6156">
        <w:rPr>
          <w:rFonts w:ascii="Arial" w:hAnsi="Arial" w:cs="Arial"/>
          <w:sz w:val="24"/>
          <w:szCs w:val="24"/>
        </w:rPr>
        <w:lastRenderedPageBreak/>
        <w:t>or VIII, which may not be waived (ES</w:t>
      </w:r>
      <w:r w:rsidR="00587DA2" w:rsidRPr="00BF6156">
        <w:rPr>
          <w:rFonts w:ascii="Arial" w:hAnsi="Arial" w:cs="Arial"/>
          <w:sz w:val="24"/>
          <w:szCs w:val="24"/>
        </w:rPr>
        <w:t>E</w:t>
      </w:r>
      <w:r w:rsidR="00496DC3" w:rsidRPr="00BF6156">
        <w:rPr>
          <w:rFonts w:ascii="Arial" w:hAnsi="Arial" w:cs="Arial"/>
          <w:sz w:val="24"/>
          <w:szCs w:val="24"/>
        </w:rPr>
        <w:t>A</w:t>
      </w:r>
      <w:r w:rsidRPr="00BF6156">
        <w:rPr>
          <w:rFonts w:ascii="Arial" w:hAnsi="Arial" w:cs="Arial"/>
          <w:sz w:val="24"/>
          <w:szCs w:val="24"/>
        </w:rPr>
        <w:t xml:space="preserve"> </w:t>
      </w:r>
      <w:r w:rsidR="00496DC3" w:rsidRPr="00BF6156">
        <w:rPr>
          <w:rFonts w:ascii="Arial" w:hAnsi="Arial" w:cs="Arial"/>
          <w:sz w:val="24"/>
          <w:szCs w:val="24"/>
        </w:rPr>
        <w:t>S</w:t>
      </w:r>
      <w:r w:rsidRPr="00BF6156">
        <w:rPr>
          <w:rFonts w:ascii="Arial" w:hAnsi="Arial" w:cs="Arial"/>
          <w:sz w:val="24"/>
          <w:szCs w:val="24"/>
        </w:rPr>
        <w:t>ection 8401</w:t>
      </w:r>
      <w:r w:rsidR="00FD2B92">
        <w:rPr>
          <w:rFonts w:ascii="Arial" w:hAnsi="Arial" w:cs="Arial"/>
          <w:sz w:val="24"/>
          <w:szCs w:val="24"/>
        </w:rPr>
        <w:t>[</w:t>
      </w:r>
      <w:r w:rsidRPr="00BF6156">
        <w:rPr>
          <w:rFonts w:ascii="Arial" w:hAnsi="Arial" w:cs="Arial"/>
          <w:sz w:val="24"/>
          <w:szCs w:val="24"/>
        </w:rPr>
        <w:t>c</w:t>
      </w:r>
      <w:r w:rsidR="00FD2B92">
        <w:rPr>
          <w:rFonts w:ascii="Arial" w:hAnsi="Arial" w:cs="Arial"/>
          <w:sz w:val="24"/>
          <w:szCs w:val="24"/>
        </w:rPr>
        <w:t>][</w:t>
      </w:r>
      <w:r w:rsidRPr="00BF6156">
        <w:rPr>
          <w:rFonts w:ascii="Arial" w:hAnsi="Arial" w:cs="Arial"/>
          <w:sz w:val="24"/>
          <w:szCs w:val="24"/>
        </w:rPr>
        <w:t>5</w:t>
      </w:r>
      <w:r w:rsidR="00FD2B92">
        <w:rPr>
          <w:rFonts w:ascii="Arial" w:hAnsi="Arial" w:cs="Arial"/>
          <w:sz w:val="24"/>
          <w:szCs w:val="24"/>
        </w:rPr>
        <w:t>]</w:t>
      </w:r>
      <w:r w:rsidRPr="00BF6156">
        <w:rPr>
          <w:rFonts w:ascii="Arial" w:hAnsi="Arial" w:cs="Arial"/>
          <w:sz w:val="24"/>
          <w:szCs w:val="24"/>
        </w:rPr>
        <w:t>)</w:t>
      </w:r>
      <w:r w:rsidR="00496DC3" w:rsidRPr="00BF6156">
        <w:rPr>
          <w:rFonts w:ascii="Arial" w:hAnsi="Arial" w:cs="Arial"/>
          <w:sz w:val="24"/>
          <w:szCs w:val="24"/>
        </w:rPr>
        <w:t>.</w:t>
      </w:r>
      <w:r w:rsidRPr="00BF6156">
        <w:rPr>
          <w:rFonts w:ascii="Arial" w:hAnsi="Arial" w:cs="Arial"/>
          <w:sz w:val="24"/>
          <w:szCs w:val="24"/>
        </w:rPr>
        <w:t xml:space="preserve"> Before an SEA or LEA may transfer funds from a program subject to equitable services requirements, it must engage in timely and meaningful consultation with appropriate private school officials (ES</w:t>
      </w:r>
      <w:r w:rsidR="00587DA2" w:rsidRPr="00BF6156">
        <w:rPr>
          <w:rFonts w:ascii="Arial" w:hAnsi="Arial" w:cs="Arial"/>
          <w:sz w:val="24"/>
          <w:szCs w:val="24"/>
        </w:rPr>
        <w:t>E</w:t>
      </w:r>
      <w:r w:rsidR="00496DC3" w:rsidRPr="00BF6156">
        <w:rPr>
          <w:rFonts w:ascii="Arial" w:hAnsi="Arial" w:cs="Arial"/>
          <w:sz w:val="24"/>
          <w:szCs w:val="24"/>
        </w:rPr>
        <w:t>A</w:t>
      </w:r>
      <w:r w:rsidRPr="00BF6156">
        <w:rPr>
          <w:rFonts w:ascii="Arial" w:hAnsi="Arial" w:cs="Arial"/>
          <w:sz w:val="24"/>
          <w:szCs w:val="24"/>
        </w:rPr>
        <w:t xml:space="preserve"> </w:t>
      </w:r>
      <w:r w:rsidR="00496DC3" w:rsidRPr="00BF6156">
        <w:rPr>
          <w:rFonts w:ascii="Arial" w:hAnsi="Arial" w:cs="Arial"/>
          <w:sz w:val="24"/>
          <w:szCs w:val="24"/>
        </w:rPr>
        <w:t>S</w:t>
      </w:r>
      <w:r w:rsidRPr="00BF6156">
        <w:rPr>
          <w:rFonts w:ascii="Arial" w:hAnsi="Arial" w:cs="Arial"/>
          <w:sz w:val="24"/>
          <w:szCs w:val="24"/>
        </w:rPr>
        <w:t>ection 5103</w:t>
      </w:r>
      <w:r w:rsidR="00FD2B92">
        <w:rPr>
          <w:rFonts w:ascii="Arial" w:hAnsi="Arial" w:cs="Arial"/>
          <w:sz w:val="24"/>
          <w:szCs w:val="24"/>
        </w:rPr>
        <w:t>[</w:t>
      </w:r>
      <w:r w:rsidRPr="00BF6156">
        <w:rPr>
          <w:rFonts w:ascii="Arial" w:hAnsi="Arial" w:cs="Arial"/>
          <w:sz w:val="24"/>
          <w:szCs w:val="24"/>
        </w:rPr>
        <w:t>e</w:t>
      </w:r>
      <w:r w:rsidR="00FD2B92">
        <w:rPr>
          <w:rFonts w:ascii="Arial" w:hAnsi="Arial" w:cs="Arial"/>
          <w:sz w:val="24"/>
          <w:szCs w:val="24"/>
        </w:rPr>
        <w:t>][</w:t>
      </w:r>
      <w:r w:rsidRPr="00BF6156">
        <w:rPr>
          <w:rFonts w:ascii="Arial" w:hAnsi="Arial" w:cs="Arial"/>
          <w:sz w:val="24"/>
          <w:szCs w:val="24"/>
        </w:rPr>
        <w:t>2</w:t>
      </w:r>
      <w:r w:rsidR="00FD2B92">
        <w:rPr>
          <w:rFonts w:ascii="Arial" w:hAnsi="Arial" w:cs="Arial"/>
          <w:sz w:val="24"/>
          <w:szCs w:val="24"/>
        </w:rPr>
        <w:t>]</w:t>
      </w:r>
      <w:r w:rsidRPr="00BF6156">
        <w:rPr>
          <w:rFonts w:ascii="Arial" w:hAnsi="Arial" w:cs="Arial"/>
          <w:sz w:val="24"/>
          <w:szCs w:val="24"/>
        </w:rPr>
        <w:t>)</w:t>
      </w:r>
      <w:r w:rsidR="00496DC3" w:rsidRPr="00BF6156">
        <w:rPr>
          <w:rFonts w:ascii="Arial" w:hAnsi="Arial" w:cs="Arial"/>
          <w:sz w:val="24"/>
          <w:szCs w:val="24"/>
        </w:rPr>
        <w:t>.</w:t>
      </w:r>
      <w:r w:rsidRPr="00BF6156">
        <w:rPr>
          <w:rFonts w:ascii="Arial" w:hAnsi="Arial" w:cs="Arial"/>
          <w:sz w:val="24"/>
          <w:szCs w:val="24"/>
        </w:rPr>
        <w:t xml:space="preserve"> With respect to the transferred funds, the</w:t>
      </w:r>
      <w:r w:rsidR="00FD2B92">
        <w:rPr>
          <w:rFonts w:ascii="Arial" w:hAnsi="Arial" w:cs="Arial"/>
          <w:sz w:val="24"/>
          <w:szCs w:val="24"/>
        </w:rPr>
        <w:t xml:space="preserve"> SEA</w:t>
      </w:r>
      <w:r w:rsidRPr="00BF6156">
        <w:rPr>
          <w:rFonts w:ascii="Arial" w:hAnsi="Arial" w:cs="Arial"/>
          <w:sz w:val="24"/>
          <w:szCs w:val="24"/>
        </w:rPr>
        <w:t xml:space="preserve"> or LEA must provide private school students and teachers equitable services under the program(s) to which, and from which, the funds are transferred, based on the total amount of funds available to each program after the transfer.</w:t>
      </w:r>
    </w:p>
    <w:p w14:paraId="0ECC3A28" w14:textId="0F7A7DBD" w:rsidR="005B2374" w:rsidRPr="007A2742" w:rsidRDefault="005B2374" w:rsidP="007A2742">
      <w:pPr>
        <w:pStyle w:val="ListParagraph"/>
        <w:numPr>
          <w:ilvl w:val="0"/>
          <w:numId w:val="25"/>
        </w:numPr>
        <w:spacing w:after="240" w:line="240" w:lineRule="auto"/>
        <w:rPr>
          <w:rFonts w:ascii="Arial" w:hAnsi="Arial" w:cs="Arial"/>
          <w:sz w:val="24"/>
          <w:szCs w:val="24"/>
        </w:rPr>
      </w:pPr>
      <w:r w:rsidRPr="007A2742">
        <w:rPr>
          <w:rFonts w:ascii="Arial" w:hAnsi="Arial" w:cs="Arial"/>
          <w:sz w:val="24"/>
          <w:szCs w:val="24"/>
        </w:rPr>
        <w:t>May an SEA or LEA transfer only those funds that are to be used for equitable services to private school students or teachers?</w:t>
      </w:r>
    </w:p>
    <w:p w14:paraId="648EA575" w14:textId="111A97C0" w:rsidR="005B2374" w:rsidRPr="00BF6156" w:rsidRDefault="005B2374" w:rsidP="007A2742">
      <w:pPr>
        <w:spacing w:after="480" w:line="240" w:lineRule="auto"/>
        <w:ind w:left="720"/>
        <w:rPr>
          <w:rFonts w:ascii="Arial" w:hAnsi="Arial" w:cs="Arial"/>
          <w:sz w:val="24"/>
          <w:szCs w:val="24"/>
        </w:rPr>
      </w:pPr>
      <w:r w:rsidRPr="00BF6156">
        <w:rPr>
          <w:rFonts w:ascii="Arial" w:hAnsi="Arial" w:cs="Arial"/>
          <w:sz w:val="24"/>
          <w:szCs w:val="24"/>
        </w:rPr>
        <w:t>No. An SEA or LEA may not transfer funds to a particular program solely to provide equitable services for private school students or teachers. Rather, an SEA or LEA, after consulting with appropriate private school officials, must provide equitable services to private school students and teachers based on the rules of each program and the total amount of funds available to each program after a transfer (See ES</w:t>
      </w:r>
      <w:r w:rsidR="00587DA2" w:rsidRPr="00BF6156">
        <w:rPr>
          <w:rFonts w:ascii="Arial" w:hAnsi="Arial" w:cs="Arial"/>
          <w:sz w:val="24"/>
          <w:szCs w:val="24"/>
        </w:rPr>
        <w:t>E</w:t>
      </w:r>
      <w:r w:rsidR="00496DC3" w:rsidRPr="00BF6156">
        <w:rPr>
          <w:rFonts w:ascii="Arial" w:hAnsi="Arial" w:cs="Arial"/>
          <w:sz w:val="24"/>
          <w:szCs w:val="24"/>
        </w:rPr>
        <w:t>A</w:t>
      </w:r>
      <w:r w:rsidRPr="00BF6156">
        <w:rPr>
          <w:rFonts w:ascii="Arial" w:hAnsi="Arial" w:cs="Arial"/>
          <w:sz w:val="24"/>
          <w:szCs w:val="24"/>
        </w:rPr>
        <w:t xml:space="preserve"> </w:t>
      </w:r>
      <w:r w:rsidR="00496DC3" w:rsidRPr="00BF6156">
        <w:rPr>
          <w:rFonts w:ascii="Arial" w:hAnsi="Arial" w:cs="Arial"/>
          <w:sz w:val="24"/>
          <w:szCs w:val="24"/>
        </w:rPr>
        <w:t>S</w:t>
      </w:r>
      <w:r w:rsidRPr="00BF6156">
        <w:rPr>
          <w:rFonts w:ascii="Arial" w:hAnsi="Arial" w:cs="Arial"/>
          <w:sz w:val="24"/>
          <w:szCs w:val="24"/>
        </w:rPr>
        <w:t>ection 5103</w:t>
      </w:r>
      <w:r w:rsidR="00FD2B92">
        <w:rPr>
          <w:rFonts w:ascii="Arial" w:hAnsi="Arial" w:cs="Arial"/>
          <w:sz w:val="24"/>
          <w:szCs w:val="24"/>
        </w:rPr>
        <w:t>[</w:t>
      </w:r>
      <w:r w:rsidRPr="00BF6156">
        <w:rPr>
          <w:rFonts w:ascii="Arial" w:hAnsi="Arial" w:cs="Arial"/>
          <w:sz w:val="24"/>
          <w:szCs w:val="24"/>
        </w:rPr>
        <w:t>e</w:t>
      </w:r>
      <w:r w:rsidR="00FD2B92">
        <w:rPr>
          <w:rFonts w:ascii="Arial" w:hAnsi="Arial" w:cs="Arial"/>
          <w:sz w:val="24"/>
          <w:szCs w:val="24"/>
        </w:rPr>
        <w:t>]</w:t>
      </w:r>
      <w:r w:rsidRPr="00BF6156">
        <w:rPr>
          <w:rFonts w:ascii="Arial" w:hAnsi="Arial" w:cs="Arial"/>
          <w:sz w:val="24"/>
          <w:szCs w:val="24"/>
        </w:rPr>
        <w:t>)</w:t>
      </w:r>
      <w:r w:rsidR="00496DC3" w:rsidRPr="00BF6156">
        <w:rPr>
          <w:rFonts w:ascii="Arial" w:hAnsi="Arial" w:cs="Arial"/>
          <w:sz w:val="24"/>
          <w:szCs w:val="24"/>
        </w:rPr>
        <w:t>.</w:t>
      </w:r>
    </w:p>
    <w:p w14:paraId="04D87488" w14:textId="0DC543A5" w:rsidR="007C1464" w:rsidRPr="00BF6156" w:rsidRDefault="007C1464" w:rsidP="001553CC">
      <w:pPr>
        <w:pStyle w:val="Heading2"/>
        <w:spacing w:before="0" w:after="240"/>
      </w:pPr>
      <w:r w:rsidRPr="00BF6156">
        <w:t xml:space="preserve">II. </w:t>
      </w:r>
      <w:r w:rsidR="00DF7956" w:rsidRPr="00BF6156">
        <w:t>Calculating Proportiona</w:t>
      </w:r>
      <w:r w:rsidR="00E33FA9">
        <w:t>l</w:t>
      </w:r>
      <w:r w:rsidR="00DF7956" w:rsidRPr="00BF6156">
        <w:t xml:space="preserve"> Share</w:t>
      </w:r>
      <w:r w:rsidRPr="00BF6156">
        <w:t xml:space="preserve"> After Transfer</w:t>
      </w:r>
    </w:p>
    <w:p w14:paraId="08BED0E3" w14:textId="1FAA2BF0" w:rsidR="005B2374" w:rsidRPr="00231666" w:rsidRDefault="005B2374" w:rsidP="00A032F8">
      <w:pPr>
        <w:spacing w:after="240" w:line="240" w:lineRule="auto"/>
        <w:rPr>
          <w:rFonts w:ascii="Arial" w:hAnsi="Arial" w:cs="Arial"/>
          <w:sz w:val="24"/>
          <w:szCs w:val="24"/>
        </w:rPr>
      </w:pPr>
      <w:r w:rsidRPr="00231666">
        <w:rPr>
          <w:rFonts w:ascii="Arial" w:hAnsi="Arial" w:cs="Arial"/>
          <w:sz w:val="24"/>
          <w:szCs w:val="24"/>
        </w:rPr>
        <w:t>Next steps after transfer of federal funds and in accordance with the U.S. Department of Education’s Ombudsman Update (Published Quarterly by the Office of Non-Public Education) dated January 30, 2018:</w:t>
      </w:r>
    </w:p>
    <w:p w14:paraId="57923BC6" w14:textId="777EF585" w:rsidR="005B2374" w:rsidRPr="00BF6156" w:rsidRDefault="005B2374" w:rsidP="00A032F8">
      <w:pPr>
        <w:spacing w:after="240" w:line="240" w:lineRule="auto"/>
        <w:rPr>
          <w:rFonts w:ascii="Arial" w:hAnsi="Arial" w:cs="Arial"/>
          <w:sz w:val="24"/>
          <w:szCs w:val="24"/>
        </w:rPr>
      </w:pPr>
      <w:r w:rsidRPr="00BF6156">
        <w:rPr>
          <w:rFonts w:ascii="Arial" w:hAnsi="Arial" w:cs="Arial"/>
          <w:sz w:val="24"/>
          <w:szCs w:val="24"/>
        </w:rPr>
        <w:t xml:space="preserve">LEAs must calculate equitable service shares based on the total amount of funds available under a program after a transfer. Just as an LEA may not transfer funds to a particular program solely to provide equitable services, it may not retain </w:t>
      </w:r>
      <w:r w:rsidR="009E4551">
        <w:rPr>
          <w:rFonts w:ascii="Arial" w:hAnsi="Arial" w:cs="Arial"/>
          <w:sz w:val="24"/>
          <w:szCs w:val="24"/>
        </w:rPr>
        <w:t xml:space="preserve">funds solely for this purpose. </w:t>
      </w:r>
      <w:r w:rsidRPr="00BF6156">
        <w:rPr>
          <w:rFonts w:ascii="Arial" w:hAnsi="Arial" w:cs="Arial"/>
          <w:sz w:val="24"/>
          <w:szCs w:val="24"/>
        </w:rPr>
        <w:t xml:space="preserve">Thus, </w:t>
      </w:r>
      <w:r w:rsidR="00741FF3" w:rsidRPr="00BF6156">
        <w:rPr>
          <w:rFonts w:ascii="Arial" w:hAnsi="Arial" w:cs="Arial"/>
          <w:sz w:val="24"/>
          <w:szCs w:val="24"/>
        </w:rPr>
        <w:t>for example</w:t>
      </w:r>
      <w:r w:rsidRPr="00BF6156">
        <w:rPr>
          <w:rFonts w:ascii="Arial" w:hAnsi="Arial" w:cs="Arial"/>
          <w:sz w:val="24"/>
          <w:szCs w:val="24"/>
        </w:rPr>
        <w:t>, if an LEA chooses to transfer 100 percent of its Title II</w:t>
      </w:r>
      <w:r w:rsidR="00741FF3" w:rsidRPr="00BF6156">
        <w:rPr>
          <w:rFonts w:ascii="Arial" w:hAnsi="Arial" w:cs="Arial"/>
          <w:sz w:val="24"/>
          <w:szCs w:val="24"/>
        </w:rPr>
        <w:t>,</w:t>
      </w:r>
      <w:r w:rsidRPr="00BF6156">
        <w:rPr>
          <w:rFonts w:ascii="Arial" w:hAnsi="Arial" w:cs="Arial"/>
          <w:sz w:val="24"/>
          <w:szCs w:val="24"/>
        </w:rPr>
        <w:t xml:space="preserve"> Part A or Title IV</w:t>
      </w:r>
      <w:r w:rsidR="00741FF3" w:rsidRPr="00BF6156">
        <w:rPr>
          <w:rFonts w:ascii="Arial" w:hAnsi="Arial" w:cs="Arial"/>
          <w:sz w:val="24"/>
          <w:szCs w:val="24"/>
        </w:rPr>
        <w:t>,</w:t>
      </w:r>
      <w:r w:rsidRPr="00BF6156">
        <w:rPr>
          <w:rFonts w:ascii="Arial" w:hAnsi="Arial" w:cs="Arial"/>
          <w:sz w:val="24"/>
          <w:szCs w:val="24"/>
        </w:rPr>
        <w:t xml:space="preserve"> Part A funds to Title I</w:t>
      </w:r>
      <w:r w:rsidR="00741FF3" w:rsidRPr="00BF6156">
        <w:rPr>
          <w:rFonts w:ascii="Arial" w:hAnsi="Arial" w:cs="Arial"/>
          <w:sz w:val="24"/>
          <w:szCs w:val="24"/>
        </w:rPr>
        <w:t>,</w:t>
      </w:r>
      <w:r w:rsidRPr="00BF6156">
        <w:rPr>
          <w:rFonts w:ascii="Arial" w:hAnsi="Arial" w:cs="Arial"/>
          <w:sz w:val="24"/>
          <w:szCs w:val="24"/>
        </w:rPr>
        <w:t xml:space="preserve"> Part A, it may not provide equitable services under Title II</w:t>
      </w:r>
      <w:r w:rsidR="00741FF3" w:rsidRPr="00BF6156">
        <w:rPr>
          <w:rFonts w:ascii="Arial" w:hAnsi="Arial" w:cs="Arial"/>
          <w:sz w:val="24"/>
          <w:szCs w:val="24"/>
        </w:rPr>
        <w:t>,</w:t>
      </w:r>
      <w:r w:rsidRPr="00BF6156">
        <w:rPr>
          <w:rFonts w:ascii="Arial" w:hAnsi="Arial" w:cs="Arial"/>
          <w:sz w:val="24"/>
          <w:szCs w:val="24"/>
        </w:rPr>
        <w:t xml:space="preserve"> Part A or Title IV</w:t>
      </w:r>
      <w:r w:rsidR="00741FF3" w:rsidRPr="00BF6156">
        <w:rPr>
          <w:rFonts w:ascii="Arial" w:hAnsi="Arial" w:cs="Arial"/>
          <w:sz w:val="24"/>
          <w:szCs w:val="24"/>
        </w:rPr>
        <w:t>,</w:t>
      </w:r>
      <w:r w:rsidR="009E4551">
        <w:rPr>
          <w:rFonts w:ascii="Arial" w:hAnsi="Arial" w:cs="Arial"/>
          <w:sz w:val="24"/>
          <w:szCs w:val="24"/>
        </w:rPr>
        <w:t xml:space="preserve"> Part A. </w:t>
      </w:r>
      <w:r w:rsidRPr="00BF6156">
        <w:rPr>
          <w:rFonts w:ascii="Arial" w:hAnsi="Arial" w:cs="Arial"/>
          <w:sz w:val="24"/>
          <w:szCs w:val="24"/>
        </w:rPr>
        <w:t>Under this scenario, an LEA would determine the proportionate share available for equitable services under Title I</w:t>
      </w:r>
      <w:r w:rsidR="00741FF3" w:rsidRPr="00BF6156">
        <w:rPr>
          <w:rFonts w:ascii="Arial" w:hAnsi="Arial" w:cs="Arial"/>
          <w:sz w:val="24"/>
          <w:szCs w:val="24"/>
        </w:rPr>
        <w:t>,</w:t>
      </w:r>
      <w:r w:rsidRPr="00BF6156">
        <w:rPr>
          <w:rFonts w:ascii="Arial" w:hAnsi="Arial" w:cs="Arial"/>
          <w:sz w:val="24"/>
          <w:szCs w:val="24"/>
        </w:rPr>
        <w:t xml:space="preserve"> Part A based on the </w:t>
      </w:r>
      <w:r w:rsidR="00A73844" w:rsidRPr="00BF6156">
        <w:rPr>
          <w:rFonts w:ascii="Arial" w:hAnsi="Arial" w:cs="Arial"/>
          <w:sz w:val="24"/>
          <w:szCs w:val="24"/>
        </w:rPr>
        <w:t xml:space="preserve">LEA’s </w:t>
      </w:r>
      <w:r w:rsidRPr="00BF6156">
        <w:rPr>
          <w:rFonts w:ascii="Arial" w:hAnsi="Arial" w:cs="Arial"/>
          <w:sz w:val="24"/>
          <w:szCs w:val="24"/>
        </w:rPr>
        <w:t xml:space="preserve">total </w:t>
      </w:r>
      <w:r w:rsidR="00A73844" w:rsidRPr="00BF6156">
        <w:rPr>
          <w:rFonts w:ascii="Arial" w:hAnsi="Arial" w:cs="Arial"/>
          <w:sz w:val="24"/>
          <w:szCs w:val="24"/>
        </w:rPr>
        <w:t xml:space="preserve">Title I, Part A </w:t>
      </w:r>
      <w:r w:rsidRPr="00BF6156">
        <w:rPr>
          <w:rFonts w:ascii="Arial" w:hAnsi="Arial" w:cs="Arial"/>
          <w:sz w:val="24"/>
          <w:szCs w:val="24"/>
        </w:rPr>
        <w:t>allocation, including the amounts transferred into Title I</w:t>
      </w:r>
      <w:r w:rsidR="00A73844" w:rsidRPr="00BF6156">
        <w:rPr>
          <w:rFonts w:ascii="Arial" w:hAnsi="Arial" w:cs="Arial"/>
          <w:sz w:val="24"/>
          <w:szCs w:val="24"/>
        </w:rPr>
        <w:t>,</w:t>
      </w:r>
      <w:r w:rsidR="007C541A">
        <w:rPr>
          <w:rFonts w:ascii="Arial" w:hAnsi="Arial" w:cs="Arial"/>
          <w:sz w:val="24"/>
          <w:szCs w:val="24"/>
        </w:rPr>
        <w:t xml:space="preserve"> Part A.</w:t>
      </w:r>
    </w:p>
    <w:p w14:paraId="075228E1" w14:textId="12A7CB7C" w:rsidR="009C573C" w:rsidRPr="00BF6156" w:rsidRDefault="005B2374" w:rsidP="00A032F8">
      <w:pPr>
        <w:spacing w:after="240" w:line="240" w:lineRule="auto"/>
        <w:rPr>
          <w:rFonts w:ascii="Arial" w:hAnsi="Arial" w:cs="Arial"/>
          <w:sz w:val="24"/>
          <w:szCs w:val="24"/>
        </w:rPr>
      </w:pPr>
      <w:r w:rsidRPr="00BF6156">
        <w:rPr>
          <w:rFonts w:ascii="Arial" w:hAnsi="Arial" w:cs="Arial"/>
          <w:sz w:val="24"/>
          <w:szCs w:val="24"/>
        </w:rPr>
        <w:t>Before an LEA may transfer funds from a program subject to equitable services requirements, it must engage in timely and meaningful consultation with appropriate private school officials. The final decision regarding the transfer of funds, however, remains with the LEA.</w:t>
      </w:r>
    </w:p>
    <w:p w14:paraId="1C56683E" w14:textId="045FAD34" w:rsidR="005B2374" w:rsidRPr="00BF6156" w:rsidRDefault="005B2374" w:rsidP="00A032F8">
      <w:pPr>
        <w:spacing w:after="240" w:line="240" w:lineRule="auto"/>
        <w:rPr>
          <w:rFonts w:ascii="Arial" w:hAnsi="Arial" w:cs="Arial"/>
          <w:sz w:val="24"/>
          <w:szCs w:val="24"/>
        </w:rPr>
      </w:pPr>
      <w:r w:rsidRPr="00BF6156">
        <w:rPr>
          <w:rFonts w:ascii="Arial" w:hAnsi="Arial" w:cs="Arial"/>
          <w:sz w:val="24"/>
          <w:szCs w:val="24"/>
        </w:rPr>
        <w:t xml:space="preserve">Although an LEA is not required to obtain agreement from private school officials prior to a transfer of funds, the goal of consultation is agreement. Thus, </w:t>
      </w:r>
      <w:r w:rsidR="00180803" w:rsidRPr="00BF6156">
        <w:rPr>
          <w:rFonts w:ascii="Arial" w:hAnsi="Arial" w:cs="Arial"/>
          <w:sz w:val="24"/>
          <w:szCs w:val="24"/>
        </w:rPr>
        <w:t xml:space="preserve">LEAs are </w:t>
      </w:r>
      <w:r w:rsidRPr="00BF6156">
        <w:rPr>
          <w:rFonts w:ascii="Arial" w:hAnsi="Arial" w:cs="Arial"/>
          <w:sz w:val="24"/>
          <w:szCs w:val="24"/>
        </w:rPr>
        <w:t>encourage</w:t>
      </w:r>
      <w:r w:rsidR="00180803" w:rsidRPr="00BF6156">
        <w:rPr>
          <w:rFonts w:ascii="Arial" w:hAnsi="Arial" w:cs="Arial"/>
          <w:sz w:val="24"/>
          <w:szCs w:val="24"/>
        </w:rPr>
        <w:t>d</w:t>
      </w:r>
      <w:r w:rsidRPr="00BF6156">
        <w:rPr>
          <w:rFonts w:ascii="Arial" w:hAnsi="Arial" w:cs="Arial"/>
          <w:sz w:val="24"/>
          <w:szCs w:val="24"/>
        </w:rPr>
        <w:t xml:space="preserve"> to carefully consider the views of private school officials prior to making </w:t>
      </w:r>
      <w:r w:rsidR="009E4551">
        <w:rPr>
          <w:rFonts w:ascii="Arial" w:hAnsi="Arial" w:cs="Arial"/>
          <w:sz w:val="24"/>
          <w:szCs w:val="24"/>
        </w:rPr>
        <w:t xml:space="preserve">decisions regarding transfers. </w:t>
      </w:r>
      <w:r w:rsidRPr="00BF6156">
        <w:rPr>
          <w:rFonts w:ascii="Arial" w:hAnsi="Arial" w:cs="Arial"/>
          <w:sz w:val="24"/>
          <w:szCs w:val="24"/>
        </w:rPr>
        <w:t>By engaging in timely and meaningful consultation and developing positive relationships with private school officials, an LEA can facilitate creation of a cooperative environment and mini</w:t>
      </w:r>
      <w:r w:rsidR="00A032F8">
        <w:rPr>
          <w:rFonts w:ascii="Arial" w:hAnsi="Arial" w:cs="Arial"/>
          <w:sz w:val="24"/>
          <w:szCs w:val="24"/>
        </w:rPr>
        <w:t>mize problems and complaints.</w:t>
      </w:r>
    </w:p>
    <w:p w14:paraId="5BD317D7" w14:textId="09A811A3" w:rsidR="00A46A1E" w:rsidRDefault="005B2374" w:rsidP="00A032F8">
      <w:pPr>
        <w:spacing w:after="240" w:line="240" w:lineRule="auto"/>
        <w:rPr>
          <w:rFonts w:ascii="Arial" w:hAnsi="Arial" w:cs="Arial"/>
          <w:sz w:val="24"/>
          <w:szCs w:val="24"/>
        </w:rPr>
      </w:pPr>
      <w:r w:rsidRPr="00BF6156">
        <w:rPr>
          <w:rFonts w:ascii="Arial" w:hAnsi="Arial" w:cs="Arial"/>
          <w:sz w:val="24"/>
          <w:szCs w:val="24"/>
        </w:rPr>
        <w:t>If private school officials believe that timely and meaningful consultation has not occurred, they should first discuss this matter with the LEA official responsible for coordinating the consultation be</w:t>
      </w:r>
      <w:r w:rsidR="009E4551">
        <w:rPr>
          <w:rFonts w:ascii="Arial" w:hAnsi="Arial" w:cs="Arial"/>
          <w:sz w:val="24"/>
          <w:szCs w:val="24"/>
        </w:rPr>
        <w:t xml:space="preserve">tween the two entities. </w:t>
      </w:r>
      <w:r w:rsidRPr="00BF6156">
        <w:rPr>
          <w:rFonts w:ascii="Arial" w:hAnsi="Arial" w:cs="Arial"/>
          <w:sz w:val="24"/>
          <w:szCs w:val="24"/>
        </w:rPr>
        <w:t xml:space="preserve">Private school officials may also contact the LEA superintendent or program director of the federally funded </w:t>
      </w:r>
      <w:r w:rsidR="00A032F8">
        <w:rPr>
          <w:rFonts w:ascii="Arial" w:hAnsi="Arial" w:cs="Arial"/>
          <w:sz w:val="24"/>
          <w:szCs w:val="24"/>
        </w:rPr>
        <w:t xml:space="preserve">program to ask for assistance. </w:t>
      </w:r>
      <w:r w:rsidRPr="00BF6156">
        <w:rPr>
          <w:rFonts w:ascii="Arial" w:hAnsi="Arial" w:cs="Arial"/>
          <w:sz w:val="24"/>
          <w:szCs w:val="24"/>
        </w:rPr>
        <w:t xml:space="preserve">If </w:t>
      </w:r>
      <w:r w:rsidRPr="00BF6156">
        <w:rPr>
          <w:rFonts w:ascii="Arial" w:hAnsi="Arial" w:cs="Arial"/>
          <w:sz w:val="24"/>
          <w:szCs w:val="24"/>
        </w:rPr>
        <w:lastRenderedPageBreak/>
        <w:t xml:space="preserve">the response at the local level is not satisfactory, the private school official may contact the SEA </w:t>
      </w:r>
      <w:r w:rsidR="00180803" w:rsidRPr="00BF6156">
        <w:rPr>
          <w:rFonts w:ascii="Arial" w:hAnsi="Arial" w:cs="Arial"/>
          <w:sz w:val="24"/>
          <w:szCs w:val="24"/>
        </w:rPr>
        <w:t>Equitable Services O</w:t>
      </w:r>
      <w:r w:rsidRPr="00BF6156">
        <w:rPr>
          <w:rFonts w:ascii="Arial" w:hAnsi="Arial" w:cs="Arial"/>
          <w:sz w:val="24"/>
          <w:szCs w:val="24"/>
        </w:rPr>
        <w:t>mbudsman) responsible for ensuring that ESEA programs are i</w:t>
      </w:r>
      <w:r w:rsidR="00A032F8">
        <w:rPr>
          <w:rFonts w:ascii="Arial" w:hAnsi="Arial" w:cs="Arial"/>
          <w:sz w:val="24"/>
          <w:szCs w:val="24"/>
        </w:rPr>
        <w:t xml:space="preserve">mplemented at the local level. </w:t>
      </w:r>
      <w:r w:rsidRPr="00BF6156">
        <w:rPr>
          <w:rFonts w:ascii="Arial" w:hAnsi="Arial" w:cs="Arial"/>
          <w:sz w:val="24"/>
          <w:szCs w:val="24"/>
        </w:rPr>
        <w:t xml:space="preserve">Often, these </w:t>
      </w:r>
      <w:r w:rsidR="00A032F8">
        <w:rPr>
          <w:rFonts w:ascii="Arial" w:hAnsi="Arial" w:cs="Arial"/>
          <w:sz w:val="24"/>
          <w:szCs w:val="24"/>
        </w:rPr>
        <w:t xml:space="preserve">steps will resolve the matter. </w:t>
      </w:r>
      <w:r w:rsidRPr="00BF6156">
        <w:rPr>
          <w:rFonts w:ascii="Arial" w:hAnsi="Arial" w:cs="Arial"/>
          <w:sz w:val="24"/>
          <w:szCs w:val="24"/>
        </w:rPr>
        <w:t xml:space="preserve">In the event the problem is not resolved, private school officials have the right to file a formal written complaint with the SEA. </w:t>
      </w:r>
    </w:p>
    <w:p w14:paraId="673F1F2D" w14:textId="24F4C8A6" w:rsidR="009B6F3F" w:rsidRPr="00231666" w:rsidRDefault="009B6F3F" w:rsidP="001B6B59">
      <w:pPr>
        <w:spacing w:before="240" w:after="240" w:line="240" w:lineRule="auto"/>
        <w:rPr>
          <w:rFonts w:ascii="Arial" w:hAnsi="Arial" w:cs="Arial"/>
          <w:sz w:val="24"/>
          <w:szCs w:val="24"/>
        </w:rPr>
      </w:pPr>
      <w:r w:rsidRPr="00231666">
        <w:rPr>
          <w:rFonts w:ascii="Arial" w:hAnsi="Arial" w:cs="Arial"/>
          <w:sz w:val="24"/>
          <w:szCs w:val="24"/>
        </w:rPr>
        <w:t xml:space="preserve">For information on determining equitable services allocations when there is no transfer of funds between programs, please see </w:t>
      </w:r>
      <w:r w:rsidR="00587DA2" w:rsidRPr="00231666">
        <w:rPr>
          <w:rFonts w:ascii="Arial" w:hAnsi="Arial" w:cs="Arial"/>
          <w:sz w:val="24"/>
          <w:szCs w:val="24"/>
        </w:rPr>
        <w:t xml:space="preserve">the CDE Equitable Services Ombudsman webpage located at </w:t>
      </w:r>
      <w:hyperlink r:id="rId8" w:tooltip="Equitable Services Ombudsman web page" w:history="1">
        <w:r w:rsidR="00566003" w:rsidRPr="00231666">
          <w:rPr>
            <w:rStyle w:val="Hyperlink"/>
            <w:rFonts w:ascii="Arial" w:hAnsi="Arial" w:cs="Arial"/>
            <w:sz w:val="24"/>
            <w:szCs w:val="24"/>
          </w:rPr>
          <w:t>https://www.cde.ca.gov/sp/sw/t1/ombudsmaneqservices.asp</w:t>
        </w:r>
      </w:hyperlink>
      <w:r w:rsidRPr="00231666">
        <w:rPr>
          <w:rFonts w:ascii="Arial" w:hAnsi="Arial" w:cs="Arial"/>
          <w:sz w:val="24"/>
          <w:szCs w:val="24"/>
        </w:rPr>
        <w:t>.</w:t>
      </w:r>
    </w:p>
    <w:p w14:paraId="443E980D" w14:textId="7DC190FD" w:rsidR="00BA028A" w:rsidRPr="00BF6156" w:rsidRDefault="00DE385F" w:rsidP="00A032F8">
      <w:pPr>
        <w:spacing w:after="240" w:line="240" w:lineRule="auto"/>
        <w:rPr>
          <w:rFonts w:ascii="Arial" w:hAnsi="Arial" w:cs="Arial"/>
          <w:b/>
          <w:sz w:val="24"/>
          <w:szCs w:val="24"/>
        </w:rPr>
      </w:pPr>
      <w:r w:rsidRPr="001553CC">
        <w:rPr>
          <w:rStyle w:val="Heading2Char"/>
        </w:rPr>
        <w:t>Example</w:t>
      </w:r>
      <w:r w:rsidR="00235466" w:rsidRPr="001553CC">
        <w:rPr>
          <w:rStyle w:val="Heading2Char"/>
        </w:rPr>
        <w:t xml:space="preserve">s of equitable services proportional share </w:t>
      </w:r>
      <w:r w:rsidR="00A73844" w:rsidRPr="001553CC">
        <w:rPr>
          <w:rStyle w:val="Heading2Char"/>
        </w:rPr>
        <w:t xml:space="preserve">under Title I, Part A </w:t>
      </w:r>
      <w:r w:rsidR="00235466" w:rsidRPr="001553CC">
        <w:rPr>
          <w:rStyle w:val="Heading2Char"/>
        </w:rPr>
        <w:t xml:space="preserve">after transferring </w:t>
      </w:r>
      <w:r w:rsidR="00A73844" w:rsidRPr="001553CC">
        <w:rPr>
          <w:rStyle w:val="Heading2Char"/>
        </w:rPr>
        <w:t>Title II, Part A</w:t>
      </w:r>
      <w:r w:rsidR="00235466" w:rsidRPr="001553CC">
        <w:rPr>
          <w:rStyle w:val="Heading2Char"/>
        </w:rPr>
        <w:t xml:space="preserve"> funds</w:t>
      </w:r>
      <w:r w:rsidR="00A73844" w:rsidRPr="001553CC">
        <w:rPr>
          <w:rStyle w:val="Heading2Char"/>
        </w:rPr>
        <w:t xml:space="preserve"> into Title I, Part A</w:t>
      </w:r>
      <w:r w:rsidRPr="00BF6156">
        <w:rPr>
          <w:rFonts w:ascii="Arial" w:hAnsi="Arial" w:cs="Arial"/>
          <w:b/>
          <w:sz w:val="24"/>
          <w:szCs w:val="24"/>
        </w:rPr>
        <w:t>:</w:t>
      </w:r>
    </w:p>
    <w:p w14:paraId="5738C230" w14:textId="77777777" w:rsidR="00DE385F" w:rsidRPr="00231666" w:rsidRDefault="00DE385F" w:rsidP="00BF6156">
      <w:pPr>
        <w:spacing w:after="0" w:line="240" w:lineRule="auto"/>
        <w:rPr>
          <w:rFonts w:ascii="Arial" w:hAnsi="Arial" w:cs="Arial"/>
          <w:sz w:val="24"/>
          <w:szCs w:val="24"/>
        </w:rPr>
      </w:pPr>
      <w:r w:rsidRPr="00231666">
        <w:rPr>
          <w:rFonts w:ascii="Arial" w:hAnsi="Arial" w:cs="Arial"/>
          <w:sz w:val="24"/>
          <w:szCs w:val="24"/>
        </w:rPr>
        <w:t xml:space="preserve">Sample </w:t>
      </w:r>
      <w:r w:rsidR="00235466" w:rsidRPr="00231666">
        <w:rPr>
          <w:rFonts w:ascii="Arial" w:hAnsi="Arial" w:cs="Arial"/>
          <w:sz w:val="24"/>
          <w:szCs w:val="24"/>
        </w:rPr>
        <w:t>LEA</w:t>
      </w:r>
      <w:r w:rsidRPr="00231666">
        <w:rPr>
          <w:rFonts w:ascii="Arial" w:hAnsi="Arial" w:cs="Arial"/>
          <w:sz w:val="24"/>
          <w:szCs w:val="24"/>
        </w:rPr>
        <w:t xml:space="preserve"> </w:t>
      </w:r>
    </w:p>
    <w:p w14:paraId="377E8DD2" w14:textId="0C152105" w:rsidR="00DE385F" w:rsidRPr="00BF6156" w:rsidRDefault="00DE385F" w:rsidP="00BF6156">
      <w:pPr>
        <w:spacing w:after="0" w:line="240" w:lineRule="auto"/>
        <w:rPr>
          <w:rFonts w:ascii="Arial" w:hAnsi="Arial" w:cs="Arial"/>
          <w:sz w:val="24"/>
          <w:szCs w:val="24"/>
        </w:rPr>
      </w:pPr>
      <w:r w:rsidRPr="00BF6156">
        <w:rPr>
          <w:rFonts w:ascii="Arial" w:hAnsi="Arial" w:cs="Arial"/>
          <w:sz w:val="24"/>
          <w:szCs w:val="24"/>
        </w:rPr>
        <w:t>Title I</w:t>
      </w:r>
      <w:r w:rsidR="00235466" w:rsidRPr="00BF6156">
        <w:rPr>
          <w:rFonts w:ascii="Arial" w:hAnsi="Arial" w:cs="Arial"/>
          <w:sz w:val="24"/>
          <w:szCs w:val="24"/>
        </w:rPr>
        <w:t>, Part A LEA</w:t>
      </w:r>
      <w:r w:rsidRPr="00BF6156">
        <w:rPr>
          <w:rFonts w:ascii="Arial" w:hAnsi="Arial" w:cs="Arial"/>
          <w:sz w:val="24"/>
          <w:szCs w:val="24"/>
        </w:rPr>
        <w:t xml:space="preserve"> Allocation = $150,000</w:t>
      </w:r>
      <w:r w:rsidR="00587DA2" w:rsidRPr="00BF6156">
        <w:rPr>
          <w:rFonts w:ascii="Arial" w:hAnsi="Arial" w:cs="Arial"/>
          <w:sz w:val="24"/>
          <w:szCs w:val="24"/>
        </w:rPr>
        <w:t xml:space="preserve"> (5% proportional share rate)</w:t>
      </w:r>
    </w:p>
    <w:p w14:paraId="0D1377BA" w14:textId="3A91F1B7" w:rsidR="00DE385F" w:rsidRDefault="00DE385F" w:rsidP="00A032F8">
      <w:pPr>
        <w:spacing w:after="480" w:line="240" w:lineRule="auto"/>
        <w:rPr>
          <w:rFonts w:ascii="Arial" w:hAnsi="Arial" w:cs="Arial"/>
          <w:sz w:val="24"/>
          <w:szCs w:val="24"/>
        </w:rPr>
      </w:pPr>
      <w:r w:rsidRPr="00BF6156">
        <w:rPr>
          <w:rFonts w:ascii="Arial" w:hAnsi="Arial" w:cs="Arial"/>
          <w:sz w:val="24"/>
          <w:szCs w:val="24"/>
        </w:rPr>
        <w:t>Title II</w:t>
      </w:r>
      <w:r w:rsidR="00235466" w:rsidRPr="00BF6156">
        <w:rPr>
          <w:rFonts w:ascii="Arial" w:hAnsi="Arial" w:cs="Arial"/>
          <w:sz w:val="24"/>
          <w:szCs w:val="24"/>
        </w:rPr>
        <w:t>, Part A LEA</w:t>
      </w:r>
      <w:r w:rsidRPr="00BF6156">
        <w:rPr>
          <w:rFonts w:ascii="Arial" w:hAnsi="Arial" w:cs="Arial"/>
          <w:sz w:val="24"/>
          <w:szCs w:val="24"/>
        </w:rPr>
        <w:t xml:space="preserve"> Allocation = $40,000</w:t>
      </w:r>
      <w:r w:rsidR="00587DA2" w:rsidRPr="00BF6156">
        <w:rPr>
          <w:rFonts w:ascii="Arial" w:hAnsi="Arial" w:cs="Arial"/>
          <w:sz w:val="24"/>
          <w:szCs w:val="24"/>
        </w:rPr>
        <w:t xml:space="preserve"> (10% proportional share rate)</w:t>
      </w:r>
    </w:p>
    <w:tbl>
      <w:tblPr>
        <w:tblStyle w:val="ListTable3-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No Transfers Title I, Part A equitable services proportional share and Title II, Part A equitable services proportional share, and the totals."/>
      </w:tblPr>
      <w:tblGrid>
        <w:gridCol w:w="6295"/>
        <w:gridCol w:w="3631"/>
      </w:tblGrid>
      <w:tr w:rsidR="00CC25A1" w14:paraId="61CF73D9" w14:textId="77777777" w:rsidTr="00E33FA9">
        <w:trPr>
          <w:cnfStyle w:val="100000000000" w:firstRow="1" w:lastRow="0" w:firstColumn="0" w:lastColumn="0" w:oddVBand="0" w:evenVBand="0" w:oddHBand="0" w:evenHBand="0" w:firstRowFirstColumn="0" w:firstRowLastColumn="0" w:lastRowFirstColumn="0" w:lastRowLastColumn="0"/>
          <w:cantSplit/>
          <w:trHeight w:hRule="exact" w:val="288"/>
        </w:trPr>
        <w:tc>
          <w:tcPr>
            <w:cnfStyle w:val="001000000100" w:firstRow="0" w:lastRow="0" w:firstColumn="1" w:lastColumn="0" w:oddVBand="0" w:evenVBand="0" w:oddHBand="0" w:evenHBand="0" w:firstRowFirstColumn="1" w:firstRowLastColumn="0" w:lastRowFirstColumn="0" w:lastRowLastColumn="0"/>
            <w:tcW w:w="9926" w:type="dxa"/>
            <w:gridSpan w:val="2"/>
            <w:tcBorders>
              <w:bottom w:val="none" w:sz="0" w:space="0" w:color="auto"/>
              <w:right w:val="none" w:sz="0" w:space="0" w:color="auto"/>
            </w:tcBorders>
          </w:tcPr>
          <w:p w14:paraId="794EDF0A" w14:textId="6C6A1A88" w:rsidR="00CC25A1" w:rsidRPr="00CC25A1" w:rsidRDefault="00CC25A1" w:rsidP="00E33FA9">
            <w:pPr>
              <w:pStyle w:val="Heading2"/>
              <w:spacing w:before="0"/>
            </w:pPr>
            <w:r w:rsidRPr="00CC25A1">
              <w:t>Example 1: No Transfers</w:t>
            </w:r>
          </w:p>
        </w:tc>
      </w:tr>
      <w:tr w:rsidR="00CC25A1" w14:paraId="55A0D42A" w14:textId="77777777" w:rsidTr="00E33FA9">
        <w:trPr>
          <w:cnfStyle w:val="000000100000" w:firstRow="0" w:lastRow="0" w:firstColumn="0" w:lastColumn="0" w:oddVBand="0" w:evenVBand="0" w:oddHBand="1" w:evenHBand="0" w:firstRowFirstColumn="0" w:firstRowLastColumn="0" w:lastRowFirstColumn="0" w:lastRowLastColumn="0"/>
          <w:cantSplit/>
          <w:trHeight w:hRule="exact" w:val="288"/>
        </w:trPr>
        <w:tc>
          <w:tcPr>
            <w:cnfStyle w:val="001000000000" w:firstRow="0" w:lastRow="0" w:firstColumn="1" w:lastColumn="0" w:oddVBand="0" w:evenVBand="0" w:oddHBand="0" w:evenHBand="0" w:firstRowFirstColumn="0" w:firstRowLastColumn="0" w:lastRowFirstColumn="0" w:lastRowLastColumn="0"/>
            <w:tcW w:w="6295" w:type="dxa"/>
            <w:tcBorders>
              <w:top w:val="none" w:sz="0" w:space="0" w:color="auto"/>
              <w:bottom w:val="none" w:sz="0" w:space="0" w:color="auto"/>
              <w:right w:val="none" w:sz="0" w:space="0" w:color="auto"/>
            </w:tcBorders>
          </w:tcPr>
          <w:p w14:paraId="79F57076" w14:textId="3075EB10" w:rsidR="00CC25A1" w:rsidRPr="00CC25A1" w:rsidRDefault="00CC25A1" w:rsidP="00CC25A1">
            <w:pPr>
              <w:spacing w:after="480"/>
              <w:rPr>
                <w:rFonts w:ascii="Arial" w:hAnsi="Arial" w:cs="Arial"/>
                <w:b w:val="0"/>
                <w:sz w:val="24"/>
                <w:szCs w:val="24"/>
              </w:rPr>
            </w:pPr>
            <w:r w:rsidRPr="00CC25A1">
              <w:rPr>
                <w:rFonts w:ascii="Arial" w:hAnsi="Arial" w:cs="Arial"/>
                <w:b w:val="0"/>
                <w:sz w:val="24"/>
                <w:szCs w:val="24"/>
              </w:rPr>
              <w:t>Title I, Part A equitable services proportional share</w:t>
            </w:r>
          </w:p>
        </w:tc>
        <w:tc>
          <w:tcPr>
            <w:tcW w:w="3631" w:type="dxa"/>
            <w:tcBorders>
              <w:top w:val="none" w:sz="0" w:space="0" w:color="auto"/>
              <w:bottom w:val="none" w:sz="0" w:space="0" w:color="auto"/>
            </w:tcBorders>
          </w:tcPr>
          <w:p w14:paraId="5966BE56" w14:textId="14723AEA" w:rsidR="00CC25A1" w:rsidRDefault="00CC25A1" w:rsidP="00CC25A1">
            <w:pPr>
              <w:spacing w:after="4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F6156">
              <w:rPr>
                <w:rFonts w:ascii="Arial" w:hAnsi="Arial" w:cs="Arial"/>
                <w:sz w:val="24"/>
                <w:szCs w:val="24"/>
              </w:rPr>
              <w:t>$150,000 x 5% = $7,500</w:t>
            </w:r>
          </w:p>
        </w:tc>
      </w:tr>
      <w:tr w:rsidR="00CC25A1" w14:paraId="50FFE13E" w14:textId="77777777" w:rsidTr="00E33FA9">
        <w:trPr>
          <w:cantSplit/>
          <w:trHeight w:hRule="exact" w:val="288"/>
        </w:trPr>
        <w:tc>
          <w:tcPr>
            <w:cnfStyle w:val="001000000000" w:firstRow="0" w:lastRow="0" w:firstColumn="1" w:lastColumn="0" w:oddVBand="0" w:evenVBand="0" w:oddHBand="0" w:evenHBand="0" w:firstRowFirstColumn="0" w:firstRowLastColumn="0" w:lastRowFirstColumn="0" w:lastRowLastColumn="0"/>
            <w:tcW w:w="6295" w:type="dxa"/>
            <w:tcBorders>
              <w:right w:val="none" w:sz="0" w:space="0" w:color="auto"/>
            </w:tcBorders>
          </w:tcPr>
          <w:p w14:paraId="3FDB2A53" w14:textId="42D251BA" w:rsidR="00CC25A1" w:rsidRPr="00CC25A1" w:rsidRDefault="00CC25A1" w:rsidP="00CC25A1">
            <w:pPr>
              <w:spacing w:after="480"/>
              <w:rPr>
                <w:rFonts w:ascii="Arial" w:hAnsi="Arial" w:cs="Arial"/>
                <w:b w:val="0"/>
                <w:sz w:val="24"/>
                <w:szCs w:val="24"/>
              </w:rPr>
            </w:pPr>
            <w:r w:rsidRPr="00CC25A1">
              <w:rPr>
                <w:rFonts w:ascii="Arial" w:hAnsi="Arial" w:cs="Arial"/>
                <w:b w:val="0"/>
                <w:sz w:val="24"/>
                <w:szCs w:val="24"/>
              </w:rPr>
              <w:t>Title II, Part A equitable services proportional share</w:t>
            </w:r>
          </w:p>
        </w:tc>
        <w:tc>
          <w:tcPr>
            <w:tcW w:w="3631" w:type="dxa"/>
          </w:tcPr>
          <w:p w14:paraId="6D75886E" w14:textId="0001DFA5" w:rsidR="00CC25A1" w:rsidRDefault="00CC25A1" w:rsidP="00CC25A1">
            <w:pPr>
              <w:spacing w:after="48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F6156">
              <w:rPr>
                <w:rFonts w:ascii="Arial" w:hAnsi="Arial" w:cs="Arial"/>
                <w:sz w:val="24"/>
                <w:szCs w:val="24"/>
              </w:rPr>
              <w:t>$40,000 x 10% = $4,000</w:t>
            </w:r>
          </w:p>
        </w:tc>
      </w:tr>
    </w:tbl>
    <w:p w14:paraId="0BF2C0BE" w14:textId="401E720D" w:rsidR="00CC25A1" w:rsidRDefault="00CC25A1" w:rsidP="00A032F8">
      <w:pPr>
        <w:spacing w:after="480" w:line="240" w:lineRule="auto"/>
        <w:rPr>
          <w:rFonts w:ascii="Arial" w:hAnsi="Arial" w:cs="Arial"/>
          <w:sz w:val="24"/>
          <w:szCs w:val="24"/>
        </w:rPr>
      </w:pP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LEA transfers $30,000 from Title II, Part A to Title I, Part A with calculations and total amounts."/>
      </w:tblPr>
      <w:tblGrid>
        <w:gridCol w:w="3308"/>
        <w:gridCol w:w="3707"/>
        <w:gridCol w:w="2911"/>
      </w:tblGrid>
      <w:tr w:rsidR="00CC25A1" w:rsidRPr="00CC25A1" w14:paraId="26EDBD37" w14:textId="77777777" w:rsidTr="00E33FA9">
        <w:trPr>
          <w:cnfStyle w:val="100000000000" w:firstRow="1" w:lastRow="0" w:firstColumn="0" w:lastColumn="0" w:oddVBand="0" w:evenVBand="0" w:oddHBand="0" w:evenHBand="0" w:firstRowFirstColumn="0" w:firstRowLastColumn="0" w:lastRowFirstColumn="0" w:lastRowLastColumn="0"/>
          <w:cantSplit/>
          <w:trHeight w:hRule="exact" w:val="288"/>
        </w:trPr>
        <w:tc>
          <w:tcPr>
            <w:cnfStyle w:val="001000000000" w:firstRow="0" w:lastRow="0" w:firstColumn="1" w:lastColumn="0" w:oddVBand="0" w:evenVBand="0" w:oddHBand="0" w:evenHBand="0" w:firstRowFirstColumn="0" w:firstRowLastColumn="0" w:lastRowFirstColumn="0" w:lastRowLastColumn="0"/>
            <w:tcW w:w="9926" w:type="dxa"/>
            <w:gridSpan w:val="3"/>
            <w:tcBorders>
              <w:top w:val="none" w:sz="0" w:space="0" w:color="auto"/>
              <w:left w:val="none" w:sz="0" w:space="0" w:color="auto"/>
              <w:bottom w:val="none" w:sz="0" w:space="0" w:color="auto"/>
              <w:right w:val="none" w:sz="0" w:space="0" w:color="auto"/>
            </w:tcBorders>
          </w:tcPr>
          <w:p w14:paraId="2A129BBF" w14:textId="383B66ED" w:rsidR="00CC25A1" w:rsidRPr="00CC25A1" w:rsidRDefault="00CC25A1" w:rsidP="00E33FA9">
            <w:pPr>
              <w:pStyle w:val="Heading2"/>
              <w:spacing w:before="0" w:after="360"/>
            </w:pPr>
            <w:r w:rsidRPr="00CC25A1">
              <w:t>Example 2: LEA transfers $30,000 from Title II, Part A to Title I, Part A</w:t>
            </w:r>
          </w:p>
        </w:tc>
      </w:tr>
      <w:tr w:rsidR="00CC25A1" w:rsidRPr="00CC25A1" w14:paraId="2F58AC9F" w14:textId="77777777" w:rsidTr="00E33FA9">
        <w:trPr>
          <w:cnfStyle w:val="000000100000" w:firstRow="0" w:lastRow="0" w:firstColumn="0" w:lastColumn="0" w:oddVBand="0" w:evenVBand="0" w:oddHBand="1" w:evenHBand="0" w:firstRowFirstColumn="0" w:firstRowLastColumn="0" w:lastRowFirstColumn="0" w:lastRowLastColumn="0"/>
          <w:cantSplit/>
          <w:trHeight w:hRule="exact" w:val="694"/>
        </w:trPr>
        <w:tc>
          <w:tcPr>
            <w:cnfStyle w:val="001000000000" w:firstRow="0" w:lastRow="0" w:firstColumn="1" w:lastColumn="0" w:oddVBand="0" w:evenVBand="0" w:oddHBand="0" w:evenHBand="0" w:firstRowFirstColumn="0" w:firstRowLastColumn="0" w:lastRowFirstColumn="0" w:lastRowLastColumn="0"/>
            <w:tcW w:w="3308" w:type="dxa"/>
            <w:shd w:val="clear" w:color="auto" w:fill="auto"/>
          </w:tcPr>
          <w:p w14:paraId="4B0D9C83" w14:textId="38538698" w:rsidR="00CC25A1" w:rsidRPr="00CC25A1" w:rsidRDefault="00CC25A1" w:rsidP="00A032F8">
            <w:pPr>
              <w:spacing w:after="480"/>
              <w:rPr>
                <w:rFonts w:ascii="Arial" w:hAnsi="Arial" w:cs="Arial"/>
                <w:b w:val="0"/>
                <w:sz w:val="24"/>
                <w:szCs w:val="24"/>
              </w:rPr>
            </w:pPr>
            <w:r w:rsidRPr="00CC25A1">
              <w:rPr>
                <w:rFonts w:ascii="Arial" w:hAnsi="Arial" w:cs="Arial"/>
                <w:b w:val="0"/>
                <w:sz w:val="24"/>
                <w:szCs w:val="24"/>
              </w:rPr>
              <w:t>Title I, Part A equitable services proportional share</w:t>
            </w:r>
          </w:p>
        </w:tc>
        <w:tc>
          <w:tcPr>
            <w:tcW w:w="3707" w:type="dxa"/>
            <w:shd w:val="clear" w:color="auto" w:fill="auto"/>
          </w:tcPr>
          <w:p w14:paraId="643A1DC3" w14:textId="4281D81A" w:rsidR="00CC25A1" w:rsidRPr="00CC25A1" w:rsidRDefault="00CC25A1" w:rsidP="00A032F8">
            <w:pPr>
              <w:spacing w:after="4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C25A1">
              <w:rPr>
                <w:rFonts w:ascii="Arial" w:hAnsi="Arial" w:cs="Arial"/>
                <w:sz w:val="24"/>
                <w:szCs w:val="24"/>
              </w:rPr>
              <w:t>$150,000 + $30,000 = $180,000</w:t>
            </w:r>
          </w:p>
        </w:tc>
        <w:tc>
          <w:tcPr>
            <w:tcW w:w="2911" w:type="dxa"/>
            <w:shd w:val="clear" w:color="auto" w:fill="auto"/>
          </w:tcPr>
          <w:p w14:paraId="393B3478" w14:textId="2563BF5F" w:rsidR="00CC25A1" w:rsidRPr="00CC25A1" w:rsidRDefault="00CC25A1" w:rsidP="00A032F8">
            <w:pPr>
              <w:spacing w:after="4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C25A1">
              <w:rPr>
                <w:rFonts w:ascii="Arial" w:hAnsi="Arial" w:cs="Arial"/>
                <w:sz w:val="24"/>
                <w:szCs w:val="24"/>
              </w:rPr>
              <w:t>$180,000 x 5% = $9,000</w:t>
            </w:r>
          </w:p>
        </w:tc>
      </w:tr>
      <w:tr w:rsidR="00CC25A1" w:rsidRPr="00CC25A1" w14:paraId="6A4B003E" w14:textId="77777777" w:rsidTr="00E33FA9">
        <w:trPr>
          <w:cantSplit/>
          <w:trHeight w:hRule="exact" w:val="640"/>
        </w:trPr>
        <w:tc>
          <w:tcPr>
            <w:cnfStyle w:val="001000000000" w:firstRow="0" w:lastRow="0" w:firstColumn="1" w:lastColumn="0" w:oddVBand="0" w:evenVBand="0" w:oddHBand="0" w:evenHBand="0" w:firstRowFirstColumn="0" w:firstRowLastColumn="0" w:lastRowFirstColumn="0" w:lastRowLastColumn="0"/>
            <w:tcW w:w="3308" w:type="dxa"/>
          </w:tcPr>
          <w:p w14:paraId="3EEA92C3" w14:textId="2DD01380" w:rsidR="00CC25A1" w:rsidRPr="00CC25A1" w:rsidRDefault="00CC25A1" w:rsidP="00A032F8">
            <w:pPr>
              <w:spacing w:after="480"/>
              <w:rPr>
                <w:rFonts w:ascii="Arial" w:hAnsi="Arial" w:cs="Arial"/>
                <w:b w:val="0"/>
                <w:sz w:val="24"/>
                <w:szCs w:val="24"/>
              </w:rPr>
            </w:pPr>
            <w:r w:rsidRPr="00CC25A1">
              <w:rPr>
                <w:rFonts w:ascii="Arial" w:hAnsi="Arial" w:cs="Arial"/>
                <w:b w:val="0"/>
                <w:sz w:val="24"/>
                <w:szCs w:val="24"/>
              </w:rPr>
              <w:t>Title II, Part A equitable services proportional share</w:t>
            </w:r>
          </w:p>
        </w:tc>
        <w:tc>
          <w:tcPr>
            <w:tcW w:w="3707" w:type="dxa"/>
          </w:tcPr>
          <w:p w14:paraId="480D060D" w14:textId="553EEFBD" w:rsidR="00CC25A1" w:rsidRPr="00CC25A1" w:rsidRDefault="00CC25A1" w:rsidP="00A032F8">
            <w:pPr>
              <w:spacing w:after="48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C25A1">
              <w:rPr>
                <w:rFonts w:ascii="Arial" w:hAnsi="Arial" w:cs="Arial"/>
                <w:sz w:val="24"/>
                <w:szCs w:val="24"/>
              </w:rPr>
              <w:t>$40,000 – $30,000 = $10,000</w:t>
            </w:r>
          </w:p>
        </w:tc>
        <w:tc>
          <w:tcPr>
            <w:tcW w:w="2911" w:type="dxa"/>
          </w:tcPr>
          <w:p w14:paraId="5F2D5CB9" w14:textId="6D34B406" w:rsidR="00CC25A1" w:rsidRPr="00CC25A1" w:rsidRDefault="00CC25A1" w:rsidP="00A032F8">
            <w:pPr>
              <w:spacing w:after="48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C25A1">
              <w:rPr>
                <w:rFonts w:ascii="Arial" w:hAnsi="Arial" w:cs="Arial"/>
                <w:sz w:val="24"/>
                <w:szCs w:val="24"/>
              </w:rPr>
              <w:t>$10,000 x 10% = $1,000</w:t>
            </w:r>
          </w:p>
        </w:tc>
      </w:tr>
    </w:tbl>
    <w:p w14:paraId="19C976C2" w14:textId="77777777" w:rsidR="005B2289" w:rsidRDefault="005B2289" w:rsidP="008A6374">
      <w:pPr>
        <w:spacing w:after="480" w:line="240" w:lineRule="auto"/>
        <w:rPr>
          <w:rFonts w:ascii="Arial" w:hAnsi="Arial" w:cs="Arial"/>
          <w:sz w:val="24"/>
          <w:szCs w:val="24"/>
        </w:rPr>
      </w:pPr>
    </w:p>
    <w:sectPr w:rsidR="005B2289" w:rsidSect="007259B4">
      <w:footerReference w:type="default" r:id="rId9"/>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823D9" w14:textId="77777777" w:rsidR="00B7633B" w:rsidRDefault="00B7633B" w:rsidP="00C87AF6">
      <w:pPr>
        <w:spacing w:after="0" w:line="240" w:lineRule="auto"/>
      </w:pPr>
      <w:r>
        <w:separator/>
      </w:r>
    </w:p>
  </w:endnote>
  <w:endnote w:type="continuationSeparator" w:id="0">
    <w:p w14:paraId="012BF4B5" w14:textId="77777777" w:rsidR="00B7633B" w:rsidRDefault="00B7633B" w:rsidP="00C87AF6">
      <w:pPr>
        <w:spacing w:after="0" w:line="240" w:lineRule="auto"/>
      </w:pPr>
      <w:r>
        <w:continuationSeparator/>
      </w:r>
    </w:p>
  </w:endnote>
  <w:endnote w:type="continuationNotice" w:id="1">
    <w:p w14:paraId="4BC54CC5" w14:textId="77777777" w:rsidR="00B7633B" w:rsidRDefault="00B76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266807"/>
      <w:docPartObj>
        <w:docPartGallery w:val="Page Numbers (Bottom of Page)"/>
        <w:docPartUnique/>
      </w:docPartObj>
    </w:sdtPr>
    <w:sdtEndPr>
      <w:rPr>
        <w:noProof/>
      </w:rPr>
    </w:sdtEndPr>
    <w:sdtContent>
      <w:p w14:paraId="3FDB52F3" w14:textId="11BDCA10" w:rsidR="00A60B2F" w:rsidRDefault="00A60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F44A7" w14:textId="348A7C9D" w:rsidR="007259B4" w:rsidRPr="00A60B2F" w:rsidRDefault="007259B4" w:rsidP="00A60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6BCA" w14:textId="77777777" w:rsidR="00B7633B" w:rsidRDefault="00B7633B" w:rsidP="00C87AF6">
      <w:pPr>
        <w:spacing w:after="0" w:line="240" w:lineRule="auto"/>
      </w:pPr>
      <w:r>
        <w:separator/>
      </w:r>
    </w:p>
  </w:footnote>
  <w:footnote w:type="continuationSeparator" w:id="0">
    <w:p w14:paraId="61246210" w14:textId="77777777" w:rsidR="00B7633B" w:rsidRDefault="00B7633B" w:rsidP="00C87AF6">
      <w:pPr>
        <w:spacing w:after="0" w:line="240" w:lineRule="auto"/>
      </w:pPr>
      <w:r>
        <w:continuationSeparator/>
      </w:r>
    </w:p>
  </w:footnote>
  <w:footnote w:type="continuationNotice" w:id="1">
    <w:p w14:paraId="74B7F908" w14:textId="77777777" w:rsidR="00B7633B" w:rsidRDefault="00B763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B53"/>
    <w:multiLevelType w:val="hybridMultilevel"/>
    <w:tmpl w:val="92C40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3263"/>
    <w:multiLevelType w:val="hybridMultilevel"/>
    <w:tmpl w:val="A0044EAA"/>
    <w:lvl w:ilvl="0" w:tplc="476E933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E2016"/>
    <w:multiLevelType w:val="hybridMultilevel"/>
    <w:tmpl w:val="3A1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4088B"/>
    <w:multiLevelType w:val="hybridMultilevel"/>
    <w:tmpl w:val="C57A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13A71"/>
    <w:multiLevelType w:val="hybridMultilevel"/>
    <w:tmpl w:val="881068FC"/>
    <w:lvl w:ilvl="0" w:tplc="0218BF6A">
      <w:start w:val="1"/>
      <w:numFmt w:val="bullet"/>
      <w:lvlText w:val="–"/>
      <w:lvlJc w:val="left"/>
      <w:pPr>
        <w:tabs>
          <w:tab w:val="num" w:pos="720"/>
        </w:tabs>
        <w:ind w:left="720" w:hanging="360"/>
      </w:pPr>
      <w:rPr>
        <w:rFonts w:ascii="Times New Roman" w:hAnsi="Times New Roman" w:hint="default"/>
      </w:rPr>
    </w:lvl>
    <w:lvl w:ilvl="1" w:tplc="CA301D26">
      <w:start w:val="1"/>
      <w:numFmt w:val="bullet"/>
      <w:lvlText w:val="–"/>
      <w:lvlJc w:val="left"/>
      <w:pPr>
        <w:tabs>
          <w:tab w:val="num" w:pos="1440"/>
        </w:tabs>
        <w:ind w:left="1440" w:hanging="360"/>
      </w:pPr>
      <w:rPr>
        <w:rFonts w:ascii="Times New Roman" w:hAnsi="Times New Roman" w:hint="default"/>
      </w:rPr>
    </w:lvl>
    <w:lvl w:ilvl="2" w:tplc="B1689A24" w:tentative="1">
      <w:start w:val="1"/>
      <w:numFmt w:val="bullet"/>
      <w:lvlText w:val="–"/>
      <w:lvlJc w:val="left"/>
      <w:pPr>
        <w:tabs>
          <w:tab w:val="num" w:pos="2160"/>
        </w:tabs>
        <w:ind w:left="2160" w:hanging="360"/>
      </w:pPr>
      <w:rPr>
        <w:rFonts w:ascii="Times New Roman" w:hAnsi="Times New Roman" w:hint="default"/>
      </w:rPr>
    </w:lvl>
    <w:lvl w:ilvl="3" w:tplc="E4760076" w:tentative="1">
      <w:start w:val="1"/>
      <w:numFmt w:val="bullet"/>
      <w:lvlText w:val="–"/>
      <w:lvlJc w:val="left"/>
      <w:pPr>
        <w:tabs>
          <w:tab w:val="num" w:pos="2880"/>
        </w:tabs>
        <w:ind w:left="2880" w:hanging="360"/>
      </w:pPr>
      <w:rPr>
        <w:rFonts w:ascii="Times New Roman" w:hAnsi="Times New Roman" w:hint="default"/>
      </w:rPr>
    </w:lvl>
    <w:lvl w:ilvl="4" w:tplc="F326956A" w:tentative="1">
      <w:start w:val="1"/>
      <w:numFmt w:val="bullet"/>
      <w:lvlText w:val="–"/>
      <w:lvlJc w:val="left"/>
      <w:pPr>
        <w:tabs>
          <w:tab w:val="num" w:pos="3600"/>
        </w:tabs>
        <w:ind w:left="3600" w:hanging="360"/>
      </w:pPr>
      <w:rPr>
        <w:rFonts w:ascii="Times New Roman" w:hAnsi="Times New Roman" w:hint="default"/>
      </w:rPr>
    </w:lvl>
    <w:lvl w:ilvl="5" w:tplc="8FF0722E" w:tentative="1">
      <w:start w:val="1"/>
      <w:numFmt w:val="bullet"/>
      <w:lvlText w:val="–"/>
      <w:lvlJc w:val="left"/>
      <w:pPr>
        <w:tabs>
          <w:tab w:val="num" w:pos="4320"/>
        </w:tabs>
        <w:ind w:left="4320" w:hanging="360"/>
      </w:pPr>
      <w:rPr>
        <w:rFonts w:ascii="Times New Roman" w:hAnsi="Times New Roman" w:hint="default"/>
      </w:rPr>
    </w:lvl>
    <w:lvl w:ilvl="6" w:tplc="C010BD7E" w:tentative="1">
      <w:start w:val="1"/>
      <w:numFmt w:val="bullet"/>
      <w:lvlText w:val="–"/>
      <w:lvlJc w:val="left"/>
      <w:pPr>
        <w:tabs>
          <w:tab w:val="num" w:pos="5040"/>
        </w:tabs>
        <w:ind w:left="5040" w:hanging="360"/>
      </w:pPr>
      <w:rPr>
        <w:rFonts w:ascii="Times New Roman" w:hAnsi="Times New Roman" w:hint="default"/>
      </w:rPr>
    </w:lvl>
    <w:lvl w:ilvl="7" w:tplc="3196CBE6" w:tentative="1">
      <w:start w:val="1"/>
      <w:numFmt w:val="bullet"/>
      <w:lvlText w:val="–"/>
      <w:lvlJc w:val="left"/>
      <w:pPr>
        <w:tabs>
          <w:tab w:val="num" w:pos="5760"/>
        </w:tabs>
        <w:ind w:left="5760" w:hanging="360"/>
      </w:pPr>
      <w:rPr>
        <w:rFonts w:ascii="Times New Roman" w:hAnsi="Times New Roman" w:hint="default"/>
      </w:rPr>
    </w:lvl>
    <w:lvl w:ilvl="8" w:tplc="EC8676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BD6D78"/>
    <w:multiLevelType w:val="hybridMultilevel"/>
    <w:tmpl w:val="C68A11AE"/>
    <w:lvl w:ilvl="0" w:tplc="B42EC4DC">
      <w:start w:val="1"/>
      <w:numFmt w:val="bullet"/>
      <w:lvlText w:val="–"/>
      <w:lvlJc w:val="left"/>
      <w:pPr>
        <w:tabs>
          <w:tab w:val="num" w:pos="720"/>
        </w:tabs>
        <w:ind w:left="720" w:hanging="360"/>
      </w:pPr>
      <w:rPr>
        <w:rFonts w:ascii="Times New Roman" w:hAnsi="Times New Roman" w:hint="default"/>
      </w:rPr>
    </w:lvl>
    <w:lvl w:ilvl="1" w:tplc="AF2222FC">
      <w:start w:val="1"/>
      <w:numFmt w:val="bullet"/>
      <w:lvlText w:val="–"/>
      <w:lvlJc w:val="left"/>
      <w:pPr>
        <w:tabs>
          <w:tab w:val="num" w:pos="360"/>
        </w:tabs>
        <w:ind w:left="360" w:hanging="360"/>
      </w:pPr>
      <w:rPr>
        <w:rFonts w:ascii="Times New Roman" w:hAnsi="Times New Roman" w:hint="default"/>
      </w:rPr>
    </w:lvl>
    <w:lvl w:ilvl="2" w:tplc="75640FE0" w:tentative="1">
      <w:start w:val="1"/>
      <w:numFmt w:val="bullet"/>
      <w:lvlText w:val="–"/>
      <w:lvlJc w:val="left"/>
      <w:pPr>
        <w:tabs>
          <w:tab w:val="num" w:pos="2160"/>
        </w:tabs>
        <w:ind w:left="2160" w:hanging="360"/>
      </w:pPr>
      <w:rPr>
        <w:rFonts w:ascii="Times New Roman" w:hAnsi="Times New Roman" w:hint="default"/>
      </w:rPr>
    </w:lvl>
    <w:lvl w:ilvl="3" w:tplc="6750D026" w:tentative="1">
      <w:start w:val="1"/>
      <w:numFmt w:val="bullet"/>
      <w:lvlText w:val="–"/>
      <w:lvlJc w:val="left"/>
      <w:pPr>
        <w:tabs>
          <w:tab w:val="num" w:pos="2880"/>
        </w:tabs>
        <w:ind w:left="2880" w:hanging="360"/>
      </w:pPr>
      <w:rPr>
        <w:rFonts w:ascii="Times New Roman" w:hAnsi="Times New Roman" w:hint="default"/>
      </w:rPr>
    </w:lvl>
    <w:lvl w:ilvl="4" w:tplc="E17AC708" w:tentative="1">
      <w:start w:val="1"/>
      <w:numFmt w:val="bullet"/>
      <w:lvlText w:val="–"/>
      <w:lvlJc w:val="left"/>
      <w:pPr>
        <w:tabs>
          <w:tab w:val="num" w:pos="3600"/>
        </w:tabs>
        <w:ind w:left="3600" w:hanging="360"/>
      </w:pPr>
      <w:rPr>
        <w:rFonts w:ascii="Times New Roman" w:hAnsi="Times New Roman" w:hint="default"/>
      </w:rPr>
    </w:lvl>
    <w:lvl w:ilvl="5" w:tplc="11CC05DC" w:tentative="1">
      <w:start w:val="1"/>
      <w:numFmt w:val="bullet"/>
      <w:lvlText w:val="–"/>
      <w:lvlJc w:val="left"/>
      <w:pPr>
        <w:tabs>
          <w:tab w:val="num" w:pos="4320"/>
        </w:tabs>
        <w:ind w:left="4320" w:hanging="360"/>
      </w:pPr>
      <w:rPr>
        <w:rFonts w:ascii="Times New Roman" w:hAnsi="Times New Roman" w:hint="default"/>
      </w:rPr>
    </w:lvl>
    <w:lvl w:ilvl="6" w:tplc="1ED4EEA4" w:tentative="1">
      <w:start w:val="1"/>
      <w:numFmt w:val="bullet"/>
      <w:lvlText w:val="–"/>
      <w:lvlJc w:val="left"/>
      <w:pPr>
        <w:tabs>
          <w:tab w:val="num" w:pos="5040"/>
        </w:tabs>
        <w:ind w:left="5040" w:hanging="360"/>
      </w:pPr>
      <w:rPr>
        <w:rFonts w:ascii="Times New Roman" w:hAnsi="Times New Roman" w:hint="default"/>
      </w:rPr>
    </w:lvl>
    <w:lvl w:ilvl="7" w:tplc="A2005686" w:tentative="1">
      <w:start w:val="1"/>
      <w:numFmt w:val="bullet"/>
      <w:lvlText w:val="–"/>
      <w:lvlJc w:val="left"/>
      <w:pPr>
        <w:tabs>
          <w:tab w:val="num" w:pos="5760"/>
        </w:tabs>
        <w:ind w:left="5760" w:hanging="360"/>
      </w:pPr>
      <w:rPr>
        <w:rFonts w:ascii="Times New Roman" w:hAnsi="Times New Roman" w:hint="default"/>
      </w:rPr>
    </w:lvl>
    <w:lvl w:ilvl="8" w:tplc="E8DE28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DA09F7"/>
    <w:multiLevelType w:val="hybridMultilevel"/>
    <w:tmpl w:val="F0C2E95E"/>
    <w:lvl w:ilvl="0" w:tplc="70002E60">
      <w:start w:val="1"/>
      <w:numFmt w:val="bullet"/>
      <w:lvlText w:val="–"/>
      <w:lvlJc w:val="left"/>
      <w:pPr>
        <w:tabs>
          <w:tab w:val="num" w:pos="720"/>
        </w:tabs>
        <w:ind w:left="720" w:hanging="360"/>
      </w:pPr>
      <w:rPr>
        <w:rFonts w:ascii="Times New Roman" w:hAnsi="Times New Roman" w:hint="default"/>
      </w:rPr>
    </w:lvl>
    <w:lvl w:ilvl="1" w:tplc="97088216">
      <w:start w:val="1"/>
      <w:numFmt w:val="bullet"/>
      <w:lvlText w:val="–"/>
      <w:lvlJc w:val="left"/>
      <w:pPr>
        <w:tabs>
          <w:tab w:val="num" w:pos="1440"/>
        </w:tabs>
        <w:ind w:left="1440" w:hanging="360"/>
      </w:pPr>
      <w:rPr>
        <w:rFonts w:ascii="Times New Roman" w:hAnsi="Times New Roman" w:hint="default"/>
      </w:rPr>
    </w:lvl>
    <w:lvl w:ilvl="2" w:tplc="07C6B232" w:tentative="1">
      <w:start w:val="1"/>
      <w:numFmt w:val="bullet"/>
      <w:lvlText w:val="–"/>
      <w:lvlJc w:val="left"/>
      <w:pPr>
        <w:tabs>
          <w:tab w:val="num" w:pos="2160"/>
        </w:tabs>
        <w:ind w:left="2160" w:hanging="360"/>
      </w:pPr>
      <w:rPr>
        <w:rFonts w:ascii="Times New Roman" w:hAnsi="Times New Roman" w:hint="default"/>
      </w:rPr>
    </w:lvl>
    <w:lvl w:ilvl="3" w:tplc="9524ED6A" w:tentative="1">
      <w:start w:val="1"/>
      <w:numFmt w:val="bullet"/>
      <w:lvlText w:val="–"/>
      <w:lvlJc w:val="left"/>
      <w:pPr>
        <w:tabs>
          <w:tab w:val="num" w:pos="2880"/>
        </w:tabs>
        <w:ind w:left="2880" w:hanging="360"/>
      </w:pPr>
      <w:rPr>
        <w:rFonts w:ascii="Times New Roman" w:hAnsi="Times New Roman" w:hint="default"/>
      </w:rPr>
    </w:lvl>
    <w:lvl w:ilvl="4" w:tplc="90AA7316" w:tentative="1">
      <w:start w:val="1"/>
      <w:numFmt w:val="bullet"/>
      <w:lvlText w:val="–"/>
      <w:lvlJc w:val="left"/>
      <w:pPr>
        <w:tabs>
          <w:tab w:val="num" w:pos="3600"/>
        </w:tabs>
        <w:ind w:left="3600" w:hanging="360"/>
      </w:pPr>
      <w:rPr>
        <w:rFonts w:ascii="Times New Roman" w:hAnsi="Times New Roman" w:hint="default"/>
      </w:rPr>
    </w:lvl>
    <w:lvl w:ilvl="5" w:tplc="7F9E3AC6" w:tentative="1">
      <w:start w:val="1"/>
      <w:numFmt w:val="bullet"/>
      <w:lvlText w:val="–"/>
      <w:lvlJc w:val="left"/>
      <w:pPr>
        <w:tabs>
          <w:tab w:val="num" w:pos="4320"/>
        </w:tabs>
        <w:ind w:left="4320" w:hanging="360"/>
      </w:pPr>
      <w:rPr>
        <w:rFonts w:ascii="Times New Roman" w:hAnsi="Times New Roman" w:hint="default"/>
      </w:rPr>
    </w:lvl>
    <w:lvl w:ilvl="6" w:tplc="0E2AA21E" w:tentative="1">
      <w:start w:val="1"/>
      <w:numFmt w:val="bullet"/>
      <w:lvlText w:val="–"/>
      <w:lvlJc w:val="left"/>
      <w:pPr>
        <w:tabs>
          <w:tab w:val="num" w:pos="5040"/>
        </w:tabs>
        <w:ind w:left="5040" w:hanging="360"/>
      </w:pPr>
      <w:rPr>
        <w:rFonts w:ascii="Times New Roman" w:hAnsi="Times New Roman" w:hint="default"/>
      </w:rPr>
    </w:lvl>
    <w:lvl w:ilvl="7" w:tplc="F2122DD4" w:tentative="1">
      <w:start w:val="1"/>
      <w:numFmt w:val="bullet"/>
      <w:lvlText w:val="–"/>
      <w:lvlJc w:val="left"/>
      <w:pPr>
        <w:tabs>
          <w:tab w:val="num" w:pos="5760"/>
        </w:tabs>
        <w:ind w:left="5760" w:hanging="360"/>
      </w:pPr>
      <w:rPr>
        <w:rFonts w:ascii="Times New Roman" w:hAnsi="Times New Roman" w:hint="default"/>
      </w:rPr>
    </w:lvl>
    <w:lvl w:ilvl="8" w:tplc="6E32CD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1B21EB"/>
    <w:multiLevelType w:val="hybridMultilevel"/>
    <w:tmpl w:val="F5709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228E6"/>
    <w:multiLevelType w:val="hybridMultilevel"/>
    <w:tmpl w:val="809EA134"/>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534C72"/>
    <w:multiLevelType w:val="hybridMultilevel"/>
    <w:tmpl w:val="D26A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836CC"/>
    <w:multiLevelType w:val="hybridMultilevel"/>
    <w:tmpl w:val="FDF2DFEC"/>
    <w:lvl w:ilvl="0" w:tplc="22EC3A74">
      <w:start w:val="1"/>
      <w:numFmt w:val="bullet"/>
      <w:lvlText w:val="–"/>
      <w:lvlJc w:val="left"/>
      <w:pPr>
        <w:tabs>
          <w:tab w:val="num" w:pos="720"/>
        </w:tabs>
        <w:ind w:left="720" w:hanging="360"/>
      </w:pPr>
      <w:rPr>
        <w:rFonts w:ascii="Times New Roman" w:hAnsi="Times New Roman" w:hint="default"/>
      </w:rPr>
    </w:lvl>
    <w:lvl w:ilvl="1" w:tplc="C29A0F22">
      <w:start w:val="1"/>
      <w:numFmt w:val="bullet"/>
      <w:lvlText w:val="–"/>
      <w:lvlJc w:val="left"/>
      <w:pPr>
        <w:tabs>
          <w:tab w:val="num" w:pos="1440"/>
        </w:tabs>
        <w:ind w:left="1440" w:hanging="360"/>
      </w:pPr>
      <w:rPr>
        <w:rFonts w:ascii="Times New Roman" w:hAnsi="Times New Roman" w:hint="default"/>
      </w:rPr>
    </w:lvl>
    <w:lvl w:ilvl="2" w:tplc="F2F4209E" w:tentative="1">
      <w:start w:val="1"/>
      <w:numFmt w:val="bullet"/>
      <w:lvlText w:val="–"/>
      <w:lvlJc w:val="left"/>
      <w:pPr>
        <w:tabs>
          <w:tab w:val="num" w:pos="2160"/>
        </w:tabs>
        <w:ind w:left="2160" w:hanging="360"/>
      </w:pPr>
      <w:rPr>
        <w:rFonts w:ascii="Times New Roman" w:hAnsi="Times New Roman" w:hint="default"/>
      </w:rPr>
    </w:lvl>
    <w:lvl w:ilvl="3" w:tplc="9BA6B740" w:tentative="1">
      <w:start w:val="1"/>
      <w:numFmt w:val="bullet"/>
      <w:lvlText w:val="–"/>
      <w:lvlJc w:val="left"/>
      <w:pPr>
        <w:tabs>
          <w:tab w:val="num" w:pos="2880"/>
        </w:tabs>
        <w:ind w:left="2880" w:hanging="360"/>
      </w:pPr>
      <w:rPr>
        <w:rFonts w:ascii="Times New Roman" w:hAnsi="Times New Roman" w:hint="default"/>
      </w:rPr>
    </w:lvl>
    <w:lvl w:ilvl="4" w:tplc="B922CA52" w:tentative="1">
      <w:start w:val="1"/>
      <w:numFmt w:val="bullet"/>
      <w:lvlText w:val="–"/>
      <w:lvlJc w:val="left"/>
      <w:pPr>
        <w:tabs>
          <w:tab w:val="num" w:pos="3600"/>
        </w:tabs>
        <w:ind w:left="3600" w:hanging="360"/>
      </w:pPr>
      <w:rPr>
        <w:rFonts w:ascii="Times New Roman" w:hAnsi="Times New Roman" w:hint="default"/>
      </w:rPr>
    </w:lvl>
    <w:lvl w:ilvl="5" w:tplc="32762F54" w:tentative="1">
      <w:start w:val="1"/>
      <w:numFmt w:val="bullet"/>
      <w:lvlText w:val="–"/>
      <w:lvlJc w:val="left"/>
      <w:pPr>
        <w:tabs>
          <w:tab w:val="num" w:pos="4320"/>
        </w:tabs>
        <w:ind w:left="4320" w:hanging="360"/>
      </w:pPr>
      <w:rPr>
        <w:rFonts w:ascii="Times New Roman" w:hAnsi="Times New Roman" w:hint="default"/>
      </w:rPr>
    </w:lvl>
    <w:lvl w:ilvl="6" w:tplc="2820C5E0" w:tentative="1">
      <w:start w:val="1"/>
      <w:numFmt w:val="bullet"/>
      <w:lvlText w:val="–"/>
      <w:lvlJc w:val="left"/>
      <w:pPr>
        <w:tabs>
          <w:tab w:val="num" w:pos="5040"/>
        </w:tabs>
        <w:ind w:left="5040" w:hanging="360"/>
      </w:pPr>
      <w:rPr>
        <w:rFonts w:ascii="Times New Roman" w:hAnsi="Times New Roman" w:hint="default"/>
      </w:rPr>
    </w:lvl>
    <w:lvl w:ilvl="7" w:tplc="BBFC606E" w:tentative="1">
      <w:start w:val="1"/>
      <w:numFmt w:val="bullet"/>
      <w:lvlText w:val="–"/>
      <w:lvlJc w:val="left"/>
      <w:pPr>
        <w:tabs>
          <w:tab w:val="num" w:pos="5760"/>
        </w:tabs>
        <w:ind w:left="5760" w:hanging="360"/>
      </w:pPr>
      <w:rPr>
        <w:rFonts w:ascii="Times New Roman" w:hAnsi="Times New Roman" w:hint="default"/>
      </w:rPr>
    </w:lvl>
    <w:lvl w:ilvl="8" w:tplc="C526BC4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B221F5"/>
    <w:multiLevelType w:val="hybridMultilevel"/>
    <w:tmpl w:val="FE8C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13B6F"/>
    <w:multiLevelType w:val="hybridMultilevel"/>
    <w:tmpl w:val="9A4E0E00"/>
    <w:lvl w:ilvl="0" w:tplc="73C851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04942"/>
    <w:multiLevelType w:val="hybridMultilevel"/>
    <w:tmpl w:val="352ADF0E"/>
    <w:lvl w:ilvl="0" w:tplc="476E9332">
      <w:start w:val="1"/>
      <w:numFmt w:val="bullet"/>
      <w:lvlText w:val="–"/>
      <w:lvlJc w:val="left"/>
      <w:pPr>
        <w:ind w:left="720" w:hanging="72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553D02"/>
    <w:multiLevelType w:val="hybridMultilevel"/>
    <w:tmpl w:val="5F8E3024"/>
    <w:lvl w:ilvl="0" w:tplc="662E5798">
      <w:start w:val="1"/>
      <w:numFmt w:val="lowerRoman"/>
      <w:lvlText w:val="(%1)"/>
      <w:lvlJc w:val="left"/>
      <w:pPr>
        <w:ind w:left="108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8A637E"/>
    <w:multiLevelType w:val="hybridMultilevel"/>
    <w:tmpl w:val="B2D4E94E"/>
    <w:lvl w:ilvl="0" w:tplc="0409000F">
      <w:start w:val="1"/>
      <w:numFmt w:val="decimal"/>
      <w:lvlText w:val="%1."/>
      <w:lvlJc w:val="left"/>
      <w:pPr>
        <w:ind w:left="13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13A15"/>
    <w:multiLevelType w:val="hybridMultilevel"/>
    <w:tmpl w:val="04CA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64E65"/>
    <w:multiLevelType w:val="hybridMultilevel"/>
    <w:tmpl w:val="7760FF62"/>
    <w:lvl w:ilvl="0" w:tplc="1742A704">
      <w:start w:val="1"/>
      <w:numFmt w:val="bullet"/>
      <w:lvlText w:val="•"/>
      <w:lvlJc w:val="left"/>
      <w:pPr>
        <w:tabs>
          <w:tab w:val="num" w:pos="720"/>
        </w:tabs>
        <w:ind w:left="720" w:hanging="360"/>
      </w:pPr>
      <w:rPr>
        <w:rFonts w:ascii="Arial" w:hAnsi="Arial" w:hint="default"/>
      </w:rPr>
    </w:lvl>
    <w:lvl w:ilvl="1" w:tplc="DAB03288">
      <w:start w:val="1"/>
      <w:numFmt w:val="bullet"/>
      <w:lvlText w:val="•"/>
      <w:lvlJc w:val="left"/>
      <w:pPr>
        <w:tabs>
          <w:tab w:val="num" w:pos="1440"/>
        </w:tabs>
        <w:ind w:left="1440" w:hanging="360"/>
      </w:pPr>
      <w:rPr>
        <w:rFonts w:ascii="Arial" w:hAnsi="Arial" w:hint="default"/>
      </w:rPr>
    </w:lvl>
    <w:lvl w:ilvl="2" w:tplc="0BEA5166" w:tentative="1">
      <w:start w:val="1"/>
      <w:numFmt w:val="bullet"/>
      <w:lvlText w:val="•"/>
      <w:lvlJc w:val="left"/>
      <w:pPr>
        <w:tabs>
          <w:tab w:val="num" w:pos="2160"/>
        </w:tabs>
        <w:ind w:left="2160" w:hanging="360"/>
      </w:pPr>
      <w:rPr>
        <w:rFonts w:ascii="Arial" w:hAnsi="Arial" w:hint="default"/>
      </w:rPr>
    </w:lvl>
    <w:lvl w:ilvl="3" w:tplc="241EFC10" w:tentative="1">
      <w:start w:val="1"/>
      <w:numFmt w:val="bullet"/>
      <w:lvlText w:val="•"/>
      <w:lvlJc w:val="left"/>
      <w:pPr>
        <w:tabs>
          <w:tab w:val="num" w:pos="2880"/>
        </w:tabs>
        <w:ind w:left="2880" w:hanging="360"/>
      </w:pPr>
      <w:rPr>
        <w:rFonts w:ascii="Arial" w:hAnsi="Arial" w:hint="default"/>
      </w:rPr>
    </w:lvl>
    <w:lvl w:ilvl="4" w:tplc="A73C19D6" w:tentative="1">
      <w:start w:val="1"/>
      <w:numFmt w:val="bullet"/>
      <w:lvlText w:val="•"/>
      <w:lvlJc w:val="left"/>
      <w:pPr>
        <w:tabs>
          <w:tab w:val="num" w:pos="3600"/>
        </w:tabs>
        <w:ind w:left="3600" w:hanging="360"/>
      </w:pPr>
      <w:rPr>
        <w:rFonts w:ascii="Arial" w:hAnsi="Arial" w:hint="default"/>
      </w:rPr>
    </w:lvl>
    <w:lvl w:ilvl="5" w:tplc="A8EA881A" w:tentative="1">
      <w:start w:val="1"/>
      <w:numFmt w:val="bullet"/>
      <w:lvlText w:val="•"/>
      <w:lvlJc w:val="left"/>
      <w:pPr>
        <w:tabs>
          <w:tab w:val="num" w:pos="4320"/>
        </w:tabs>
        <w:ind w:left="4320" w:hanging="360"/>
      </w:pPr>
      <w:rPr>
        <w:rFonts w:ascii="Arial" w:hAnsi="Arial" w:hint="default"/>
      </w:rPr>
    </w:lvl>
    <w:lvl w:ilvl="6" w:tplc="B86EC676" w:tentative="1">
      <w:start w:val="1"/>
      <w:numFmt w:val="bullet"/>
      <w:lvlText w:val="•"/>
      <w:lvlJc w:val="left"/>
      <w:pPr>
        <w:tabs>
          <w:tab w:val="num" w:pos="5040"/>
        </w:tabs>
        <w:ind w:left="5040" w:hanging="360"/>
      </w:pPr>
      <w:rPr>
        <w:rFonts w:ascii="Arial" w:hAnsi="Arial" w:hint="default"/>
      </w:rPr>
    </w:lvl>
    <w:lvl w:ilvl="7" w:tplc="28A6B2C8" w:tentative="1">
      <w:start w:val="1"/>
      <w:numFmt w:val="bullet"/>
      <w:lvlText w:val="•"/>
      <w:lvlJc w:val="left"/>
      <w:pPr>
        <w:tabs>
          <w:tab w:val="num" w:pos="5760"/>
        </w:tabs>
        <w:ind w:left="5760" w:hanging="360"/>
      </w:pPr>
      <w:rPr>
        <w:rFonts w:ascii="Arial" w:hAnsi="Arial" w:hint="default"/>
      </w:rPr>
    </w:lvl>
    <w:lvl w:ilvl="8" w:tplc="287440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C43243"/>
    <w:multiLevelType w:val="hybridMultilevel"/>
    <w:tmpl w:val="6F72CEE2"/>
    <w:lvl w:ilvl="0" w:tplc="1284C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FF022C"/>
    <w:multiLevelType w:val="hybridMultilevel"/>
    <w:tmpl w:val="03FC4D46"/>
    <w:lvl w:ilvl="0" w:tplc="662E57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42B71"/>
    <w:multiLevelType w:val="hybridMultilevel"/>
    <w:tmpl w:val="941436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5575DEB"/>
    <w:multiLevelType w:val="hybridMultilevel"/>
    <w:tmpl w:val="F2B2286E"/>
    <w:lvl w:ilvl="0" w:tplc="662E5798">
      <w:start w:val="1"/>
      <w:numFmt w:val="lowerRoman"/>
      <w:lvlText w:val="(%1)"/>
      <w:lvlJc w:val="left"/>
      <w:pPr>
        <w:ind w:left="108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0D257E"/>
    <w:multiLevelType w:val="hybridMultilevel"/>
    <w:tmpl w:val="FA2E42B2"/>
    <w:lvl w:ilvl="0" w:tplc="02722DBC">
      <w:start w:val="1"/>
      <w:numFmt w:val="bullet"/>
      <w:lvlText w:val="–"/>
      <w:lvlJc w:val="left"/>
      <w:pPr>
        <w:tabs>
          <w:tab w:val="num" w:pos="720"/>
        </w:tabs>
        <w:ind w:left="720" w:hanging="360"/>
      </w:pPr>
      <w:rPr>
        <w:rFonts w:ascii="Times New Roman" w:hAnsi="Times New Roman" w:hint="default"/>
      </w:rPr>
    </w:lvl>
    <w:lvl w:ilvl="1" w:tplc="F39AE190">
      <w:start w:val="1"/>
      <w:numFmt w:val="bullet"/>
      <w:lvlText w:val="–"/>
      <w:lvlJc w:val="left"/>
      <w:pPr>
        <w:tabs>
          <w:tab w:val="num" w:pos="360"/>
        </w:tabs>
        <w:ind w:left="360" w:hanging="360"/>
      </w:pPr>
      <w:rPr>
        <w:rFonts w:ascii="Times New Roman" w:hAnsi="Times New Roman" w:hint="default"/>
      </w:rPr>
    </w:lvl>
    <w:lvl w:ilvl="2" w:tplc="EA14A862" w:tentative="1">
      <w:start w:val="1"/>
      <w:numFmt w:val="bullet"/>
      <w:lvlText w:val="–"/>
      <w:lvlJc w:val="left"/>
      <w:pPr>
        <w:tabs>
          <w:tab w:val="num" w:pos="2160"/>
        </w:tabs>
        <w:ind w:left="2160" w:hanging="360"/>
      </w:pPr>
      <w:rPr>
        <w:rFonts w:ascii="Times New Roman" w:hAnsi="Times New Roman" w:hint="default"/>
      </w:rPr>
    </w:lvl>
    <w:lvl w:ilvl="3" w:tplc="3892A35C" w:tentative="1">
      <w:start w:val="1"/>
      <w:numFmt w:val="bullet"/>
      <w:lvlText w:val="–"/>
      <w:lvlJc w:val="left"/>
      <w:pPr>
        <w:tabs>
          <w:tab w:val="num" w:pos="2880"/>
        </w:tabs>
        <w:ind w:left="2880" w:hanging="360"/>
      </w:pPr>
      <w:rPr>
        <w:rFonts w:ascii="Times New Roman" w:hAnsi="Times New Roman" w:hint="default"/>
      </w:rPr>
    </w:lvl>
    <w:lvl w:ilvl="4" w:tplc="6E24D8D4" w:tentative="1">
      <w:start w:val="1"/>
      <w:numFmt w:val="bullet"/>
      <w:lvlText w:val="–"/>
      <w:lvlJc w:val="left"/>
      <w:pPr>
        <w:tabs>
          <w:tab w:val="num" w:pos="3600"/>
        </w:tabs>
        <w:ind w:left="3600" w:hanging="360"/>
      </w:pPr>
      <w:rPr>
        <w:rFonts w:ascii="Times New Roman" w:hAnsi="Times New Roman" w:hint="default"/>
      </w:rPr>
    </w:lvl>
    <w:lvl w:ilvl="5" w:tplc="B76C2168" w:tentative="1">
      <w:start w:val="1"/>
      <w:numFmt w:val="bullet"/>
      <w:lvlText w:val="–"/>
      <w:lvlJc w:val="left"/>
      <w:pPr>
        <w:tabs>
          <w:tab w:val="num" w:pos="4320"/>
        </w:tabs>
        <w:ind w:left="4320" w:hanging="360"/>
      </w:pPr>
      <w:rPr>
        <w:rFonts w:ascii="Times New Roman" w:hAnsi="Times New Roman" w:hint="default"/>
      </w:rPr>
    </w:lvl>
    <w:lvl w:ilvl="6" w:tplc="0420BFC4" w:tentative="1">
      <w:start w:val="1"/>
      <w:numFmt w:val="bullet"/>
      <w:lvlText w:val="–"/>
      <w:lvlJc w:val="left"/>
      <w:pPr>
        <w:tabs>
          <w:tab w:val="num" w:pos="5040"/>
        </w:tabs>
        <w:ind w:left="5040" w:hanging="360"/>
      </w:pPr>
      <w:rPr>
        <w:rFonts w:ascii="Times New Roman" w:hAnsi="Times New Roman" w:hint="default"/>
      </w:rPr>
    </w:lvl>
    <w:lvl w:ilvl="7" w:tplc="397E243C" w:tentative="1">
      <w:start w:val="1"/>
      <w:numFmt w:val="bullet"/>
      <w:lvlText w:val="–"/>
      <w:lvlJc w:val="left"/>
      <w:pPr>
        <w:tabs>
          <w:tab w:val="num" w:pos="5760"/>
        </w:tabs>
        <w:ind w:left="5760" w:hanging="360"/>
      </w:pPr>
      <w:rPr>
        <w:rFonts w:ascii="Times New Roman" w:hAnsi="Times New Roman" w:hint="default"/>
      </w:rPr>
    </w:lvl>
    <w:lvl w:ilvl="8" w:tplc="8D86B13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764FAF"/>
    <w:multiLevelType w:val="hybridMultilevel"/>
    <w:tmpl w:val="82848F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CE104A9"/>
    <w:multiLevelType w:val="hybridMultilevel"/>
    <w:tmpl w:val="FD404206"/>
    <w:lvl w:ilvl="0" w:tplc="476E9332">
      <w:start w:val="1"/>
      <w:numFmt w:val="bullet"/>
      <w:lvlText w:val="–"/>
      <w:lvlJc w:val="left"/>
      <w:pPr>
        <w:tabs>
          <w:tab w:val="num" w:pos="720"/>
        </w:tabs>
        <w:ind w:left="720" w:hanging="360"/>
      </w:pPr>
      <w:rPr>
        <w:rFonts w:ascii="Times New Roman" w:hAnsi="Times New Roman" w:hint="default"/>
      </w:rPr>
    </w:lvl>
    <w:lvl w:ilvl="1" w:tplc="5EA68760">
      <w:start w:val="1"/>
      <w:numFmt w:val="bullet"/>
      <w:lvlText w:val="–"/>
      <w:lvlJc w:val="left"/>
      <w:pPr>
        <w:tabs>
          <w:tab w:val="num" w:pos="360"/>
        </w:tabs>
        <w:ind w:left="360" w:hanging="360"/>
      </w:pPr>
      <w:rPr>
        <w:rFonts w:ascii="Times New Roman" w:hAnsi="Times New Roman" w:hint="default"/>
      </w:rPr>
    </w:lvl>
    <w:lvl w:ilvl="2" w:tplc="EE224474" w:tentative="1">
      <w:start w:val="1"/>
      <w:numFmt w:val="bullet"/>
      <w:lvlText w:val="–"/>
      <w:lvlJc w:val="left"/>
      <w:pPr>
        <w:tabs>
          <w:tab w:val="num" w:pos="2160"/>
        </w:tabs>
        <w:ind w:left="2160" w:hanging="360"/>
      </w:pPr>
      <w:rPr>
        <w:rFonts w:ascii="Times New Roman" w:hAnsi="Times New Roman" w:hint="default"/>
      </w:rPr>
    </w:lvl>
    <w:lvl w:ilvl="3" w:tplc="9F8A0006" w:tentative="1">
      <w:start w:val="1"/>
      <w:numFmt w:val="bullet"/>
      <w:lvlText w:val="–"/>
      <w:lvlJc w:val="left"/>
      <w:pPr>
        <w:tabs>
          <w:tab w:val="num" w:pos="2880"/>
        </w:tabs>
        <w:ind w:left="2880" w:hanging="360"/>
      </w:pPr>
      <w:rPr>
        <w:rFonts w:ascii="Times New Roman" w:hAnsi="Times New Roman" w:hint="default"/>
      </w:rPr>
    </w:lvl>
    <w:lvl w:ilvl="4" w:tplc="206295B8" w:tentative="1">
      <w:start w:val="1"/>
      <w:numFmt w:val="bullet"/>
      <w:lvlText w:val="–"/>
      <w:lvlJc w:val="left"/>
      <w:pPr>
        <w:tabs>
          <w:tab w:val="num" w:pos="3600"/>
        </w:tabs>
        <w:ind w:left="3600" w:hanging="360"/>
      </w:pPr>
      <w:rPr>
        <w:rFonts w:ascii="Times New Roman" w:hAnsi="Times New Roman" w:hint="default"/>
      </w:rPr>
    </w:lvl>
    <w:lvl w:ilvl="5" w:tplc="2B8A9866" w:tentative="1">
      <w:start w:val="1"/>
      <w:numFmt w:val="bullet"/>
      <w:lvlText w:val="–"/>
      <w:lvlJc w:val="left"/>
      <w:pPr>
        <w:tabs>
          <w:tab w:val="num" w:pos="4320"/>
        </w:tabs>
        <w:ind w:left="4320" w:hanging="360"/>
      </w:pPr>
      <w:rPr>
        <w:rFonts w:ascii="Times New Roman" w:hAnsi="Times New Roman" w:hint="default"/>
      </w:rPr>
    </w:lvl>
    <w:lvl w:ilvl="6" w:tplc="E684E832" w:tentative="1">
      <w:start w:val="1"/>
      <w:numFmt w:val="bullet"/>
      <w:lvlText w:val="–"/>
      <w:lvlJc w:val="left"/>
      <w:pPr>
        <w:tabs>
          <w:tab w:val="num" w:pos="5040"/>
        </w:tabs>
        <w:ind w:left="5040" w:hanging="360"/>
      </w:pPr>
      <w:rPr>
        <w:rFonts w:ascii="Times New Roman" w:hAnsi="Times New Roman" w:hint="default"/>
      </w:rPr>
    </w:lvl>
    <w:lvl w:ilvl="7" w:tplc="4D50548C" w:tentative="1">
      <w:start w:val="1"/>
      <w:numFmt w:val="bullet"/>
      <w:lvlText w:val="–"/>
      <w:lvlJc w:val="left"/>
      <w:pPr>
        <w:tabs>
          <w:tab w:val="num" w:pos="5760"/>
        </w:tabs>
        <w:ind w:left="5760" w:hanging="360"/>
      </w:pPr>
      <w:rPr>
        <w:rFonts w:ascii="Times New Roman" w:hAnsi="Times New Roman" w:hint="default"/>
      </w:rPr>
    </w:lvl>
    <w:lvl w:ilvl="8" w:tplc="1344667A" w:tentative="1">
      <w:start w:val="1"/>
      <w:numFmt w:val="bullet"/>
      <w:lvlText w:val="–"/>
      <w:lvlJc w:val="left"/>
      <w:pPr>
        <w:tabs>
          <w:tab w:val="num" w:pos="6480"/>
        </w:tabs>
        <w:ind w:left="6480" w:hanging="360"/>
      </w:pPr>
      <w:rPr>
        <w:rFonts w:ascii="Times New Roman" w:hAnsi="Times New Roman" w:hint="default"/>
      </w:rPr>
    </w:lvl>
  </w:abstractNum>
  <w:num w:numId="1" w16cid:durableId="331563407">
    <w:abstractNumId w:val="21"/>
  </w:num>
  <w:num w:numId="2" w16cid:durableId="2084832727">
    <w:abstractNumId w:val="16"/>
  </w:num>
  <w:num w:numId="3" w16cid:durableId="242691395">
    <w:abstractNumId w:val="17"/>
  </w:num>
  <w:num w:numId="4" w16cid:durableId="1649244645">
    <w:abstractNumId w:val="24"/>
  </w:num>
  <w:num w:numId="5" w16cid:durableId="1070730712">
    <w:abstractNumId w:val="4"/>
  </w:num>
  <w:num w:numId="6" w16cid:durableId="1625426490">
    <w:abstractNumId w:val="5"/>
  </w:num>
  <w:num w:numId="7" w16cid:durableId="1086072230">
    <w:abstractNumId w:val="6"/>
  </w:num>
  <w:num w:numId="8" w16cid:durableId="1304383972">
    <w:abstractNumId w:val="22"/>
  </w:num>
  <w:num w:numId="9" w16cid:durableId="13925945">
    <w:abstractNumId w:val="10"/>
  </w:num>
  <w:num w:numId="10" w16cid:durableId="1404639029">
    <w:abstractNumId w:val="1"/>
  </w:num>
  <w:num w:numId="11" w16cid:durableId="1248659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2909773">
    <w:abstractNumId w:val="12"/>
  </w:num>
  <w:num w:numId="13" w16cid:durableId="1178959288">
    <w:abstractNumId w:val="13"/>
  </w:num>
  <w:num w:numId="14" w16cid:durableId="1871411947">
    <w:abstractNumId w:val="8"/>
  </w:num>
  <w:num w:numId="15" w16cid:durableId="814376144">
    <w:abstractNumId w:val="14"/>
  </w:num>
  <w:num w:numId="16" w16cid:durableId="1583292555">
    <w:abstractNumId w:val="0"/>
  </w:num>
  <w:num w:numId="17" w16cid:durableId="1914773453">
    <w:abstractNumId w:val="19"/>
  </w:num>
  <w:num w:numId="18" w16cid:durableId="1370953086">
    <w:abstractNumId w:val="7"/>
  </w:num>
  <w:num w:numId="19" w16cid:durableId="1465193659">
    <w:abstractNumId w:val="2"/>
  </w:num>
  <w:num w:numId="20" w16cid:durableId="1654679794">
    <w:abstractNumId w:val="3"/>
  </w:num>
  <w:num w:numId="21" w16cid:durableId="1117020387">
    <w:abstractNumId w:val="11"/>
  </w:num>
  <w:num w:numId="22" w16cid:durableId="79647142">
    <w:abstractNumId w:val="20"/>
  </w:num>
  <w:num w:numId="23" w16cid:durableId="755400147">
    <w:abstractNumId w:val="18"/>
  </w:num>
  <w:num w:numId="24" w16cid:durableId="1189180214">
    <w:abstractNumId w:val="15"/>
  </w:num>
  <w:num w:numId="25" w16cid:durableId="1567490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C8"/>
    <w:rsid w:val="000056AB"/>
    <w:rsid w:val="0002234D"/>
    <w:rsid w:val="00041C02"/>
    <w:rsid w:val="00044032"/>
    <w:rsid w:val="00045445"/>
    <w:rsid w:val="00045DAE"/>
    <w:rsid w:val="00055DBE"/>
    <w:rsid w:val="000749BE"/>
    <w:rsid w:val="000779BA"/>
    <w:rsid w:val="00080A78"/>
    <w:rsid w:val="000F41C7"/>
    <w:rsid w:val="000F452B"/>
    <w:rsid w:val="00117AFD"/>
    <w:rsid w:val="0012482F"/>
    <w:rsid w:val="001274D5"/>
    <w:rsid w:val="00135C6A"/>
    <w:rsid w:val="001401C8"/>
    <w:rsid w:val="001553CC"/>
    <w:rsid w:val="00172642"/>
    <w:rsid w:val="00172F51"/>
    <w:rsid w:val="00173219"/>
    <w:rsid w:val="001763F5"/>
    <w:rsid w:val="00180803"/>
    <w:rsid w:val="00194424"/>
    <w:rsid w:val="001A217E"/>
    <w:rsid w:val="001B6B59"/>
    <w:rsid w:val="001C0989"/>
    <w:rsid w:val="001C616F"/>
    <w:rsid w:val="001D26BC"/>
    <w:rsid w:val="001D3791"/>
    <w:rsid w:val="001D42C9"/>
    <w:rsid w:val="001F08C6"/>
    <w:rsid w:val="001F32E5"/>
    <w:rsid w:val="001F4275"/>
    <w:rsid w:val="002011E5"/>
    <w:rsid w:val="0022548F"/>
    <w:rsid w:val="0022629B"/>
    <w:rsid w:val="00231666"/>
    <w:rsid w:val="00233F35"/>
    <w:rsid w:val="00235466"/>
    <w:rsid w:val="00253ADA"/>
    <w:rsid w:val="00270D8A"/>
    <w:rsid w:val="00280A41"/>
    <w:rsid w:val="002D6585"/>
    <w:rsid w:val="002E260C"/>
    <w:rsid w:val="003026FF"/>
    <w:rsid w:val="00321F3B"/>
    <w:rsid w:val="003446E3"/>
    <w:rsid w:val="00347F8A"/>
    <w:rsid w:val="00366894"/>
    <w:rsid w:val="0037319D"/>
    <w:rsid w:val="00382E76"/>
    <w:rsid w:val="00392D06"/>
    <w:rsid w:val="003A1CCE"/>
    <w:rsid w:val="003B0D1C"/>
    <w:rsid w:val="003C26C4"/>
    <w:rsid w:val="003C2BE0"/>
    <w:rsid w:val="003C2C27"/>
    <w:rsid w:val="003D7A44"/>
    <w:rsid w:val="003F5E47"/>
    <w:rsid w:val="00402C61"/>
    <w:rsid w:val="0040513F"/>
    <w:rsid w:val="00406DAE"/>
    <w:rsid w:val="00420FC5"/>
    <w:rsid w:val="00421FD9"/>
    <w:rsid w:val="004300E7"/>
    <w:rsid w:val="00433C48"/>
    <w:rsid w:val="00435E04"/>
    <w:rsid w:val="0044292C"/>
    <w:rsid w:val="00451228"/>
    <w:rsid w:val="004534AF"/>
    <w:rsid w:val="00470A00"/>
    <w:rsid w:val="004718C4"/>
    <w:rsid w:val="00472940"/>
    <w:rsid w:val="004760A5"/>
    <w:rsid w:val="004822E4"/>
    <w:rsid w:val="00485572"/>
    <w:rsid w:val="00496DC3"/>
    <w:rsid w:val="004A56B4"/>
    <w:rsid w:val="004A5AD9"/>
    <w:rsid w:val="004B674D"/>
    <w:rsid w:val="004C568F"/>
    <w:rsid w:val="004D6419"/>
    <w:rsid w:val="004E4697"/>
    <w:rsid w:val="004F4651"/>
    <w:rsid w:val="004F635E"/>
    <w:rsid w:val="004F7FA6"/>
    <w:rsid w:val="00511D94"/>
    <w:rsid w:val="00542315"/>
    <w:rsid w:val="00555506"/>
    <w:rsid w:val="005620F1"/>
    <w:rsid w:val="00562748"/>
    <w:rsid w:val="00566003"/>
    <w:rsid w:val="0058422A"/>
    <w:rsid w:val="00587DA2"/>
    <w:rsid w:val="00596695"/>
    <w:rsid w:val="005A20F4"/>
    <w:rsid w:val="005A5863"/>
    <w:rsid w:val="005A690C"/>
    <w:rsid w:val="005B2289"/>
    <w:rsid w:val="005B2374"/>
    <w:rsid w:val="005B5F70"/>
    <w:rsid w:val="005B717A"/>
    <w:rsid w:val="005C2964"/>
    <w:rsid w:val="005D4817"/>
    <w:rsid w:val="005E0E4A"/>
    <w:rsid w:val="005E19AC"/>
    <w:rsid w:val="00614C20"/>
    <w:rsid w:val="00621DA2"/>
    <w:rsid w:val="0062518E"/>
    <w:rsid w:val="00657AC0"/>
    <w:rsid w:val="006635CE"/>
    <w:rsid w:val="0068450B"/>
    <w:rsid w:val="006A4986"/>
    <w:rsid w:val="006B0806"/>
    <w:rsid w:val="006B108D"/>
    <w:rsid w:val="006C6737"/>
    <w:rsid w:val="006D1499"/>
    <w:rsid w:val="006D243E"/>
    <w:rsid w:val="006D701F"/>
    <w:rsid w:val="006F0462"/>
    <w:rsid w:val="006F081D"/>
    <w:rsid w:val="006F13EF"/>
    <w:rsid w:val="006F543B"/>
    <w:rsid w:val="006F7DE3"/>
    <w:rsid w:val="00701BE7"/>
    <w:rsid w:val="00710BCE"/>
    <w:rsid w:val="007259B4"/>
    <w:rsid w:val="0073068C"/>
    <w:rsid w:val="00731AB8"/>
    <w:rsid w:val="00733A46"/>
    <w:rsid w:val="0073403F"/>
    <w:rsid w:val="00741DB6"/>
    <w:rsid w:val="00741FF3"/>
    <w:rsid w:val="0074625A"/>
    <w:rsid w:val="0074762C"/>
    <w:rsid w:val="0075322E"/>
    <w:rsid w:val="00754273"/>
    <w:rsid w:val="00754539"/>
    <w:rsid w:val="00762529"/>
    <w:rsid w:val="007629D4"/>
    <w:rsid w:val="00762D68"/>
    <w:rsid w:val="00771126"/>
    <w:rsid w:val="00771DDF"/>
    <w:rsid w:val="00777849"/>
    <w:rsid w:val="007855F4"/>
    <w:rsid w:val="007A2742"/>
    <w:rsid w:val="007A4789"/>
    <w:rsid w:val="007B7128"/>
    <w:rsid w:val="007C1464"/>
    <w:rsid w:val="007C1E30"/>
    <w:rsid w:val="007C541A"/>
    <w:rsid w:val="007D7399"/>
    <w:rsid w:val="007E31F0"/>
    <w:rsid w:val="007F7023"/>
    <w:rsid w:val="008032B0"/>
    <w:rsid w:val="00812E16"/>
    <w:rsid w:val="008161FE"/>
    <w:rsid w:val="0082412F"/>
    <w:rsid w:val="00832261"/>
    <w:rsid w:val="00832D2C"/>
    <w:rsid w:val="008358C7"/>
    <w:rsid w:val="00845039"/>
    <w:rsid w:val="00872C5B"/>
    <w:rsid w:val="008A6374"/>
    <w:rsid w:val="008B5624"/>
    <w:rsid w:val="008C3430"/>
    <w:rsid w:val="008C74ED"/>
    <w:rsid w:val="008D49CE"/>
    <w:rsid w:val="008F1F0F"/>
    <w:rsid w:val="009151E5"/>
    <w:rsid w:val="009218DC"/>
    <w:rsid w:val="00925466"/>
    <w:rsid w:val="00934AF5"/>
    <w:rsid w:val="00940FC0"/>
    <w:rsid w:val="00943103"/>
    <w:rsid w:val="00950A79"/>
    <w:rsid w:val="00950F1D"/>
    <w:rsid w:val="00957700"/>
    <w:rsid w:val="00961DE3"/>
    <w:rsid w:val="00965758"/>
    <w:rsid w:val="00972A98"/>
    <w:rsid w:val="00980663"/>
    <w:rsid w:val="00980852"/>
    <w:rsid w:val="00997DB0"/>
    <w:rsid w:val="009A7212"/>
    <w:rsid w:val="009B37BD"/>
    <w:rsid w:val="009B4000"/>
    <w:rsid w:val="009B6F3F"/>
    <w:rsid w:val="009C573C"/>
    <w:rsid w:val="009C681D"/>
    <w:rsid w:val="009D1605"/>
    <w:rsid w:val="009D6812"/>
    <w:rsid w:val="009E37CD"/>
    <w:rsid w:val="009E38D8"/>
    <w:rsid w:val="009E4551"/>
    <w:rsid w:val="009F225A"/>
    <w:rsid w:val="00A032F8"/>
    <w:rsid w:val="00A140FD"/>
    <w:rsid w:val="00A16BEC"/>
    <w:rsid w:val="00A20271"/>
    <w:rsid w:val="00A2690F"/>
    <w:rsid w:val="00A3195B"/>
    <w:rsid w:val="00A4054F"/>
    <w:rsid w:val="00A46A1E"/>
    <w:rsid w:val="00A5273B"/>
    <w:rsid w:val="00A60B2F"/>
    <w:rsid w:val="00A72F3D"/>
    <w:rsid w:val="00A73844"/>
    <w:rsid w:val="00A75377"/>
    <w:rsid w:val="00A849C8"/>
    <w:rsid w:val="00A902C7"/>
    <w:rsid w:val="00A95A30"/>
    <w:rsid w:val="00AA5F6B"/>
    <w:rsid w:val="00AB5C5D"/>
    <w:rsid w:val="00AC3462"/>
    <w:rsid w:val="00AC6496"/>
    <w:rsid w:val="00AD1900"/>
    <w:rsid w:val="00AF47E8"/>
    <w:rsid w:val="00B16687"/>
    <w:rsid w:val="00B2424B"/>
    <w:rsid w:val="00B25248"/>
    <w:rsid w:val="00B34317"/>
    <w:rsid w:val="00B40CE1"/>
    <w:rsid w:val="00B41707"/>
    <w:rsid w:val="00B44085"/>
    <w:rsid w:val="00B44B7E"/>
    <w:rsid w:val="00B52F14"/>
    <w:rsid w:val="00B62218"/>
    <w:rsid w:val="00B64F58"/>
    <w:rsid w:val="00B67D1A"/>
    <w:rsid w:val="00B72A9C"/>
    <w:rsid w:val="00B7533D"/>
    <w:rsid w:val="00B7633B"/>
    <w:rsid w:val="00B840DB"/>
    <w:rsid w:val="00B87FE3"/>
    <w:rsid w:val="00B90464"/>
    <w:rsid w:val="00B96581"/>
    <w:rsid w:val="00BA028A"/>
    <w:rsid w:val="00BA56A1"/>
    <w:rsid w:val="00BA7861"/>
    <w:rsid w:val="00BC6C38"/>
    <w:rsid w:val="00BD69EC"/>
    <w:rsid w:val="00BF6156"/>
    <w:rsid w:val="00C07BC9"/>
    <w:rsid w:val="00C23955"/>
    <w:rsid w:val="00C332AE"/>
    <w:rsid w:val="00C359F0"/>
    <w:rsid w:val="00C42290"/>
    <w:rsid w:val="00C540B8"/>
    <w:rsid w:val="00C5466F"/>
    <w:rsid w:val="00C57FBD"/>
    <w:rsid w:val="00C60A8E"/>
    <w:rsid w:val="00C7100E"/>
    <w:rsid w:val="00C72B98"/>
    <w:rsid w:val="00C83452"/>
    <w:rsid w:val="00C87AF6"/>
    <w:rsid w:val="00C94541"/>
    <w:rsid w:val="00CA10AB"/>
    <w:rsid w:val="00CB2713"/>
    <w:rsid w:val="00CB486B"/>
    <w:rsid w:val="00CC17CE"/>
    <w:rsid w:val="00CC25A1"/>
    <w:rsid w:val="00CC2BE9"/>
    <w:rsid w:val="00CC3D48"/>
    <w:rsid w:val="00CD1382"/>
    <w:rsid w:val="00CD5938"/>
    <w:rsid w:val="00CE4845"/>
    <w:rsid w:val="00CE7498"/>
    <w:rsid w:val="00CF0FFE"/>
    <w:rsid w:val="00D066A9"/>
    <w:rsid w:val="00D1167D"/>
    <w:rsid w:val="00D26B2A"/>
    <w:rsid w:val="00D310E5"/>
    <w:rsid w:val="00D4784E"/>
    <w:rsid w:val="00D5126D"/>
    <w:rsid w:val="00D5286E"/>
    <w:rsid w:val="00D52B48"/>
    <w:rsid w:val="00D74C75"/>
    <w:rsid w:val="00D74D4C"/>
    <w:rsid w:val="00D928FC"/>
    <w:rsid w:val="00DA4CE6"/>
    <w:rsid w:val="00DB781C"/>
    <w:rsid w:val="00DC1E3E"/>
    <w:rsid w:val="00DC1E64"/>
    <w:rsid w:val="00DC521C"/>
    <w:rsid w:val="00DC72B2"/>
    <w:rsid w:val="00DE385F"/>
    <w:rsid w:val="00DF7956"/>
    <w:rsid w:val="00E06681"/>
    <w:rsid w:val="00E20F3F"/>
    <w:rsid w:val="00E23976"/>
    <w:rsid w:val="00E33FA9"/>
    <w:rsid w:val="00E3676F"/>
    <w:rsid w:val="00E36D68"/>
    <w:rsid w:val="00E47383"/>
    <w:rsid w:val="00E673B6"/>
    <w:rsid w:val="00E92161"/>
    <w:rsid w:val="00E92582"/>
    <w:rsid w:val="00EA2115"/>
    <w:rsid w:val="00EB0B13"/>
    <w:rsid w:val="00EB4517"/>
    <w:rsid w:val="00EC1F8D"/>
    <w:rsid w:val="00ED0355"/>
    <w:rsid w:val="00EE01A1"/>
    <w:rsid w:val="00EE7DA5"/>
    <w:rsid w:val="00F11E30"/>
    <w:rsid w:val="00F135C3"/>
    <w:rsid w:val="00F42B5D"/>
    <w:rsid w:val="00F42E7E"/>
    <w:rsid w:val="00F6168E"/>
    <w:rsid w:val="00F72352"/>
    <w:rsid w:val="00F74DC4"/>
    <w:rsid w:val="00F74E57"/>
    <w:rsid w:val="00F80D6C"/>
    <w:rsid w:val="00F81B48"/>
    <w:rsid w:val="00F876A4"/>
    <w:rsid w:val="00F92BE6"/>
    <w:rsid w:val="00F94BDB"/>
    <w:rsid w:val="00F966A9"/>
    <w:rsid w:val="00FA1A7F"/>
    <w:rsid w:val="00FA627E"/>
    <w:rsid w:val="00FA7E43"/>
    <w:rsid w:val="00FD2B92"/>
    <w:rsid w:val="00FF18DD"/>
    <w:rsid w:val="00FF3EA5"/>
    <w:rsid w:val="2D679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0D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60B2F"/>
    <w:pPr>
      <w:keepNext/>
      <w:keepLines/>
      <w:spacing w:after="480"/>
      <w:jc w:val="right"/>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5E0E4A"/>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rsid w:val="007A2742"/>
    <w:pPr>
      <w:keepNext/>
      <w:keepLines/>
      <w:spacing w:after="0" w:line="240" w:lineRule="auto"/>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F70"/>
    <w:pPr>
      <w:ind w:left="720"/>
      <w:contextualSpacing/>
    </w:pPr>
  </w:style>
  <w:style w:type="paragraph" w:styleId="Header">
    <w:name w:val="header"/>
    <w:basedOn w:val="Normal"/>
    <w:link w:val="HeaderChar"/>
    <w:uiPriority w:val="99"/>
    <w:unhideWhenUsed/>
    <w:rsid w:val="00C87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F6"/>
  </w:style>
  <w:style w:type="paragraph" w:styleId="Footer">
    <w:name w:val="footer"/>
    <w:basedOn w:val="Normal"/>
    <w:link w:val="FooterChar"/>
    <w:uiPriority w:val="99"/>
    <w:unhideWhenUsed/>
    <w:rsid w:val="00C87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F6"/>
  </w:style>
  <w:style w:type="character" w:styleId="CommentReference">
    <w:name w:val="annotation reference"/>
    <w:basedOn w:val="DefaultParagraphFont"/>
    <w:uiPriority w:val="99"/>
    <w:semiHidden/>
    <w:unhideWhenUsed/>
    <w:rsid w:val="009F225A"/>
    <w:rPr>
      <w:sz w:val="16"/>
      <w:szCs w:val="16"/>
    </w:rPr>
  </w:style>
  <w:style w:type="paragraph" w:styleId="CommentText">
    <w:name w:val="annotation text"/>
    <w:basedOn w:val="Normal"/>
    <w:link w:val="CommentTextChar"/>
    <w:uiPriority w:val="99"/>
    <w:unhideWhenUsed/>
    <w:rsid w:val="009F225A"/>
    <w:pPr>
      <w:spacing w:line="240" w:lineRule="auto"/>
    </w:pPr>
    <w:rPr>
      <w:sz w:val="20"/>
      <w:szCs w:val="20"/>
    </w:rPr>
  </w:style>
  <w:style w:type="character" w:customStyle="1" w:styleId="CommentTextChar">
    <w:name w:val="Comment Text Char"/>
    <w:basedOn w:val="DefaultParagraphFont"/>
    <w:link w:val="CommentText"/>
    <w:uiPriority w:val="99"/>
    <w:rsid w:val="009F225A"/>
    <w:rPr>
      <w:sz w:val="20"/>
      <w:szCs w:val="20"/>
    </w:rPr>
  </w:style>
  <w:style w:type="paragraph" w:styleId="CommentSubject">
    <w:name w:val="annotation subject"/>
    <w:basedOn w:val="CommentText"/>
    <w:next w:val="CommentText"/>
    <w:link w:val="CommentSubjectChar"/>
    <w:uiPriority w:val="99"/>
    <w:semiHidden/>
    <w:unhideWhenUsed/>
    <w:rsid w:val="009F225A"/>
    <w:rPr>
      <w:b/>
      <w:bCs/>
    </w:rPr>
  </w:style>
  <w:style w:type="character" w:customStyle="1" w:styleId="CommentSubjectChar">
    <w:name w:val="Comment Subject Char"/>
    <w:basedOn w:val="CommentTextChar"/>
    <w:link w:val="CommentSubject"/>
    <w:uiPriority w:val="99"/>
    <w:semiHidden/>
    <w:rsid w:val="009F225A"/>
    <w:rPr>
      <w:b/>
      <w:bCs/>
      <w:sz w:val="20"/>
      <w:szCs w:val="20"/>
    </w:rPr>
  </w:style>
  <w:style w:type="paragraph" w:styleId="BalloonText">
    <w:name w:val="Balloon Text"/>
    <w:basedOn w:val="Normal"/>
    <w:link w:val="BalloonTextChar"/>
    <w:uiPriority w:val="99"/>
    <w:semiHidden/>
    <w:unhideWhenUsed/>
    <w:rsid w:val="009F2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5A"/>
    <w:rPr>
      <w:rFonts w:ascii="Segoe UI" w:hAnsi="Segoe UI" w:cs="Segoe UI"/>
      <w:sz w:val="18"/>
      <w:szCs w:val="18"/>
    </w:rPr>
  </w:style>
  <w:style w:type="paragraph" w:styleId="Revision">
    <w:name w:val="Revision"/>
    <w:hidden/>
    <w:uiPriority w:val="99"/>
    <w:semiHidden/>
    <w:rsid w:val="00B96581"/>
    <w:pPr>
      <w:spacing w:after="0" w:line="240" w:lineRule="auto"/>
    </w:pPr>
  </w:style>
  <w:style w:type="paragraph" w:customStyle="1" w:styleId="Default">
    <w:name w:val="Default"/>
    <w:rsid w:val="00CE484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3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DA2"/>
    <w:rPr>
      <w:color w:val="0563C1" w:themeColor="hyperlink"/>
      <w:u w:val="single"/>
    </w:rPr>
  </w:style>
  <w:style w:type="character" w:customStyle="1" w:styleId="Heading1Char">
    <w:name w:val="Heading 1 Char"/>
    <w:basedOn w:val="DefaultParagraphFont"/>
    <w:link w:val="Heading1"/>
    <w:uiPriority w:val="9"/>
    <w:rsid w:val="00A60B2F"/>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5E0E4A"/>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7A2742"/>
    <w:rPr>
      <w:rFonts w:ascii="Arial" w:eastAsiaTheme="majorEastAsia" w:hAnsi="Arial" w:cstheme="majorBidi"/>
      <w:b/>
      <w:sz w:val="24"/>
      <w:szCs w:val="24"/>
    </w:rPr>
  </w:style>
  <w:style w:type="table" w:customStyle="1" w:styleId="Style1">
    <w:name w:val="Style1"/>
    <w:basedOn w:val="TableNormal"/>
    <w:uiPriority w:val="99"/>
    <w:rsid w:val="00231666"/>
    <w:pPr>
      <w:spacing w:after="0" w:line="240" w:lineRule="auto"/>
    </w:pPr>
    <w:rPr>
      <w:rFonts w:ascii="Arial" w:hAnsi="Arial"/>
      <w:sz w:val="24"/>
    </w:rPr>
    <w:tblPr>
      <w:tblStyleRowBandSize w:val="2"/>
    </w:tblPr>
  </w:style>
  <w:style w:type="table" w:styleId="GridTable4-Accent3">
    <w:name w:val="Grid Table 4 Accent 3"/>
    <w:basedOn w:val="TableNormal"/>
    <w:uiPriority w:val="49"/>
    <w:rsid w:val="007A27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3Table">
    <w:name w:val="Heading 3 Table"/>
    <w:basedOn w:val="Heading3"/>
    <w:link w:val="Heading3TableChar"/>
    <w:qFormat/>
    <w:rsid w:val="00B44B7E"/>
  </w:style>
  <w:style w:type="character" w:customStyle="1" w:styleId="Heading3TableChar">
    <w:name w:val="Heading 3 Table Char"/>
    <w:basedOn w:val="Heading3Char"/>
    <w:link w:val="Heading3Table"/>
    <w:rsid w:val="00B44B7E"/>
    <w:rPr>
      <w:rFonts w:ascii="Arial" w:eastAsiaTheme="majorEastAsia" w:hAnsi="Arial" w:cstheme="majorBidi"/>
      <w:b/>
      <w:sz w:val="24"/>
      <w:szCs w:val="24"/>
    </w:rPr>
  </w:style>
  <w:style w:type="table" w:styleId="ListTable3-Accent5">
    <w:name w:val="List Table 3 Accent 5"/>
    <w:basedOn w:val="TableNormal"/>
    <w:uiPriority w:val="48"/>
    <w:rsid w:val="0022629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1Light-Accent5">
    <w:name w:val="Grid Table 1 Light Accent 5"/>
    <w:basedOn w:val="TableNormal"/>
    <w:uiPriority w:val="46"/>
    <w:rsid w:val="0022629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CC25A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43777">
      <w:bodyDiv w:val="1"/>
      <w:marLeft w:val="0"/>
      <w:marRight w:val="0"/>
      <w:marTop w:val="0"/>
      <w:marBottom w:val="0"/>
      <w:divBdr>
        <w:top w:val="none" w:sz="0" w:space="0" w:color="auto"/>
        <w:left w:val="none" w:sz="0" w:space="0" w:color="auto"/>
        <w:bottom w:val="none" w:sz="0" w:space="0" w:color="auto"/>
        <w:right w:val="none" w:sz="0" w:space="0" w:color="auto"/>
      </w:divBdr>
      <w:divsChild>
        <w:div w:id="1288899875">
          <w:marLeft w:val="1166"/>
          <w:marRight w:val="0"/>
          <w:marTop w:val="115"/>
          <w:marBottom w:val="0"/>
          <w:divBdr>
            <w:top w:val="none" w:sz="0" w:space="0" w:color="auto"/>
            <w:left w:val="none" w:sz="0" w:space="0" w:color="auto"/>
            <w:bottom w:val="none" w:sz="0" w:space="0" w:color="auto"/>
            <w:right w:val="none" w:sz="0" w:space="0" w:color="auto"/>
          </w:divBdr>
        </w:div>
        <w:div w:id="377897111">
          <w:marLeft w:val="1166"/>
          <w:marRight w:val="0"/>
          <w:marTop w:val="115"/>
          <w:marBottom w:val="0"/>
          <w:divBdr>
            <w:top w:val="none" w:sz="0" w:space="0" w:color="auto"/>
            <w:left w:val="none" w:sz="0" w:space="0" w:color="auto"/>
            <w:bottom w:val="none" w:sz="0" w:space="0" w:color="auto"/>
            <w:right w:val="none" w:sz="0" w:space="0" w:color="auto"/>
          </w:divBdr>
        </w:div>
        <w:div w:id="1509950887">
          <w:marLeft w:val="1166"/>
          <w:marRight w:val="0"/>
          <w:marTop w:val="115"/>
          <w:marBottom w:val="0"/>
          <w:divBdr>
            <w:top w:val="none" w:sz="0" w:space="0" w:color="auto"/>
            <w:left w:val="none" w:sz="0" w:space="0" w:color="auto"/>
            <w:bottom w:val="none" w:sz="0" w:space="0" w:color="auto"/>
            <w:right w:val="none" w:sz="0" w:space="0" w:color="auto"/>
          </w:divBdr>
        </w:div>
        <w:div w:id="1180509775">
          <w:marLeft w:val="1166"/>
          <w:marRight w:val="0"/>
          <w:marTop w:val="115"/>
          <w:marBottom w:val="0"/>
          <w:divBdr>
            <w:top w:val="none" w:sz="0" w:space="0" w:color="auto"/>
            <w:left w:val="none" w:sz="0" w:space="0" w:color="auto"/>
            <w:bottom w:val="none" w:sz="0" w:space="0" w:color="auto"/>
            <w:right w:val="none" w:sz="0" w:space="0" w:color="auto"/>
          </w:divBdr>
        </w:div>
        <w:div w:id="368914502">
          <w:marLeft w:val="1166"/>
          <w:marRight w:val="0"/>
          <w:marTop w:val="115"/>
          <w:marBottom w:val="0"/>
          <w:divBdr>
            <w:top w:val="none" w:sz="0" w:space="0" w:color="auto"/>
            <w:left w:val="none" w:sz="0" w:space="0" w:color="auto"/>
            <w:bottom w:val="none" w:sz="0" w:space="0" w:color="auto"/>
            <w:right w:val="none" w:sz="0" w:space="0" w:color="auto"/>
          </w:divBdr>
        </w:div>
        <w:div w:id="330334004">
          <w:marLeft w:val="1166"/>
          <w:marRight w:val="0"/>
          <w:marTop w:val="115"/>
          <w:marBottom w:val="0"/>
          <w:divBdr>
            <w:top w:val="none" w:sz="0" w:space="0" w:color="auto"/>
            <w:left w:val="none" w:sz="0" w:space="0" w:color="auto"/>
            <w:bottom w:val="none" w:sz="0" w:space="0" w:color="auto"/>
            <w:right w:val="none" w:sz="0" w:space="0" w:color="auto"/>
          </w:divBdr>
        </w:div>
      </w:divsChild>
    </w:div>
    <w:div w:id="880215155">
      <w:bodyDiv w:val="1"/>
      <w:marLeft w:val="0"/>
      <w:marRight w:val="0"/>
      <w:marTop w:val="0"/>
      <w:marBottom w:val="0"/>
      <w:divBdr>
        <w:top w:val="none" w:sz="0" w:space="0" w:color="auto"/>
        <w:left w:val="none" w:sz="0" w:space="0" w:color="auto"/>
        <w:bottom w:val="none" w:sz="0" w:space="0" w:color="auto"/>
        <w:right w:val="none" w:sz="0" w:space="0" w:color="auto"/>
      </w:divBdr>
    </w:div>
    <w:div w:id="1181970561">
      <w:bodyDiv w:val="1"/>
      <w:marLeft w:val="0"/>
      <w:marRight w:val="0"/>
      <w:marTop w:val="0"/>
      <w:marBottom w:val="0"/>
      <w:divBdr>
        <w:top w:val="none" w:sz="0" w:space="0" w:color="auto"/>
        <w:left w:val="none" w:sz="0" w:space="0" w:color="auto"/>
        <w:bottom w:val="none" w:sz="0" w:space="0" w:color="auto"/>
        <w:right w:val="none" w:sz="0" w:space="0" w:color="auto"/>
      </w:divBdr>
    </w:div>
    <w:div w:id="1296525820">
      <w:bodyDiv w:val="1"/>
      <w:marLeft w:val="0"/>
      <w:marRight w:val="0"/>
      <w:marTop w:val="0"/>
      <w:marBottom w:val="0"/>
      <w:divBdr>
        <w:top w:val="none" w:sz="0" w:space="0" w:color="auto"/>
        <w:left w:val="none" w:sz="0" w:space="0" w:color="auto"/>
        <w:bottom w:val="none" w:sz="0" w:space="0" w:color="auto"/>
        <w:right w:val="none" w:sz="0" w:space="0" w:color="auto"/>
      </w:divBdr>
      <w:divsChild>
        <w:div w:id="1048190860">
          <w:marLeft w:val="1166"/>
          <w:marRight w:val="0"/>
          <w:marTop w:val="134"/>
          <w:marBottom w:val="0"/>
          <w:divBdr>
            <w:top w:val="none" w:sz="0" w:space="0" w:color="auto"/>
            <w:left w:val="none" w:sz="0" w:space="0" w:color="auto"/>
            <w:bottom w:val="none" w:sz="0" w:space="0" w:color="auto"/>
            <w:right w:val="none" w:sz="0" w:space="0" w:color="auto"/>
          </w:divBdr>
        </w:div>
      </w:divsChild>
    </w:div>
    <w:div w:id="1332637165">
      <w:bodyDiv w:val="1"/>
      <w:marLeft w:val="0"/>
      <w:marRight w:val="0"/>
      <w:marTop w:val="0"/>
      <w:marBottom w:val="0"/>
      <w:divBdr>
        <w:top w:val="none" w:sz="0" w:space="0" w:color="auto"/>
        <w:left w:val="none" w:sz="0" w:space="0" w:color="auto"/>
        <w:bottom w:val="none" w:sz="0" w:space="0" w:color="auto"/>
        <w:right w:val="none" w:sz="0" w:space="0" w:color="auto"/>
      </w:divBdr>
      <w:divsChild>
        <w:div w:id="1134834665">
          <w:marLeft w:val="1166"/>
          <w:marRight w:val="0"/>
          <w:marTop w:val="115"/>
          <w:marBottom w:val="0"/>
          <w:divBdr>
            <w:top w:val="none" w:sz="0" w:space="0" w:color="auto"/>
            <w:left w:val="none" w:sz="0" w:space="0" w:color="auto"/>
            <w:bottom w:val="none" w:sz="0" w:space="0" w:color="auto"/>
            <w:right w:val="none" w:sz="0" w:space="0" w:color="auto"/>
          </w:divBdr>
        </w:div>
        <w:div w:id="1590042948">
          <w:marLeft w:val="1166"/>
          <w:marRight w:val="0"/>
          <w:marTop w:val="115"/>
          <w:marBottom w:val="0"/>
          <w:divBdr>
            <w:top w:val="none" w:sz="0" w:space="0" w:color="auto"/>
            <w:left w:val="none" w:sz="0" w:space="0" w:color="auto"/>
            <w:bottom w:val="none" w:sz="0" w:space="0" w:color="auto"/>
            <w:right w:val="none" w:sz="0" w:space="0" w:color="auto"/>
          </w:divBdr>
        </w:div>
        <w:div w:id="613437774">
          <w:marLeft w:val="1166"/>
          <w:marRight w:val="0"/>
          <w:marTop w:val="115"/>
          <w:marBottom w:val="0"/>
          <w:divBdr>
            <w:top w:val="none" w:sz="0" w:space="0" w:color="auto"/>
            <w:left w:val="none" w:sz="0" w:space="0" w:color="auto"/>
            <w:bottom w:val="none" w:sz="0" w:space="0" w:color="auto"/>
            <w:right w:val="none" w:sz="0" w:space="0" w:color="auto"/>
          </w:divBdr>
        </w:div>
      </w:divsChild>
    </w:div>
    <w:div w:id="1347753126">
      <w:bodyDiv w:val="1"/>
      <w:marLeft w:val="0"/>
      <w:marRight w:val="0"/>
      <w:marTop w:val="0"/>
      <w:marBottom w:val="0"/>
      <w:divBdr>
        <w:top w:val="none" w:sz="0" w:space="0" w:color="auto"/>
        <w:left w:val="none" w:sz="0" w:space="0" w:color="auto"/>
        <w:bottom w:val="none" w:sz="0" w:space="0" w:color="auto"/>
        <w:right w:val="none" w:sz="0" w:space="0" w:color="auto"/>
      </w:divBdr>
    </w:div>
    <w:div w:id="1380202843">
      <w:bodyDiv w:val="1"/>
      <w:marLeft w:val="0"/>
      <w:marRight w:val="0"/>
      <w:marTop w:val="0"/>
      <w:marBottom w:val="0"/>
      <w:divBdr>
        <w:top w:val="none" w:sz="0" w:space="0" w:color="auto"/>
        <w:left w:val="none" w:sz="0" w:space="0" w:color="auto"/>
        <w:bottom w:val="none" w:sz="0" w:space="0" w:color="auto"/>
        <w:right w:val="none" w:sz="0" w:space="0" w:color="auto"/>
      </w:divBdr>
      <w:divsChild>
        <w:div w:id="634605696">
          <w:marLeft w:val="1166"/>
          <w:marRight w:val="0"/>
          <w:marTop w:val="101"/>
          <w:marBottom w:val="0"/>
          <w:divBdr>
            <w:top w:val="none" w:sz="0" w:space="0" w:color="auto"/>
            <w:left w:val="none" w:sz="0" w:space="0" w:color="auto"/>
            <w:bottom w:val="none" w:sz="0" w:space="0" w:color="auto"/>
            <w:right w:val="none" w:sz="0" w:space="0" w:color="auto"/>
          </w:divBdr>
        </w:div>
        <w:div w:id="471143197">
          <w:marLeft w:val="1166"/>
          <w:marRight w:val="0"/>
          <w:marTop w:val="101"/>
          <w:marBottom w:val="0"/>
          <w:divBdr>
            <w:top w:val="none" w:sz="0" w:space="0" w:color="auto"/>
            <w:left w:val="none" w:sz="0" w:space="0" w:color="auto"/>
            <w:bottom w:val="none" w:sz="0" w:space="0" w:color="auto"/>
            <w:right w:val="none" w:sz="0" w:space="0" w:color="auto"/>
          </w:divBdr>
        </w:div>
        <w:div w:id="613176758">
          <w:marLeft w:val="1166"/>
          <w:marRight w:val="0"/>
          <w:marTop w:val="101"/>
          <w:marBottom w:val="0"/>
          <w:divBdr>
            <w:top w:val="none" w:sz="0" w:space="0" w:color="auto"/>
            <w:left w:val="none" w:sz="0" w:space="0" w:color="auto"/>
            <w:bottom w:val="none" w:sz="0" w:space="0" w:color="auto"/>
            <w:right w:val="none" w:sz="0" w:space="0" w:color="auto"/>
          </w:divBdr>
        </w:div>
      </w:divsChild>
    </w:div>
    <w:div w:id="1380470489">
      <w:bodyDiv w:val="1"/>
      <w:marLeft w:val="0"/>
      <w:marRight w:val="0"/>
      <w:marTop w:val="0"/>
      <w:marBottom w:val="0"/>
      <w:divBdr>
        <w:top w:val="none" w:sz="0" w:space="0" w:color="auto"/>
        <w:left w:val="none" w:sz="0" w:space="0" w:color="auto"/>
        <w:bottom w:val="none" w:sz="0" w:space="0" w:color="auto"/>
        <w:right w:val="none" w:sz="0" w:space="0" w:color="auto"/>
      </w:divBdr>
      <w:divsChild>
        <w:div w:id="1193149282">
          <w:marLeft w:val="1166"/>
          <w:marRight w:val="0"/>
          <w:marTop w:val="101"/>
          <w:marBottom w:val="0"/>
          <w:divBdr>
            <w:top w:val="none" w:sz="0" w:space="0" w:color="auto"/>
            <w:left w:val="none" w:sz="0" w:space="0" w:color="auto"/>
            <w:bottom w:val="none" w:sz="0" w:space="0" w:color="auto"/>
            <w:right w:val="none" w:sz="0" w:space="0" w:color="auto"/>
          </w:divBdr>
        </w:div>
      </w:divsChild>
    </w:div>
    <w:div w:id="1436294150">
      <w:bodyDiv w:val="1"/>
      <w:marLeft w:val="0"/>
      <w:marRight w:val="0"/>
      <w:marTop w:val="0"/>
      <w:marBottom w:val="0"/>
      <w:divBdr>
        <w:top w:val="none" w:sz="0" w:space="0" w:color="auto"/>
        <w:left w:val="none" w:sz="0" w:space="0" w:color="auto"/>
        <w:bottom w:val="none" w:sz="0" w:space="0" w:color="auto"/>
        <w:right w:val="none" w:sz="0" w:space="0" w:color="auto"/>
      </w:divBdr>
    </w:div>
    <w:div w:id="1613824260">
      <w:bodyDiv w:val="1"/>
      <w:marLeft w:val="0"/>
      <w:marRight w:val="0"/>
      <w:marTop w:val="0"/>
      <w:marBottom w:val="0"/>
      <w:divBdr>
        <w:top w:val="none" w:sz="0" w:space="0" w:color="auto"/>
        <w:left w:val="none" w:sz="0" w:space="0" w:color="auto"/>
        <w:bottom w:val="none" w:sz="0" w:space="0" w:color="auto"/>
        <w:right w:val="none" w:sz="0" w:space="0" w:color="auto"/>
      </w:divBdr>
      <w:divsChild>
        <w:div w:id="857232274">
          <w:marLeft w:val="1166"/>
          <w:marRight w:val="0"/>
          <w:marTop w:val="96"/>
          <w:marBottom w:val="0"/>
          <w:divBdr>
            <w:top w:val="none" w:sz="0" w:space="0" w:color="auto"/>
            <w:left w:val="none" w:sz="0" w:space="0" w:color="auto"/>
            <w:bottom w:val="none" w:sz="0" w:space="0" w:color="auto"/>
            <w:right w:val="none" w:sz="0" w:space="0" w:color="auto"/>
          </w:divBdr>
        </w:div>
        <w:div w:id="249507578">
          <w:marLeft w:val="1166"/>
          <w:marRight w:val="0"/>
          <w:marTop w:val="96"/>
          <w:marBottom w:val="0"/>
          <w:divBdr>
            <w:top w:val="none" w:sz="0" w:space="0" w:color="auto"/>
            <w:left w:val="none" w:sz="0" w:space="0" w:color="auto"/>
            <w:bottom w:val="none" w:sz="0" w:space="0" w:color="auto"/>
            <w:right w:val="none" w:sz="0" w:space="0" w:color="auto"/>
          </w:divBdr>
        </w:div>
        <w:div w:id="873692888">
          <w:marLeft w:val="1886"/>
          <w:marRight w:val="0"/>
          <w:marTop w:val="96"/>
          <w:marBottom w:val="0"/>
          <w:divBdr>
            <w:top w:val="none" w:sz="0" w:space="0" w:color="auto"/>
            <w:left w:val="none" w:sz="0" w:space="0" w:color="auto"/>
            <w:bottom w:val="none" w:sz="0" w:space="0" w:color="auto"/>
            <w:right w:val="none" w:sz="0" w:space="0" w:color="auto"/>
          </w:divBdr>
        </w:div>
        <w:div w:id="463356582">
          <w:marLeft w:val="1886"/>
          <w:marRight w:val="0"/>
          <w:marTop w:val="96"/>
          <w:marBottom w:val="0"/>
          <w:divBdr>
            <w:top w:val="none" w:sz="0" w:space="0" w:color="auto"/>
            <w:left w:val="none" w:sz="0" w:space="0" w:color="auto"/>
            <w:bottom w:val="none" w:sz="0" w:space="0" w:color="auto"/>
            <w:right w:val="none" w:sz="0" w:space="0" w:color="auto"/>
          </w:divBdr>
        </w:div>
        <w:div w:id="1096099973">
          <w:marLeft w:val="1886"/>
          <w:marRight w:val="0"/>
          <w:marTop w:val="96"/>
          <w:marBottom w:val="0"/>
          <w:divBdr>
            <w:top w:val="none" w:sz="0" w:space="0" w:color="auto"/>
            <w:left w:val="none" w:sz="0" w:space="0" w:color="auto"/>
            <w:bottom w:val="none" w:sz="0" w:space="0" w:color="auto"/>
            <w:right w:val="none" w:sz="0" w:space="0" w:color="auto"/>
          </w:divBdr>
        </w:div>
        <w:div w:id="1047922547">
          <w:marLeft w:val="1886"/>
          <w:marRight w:val="0"/>
          <w:marTop w:val="96"/>
          <w:marBottom w:val="0"/>
          <w:divBdr>
            <w:top w:val="none" w:sz="0" w:space="0" w:color="auto"/>
            <w:left w:val="none" w:sz="0" w:space="0" w:color="auto"/>
            <w:bottom w:val="none" w:sz="0" w:space="0" w:color="auto"/>
            <w:right w:val="none" w:sz="0" w:space="0" w:color="auto"/>
          </w:divBdr>
        </w:div>
        <w:div w:id="680551567">
          <w:marLeft w:val="1166"/>
          <w:marRight w:val="0"/>
          <w:marTop w:val="96"/>
          <w:marBottom w:val="0"/>
          <w:divBdr>
            <w:top w:val="none" w:sz="0" w:space="0" w:color="auto"/>
            <w:left w:val="none" w:sz="0" w:space="0" w:color="auto"/>
            <w:bottom w:val="none" w:sz="0" w:space="0" w:color="auto"/>
            <w:right w:val="none" w:sz="0" w:space="0" w:color="auto"/>
          </w:divBdr>
        </w:div>
      </w:divsChild>
    </w:div>
    <w:div w:id="1734964669">
      <w:bodyDiv w:val="1"/>
      <w:marLeft w:val="0"/>
      <w:marRight w:val="0"/>
      <w:marTop w:val="0"/>
      <w:marBottom w:val="0"/>
      <w:divBdr>
        <w:top w:val="none" w:sz="0" w:space="0" w:color="auto"/>
        <w:left w:val="none" w:sz="0" w:space="0" w:color="auto"/>
        <w:bottom w:val="none" w:sz="0" w:space="0" w:color="auto"/>
        <w:right w:val="none" w:sz="0" w:space="0" w:color="auto"/>
      </w:divBdr>
    </w:div>
    <w:div w:id="1763406432">
      <w:bodyDiv w:val="1"/>
      <w:marLeft w:val="0"/>
      <w:marRight w:val="0"/>
      <w:marTop w:val="0"/>
      <w:marBottom w:val="0"/>
      <w:divBdr>
        <w:top w:val="none" w:sz="0" w:space="0" w:color="auto"/>
        <w:left w:val="none" w:sz="0" w:space="0" w:color="auto"/>
        <w:bottom w:val="none" w:sz="0" w:space="0" w:color="auto"/>
        <w:right w:val="none" w:sz="0" w:space="0" w:color="auto"/>
      </w:divBdr>
      <w:divsChild>
        <w:div w:id="146673624">
          <w:marLeft w:val="1166"/>
          <w:marRight w:val="0"/>
          <w:marTop w:val="115"/>
          <w:marBottom w:val="0"/>
          <w:divBdr>
            <w:top w:val="none" w:sz="0" w:space="0" w:color="auto"/>
            <w:left w:val="none" w:sz="0" w:space="0" w:color="auto"/>
            <w:bottom w:val="none" w:sz="0" w:space="0" w:color="auto"/>
            <w:right w:val="none" w:sz="0" w:space="0" w:color="auto"/>
          </w:divBdr>
        </w:div>
      </w:divsChild>
    </w:div>
    <w:div w:id="19320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ombudsmaneqservices.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0A99-B93E-441F-B82A-16C559F7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LEA Transferability Guidance - Title I, Part A (CA Dept of Education)</vt:lpstr>
    </vt:vector>
  </TitlesOfParts>
  <Manager/>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Transferability Guidance - Title I, Part A (CA Dept of Education)</dc:title>
  <dc:subject>Transferability Guidance for local educational agencies (LEAs) Under the Elementary and Secondary Education Act of 1965.</dc:subject>
  <dc:creator/>
  <cp:lastModifiedBy/>
  <cp:revision>1</cp:revision>
  <dcterms:created xsi:type="dcterms:W3CDTF">2023-12-19T20:49:00Z</dcterms:created>
  <dcterms:modified xsi:type="dcterms:W3CDTF">2025-05-21T20:12:00Z</dcterms:modified>
</cp:coreProperties>
</file>