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7593A" w14:textId="77777777" w:rsidR="001B276F" w:rsidRDefault="00B15997" w:rsidP="00371DA3">
      <w:pPr>
        <w:pStyle w:val="Heading1"/>
        <w:rPr>
          <w:rFonts w:cs="Arial"/>
        </w:rPr>
      </w:pPr>
      <w:r w:rsidRPr="001B0973">
        <w:rPr>
          <w:rFonts w:cs="Arial"/>
        </w:rPr>
        <w:t>Publisher Guidance on Understanding Student-Level Achievement of Progress Across One Year</w:t>
      </w:r>
    </w:p>
    <w:p w14:paraId="3E77A427" w14:textId="5E2B2B59" w:rsidR="00A10449" w:rsidRPr="00A10449" w:rsidRDefault="00A10449" w:rsidP="00A10449">
      <w:pPr>
        <w:jc w:val="center"/>
        <w:rPr>
          <w:b/>
          <w:bCs/>
          <w:sz w:val="28"/>
          <w:szCs w:val="28"/>
        </w:rPr>
      </w:pPr>
      <w:r w:rsidRPr="00A10449">
        <w:rPr>
          <w:b/>
          <w:bCs/>
          <w:sz w:val="28"/>
          <w:szCs w:val="28"/>
        </w:rPr>
        <w:t>California Department of Education, September 2024</w:t>
      </w:r>
    </w:p>
    <w:p w14:paraId="6979B01C" w14:textId="77777777" w:rsidR="001B276F" w:rsidRPr="001B0973" w:rsidRDefault="00B15997" w:rsidP="00371DA3">
      <w:pPr>
        <w:pStyle w:val="Heading2"/>
        <w:rPr>
          <w:rFonts w:cs="Arial"/>
        </w:rPr>
      </w:pPr>
      <w:bookmarkStart w:id="0" w:name="Background"/>
      <w:bookmarkEnd w:id="0"/>
      <w:r w:rsidRPr="001B0973">
        <w:rPr>
          <w:rFonts w:cs="Arial"/>
        </w:rPr>
        <w:t>Background</w:t>
      </w:r>
    </w:p>
    <w:p w14:paraId="7256302B" w14:textId="657989E7" w:rsidR="001B276F" w:rsidRPr="001B0973" w:rsidRDefault="00B15997" w:rsidP="00371DA3">
      <w:pPr>
        <w:pStyle w:val="BodyText"/>
        <w:spacing w:before="240" w:after="240"/>
        <w:ind w:right="173"/>
      </w:pPr>
      <w:r w:rsidRPr="001B0973">
        <w:t xml:space="preserve">An overview of the legislative requirement for criteria, and the list of valid and reliable assessments and measure of postsecondary outcomes to be used in the charter school renewal process is available at </w:t>
      </w:r>
      <w:hyperlink r:id="rId7" w:history="1">
        <w:r w:rsidR="0091498A">
          <w:rPr>
            <w:rStyle w:val="Hyperlink"/>
          </w:rPr>
          <w:t>CDE V</w:t>
        </w:r>
        <w:r w:rsidR="00F847FE" w:rsidRPr="00F847FE">
          <w:rPr>
            <w:rStyle w:val="Hyperlink"/>
          </w:rPr>
          <w:t>erified Data</w:t>
        </w:r>
      </w:hyperlink>
      <w:r w:rsidRPr="001B0973">
        <w:t>.</w:t>
      </w:r>
    </w:p>
    <w:p w14:paraId="6F82DED3" w14:textId="77777777" w:rsidR="001B276F" w:rsidRPr="001B0973" w:rsidRDefault="00B15997" w:rsidP="00371DA3">
      <w:pPr>
        <w:pStyle w:val="BodyText"/>
        <w:spacing w:before="240" w:after="240"/>
        <w:ind w:right="389"/>
      </w:pPr>
      <w:r w:rsidRPr="001B0973">
        <w:t xml:space="preserve">A complete description of the information considered by the California State Board of Education (SBE) in their adoption of the academic progress and postsecondary indicators, pursuant to California </w:t>
      </w:r>
      <w:r w:rsidRPr="001B0973">
        <w:rPr>
          <w:i/>
        </w:rPr>
        <w:t xml:space="preserve">Education Code </w:t>
      </w:r>
      <w:r w:rsidRPr="001B0973">
        <w:t>Section 47607.2, is provided below:</w:t>
      </w:r>
    </w:p>
    <w:p w14:paraId="0AAB3293" w14:textId="77090ACB" w:rsidR="001B276F" w:rsidRPr="001B0973" w:rsidRDefault="009D308B" w:rsidP="00371DA3">
      <w:pPr>
        <w:pStyle w:val="ListParagraph"/>
        <w:numPr>
          <w:ilvl w:val="0"/>
          <w:numId w:val="2"/>
        </w:numPr>
        <w:tabs>
          <w:tab w:val="left" w:pos="839"/>
          <w:tab w:val="left" w:pos="840"/>
        </w:tabs>
        <w:spacing w:before="1"/>
        <w:ind w:left="720"/>
        <w:rPr>
          <w:sz w:val="24"/>
          <w:u w:val="none"/>
          <w:lang w:val="pt-PT"/>
        </w:rPr>
      </w:pPr>
      <w:hyperlink r:id="rId8">
        <w:r w:rsidR="00B15997" w:rsidRPr="001B0973">
          <w:rPr>
            <w:color w:val="0000FF"/>
            <w:sz w:val="24"/>
            <w:u w:color="0000FF"/>
            <w:lang w:val="pt-PT"/>
          </w:rPr>
          <w:t>November 2020 SBE Agenda Item 14</w:t>
        </w:r>
        <w:r w:rsidR="00BE10AE" w:rsidRPr="001B0973">
          <w:rPr>
            <w:color w:val="0000FF"/>
            <w:sz w:val="24"/>
            <w:u w:color="0000FF"/>
            <w:lang w:val="pt-PT"/>
          </w:rPr>
          <w:t xml:space="preserve"> </w:t>
        </w:r>
        <w:r w:rsidR="00B15997" w:rsidRPr="001B0973">
          <w:rPr>
            <w:color w:val="0000FF"/>
            <w:sz w:val="24"/>
            <w:u w:color="0000FF"/>
            <w:lang w:val="pt-PT"/>
          </w:rPr>
          <w:t>(DOCX)</w:t>
        </w:r>
      </w:hyperlink>
    </w:p>
    <w:p w14:paraId="64BFF6DC" w14:textId="30EFFF0A" w:rsidR="001B276F" w:rsidRPr="001B0973" w:rsidRDefault="00000000" w:rsidP="00371DA3">
      <w:pPr>
        <w:pStyle w:val="ListParagraph"/>
        <w:numPr>
          <w:ilvl w:val="0"/>
          <w:numId w:val="2"/>
        </w:numPr>
        <w:tabs>
          <w:tab w:val="left" w:pos="839"/>
          <w:tab w:val="left" w:pos="840"/>
        </w:tabs>
        <w:ind w:left="720"/>
        <w:rPr>
          <w:sz w:val="24"/>
          <w:u w:val="none"/>
        </w:rPr>
      </w:pPr>
      <w:hyperlink r:id="rId9">
        <w:r w:rsidR="00B15997" w:rsidRPr="001B0973">
          <w:rPr>
            <w:color w:val="0000FF"/>
            <w:sz w:val="24"/>
            <w:u w:color="0000FF"/>
          </w:rPr>
          <w:t>November 2020 SBE Agenda Item 14 Addendum</w:t>
        </w:r>
        <w:r w:rsidR="00BE10AE" w:rsidRPr="001B0973">
          <w:rPr>
            <w:color w:val="0000FF"/>
            <w:sz w:val="24"/>
            <w:u w:color="0000FF"/>
          </w:rPr>
          <w:t xml:space="preserve"> </w:t>
        </w:r>
        <w:r w:rsidR="00B15997" w:rsidRPr="001B0973">
          <w:rPr>
            <w:color w:val="0000FF"/>
            <w:sz w:val="24"/>
            <w:u w:color="0000FF"/>
          </w:rPr>
          <w:t>(DOCX)</w:t>
        </w:r>
      </w:hyperlink>
    </w:p>
    <w:p w14:paraId="336E3E5F" w14:textId="0217EEB0" w:rsidR="001B276F" w:rsidRPr="001B0973" w:rsidRDefault="00000000" w:rsidP="00371DA3">
      <w:pPr>
        <w:pStyle w:val="ListParagraph"/>
        <w:numPr>
          <w:ilvl w:val="0"/>
          <w:numId w:val="2"/>
        </w:numPr>
        <w:tabs>
          <w:tab w:val="left" w:pos="839"/>
          <w:tab w:val="left" w:pos="840"/>
        </w:tabs>
        <w:ind w:left="720"/>
        <w:rPr>
          <w:sz w:val="24"/>
          <w:u w:val="none"/>
        </w:rPr>
      </w:pPr>
      <w:hyperlink r:id="rId10">
        <w:r w:rsidR="00B15997" w:rsidRPr="001B0973">
          <w:rPr>
            <w:color w:val="0000FF"/>
            <w:sz w:val="24"/>
            <w:u w:color="0000FF"/>
          </w:rPr>
          <w:t>May 2023 SBE Agenda Item 02</w:t>
        </w:r>
        <w:r w:rsidR="00BE10AE" w:rsidRPr="001B0973">
          <w:rPr>
            <w:color w:val="0000FF"/>
            <w:sz w:val="24"/>
            <w:u w:color="0000FF"/>
          </w:rPr>
          <w:t xml:space="preserve"> </w:t>
        </w:r>
        <w:r w:rsidR="00B15997" w:rsidRPr="001B0973">
          <w:rPr>
            <w:color w:val="0000FF"/>
            <w:sz w:val="24"/>
            <w:u w:color="0000FF"/>
          </w:rPr>
          <w:t>(DOCX)</w:t>
        </w:r>
      </w:hyperlink>
    </w:p>
    <w:p w14:paraId="275BA44C" w14:textId="77777777" w:rsidR="001B276F" w:rsidRPr="001B0973" w:rsidRDefault="001B276F" w:rsidP="00371DA3">
      <w:pPr>
        <w:pStyle w:val="BodyText"/>
        <w:spacing w:before="11"/>
        <w:rPr>
          <w:sz w:val="15"/>
        </w:rPr>
      </w:pPr>
    </w:p>
    <w:p w14:paraId="01BAACAA" w14:textId="113747C2" w:rsidR="001B276F" w:rsidRPr="001B0973" w:rsidRDefault="00B15997" w:rsidP="00371DA3">
      <w:pPr>
        <w:pStyle w:val="BodyText"/>
        <w:spacing w:before="240" w:after="240"/>
        <w:ind w:right="130"/>
      </w:pPr>
      <w:r w:rsidRPr="001B0973">
        <w:t>The following is an excerpt from the May 2023 SBE Agenda Item 02, beginning on page</w:t>
      </w:r>
      <w:bookmarkStart w:id="1" w:name="Publisher_guidance_on_understanding_stud"/>
      <w:bookmarkEnd w:id="1"/>
      <w:r w:rsidRPr="001B0973">
        <w:t xml:space="preserve"> 2</w:t>
      </w:r>
      <w:r w:rsidR="00D13518">
        <w:t>8.</w:t>
      </w:r>
    </w:p>
    <w:p w14:paraId="717E99F2" w14:textId="77777777" w:rsidR="001B276F" w:rsidRPr="001B0973" w:rsidRDefault="00B15997" w:rsidP="00371DA3">
      <w:pPr>
        <w:pStyle w:val="Heading2"/>
        <w:rPr>
          <w:rFonts w:cs="Arial"/>
        </w:rPr>
      </w:pPr>
      <w:r w:rsidRPr="001B0973">
        <w:rPr>
          <w:rFonts w:cs="Arial"/>
        </w:rPr>
        <w:t>Publisher guidance on understanding student-level achievement of progress across one year</w:t>
      </w:r>
    </w:p>
    <w:p w14:paraId="04E06E5F" w14:textId="23D88691" w:rsidR="001B276F" w:rsidRPr="001B0973" w:rsidRDefault="00B15997" w:rsidP="00371DA3">
      <w:pPr>
        <w:pStyle w:val="BodyText"/>
        <w:spacing w:before="240" w:after="240"/>
        <w:ind w:right="187"/>
      </w:pPr>
      <w:r w:rsidRPr="001B0973">
        <w:t>Table 5 below represents the most recent information provided by publishers as of April 2023 on understanding student-level achievement of progress across one year; however, schools and authorizers are encouraged to check with publishers for updates and changes. able 5 includes both assessments currently on the verified data list and those recommended to be added. Current assessments are included to reflect information that the test publisher NWEA sent to the SBE in October 2022 regarding guidance on understanding student-level achievement of progress across one year.</w:t>
      </w:r>
    </w:p>
    <w:p w14:paraId="2B0C1D9D" w14:textId="1DC05B57" w:rsidR="00D13518" w:rsidRDefault="00B15997" w:rsidP="00F847FE">
      <w:pPr>
        <w:pStyle w:val="Heading3"/>
      </w:pPr>
      <w:bookmarkStart w:id="2" w:name="Table_5._Publisher_Guidance_on_Understan"/>
      <w:bookmarkEnd w:id="2"/>
      <w:r w:rsidRPr="001B0973">
        <w:t>Table 5. Publisher Guidance on Understanding Student-level Achievement of Progress Across One Year</w:t>
      </w:r>
    </w:p>
    <w:tbl>
      <w:tblPr>
        <w:tblStyle w:val="TableGrid2"/>
        <w:tblW w:w="0" w:type="auto"/>
        <w:tblLayout w:type="fixed"/>
        <w:tblLook w:val="04A0" w:firstRow="1" w:lastRow="0" w:firstColumn="1" w:lastColumn="0" w:noHBand="0" w:noVBand="1"/>
        <w:tblDescription w:val="Publisher guidance on understanding student-level achievment of progress across one year"/>
      </w:tblPr>
      <w:tblGrid>
        <w:gridCol w:w="1705"/>
        <w:gridCol w:w="7645"/>
      </w:tblGrid>
      <w:tr w:rsidR="00F847FE" w:rsidRPr="00F847FE" w14:paraId="229A6998" w14:textId="77777777" w:rsidTr="004010A1">
        <w:trPr>
          <w:cantSplit/>
          <w:tblHeader/>
        </w:trPr>
        <w:tc>
          <w:tcPr>
            <w:tcW w:w="1705" w:type="dxa"/>
            <w:shd w:val="clear" w:color="auto" w:fill="E7E6E6"/>
          </w:tcPr>
          <w:p w14:paraId="08CC5506" w14:textId="77777777" w:rsidR="00F847FE" w:rsidRPr="00F847FE" w:rsidRDefault="00F847FE" w:rsidP="00F847FE">
            <w:pPr>
              <w:rPr>
                <w:rFonts w:eastAsia="Times New Roman"/>
                <w:b/>
                <w:lang w:bidi="ar-SA"/>
              </w:rPr>
            </w:pPr>
            <w:r w:rsidRPr="00F847FE">
              <w:rPr>
                <w:rFonts w:eastAsia="Times New Roman"/>
                <w:b/>
                <w:lang w:bidi="ar-SA"/>
              </w:rPr>
              <w:t>Assessment</w:t>
            </w:r>
          </w:p>
        </w:tc>
        <w:tc>
          <w:tcPr>
            <w:tcW w:w="7645" w:type="dxa"/>
            <w:shd w:val="clear" w:color="auto" w:fill="E7E6E6"/>
          </w:tcPr>
          <w:p w14:paraId="21E67EC7" w14:textId="77777777" w:rsidR="00F847FE" w:rsidRPr="00F847FE" w:rsidRDefault="00F847FE" w:rsidP="00F847FE">
            <w:pPr>
              <w:rPr>
                <w:rFonts w:eastAsia="Times New Roman"/>
                <w:b/>
                <w:lang w:bidi="ar-SA"/>
              </w:rPr>
            </w:pPr>
            <w:r w:rsidRPr="00F847FE">
              <w:rPr>
                <w:rFonts w:eastAsia="Times New Roman"/>
                <w:b/>
                <w:lang w:bidi="ar-SA"/>
              </w:rPr>
              <w:t>Publisher guidance</w:t>
            </w:r>
          </w:p>
        </w:tc>
      </w:tr>
      <w:tr w:rsidR="00F847FE" w:rsidRPr="00F847FE" w14:paraId="5E664F26" w14:textId="77777777" w:rsidTr="004010A1">
        <w:trPr>
          <w:cantSplit/>
        </w:trPr>
        <w:tc>
          <w:tcPr>
            <w:tcW w:w="1705" w:type="dxa"/>
            <w:shd w:val="clear" w:color="auto" w:fill="FFFFFF"/>
          </w:tcPr>
          <w:p w14:paraId="18D1A2C5" w14:textId="77777777" w:rsidR="00F847FE" w:rsidRPr="00F847FE" w:rsidRDefault="00F847FE" w:rsidP="00F847FE">
            <w:pPr>
              <w:tabs>
                <w:tab w:val="left" w:pos="5440"/>
              </w:tabs>
              <w:rPr>
                <w:rFonts w:eastAsia="Times New Roman"/>
                <w:lang w:bidi="ar-SA"/>
              </w:rPr>
            </w:pPr>
            <w:r w:rsidRPr="00F847FE">
              <w:rPr>
                <w:rFonts w:eastAsia="Times New Roman"/>
                <w:lang w:bidi="ar-SA"/>
              </w:rPr>
              <w:t>Achieve 3000 by McGraw Hill</w:t>
            </w:r>
          </w:p>
        </w:tc>
        <w:tc>
          <w:tcPr>
            <w:tcW w:w="7645" w:type="dxa"/>
          </w:tcPr>
          <w:p w14:paraId="3D5E1C09" w14:textId="77777777" w:rsidR="00F847FE" w:rsidRPr="00F847FE" w:rsidRDefault="00F847FE" w:rsidP="00F847FE">
            <w:pPr>
              <w:rPr>
                <w:rFonts w:eastAsia="Times New Roman"/>
                <w:lang w:bidi="ar-SA"/>
              </w:rPr>
            </w:pPr>
            <w:r w:rsidRPr="00F847FE">
              <w:rPr>
                <w:rFonts w:eastAsia="Times New Roman"/>
                <w:lang w:bidi="ar-SA"/>
              </w:rPr>
              <w:t>Three key reports in Achieve3000 Literacy are helpful for examining forecasted expected Lexile growth</w:t>
            </w:r>
            <w:r w:rsidRPr="00F847FE">
              <w:rPr>
                <w:rFonts w:eastAsia="Times New Roman"/>
                <w:shd w:val="clear" w:color="auto" w:fill="FFFFFF"/>
                <w:lang w:bidi="ar-SA"/>
              </w:rPr>
              <w:t xml:space="preserve"> </w:t>
            </w:r>
            <w:r w:rsidRPr="00F847FE">
              <w:rPr>
                <w:rFonts w:eastAsia="Times New Roman"/>
                <w:lang w:bidi="ar-SA"/>
              </w:rPr>
              <w:t>and for tracking student progress towards proficiency targets: the How has Lexile reading measure</w:t>
            </w:r>
            <w:r w:rsidRPr="00F847FE">
              <w:rPr>
                <w:rFonts w:eastAsia="Times New Roman"/>
                <w:shd w:val="clear" w:color="auto" w:fill="FFFFFF"/>
                <w:lang w:bidi="ar-SA"/>
              </w:rPr>
              <w:t xml:space="preserve"> </w:t>
            </w:r>
            <w:r w:rsidRPr="00F847FE">
              <w:rPr>
                <w:rFonts w:eastAsia="Times New Roman"/>
                <w:lang w:bidi="ar-SA"/>
              </w:rPr>
              <w:t>performance changed over time? report; the How likely are my students to be on track for College and Career</w:t>
            </w:r>
            <w:r w:rsidRPr="00F847FE">
              <w:rPr>
                <w:rFonts w:eastAsia="Times New Roman"/>
                <w:shd w:val="clear" w:color="auto" w:fill="FFFFFF"/>
                <w:lang w:bidi="ar-SA"/>
              </w:rPr>
              <w:t xml:space="preserve"> </w:t>
            </w:r>
            <w:r w:rsidRPr="00F847FE">
              <w:rPr>
                <w:rFonts w:eastAsia="Times New Roman"/>
                <w:lang w:bidi="ar-SA"/>
              </w:rPr>
              <w:t>when the high-stakes test is administered? report; and the How are my students likely to perform on the state</w:t>
            </w:r>
            <w:r w:rsidRPr="00F847FE">
              <w:rPr>
                <w:rFonts w:eastAsia="Times New Roman"/>
                <w:shd w:val="clear" w:color="auto" w:fill="FFFFFF"/>
                <w:lang w:bidi="ar-SA"/>
              </w:rPr>
              <w:t xml:space="preserve"> </w:t>
            </w:r>
            <w:r w:rsidRPr="00F847FE">
              <w:rPr>
                <w:rFonts w:eastAsia="Times New Roman"/>
                <w:lang w:bidi="ar-SA"/>
              </w:rPr>
              <w:t>test? Report.</w:t>
            </w:r>
          </w:p>
        </w:tc>
      </w:tr>
      <w:tr w:rsidR="00F847FE" w:rsidRPr="00F847FE" w14:paraId="1E103BF6" w14:textId="77777777" w:rsidTr="004010A1">
        <w:trPr>
          <w:cantSplit/>
        </w:trPr>
        <w:tc>
          <w:tcPr>
            <w:tcW w:w="1705" w:type="dxa"/>
            <w:shd w:val="clear" w:color="auto" w:fill="FFFFFF"/>
          </w:tcPr>
          <w:p w14:paraId="15F74265" w14:textId="77777777" w:rsidR="00F847FE" w:rsidRPr="00F847FE" w:rsidRDefault="00F847FE" w:rsidP="00F847FE">
            <w:pPr>
              <w:tabs>
                <w:tab w:val="left" w:pos="5440"/>
              </w:tabs>
              <w:rPr>
                <w:rFonts w:eastAsia="Times New Roman"/>
                <w:lang w:bidi="ar-SA"/>
              </w:rPr>
            </w:pPr>
            <w:r w:rsidRPr="00F847FE">
              <w:rPr>
                <w:rFonts w:eastAsia="Times New Roman"/>
                <w:lang w:bidi="ar-SA"/>
              </w:rPr>
              <w:lastRenderedPageBreak/>
              <w:t xml:space="preserve">ACT, </w:t>
            </w:r>
            <w:proofErr w:type="spellStart"/>
            <w:r w:rsidRPr="00F847FE">
              <w:rPr>
                <w:rFonts w:eastAsia="Times New Roman"/>
                <w:lang w:bidi="ar-SA"/>
              </w:rPr>
              <w:t>PreACT</w:t>
            </w:r>
            <w:proofErr w:type="spellEnd"/>
            <w:r w:rsidRPr="00F847FE">
              <w:rPr>
                <w:rFonts w:eastAsia="Times New Roman"/>
                <w:lang w:bidi="ar-SA"/>
              </w:rPr>
              <w:t xml:space="preserve"> and </w:t>
            </w:r>
            <w:proofErr w:type="spellStart"/>
            <w:r w:rsidRPr="00F847FE">
              <w:rPr>
                <w:rFonts w:eastAsia="Times New Roman"/>
                <w:lang w:bidi="ar-SA"/>
              </w:rPr>
              <w:t>PreACT</w:t>
            </w:r>
            <w:proofErr w:type="spellEnd"/>
            <w:r w:rsidRPr="00F847FE">
              <w:rPr>
                <w:rFonts w:eastAsia="Times New Roman"/>
                <w:lang w:bidi="ar-SA"/>
              </w:rPr>
              <w:t xml:space="preserve"> 8/9 by Act Inc.</w:t>
            </w:r>
          </w:p>
        </w:tc>
        <w:tc>
          <w:tcPr>
            <w:tcW w:w="7645" w:type="dxa"/>
          </w:tcPr>
          <w:p w14:paraId="49BACB26" w14:textId="77777777" w:rsidR="00F847FE" w:rsidRPr="00F847FE" w:rsidRDefault="00F847FE" w:rsidP="00F847FE">
            <w:pPr>
              <w:rPr>
                <w:rFonts w:eastAsia="Times New Roman"/>
                <w:lang w:bidi="ar-SA"/>
              </w:rPr>
            </w:pPr>
            <w:r w:rsidRPr="00F847FE">
              <w:rPr>
                <w:rFonts w:eastAsia="Times New Roman"/>
                <w:lang w:bidi="ar-SA"/>
              </w:rPr>
              <w:t>ACT’s proposed assessments can be used to demonstrate measurable increases in</w:t>
            </w:r>
            <w:r w:rsidRPr="00F847FE">
              <w:rPr>
                <w:rFonts w:eastAsia="Times New Roman"/>
                <w:shd w:val="clear" w:color="auto" w:fill="FFFFFF"/>
                <w:lang w:bidi="ar-SA"/>
              </w:rPr>
              <w:t xml:space="preserve"> </w:t>
            </w:r>
            <w:r w:rsidRPr="00F847FE">
              <w:rPr>
                <w:rFonts w:eastAsia="Times New Roman"/>
                <w:lang w:bidi="ar-SA"/>
              </w:rPr>
              <w:t xml:space="preserve">academic achievement. </w:t>
            </w:r>
            <w:proofErr w:type="spellStart"/>
            <w:r w:rsidRPr="00F847FE">
              <w:rPr>
                <w:rFonts w:eastAsia="Times New Roman"/>
                <w:lang w:bidi="ar-SA"/>
              </w:rPr>
              <w:t>PreACT</w:t>
            </w:r>
            <w:proofErr w:type="spellEnd"/>
            <w:r w:rsidRPr="00F847FE">
              <w:rPr>
                <w:rFonts w:eastAsia="Times New Roman"/>
                <w:lang w:bidi="ar-SA"/>
              </w:rPr>
              <w:t xml:space="preserve"> 8/9, </w:t>
            </w:r>
            <w:proofErr w:type="spellStart"/>
            <w:r w:rsidRPr="00F847FE">
              <w:rPr>
                <w:rFonts w:eastAsia="Times New Roman"/>
                <w:lang w:bidi="ar-SA"/>
              </w:rPr>
              <w:t>PreACT</w:t>
            </w:r>
            <w:proofErr w:type="spellEnd"/>
            <w:r w:rsidRPr="00F847FE">
              <w:rPr>
                <w:rFonts w:eastAsia="Times New Roman"/>
                <w:lang w:bidi="ar-SA"/>
              </w:rPr>
              <w:t>, and ACT assessment scores are aligned to a</w:t>
            </w:r>
            <w:r w:rsidRPr="00F847FE">
              <w:rPr>
                <w:rFonts w:eastAsia="Times New Roman"/>
                <w:shd w:val="clear" w:color="auto" w:fill="FFFFFF"/>
                <w:lang w:bidi="ar-SA"/>
              </w:rPr>
              <w:t xml:space="preserve"> </w:t>
            </w:r>
            <w:r w:rsidRPr="00F847FE">
              <w:rPr>
                <w:rFonts w:eastAsia="Times New Roman"/>
                <w:lang w:bidi="ar-SA"/>
              </w:rPr>
              <w:t xml:space="preserve">common scale, making it easy to directly examine progress as </w:t>
            </w:r>
            <w:proofErr w:type="spellStart"/>
            <w:r w:rsidRPr="00F847FE">
              <w:rPr>
                <w:rFonts w:eastAsia="Times New Roman"/>
                <w:lang w:bidi="ar-SA"/>
              </w:rPr>
              <w:t>students</w:t>
            </w:r>
            <w:proofErr w:type="spellEnd"/>
            <w:r w:rsidRPr="00F847FE">
              <w:rPr>
                <w:rFonts w:eastAsia="Times New Roman"/>
                <w:lang w:bidi="ar-SA"/>
              </w:rPr>
              <w:t xml:space="preserve"> progress from 8th to</w:t>
            </w:r>
            <w:r w:rsidRPr="00F847FE">
              <w:rPr>
                <w:rFonts w:eastAsia="Times New Roman"/>
                <w:shd w:val="clear" w:color="auto" w:fill="FFFFFF"/>
                <w:lang w:bidi="ar-SA"/>
              </w:rPr>
              <w:t xml:space="preserve"> </w:t>
            </w:r>
            <w:r w:rsidRPr="00F847FE">
              <w:rPr>
                <w:rFonts w:eastAsia="Times New Roman"/>
                <w:lang w:bidi="ar-SA"/>
              </w:rPr>
              <w:t>12th grade. Student Growth Percentiles (SGPs) are another way to measure growth in</w:t>
            </w:r>
            <w:r w:rsidRPr="00F847FE">
              <w:rPr>
                <w:rFonts w:eastAsia="Times New Roman"/>
                <w:shd w:val="clear" w:color="auto" w:fill="FFFFFF"/>
                <w:lang w:bidi="ar-SA"/>
              </w:rPr>
              <w:br/>
            </w:r>
            <w:r w:rsidRPr="00F847FE">
              <w:rPr>
                <w:rFonts w:eastAsia="Times New Roman"/>
                <w:lang w:bidi="ar-SA"/>
              </w:rPr>
              <w:t xml:space="preserve">achievement. As described in the </w:t>
            </w:r>
            <w:proofErr w:type="spellStart"/>
            <w:r w:rsidRPr="00F847FE">
              <w:rPr>
                <w:rFonts w:eastAsia="Times New Roman"/>
                <w:lang w:bidi="ar-SA"/>
              </w:rPr>
              <w:t>PreACT</w:t>
            </w:r>
            <w:proofErr w:type="spellEnd"/>
            <w:r w:rsidRPr="00F847FE">
              <w:rPr>
                <w:rFonts w:eastAsia="Times New Roman"/>
                <w:lang w:bidi="ar-SA"/>
              </w:rPr>
              <w:t xml:space="preserve"> Technical Manual, SGPs represent the percentile</w:t>
            </w:r>
            <w:r w:rsidRPr="00F847FE">
              <w:rPr>
                <w:rFonts w:eastAsia="Times New Roman"/>
                <w:shd w:val="clear" w:color="auto" w:fill="FFFFFF"/>
                <w:lang w:bidi="ar-SA"/>
              </w:rPr>
              <w:t xml:space="preserve"> </w:t>
            </w:r>
            <w:r w:rsidRPr="00F847FE">
              <w:rPr>
                <w:rFonts w:eastAsia="Times New Roman"/>
                <w:lang w:bidi="ar-SA"/>
              </w:rPr>
              <w:t>rank of the current-year test score relative to students with the same prior-year test score.</w:t>
            </w:r>
            <w:r w:rsidRPr="00F847FE">
              <w:rPr>
                <w:rFonts w:eastAsia="Times New Roman"/>
                <w:shd w:val="clear" w:color="auto" w:fill="FFFFFF"/>
                <w:lang w:bidi="ar-SA"/>
              </w:rPr>
              <w:t xml:space="preserve"> </w:t>
            </w:r>
            <w:r w:rsidRPr="00F847FE">
              <w:rPr>
                <w:rFonts w:eastAsia="Times New Roman"/>
                <w:lang w:bidi="ar-SA"/>
              </w:rPr>
              <w:t>Therefore, an SGP value of 50 represents the typical increase in academic achievement from</w:t>
            </w:r>
            <w:r w:rsidRPr="00F847FE">
              <w:rPr>
                <w:rFonts w:eastAsia="Times New Roman"/>
                <w:shd w:val="clear" w:color="auto" w:fill="FFFFFF"/>
                <w:lang w:bidi="ar-SA"/>
              </w:rPr>
              <w:t xml:space="preserve"> </w:t>
            </w:r>
            <w:r w:rsidRPr="00F847FE">
              <w:rPr>
                <w:rFonts w:eastAsia="Times New Roman"/>
                <w:lang w:bidi="ar-SA"/>
              </w:rPr>
              <w:t>one year to the next. SGPs provide a normative measure of growth, describing growth relative to other students who exhibited similar achievement the prior year. The SGPs are estimated</w:t>
            </w:r>
            <w:r w:rsidRPr="00F847FE">
              <w:rPr>
                <w:rFonts w:eastAsia="Times New Roman"/>
                <w:shd w:val="clear" w:color="auto" w:fill="FFFFFF"/>
                <w:lang w:bidi="ar-SA"/>
              </w:rPr>
              <w:t xml:space="preserve"> </w:t>
            </w:r>
            <w:r w:rsidRPr="00F847FE">
              <w:rPr>
                <w:rFonts w:eastAsia="Times New Roman"/>
                <w:lang w:bidi="ar-SA"/>
              </w:rPr>
              <w:t>using quantile regression methods by the SGP package.</w:t>
            </w:r>
            <w:r w:rsidRPr="00F847FE">
              <w:rPr>
                <w:rFonts w:eastAsia="Times New Roman"/>
                <w:shd w:val="clear" w:color="auto" w:fill="FFFFFF"/>
                <w:lang w:bidi="ar-SA"/>
              </w:rPr>
              <w:br/>
            </w:r>
            <w:r w:rsidRPr="00F847FE">
              <w:rPr>
                <w:rFonts w:eastAsia="Times New Roman"/>
                <w:lang w:bidi="ar-SA"/>
              </w:rPr>
              <w:t>We recommend using mean SGPs as the primary measure of school-level growth in ELA and</w:t>
            </w:r>
            <w:r w:rsidRPr="00F847FE">
              <w:rPr>
                <w:rFonts w:eastAsia="Times New Roman"/>
                <w:shd w:val="clear" w:color="auto" w:fill="FFFFFF"/>
                <w:lang w:bidi="ar-SA"/>
              </w:rPr>
              <w:t xml:space="preserve"> </w:t>
            </w:r>
            <w:r w:rsidRPr="00F847FE">
              <w:rPr>
                <w:rFonts w:eastAsia="Times New Roman"/>
                <w:lang w:bidi="ar-SA"/>
              </w:rPr>
              <w:t>mathematics. While the median SGP is also a common measure of school-level growth,</w:t>
            </w:r>
            <w:r w:rsidRPr="00F847FE">
              <w:rPr>
                <w:rFonts w:eastAsia="Times New Roman"/>
                <w:shd w:val="clear" w:color="auto" w:fill="FFFFFF"/>
                <w:lang w:bidi="ar-SA"/>
              </w:rPr>
              <w:t xml:space="preserve"> </w:t>
            </w:r>
            <w:r w:rsidRPr="00F847FE">
              <w:rPr>
                <w:rFonts w:eastAsia="Times New Roman"/>
                <w:lang w:bidi="ar-SA"/>
              </w:rPr>
              <w:t>research suggests that the mean SGP has advantages over the median SGP in terms of</w:t>
            </w:r>
            <w:r w:rsidRPr="00F847FE">
              <w:rPr>
                <w:rFonts w:eastAsia="Times New Roman"/>
                <w:shd w:val="clear" w:color="auto" w:fill="FFFFFF"/>
                <w:lang w:bidi="ar-SA"/>
              </w:rPr>
              <w:t xml:space="preserve"> </w:t>
            </w:r>
            <w:r w:rsidRPr="00F847FE">
              <w:rPr>
                <w:rFonts w:eastAsia="Times New Roman"/>
                <w:lang w:bidi="ar-SA"/>
              </w:rPr>
              <w:t>efficiency, alignment with expected values, and robustness to scale transformations.</w:t>
            </w:r>
          </w:p>
        </w:tc>
      </w:tr>
      <w:tr w:rsidR="00F847FE" w:rsidRPr="00F847FE" w14:paraId="45A79E07" w14:textId="77777777" w:rsidTr="004010A1">
        <w:trPr>
          <w:cantSplit/>
        </w:trPr>
        <w:tc>
          <w:tcPr>
            <w:tcW w:w="1705" w:type="dxa"/>
            <w:shd w:val="clear" w:color="auto" w:fill="FFFFFF"/>
          </w:tcPr>
          <w:p w14:paraId="6FD906F5" w14:textId="77777777" w:rsidR="00F847FE" w:rsidRPr="00F847FE" w:rsidRDefault="00F847FE" w:rsidP="00F847FE">
            <w:pPr>
              <w:tabs>
                <w:tab w:val="left" w:pos="5440"/>
              </w:tabs>
              <w:rPr>
                <w:rFonts w:eastAsia="Times New Roman"/>
                <w:lang w:bidi="ar-SA"/>
              </w:rPr>
            </w:pPr>
            <w:r w:rsidRPr="00F847FE">
              <w:rPr>
                <w:rFonts w:eastAsia="Times New Roman"/>
                <w:lang w:bidi="ar-SA"/>
              </w:rPr>
              <w:t>Adaptive, Diagnostic Assessment of Mathematics (ADAM) / Diagnostic Online Math Assessment (DOMA) by Let’s Go Learn</w:t>
            </w:r>
          </w:p>
        </w:tc>
        <w:tc>
          <w:tcPr>
            <w:tcW w:w="7645" w:type="dxa"/>
          </w:tcPr>
          <w:p w14:paraId="73ECE6DA" w14:textId="77777777" w:rsidR="00F847FE" w:rsidRPr="00F847FE" w:rsidRDefault="00F847FE" w:rsidP="00F847FE">
            <w:pPr>
              <w:rPr>
                <w:rFonts w:eastAsia="Times New Roman"/>
                <w:lang w:bidi="ar-SA"/>
              </w:rPr>
            </w:pPr>
            <w:r w:rsidRPr="00F847FE">
              <w:rPr>
                <w:rFonts w:eastAsia="Times New Roman"/>
                <w:lang w:bidi="ar-SA"/>
              </w:rPr>
              <w:t xml:space="preserve">Let’s Go Learn assessments </w:t>
            </w:r>
            <w:r w:rsidRPr="00F847FE">
              <w:rPr>
                <w:rFonts w:eastAsia="Times New Roman"/>
                <w:shd w:val="clear" w:color="auto" w:fill="FFFFFF"/>
                <w:lang w:bidi="ar-SA"/>
              </w:rPr>
              <w:t xml:space="preserve">employ a gains score, or trajectory, model for student growth. The gain score model captures the grade level progress on a particular scale or subscale between time 1 and time 2. The model is represented as GL(s)2 – GL(s)1. Where GL = grade level, and where (s) denotes the </w:t>
            </w:r>
            <w:proofErr w:type="gramStart"/>
            <w:r w:rsidRPr="00F847FE">
              <w:rPr>
                <w:rFonts w:eastAsia="Times New Roman"/>
                <w:shd w:val="clear" w:color="auto" w:fill="FFFFFF"/>
                <w:lang w:bidi="ar-SA"/>
              </w:rPr>
              <w:t>particular scale</w:t>
            </w:r>
            <w:proofErr w:type="gramEnd"/>
            <w:r w:rsidRPr="00F847FE">
              <w:rPr>
                <w:rFonts w:eastAsia="Times New Roman"/>
                <w:shd w:val="clear" w:color="auto" w:fill="FFFFFF"/>
                <w:lang w:bidi="ar-SA"/>
              </w:rPr>
              <w:t xml:space="preserve"> or subscale.</w:t>
            </w:r>
          </w:p>
          <w:p w14:paraId="62613127" w14:textId="77777777" w:rsidR="00F847FE" w:rsidRPr="00F847FE" w:rsidRDefault="00F847FE" w:rsidP="00F847FE">
            <w:pPr>
              <w:rPr>
                <w:rFonts w:eastAsia="Times New Roman"/>
                <w:lang w:bidi="ar-SA"/>
              </w:rPr>
            </w:pPr>
            <w:r w:rsidRPr="00F847FE">
              <w:rPr>
                <w:rFonts w:eastAsia="Times New Roman"/>
                <w:shd w:val="clear" w:color="auto" w:fill="FFFFFF"/>
                <w:lang w:bidi="ar-SA"/>
              </w:rPr>
              <w:t xml:space="preserve">Since the scores are grade levels, if students have 1.0 gain, they </w:t>
            </w:r>
            <w:proofErr w:type="gramStart"/>
            <w:r w:rsidRPr="00F847FE">
              <w:rPr>
                <w:rFonts w:eastAsia="Times New Roman"/>
                <w:shd w:val="clear" w:color="auto" w:fill="FFFFFF"/>
                <w:lang w:bidi="ar-SA"/>
              </w:rPr>
              <w:t>would</w:t>
            </w:r>
            <w:proofErr w:type="gramEnd"/>
            <w:r w:rsidRPr="00F847FE">
              <w:rPr>
                <w:rFonts w:eastAsia="Times New Roman"/>
                <w:shd w:val="clear" w:color="auto" w:fill="FFFFFF"/>
                <w:lang w:bidi="ar-SA"/>
              </w:rPr>
              <w:t xml:space="preserve"> have one year’s gain.</w:t>
            </w:r>
          </w:p>
        </w:tc>
      </w:tr>
      <w:tr w:rsidR="00F847FE" w:rsidRPr="00F847FE" w14:paraId="29BBFA96" w14:textId="77777777" w:rsidTr="004010A1">
        <w:trPr>
          <w:cantSplit/>
        </w:trPr>
        <w:tc>
          <w:tcPr>
            <w:tcW w:w="1705" w:type="dxa"/>
            <w:shd w:val="clear" w:color="auto" w:fill="FFFFFF"/>
          </w:tcPr>
          <w:p w14:paraId="4A664BDB" w14:textId="77777777" w:rsidR="00F847FE" w:rsidRPr="00F847FE" w:rsidRDefault="00F847FE" w:rsidP="00F847FE">
            <w:pPr>
              <w:tabs>
                <w:tab w:val="left" w:pos="5440"/>
              </w:tabs>
              <w:rPr>
                <w:rFonts w:eastAsia="Times New Roman"/>
                <w:lang w:bidi="ar-SA"/>
              </w:rPr>
            </w:pPr>
            <w:proofErr w:type="spellStart"/>
            <w:r w:rsidRPr="00F847FE">
              <w:rPr>
                <w:rFonts w:eastAsia="Times New Roman"/>
                <w:lang w:bidi="ar-SA"/>
              </w:rPr>
              <w:t>aimswebPlus</w:t>
            </w:r>
            <w:proofErr w:type="spellEnd"/>
            <w:r w:rsidRPr="00F847FE">
              <w:rPr>
                <w:rFonts w:eastAsia="Times New Roman"/>
                <w:lang w:bidi="ar-SA"/>
              </w:rPr>
              <w:t xml:space="preserve"> by Pearson Assessments</w:t>
            </w:r>
          </w:p>
        </w:tc>
        <w:tc>
          <w:tcPr>
            <w:tcW w:w="7645" w:type="dxa"/>
          </w:tcPr>
          <w:p w14:paraId="5178FE2E" w14:textId="77777777" w:rsidR="00F847FE" w:rsidRPr="00F847FE" w:rsidRDefault="00F847FE" w:rsidP="00F847FE">
            <w:pPr>
              <w:rPr>
                <w:rFonts w:eastAsia="Times New Roman"/>
                <w:lang w:bidi="ar-SA"/>
              </w:rPr>
            </w:pPr>
            <w:r w:rsidRPr="00F847FE">
              <w:rPr>
                <w:rFonts w:eastAsia="Times New Roman"/>
                <w:shd w:val="clear" w:color="auto" w:fill="FFFFFF"/>
                <w:lang w:bidi="ar-SA"/>
              </w:rPr>
              <w:t>The Individual Benchmark report shows performance relative to norms (national or local) and seasons or years. It</w:t>
            </w:r>
            <w:r w:rsidRPr="00F847FE">
              <w:rPr>
                <w:rFonts w:eastAsia="Times New Roman"/>
                <w:sz w:val="20"/>
                <w:szCs w:val="20"/>
                <w:lang w:bidi="ar-SA"/>
              </w:rPr>
              <w:t xml:space="preserve"> </w:t>
            </w:r>
            <w:r w:rsidRPr="00F847FE">
              <w:rPr>
                <w:rFonts w:eastAsia="Times New Roman"/>
                <w:shd w:val="clear" w:color="auto" w:fill="FFFFFF"/>
                <w:lang w:bidi="ar-SA"/>
              </w:rPr>
              <w:t>displays the student’s rate of improvement (ROI) and Student Growth Percentiles (SGP.) The lines in the graph allow</w:t>
            </w:r>
            <w:r w:rsidRPr="00F847FE">
              <w:rPr>
                <w:rFonts w:eastAsia="Times New Roman"/>
                <w:sz w:val="20"/>
                <w:szCs w:val="20"/>
                <w:shd w:val="clear" w:color="auto" w:fill="FFFFFF"/>
                <w:lang w:bidi="ar-SA"/>
              </w:rPr>
              <w:t xml:space="preserve"> </w:t>
            </w:r>
            <w:r w:rsidRPr="00F847FE">
              <w:rPr>
                <w:rFonts w:eastAsia="Times New Roman"/>
                <w:shd w:val="clear" w:color="auto" w:fill="FFFFFF"/>
                <w:lang w:bidi="ar-SA"/>
              </w:rPr>
              <w:t>comparison of the student growth summary to the national average growth. This report is useful to view student’s</w:t>
            </w:r>
            <w:r w:rsidRPr="00F847FE">
              <w:rPr>
                <w:rFonts w:eastAsia="Times New Roman"/>
                <w:sz w:val="20"/>
                <w:szCs w:val="20"/>
                <w:shd w:val="clear" w:color="auto" w:fill="FFFFFF"/>
                <w:lang w:bidi="ar-SA"/>
              </w:rPr>
              <w:t xml:space="preserve"> </w:t>
            </w:r>
            <w:r w:rsidRPr="00F847FE">
              <w:rPr>
                <w:rFonts w:eastAsia="Times New Roman"/>
                <w:shd w:val="clear" w:color="auto" w:fill="FFFFFF"/>
                <w:lang w:bidi="ar-SA"/>
              </w:rPr>
              <w:t>progress toward closing a gap between their current performance and the national or local norm.</w:t>
            </w:r>
          </w:p>
        </w:tc>
      </w:tr>
      <w:tr w:rsidR="00F847FE" w:rsidRPr="00F847FE" w14:paraId="7738DCBB" w14:textId="77777777" w:rsidTr="004010A1">
        <w:trPr>
          <w:cantSplit/>
        </w:trPr>
        <w:tc>
          <w:tcPr>
            <w:tcW w:w="1705" w:type="dxa"/>
            <w:shd w:val="clear" w:color="auto" w:fill="FFFFFF"/>
          </w:tcPr>
          <w:p w14:paraId="2B891819" w14:textId="77777777" w:rsidR="00F847FE" w:rsidRPr="00F847FE" w:rsidRDefault="00F847FE" w:rsidP="00F847FE">
            <w:pPr>
              <w:tabs>
                <w:tab w:val="left" w:pos="5440"/>
              </w:tabs>
              <w:rPr>
                <w:rFonts w:eastAsia="Times New Roman"/>
                <w:lang w:bidi="ar-SA"/>
              </w:rPr>
            </w:pPr>
            <w:r w:rsidRPr="00F847FE">
              <w:rPr>
                <w:rFonts w:eastAsia="Times New Roman"/>
                <w:lang w:bidi="ar-SA"/>
              </w:rPr>
              <w:t>Diagnostic Online Reading Assessment (DORA) by Let’s Go Learn</w:t>
            </w:r>
          </w:p>
        </w:tc>
        <w:tc>
          <w:tcPr>
            <w:tcW w:w="7645" w:type="dxa"/>
          </w:tcPr>
          <w:p w14:paraId="456E351F" w14:textId="77777777" w:rsidR="00F847FE" w:rsidRPr="00F847FE" w:rsidRDefault="00F847FE" w:rsidP="00F847FE">
            <w:pPr>
              <w:rPr>
                <w:rFonts w:eastAsia="Times New Roman"/>
                <w:lang w:bidi="ar-SA"/>
              </w:rPr>
            </w:pPr>
            <w:r w:rsidRPr="00F847FE">
              <w:rPr>
                <w:rFonts w:eastAsia="Times New Roman"/>
                <w:lang w:bidi="ar-SA"/>
              </w:rPr>
              <w:t xml:space="preserve">Let’s Go Learn assessments </w:t>
            </w:r>
            <w:r w:rsidRPr="00F847FE">
              <w:rPr>
                <w:rFonts w:eastAsia="Times New Roman"/>
                <w:shd w:val="clear" w:color="auto" w:fill="FFFFFF"/>
                <w:lang w:bidi="ar-SA"/>
              </w:rPr>
              <w:t xml:space="preserve">employ a gains score, or trajectory, model for student growth. The gain score model captures the grade level progress on a particular scale or subscale between time 1 and time 2. The model is represented as GL(s)2 – GL(s)1. Where GL = grade level, and where (s) denotes the </w:t>
            </w:r>
            <w:proofErr w:type="gramStart"/>
            <w:r w:rsidRPr="00F847FE">
              <w:rPr>
                <w:rFonts w:eastAsia="Times New Roman"/>
                <w:shd w:val="clear" w:color="auto" w:fill="FFFFFF"/>
                <w:lang w:bidi="ar-SA"/>
              </w:rPr>
              <w:t>particular scale</w:t>
            </w:r>
            <w:proofErr w:type="gramEnd"/>
            <w:r w:rsidRPr="00F847FE">
              <w:rPr>
                <w:rFonts w:eastAsia="Times New Roman"/>
                <w:shd w:val="clear" w:color="auto" w:fill="FFFFFF"/>
                <w:lang w:bidi="ar-SA"/>
              </w:rPr>
              <w:t xml:space="preserve"> or subscale.</w:t>
            </w:r>
          </w:p>
          <w:p w14:paraId="2FF8CF63" w14:textId="77777777" w:rsidR="00F847FE" w:rsidRPr="00F847FE" w:rsidRDefault="00F847FE" w:rsidP="00F847FE">
            <w:pPr>
              <w:rPr>
                <w:rFonts w:eastAsia="Times New Roman"/>
                <w:lang w:bidi="ar-SA"/>
              </w:rPr>
            </w:pPr>
            <w:r w:rsidRPr="00F847FE">
              <w:rPr>
                <w:rFonts w:eastAsia="Times New Roman"/>
                <w:shd w:val="clear" w:color="auto" w:fill="FFFFFF"/>
                <w:lang w:bidi="ar-SA"/>
              </w:rPr>
              <w:t xml:space="preserve">Since the scores are grade levels, if students have 1.0 gain, they </w:t>
            </w:r>
            <w:proofErr w:type="gramStart"/>
            <w:r w:rsidRPr="00F847FE">
              <w:rPr>
                <w:rFonts w:eastAsia="Times New Roman"/>
                <w:shd w:val="clear" w:color="auto" w:fill="FFFFFF"/>
                <w:lang w:bidi="ar-SA"/>
              </w:rPr>
              <w:t>would</w:t>
            </w:r>
            <w:proofErr w:type="gramEnd"/>
            <w:r w:rsidRPr="00F847FE">
              <w:rPr>
                <w:rFonts w:eastAsia="Times New Roman"/>
                <w:shd w:val="clear" w:color="auto" w:fill="FFFFFF"/>
                <w:lang w:bidi="ar-SA"/>
              </w:rPr>
              <w:t xml:space="preserve"> have one year’s gain.</w:t>
            </w:r>
          </w:p>
        </w:tc>
      </w:tr>
      <w:tr w:rsidR="00F847FE" w:rsidRPr="00F847FE" w14:paraId="3DC5FA41" w14:textId="77777777" w:rsidTr="004010A1">
        <w:trPr>
          <w:cantSplit/>
        </w:trPr>
        <w:tc>
          <w:tcPr>
            <w:tcW w:w="1705" w:type="dxa"/>
            <w:shd w:val="clear" w:color="auto" w:fill="FFFFFF"/>
          </w:tcPr>
          <w:p w14:paraId="5B78F4FB" w14:textId="77777777" w:rsidR="00F847FE" w:rsidRPr="00F847FE" w:rsidRDefault="00F847FE" w:rsidP="00F847FE">
            <w:pPr>
              <w:tabs>
                <w:tab w:val="left" w:pos="5440"/>
              </w:tabs>
              <w:rPr>
                <w:rFonts w:eastAsia="Times New Roman"/>
                <w:lang w:bidi="ar-SA"/>
              </w:rPr>
            </w:pPr>
            <w:r w:rsidRPr="00F847FE">
              <w:rPr>
                <w:rFonts w:eastAsia="Times New Roman"/>
                <w:lang w:bidi="ar-SA"/>
              </w:rPr>
              <w:lastRenderedPageBreak/>
              <w:t>DRA3 by Pearson Assessments</w:t>
            </w:r>
          </w:p>
        </w:tc>
        <w:tc>
          <w:tcPr>
            <w:tcW w:w="7645" w:type="dxa"/>
          </w:tcPr>
          <w:p w14:paraId="4A5B358C" w14:textId="77777777" w:rsidR="00F847FE" w:rsidRPr="00F847FE" w:rsidRDefault="00F847FE" w:rsidP="00F847FE">
            <w:pPr>
              <w:rPr>
                <w:rFonts w:eastAsia="Times New Roman"/>
                <w:shd w:val="clear" w:color="auto" w:fill="FFFFFF"/>
                <w:lang w:bidi="ar-SA"/>
              </w:rPr>
            </w:pPr>
            <w:r w:rsidRPr="00F847FE">
              <w:rPr>
                <w:rFonts w:eastAsia="Times New Roman"/>
                <w:shd w:val="clear" w:color="auto" w:fill="FFFFFF"/>
                <w:lang w:bidi="ar-SA"/>
              </w:rPr>
              <w:t>Educators can use the School/District Data Across Seasons (and Across Years) Report to demonstrate that a student achieved measurable increases in academic achievement. These reports are listed below:</w:t>
            </w:r>
          </w:p>
          <w:p w14:paraId="28221912"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-Class Roster Report – Allows teachers to quickly check status and performance on Benchmark assessments by class and see recommendations for Progress Monitoring and Word Analysis assessments.</w:t>
            </w:r>
          </w:p>
          <w:p w14:paraId="3F289FE1"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-Student Action Plan – Combines data form a single benchmark instance to help the teacher, capture notes/observations and make decision on what to do next.</w:t>
            </w:r>
          </w:p>
          <w:p w14:paraId="148A5A80"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-Student Assessment History – Printable comprehensive record of a student’s assessment history for ALL completed assessments.</w:t>
            </w:r>
          </w:p>
          <w:p w14:paraId="1ABE9939"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-Assessment Instance Results – Shows detailed scoring data and notes for a single benchmark assessment instance.</w:t>
            </w:r>
          </w:p>
          <w:p w14:paraId="1D08E671"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-Parent Report – Presents a summary of student assessment performance and information in a parent-friendly format; will contain easy to read graphics and narrative descriptions of the student performance</w:t>
            </w:r>
          </w:p>
          <w:p w14:paraId="797D4282"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-Student Performance Over Time – Graphical depiction of a student’s progress through the DRA levels across years.</w:t>
            </w:r>
          </w:p>
          <w:p w14:paraId="556D5DAD"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-Class Skill Summary – Presents student performance by class on individual ORF, Comp, and RE skills by level.</w:t>
            </w:r>
          </w:p>
          <w:p w14:paraId="5FAF97C7"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-School/District Benchmark Scoring Report – Illustrates student benchmark performance and results by teacher within grades within building.</w:t>
            </w:r>
          </w:p>
          <w:p w14:paraId="6E5E96A4" w14:textId="77777777" w:rsidR="00F847FE" w:rsidRPr="00F847FE" w:rsidRDefault="00F847FE" w:rsidP="00F847FE">
            <w:pPr>
              <w:rPr>
                <w:rFonts w:eastAsia="Times New Roman"/>
                <w:lang w:bidi="ar-SA"/>
              </w:rPr>
            </w:pPr>
            <w:r w:rsidRPr="00F847FE">
              <w:rPr>
                <w:rFonts w:eastAsia="Times New Roman"/>
                <w:shd w:val="clear" w:color="auto" w:fill="FFFFFF"/>
                <w:lang w:bidi="ar-SA"/>
              </w:rPr>
              <w:t>-School/District Data Across Seasons (and Across Years) – Illustrates percent of students who met expectations by season and shows reading level assessed for each grade in a graphic format.</w:t>
            </w:r>
          </w:p>
        </w:tc>
      </w:tr>
      <w:tr w:rsidR="00F847FE" w:rsidRPr="00F847FE" w14:paraId="7EBE4139" w14:textId="77777777" w:rsidTr="004010A1">
        <w:trPr>
          <w:cantSplit/>
        </w:trPr>
        <w:tc>
          <w:tcPr>
            <w:tcW w:w="1705" w:type="dxa"/>
            <w:shd w:val="clear" w:color="auto" w:fill="FFFFFF"/>
          </w:tcPr>
          <w:p w14:paraId="6F1E6002" w14:textId="77777777" w:rsidR="00F847FE" w:rsidRPr="00F847FE" w:rsidRDefault="00F847FE" w:rsidP="00F847FE">
            <w:pPr>
              <w:tabs>
                <w:tab w:val="left" w:pos="5440"/>
              </w:tabs>
              <w:rPr>
                <w:rFonts w:eastAsia="Times New Roman"/>
                <w:lang w:bidi="ar-SA"/>
              </w:rPr>
            </w:pPr>
            <w:proofErr w:type="spellStart"/>
            <w:r w:rsidRPr="00F847FE">
              <w:rPr>
                <w:rFonts w:eastAsia="Times New Roman"/>
                <w:lang w:bidi="ar-SA"/>
              </w:rPr>
              <w:lastRenderedPageBreak/>
              <w:t>easyCBM</w:t>
            </w:r>
            <w:proofErr w:type="spellEnd"/>
            <w:r w:rsidRPr="00F847FE">
              <w:rPr>
                <w:rFonts w:eastAsia="Times New Roman"/>
                <w:lang w:bidi="ar-SA"/>
              </w:rPr>
              <w:t xml:space="preserve"> by Riverside Insights</w:t>
            </w:r>
          </w:p>
        </w:tc>
        <w:tc>
          <w:tcPr>
            <w:tcW w:w="7645" w:type="dxa"/>
          </w:tcPr>
          <w:p w14:paraId="7B56291B" w14:textId="77777777" w:rsidR="00F847FE" w:rsidRPr="00F847FE" w:rsidRDefault="00F847FE" w:rsidP="00F847FE">
            <w:pPr>
              <w:spacing w:after="120"/>
              <w:rPr>
                <w:rFonts w:eastAsia="Times New Roman"/>
                <w:shd w:val="clear" w:color="auto" w:fill="FFFFFF"/>
                <w:lang w:bidi="ar-SA"/>
              </w:rPr>
            </w:pPr>
            <w:proofErr w:type="spellStart"/>
            <w:r w:rsidRPr="00F847FE">
              <w:rPr>
                <w:rFonts w:eastAsia="Times New Roman"/>
                <w:shd w:val="clear" w:color="auto" w:fill="FFFFFF"/>
                <w:lang w:bidi="ar-SA"/>
              </w:rPr>
              <w:t>easyCBM</w:t>
            </w:r>
            <w:proofErr w:type="spellEnd"/>
            <w:r w:rsidRPr="00F847FE">
              <w:rPr>
                <w:rFonts w:eastAsia="Times New Roman"/>
                <w:shd w:val="clear" w:color="auto" w:fill="FFFFFF"/>
                <w:lang w:bidi="ar-SA"/>
              </w:rPr>
              <w:t xml:space="preserve"> provides </w:t>
            </w:r>
            <w:proofErr w:type="gramStart"/>
            <w:r w:rsidRPr="00F847FE">
              <w:rPr>
                <w:rFonts w:eastAsia="Times New Roman"/>
                <w:shd w:val="clear" w:color="auto" w:fill="FFFFFF"/>
                <w:lang w:bidi="ar-SA"/>
              </w:rPr>
              <w:t>a number of</w:t>
            </w:r>
            <w:proofErr w:type="gramEnd"/>
            <w:r w:rsidRPr="00F847FE">
              <w:rPr>
                <w:rFonts w:eastAsia="Times New Roman"/>
                <w:shd w:val="clear" w:color="auto" w:fill="FFFFFF"/>
                <w:lang w:bidi="ar-SA"/>
              </w:rPr>
              <w:t xml:space="preserve"> reports that display scores across administrations. Scores reported include a raw score (number of questions answered correctly or, for fluency measures, the number correct per minute) and national percentile scores. </w:t>
            </w:r>
            <w:proofErr w:type="spellStart"/>
            <w:r w:rsidRPr="00F847FE">
              <w:rPr>
                <w:rFonts w:eastAsia="Times New Roman"/>
                <w:shd w:val="clear" w:color="auto" w:fill="FFFFFF"/>
                <w:lang w:bidi="ar-SA"/>
              </w:rPr>
              <w:t>easyCBM</w:t>
            </w:r>
            <w:proofErr w:type="spellEnd"/>
            <w:r w:rsidRPr="00F847FE">
              <w:rPr>
                <w:rFonts w:eastAsia="Times New Roman"/>
                <w:shd w:val="clear" w:color="auto" w:fill="FFFFFF"/>
                <w:lang w:bidi="ar-SA"/>
              </w:rPr>
              <w:t xml:space="preserve"> also reports the Rate of Improvement (ROI), which is the difference in score calculated between each test submission.</w:t>
            </w:r>
          </w:p>
          <w:p w14:paraId="3373DEBB"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Schools can use both the ROI and the percentile scores to determine a student’s academic achievement. To see if a student has made at least one year’s progress, educators can compare the student’s beginning of the year percentile scores to the end-of-year percentile scores. To stay on track with peers, the student’s percentile score for each measure should be the same—or higher—from the first administration to the last in the school year.</w:t>
            </w:r>
          </w:p>
          <w:p w14:paraId="7F347163"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 xml:space="preserve">The Benchmark Performance Report provides an easy-to-understand overview of a student’s screener assessment scores for the current school year. Similarly, the Parent Report lists the student’s raw score and percentile score for each measure for each administration </w:t>
            </w:r>
            <w:proofErr w:type="gramStart"/>
            <w:r w:rsidRPr="00F847FE">
              <w:rPr>
                <w:rFonts w:eastAsia="Times New Roman"/>
                <w:shd w:val="clear" w:color="auto" w:fill="FFFFFF"/>
                <w:lang w:bidi="ar-SA"/>
              </w:rPr>
              <w:t>is</w:t>
            </w:r>
            <w:proofErr w:type="gramEnd"/>
            <w:r w:rsidRPr="00F847FE">
              <w:rPr>
                <w:rFonts w:eastAsia="Times New Roman"/>
                <w:shd w:val="clear" w:color="auto" w:fill="FFFFFF"/>
                <w:lang w:bidi="ar-SA"/>
              </w:rPr>
              <w:t xml:space="preserve"> both tabular and graphic formats.</w:t>
            </w:r>
          </w:p>
          <w:p w14:paraId="19EEF1C8" w14:textId="77777777" w:rsidR="00F847FE" w:rsidRPr="00F847FE" w:rsidRDefault="00F847FE" w:rsidP="00F847FE">
            <w:pPr>
              <w:rPr>
                <w:rFonts w:eastAsia="Times New Roman"/>
                <w:lang w:bidi="ar-SA"/>
              </w:rPr>
            </w:pPr>
            <w:r w:rsidRPr="00F847FE">
              <w:rPr>
                <w:rFonts w:eastAsia="Times New Roman"/>
                <w:shd w:val="clear" w:color="auto" w:fill="FFFFFF"/>
                <w:lang w:bidi="ar-SA"/>
              </w:rPr>
              <w:t>Educators can use the percentile scores to monitor and demonstrate one year’s progress. Building-level administrators can see results for their entire school for each administration window, allowing them to monitor progress of students and classes.</w:t>
            </w:r>
          </w:p>
        </w:tc>
      </w:tr>
      <w:tr w:rsidR="00F847FE" w:rsidRPr="00F847FE" w14:paraId="7FC47EE7" w14:textId="77777777" w:rsidTr="004010A1">
        <w:trPr>
          <w:cantSplit/>
        </w:trPr>
        <w:tc>
          <w:tcPr>
            <w:tcW w:w="1705" w:type="dxa"/>
            <w:shd w:val="clear" w:color="auto" w:fill="FFFFFF"/>
          </w:tcPr>
          <w:p w14:paraId="63D9110E" w14:textId="77777777" w:rsidR="00F847FE" w:rsidRPr="00F847FE" w:rsidRDefault="00F847FE" w:rsidP="00F847FE">
            <w:pPr>
              <w:tabs>
                <w:tab w:val="left" w:pos="5440"/>
              </w:tabs>
              <w:rPr>
                <w:rFonts w:eastAsia="Times New Roman"/>
                <w:lang w:bidi="ar-SA"/>
              </w:rPr>
            </w:pPr>
            <w:r w:rsidRPr="00F847FE">
              <w:rPr>
                <w:rFonts w:eastAsia="Times New Roman"/>
                <w:lang w:bidi="ar-SA"/>
              </w:rPr>
              <w:t>Exact Path by Edmentum</w:t>
            </w:r>
          </w:p>
        </w:tc>
        <w:tc>
          <w:tcPr>
            <w:tcW w:w="7645" w:type="dxa"/>
          </w:tcPr>
          <w:p w14:paraId="19702EEA" w14:textId="77777777" w:rsidR="00F847FE" w:rsidRPr="00F847FE" w:rsidRDefault="00F847FE" w:rsidP="00F847FE">
            <w:pPr>
              <w:rPr>
                <w:rFonts w:eastAsia="Times New Roman"/>
                <w:shd w:val="clear" w:color="auto" w:fill="FFFFFF"/>
                <w:lang w:bidi="ar-SA"/>
              </w:rPr>
            </w:pPr>
            <w:r w:rsidRPr="00F847FE">
              <w:rPr>
                <w:rFonts w:eastAsia="Times New Roman"/>
                <w:lang w:bidi="ar-SA"/>
              </w:rPr>
              <w:t>The Exact Path Diagnostic Assessments provide multiple scores that will help schools understand student progress throughout the year. Specifically, Exact Path delivers standard (scale) scores that can be used to determine progress and growth measures so that educators can see where students start (or the scale score1 on their first test) and how much their scores change in the final test (growth score). Growth can be calculated between two tests, fall to winter, winter to spring, or fall to spring. Additionally, Exact Path provides Norm Reference Scores/Percentiles relative to the end of the score year. Schools can consult the references as the year progresses to see student performance increases over the year. Moreover, Exact Path</w:t>
            </w:r>
            <w:r w:rsidRPr="00F847FE">
              <w:rPr>
                <w:rFonts w:eastAsia="Times New Roman"/>
                <w:lang w:bidi="ar-SA"/>
              </w:rPr>
              <w:br/>
              <w:t>offers performance levels called Grade Level Proficiency classifications in score reports. These classifications can also be used to understand progress throughout the year. Finally, Exact Path provides both Lexile and Quantile measures upon completion of the Diagnostic Assessment. The next sections provide details on the development of each of these scores.</w:t>
            </w:r>
          </w:p>
        </w:tc>
      </w:tr>
      <w:tr w:rsidR="00F847FE" w:rsidRPr="00F847FE" w14:paraId="434FA4DB" w14:textId="77777777" w:rsidTr="004010A1">
        <w:trPr>
          <w:cantSplit/>
        </w:trPr>
        <w:tc>
          <w:tcPr>
            <w:tcW w:w="1705" w:type="dxa"/>
            <w:shd w:val="clear" w:color="auto" w:fill="FFFFFF"/>
          </w:tcPr>
          <w:p w14:paraId="30455117" w14:textId="77777777" w:rsidR="00F847FE" w:rsidRPr="00F847FE" w:rsidRDefault="00F847FE" w:rsidP="00F847FE">
            <w:pPr>
              <w:tabs>
                <w:tab w:val="left" w:pos="5440"/>
              </w:tabs>
              <w:rPr>
                <w:rFonts w:eastAsia="Times New Roman"/>
                <w:lang w:bidi="ar-SA"/>
              </w:rPr>
            </w:pPr>
            <w:proofErr w:type="spellStart"/>
            <w:r w:rsidRPr="00F847FE">
              <w:rPr>
                <w:rFonts w:eastAsia="Times New Roman"/>
                <w:lang w:bidi="ar-SA"/>
              </w:rPr>
              <w:lastRenderedPageBreak/>
              <w:t>FastBridge</w:t>
            </w:r>
            <w:proofErr w:type="spellEnd"/>
            <w:r w:rsidRPr="00F847FE">
              <w:rPr>
                <w:rFonts w:eastAsia="Times New Roman"/>
                <w:lang w:bidi="ar-SA"/>
              </w:rPr>
              <w:t xml:space="preserve"> by Illuminate</w:t>
            </w:r>
          </w:p>
        </w:tc>
        <w:tc>
          <w:tcPr>
            <w:tcW w:w="7645" w:type="dxa"/>
          </w:tcPr>
          <w:p w14:paraId="6E44ABDB"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Within the normed samples provided, the median national growth percentile represents one year of growth for a given grade and subject.</w:t>
            </w:r>
          </w:p>
          <w:p w14:paraId="5B81DBDB"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 xml:space="preserve">Aggregate monthly growth norms are percentiles derived from the overall distribution of growth rates for a given assessment and grade in the national demographically matched norm sample. Seasonal growth, known as rates of improvement (ROI) are computed by dividing the overall gain across season by the number of days between administrations, and multiplied by 30 to obtain a growth rate per month. For example, if the student earned a scale score of 500 on </w:t>
            </w:r>
            <w:proofErr w:type="spellStart"/>
            <w:r w:rsidRPr="00F847FE">
              <w:rPr>
                <w:rFonts w:eastAsia="Times New Roman"/>
                <w:shd w:val="clear" w:color="auto" w:fill="FFFFFF"/>
                <w:lang w:bidi="ar-SA"/>
              </w:rPr>
              <w:t>aReading</w:t>
            </w:r>
            <w:proofErr w:type="spellEnd"/>
            <w:r w:rsidRPr="00F847FE">
              <w:rPr>
                <w:rFonts w:eastAsia="Times New Roman"/>
                <w:shd w:val="clear" w:color="auto" w:fill="FFFFFF"/>
                <w:lang w:bidi="ar-SA"/>
              </w:rPr>
              <w:t xml:space="preserve"> in the fall and 510 in the winter, the calculation would be: 30*(512-500)/90 days = 4.00 Thus, her ROI is 4.00 scaled score points per month. ROIs are always rounded to the nearest hundredth. The aggregate growth rate is recommended for setting progress monitoring goals and evaluating student growth individually and in groups (classroom, grade, etc.). One-years growth is defined by the ROI in the aggregate growth norms associated with the 50th national percentile for the fall to spring norms. For example, one-year growth on </w:t>
            </w:r>
            <w:proofErr w:type="spellStart"/>
            <w:r w:rsidRPr="00F847FE">
              <w:rPr>
                <w:rFonts w:eastAsia="Times New Roman"/>
                <w:shd w:val="clear" w:color="auto" w:fill="FFFFFF"/>
                <w:lang w:bidi="ar-SA"/>
              </w:rPr>
              <w:t>aReading</w:t>
            </w:r>
            <w:proofErr w:type="spellEnd"/>
            <w:r w:rsidRPr="00F847FE">
              <w:rPr>
                <w:rFonts w:eastAsia="Times New Roman"/>
                <w:shd w:val="clear" w:color="auto" w:fill="FFFFFF"/>
                <w:lang w:bidi="ar-SA"/>
              </w:rPr>
              <w:t xml:space="preserve"> in Grade 3 is equivalent to an ROI of 1.65, or 14.85 scale score points.</w:t>
            </w:r>
          </w:p>
          <w:p w14:paraId="1FDC3E99"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 xml:space="preserve">For purpose defining annual performance targets within the </w:t>
            </w:r>
            <w:proofErr w:type="spellStart"/>
            <w:r w:rsidRPr="00F847FE">
              <w:rPr>
                <w:rFonts w:eastAsia="Times New Roman"/>
                <w:shd w:val="clear" w:color="auto" w:fill="FFFFFF"/>
                <w:lang w:bidi="ar-SA"/>
              </w:rPr>
              <w:t>FastBridge</w:t>
            </w:r>
            <w:proofErr w:type="spellEnd"/>
            <w:r w:rsidRPr="00F847FE">
              <w:rPr>
                <w:rFonts w:eastAsia="Times New Roman"/>
                <w:shd w:val="clear" w:color="auto" w:fill="FFFFFF"/>
                <w:lang w:bidi="ar-SA"/>
              </w:rPr>
              <w:t xml:space="preserve"> progress monitoring area, </w:t>
            </w:r>
            <w:proofErr w:type="spellStart"/>
            <w:r w:rsidRPr="00F847FE">
              <w:rPr>
                <w:rFonts w:eastAsia="Times New Roman"/>
                <w:shd w:val="clear" w:color="auto" w:fill="FFFFFF"/>
                <w:lang w:bidi="ar-SA"/>
              </w:rPr>
              <w:t>FastBridge</w:t>
            </w:r>
            <w:proofErr w:type="spellEnd"/>
            <w:r w:rsidRPr="00F847FE">
              <w:rPr>
                <w:rFonts w:eastAsia="Times New Roman"/>
                <w:shd w:val="clear" w:color="auto" w:fill="FFFFFF"/>
                <w:lang w:bidi="ar-SA"/>
              </w:rPr>
              <w:t xml:space="preserve"> researchers defined four growth rate levels which are anchored to the mean ROI growth rate for each </w:t>
            </w:r>
            <w:proofErr w:type="spellStart"/>
            <w:r w:rsidRPr="00F847FE">
              <w:rPr>
                <w:rFonts w:eastAsia="Times New Roman"/>
                <w:shd w:val="clear" w:color="auto" w:fill="FFFFFF"/>
                <w:lang w:bidi="ar-SA"/>
              </w:rPr>
              <w:t>FastBridge</w:t>
            </w:r>
            <w:proofErr w:type="spellEnd"/>
            <w:r w:rsidRPr="00F847FE">
              <w:rPr>
                <w:rFonts w:eastAsia="Times New Roman"/>
                <w:shd w:val="clear" w:color="auto" w:fill="FFFFFF"/>
                <w:lang w:bidi="ar-SA"/>
              </w:rPr>
              <w:t xml:space="preserve"> progress measure:</w:t>
            </w:r>
          </w:p>
          <w:p w14:paraId="5F5A257C" w14:textId="77777777" w:rsidR="00F847FE" w:rsidRPr="00F847FE" w:rsidRDefault="00F847FE" w:rsidP="00F847FE">
            <w:pPr>
              <w:rPr>
                <w:rFonts w:eastAsia="Times New Roman"/>
                <w:lang w:bidi="ar-SA"/>
              </w:rPr>
            </w:pPr>
            <w:r w:rsidRPr="00F847FE">
              <w:rPr>
                <w:rFonts w:eastAsia="Times New Roman"/>
                <w:shd w:val="clear" w:color="auto" w:fill="FFFFFF"/>
                <w:lang w:bidi="ar-SA"/>
              </w:rPr>
              <w:t>Very Realistic: 80% of the mean rate</w:t>
            </w:r>
          </w:p>
          <w:p w14:paraId="205CDED7" w14:textId="77777777" w:rsidR="00F847FE" w:rsidRPr="00F847FE" w:rsidRDefault="00F847FE" w:rsidP="00F847FE">
            <w:pPr>
              <w:rPr>
                <w:rFonts w:eastAsia="Times New Roman"/>
                <w:lang w:bidi="ar-SA"/>
              </w:rPr>
            </w:pPr>
            <w:r w:rsidRPr="00F847FE">
              <w:rPr>
                <w:rFonts w:eastAsia="Times New Roman"/>
                <w:shd w:val="clear" w:color="auto" w:fill="FFFFFF"/>
                <w:lang w:bidi="ar-SA"/>
              </w:rPr>
              <w:t>Realistic: 100% of the mean rate (i.e., equal to the mean rate)</w:t>
            </w:r>
          </w:p>
          <w:p w14:paraId="25DD9AF3" w14:textId="77777777" w:rsidR="00F847FE" w:rsidRPr="00F847FE" w:rsidRDefault="00F847FE" w:rsidP="00F847FE">
            <w:pPr>
              <w:rPr>
                <w:rFonts w:eastAsia="Times New Roman"/>
                <w:lang w:bidi="ar-SA"/>
              </w:rPr>
            </w:pPr>
            <w:r w:rsidRPr="00F847FE">
              <w:rPr>
                <w:rFonts w:eastAsia="Times New Roman"/>
                <w:shd w:val="clear" w:color="auto" w:fill="FFFFFF"/>
                <w:lang w:bidi="ar-SA"/>
              </w:rPr>
              <w:t>Ambitious: 120% of the mean rate</w:t>
            </w:r>
          </w:p>
          <w:p w14:paraId="418E22A3" w14:textId="77777777" w:rsidR="00F847FE" w:rsidRPr="00F847FE" w:rsidRDefault="00F847FE" w:rsidP="00F847FE">
            <w:pPr>
              <w:spacing w:after="120"/>
              <w:rPr>
                <w:rFonts w:eastAsia="Times New Roman"/>
                <w:lang w:bidi="ar-SA"/>
              </w:rPr>
            </w:pPr>
            <w:r w:rsidRPr="00F847FE">
              <w:rPr>
                <w:rFonts w:eastAsia="Times New Roman"/>
                <w:shd w:val="clear" w:color="auto" w:fill="FFFFFF"/>
                <w:lang w:bidi="ar-SA"/>
              </w:rPr>
              <w:t>Very Ambitious: 150% of the mean rate</w:t>
            </w:r>
          </w:p>
          <w:p w14:paraId="04D39033" w14:textId="77777777" w:rsidR="00F847FE" w:rsidRPr="00F847FE" w:rsidRDefault="00F847FE" w:rsidP="00F847FE">
            <w:pPr>
              <w:rPr>
                <w:rFonts w:eastAsia="Times New Roman"/>
                <w:lang w:bidi="ar-SA"/>
              </w:rPr>
            </w:pPr>
            <w:r w:rsidRPr="00F847FE">
              <w:rPr>
                <w:rFonts w:eastAsia="Times New Roman"/>
                <w:shd w:val="clear" w:color="auto" w:fill="FFFFFF"/>
                <w:lang w:bidi="ar-SA"/>
              </w:rPr>
              <w:t>The end of year target is defined as: Target = Start Score + Daily ROI*Days where Days is the number of days from the start score (first administration) to the target date. The Daily ROI is the ROI score converted to a daily rate. This computation is performed automatically by the system. The system defaults to the Ambitious rate for goal setting. This level was selected because research consistently shows that students with high-risk scores who receive intensive, scientifically research-based interventions grow about 20% faster than average.</w:t>
            </w:r>
          </w:p>
        </w:tc>
      </w:tr>
      <w:tr w:rsidR="00F847FE" w:rsidRPr="00F847FE" w14:paraId="5C4A231A" w14:textId="77777777" w:rsidTr="004010A1">
        <w:trPr>
          <w:cantSplit/>
        </w:trPr>
        <w:tc>
          <w:tcPr>
            <w:tcW w:w="1705" w:type="dxa"/>
            <w:shd w:val="clear" w:color="auto" w:fill="FFFFFF"/>
          </w:tcPr>
          <w:p w14:paraId="61744577" w14:textId="77777777" w:rsidR="00F847FE" w:rsidRPr="00F847FE" w:rsidRDefault="00F847FE" w:rsidP="00F847FE">
            <w:pPr>
              <w:tabs>
                <w:tab w:val="left" w:pos="5440"/>
              </w:tabs>
              <w:rPr>
                <w:rFonts w:eastAsia="Times New Roman"/>
                <w:lang w:bidi="ar-SA"/>
              </w:rPr>
            </w:pPr>
            <w:r w:rsidRPr="00F847FE">
              <w:rPr>
                <w:rFonts w:eastAsia="Times New Roman"/>
                <w:lang w:bidi="ar-SA"/>
              </w:rPr>
              <w:t>Houghton Mifflin Harcourt Math Growth Measure</w:t>
            </w:r>
          </w:p>
        </w:tc>
        <w:tc>
          <w:tcPr>
            <w:tcW w:w="7645" w:type="dxa"/>
          </w:tcPr>
          <w:p w14:paraId="4499D340" w14:textId="77777777" w:rsidR="00F847FE" w:rsidRPr="00F847FE" w:rsidRDefault="00F847FE" w:rsidP="00F847FE">
            <w:pPr>
              <w:rPr>
                <w:rFonts w:eastAsia="Calibri"/>
                <w:lang w:bidi="ar-SA"/>
              </w:rPr>
            </w:pPr>
            <w:r w:rsidRPr="00F847FE">
              <w:rPr>
                <w:rFonts w:eastAsia="Times New Roman"/>
                <w:lang w:bidi="ar-SA"/>
              </w:rPr>
              <w:t xml:space="preserve">The publisher releases estimated average Fall–Spring Math Growth Measure quantile measure growth ranges by grade level and student starting quantile measure range. Students meeting this growth target can </w:t>
            </w:r>
            <w:proofErr w:type="gramStart"/>
            <w:r w:rsidRPr="00F847FE">
              <w:rPr>
                <w:rFonts w:eastAsia="Times New Roman"/>
                <w:lang w:bidi="ar-SA"/>
              </w:rPr>
              <w:t>be considered to be</w:t>
            </w:r>
            <w:proofErr w:type="gramEnd"/>
            <w:r w:rsidRPr="00F847FE">
              <w:rPr>
                <w:rFonts w:eastAsia="Times New Roman"/>
                <w:lang w:bidi="ar-SA"/>
              </w:rPr>
              <w:t xml:space="preserve"> making expected growth.</w:t>
            </w:r>
          </w:p>
        </w:tc>
      </w:tr>
      <w:tr w:rsidR="00F847FE" w:rsidRPr="00F847FE" w14:paraId="5A38B9DB" w14:textId="77777777" w:rsidTr="004010A1">
        <w:trPr>
          <w:cantSplit/>
        </w:trPr>
        <w:tc>
          <w:tcPr>
            <w:tcW w:w="1705" w:type="dxa"/>
            <w:shd w:val="clear" w:color="auto" w:fill="FFFFFF"/>
          </w:tcPr>
          <w:p w14:paraId="23318905" w14:textId="77777777" w:rsidR="00F847FE" w:rsidRPr="00F847FE" w:rsidRDefault="00F847FE" w:rsidP="00F847FE">
            <w:pPr>
              <w:tabs>
                <w:tab w:val="left" w:pos="5440"/>
              </w:tabs>
              <w:rPr>
                <w:rFonts w:eastAsia="Times New Roman"/>
                <w:lang w:bidi="ar-SA"/>
              </w:rPr>
            </w:pPr>
            <w:r w:rsidRPr="00F847FE">
              <w:rPr>
                <w:rFonts w:eastAsia="Times New Roman"/>
                <w:lang w:bidi="ar-SA"/>
              </w:rPr>
              <w:t>Houghton Mifflin Harcourt Reading Growth Measure</w:t>
            </w:r>
          </w:p>
        </w:tc>
        <w:tc>
          <w:tcPr>
            <w:tcW w:w="7645" w:type="dxa"/>
          </w:tcPr>
          <w:p w14:paraId="3E623FDC" w14:textId="77777777" w:rsidR="00F847FE" w:rsidRPr="00F847FE" w:rsidRDefault="00F847FE" w:rsidP="00F847FE">
            <w:pPr>
              <w:rPr>
                <w:rFonts w:eastAsia="Calibri"/>
                <w:lang w:bidi="ar-SA"/>
              </w:rPr>
            </w:pPr>
            <w:r w:rsidRPr="00F847FE">
              <w:rPr>
                <w:rFonts w:eastAsia="Times New Roman"/>
                <w:lang w:bidi="ar-SA"/>
              </w:rPr>
              <w:t xml:space="preserve">The publisher includes estimated average Fall–Spring Reading Growth Measure </w:t>
            </w:r>
            <w:proofErr w:type="spellStart"/>
            <w:r w:rsidRPr="00F847FE">
              <w:rPr>
                <w:rFonts w:eastAsia="Times New Roman"/>
                <w:lang w:bidi="ar-SA"/>
              </w:rPr>
              <w:t>lexile</w:t>
            </w:r>
            <w:proofErr w:type="spellEnd"/>
            <w:r w:rsidRPr="00F847FE">
              <w:rPr>
                <w:rFonts w:eastAsia="Times New Roman"/>
                <w:lang w:bidi="ar-SA"/>
              </w:rPr>
              <w:t xml:space="preserve"> measure growth ranges within individual student reporting. Students meeting this growth target can </w:t>
            </w:r>
            <w:proofErr w:type="gramStart"/>
            <w:r w:rsidRPr="00F847FE">
              <w:rPr>
                <w:rFonts w:eastAsia="Times New Roman"/>
                <w:lang w:bidi="ar-SA"/>
              </w:rPr>
              <w:t>be considered to be</w:t>
            </w:r>
            <w:proofErr w:type="gramEnd"/>
            <w:r w:rsidRPr="00F847FE">
              <w:rPr>
                <w:rFonts w:eastAsia="Times New Roman"/>
                <w:lang w:bidi="ar-SA"/>
              </w:rPr>
              <w:t xml:space="preserve"> making expected growth.</w:t>
            </w:r>
          </w:p>
        </w:tc>
      </w:tr>
      <w:tr w:rsidR="00F847FE" w:rsidRPr="00F847FE" w14:paraId="351E6672" w14:textId="77777777" w:rsidTr="004010A1">
        <w:trPr>
          <w:cantSplit/>
        </w:trPr>
        <w:tc>
          <w:tcPr>
            <w:tcW w:w="1705" w:type="dxa"/>
            <w:shd w:val="clear" w:color="auto" w:fill="FFFFFF"/>
          </w:tcPr>
          <w:p w14:paraId="4D3EE5B8" w14:textId="77777777" w:rsidR="00F847FE" w:rsidRPr="00F847FE" w:rsidRDefault="00F847FE" w:rsidP="00F847FE">
            <w:pPr>
              <w:tabs>
                <w:tab w:val="left" w:pos="5440"/>
              </w:tabs>
              <w:rPr>
                <w:rFonts w:eastAsia="Times New Roman"/>
                <w:lang w:bidi="ar-SA"/>
              </w:rPr>
            </w:pPr>
            <w:proofErr w:type="spellStart"/>
            <w:r w:rsidRPr="00F847FE">
              <w:rPr>
                <w:rFonts w:eastAsia="Times New Roman"/>
                <w:lang w:bidi="ar-SA"/>
              </w:rPr>
              <w:lastRenderedPageBreak/>
              <w:t>i</w:t>
            </w:r>
            <w:proofErr w:type="spellEnd"/>
            <w:r w:rsidRPr="00F847FE">
              <w:rPr>
                <w:rFonts w:eastAsia="Times New Roman"/>
                <w:lang w:bidi="ar-SA"/>
              </w:rPr>
              <w:t>-Ready K-8 by Curriculum Associates</w:t>
            </w:r>
          </w:p>
        </w:tc>
        <w:tc>
          <w:tcPr>
            <w:tcW w:w="7645" w:type="dxa"/>
          </w:tcPr>
          <w:p w14:paraId="00FF918C" w14:textId="77777777" w:rsidR="00F847FE" w:rsidRPr="00F847FE" w:rsidRDefault="00F847FE" w:rsidP="00F847FE">
            <w:pPr>
              <w:spacing w:after="120"/>
              <w:rPr>
                <w:rFonts w:eastAsia="Calibri"/>
                <w:lang w:bidi="ar-SA"/>
              </w:rPr>
            </w:pPr>
            <w:r w:rsidRPr="00F847FE">
              <w:rPr>
                <w:rFonts w:eastAsia="Calibri"/>
                <w:lang w:bidi="ar-SA"/>
              </w:rPr>
              <w:t xml:space="preserve">For students in grades K–8, the diagnostic offers a differentiated growth model that is based on empirical research into the growth of millions of </w:t>
            </w:r>
            <w:proofErr w:type="spellStart"/>
            <w:r w:rsidRPr="00F847FE">
              <w:rPr>
                <w:rFonts w:eastAsia="Calibri"/>
                <w:lang w:bidi="ar-SA"/>
              </w:rPr>
              <w:t>i</w:t>
            </w:r>
            <w:proofErr w:type="spellEnd"/>
            <w:r w:rsidRPr="00F847FE">
              <w:rPr>
                <w:rFonts w:eastAsia="Calibri"/>
                <w:lang w:bidi="ar-SA"/>
              </w:rPr>
              <w:t>-Ready students. This model provides two complementary measures of growth:</w:t>
            </w:r>
          </w:p>
          <w:p w14:paraId="677F6932" w14:textId="77777777" w:rsidR="00F847FE" w:rsidRPr="00F847FE" w:rsidRDefault="00F847FE" w:rsidP="00F847FE">
            <w:pPr>
              <w:spacing w:after="120"/>
              <w:rPr>
                <w:rFonts w:eastAsia="Times New Roman"/>
                <w:lang w:bidi="ar-SA"/>
              </w:rPr>
            </w:pPr>
            <w:r w:rsidRPr="00F847FE">
              <w:rPr>
                <w:rFonts w:eastAsia="Times New Roman"/>
                <w:lang w:bidi="ar-SA"/>
              </w:rPr>
              <w:t>Typical Growth marks the annual growth of an average student at a given placement. It provides a comparative–or normative–view of growth, answering how students are growing relative to comparable peers.</w:t>
            </w:r>
          </w:p>
          <w:p w14:paraId="1DF38BFE" w14:textId="77777777" w:rsidR="00F847FE" w:rsidRPr="00F847FE" w:rsidRDefault="00F847FE" w:rsidP="00F847FE">
            <w:pPr>
              <w:rPr>
                <w:rFonts w:eastAsia="Times New Roman"/>
                <w:lang w:bidi="ar-SA"/>
              </w:rPr>
            </w:pPr>
            <w:r w:rsidRPr="00F847FE">
              <w:rPr>
                <w:rFonts w:eastAsia="Times New Roman"/>
                <w:lang w:bidi="ar-SA"/>
              </w:rPr>
              <w:t xml:space="preserve">Stretch Growth marks the amount of growth that a student should target </w:t>
            </w:r>
            <w:proofErr w:type="gramStart"/>
            <w:r w:rsidRPr="00F847FE">
              <w:rPr>
                <w:rFonts w:eastAsia="Times New Roman"/>
                <w:lang w:bidi="ar-SA"/>
              </w:rPr>
              <w:t>in order to</w:t>
            </w:r>
            <w:proofErr w:type="gramEnd"/>
            <w:r w:rsidRPr="00F847FE">
              <w:rPr>
                <w:rFonts w:eastAsia="Times New Roman"/>
                <w:lang w:bidi="ar-SA"/>
              </w:rPr>
              <w:t xml:space="preserve"> enter a path to attaining grade-level proficiency.</w:t>
            </w:r>
          </w:p>
          <w:p w14:paraId="234E52A3" w14:textId="77777777" w:rsidR="00F847FE" w:rsidRPr="00F847FE" w:rsidRDefault="00F847FE" w:rsidP="00F847FE">
            <w:pPr>
              <w:spacing w:after="120"/>
              <w:rPr>
                <w:rFonts w:eastAsia="Calibri"/>
                <w:lang w:bidi="ar-SA"/>
              </w:rPr>
            </w:pPr>
            <w:proofErr w:type="spellStart"/>
            <w:r w:rsidRPr="00F847FE">
              <w:rPr>
                <w:rFonts w:eastAsia="Calibri"/>
                <w:lang w:bidi="ar-SA"/>
              </w:rPr>
              <w:t>i</w:t>
            </w:r>
            <w:proofErr w:type="spellEnd"/>
            <w:r w:rsidRPr="00F847FE">
              <w:rPr>
                <w:rFonts w:eastAsia="Calibri"/>
                <w:lang w:bidi="ar-SA"/>
              </w:rPr>
              <w:t xml:space="preserve">-Ready’s aggregated growth reports show student growth for a group. These reports are based on the median percent progress towards typical growth. Each student’s </w:t>
            </w:r>
            <w:proofErr w:type="gramStart"/>
            <w:r w:rsidRPr="00F847FE">
              <w:rPr>
                <w:rFonts w:eastAsia="Calibri"/>
                <w:lang w:bidi="ar-SA"/>
              </w:rPr>
              <w:t>percent</w:t>
            </w:r>
            <w:proofErr w:type="gramEnd"/>
            <w:r w:rsidRPr="00F847FE">
              <w:rPr>
                <w:rFonts w:eastAsia="Calibri"/>
                <w:lang w:bidi="ar-SA"/>
              </w:rPr>
              <w:t xml:space="preserve"> progress toward typical growth is determined by dividing their observed growth by their differentiated typical growth goal. All students in a class, school, district and by grade can be aggregated by taking the median percent progress towards typical growth.</w:t>
            </w:r>
          </w:p>
          <w:p w14:paraId="0EC4F602" w14:textId="77777777" w:rsidR="00F847FE" w:rsidRPr="00F847FE" w:rsidRDefault="00F847FE" w:rsidP="00F847FE">
            <w:pPr>
              <w:rPr>
                <w:rFonts w:eastAsia="Times New Roman"/>
                <w:lang w:bidi="ar-SA"/>
              </w:rPr>
            </w:pPr>
            <w:r w:rsidRPr="00F847FE">
              <w:rPr>
                <w:rFonts w:eastAsia="Calibri"/>
                <w:lang w:bidi="ar-SA"/>
              </w:rPr>
              <w:t xml:space="preserve">The expectation is that the aggregation of students would have a median percent progress toward typical growth of 100 percent or greater to show that students </w:t>
            </w:r>
            <w:proofErr w:type="gramStart"/>
            <w:r w:rsidRPr="00F847FE">
              <w:rPr>
                <w:rFonts w:eastAsia="Calibri"/>
                <w:lang w:bidi="ar-SA"/>
              </w:rPr>
              <w:t>have,</w:t>
            </w:r>
            <w:proofErr w:type="gramEnd"/>
            <w:r w:rsidRPr="00F847FE">
              <w:rPr>
                <w:rFonts w:eastAsia="Calibri"/>
                <w:lang w:bidi="ar-SA"/>
              </w:rPr>
              <w:t xml:space="preserve"> on average, experienced a full year’s worth of typical growth.</w:t>
            </w:r>
          </w:p>
        </w:tc>
      </w:tr>
      <w:tr w:rsidR="00F847FE" w:rsidRPr="00F847FE" w14:paraId="2EF01ADB" w14:textId="77777777" w:rsidTr="004010A1">
        <w:trPr>
          <w:cantSplit/>
        </w:trPr>
        <w:tc>
          <w:tcPr>
            <w:tcW w:w="1705" w:type="dxa"/>
            <w:shd w:val="clear" w:color="auto" w:fill="FFFFFF"/>
          </w:tcPr>
          <w:p w14:paraId="6A4CF456" w14:textId="77777777" w:rsidR="00F847FE" w:rsidRPr="00F847FE" w:rsidRDefault="00F847FE" w:rsidP="00F847FE">
            <w:pPr>
              <w:tabs>
                <w:tab w:val="left" w:pos="5440"/>
              </w:tabs>
              <w:rPr>
                <w:rFonts w:eastAsia="Times New Roman"/>
                <w:lang w:bidi="ar-SA"/>
              </w:rPr>
            </w:pPr>
            <w:proofErr w:type="spellStart"/>
            <w:r w:rsidRPr="00F847FE">
              <w:rPr>
                <w:rFonts w:eastAsia="Times New Roman"/>
                <w:lang w:bidi="ar-SA"/>
              </w:rPr>
              <w:t>i</w:t>
            </w:r>
            <w:proofErr w:type="spellEnd"/>
            <w:r w:rsidRPr="00F847FE">
              <w:rPr>
                <w:rFonts w:eastAsia="Times New Roman"/>
                <w:lang w:bidi="ar-SA"/>
              </w:rPr>
              <w:t>-Ready 9-12 by Curriculum Associates</w:t>
            </w:r>
          </w:p>
        </w:tc>
        <w:tc>
          <w:tcPr>
            <w:tcW w:w="7645" w:type="dxa"/>
          </w:tcPr>
          <w:p w14:paraId="254667AD" w14:textId="77777777" w:rsidR="00F847FE" w:rsidRPr="00F847FE" w:rsidRDefault="00F847FE" w:rsidP="00F847FE">
            <w:pPr>
              <w:shd w:val="clear" w:color="auto" w:fill="FFFFFF"/>
              <w:spacing w:after="120"/>
              <w:rPr>
                <w:rFonts w:eastAsia="Times New Roman"/>
                <w:shd w:val="clear" w:color="auto" w:fill="FFFFFF"/>
                <w:lang w:bidi="ar-SA"/>
              </w:rPr>
            </w:pPr>
            <w:r w:rsidRPr="00F847FE">
              <w:rPr>
                <w:rFonts w:eastAsia="Times New Roman"/>
                <w:shd w:val="clear" w:color="auto" w:fill="FFFFFF"/>
                <w:lang w:bidi="ar-SA"/>
              </w:rPr>
              <w:t>For grades 9–12 for California charter schools, Curriculum Associates proposes a Growth to Proficiency Model. In this model, there are two potential criteria for students to reach. If the students meet</w:t>
            </w:r>
            <w:r w:rsidRPr="00F847FE">
              <w:rPr>
                <w:rFonts w:eastAsia="Times New Roman"/>
                <w:shd w:val="clear" w:color="auto" w:fill="FFFFFF"/>
                <w:lang w:bidi="ar-SA"/>
              </w:rPr>
              <w:br/>
              <w:t>either criterion, then they are considered to have met the growth requirement.</w:t>
            </w:r>
          </w:p>
          <w:p w14:paraId="190428EC" w14:textId="77777777" w:rsidR="00F847FE" w:rsidRPr="00F847FE" w:rsidRDefault="00F847FE" w:rsidP="00F847FE">
            <w:pPr>
              <w:shd w:val="clear" w:color="auto" w:fill="FFFFFF"/>
              <w:spacing w:after="120"/>
              <w:rPr>
                <w:rFonts w:eastAsia="Times New Roman"/>
                <w:shd w:val="clear" w:color="auto" w:fill="FFFFFF"/>
                <w:lang w:bidi="ar-SA"/>
              </w:rPr>
            </w:pPr>
            <w:r w:rsidRPr="00F847FE">
              <w:rPr>
                <w:rFonts w:eastAsia="Times New Roman"/>
                <w:shd w:val="clear" w:color="auto" w:fill="FFFFFF"/>
                <w:lang w:bidi="ar-SA"/>
              </w:rPr>
              <w:t>The first criterion is whether a student has a gain score that is within one-half of the standard error of measurement of Typical Growth, based on the placement of their initial assessment during the school year. The second criterion is if the student reaches a placement of mid-on grade level or higher at any point during the school year.</w:t>
            </w:r>
          </w:p>
          <w:p w14:paraId="4FA2ADBD" w14:textId="5186B971" w:rsidR="00F847FE" w:rsidRPr="00F847FE" w:rsidRDefault="00F847FE" w:rsidP="00F847FE">
            <w:pPr>
              <w:rPr>
                <w:rFonts w:eastAsia="Times New Roman"/>
                <w:lang w:bidi="ar-SA"/>
              </w:rPr>
            </w:pPr>
            <w:r w:rsidRPr="00F847FE">
              <w:rPr>
                <w:rFonts w:eastAsia="Times New Roman"/>
                <w:shd w:val="clear" w:color="auto" w:fill="FFFFFF"/>
                <w:lang w:bidi="ar-SA"/>
              </w:rPr>
              <w:t xml:space="preserve">After students complete their first Diagnostic, </w:t>
            </w:r>
            <w:proofErr w:type="spellStart"/>
            <w:r w:rsidRPr="00F847FE">
              <w:rPr>
                <w:rFonts w:eastAsia="Times New Roman"/>
                <w:shd w:val="clear" w:color="auto" w:fill="FFFFFF"/>
                <w:lang w:bidi="ar-SA"/>
              </w:rPr>
              <w:t>i</w:t>
            </w:r>
            <w:proofErr w:type="spellEnd"/>
            <w:r w:rsidRPr="00F847FE">
              <w:rPr>
                <w:rFonts w:eastAsia="Times New Roman"/>
                <w:shd w:val="clear" w:color="auto" w:fill="FFFFFF"/>
                <w:lang w:bidi="ar-SA"/>
              </w:rPr>
              <w:t xml:space="preserve">-Ready generates a placement level for the student. Based on the students’ overall placements, they can be assigned a Typical Growth measure. Upon completion of the Diagnostic, </w:t>
            </w:r>
            <w:proofErr w:type="spellStart"/>
            <w:r w:rsidRPr="00F847FE">
              <w:rPr>
                <w:rFonts w:eastAsia="Times New Roman"/>
                <w:shd w:val="clear" w:color="auto" w:fill="FFFFFF"/>
                <w:lang w:bidi="ar-SA"/>
              </w:rPr>
              <w:t>iReady</w:t>
            </w:r>
            <w:proofErr w:type="spellEnd"/>
            <w:r w:rsidRPr="00F847FE">
              <w:rPr>
                <w:rFonts w:eastAsia="Times New Roman"/>
                <w:shd w:val="clear" w:color="auto" w:fill="FFFFFF"/>
                <w:lang w:bidi="ar-SA"/>
              </w:rPr>
              <w:t xml:space="preserve"> reports multiple types of scores to present a </w:t>
            </w:r>
            <w:r w:rsidR="00EA114B">
              <w:rPr>
                <w:rFonts w:eastAsia="Times New Roman"/>
                <w:shd w:val="clear" w:color="auto" w:fill="FFFFFF"/>
                <w:lang w:bidi="ar-SA"/>
              </w:rPr>
              <w:t>-</w:t>
            </w:r>
            <w:proofErr w:type="spellStart"/>
            <w:r w:rsidRPr="00F847FE">
              <w:rPr>
                <w:rFonts w:eastAsia="Times New Roman"/>
                <w:shd w:val="clear" w:color="auto" w:fill="FFFFFF"/>
                <w:lang w:bidi="ar-SA"/>
              </w:rPr>
              <w:t>wellrounded</w:t>
            </w:r>
            <w:proofErr w:type="spellEnd"/>
            <w:r w:rsidRPr="00F847FE">
              <w:rPr>
                <w:rFonts w:eastAsia="Times New Roman"/>
                <w:shd w:val="clear" w:color="auto" w:fill="FFFFFF"/>
                <w:lang w:bidi="ar-SA"/>
              </w:rPr>
              <w:t xml:space="preserve"> view of each student’s proficiency</w:t>
            </w:r>
            <w:r w:rsidRPr="00F847FE">
              <w:rPr>
                <w:rFonts w:eastAsia="Times New Roman"/>
                <w:shd w:val="clear" w:color="auto" w:fill="FFFFFF"/>
                <w:lang w:bidi="ar-SA"/>
              </w:rPr>
              <w:noBreakHyphen/>
              <w:t xml:space="preserve"> levels. As the Diagnostic is administered three times per school year, these scores can serve as benchmarks in evaluating academic achievement throughout and across years.</w:t>
            </w:r>
          </w:p>
        </w:tc>
      </w:tr>
      <w:tr w:rsidR="00F847FE" w:rsidRPr="00F847FE" w14:paraId="41547B73" w14:textId="77777777" w:rsidTr="004010A1">
        <w:trPr>
          <w:cantSplit/>
        </w:trPr>
        <w:tc>
          <w:tcPr>
            <w:tcW w:w="1705" w:type="dxa"/>
            <w:shd w:val="clear" w:color="auto" w:fill="FFFFFF"/>
          </w:tcPr>
          <w:p w14:paraId="4C430C50" w14:textId="77777777" w:rsidR="00F847FE" w:rsidRPr="00F847FE" w:rsidRDefault="00F847FE" w:rsidP="00F847FE">
            <w:pPr>
              <w:tabs>
                <w:tab w:val="left" w:pos="5440"/>
              </w:tabs>
              <w:rPr>
                <w:rFonts w:eastAsia="Times New Roman"/>
                <w:lang w:bidi="ar-SA"/>
              </w:rPr>
            </w:pPr>
            <w:proofErr w:type="spellStart"/>
            <w:r w:rsidRPr="00F847FE">
              <w:rPr>
                <w:rFonts w:eastAsia="Times New Roman"/>
                <w:lang w:bidi="ar-SA"/>
              </w:rPr>
              <w:lastRenderedPageBreak/>
              <w:t>Istation’s</w:t>
            </w:r>
            <w:proofErr w:type="spellEnd"/>
            <w:r w:rsidRPr="00F847FE">
              <w:rPr>
                <w:rFonts w:eastAsia="Times New Roman"/>
                <w:lang w:bidi="ar-SA"/>
              </w:rPr>
              <w:t xml:space="preserve"> Indicators of Progress (ISIP) by </w:t>
            </w:r>
            <w:proofErr w:type="spellStart"/>
            <w:r w:rsidRPr="00F847FE">
              <w:rPr>
                <w:rFonts w:eastAsia="Times New Roman"/>
                <w:lang w:bidi="ar-SA"/>
              </w:rPr>
              <w:t>Istation</w:t>
            </w:r>
            <w:proofErr w:type="spellEnd"/>
          </w:p>
        </w:tc>
        <w:tc>
          <w:tcPr>
            <w:tcW w:w="7645" w:type="dxa"/>
          </w:tcPr>
          <w:p w14:paraId="433C4137" w14:textId="77777777" w:rsidR="00F847FE" w:rsidRPr="00F847FE" w:rsidRDefault="00F847FE" w:rsidP="00F847FE">
            <w:pPr>
              <w:spacing w:after="120"/>
              <w:rPr>
                <w:rFonts w:eastAsia="Times New Roman"/>
                <w:shd w:val="clear" w:color="auto" w:fill="FFFFFF"/>
                <w:lang w:bidi="ar-SA"/>
              </w:rPr>
            </w:pPr>
            <w:proofErr w:type="spellStart"/>
            <w:r w:rsidRPr="00F847FE">
              <w:rPr>
                <w:rFonts w:eastAsia="Times New Roman"/>
                <w:lang w:bidi="ar-SA"/>
              </w:rPr>
              <w:t>Istation’s</w:t>
            </w:r>
            <w:proofErr w:type="spellEnd"/>
            <w:r w:rsidRPr="00F847FE">
              <w:rPr>
                <w:rFonts w:eastAsia="Times New Roman"/>
                <w:lang w:bidi="ar-SA"/>
              </w:rPr>
              <w:t xml:space="preserve"> administrator-level reports provide growth information for whole districts,</w:t>
            </w:r>
            <w:r w:rsidRPr="00F847FE">
              <w:rPr>
                <w:rFonts w:eastAsia="Times New Roman"/>
                <w:shd w:val="clear" w:color="auto" w:fill="FFFFFF"/>
                <w:lang w:bidi="ar-SA"/>
              </w:rPr>
              <w:t xml:space="preserve"> </w:t>
            </w:r>
            <w:r w:rsidRPr="00F847FE">
              <w:rPr>
                <w:rFonts w:eastAsia="Times New Roman"/>
                <w:lang w:bidi="ar-SA"/>
              </w:rPr>
              <w:t>campuses, and individual classrooms. The reporting system also includes longitudinal data to</w:t>
            </w:r>
            <w:r w:rsidRPr="00F847FE">
              <w:rPr>
                <w:rFonts w:eastAsia="Times New Roman"/>
                <w:shd w:val="clear" w:color="auto" w:fill="FFFFFF"/>
                <w:lang w:bidi="ar-SA"/>
              </w:rPr>
              <w:t xml:space="preserve"> </w:t>
            </w:r>
            <w:r w:rsidRPr="00F847FE">
              <w:rPr>
                <w:rFonts w:eastAsia="Times New Roman"/>
                <w:lang w:bidi="ar-SA"/>
              </w:rPr>
              <w:t>track student progress throughout the school year as well as access to prior years’ data for</w:t>
            </w:r>
            <w:r w:rsidRPr="00F847FE">
              <w:rPr>
                <w:rFonts w:eastAsia="Times New Roman"/>
                <w:shd w:val="clear" w:color="auto" w:fill="FFFFFF"/>
                <w:lang w:bidi="ar-SA"/>
              </w:rPr>
              <w:t xml:space="preserve"> </w:t>
            </w:r>
            <w:r w:rsidRPr="00F847FE">
              <w:rPr>
                <w:rFonts w:eastAsia="Times New Roman"/>
                <w:lang w:bidi="ar-SA"/>
              </w:rPr>
              <w:t>each student.</w:t>
            </w:r>
          </w:p>
          <w:p w14:paraId="799EA0E3" w14:textId="77777777" w:rsidR="00F847FE" w:rsidRPr="00F847FE" w:rsidRDefault="00F847FE" w:rsidP="00F847FE">
            <w:pPr>
              <w:spacing w:after="120"/>
              <w:rPr>
                <w:rFonts w:eastAsia="Times New Roman"/>
                <w:lang w:bidi="ar-SA"/>
              </w:rPr>
            </w:pPr>
            <w:r w:rsidRPr="00F847FE">
              <w:rPr>
                <w:rFonts w:eastAsia="Times New Roman"/>
                <w:lang w:bidi="ar-SA"/>
              </w:rPr>
              <w:t>The examples of administrator-level reports shown below provide measurable results for tracking school growth for each monthly ISIP assessment and across time.</w:t>
            </w:r>
          </w:p>
          <w:p w14:paraId="558F105C" w14:textId="77777777" w:rsidR="00F847FE" w:rsidRPr="00F847FE" w:rsidRDefault="00F847FE" w:rsidP="00F847FE">
            <w:pPr>
              <w:numPr>
                <w:ilvl w:val="0"/>
                <w:numId w:val="3"/>
              </w:numPr>
              <w:spacing w:after="240"/>
              <w:rPr>
                <w:rFonts w:eastAsia="Times New Roman"/>
                <w:lang w:bidi="ar-SA"/>
              </w:rPr>
            </w:pPr>
            <w:r w:rsidRPr="00F847FE">
              <w:rPr>
                <w:rFonts w:eastAsia="Times New Roman"/>
                <w:lang w:bidi="ar-SA"/>
              </w:rPr>
              <w:t>Executive Summary Report</w:t>
            </w:r>
          </w:p>
          <w:p w14:paraId="6C7388D6" w14:textId="77777777" w:rsidR="00F847FE" w:rsidRPr="00F847FE" w:rsidRDefault="00F847FE" w:rsidP="00F847FE">
            <w:pPr>
              <w:numPr>
                <w:ilvl w:val="0"/>
                <w:numId w:val="3"/>
              </w:numPr>
              <w:spacing w:after="240"/>
              <w:rPr>
                <w:rFonts w:eastAsia="Times New Roman"/>
                <w:lang w:bidi="ar-SA"/>
              </w:rPr>
            </w:pPr>
            <w:r w:rsidRPr="00F847FE">
              <w:rPr>
                <w:rFonts w:eastAsia="Times New Roman"/>
                <w:lang w:bidi="ar-SA"/>
              </w:rPr>
              <w:t>Lexile Trend Report</w:t>
            </w:r>
          </w:p>
          <w:p w14:paraId="27557DC5" w14:textId="77777777" w:rsidR="00F847FE" w:rsidRPr="00F847FE" w:rsidRDefault="00F847FE" w:rsidP="00F847FE">
            <w:pPr>
              <w:numPr>
                <w:ilvl w:val="0"/>
                <w:numId w:val="3"/>
              </w:numPr>
              <w:spacing w:after="240"/>
              <w:rPr>
                <w:rFonts w:eastAsia="Times New Roman"/>
                <w:lang w:bidi="ar-SA"/>
              </w:rPr>
            </w:pPr>
            <w:r w:rsidRPr="00F847FE">
              <w:rPr>
                <w:rFonts w:eastAsia="Times New Roman"/>
                <w:lang w:bidi="ar-SA"/>
              </w:rPr>
              <w:t>Quantile Trend Report</w:t>
            </w:r>
          </w:p>
          <w:p w14:paraId="15C6A425" w14:textId="77777777" w:rsidR="00F847FE" w:rsidRPr="00F847FE" w:rsidRDefault="00F847FE" w:rsidP="00F847FE">
            <w:pPr>
              <w:numPr>
                <w:ilvl w:val="0"/>
                <w:numId w:val="3"/>
              </w:numPr>
              <w:spacing w:after="240"/>
              <w:rPr>
                <w:rFonts w:eastAsia="Times New Roman"/>
                <w:lang w:bidi="ar-SA"/>
              </w:rPr>
            </w:pPr>
            <w:r w:rsidRPr="00F847FE">
              <w:rPr>
                <w:rFonts w:eastAsia="Times New Roman"/>
                <w:lang w:bidi="ar-SA"/>
              </w:rPr>
              <w:t>Tier Movement</w:t>
            </w:r>
          </w:p>
          <w:p w14:paraId="0093CE0D" w14:textId="77777777" w:rsidR="00F847FE" w:rsidRPr="00F847FE" w:rsidRDefault="00F847FE" w:rsidP="00F847FE">
            <w:pPr>
              <w:shd w:val="clear" w:color="auto" w:fill="FFFFFF"/>
              <w:rPr>
                <w:rFonts w:eastAsia="Times New Roman"/>
                <w:shd w:val="clear" w:color="auto" w:fill="FFFFFF"/>
                <w:lang w:bidi="ar-SA"/>
              </w:rPr>
            </w:pPr>
            <w:r w:rsidRPr="00F847FE">
              <w:rPr>
                <w:rFonts w:eastAsia="Times New Roman"/>
                <w:lang w:bidi="ar-SA"/>
              </w:rPr>
              <w:t>Rate of Improvement</w:t>
            </w:r>
          </w:p>
        </w:tc>
      </w:tr>
      <w:tr w:rsidR="00F847FE" w:rsidRPr="00F847FE" w14:paraId="40A12AC8" w14:textId="77777777" w:rsidTr="004010A1">
        <w:trPr>
          <w:cantSplit/>
        </w:trPr>
        <w:tc>
          <w:tcPr>
            <w:tcW w:w="1705" w:type="dxa"/>
            <w:shd w:val="clear" w:color="auto" w:fill="FFFFFF"/>
          </w:tcPr>
          <w:p w14:paraId="6110C37E" w14:textId="77777777" w:rsidR="00F847FE" w:rsidRPr="00F847FE" w:rsidRDefault="00F847FE" w:rsidP="00F847FE">
            <w:pPr>
              <w:tabs>
                <w:tab w:val="left" w:pos="5440"/>
              </w:tabs>
              <w:rPr>
                <w:rFonts w:eastAsia="Times New Roman"/>
                <w:lang w:bidi="ar-SA"/>
              </w:rPr>
            </w:pPr>
            <w:r w:rsidRPr="00F847FE">
              <w:rPr>
                <w:rFonts w:eastAsia="Times New Roman"/>
                <w:lang w:bidi="ar-SA"/>
              </w:rPr>
              <w:t>IXL Real-Time Diagnostic by IXL</w:t>
            </w:r>
          </w:p>
        </w:tc>
        <w:tc>
          <w:tcPr>
            <w:tcW w:w="7645" w:type="dxa"/>
          </w:tcPr>
          <w:p w14:paraId="5B28A079" w14:textId="77777777" w:rsidR="00F847FE" w:rsidRPr="00F847FE" w:rsidRDefault="00F847FE" w:rsidP="00F847FE">
            <w:pPr>
              <w:rPr>
                <w:rFonts w:eastAsia="Calibri"/>
                <w:lang w:bidi="ar-SA"/>
              </w:rPr>
            </w:pPr>
            <w:r w:rsidRPr="00F847FE">
              <w:rPr>
                <w:rFonts w:eastAsia="Times New Roman"/>
                <w:lang w:bidi="ar-SA"/>
              </w:rPr>
              <w:t>The Real-Time Diagnostic provides teachers with always up-to-date Diagnostic data on student proficiency. IXL’s Diagnostic Snapshots are used by school and district administrators to set up benchmark assessments to measure progress throughout the year. Diagnostic Snapshots provide the benefits of a benchmark assessment in a flexible, lightweight format. With Diagnostic Snapshots, administrators can capture student knowledge levels at a fixed point in time. Administrators can select one or more times during the year for students to complete their diagnostic; see Figure 5. Administrators can then review data from Snapshots throughout the year to see the measurable increases in achievement schools have achieved. This benchmark data also enables administrators to identify areas</w:t>
            </w:r>
            <w:r w:rsidRPr="00F847FE">
              <w:rPr>
                <w:rFonts w:eastAsia="Times New Roman"/>
                <w:lang w:bidi="ar-SA"/>
              </w:rPr>
              <w:br/>
              <w:t>for improvement and hold data-driven conversations with stakeholders throughout the year.</w:t>
            </w:r>
          </w:p>
        </w:tc>
      </w:tr>
      <w:tr w:rsidR="00F847FE" w:rsidRPr="00F847FE" w14:paraId="63336D0C" w14:textId="77777777" w:rsidTr="004010A1">
        <w:trPr>
          <w:cantSplit/>
        </w:trPr>
        <w:tc>
          <w:tcPr>
            <w:tcW w:w="1705" w:type="dxa"/>
            <w:shd w:val="clear" w:color="auto" w:fill="FFFFFF"/>
          </w:tcPr>
          <w:p w14:paraId="01F318EC" w14:textId="77777777" w:rsidR="00F847FE" w:rsidRPr="00F847FE" w:rsidRDefault="00F847FE" w:rsidP="00F847FE">
            <w:pPr>
              <w:rPr>
                <w:rFonts w:eastAsia="Times New Roman"/>
                <w:lang w:bidi="ar-SA"/>
              </w:rPr>
            </w:pPr>
            <w:r w:rsidRPr="00F847FE">
              <w:rPr>
                <w:rFonts w:eastAsia="Times New Roman"/>
                <w:lang w:bidi="ar-SA"/>
              </w:rPr>
              <w:lastRenderedPageBreak/>
              <w:t>MAP Growth by NWEA</w:t>
            </w:r>
          </w:p>
        </w:tc>
        <w:tc>
          <w:tcPr>
            <w:tcW w:w="7645" w:type="dxa"/>
          </w:tcPr>
          <w:p w14:paraId="660FB62D"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To demonstrate one year of growth, a school can contextualize the average gains made by groups of students over the course of the year relative to NWEA school norms and summarize that normative growth using the NWEA Conditional Growth Index (CGI) metric. This metric is a standard score (z score or effect size), expressed in standard deviation units, that is calculated by subtracting the growth norm for a group of same-grade students in a school from the average growth attained by those students, and dividing that value by the standard deviation of growth. A CGI range of -0.2 to 0.2 (or greater) could be used as an approximation of one year’s growth (or more) in a subject, as the overall average growth of students would be generally consistent with the amount of growth observed by students in the same grade and subject with the same starting achievement level receiving a similar amount of instructional exposure.</w:t>
            </w:r>
          </w:p>
          <w:p w14:paraId="03CCCF25" w14:textId="77777777" w:rsidR="00F847FE" w:rsidRPr="00F847FE" w:rsidRDefault="00F847FE" w:rsidP="00F847FE">
            <w:pPr>
              <w:rPr>
                <w:rFonts w:eastAsia="Times New Roman"/>
                <w:shd w:val="clear" w:color="auto" w:fill="FFFFFF"/>
                <w:lang w:bidi="ar-SA"/>
              </w:rPr>
            </w:pPr>
            <w:r w:rsidRPr="00F847FE">
              <w:rPr>
                <w:rFonts w:eastAsia="Times New Roman"/>
                <w:shd w:val="clear" w:color="auto" w:fill="FFFFFF"/>
                <w:lang w:bidi="ar-SA"/>
              </w:rPr>
              <w:t>MAP Growth has both student and school growth norms, and the CGI metric is available to contextualize the gains of individual students (student norms) or groups of same-grade students (school norms). The CGI metric for grades-within-schools is included on school and district reports and can also be calculated using an NWEA-provided calculator for groups of students not included in standard reports. Student-level CGI metrics, which are calculated in generally the same way, are included on classroom and school reports. Group-level summaries should leverage CGI values based on the school norms.</w:t>
            </w:r>
          </w:p>
        </w:tc>
      </w:tr>
      <w:tr w:rsidR="00F847FE" w:rsidRPr="00F847FE" w14:paraId="5B3A4E27" w14:textId="77777777" w:rsidTr="004010A1">
        <w:trPr>
          <w:cantSplit/>
        </w:trPr>
        <w:tc>
          <w:tcPr>
            <w:tcW w:w="1705" w:type="dxa"/>
            <w:shd w:val="clear" w:color="auto" w:fill="FFFFFF"/>
          </w:tcPr>
          <w:p w14:paraId="46EB3E73" w14:textId="77777777" w:rsidR="00F847FE" w:rsidRPr="00F847FE" w:rsidRDefault="00F847FE" w:rsidP="00F847FE">
            <w:pPr>
              <w:rPr>
                <w:rFonts w:eastAsia="Times New Roman"/>
                <w:lang w:bidi="ar-SA"/>
              </w:rPr>
            </w:pPr>
            <w:proofErr w:type="spellStart"/>
            <w:r w:rsidRPr="00F847FE">
              <w:rPr>
                <w:rFonts w:eastAsia="Times New Roman"/>
                <w:lang w:bidi="ar-SA"/>
              </w:rPr>
              <w:lastRenderedPageBreak/>
              <w:t>mCLASS</w:t>
            </w:r>
            <w:proofErr w:type="spellEnd"/>
            <w:r w:rsidRPr="00F847FE">
              <w:rPr>
                <w:rFonts w:eastAsia="Times New Roman"/>
                <w:lang w:bidi="ar-SA"/>
              </w:rPr>
              <w:t xml:space="preserve"> by Amplify</w:t>
            </w:r>
          </w:p>
        </w:tc>
        <w:tc>
          <w:tcPr>
            <w:tcW w:w="7645" w:type="dxa"/>
          </w:tcPr>
          <w:p w14:paraId="49C79A7E"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 xml:space="preserve">Schools can use Zones of Growth (ZOGs) to evaluate student progress. ZOGs are a feature of </w:t>
            </w:r>
            <w:proofErr w:type="spellStart"/>
            <w:r w:rsidRPr="00F847FE">
              <w:rPr>
                <w:rFonts w:eastAsia="Times New Roman"/>
                <w:shd w:val="clear" w:color="auto" w:fill="FFFFFF"/>
                <w:lang w:bidi="ar-SA"/>
              </w:rPr>
              <w:t>mCLASS</w:t>
            </w:r>
            <w:proofErr w:type="spellEnd"/>
            <w:r w:rsidRPr="00F847FE">
              <w:rPr>
                <w:rFonts w:eastAsia="Times New Roman"/>
                <w:shd w:val="clear" w:color="auto" w:fill="FFFFFF"/>
                <w:lang w:bidi="ar-SA"/>
              </w:rPr>
              <w:t xml:space="preserve"> with DIBELS 8th Edition that help users efficiently compare the reading skill growth of their students over the course of the school year to the growth of a nationally representative sample of students with similar beginning of the year (BOY) benchmark scores. DIBELS 8th Edition ZOGs provide timely information about the rate at which a student’s reading skill is growing, and normative information about the extent to which that growth is faster or slower than their peers with similar beginning of year skills. By comparing how much growth a student has made relative to normed growth trajectories, </w:t>
            </w:r>
            <w:proofErr w:type="spellStart"/>
            <w:r w:rsidRPr="00F847FE">
              <w:rPr>
                <w:rFonts w:eastAsia="Times New Roman"/>
                <w:shd w:val="clear" w:color="auto" w:fill="FFFFFF"/>
                <w:lang w:bidi="ar-SA"/>
              </w:rPr>
              <w:t>mCLASS</w:t>
            </w:r>
            <w:proofErr w:type="spellEnd"/>
            <w:r w:rsidRPr="00F847FE">
              <w:rPr>
                <w:rFonts w:eastAsia="Times New Roman"/>
                <w:shd w:val="clear" w:color="auto" w:fill="FFFFFF"/>
                <w:lang w:bidi="ar-SA"/>
              </w:rPr>
              <w:t xml:space="preserve"> with DIBELS 8th Edition users can make inferences about whether a student is making adequate progress or requires additional support.</w:t>
            </w:r>
          </w:p>
          <w:p w14:paraId="097EB004" w14:textId="77777777" w:rsidR="00F847FE" w:rsidRPr="00F847FE" w:rsidRDefault="00F847FE" w:rsidP="00F847FE">
            <w:pPr>
              <w:rPr>
                <w:rFonts w:eastAsia="Times New Roman"/>
                <w:lang w:bidi="ar-SA"/>
              </w:rPr>
            </w:pPr>
            <w:r w:rsidRPr="00F847FE">
              <w:rPr>
                <w:rFonts w:eastAsia="Times New Roman"/>
                <w:shd w:val="clear" w:color="auto" w:fill="FFFFFF"/>
                <w:lang w:bidi="ar-SA"/>
              </w:rPr>
              <w:t>Table 1 provides an illustrative ZOG table for Letter Naming Fluency in kindergarten. Within each initial status group, a score that falls between the 40th and 59th percentile is described as falling within the Average growth zone. Similarly, scores that fall between the 60th and 79th percentile are described as Above Average, whereas scores above the 80th percentile are described as Ambitious. We do not describe Below Average growth, both because it can be inferred from the other zones, and because users are unlikely to set below average growth targets for their students. The raw gain scores listed to the right of the description of each zone represent the minimum amount of growth for the zone. In Example Table 1 (pasted below), average growth for the first initial status group is any gain between 20 and 28 points.</w:t>
            </w:r>
          </w:p>
          <w:p w14:paraId="5C332D91" w14:textId="77777777" w:rsidR="00F847FE" w:rsidRPr="00F847FE" w:rsidRDefault="00F847FE" w:rsidP="00F847FE">
            <w:pPr>
              <w:rPr>
                <w:rFonts w:eastAsia="Times New Roman"/>
                <w:lang w:bidi="ar-SA"/>
              </w:rPr>
            </w:pPr>
            <w:r w:rsidRPr="00F847FE">
              <w:rPr>
                <w:rFonts w:eastAsia="Times New Roman"/>
                <w:noProof/>
                <w:color w:val="2B579A"/>
                <w:shd w:val="clear" w:color="auto" w:fill="E6E6E6"/>
                <w:lang w:bidi="ar-SA"/>
              </w:rPr>
              <w:drawing>
                <wp:inline distT="0" distB="0" distL="0" distR="0" wp14:anchorId="3530E57D" wp14:editId="2FE0AC8D">
                  <wp:extent cx="4511040" cy="2630958"/>
                  <wp:effectExtent l="0" t="0" r="0" b="0"/>
                  <wp:docPr id="1" name="Picture 1" descr="Letter Naming Fluency Zones of Growth by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511040" cy="2630958"/>
                          </a:xfrm>
                          <a:prstGeom prst="rect">
                            <a:avLst/>
                          </a:prstGeom>
                        </pic:spPr>
                      </pic:pic>
                    </a:graphicData>
                  </a:graphic>
                </wp:inline>
              </w:drawing>
            </w:r>
          </w:p>
          <w:p w14:paraId="326802A5" w14:textId="77777777" w:rsidR="00F847FE" w:rsidRPr="00F847FE" w:rsidRDefault="00F847FE" w:rsidP="00F847FE">
            <w:pPr>
              <w:rPr>
                <w:rFonts w:eastAsia="Times New Roman"/>
                <w:shd w:val="clear" w:color="auto" w:fill="FFFFFF"/>
                <w:lang w:bidi="ar-SA"/>
              </w:rPr>
            </w:pPr>
            <w:r w:rsidRPr="00F847FE">
              <w:rPr>
                <w:rFonts w:eastAsia="Times New Roman"/>
                <w:lang w:bidi="ar-SA"/>
              </w:rPr>
              <w:t>See Table 6 for alternate text.</w:t>
            </w:r>
          </w:p>
        </w:tc>
      </w:tr>
      <w:tr w:rsidR="00F847FE" w:rsidRPr="00F847FE" w14:paraId="0E5D7BD4" w14:textId="77777777" w:rsidTr="004010A1">
        <w:trPr>
          <w:cantSplit/>
        </w:trPr>
        <w:tc>
          <w:tcPr>
            <w:tcW w:w="1705" w:type="dxa"/>
            <w:shd w:val="clear" w:color="auto" w:fill="FFFFFF"/>
          </w:tcPr>
          <w:p w14:paraId="66D522AE" w14:textId="77777777" w:rsidR="00F847FE" w:rsidRPr="00F847FE" w:rsidRDefault="00F847FE" w:rsidP="00F847FE">
            <w:pPr>
              <w:rPr>
                <w:rFonts w:eastAsia="Times New Roman"/>
                <w:lang w:bidi="ar-SA"/>
              </w:rPr>
            </w:pPr>
            <w:r w:rsidRPr="00F847FE">
              <w:rPr>
                <w:rFonts w:eastAsia="Times New Roman"/>
                <w:lang w:bidi="ar-SA"/>
              </w:rPr>
              <w:lastRenderedPageBreak/>
              <w:t>RAPID by Lexia Learning</w:t>
            </w:r>
          </w:p>
        </w:tc>
        <w:tc>
          <w:tcPr>
            <w:tcW w:w="7645" w:type="dxa"/>
          </w:tcPr>
          <w:p w14:paraId="19A0585C"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RAPID can be used to look at student achievement across the course of a year. RAPID performance can be viewed in reference to typical grade level averages. It is also possible to compare whether gains made are comparable to typical growth of other students who started the year at a similar level. These comparisons could be compiled at the aggregate level to see the proportion of students making typical progress over the course of the year.</w:t>
            </w:r>
          </w:p>
          <w:p w14:paraId="376A9185" w14:textId="77777777" w:rsidR="00F847FE" w:rsidRPr="00F847FE" w:rsidRDefault="00F847FE" w:rsidP="00F847FE">
            <w:pPr>
              <w:rPr>
                <w:rFonts w:eastAsia="Calibri"/>
                <w:color w:val="000000"/>
                <w:lang w:bidi="ar-SA"/>
              </w:rPr>
            </w:pPr>
            <w:r w:rsidRPr="00F847FE">
              <w:rPr>
                <w:rFonts w:eastAsia="Times New Roman"/>
                <w:shd w:val="clear" w:color="auto" w:fill="FFFFFF"/>
                <w:lang w:bidi="ar-SA"/>
              </w:rPr>
              <w:t>Publisher provides “Typical Change in RAPID Performance Scores” for each grade level with different starting score ranges. Students meeting or exceeding the typical change in performance score for their grade level and starting score are making expected progress between Fall and Spring administrations.</w:t>
            </w:r>
          </w:p>
        </w:tc>
      </w:tr>
      <w:tr w:rsidR="00F847FE" w:rsidRPr="00F847FE" w14:paraId="5CDF1696" w14:textId="77777777" w:rsidTr="004010A1">
        <w:trPr>
          <w:cantSplit/>
        </w:trPr>
        <w:tc>
          <w:tcPr>
            <w:tcW w:w="1705" w:type="dxa"/>
            <w:shd w:val="clear" w:color="auto" w:fill="FFFFFF"/>
          </w:tcPr>
          <w:p w14:paraId="336425B2" w14:textId="77777777" w:rsidR="00F847FE" w:rsidRPr="00F847FE" w:rsidRDefault="00F847FE" w:rsidP="00F847FE">
            <w:pPr>
              <w:rPr>
                <w:rFonts w:eastAsia="Times New Roman"/>
                <w:lang w:bidi="ar-SA"/>
              </w:rPr>
            </w:pPr>
            <w:r w:rsidRPr="00F847FE">
              <w:rPr>
                <w:rFonts w:eastAsia="Times New Roman"/>
                <w:lang w:bidi="ar-SA"/>
              </w:rPr>
              <w:t>SAT Suite by College Board</w:t>
            </w:r>
          </w:p>
        </w:tc>
        <w:tc>
          <w:tcPr>
            <w:tcW w:w="7645" w:type="dxa"/>
          </w:tcPr>
          <w:p w14:paraId="2406E18D" w14:textId="77777777" w:rsidR="00F847FE" w:rsidRPr="00F847FE" w:rsidRDefault="00F847FE" w:rsidP="00F847FE">
            <w:pPr>
              <w:spacing w:after="240"/>
              <w:rPr>
                <w:rFonts w:eastAsia="Calibri"/>
                <w:color w:val="000000"/>
                <w:lang w:bidi="ar-SA"/>
              </w:rPr>
            </w:pPr>
            <w:r w:rsidRPr="00F847FE">
              <w:rPr>
                <w:rFonts w:eastAsia="Calibri"/>
                <w:color w:val="000000"/>
                <w:lang w:bidi="ar-SA"/>
              </w:rPr>
              <w:t>The SAT Suite of Assessments was designed such that the SAT and PSAT-related assessments measure a common domain of knowledge and skills that are directly aligned with college and career readiness, at difficulty levels considered appropriate for specific high school grades, with reported scale scores that are vertically aligned across the SAT Suite. The design of the SAT Suite is intended to support evaluations of student growth, as described on College Board websites: “The redesigned SAT Suite uses a common score scale, providing consistent feedback across assessments to help educators and students monitor growth across grades and to identify areas in need of improvement”.</w:t>
            </w:r>
          </w:p>
          <w:p w14:paraId="3707A76E" w14:textId="77777777" w:rsidR="00F847FE" w:rsidRPr="00F847FE" w:rsidRDefault="00F847FE" w:rsidP="00F847FE">
            <w:pPr>
              <w:spacing w:after="120"/>
              <w:rPr>
                <w:rFonts w:eastAsia="Calibri"/>
                <w:color w:val="000000"/>
                <w:lang w:bidi="ar-SA"/>
              </w:rPr>
            </w:pPr>
            <w:r w:rsidRPr="00F847FE">
              <w:rPr>
                <w:rFonts w:eastAsia="Calibri"/>
                <w:color w:val="000000"/>
                <w:lang w:bidi="ar-SA"/>
              </w:rPr>
              <w:t>College Board has examined SAT Suite score growth with specified cohorts (e.g., spring-to-spring, fall-to-fall, etc.). Expected growth estimates are provided for individual students as well as school level values in separate reports, which are listed below. These reports also provide information on the methodology used to estimate school-level and student-level growth.</w:t>
            </w:r>
          </w:p>
          <w:p w14:paraId="3BAEEC32" w14:textId="03F9659F" w:rsidR="00F847FE" w:rsidRPr="00F847FE" w:rsidRDefault="00F847FE" w:rsidP="00F847FE">
            <w:pPr>
              <w:rPr>
                <w:rFonts w:eastAsia="Calibri"/>
                <w:color w:val="222222"/>
                <w:lang w:bidi="ar-SA"/>
              </w:rPr>
            </w:pPr>
            <w:r w:rsidRPr="00F847FE">
              <w:rPr>
                <w:rFonts w:eastAsia="Calibri"/>
                <w:color w:val="222222"/>
                <w:lang w:bidi="ar-SA"/>
              </w:rPr>
              <w:t xml:space="preserve">- </w:t>
            </w:r>
            <w:hyperlink r:id="rId12" w:history="1">
              <w:r w:rsidRPr="00F847FE">
                <w:rPr>
                  <w:rStyle w:val="Hyperlink"/>
                  <w:rFonts w:eastAsia="Calibri"/>
                  <w:lang w:bidi="ar-SA"/>
                </w:rPr>
                <w:t>School Level Growth Estimates for the SAT Suite of Assessments (PDF)</w:t>
              </w:r>
            </w:hyperlink>
          </w:p>
          <w:p w14:paraId="73353FD7" w14:textId="4777A1BB" w:rsidR="00F847FE" w:rsidRPr="00F847FE" w:rsidRDefault="00F847FE" w:rsidP="00F847FE">
            <w:pPr>
              <w:rPr>
                <w:rFonts w:eastAsia="Calibri"/>
                <w:color w:val="222222"/>
                <w:lang w:bidi="ar-SA"/>
              </w:rPr>
            </w:pPr>
            <w:r w:rsidRPr="00F847FE">
              <w:rPr>
                <w:rFonts w:eastAsia="Calibri"/>
                <w:color w:val="222222"/>
                <w:lang w:bidi="ar-SA"/>
              </w:rPr>
              <w:t xml:space="preserve">- </w:t>
            </w:r>
            <w:hyperlink r:id="rId13" w:history="1">
              <w:r w:rsidRPr="00F847FE">
                <w:rPr>
                  <w:rStyle w:val="Hyperlink"/>
                  <w:rFonts w:eastAsia="Calibri"/>
                  <w:lang w:bidi="ar-SA"/>
                </w:rPr>
                <w:t>Student Level Growth Estimates for the SAT Suite of Assessments (PDF)</w:t>
              </w:r>
            </w:hyperlink>
          </w:p>
        </w:tc>
      </w:tr>
      <w:tr w:rsidR="00F847FE" w:rsidRPr="00F847FE" w14:paraId="5A0A9DD1" w14:textId="77777777" w:rsidTr="004010A1">
        <w:trPr>
          <w:cantSplit/>
        </w:trPr>
        <w:tc>
          <w:tcPr>
            <w:tcW w:w="1705" w:type="dxa"/>
            <w:shd w:val="clear" w:color="auto" w:fill="FFFFFF"/>
          </w:tcPr>
          <w:p w14:paraId="75725F84" w14:textId="77777777" w:rsidR="00F847FE" w:rsidRPr="00F847FE" w:rsidRDefault="00F847FE" w:rsidP="00F847FE">
            <w:pPr>
              <w:rPr>
                <w:rFonts w:eastAsia="Times New Roman"/>
                <w:lang w:bidi="ar-SA"/>
              </w:rPr>
            </w:pPr>
            <w:r w:rsidRPr="00F847FE">
              <w:rPr>
                <w:rFonts w:eastAsia="Times New Roman"/>
                <w:lang w:bidi="ar-SA"/>
              </w:rPr>
              <w:lastRenderedPageBreak/>
              <w:t>Star Assessments by Renaissance</w:t>
            </w:r>
          </w:p>
        </w:tc>
        <w:tc>
          <w:tcPr>
            <w:tcW w:w="7645" w:type="dxa"/>
          </w:tcPr>
          <w:p w14:paraId="3FC741CA"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Star SGP compares a student’s growth to that of their academic peers nationwide. Academic peers are students in the same grade who demonstrated a similar score history. The data used to define academic peers are drawn from historical (not real-time) Star Assessments databases, which track the performance of millions of students over time. The model helps us understand the extent to which a given student’s observed score change between two periods was expected, below expectations, or above expectations, based on how students with a similar score history performed in the recent past. SGPs are reported on a scale of 1–99 and are interpreted similarly to percentile ranks, with 50 indicating typical or expected growth. Lower numbers indicate lower relative growth, and higher numbers indicate higher relative growth. For instance, if a student has an SGP of 75, it means the student has shown more growth than 75 percent of their academic peers.</w:t>
            </w:r>
          </w:p>
          <w:p w14:paraId="5A33BF84" w14:textId="77777777" w:rsidR="00F847FE" w:rsidRPr="00F847FE" w:rsidRDefault="00F847FE" w:rsidP="00F847FE">
            <w:pPr>
              <w:spacing w:after="120"/>
              <w:rPr>
                <w:rFonts w:eastAsia="Times New Roman"/>
                <w:shd w:val="clear" w:color="auto" w:fill="FFFFFF"/>
                <w:lang w:bidi="ar-SA"/>
              </w:rPr>
            </w:pPr>
            <w:r w:rsidRPr="00F847FE">
              <w:rPr>
                <w:rFonts w:eastAsia="Times New Roman"/>
                <w:shd w:val="clear" w:color="auto" w:fill="FFFFFF"/>
                <w:lang w:bidi="ar-SA"/>
              </w:rPr>
              <w:t>Star SGPs characterize growth from six different timeframes: fall to spring, fall to winter, winter to spring, spring to fall, fall to fall, and spring to spring. It’s important to note that to ensure maximum precision and fairness, the Star SGP model involves time adjustments, so that students taking tests relatively early or late in a seasonal window are not advantaged or disadvantaged. In other words, a student with 300 days of learning time between fall and spring administrations of the Star Assessments does not have an advantage over a student with only 220 days of learning time between fall and spring tests, because more growth will be expected of the student with more days of instructional time.</w:t>
            </w:r>
          </w:p>
          <w:p w14:paraId="0E4722B1" w14:textId="77777777" w:rsidR="00F847FE" w:rsidRPr="00F847FE" w:rsidRDefault="00F847FE" w:rsidP="00F847FE">
            <w:pPr>
              <w:rPr>
                <w:rFonts w:eastAsia="Times New Roman"/>
                <w:lang w:bidi="ar-SA"/>
              </w:rPr>
            </w:pPr>
            <w:r w:rsidRPr="00F847FE">
              <w:rPr>
                <w:rFonts w:eastAsia="Times New Roman"/>
                <w:shd w:val="clear" w:color="auto" w:fill="FFFFFF"/>
                <w:lang w:bidi="ar-SA"/>
              </w:rPr>
              <w:t xml:space="preserve">If the SBE wishes to define “a year’s growth” in normative terms (comparing a student’s growth to academic peers), then SGP would offer the most precise option. Many states and districts using SGP for accountability or instructional purposes create a range around SGP 50 to define typical or expected growth. The most common range is 35 to 65. Students whose fall to spring SGPs are between 35 to 65 have demonstrated a year’s growth in a year’s time. Although SGPs can also be reported on a </w:t>
            </w:r>
            <w:proofErr w:type="gramStart"/>
            <w:r w:rsidRPr="00F847FE">
              <w:rPr>
                <w:rFonts w:eastAsia="Times New Roman"/>
                <w:shd w:val="clear" w:color="auto" w:fill="FFFFFF"/>
                <w:lang w:bidi="ar-SA"/>
              </w:rPr>
              <w:t>spring to spring</w:t>
            </w:r>
            <w:proofErr w:type="gramEnd"/>
            <w:r w:rsidRPr="00F847FE">
              <w:rPr>
                <w:rFonts w:eastAsia="Times New Roman"/>
                <w:shd w:val="clear" w:color="auto" w:fill="FFFFFF"/>
                <w:lang w:bidi="ar-SA"/>
              </w:rPr>
              <w:t xml:space="preserve"> basis, fall to spring may be preferred for accountability purposes since it excludes summer when most students are not in school. Operationally, it would be straightforward to code each student as achieving a year’s growth if their fall to spring SGP was between 35 and 65, failing to meet a year’s growth (1–34), or exceeding a year’s growth (66–99).</w:t>
            </w:r>
          </w:p>
        </w:tc>
      </w:tr>
      <w:tr w:rsidR="00F847FE" w:rsidRPr="00F847FE" w14:paraId="0D1D396E" w14:textId="77777777" w:rsidTr="004010A1">
        <w:trPr>
          <w:cantSplit/>
        </w:trPr>
        <w:tc>
          <w:tcPr>
            <w:tcW w:w="1705" w:type="dxa"/>
            <w:shd w:val="clear" w:color="auto" w:fill="FFFFFF"/>
          </w:tcPr>
          <w:p w14:paraId="645539A2" w14:textId="77777777" w:rsidR="00F847FE" w:rsidRPr="00F847FE" w:rsidRDefault="00F847FE" w:rsidP="00F847FE">
            <w:pPr>
              <w:rPr>
                <w:rFonts w:eastAsia="Times New Roman"/>
                <w:lang w:bidi="ar-SA"/>
              </w:rPr>
            </w:pPr>
            <w:r w:rsidRPr="00F847FE">
              <w:rPr>
                <w:rFonts w:eastAsia="Times New Roman"/>
                <w:lang w:bidi="ar-SA"/>
              </w:rPr>
              <w:lastRenderedPageBreak/>
              <w:t>TELL by Pearson Assessments</w:t>
            </w:r>
          </w:p>
        </w:tc>
        <w:tc>
          <w:tcPr>
            <w:tcW w:w="7645" w:type="dxa"/>
          </w:tcPr>
          <w:p w14:paraId="3490EC78" w14:textId="77777777" w:rsidR="00F847FE" w:rsidRPr="00F847FE" w:rsidRDefault="00F847FE" w:rsidP="00F847FE">
            <w:pPr>
              <w:shd w:val="clear" w:color="auto" w:fill="FFFFFF"/>
              <w:spacing w:after="120"/>
              <w:rPr>
                <w:rFonts w:eastAsia="Times New Roman"/>
                <w:color w:val="222222"/>
                <w:lang w:bidi="ar-SA"/>
              </w:rPr>
            </w:pPr>
            <w:r w:rsidRPr="00F847FE">
              <w:rPr>
                <w:rFonts w:eastAsia="Times New Roman"/>
                <w:color w:val="222222"/>
                <w:lang w:bidi="ar-SA"/>
              </w:rPr>
              <w:t>Three types of testing are available with TELL which schools can use to demonstrate progress over the course of one school year:</w:t>
            </w:r>
          </w:p>
          <w:p w14:paraId="36CC91A9" w14:textId="77777777" w:rsidR="00F847FE" w:rsidRPr="00F847FE" w:rsidRDefault="00F847FE" w:rsidP="00F847FE">
            <w:pPr>
              <w:shd w:val="clear" w:color="auto" w:fill="FFFFFF"/>
              <w:spacing w:after="120"/>
              <w:rPr>
                <w:rFonts w:eastAsia="Times New Roman"/>
                <w:color w:val="222222"/>
                <w:lang w:bidi="ar-SA"/>
              </w:rPr>
            </w:pPr>
            <w:r w:rsidRPr="00F847FE">
              <w:rPr>
                <w:rFonts w:eastAsia="Times New Roman"/>
                <w:color w:val="222222"/>
                <w:lang w:bidi="ar-SA"/>
              </w:rPr>
              <w:t>Screener: Teachers will use the screener assessment to identify which of their students are English language learners and the proficiency level of those students to assist them in making program decisions.</w:t>
            </w:r>
          </w:p>
          <w:p w14:paraId="60FCC09B" w14:textId="77777777" w:rsidR="00F847FE" w:rsidRPr="00F847FE" w:rsidRDefault="00F847FE" w:rsidP="00F847FE">
            <w:pPr>
              <w:shd w:val="clear" w:color="auto" w:fill="FFFFFF"/>
              <w:spacing w:after="120"/>
              <w:rPr>
                <w:rFonts w:eastAsia="Times New Roman"/>
                <w:color w:val="222222"/>
                <w:lang w:bidi="ar-SA"/>
              </w:rPr>
            </w:pPr>
            <w:r w:rsidRPr="00F847FE">
              <w:rPr>
                <w:rFonts w:eastAsia="Times New Roman"/>
                <w:color w:val="222222"/>
                <w:lang w:bidi="ar-SA"/>
              </w:rPr>
              <w:t>Diagnostic: A diagnostic assessment administered at the beginning of the school year will set a baseline for each learner. At the end of the year, a second diagnostic assessment will determine gains in language proficiency during the entire academic year.</w:t>
            </w:r>
          </w:p>
          <w:p w14:paraId="5B75EDB2" w14:textId="77777777" w:rsidR="00F847FE" w:rsidRPr="00F847FE" w:rsidRDefault="00F847FE" w:rsidP="00F847FE">
            <w:pPr>
              <w:shd w:val="clear" w:color="auto" w:fill="FFFFFF"/>
              <w:spacing w:after="120"/>
              <w:rPr>
                <w:rFonts w:eastAsia="Times New Roman"/>
                <w:color w:val="222222"/>
                <w:lang w:bidi="ar-SA"/>
              </w:rPr>
            </w:pPr>
            <w:r w:rsidRPr="00F847FE">
              <w:rPr>
                <w:rFonts w:eastAsia="Times New Roman"/>
                <w:color w:val="222222"/>
                <w:lang w:bidi="ar-SA"/>
              </w:rPr>
              <w:t xml:space="preserve">Progress Monitoring: TELL offers progress monitoring tests approximately once a month to measure language growth, obtain valuable information to inform instruction, create differentiated learning paths, and </w:t>
            </w:r>
            <w:proofErr w:type="gramStart"/>
            <w:r w:rsidRPr="00F847FE">
              <w:rPr>
                <w:rFonts w:eastAsia="Times New Roman"/>
                <w:color w:val="222222"/>
                <w:lang w:bidi="ar-SA"/>
              </w:rPr>
              <w:t>make adjustments</w:t>
            </w:r>
            <w:proofErr w:type="gramEnd"/>
            <w:r w:rsidRPr="00F847FE">
              <w:rPr>
                <w:rFonts w:eastAsia="Times New Roman"/>
                <w:color w:val="222222"/>
                <w:lang w:bidi="ar-SA"/>
              </w:rPr>
              <w:t xml:space="preserve"> as needed. Eight forms are</w:t>
            </w:r>
            <w:r w:rsidRPr="00F847FE">
              <w:rPr>
                <w:rFonts w:eastAsia="Times New Roman"/>
                <w:color w:val="222222"/>
                <w:lang w:bidi="ar-SA"/>
              </w:rPr>
              <w:br/>
              <w:t>available for grades K–12.</w:t>
            </w:r>
          </w:p>
          <w:p w14:paraId="562CBB60" w14:textId="77777777" w:rsidR="00F847FE" w:rsidRPr="00F847FE" w:rsidRDefault="00F847FE" w:rsidP="00F847FE">
            <w:pPr>
              <w:shd w:val="clear" w:color="auto" w:fill="FFFFFF"/>
              <w:rPr>
                <w:rFonts w:eastAsia="Times New Roman"/>
                <w:color w:val="222222"/>
                <w:lang w:bidi="ar-SA"/>
              </w:rPr>
            </w:pPr>
            <w:r w:rsidRPr="00F847FE">
              <w:rPr>
                <w:rFonts w:eastAsia="Times New Roman"/>
                <w:color w:val="222222"/>
                <w:lang w:bidi="ar-SA"/>
              </w:rPr>
              <w:t>The screener assessment is designed to help determine whether the student qualifies for ELL programs by providing a standardized metric in which the overall English proficiency level of the student is shown. The diagnostic assessments (beginning and end of year) yield detailed information to determine baseline and end-of-year proficiency levels. The progress monitor tests provide relatively frequent longitudinal data to inform instructional decisions over the course of the academic year and contribute to the construction of an accurate depiction of the trend of a student’s proficiency level over time.</w:t>
            </w:r>
          </w:p>
        </w:tc>
      </w:tr>
    </w:tbl>
    <w:p w14:paraId="107F4F08" w14:textId="2174AF21" w:rsidR="00F847FE" w:rsidRDefault="00F847FE" w:rsidP="0074505D">
      <w:pPr>
        <w:pStyle w:val="BodyText"/>
        <w:spacing w:after="480"/>
        <w:ind w:right="130"/>
        <w:rPr>
          <w:rStyle w:val="Hyperlink"/>
        </w:rPr>
      </w:pPr>
      <w:r w:rsidRPr="001B0973">
        <w:t xml:space="preserve">Source: </w:t>
      </w:r>
      <w:hyperlink r:id="rId14" w:history="1">
        <w:r w:rsidRPr="00D13518">
          <w:rPr>
            <w:rStyle w:val="Hyperlink"/>
          </w:rPr>
          <w:t xml:space="preserve">May 2023 </w:t>
        </w:r>
        <w:r w:rsidR="004E483A">
          <w:rPr>
            <w:rStyle w:val="Hyperlink"/>
          </w:rPr>
          <w:t xml:space="preserve">SBE </w:t>
        </w:r>
        <w:r w:rsidRPr="00D13518">
          <w:rPr>
            <w:rStyle w:val="Hyperlink"/>
          </w:rPr>
          <w:t>Agenda Item 02 – State Board of Education (CA Dept of Education)</w:t>
        </w:r>
      </w:hyperlink>
    </w:p>
    <w:p w14:paraId="54F9491A" w14:textId="77777777" w:rsidR="00F847FE" w:rsidRPr="00F847FE" w:rsidRDefault="00F847FE" w:rsidP="00F847FE"/>
    <w:sectPr w:rsidR="00F847FE" w:rsidRPr="00F847FE" w:rsidSect="00F847FE">
      <w:type w:val="continuous"/>
      <w:pgSz w:w="12240" w:h="15840"/>
      <w:pgMar w:top="15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9F901" w14:textId="77777777" w:rsidR="00816EEF" w:rsidRDefault="00816EEF" w:rsidP="000E09EF">
      <w:r>
        <w:separator/>
      </w:r>
    </w:p>
  </w:endnote>
  <w:endnote w:type="continuationSeparator" w:id="0">
    <w:p w14:paraId="181F8130" w14:textId="77777777" w:rsidR="00816EEF" w:rsidRDefault="00816EEF" w:rsidP="000E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F66A8" w14:textId="77777777" w:rsidR="00816EEF" w:rsidRDefault="00816EEF" w:rsidP="000E09EF">
      <w:r>
        <w:separator/>
      </w:r>
    </w:p>
  </w:footnote>
  <w:footnote w:type="continuationSeparator" w:id="0">
    <w:p w14:paraId="454CBFCB" w14:textId="77777777" w:rsidR="00816EEF" w:rsidRDefault="00816EEF" w:rsidP="000E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41872"/>
    <w:multiLevelType w:val="hybridMultilevel"/>
    <w:tmpl w:val="1FE4EF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83ECC"/>
    <w:multiLevelType w:val="hybridMultilevel"/>
    <w:tmpl w:val="D766F0FE"/>
    <w:lvl w:ilvl="0" w:tplc="DE2E1E00">
      <w:numFmt w:val="bullet"/>
      <w:lvlText w:val=""/>
      <w:lvlJc w:val="left"/>
      <w:pPr>
        <w:ind w:left="840" w:hanging="360"/>
      </w:pPr>
      <w:rPr>
        <w:rFonts w:ascii="Symbol" w:eastAsia="Symbol" w:hAnsi="Symbol" w:cs="Symbol" w:hint="default"/>
        <w:w w:val="99"/>
        <w:sz w:val="20"/>
        <w:szCs w:val="20"/>
        <w:lang w:val="en-US" w:eastAsia="en-US" w:bidi="en-US"/>
      </w:rPr>
    </w:lvl>
    <w:lvl w:ilvl="1" w:tplc="531CC53E">
      <w:numFmt w:val="bullet"/>
      <w:lvlText w:val="•"/>
      <w:lvlJc w:val="left"/>
      <w:pPr>
        <w:ind w:left="1716" w:hanging="360"/>
      </w:pPr>
      <w:rPr>
        <w:rFonts w:hint="default"/>
        <w:lang w:val="en-US" w:eastAsia="en-US" w:bidi="en-US"/>
      </w:rPr>
    </w:lvl>
    <w:lvl w:ilvl="2" w:tplc="6B0E586A">
      <w:numFmt w:val="bullet"/>
      <w:lvlText w:val="•"/>
      <w:lvlJc w:val="left"/>
      <w:pPr>
        <w:ind w:left="2592" w:hanging="360"/>
      </w:pPr>
      <w:rPr>
        <w:rFonts w:hint="default"/>
        <w:lang w:val="en-US" w:eastAsia="en-US" w:bidi="en-US"/>
      </w:rPr>
    </w:lvl>
    <w:lvl w:ilvl="3" w:tplc="32B6DD24">
      <w:numFmt w:val="bullet"/>
      <w:lvlText w:val="•"/>
      <w:lvlJc w:val="left"/>
      <w:pPr>
        <w:ind w:left="3468" w:hanging="360"/>
      </w:pPr>
      <w:rPr>
        <w:rFonts w:hint="default"/>
        <w:lang w:val="en-US" w:eastAsia="en-US" w:bidi="en-US"/>
      </w:rPr>
    </w:lvl>
    <w:lvl w:ilvl="4" w:tplc="502C2F82">
      <w:numFmt w:val="bullet"/>
      <w:lvlText w:val="•"/>
      <w:lvlJc w:val="left"/>
      <w:pPr>
        <w:ind w:left="4344" w:hanging="360"/>
      </w:pPr>
      <w:rPr>
        <w:rFonts w:hint="default"/>
        <w:lang w:val="en-US" w:eastAsia="en-US" w:bidi="en-US"/>
      </w:rPr>
    </w:lvl>
    <w:lvl w:ilvl="5" w:tplc="18944D4C">
      <w:numFmt w:val="bullet"/>
      <w:lvlText w:val="•"/>
      <w:lvlJc w:val="left"/>
      <w:pPr>
        <w:ind w:left="5220" w:hanging="360"/>
      </w:pPr>
      <w:rPr>
        <w:rFonts w:hint="default"/>
        <w:lang w:val="en-US" w:eastAsia="en-US" w:bidi="en-US"/>
      </w:rPr>
    </w:lvl>
    <w:lvl w:ilvl="6" w:tplc="F2040DAC">
      <w:numFmt w:val="bullet"/>
      <w:lvlText w:val="•"/>
      <w:lvlJc w:val="left"/>
      <w:pPr>
        <w:ind w:left="6096" w:hanging="360"/>
      </w:pPr>
      <w:rPr>
        <w:rFonts w:hint="default"/>
        <w:lang w:val="en-US" w:eastAsia="en-US" w:bidi="en-US"/>
      </w:rPr>
    </w:lvl>
    <w:lvl w:ilvl="7" w:tplc="FCD2D172">
      <w:numFmt w:val="bullet"/>
      <w:lvlText w:val="•"/>
      <w:lvlJc w:val="left"/>
      <w:pPr>
        <w:ind w:left="6972" w:hanging="360"/>
      </w:pPr>
      <w:rPr>
        <w:rFonts w:hint="default"/>
        <w:lang w:val="en-US" w:eastAsia="en-US" w:bidi="en-US"/>
      </w:rPr>
    </w:lvl>
    <w:lvl w:ilvl="8" w:tplc="78EA25AA">
      <w:numFmt w:val="bullet"/>
      <w:lvlText w:val="•"/>
      <w:lvlJc w:val="left"/>
      <w:pPr>
        <w:ind w:left="7848" w:hanging="360"/>
      </w:pPr>
      <w:rPr>
        <w:rFonts w:hint="default"/>
        <w:lang w:val="en-US" w:eastAsia="en-US" w:bidi="en-US"/>
      </w:rPr>
    </w:lvl>
  </w:abstractNum>
  <w:abstractNum w:abstractNumId="2" w15:restartNumberingAfterBreak="0">
    <w:nsid w:val="4ED74822"/>
    <w:multiLevelType w:val="hybridMultilevel"/>
    <w:tmpl w:val="055AB9BA"/>
    <w:lvl w:ilvl="0" w:tplc="8D3CD224">
      <w:numFmt w:val="bullet"/>
      <w:lvlText w:val="-"/>
      <w:lvlJc w:val="left"/>
      <w:pPr>
        <w:ind w:left="105" w:hanging="147"/>
      </w:pPr>
      <w:rPr>
        <w:rFonts w:ascii="Arial" w:eastAsia="Arial" w:hAnsi="Arial" w:cs="Arial" w:hint="default"/>
        <w:color w:val="212121"/>
        <w:w w:val="100"/>
        <w:sz w:val="24"/>
        <w:szCs w:val="24"/>
        <w:lang w:val="en-US" w:eastAsia="en-US" w:bidi="en-US"/>
      </w:rPr>
    </w:lvl>
    <w:lvl w:ilvl="1" w:tplc="4A729034">
      <w:numFmt w:val="bullet"/>
      <w:lvlText w:val="•"/>
      <w:lvlJc w:val="left"/>
      <w:pPr>
        <w:ind w:left="853" w:hanging="147"/>
      </w:pPr>
      <w:rPr>
        <w:rFonts w:hint="default"/>
        <w:lang w:val="en-US" w:eastAsia="en-US" w:bidi="en-US"/>
      </w:rPr>
    </w:lvl>
    <w:lvl w:ilvl="2" w:tplc="B41071F0">
      <w:numFmt w:val="bullet"/>
      <w:lvlText w:val="•"/>
      <w:lvlJc w:val="left"/>
      <w:pPr>
        <w:ind w:left="1606" w:hanging="147"/>
      </w:pPr>
      <w:rPr>
        <w:rFonts w:hint="default"/>
        <w:lang w:val="en-US" w:eastAsia="en-US" w:bidi="en-US"/>
      </w:rPr>
    </w:lvl>
    <w:lvl w:ilvl="3" w:tplc="70143BC2">
      <w:numFmt w:val="bullet"/>
      <w:lvlText w:val="•"/>
      <w:lvlJc w:val="left"/>
      <w:pPr>
        <w:ind w:left="2360" w:hanging="147"/>
      </w:pPr>
      <w:rPr>
        <w:rFonts w:hint="default"/>
        <w:lang w:val="en-US" w:eastAsia="en-US" w:bidi="en-US"/>
      </w:rPr>
    </w:lvl>
    <w:lvl w:ilvl="4" w:tplc="FFD068E6">
      <w:numFmt w:val="bullet"/>
      <w:lvlText w:val="•"/>
      <w:lvlJc w:val="left"/>
      <w:pPr>
        <w:ind w:left="3113" w:hanging="147"/>
      </w:pPr>
      <w:rPr>
        <w:rFonts w:hint="default"/>
        <w:lang w:val="en-US" w:eastAsia="en-US" w:bidi="en-US"/>
      </w:rPr>
    </w:lvl>
    <w:lvl w:ilvl="5" w:tplc="D9CA9A96">
      <w:numFmt w:val="bullet"/>
      <w:lvlText w:val="•"/>
      <w:lvlJc w:val="left"/>
      <w:pPr>
        <w:ind w:left="3867" w:hanging="147"/>
      </w:pPr>
      <w:rPr>
        <w:rFonts w:hint="default"/>
        <w:lang w:val="en-US" w:eastAsia="en-US" w:bidi="en-US"/>
      </w:rPr>
    </w:lvl>
    <w:lvl w:ilvl="6" w:tplc="E4DC8310">
      <w:numFmt w:val="bullet"/>
      <w:lvlText w:val="•"/>
      <w:lvlJc w:val="left"/>
      <w:pPr>
        <w:ind w:left="4620" w:hanging="147"/>
      </w:pPr>
      <w:rPr>
        <w:rFonts w:hint="default"/>
        <w:lang w:val="en-US" w:eastAsia="en-US" w:bidi="en-US"/>
      </w:rPr>
    </w:lvl>
    <w:lvl w:ilvl="7" w:tplc="9800CA24">
      <w:numFmt w:val="bullet"/>
      <w:lvlText w:val="•"/>
      <w:lvlJc w:val="left"/>
      <w:pPr>
        <w:ind w:left="5373" w:hanging="147"/>
      </w:pPr>
      <w:rPr>
        <w:rFonts w:hint="default"/>
        <w:lang w:val="en-US" w:eastAsia="en-US" w:bidi="en-US"/>
      </w:rPr>
    </w:lvl>
    <w:lvl w:ilvl="8" w:tplc="41606FBC">
      <w:numFmt w:val="bullet"/>
      <w:lvlText w:val="•"/>
      <w:lvlJc w:val="left"/>
      <w:pPr>
        <w:ind w:left="6127" w:hanging="147"/>
      </w:pPr>
      <w:rPr>
        <w:rFonts w:hint="default"/>
        <w:lang w:val="en-US" w:eastAsia="en-US" w:bidi="en-US"/>
      </w:rPr>
    </w:lvl>
  </w:abstractNum>
  <w:num w:numId="1" w16cid:durableId="645162462">
    <w:abstractNumId w:val="2"/>
  </w:num>
  <w:num w:numId="2" w16cid:durableId="2072070527">
    <w:abstractNumId w:val="1"/>
  </w:num>
  <w:num w:numId="3" w16cid:durableId="89882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6F"/>
    <w:rsid w:val="0005397B"/>
    <w:rsid w:val="000851DA"/>
    <w:rsid w:val="000E09EF"/>
    <w:rsid w:val="00170CDB"/>
    <w:rsid w:val="00197897"/>
    <w:rsid w:val="001B0973"/>
    <w:rsid w:val="001B276F"/>
    <w:rsid w:val="001F2BFA"/>
    <w:rsid w:val="00304887"/>
    <w:rsid w:val="00313C9B"/>
    <w:rsid w:val="00371DA3"/>
    <w:rsid w:val="004010A1"/>
    <w:rsid w:val="004E483A"/>
    <w:rsid w:val="005E1354"/>
    <w:rsid w:val="006D5846"/>
    <w:rsid w:val="0074505D"/>
    <w:rsid w:val="007645A1"/>
    <w:rsid w:val="00816EEF"/>
    <w:rsid w:val="008F6763"/>
    <w:rsid w:val="0091498A"/>
    <w:rsid w:val="00941B0C"/>
    <w:rsid w:val="0094709F"/>
    <w:rsid w:val="009D308B"/>
    <w:rsid w:val="00A10449"/>
    <w:rsid w:val="00A91EED"/>
    <w:rsid w:val="00B0464E"/>
    <w:rsid w:val="00B15997"/>
    <w:rsid w:val="00B432DB"/>
    <w:rsid w:val="00B750DB"/>
    <w:rsid w:val="00BE10AE"/>
    <w:rsid w:val="00C273DE"/>
    <w:rsid w:val="00C54C09"/>
    <w:rsid w:val="00CB4AA7"/>
    <w:rsid w:val="00D13518"/>
    <w:rsid w:val="00E40310"/>
    <w:rsid w:val="00EA114B"/>
    <w:rsid w:val="00EE5147"/>
    <w:rsid w:val="00F376A3"/>
    <w:rsid w:val="00F8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C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371DA3"/>
    <w:pPr>
      <w:keepNext/>
      <w:keepLines/>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371DA3"/>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B0973"/>
    <w:pPr>
      <w:keepNext/>
      <w:keepLines/>
      <w:spacing w:before="240" w:after="2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rPr>
      <w:u w:val="single" w:color="000000"/>
    </w:rPr>
  </w:style>
  <w:style w:type="paragraph" w:customStyle="1" w:styleId="TableParagraph">
    <w:name w:val="Table Paragraph"/>
    <w:basedOn w:val="Normal"/>
    <w:uiPriority w:val="1"/>
    <w:qFormat/>
    <w:pPr>
      <w:ind w:left="105"/>
    </w:pPr>
  </w:style>
  <w:style w:type="character" w:customStyle="1" w:styleId="Heading1Char">
    <w:name w:val="Heading 1 Char"/>
    <w:basedOn w:val="DefaultParagraphFont"/>
    <w:link w:val="Heading1"/>
    <w:uiPriority w:val="9"/>
    <w:rsid w:val="00371DA3"/>
    <w:rPr>
      <w:rFonts w:ascii="Arial" w:eastAsiaTheme="majorEastAsia" w:hAnsi="Arial" w:cstheme="majorBidi"/>
      <w:b/>
      <w:sz w:val="36"/>
      <w:szCs w:val="32"/>
      <w:lang w:bidi="en-US"/>
    </w:rPr>
  </w:style>
  <w:style w:type="character" w:styleId="Hyperlink">
    <w:name w:val="Hyperlink"/>
    <w:basedOn w:val="DefaultParagraphFont"/>
    <w:uiPriority w:val="99"/>
    <w:unhideWhenUsed/>
    <w:rsid w:val="00371DA3"/>
    <w:rPr>
      <w:color w:val="0000FF" w:themeColor="hyperlink"/>
      <w:u w:val="single"/>
    </w:rPr>
  </w:style>
  <w:style w:type="character" w:styleId="UnresolvedMention">
    <w:name w:val="Unresolved Mention"/>
    <w:basedOn w:val="DefaultParagraphFont"/>
    <w:uiPriority w:val="99"/>
    <w:semiHidden/>
    <w:unhideWhenUsed/>
    <w:rsid w:val="00371DA3"/>
    <w:rPr>
      <w:color w:val="605E5C"/>
      <w:shd w:val="clear" w:color="auto" w:fill="E1DFDD"/>
    </w:rPr>
  </w:style>
  <w:style w:type="character" w:customStyle="1" w:styleId="Heading2Char">
    <w:name w:val="Heading 2 Char"/>
    <w:basedOn w:val="DefaultParagraphFont"/>
    <w:link w:val="Heading2"/>
    <w:uiPriority w:val="9"/>
    <w:rsid w:val="00371DA3"/>
    <w:rPr>
      <w:rFonts w:ascii="Arial" w:eastAsiaTheme="majorEastAsia" w:hAnsi="Arial" w:cstheme="majorBidi"/>
      <w:b/>
      <w:sz w:val="32"/>
      <w:szCs w:val="26"/>
      <w:lang w:bidi="en-US"/>
    </w:rPr>
  </w:style>
  <w:style w:type="table" w:customStyle="1" w:styleId="TableGrid1">
    <w:name w:val="Table Grid1"/>
    <w:basedOn w:val="TableNormal"/>
    <w:next w:val="TableGrid"/>
    <w:uiPriority w:val="39"/>
    <w:rsid w:val="001B0973"/>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0973"/>
    <w:rPr>
      <w:rFonts w:ascii="Arial" w:eastAsiaTheme="majorEastAsia" w:hAnsi="Arial" w:cstheme="majorBidi"/>
      <w:b/>
      <w:sz w:val="28"/>
      <w:szCs w:val="24"/>
      <w:lang w:bidi="en-US"/>
    </w:rPr>
  </w:style>
  <w:style w:type="table" w:customStyle="1" w:styleId="TableGrid2">
    <w:name w:val="Table Grid2"/>
    <w:basedOn w:val="TableNormal"/>
    <w:next w:val="TableGrid"/>
    <w:uiPriority w:val="39"/>
    <w:rsid w:val="00F847FE"/>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847FE"/>
    <w:rPr>
      <w:rFonts w:ascii="Arial" w:eastAsia="Arial" w:hAnsi="Arial" w:cs="Arial"/>
      <w:sz w:val="24"/>
      <w:szCs w:val="24"/>
      <w:lang w:bidi="en-US"/>
    </w:rPr>
  </w:style>
  <w:style w:type="paragraph" w:styleId="Header">
    <w:name w:val="header"/>
    <w:basedOn w:val="Normal"/>
    <w:link w:val="HeaderChar"/>
    <w:uiPriority w:val="99"/>
    <w:unhideWhenUsed/>
    <w:rsid w:val="000E09EF"/>
    <w:pPr>
      <w:tabs>
        <w:tab w:val="center" w:pos="4680"/>
        <w:tab w:val="right" w:pos="9360"/>
      </w:tabs>
    </w:pPr>
  </w:style>
  <w:style w:type="character" w:customStyle="1" w:styleId="HeaderChar">
    <w:name w:val="Header Char"/>
    <w:basedOn w:val="DefaultParagraphFont"/>
    <w:link w:val="Header"/>
    <w:uiPriority w:val="99"/>
    <w:rsid w:val="000E09EF"/>
    <w:rPr>
      <w:rFonts w:ascii="Arial" w:eastAsia="Arial" w:hAnsi="Arial" w:cs="Arial"/>
      <w:lang w:bidi="en-US"/>
    </w:rPr>
  </w:style>
  <w:style w:type="paragraph" w:styleId="Footer">
    <w:name w:val="footer"/>
    <w:basedOn w:val="Normal"/>
    <w:link w:val="FooterChar"/>
    <w:uiPriority w:val="99"/>
    <w:unhideWhenUsed/>
    <w:rsid w:val="000E09EF"/>
    <w:pPr>
      <w:tabs>
        <w:tab w:val="center" w:pos="4680"/>
        <w:tab w:val="right" w:pos="9360"/>
      </w:tabs>
    </w:pPr>
  </w:style>
  <w:style w:type="character" w:customStyle="1" w:styleId="FooterChar">
    <w:name w:val="Footer Char"/>
    <w:basedOn w:val="DefaultParagraphFont"/>
    <w:link w:val="Footer"/>
    <w:uiPriority w:val="99"/>
    <w:rsid w:val="000E09E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de.ca.gov/be/ag/ag/yr20/documents/nov20item14.docx" TargetMode="External"/><Relationship Id="rId13" Type="http://schemas.openxmlformats.org/officeDocument/2006/relationships/hyperlink" Target="https://collegereadiness.collegeboard.org/pdf/student-level-sat-suite-growth-estimates.pdf" TargetMode="External"/><Relationship Id="rId3" Type="http://schemas.openxmlformats.org/officeDocument/2006/relationships/settings" Target="settings.xml"/><Relationship Id="rId7" Type="http://schemas.openxmlformats.org/officeDocument/2006/relationships/hyperlink" Target="https://www.cde.ca.gov/sp/ch/verifdata.asp" TargetMode="External"/><Relationship Id="rId12" Type="http://schemas.openxmlformats.org/officeDocument/2006/relationships/hyperlink" Target="https://collegereadiness.collegeboard.org/pdf/sat-suite-growth-estimat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ca.gov/be/ag/ag/yr23/documents/may23item02.docx" TargetMode="External"/><Relationship Id="rId4" Type="http://schemas.openxmlformats.org/officeDocument/2006/relationships/webSettings" Target="webSettings.xml"/><Relationship Id="rId9" Type="http://schemas.openxmlformats.org/officeDocument/2006/relationships/hyperlink" Target="https://www.cde.ca.gov/be/ag/ag/yr20/documents/nov20item14addendum.docx" TargetMode="External"/><Relationship Id="rId14" Type="http://schemas.openxmlformats.org/officeDocument/2006/relationships/hyperlink" Target="https://staging.cde.ca.gov/be/ag/ag/yr23/documents/may23item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Publisher Guidance on Understanding Student-Level Achievement of Progress Across One Year - Charter Schools (CA Dept of Education)</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Publisher Guidance on Understanding Student-Level Achievement of Progress Across One Year - Charter Schools (CA Dept of Education)</dc:title>
  <dc:subject>Publisher Guidance on Understanding Student-Level Achievement of Progress Across One Year.</dc:subject>
  <dc:creator/>
  <cp:lastModifiedBy/>
  <cp:revision>1</cp:revision>
  <dcterms:created xsi:type="dcterms:W3CDTF">2024-09-12T16:53:00Z</dcterms:created>
  <dcterms:modified xsi:type="dcterms:W3CDTF">2024-09-13T22:26:00Z</dcterms:modified>
</cp:coreProperties>
</file>