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8EFDA" w14:textId="163FB5DD" w:rsidR="00D83563" w:rsidRPr="00D83563" w:rsidRDefault="00D83563" w:rsidP="008C24E7">
      <w:pPr>
        <w:jc w:val="center"/>
      </w:pPr>
      <w:bookmarkStart w:id="0" w:name="_Toc414262285"/>
      <w:bookmarkStart w:id="1" w:name="_Toc414262480"/>
      <w:bookmarkStart w:id="2" w:name="_Toc15893673"/>
      <w:bookmarkStart w:id="3" w:name="_Toc16515795"/>
      <w:r w:rsidRPr="00D83563">
        <w:rPr>
          <w:noProof/>
        </w:rPr>
        <w:drawing>
          <wp:inline distT="0" distB="0" distL="0" distR="0" wp14:anchorId="0A9331E2" wp14:editId="5E416C35">
            <wp:extent cx="1883558" cy="1971675"/>
            <wp:effectExtent l="152400" t="152400" r="364490" b="352425"/>
            <wp:docPr id="6" name="Picture 6" descr="California's Migrant Education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lifornia's Migrant Education Offic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2757" cy="2002240"/>
                    </a:xfrm>
                    <a:prstGeom prst="rect">
                      <a:avLst/>
                    </a:prstGeom>
                    <a:ln>
                      <a:noFill/>
                    </a:ln>
                    <a:effectLst>
                      <a:outerShdw blurRad="292100" dist="139700" dir="2700000" algn="tl" rotWithShape="0">
                        <a:srgbClr val="333333">
                          <a:alpha val="65000"/>
                        </a:srgbClr>
                      </a:outerShdw>
                    </a:effectLst>
                  </pic:spPr>
                </pic:pic>
              </a:graphicData>
            </a:graphic>
          </wp:inline>
        </w:drawing>
      </w:r>
      <w:bookmarkEnd w:id="0"/>
      <w:bookmarkEnd w:id="1"/>
      <w:r w:rsidR="0008239D">
        <w:br/>
      </w:r>
      <w:r w:rsidRPr="0053782C">
        <w:rPr>
          <w:rStyle w:val="Heading1Char"/>
        </w:rPr>
        <w:t>California</w:t>
      </w:r>
      <w:r w:rsidRPr="0053782C">
        <w:rPr>
          <w:rStyle w:val="Heading1Char"/>
        </w:rPr>
        <w:br/>
        <w:t>Migrant Education Program</w:t>
      </w:r>
      <w:r w:rsidRPr="0053782C">
        <w:rPr>
          <w:rStyle w:val="Heading1Char"/>
        </w:rPr>
        <w:br/>
        <w:t>Fiscal Handbook</w:t>
      </w:r>
      <w:bookmarkEnd w:id="2"/>
      <w:bookmarkEnd w:id="3"/>
    </w:p>
    <w:p w14:paraId="72BD4472" w14:textId="77777777" w:rsidR="001604AF" w:rsidRDefault="00D83563" w:rsidP="001604AF">
      <w:pPr>
        <w:spacing w:after="960"/>
        <w:jc w:val="center"/>
        <w:rPr>
          <w:rFonts w:cs="Arial"/>
        </w:rPr>
      </w:pPr>
      <w:r w:rsidRPr="00D83563">
        <w:rPr>
          <w:rFonts w:cs="Arial"/>
        </w:rPr>
        <w:t xml:space="preserve">Revised </w:t>
      </w:r>
      <w:r w:rsidR="000E57C1">
        <w:rPr>
          <w:rFonts w:cs="Arial"/>
        </w:rPr>
        <w:t>September</w:t>
      </w:r>
      <w:r w:rsidR="00363919" w:rsidRPr="00D83563">
        <w:rPr>
          <w:rFonts w:cs="Arial"/>
        </w:rPr>
        <w:t xml:space="preserve"> </w:t>
      </w:r>
      <w:r w:rsidRPr="00D83563">
        <w:rPr>
          <w:rFonts w:cs="Arial"/>
        </w:rPr>
        <w:t>20</w:t>
      </w:r>
      <w:r w:rsidR="00363919">
        <w:rPr>
          <w:rFonts w:cs="Arial"/>
        </w:rPr>
        <w:t>25</w:t>
      </w:r>
    </w:p>
    <w:p w14:paraId="12A4863E" w14:textId="35F0D236" w:rsidR="006C42D9" w:rsidRDefault="001604AF" w:rsidP="001604AF">
      <w:pPr>
        <w:spacing w:after="0"/>
        <w:jc w:val="center"/>
        <w:rPr>
          <w:rFonts w:cs="Arial"/>
        </w:rPr>
      </w:pPr>
      <w:r>
        <w:rPr>
          <w:rFonts w:cs="Arial"/>
          <w:noProof/>
        </w:rPr>
        <w:drawing>
          <wp:inline distT="0" distB="0" distL="0" distR="0" wp14:anchorId="2E8507BA" wp14:editId="6944EC33">
            <wp:extent cx="1371600" cy="1371600"/>
            <wp:effectExtent l="0" t="0" r="0" b="0"/>
            <wp:docPr id="700098566" name="Picture 1" descr="State of 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098566" name="Picture 1" descr="State of California Department of Education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p>
    <w:p w14:paraId="7F9AA0F8" w14:textId="41D03084" w:rsidR="001604AF" w:rsidRDefault="006C42D9" w:rsidP="001604AF">
      <w:pPr>
        <w:spacing w:after="0" w:line="276" w:lineRule="auto"/>
        <w:jc w:val="center"/>
      </w:pPr>
      <w:r w:rsidRPr="006C42D9">
        <w:rPr>
          <w:rFonts w:cs="Arial"/>
          <w:b/>
          <w:noProof/>
          <w:sz w:val="32"/>
          <w:szCs w:val="32"/>
        </w:rPr>
        <w:drawing>
          <wp:inline distT="0" distB="0" distL="0" distR="0" wp14:anchorId="2009DE20" wp14:editId="11BC7CC6">
            <wp:extent cx="1895475" cy="1895475"/>
            <wp:effectExtent l="0" t="0" r="9525" b="9525"/>
            <wp:docPr id="695479097" name="Picture 1" descr="A logo for the Multilingual Support Division at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79097" name="Picture 1" descr="A logo for the Multilingual Support Division at the California Department of Educ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r w:rsidR="001604AF">
        <w:br w:type="page"/>
      </w:r>
    </w:p>
    <w:sdt>
      <w:sdtPr>
        <w:rPr>
          <w:rFonts w:ascii="Arial" w:hAnsi="Arial"/>
          <w:b/>
          <w:bCs w:val="0"/>
          <w:color w:val="000000" w:themeColor="text1"/>
          <w:sz w:val="24"/>
          <w:szCs w:val="20"/>
          <w:lang w:eastAsia="en-US"/>
        </w:rPr>
        <w:id w:val="-1306692203"/>
        <w:docPartObj>
          <w:docPartGallery w:val="Table of Contents"/>
          <w:docPartUnique/>
        </w:docPartObj>
      </w:sdtPr>
      <w:sdtEndPr>
        <w:rPr>
          <w:b w:val="0"/>
          <w:noProof/>
        </w:rPr>
      </w:sdtEndPr>
      <w:sdtContent>
        <w:p w14:paraId="5A88FE60" w14:textId="2FD0FD85" w:rsidR="00CC6D3E" w:rsidRPr="0053782C" w:rsidRDefault="00CC6D3E" w:rsidP="001604AF">
          <w:pPr>
            <w:pStyle w:val="TOCHeading"/>
            <w:spacing w:before="720"/>
            <w:rPr>
              <w:rStyle w:val="Heading2Char"/>
            </w:rPr>
          </w:pPr>
          <w:r w:rsidRPr="0053782C">
            <w:rPr>
              <w:rStyle w:val="Heading2Char"/>
            </w:rPr>
            <w:t>Table of Contents</w:t>
          </w:r>
        </w:p>
        <w:p w14:paraId="376E3DD1" w14:textId="3FC0382E" w:rsidR="00AD59A4" w:rsidRDefault="00CC6D3E">
          <w:pPr>
            <w:pStyle w:val="TOC2"/>
            <w:rPr>
              <w:rFonts w:asciiTheme="minorHAnsi" w:eastAsiaTheme="minorEastAsia" w:hAnsiTheme="minorHAnsi" w:cstheme="minorBidi"/>
              <w:b w:val="0"/>
              <w:color w:val="auto"/>
              <w:kern w:val="2"/>
              <w:szCs w:val="24"/>
              <w:lang w:eastAsia="zh-CN"/>
              <w14:ligatures w14:val="standardContextual"/>
            </w:rPr>
          </w:pPr>
          <w:r>
            <w:fldChar w:fldCharType="begin"/>
          </w:r>
          <w:r>
            <w:instrText xml:space="preserve"> TOC \o "1-3" \h \z \u </w:instrText>
          </w:r>
          <w:r>
            <w:fldChar w:fldCharType="separate"/>
          </w:r>
          <w:hyperlink w:anchor="_Toc207703777" w:history="1">
            <w:r w:rsidR="00AD59A4" w:rsidRPr="00F95D55">
              <w:rPr>
                <w:rStyle w:val="Hyperlink"/>
              </w:rPr>
              <w:t>Introduction</w:t>
            </w:r>
            <w:r w:rsidR="00AD59A4">
              <w:rPr>
                <w:webHidden/>
              </w:rPr>
              <w:tab/>
            </w:r>
            <w:r w:rsidR="00AD59A4">
              <w:rPr>
                <w:webHidden/>
              </w:rPr>
              <w:fldChar w:fldCharType="begin"/>
            </w:r>
            <w:r w:rsidR="00AD59A4">
              <w:rPr>
                <w:webHidden/>
              </w:rPr>
              <w:instrText xml:space="preserve"> PAGEREF _Toc207703777 \h </w:instrText>
            </w:r>
            <w:r w:rsidR="00AD59A4">
              <w:rPr>
                <w:webHidden/>
              </w:rPr>
            </w:r>
            <w:r w:rsidR="00AD59A4">
              <w:rPr>
                <w:webHidden/>
              </w:rPr>
              <w:fldChar w:fldCharType="separate"/>
            </w:r>
            <w:r w:rsidR="00CA51E0">
              <w:rPr>
                <w:webHidden/>
              </w:rPr>
              <w:t>4</w:t>
            </w:r>
            <w:r w:rsidR="00AD59A4">
              <w:rPr>
                <w:webHidden/>
              </w:rPr>
              <w:fldChar w:fldCharType="end"/>
            </w:r>
          </w:hyperlink>
        </w:p>
        <w:p w14:paraId="1B4659A3" w14:textId="17D0A899" w:rsidR="00AD59A4" w:rsidRDefault="00AD59A4">
          <w:pPr>
            <w:pStyle w:val="TOC2"/>
            <w:rPr>
              <w:rFonts w:asciiTheme="minorHAnsi" w:eastAsiaTheme="minorEastAsia" w:hAnsiTheme="minorHAnsi" w:cstheme="minorBidi"/>
              <w:b w:val="0"/>
              <w:color w:val="auto"/>
              <w:kern w:val="2"/>
              <w:szCs w:val="24"/>
              <w:lang w:eastAsia="zh-CN"/>
              <w14:ligatures w14:val="standardContextual"/>
            </w:rPr>
          </w:pPr>
          <w:hyperlink w:anchor="_Toc207703778" w:history="1">
            <w:r w:rsidRPr="00F95D55">
              <w:rPr>
                <w:rStyle w:val="Hyperlink"/>
              </w:rPr>
              <w:t>1.0 General Policy for Funding of Migrant Education Programs</w:t>
            </w:r>
            <w:r>
              <w:rPr>
                <w:webHidden/>
              </w:rPr>
              <w:tab/>
            </w:r>
            <w:r>
              <w:rPr>
                <w:webHidden/>
              </w:rPr>
              <w:fldChar w:fldCharType="begin"/>
            </w:r>
            <w:r>
              <w:rPr>
                <w:webHidden/>
              </w:rPr>
              <w:instrText xml:space="preserve"> PAGEREF _Toc207703778 \h </w:instrText>
            </w:r>
            <w:r>
              <w:rPr>
                <w:webHidden/>
              </w:rPr>
            </w:r>
            <w:r>
              <w:rPr>
                <w:webHidden/>
              </w:rPr>
              <w:fldChar w:fldCharType="separate"/>
            </w:r>
            <w:r w:rsidR="00CA51E0">
              <w:rPr>
                <w:webHidden/>
              </w:rPr>
              <w:t>5</w:t>
            </w:r>
            <w:r>
              <w:rPr>
                <w:webHidden/>
              </w:rPr>
              <w:fldChar w:fldCharType="end"/>
            </w:r>
          </w:hyperlink>
        </w:p>
        <w:p w14:paraId="74E98C77" w14:textId="43725C6F" w:rsidR="00AD59A4" w:rsidRDefault="00AD59A4">
          <w:pPr>
            <w:pStyle w:val="TOC3"/>
            <w:rPr>
              <w:rFonts w:asciiTheme="minorHAnsi" w:hAnsiTheme="minorHAnsi" w:cstheme="minorBidi"/>
              <w:color w:val="auto"/>
              <w:kern w:val="2"/>
              <w:szCs w:val="24"/>
              <w:lang w:eastAsia="zh-CN"/>
              <w14:ligatures w14:val="standardContextual"/>
            </w:rPr>
          </w:pPr>
          <w:hyperlink w:anchor="_Toc207703779" w:history="1">
            <w:r w:rsidRPr="00F95D55">
              <w:rPr>
                <w:rStyle w:val="Hyperlink"/>
              </w:rPr>
              <w:t>1.1 Process and Funding Formula</w:t>
            </w:r>
            <w:r>
              <w:rPr>
                <w:webHidden/>
              </w:rPr>
              <w:tab/>
            </w:r>
            <w:r>
              <w:rPr>
                <w:webHidden/>
              </w:rPr>
              <w:fldChar w:fldCharType="begin"/>
            </w:r>
            <w:r>
              <w:rPr>
                <w:webHidden/>
              </w:rPr>
              <w:instrText xml:space="preserve"> PAGEREF _Toc207703779 \h </w:instrText>
            </w:r>
            <w:r>
              <w:rPr>
                <w:webHidden/>
              </w:rPr>
            </w:r>
            <w:r>
              <w:rPr>
                <w:webHidden/>
              </w:rPr>
              <w:fldChar w:fldCharType="separate"/>
            </w:r>
            <w:r w:rsidR="00CA51E0">
              <w:rPr>
                <w:webHidden/>
              </w:rPr>
              <w:t>5</w:t>
            </w:r>
            <w:r>
              <w:rPr>
                <w:webHidden/>
              </w:rPr>
              <w:fldChar w:fldCharType="end"/>
            </w:r>
          </w:hyperlink>
        </w:p>
        <w:p w14:paraId="3EBEB1A8" w14:textId="7DB0D053" w:rsidR="00AD59A4" w:rsidRDefault="00AD59A4">
          <w:pPr>
            <w:pStyle w:val="TOC3"/>
            <w:rPr>
              <w:rFonts w:asciiTheme="minorHAnsi" w:hAnsiTheme="minorHAnsi" w:cstheme="minorBidi"/>
              <w:color w:val="auto"/>
              <w:kern w:val="2"/>
              <w:szCs w:val="24"/>
              <w:lang w:eastAsia="zh-CN"/>
              <w14:ligatures w14:val="standardContextual"/>
            </w:rPr>
          </w:pPr>
          <w:hyperlink w:anchor="_Toc207703780" w:history="1">
            <w:r w:rsidRPr="00F95D55">
              <w:rPr>
                <w:rStyle w:val="Hyperlink"/>
              </w:rPr>
              <w:t>1.2 Subgranting</w:t>
            </w:r>
            <w:r>
              <w:rPr>
                <w:webHidden/>
              </w:rPr>
              <w:tab/>
            </w:r>
            <w:r>
              <w:rPr>
                <w:webHidden/>
              </w:rPr>
              <w:fldChar w:fldCharType="begin"/>
            </w:r>
            <w:r>
              <w:rPr>
                <w:webHidden/>
              </w:rPr>
              <w:instrText xml:space="preserve"> PAGEREF _Toc207703780 \h </w:instrText>
            </w:r>
            <w:r>
              <w:rPr>
                <w:webHidden/>
              </w:rPr>
            </w:r>
            <w:r>
              <w:rPr>
                <w:webHidden/>
              </w:rPr>
              <w:fldChar w:fldCharType="separate"/>
            </w:r>
            <w:r w:rsidR="00CA51E0">
              <w:rPr>
                <w:webHidden/>
              </w:rPr>
              <w:t>5</w:t>
            </w:r>
            <w:r>
              <w:rPr>
                <w:webHidden/>
              </w:rPr>
              <w:fldChar w:fldCharType="end"/>
            </w:r>
          </w:hyperlink>
        </w:p>
        <w:p w14:paraId="34B260C2" w14:textId="1D98736F" w:rsidR="00AD59A4" w:rsidRDefault="00AD59A4">
          <w:pPr>
            <w:pStyle w:val="TOC3"/>
            <w:rPr>
              <w:rFonts w:asciiTheme="minorHAnsi" w:hAnsiTheme="minorHAnsi" w:cstheme="minorBidi"/>
              <w:color w:val="auto"/>
              <w:kern w:val="2"/>
              <w:szCs w:val="24"/>
              <w:lang w:eastAsia="zh-CN"/>
              <w14:ligatures w14:val="standardContextual"/>
            </w:rPr>
          </w:pPr>
          <w:hyperlink w:anchor="_Toc207703781" w:history="1">
            <w:r w:rsidRPr="00F95D55">
              <w:rPr>
                <w:rStyle w:val="Hyperlink"/>
              </w:rPr>
              <w:t>1.3 Funding Period</w:t>
            </w:r>
            <w:r>
              <w:rPr>
                <w:webHidden/>
              </w:rPr>
              <w:tab/>
            </w:r>
            <w:r>
              <w:rPr>
                <w:webHidden/>
              </w:rPr>
              <w:fldChar w:fldCharType="begin"/>
            </w:r>
            <w:r>
              <w:rPr>
                <w:webHidden/>
              </w:rPr>
              <w:instrText xml:space="preserve"> PAGEREF _Toc207703781 \h </w:instrText>
            </w:r>
            <w:r>
              <w:rPr>
                <w:webHidden/>
              </w:rPr>
            </w:r>
            <w:r>
              <w:rPr>
                <w:webHidden/>
              </w:rPr>
              <w:fldChar w:fldCharType="separate"/>
            </w:r>
            <w:r w:rsidR="00CA51E0">
              <w:rPr>
                <w:webHidden/>
              </w:rPr>
              <w:t>6</w:t>
            </w:r>
            <w:r>
              <w:rPr>
                <w:webHidden/>
              </w:rPr>
              <w:fldChar w:fldCharType="end"/>
            </w:r>
          </w:hyperlink>
        </w:p>
        <w:p w14:paraId="3A36CD71" w14:textId="129F3B89" w:rsidR="00AD59A4" w:rsidRDefault="00AD59A4">
          <w:pPr>
            <w:pStyle w:val="TOC3"/>
            <w:rPr>
              <w:rFonts w:asciiTheme="minorHAnsi" w:hAnsiTheme="minorHAnsi" w:cstheme="minorBidi"/>
              <w:color w:val="auto"/>
              <w:kern w:val="2"/>
              <w:szCs w:val="24"/>
              <w:lang w:eastAsia="zh-CN"/>
              <w14:ligatures w14:val="standardContextual"/>
            </w:rPr>
          </w:pPr>
          <w:hyperlink w:anchor="_Toc207703782" w:history="1">
            <w:r w:rsidRPr="00F95D55">
              <w:rPr>
                <w:rStyle w:val="Hyperlink"/>
              </w:rPr>
              <w:t>1.4 Service Delivery Models</w:t>
            </w:r>
            <w:r>
              <w:rPr>
                <w:webHidden/>
              </w:rPr>
              <w:tab/>
            </w:r>
            <w:r>
              <w:rPr>
                <w:webHidden/>
              </w:rPr>
              <w:fldChar w:fldCharType="begin"/>
            </w:r>
            <w:r>
              <w:rPr>
                <w:webHidden/>
              </w:rPr>
              <w:instrText xml:space="preserve"> PAGEREF _Toc207703782 \h </w:instrText>
            </w:r>
            <w:r>
              <w:rPr>
                <w:webHidden/>
              </w:rPr>
            </w:r>
            <w:r>
              <w:rPr>
                <w:webHidden/>
              </w:rPr>
              <w:fldChar w:fldCharType="separate"/>
            </w:r>
            <w:r w:rsidR="00CA51E0">
              <w:rPr>
                <w:webHidden/>
              </w:rPr>
              <w:t>6</w:t>
            </w:r>
            <w:r>
              <w:rPr>
                <w:webHidden/>
              </w:rPr>
              <w:fldChar w:fldCharType="end"/>
            </w:r>
          </w:hyperlink>
        </w:p>
        <w:p w14:paraId="63742F28" w14:textId="07D3E2AB" w:rsidR="00AD59A4" w:rsidRDefault="00AD59A4">
          <w:pPr>
            <w:pStyle w:val="TOC3"/>
            <w:rPr>
              <w:rFonts w:asciiTheme="minorHAnsi" w:hAnsiTheme="minorHAnsi" w:cstheme="minorBidi"/>
              <w:color w:val="auto"/>
              <w:kern w:val="2"/>
              <w:szCs w:val="24"/>
              <w:lang w:eastAsia="zh-CN"/>
              <w14:ligatures w14:val="standardContextual"/>
            </w:rPr>
          </w:pPr>
          <w:hyperlink w:anchor="_Toc207703783" w:history="1">
            <w:r w:rsidRPr="00F95D55">
              <w:rPr>
                <w:rStyle w:val="Hyperlink"/>
              </w:rPr>
              <w:t>1.5 Operating Agency Contracts with Outside Vendors</w:t>
            </w:r>
            <w:r>
              <w:rPr>
                <w:webHidden/>
              </w:rPr>
              <w:tab/>
            </w:r>
            <w:r>
              <w:rPr>
                <w:webHidden/>
              </w:rPr>
              <w:fldChar w:fldCharType="begin"/>
            </w:r>
            <w:r>
              <w:rPr>
                <w:webHidden/>
              </w:rPr>
              <w:instrText xml:space="preserve"> PAGEREF _Toc207703783 \h </w:instrText>
            </w:r>
            <w:r>
              <w:rPr>
                <w:webHidden/>
              </w:rPr>
            </w:r>
            <w:r>
              <w:rPr>
                <w:webHidden/>
              </w:rPr>
              <w:fldChar w:fldCharType="separate"/>
            </w:r>
            <w:r w:rsidR="00CA51E0">
              <w:rPr>
                <w:webHidden/>
              </w:rPr>
              <w:t>7</w:t>
            </w:r>
            <w:r>
              <w:rPr>
                <w:webHidden/>
              </w:rPr>
              <w:fldChar w:fldCharType="end"/>
            </w:r>
          </w:hyperlink>
        </w:p>
        <w:p w14:paraId="7B41F9D4" w14:textId="470C5829" w:rsidR="00AD59A4" w:rsidRDefault="00AD59A4">
          <w:pPr>
            <w:pStyle w:val="TOC3"/>
            <w:rPr>
              <w:rFonts w:asciiTheme="minorHAnsi" w:hAnsiTheme="minorHAnsi" w:cstheme="minorBidi"/>
              <w:color w:val="auto"/>
              <w:kern w:val="2"/>
              <w:szCs w:val="24"/>
              <w:lang w:eastAsia="zh-CN"/>
              <w14:ligatures w14:val="standardContextual"/>
            </w:rPr>
          </w:pPr>
          <w:hyperlink w:anchor="_Toc207703784" w:history="1">
            <w:r w:rsidRPr="00F95D55">
              <w:rPr>
                <w:rStyle w:val="Hyperlink"/>
              </w:rPr>
              <w:t>1.6 Migrant Education Program Costs</w:t>
            </w:r>
            <w:r>
              <w:rPr>
                <w:webHidden/>
              </w:rPr>
              <w:tab/>
            </w:r>
            <w:r>
              <w:rPr>
                <w:webHidden/>
              </w:rPr>
              <w:fldChar w:fldCharType="begin"/>
            </w:r>
            <w:r>
              <w:rPr>
                <w:webHidden/>
              </w:rPr>
              <w:instrText xml:space="preserve"> PAGEREF _Toc207703784 \h </w:instrText>
            </w:r>
            <w:r>
              <w:rPr>
                <w:webHidden/>
              </w:rPr>
            </w:r>
            <w:r>
              <w:rPr>
                <w:webHidden/>
              </w:rPr>
              <w:fldChar w:fldCharType="separate"/>
            </w:r>
            <w:r w:rsidR="00CA51E0">
              <w:rPr>
                <w:webHidden/>
              </w:rPr>
              <w:t>9</w:t>
            </w:r>
            <w:r>
              <w:rPr>
                <w:webHidden/>
              </w:rPr>
              <w:fldChar w:fldCharType="end"/>
            </w:r>
          </w:hyperlink>
        </w:p>
        <w:p w14:paraId="2D1A343A" w14:textId="0B20FF15" w:rsidR="00AD59A4" w:rsidRDefault="00AD59A4">
          <w:pPr>
            <w:pStyle w:val="TOC3"/>
            <w:rPr>
              <w:rFonts w:asciiTheme="minorHAnsi" w:hAnsiTheme="minorHAnsi" w:cstheme="minorBidi"/>
              <w:color w:val="auto"/>
              <w:kern w:val="2"/>
              <w:szCs w:val="24"/>
              <w:lang w:eastAsia="zh-CN"/>
              <w14:ligatures w14:val="standardContextual"/>
            </w:rPr>
          </w:pPr>
          <w:hyperlink w:anchor="_Toc207703785" w:history="1">
            <w:r w:rsidRPr="00F95D55">
              <w:rPr>
                <w:rStyle w:val="Hyperlink"/>
              </w:rPr>
              <w:t>1.7 Administrative and Direct Service to Pupils Expenditures</w:t>
            </w:r>
            <w:r>
              <w:rPr>
                <w:webHidden/>
              </w:rPr>
              <w:tab/>
            </w:r>
            <w:r>
              <w:rPr>
                <w:webHidden/>
              </w:rPr>
              <w:fldChar w:fldCharType="begin"/>
            </w:r>
            <w:r>
              <w:rPr>
                <w:webHidden/>
              </w:rPr>
              <w:instrText xml:space="preserve"> PAGEREF _Toc207703785 \h </w:instrText>
            </w:r>
            <w:r>
              <w:rPr>
                <w:webHidden/>
              </w:rPr>
            </w:r>
            <w:r>
              <w:rPr>
                <w:webHidden/>
              </w:rPr>
              <w:fldChar w:fldCharType="separate"/>
            </w:r>
            <w:r w:rsidR="00CA51E0">
              <w:rPr>
                <w:webHidden/>
              </w:rPr>
              <w:t>9</w:t>
            </w:r>
            <w:r>
              <w:rPr>
                <w:webHidden/>
              </w:rPr>
              <w:fldChar w:fldCharType="end"/>
            </w:r>
          </w:hyperlink>
        </w:p>
        <w:p w14:paraId="6152526F" w14:textId="13D52637" w:rsidR="00AD59A4" w:rsidRDefault="00AD59A4">
          <w:pPr>
            <w:pStyle w:val="TOC3"/>
            <w:rPr>
              <w:rFonts w:asciiTheme="minorHAnsi" w:hAnsiTheme="minorHAnsi" w:cstheme="minorBidi"/>
              <w:color w:val="auto"/>
              <w:kern w:val="2"/>
              <w:szCs w:val="24"/>
              <w:lang w:eastAsia="zh-CN"/>
              <w14:ligatures w14:val="standardContextual"/>
            </w:rPr>
          </w:pPr>
          <w:hyperlink w:anchor="_Toc207703786" w:history="1">
            <w:r w:rsidRPr="00F95D55">
              <w:rPr>
                <w:rStyle w:val="Hyperlink"/>
              </w:rPr>
              <w:t>Administrative Costs Rate Formula</w:t>
            </w:r>
            <w:r>
              <w:rPr>
                <w:webHidden/>
              </w:rPr>
              <w:tab/>
            </w:r>
            <w:r>
              <w:rPr>
                <w:webHidden/>
              </w:rPr>
              <w:fldChar w:fldCharType="begin"/>
            </w:r>
            <w:r>
              <w:rPr>
                <w:webHidden/>
              </w:rPr>
              <w:instrText xml:space="preserve"> PAGEREF _Toc207703786 \h </w:instrText>
            </w:r>
            <w:r>
              <w:rPr>
                <w:webHidden/>
              </w:rPr>
            </w:r>
            <w:r>
              <w:rPr>
                <w:webHidden/>
              </w:rPr>
              <w:fldChar w:fldCharType="separate"/>
            </w:r>
            <w:r w:rsidR="00CA51E0">
              <w:rPr>
                <w:webHidden/>
              </w:rPr>
              <w:t>9</w:t>
            </w:r>
            <w:r>
              <w:rPr>
                <w:webHidden/>
              </w:rPr>
              <w:fldChar w:fldCharType="end"/>
            </w:r>
          </w:hyperlink>
        </w:p>
        <w:p w14:paraId="2E316376" w14:textId="207AF451" w:rsidR="00AD59A4" w:rsidRDefault="00AD59A4">
          <w:pPr>
            <w:pStyle w:val="TOC3"/>
            <w:rPr>
              <w:rFonts w:asciiTheme="minorHAnsi" w:hAnsiTheme="minorHAnsi" w:cstheme="minorBidi"/>
              <w:color w:val="auto"/>
              <w:kern w:val="2"/>
              <w:szCs w:val="24"/>
              <w:lang w:eastAsia="zh-CN"/>
              <w14:ligatures w14:val="standardContextual"/>
            </w:rPr>
          </w:pPr>
          <w:hyperlink w:anchor="_Toc207703787" w:history="1">
            <w:r w:rsidRPr="00F95D55">
              <w:rPr>
                <w:rStyle w:val="Hyperlink"/>
              </w:rPr>
              <w:t>Definition of Terms</w:t>
            </w:r>
            <w:r>
              <w:rPr>
                <w:webHidden/>
              </w:rPr>
              <w:tab/>
            </w:r>
            <w:r>
              <w:rPr>
                <w:webHidden/>
              </w:rPr>
              <w:fldChar w:fldCharType="begin"/>
            </w:r>
            <w:r>
              <w:rPr>
                <w:webHidden/>
              </w:rPr>
              <w:instrText xml:space="preserve"> PAGEREF _Toc207703787 \h </w:instrText>
            </w:r>
            <w:r>
              <w:rPr>
                <w:webHidden/>
              </w:rPr>
            </w:r>
            <w:r>
              <w:rPr>
                <w:webHidden/>
              </w:rPr>
              <w:fldChar w:fldCharType="separate"/>
            </w:r>
            <w:r w:rsidR="00CA51E0">
              <w:rPr>
                <w:webHidden/>
              </w:rPr>
              <w:t>10</w:t>
            </w:r>
            <w:r>
              <w:rPr>
                <w:webHidden/>
              </w:rPr>
              <w:fldChar w:fldCharType="end"/>
            </w:r>
          </w:hyperlink>
        </w:p>
        <w:p w14:paraId="37C1785D" w14:textId="59FC1BD8" w:rsidR="00AD59A4" w:rsidRDefault="00AD59A4">
          <w:pPr>
            <w:pStyle w:val="TOC3"/>
            <w:rPr>
              <w:rFonts w:asciiTheme="minorHAnsi" w:hAnsiTheme="minorHAnsi" w:cstheme="minorBidi"/>
              <w:color w:val="auto"/>
              <w:kern w:val="2"/>
              <w:szCs w:val="24"/>
              <w:lang w:eastAsia="zh-CN"/>
              <w14:ligatures w14:val="standardContextual"/>
            </w:rPr>
          </w:pPr>
          <w:hyperlink w:anchor="_Toc207703788" w:history="1">
            <w:r w:rsidRPr="00F95D55">
              <w:rPr>
                <w:rStyle w:val="Hyperlink"/>
              </w:rPr>
              <w:t>1.8 Supplement Not Supplant and Unaddressed Needs Rule</w:t>
            </w:r>
            <w:r>
              <w:rPr>
                <w:webHidden/>
              </w:rPr>
              <w:tab/>
            </w:r>
            <w:r>
              <w:rPr>
                <w:webHidden/>
              </w:rPr>
              <w:fldChar w:fldCharType="begin"/>
            </w:r>
            <w:r>
              <w:rPr>
                <w:webHidden/>
              </w:rPr>
              <w:instrText xml:space="preserve"> PAGEREF _Toc207703788 \h </w:instrText>
            </w:r>
            <w:r>
              <w:rPr>
                <w:webHidden/>
              </w:rPr>
            </w:r>
            <w:r>
              <w:rPr>
                <w:webHidden/>
              </w:rPr>
              <w:fldChar w:fldCharType="separate"/>
            </w:r>
            <w:r w:rsidR="00CA51E0">
              <w:rPr>
                <w:webHidden/>
              </w:rPr>
              <w:t>13</w:t>
            </w:r>
            <w:r>
              <w:rPr>
                <w:webHidden/>
              </w:rPr>
              <w:fldChar w:fldCharType="end"/>
            </w:r>
          </w:hyperlink>
        </w:p>
        <w:p w14:paraId="1433611A" w14:textId="61C983F5" w:rsidR="00AD59A4" w:rsidRDefault="00AD59A4">
          <w:pPr>
            <w:pStyle w:val="TOC2"/>
            <w:rPr>
              <w:rFonts w:asciiTheme="minorHAnsi" w:eastAsiaTheme="minorEastAsia" w:hAnsiTheme="minorHAnsi" w:cstheme="minorBidi"/>
              <w:b w:val="0"/>
              <w:color w:val="auto"/>
              <w:kern w:val="2"/>
              <w:szCs w:val="24"/>
              <w:lang w:eastAsia="zh-CN"/>
              <w14:ligatures w14:val="standardContextual"/>
            </w:rPr>
          </w:pPr>
          <w:hyperlink w:anchor="_Toc207703789" w:history="1">
            <w:r w:rsidRPr="00F95D55">
              <w:rPr>
                <w:rStyle w:val="Hyperlink"/>
              </w:rPr>
              <w:t>2.0 Overview of Governing Legal Authority</w:t>
            </w:r>
            <w:r>
              <w:rPr>
                <w:webHidden/>
              </w:rPr>
              <w:tab/>
            </w:r>
            <w:r>
              <w:rPr>
                <w:webHidden/>
              </w:rPr>
              <w:fldChar w:fldCharType="begin"/>
            </w:r>
            <w:r>
              <w:rPr>
                <w:webHidden/>
              </w:rPr>
              <w:instrText xml:space="preserve"> PAGEREF _Toc207703789 \h </w:instrText>
            </w:r>
            <w:r>
              <w:rPr>
                <w:webHidden/>
              </w:rPr>
            </w:r>
            <w:r>
              <w:rPr>
                <w:webHidden/>
              </w:rPr>
              <w:fldChar w:fldCharType="separate"/>
            </w:r>
            <w:r w:rsidR="00CA51E0">
              <w:rPr>
                <w:webHidden/>
              </w:rPr>
              <w:t>14</w:t>
            </w:r>
            <w:r>
              <w:rPr>
                <w:webHidden/>
              </w:rPr>
              <w:fldChar w:fldCharType="end"/>
            </w:r>
          </w:hyperlink>
        </w:p>
        <w:p w14:paraId="1220E9B5" w14:textId="07EB6C35" w:rsidR="00AD59A4" w:rsidRDefault="00AD59A4">
          <w:pPr>
            <w:pStyle w:val="TOC2"/>
            <w:rPr>
              <w:rFonts w:asciiTheme="minorHAnsi" w:eastAsiaTheme="minorEastAsia" w:hAnsiTheme="minorHAnsi" w:cstheme="minorBidi"/>
              <w:b w:val="0"/>
              <w:color w:val="auto"/>
              <w:kern w:val="2"/>
              <w:szCs w:val="24"/>
              <w:lang w:eastAsia="zh-CN"/>
              <w14:ligatures w14:val="standardContextual"/>
            </w:rPr>
          </w:pPr>
          <w:hyperlink w:anchor="_Toc207703790" w:history="1">
            <w:r w:rsidRPr="00F95D55">
              <w:rPr>
                <w:rStyle w:val="Hyperlink"/>
              </w:rPr>
              <w:t>3.0 Region and Direct-Funded District Administrative Responsibilities</w:t>
            </w:r>
            <w:r>
              <w:rPr>
                <w:webHidden/>
              </w:rPr>
              <w:tab/>
            </w:r>
            <w:r>
              <w:rPr>
                <w:webHidden/>
              </w:rPr>
              <w:fldChar w:fldCharType="begin"/>
            </w:r>
            <w:r>
              <w:rPr>
                <w:webHidden/>
              </w:rPr>
              <w:instrText xml:space="preserve"> PAGEREF _Toc207703790 \h </w:instrText>
            </w:r>
            <w:r>
              <w:rPr>
                <w:webHidden/>
              </w:rPr>
            </w:r>
            <w:r>
              <w:rPr>
                <w:webHidden/>
              </w:rPr>
              <w:fldChar w:fldCharType="separate"/>
            </w:r>
            <w:r w:rsidR="00CA51E0">
              <w:rPr>
                <w:webHidden/>
              </w:rPr>
              <w:t>16</w:t>
            </w:r>
            <w:r>
              <w:rPr>
                <w:webHidden/>
              </w:rPr>
              <w:fldChar w:fldCharType="end"/>
            </w:r>
          </w:hyperlink>
        </w:p>
        <w:p w14:paraId="13B26E44" w14:textId="704E233B" w:rsidR="00AD59A4" w:rsidRDefault="00AD59A4">
          <w:pPr>
            <w:pStyle w:val="TOC3"/>
            <w:rPr>
              <w:rFonts w:asciiTheme="minorHAnsi" w:hAnsiTheme="minorHAnsi" w:cstheme="minorBidi"/>
              <w:color w:val="auto"/>
              <w:kern w:val="2"/>
              <w:szCs w:val="24"/>
              <w:lang w:eastAsia="zh-CN"/>
              <w14:ligatures w14:val="standardContextual"/>
            </w:rPr>
          </w:pPr>
          <w:hyperlink w:anchor="_Toc207703791" w:history="1">
            <w:r w:rsidRPr="00F95D55">
              <w:rPr>
                <w:rStyle w:val="Hyperlink"/>
              </w:rPr>
              <w:t>3.1 General Administrative Functions</w:t>
            </w:r>
            <w:r>
              <w:rPr>
                <w:webHidden/>
              </w:rPr>
              <w:tab/>
            </w:r>
            <w:r>
              <w:rPr>
                <w:webHidden/>
              </w:rPr>
              <w:fldChar w:fldCharType="begin"/>
            </w:r>
            <w:r>
              <w:rPr>
                <w:webHidden/>
              </w:rPr>
              <w:instrText xml:space="preserve"> PAGEREF _Toc207703791 \h </w:instrText>
            </w:r>
            <w:r>
              <w:rPr>
                <w:webHidden/>
              </w:rPr>
            </w:r>
            <w:r>
              <w:rPr>
                <w:webHidden/>
              </w:rPr>
              <w:fldChar w:fldCharType="separate"/>
            </w:r>
            <w:r w:rsidR="00CA51E0">
              <w:rPr>
                <w:webHidden/>
              </w:rPr>
              <w:t>16</w:t>
            </w:r>
            <w:r>
              <w:rPr>
                <w:webHidden/>
              </w:rPr>
              <w:fldChar w:fldCharType="end"/>
            </w:r>
          </w:hyperlink>
        </w:p>
        <w:p w14:paraId="3F3CF24E" w14:textId="3CFC7AA8" w:rsidR="00AD59A4" w:rsidRDefault="00AD59A4">
          <w:pPr>
            <w:pStyle w:val="TOC3"/>
            <w:rPr>
              <w:rFonts w:asciiTheme="minorHAnsi" w:hAnsiTheme="minorHAnsi" w:cstheme="minorBidi"/>
              <w:color w:val="auto"/>
              <w:kern w:val="2"/>
              <w:szCs w:val="24"/>
              <w:lang w:eastAsia="zh-CN"/>
              <w14:ligatures w14:val="standardContextual"/>
            </w:rPr>
          </w:pPr>
          <w:hyperlink w:anchor="_Toc207703792" w:history="1">
            <w:r w:rsidRPr="00F95D55">
              <w:rPr>
                <w:rStyle w:val="Hyperlink"/>
              </w:rPr>
              <w:t>3.2 Fiscal Responsibilities</w:t>
            </w:r>
            <w:r>
              <w:rPr>
                <w:webHidden/>
              </w:rPr>
              <w:tab/>
            </w:r>
            <w:r>
              <w:rPr>
                <w:webHidden/>
              </w:rPr>
              <w:fldChar w:fldCharType="begin"/>
            </w:r>
            <w:r>
              <w:rPr>
                <w:webHidden/>
              </w:rPr>
              <w:instrText xml:space="preserve"> PAGEREF _Toc207703792 \h </w:instrText>
            </w:r>
            <w:r>
              <w:rPr>
                <w:webHidden/>
              </w:rPr>
            </w:r>
            <w:r>
              <w:rPr>
                <w:webHidden/>
              </w:rPr>
              <w:fldChar w:fldCharType="separate"/>
            </w:r>
            <w:r w:rsidR="00CA51E0">
              <w:rPr>
                <w:webHidden/>
              </w:rPr>
              <w:t>17</w:t>
            </w:r>
            <w:r>
              <w:rPr>
                <w:webHidden/>
              </w:rPr>
              <w:fldChar w:fldCharType="end"/>
            </w:r>
          </w:hyperlink>
        </w:p>
        <w:p w14:paraId="20287EBE" w14:textId="2983DE18" w:rsidR="00AD59A4" w:rsidRDefault="00AD59A4">
          <w:pPr>
            <w:pStyle w:val="TOC3"/>
            <w:rPr>
              <w:rFonts w:asciiTheme="minorHAnsi" w:hAnsiTheme="minorHAnsi" w:cstheme="minorBidi"/>
              <w:color w:val="auto"/>
              <w:kern w:val="2"/>
              <w:szCs w:val="24"/>
              <w:lang w:eastAsia="zh-CN"/>
              <w14:ligatures w14:val="standardContextual"/>
            </w:rPr>
          </w:pPr>
          <w:hyperlink w:anchor="_Toc207703793" w:history="1">
            <w:r w:rsidRPr="00F95D55">
              <w:rPr>
                <w:rStyle w:val="Hyperlink"/>
              </w:rPr>
              <w:t>3.3 Administration of District Programs</w:t>
            </w:r>
            <w:r>
              <w:rPr>
                <w:webHidden/>
              </w:rPr>
              <w:tab/>
            </w:r>
            <w:r>
              <w:rPr>
                <w:webHidden/>
              </w:rPr>
              <w:fldChar w:fldCharType="begin"/>
            </w:r>
            <w:r>
              <w:rPr>
                <w:webHidden/>
              </w:rPr>
              <w:instrText xml:space="preserve"> PAGEREF _Toc207703793 \h </w:instrText>
            </w:r>
            <w:r>
              <w:rPr>
                <w:webHidden/>
              </w:rPr>
            </w:r>
            <w:r>
              <w:rPr>
                <w:webHidden/>
              </w:rPr>
              <w:fldChar w:fldCharType="separate"/>
            </w:r>
            <w:r w:rsidR="00CA51E0">
              <w:rPr>
                <w:webHidden/>
              </w:rPr>
              <w:t>18</w:t>
            </w:r>
            <w:r>
              <w:rPr>
                <w:webHidden/>
              </w:rPr>
              <w:fldChar w:fldCharType="end"/>
            </w:r>
          </w:hyperlink>
        </w:p>
        <w:p w14:paraId="4C9301C9" w14:textId="4B2C7AB1" w:rsidR="00AD59A4" w:rsidRDefault="00AD59A4">
          <w:pPr>
            <w:pStyle w:val="TOC3"/>
            <w:rPr>
              <w:rFonts w:asciiTheme="minorHAnsi" w:hAnsiTheme="minorHAnsi" w:cstheme="minorBidi"/>
              <w:color w:val="auto"/>
              <w:kern w:val="2"/>
              <w:szCs w:val="24"/>
              <w:lang w:eastAsia="zh-CN"/>
              <w14:ligatures w14:val="standardContextual"/>
            </w:rPr>
          </w:pPr>
          <w:hyperlink w:anchor="_Toc207703794" w:history="1">
            <w:r w:rsidRPr="00F95D55">
              <w:rPr>
                <w:rStyle w:val="Hyperlink"/>
              </w:rPr>
              <w:t>3.4 Noncompliance and Termination</w:t>
            </w:r>
            <w:r>
              <w:rPr>
                <w:webHidden/>
              </w:rPr>
              <w:tab/>
            </w:r>
            <w:r>
              <w:rPr>
                <w:webHidden/>
              </w:rPr>
              <w:fldChar w:fldCharType="begin"/>
            </w:r>
            <w:r>
              <w:rPr>
                <w:webHidden/>
              </w:rPr>
              <w:instrText xml:space="preserve"> PAGEREF _Toc207703794 \h </w:instrText>
            </w:r>
            <w:r>
              <w:rPr>
                <w:webHidden/>
              </w:rPr>
            </w:r>
            <w:r>
              <w:rPr>
                <w:webHidden/>
              </w:rPr>
              <w:fldChar w:fldCharType="separate"/>
            </w:r>
            <w:r w:rsidR="00CA51E0">
              <w:rPr>
                <w:webHidden/>
              </w:rPr>
              <w:t>19</w:t>
            </w:r>
            <w:r>
              <w:rPr>
                <w:webHidden/>
              </w:rPr>
              <w:fldChar w:fldCharType="end"/>
            </w:r>
          </w:hyperlink>
        </w:p>
        <w:p w14:paraId="3EB84FCA" w14:textId="5C7A2B55" w:rsidR="00AD59A4" w:rsidRDefault="00AD59A4">
          <w:pPr>
            <w:pStyle w:val="TOC2"/>
            <w:rPr>
              <w:rFonts w:asciiTheme="minorHAnsi" w:eastAsiaTheme="minorEastAsia" w:hAnsiTheme="minorHAnsi" w:cstheme="minorBidi"/>
              <w:b w:val="0"/>
              <w:color w:val="auto"/>
              <w:kern w:val="2"/>
              <w:szCs w:val="24"/>
              <w:lang w:eastAsia="zh-CN"/>
              <w14:ligatures w14:val="standardContextual"/>
            </w:rPr>
          </w:pPr>
          <w:hyperlink w:anchor="_Toc207703795" w:history="1">
            <w:r w:rsidRPr="00F95D55">
              <w:rPr>
                <w:rStyle w:val="Hyperlink"/>
              </w:rPr>
              <w:t>4.0 Instructions for Regional and Direct-Funded District Applications</w:t>
            </w:r>
            <w:r>
              <w:rPr>
                <w:webHidden/>
              </w:rPr>
              <w:tab/>
            </w:r>
            <w:r>
              <w:rPr>
                <w:webHidden/>
              </w:rPr>
              <w:fldChar w:fldCharType="begin"/>
            </w:r>
            <w:r>
              <w:rPr>
                <w:webHidden/>
              </w:rPr>
              <w:instrText xml:space="preserve"> PAGEREF _Toc207703795 \h </w:instrText>
            </w:r>
            <w:r>
              <w:rPr>
                <w:webHidden/>
              </w:rPr>
            </w:r>
            <w:r>
              <w:rPr>
                <w:webHidden/>
              </w:rPr>
              <w:fldChar w:fldCharType="separate"/>
            </w:r>
            <w:r w:rsidR="00CA51E0">
              <w:rPr>
                <w:webHidden/>
              </w:rPr>
              <w:t>20</w:t>
            </w:r>
            <w:r>
              <w:rPr>
                <w:webHidden/>
              </w:rPr>
              <w:fldChar w:fldCharType="end"/>
            </w:r>
          </w:hyperlink>
        </w:p>
        <w:p w14:paraId="3FD9D512" w14:textId="499A0F96" w:rsidR="00AD59A4" w:rsidRDefault="00AD59A4">
          <w:pPr>
            <w:pStyle w:val="TOC3"/>
            <w:rPr>
              <w:rFonts w:asciiTheme="minorHAnsi" w:hAnsiTheme="minorHAnsi" w:cstheme="minorBidi"/>
              <w:color w:val="auto"/>
              <w:kern w:val="2"/>
              <w:szCs w:val="24"/>
              <w:lang w:eastAsia="zh-CN"/>
              <w14:ligatures w14:val="standardContextual"/>
            </w:rPr>
          </w:pPr>
          <w:hyperlink w:anchor="_Toc207703796" w:history="1">
            <w:r w:rsidRPr="00F95D55">
              <w:rPr>
                <w:rStyle w:val="Hyperlink"/>
              </w:rPr>
              <w:t>4.1 Operating Agency Application for Migrant Education Services</w:t>
            </w:r>
            <w:r>
              <w:rPr>
                <w:webHidden/>
              </w:rPr>
              <w:tab/>
            </w:r>
            <w:r>
              <w:rPr>
                <w:webHidden/>
              </w:rPr>
              <w:fldChar w:fldCharType="begin"/>
            </w:r>
            <w:r>
              <w:rPr>
                <w:webHidden/>
              </w:rPr>
              <w:instrText xml:space="preserve"> PAGEREF _Toc207703796 \h </w:instrText>
            </w:r>
            <w:r>
              <w:rPr>
                <w:webHidden/>
              </w:rPr>
            </w:r>
            <w:r>
              <w:rPr>
                <w:webHidden/>
              </w:rPr>
              <w:fldChar w:fldCharType="separate"/>
            </w:r>
            <w:r w:rsidR="00CA51E0">
              <w:rPr>
                <w:webHidden/>
              </w:rPr>
              <w:t>20</w:t>
            </w:r>
            <w:r>
              <w:rPr>
                <w:webHidden/>
              </w:rPr>
              <w:fldChar w:fldCharType="end"/>
            </w:r>
          </w:hyperlink>
        </w:p>
        <w:p w14:paraId="22CFE177" w14:textId="5C0D7F5B" w:rsidR="00AD59A4" w:rsidRDefault="00AD59A4">
          <w:pPr>
            <w:pStyle w:val="TOC3"/>
            <w:rPr>
              <w:rFonts w:asciiTheme="minorHAnsi" w:hAnsiTheme="minorHAnsi" w:cstheme="minorBidi"/>
              <w:color w:val="auto"/>
              <w:kern w:val="2"/>
              <w:szCs w:val="24"/>
              <w:lang w:eastAsia="zh-CN"/>
              <w14:ligatures w14:val="standardContextual"/>
            </w:rPr>
          </w:pPr>
          <w:hyperlink w:anchor="_Toc207703797" w:history="1">
            <w:r w:rsidRPr="00F95D55">
              <w:rPr>
                <w:rStyle w:val="Hyperlink"/>
              </w:rPr>
              <w:t>4.2 District Service Agreements</w:t>
            </w:r>
            <w:r>
              <w:rPr>
                <w:webHidden/>
              </w:rPr>
              <w:tab/>
            </w:r>
            <w:r>
              <w:rPr>
                <w:webHidden/>
              </w:rPr>
              <w:fldChar w:fldCharType="begin"/>
            </w:r>
            <w:r>
              <w:rPr>
                <w:webHidden/>
              </w:rPr>
              <w:instrText xml:space="preserve"> PAGEREF _Toc207703797 \h </w:instrText>
            </w:r>
            <w:r>
              <w:rPr>
                <w:webHidden/>
              </w:rPr>
            </w:r>
            <w:r>
              <w:rPr>
                <w:webHidden/>
              </w:rPr>
              <w:fldChar w:fldCharType="separate"/>
            </w:r>
            <w:r w:rsidR="00CA51E0">
              <w:rPr>
                <w:webHidden/>
              </w:rPr>
              <w:t>21</w:t>
            </w:r>
            <w:r>
              <w:rPr>
                <w:webHidden/>
              </w:rPr>
              <w:fldChar w:fldCharType="end"/>
            </w:r>
          </w:hyperlink>
        </w:p>
        <w:p w14:paraId="1C09687A" w14:textId="030C66B1" w:rsidR="00AD59A4" w:rsidRDefault="00AD59A4">
          <w:pPr>
            <w:pStyle w:val="TOC3"/>
            <w:rPr>
              <w:rFonts w:asciiTheme="minorHAnsi" w:hAnsiTheme="minorHAnsi" w:cstheme="minorBidi"/>
              <w:color w:val="auto"/>
              <w:kern w:val="2"/>
              <w:szCs w:val="24"/>
              <w:lang w:eastAsia="zh-CN"/>
              <w14:ligatures w14:val="standardContextual"/>
            </w:rPr>
          </w:pPr>
          <w:hyperlink w:anchor="_Toc207703798" w:history="1">
            <w:r w:rsidRPr="00F95D55">
              <w:rPr>
                <w:rStyle w:val="Hyperlink"/>
              </w:rPr>
              <w:t>4.3 Operating Agency Budget Revisions</w:t>
            </w:r>
            <w:r>
              <w:rPr>
                <w:webHidden/>
              </w:rPr>
              <w:tab/>
            </w:r>
            <w:r>
              <w:rPr>
                <w:webHidden/>
              </w:rPr>
              <w:fldChar w:fldCharType="begin"/>
            </w:r>
            <w:r>
              <w:rPr>
                <w:webHidden/>
              </w:rPr>
              <w:instrText xml:space="preserve"> PAGEREF _Toc207703798 \h </w:instrText>
            </w:r>
            <w:r>
              <w:rPr>
                <w:webHidden/>
              </w:rPr>
            </w:r>
            <w:r>
              <w:rPr>
                <w:webHidden/>
              </w:rPr>
              <w:fldChar w:fldCharType="separate"/>
            </w:r>
            <w:r w:rsidR="00CA51E0">
              <w:rPr>
                <w:webHidden/>
              </w:rPr>
              <w:t>22</w:t>
            </w:r>
            <w:r>
              <w:rPr>
                <w:webHidden/>
              </w:rPr>
              <w:fldChar w:fldCharType="end"/>
            </w:r>
          </w:hyperlink>
        </w:p>
        <w:p w14:paraId="2FF9C66B" w14:textId="0835483E" w:rsidR="00AD59A4" w:rsidRDefault="00AD59A4">
          <w:pPr>
            <w:pStyle w:val="TOC3"/>
            <w:rPr>
              <w:rFonts w:asciiTheme="minorHAnsi" w:hAnsiTheme="minorHAnsi" w:cstheme="minorBidi"/>
              <w:color w:val="auto"/>
              <w:kern w:val="2"/>
              <w:szCs w:val="24"/>
              <w:lang w:eastAsia="zh-CN"/>
              <w14:ligatures w14:val="standardContextual"/>
            </w:rPr>
          </w:pPr>
          <w:hyperlink w:anchor="_Toc207703799" w:history="1">
            <w:r w:rsidRPr="00F95D55">
              <w:rPr>
                <w:rStyle w:val="Hyperlink"/>
                <w:rFonts w:eastAsia="Times"/>
              </w:rPr>
              <w:t>4.4 Revision Policy</w:t>
            </w:r>
            <w:r>
              <w:rPr>
                <w:webHidden/>
              </w:rPr>
              <w:tab/>
            </w:r>
            <w:r>
              <w:rPr>
                <w:webHidden/>
              </w:rPr>
              <w:fldChar w:fldCharType="begin"/>
            </w:r>
            <w:r>
              <w:rPr>
                <w:webHidden/>
              </w:rPr>
              <w:instrText xml:space="preserve"> PAGEREF _Toc207703799 \h </w:instrText>
            </w:r>
            <w:r>
              <w:rPr>
                <w:webHidden/>
              </w:rPr>
            </w:r>
            <w:r>
              <w:rPr>
                <w:webHidden/>
              </w:rPr>
              <w:fldChar w:fldCharType="separate"/>
            </w:r>
            <w:r w:rsidR="00CA51E0">
              <w:rPr>
                <w:webHidden/>
              </w:rPr>
              <w:t>22</w:t>
            </w:r>
            <w:r>
              <w:rPr>
                <w:webHidden/>
              </w:rPr>
              <w:fldChar w:fldCharType="end"/>
            </w:r>
          </w:hyperlink>
        </w:p>
        <w:p w14:paraId="1C3DD642" w14:textId="5BCE75E0" w:rsidR="00AD59A4" w:rsidRDefault="00AD59A4">
          <w:pPr>
            <w:pStyle w:val="TOC2"/>
            <w:rPr>
              <w:rFonts w:asciiTheme="minorHAnsi" w:eastAsiaTheme="minorEastAsia" w:hAnsiTheme="minorHAnsi" w:cstheme="minorBidi"/>
              <w:b w:val="0"/>
              <w:color w:val="auto"/>
              <w:kern w:val="2"/>
              <w:szCs w:val="24"/>
              <w:lang w:eastAsia="zh-CN"/>
              <w14:ligatures w14:val="standardContextual"/>
            </w:rPr>
          </w:pPr>
          <w:hyperlink w:anchor="_Toc207703800" w:history="1">
            <w:r w:rsidRPr="00F95D55">
              <w:rPr>
                <w:rStyle w:val="Hyperlink"/>
              </w:rPr>
              <w:t>5.0 Cash Management, Payments, Fiscal Reports, and Audits</w:t>
            </w:r>
            <w:r>
              <w:rPr>
                <w:webHidden/>
              </w:rPr>
              <w:tab/>
            </w:r>
            <w:r>
              <w:rPr>
                <w:webHidden/>
              </w:rPr>
              <w:fldChar w:fldCharType="begin"/>
            </w:r>
            <w:r>
              <w:rPr>
                <w:webHidden/>
              </w:rPr>
              <w:instrText xml:space="preserve"> PAGEREF _Toc207703800 \h </w:instrText>
            </w:r>
            <w:r>
              <w:rPr>
                <w:webHidden/>
              </w:rPr>
            </w:r>
            <w:r>
              <w:rPr>
                <w:webHidden/>
              </w:rPr>
              <w:fldChar w:fldCharType="separate"/>
            </w:r>
            <w:r w:rsidR="00CA51E0">
              <w:rPr>
                <w:webHidden/>
              </w:rPr>
              <w:t>24</w:t>
            </w:r>
            <w:r>
              <w:rPr>
                <w:webHidden/>
              </w:rPr>
              <w:fldChar w:fldCharType="end"/>
            </w:r>
          </w:hyperlink>
        </w:p>
        <w:p w14:paraId="0B515E39" w14:textId="01317C7A" w:rsidR="00AD59A4" w:rsidRDefault="00AD59A4">
          <w:pPr>
            <w:pStyle w:val="TOC3"/>
            <w:rPr>
              <w:rFonts w:asciiTheme="minorHAnsi" w:hAnsiTheme="minorHAnsi" w:cstheme="minorBidi"/>
              <w:color w:val="auto"/>
              <w:kern w:val="2"/>
              <w:szCs w:val="24"/>
              <w:lang w:eastAsia="zh-CN"/>
              <w14:ligatures w14:val="standardContextual"/>
            </w:rPr>
          </w:pPr>
          <w:hyperlink w:anchor="_Toc207703801" w:history="1">
            <w:r w:rsidRPr="00F95D55">
              <w:rPr>
                <w:rStyle w:val="Hyperlink"/>
              </w:rPr>
              <w:t>5.1 Cash Management</w:t>
            </w:r>
            <w:r>
              <w:rPr>
                <w:webHidden/>
              </w:rPr>
              <w:tab/>
            </w:r>
            <w:r>
              <w:rPr>
                <w:webHidden/>
              </w:rPr>
              <w:fldChar w:fldCharType="begin"/>
            </w:r>
            <w:r>
              <w:rPr>
                <w:webHidden/>
              </w:rPr>
              <w:instrText xml:space="preserve"> PAGEREF _Toc207703801 \h </w:instrText>
            </w:r>
            <w:r>
              <w:rPr>
                <w:webHidden/>
              </w:rPr>
            </w:r>
            <w:r>
              <w:rPr>
                <w:webHidden/>
              </w:rPr>
              <w:fldChar w:fldCharType="separate"/>
            </w:r>
            <w:r w:rsidR="00CA51E0">
              <w:rPr>
                <w:webHidden/>
              </w:rPr>
              <w:t>24</w:t>
            </w:r>
            <w:r>
              <w:rPr>
                <w:webHidden/>
              </w:rPr>
              <w:fldChar w:fldCharType="end"/>
            </w:r>
          </w:hyperlink>
        </w:p>
        <w:p w14:paraId="4B9865AE" w14:textId="45D63A85" w:rsidR="00AD59A4" w:rsidRDefault="00AD59A4">
          <w:pPr>
            <w:pStyle w:val="TOC3"/>
            <w:rPr>
              <w:rFonts w:asciiTheme="minorHAnsi" w:hAnsiTheme="minorHAnsi" w:cstheme="minorBidi"/>
              <w:color w:val="auto"/>
              <w:kern w:val="2"/>
              <w:szCs w:val="24"/>
              <w:lang w:eastAsia="zh-CN"/>
              <w14:ligatures w14:val="standardContextual"/>
            </w:rPr>
          </w:pPr>
          <w:hyperlink w:anchor="_Toc207703802" w:history="1">
            <w:r w:rsidRPr="00F95D55">
              <w:rPr>
                <w:rStyle w:val="Hyperlink"/>
              </w:rPr>
              <w:t>5.2 Advance Payments</w:t>
            </w:r>
            <w:r>
              <w:rPr>
                <w:webHidden/>
              </w:rPr>
              <w:tab/>
            </w:r>
            <w:r>
              <w:rPr>
                <w:webHidden/>
              </w:rPr>
              <w:fldChar w:fldCharType="begin"/>
            </w:r>
            <w:r>
              <w:rPr>
                <w:webHidden/>
              </w:rPr>
              <w:instrText xml:space="preserve"> PAGEREF _Toc207703802 \h </w:instrText>
            </w:r>
            <w:r>
              <w:rPr>
                <w:webHidden/>
              </w:rPr>
            </w:r>
            <w:r>
              <w:rPr>
                <w:webHidden/>
              </w:rPr>
              <w:fldChar w:fldCharType="separate"/>
            </w:r>
            <w:r w:rsidR="00CA51E0">
              <w:rPr>
                <w:webHidden/>
              </w:rPr>
              <w:t>24</w:t>
            </w:r>
            <w:r>
              <w:rPr>
                <w:webHidden/>
              </w:rPr>
              <w:fldChar w:fldCharType="end"/>
            </w:r>
          </w:hyperlink>
        </w:p>
        <w:p w14:paraId="3081AE29" w14:textId="44EC3584" w:rsidR="00AD59A4" w:rsidRDefault="00AD59A4">
          <w:pPr>
            <w:pStyle w:val="TOC3"/>
            <w:rPr>
              <w:rFonts w:asciiTheme="minorHAnsi" w:hAnsiTheme="minorHAnsi" w:cstheme="minorBidi"/>
              <w:color w:val="auto"/>
              <w:kern w:val="2"/>
              <w:szCs w:val="24"/>
              <w:lang w:eastAsia="zh-CN"/>
              <w14:ligatures w14:val="standardContextual"/>
            </w:rPr>
          </w:pPr>
          <w:hyperlink w:anchor="_Toc207703803" w:history="1">
            <w:r w:rsidRPr="00F95D55">
              <w:rPr>
                <w:rStyle w:val="Hyperlink"/>
              </w:rPr>
              <w:t>5.3 Reimbursements to Districts</w:t>
            </w:r>
            <w:r>
              <w:rPr>
                <w:webHidden/>
              </w:rPr>
              <w:tab/>
            </w:r>
            <w:r>
              <w:rPr>
                <w:webHidden/>
              </w:rPr>
              <w:fldChar w:fldCharType="begin"/>
            </w:r>
            <w:r>
              <w:rPr>
                <w:webHidden/>
              </w:rPr>
              <w:instrText xml:space="preserve"> PAGEREF _Toc207703803 \h </w:instrText>
            </w:r>
            <w:r>
              <w:rPr>
                <w:webHidden/>
              </w:rPr>
            </w:r>
            <w:r>
              <w:rPr>
                <w:webHidden/>
              </w:rPr>
              <w:fldChar w:fldCharType="separate"/>
            </w:r>
            <w:r w:rsidR="00CA51E0">
              <w:rPr>
                <w:webHidden/>
              </w:rPr>
              <w:t>25</w:t>
            </w:r>
            <w:r>
              <w:rPr>
                <w:webHidden/>
              </w:rPr>
              <w:fldChar w:fldCharType="end"/>
            </w:r>
          </w:hyperlink>
        </w:p>
        <w:p w14:paraId="7A032E96" w14:textId="1AE0C8D9" w:rsidR="00AD59A4" w:rsidRDefault="00AD59A4">
          <w:pPr>
            <w:pStyle w:val="TOC3"/>
            <w:rPr>
              <w:rFonts w:asciiTheme="minorHAnsi" w:hAnsiTheme="minorHAnsi" w:cstheme="minorBidi"/>
              <w:color w:val="auto"/>
              <w:kern w:val="2"/>
              <w:szCs w:val="24"/>
              <w:lang w:eastAsia="zh-CN"/>
              <w14:ligatures w14:val="standardContextual"/>
            </w:rPr>
          </w:pPr>
          <w:hyperlink w:anchor="_Toc207703804" w:history="1">
            <w:r w:rsidRPr="00F95D55">
              <w:rPr>
                <w:rStyle w:val="Hyperlink"/>
              </w:rPr>
              <w:t>5.4 Quarterly Expenditure Reports</w:t>
            </w:r>
            <w:r>
              <w:rPr>
                <w:webHidden/>
              </w:rPr>
              <w:tab/>
            </w:r>
            <w:r>
              <w:rPr>
                <w:webHidden/>
              </w:rPr>
              <w:fldChar w:fldCharType="begin"/>
            </w:r>
            <w:r>
              <w:rPr>
                <w:webHidden/>
              </w:rPr>
              <w:instrText xml:space="preserve"> PAGEREF _Toc207703804 \h </w:instrText>
            </w:r>
            <w:r>
              <w:rPr>
                <w:webHidden/>
              </w:rPr>
            </w:r>
            <w:r>
              <w:rPr>
                <w:webHidden/>
              </w:rPr>
              <w:fldChar w:fldCharType="separate"/>
            </w:r>
            <w:r w:rsidR="00CA51E0">
              <w:rPr>
                <w:webHidden/>
              </w:rPr>
              <w:t>26</w:t>
            </w:r>
            <w:r>
              <w:rPr>
                <w:webHidden/>
              </w:rPr>
              <w:fldChar w:fldCharType="end"/>
            </w:r>
          </w:hyperlink>
        </w:p>
        <w:p w14:paraId="671F2C92" w14:textId="07FAB1A5" w:rsidR="00AD59A4" w:rsidRDefault="00AD59A4">
          <w:pPr>
            <w:pStyle w:val="TOC3"/>
            <w:rPr>
              <w:rFonts w:asciiTheme="minorHAnsi" w:hAnsiTheme="minorHAnsi" w:cstheme="minorBidi"/>
              <w:color w:val="auto"/>
              <w:kern w:val="2"/>
              <w:szCs w:val="24"/>
              <w:lang w:eastAsia="zh-CN"/>
              <w14:ligatures w14:val="standardContextual"/>
            </w:rPr>
          </w:pPr>
          <w:hyperlink w:anchor="_Toc207703805" w:history="1">
            <w:r w:rsidRPr="00F95D55">
              <w:rPr>
                <w:rStyle w:val="Hyperlink"/>
              </w:rPr>
              <w:t>5.5 Audit Requirements and Record Retention</w:t>
            </w:r>
            <w:r>
              <w:rPr>
                <w:webHidden/>
              </w:rPr>
              <w:tab/>
            </w:r>
            <w:r>
              <w:rPr>
                <w:webHidden/>
              </w:rPr>
              <w:fldChar w:fldCharType="begin"/>
            </w:r>
            <w:r>
              <w:rPr>
                <w:webHidden/>
              </w:rPr>
              <w:instrText xml:space="preserve"> PAGEREF _Toc207703805 \h </w:instrText>
            </w:r>
            <w:r>
              <w:rPr>
                <w:webHidden/>
              </w:rPr>
            </w:r>
            <w:r>
              <w:rPr>
                <w:webHidden/>
              </w:rPr>
              <w:fldChar w:fldCharType="separate"/>
            </w:r>
            <w:r w:rsidR="00CA51E0">
              <w:rPr>
                <w:webHidden/>
              </w:rPr>
              <w:t>27</w:t>
            </w:r>
            <w:r>
              <w:rPr>
                <w:webHidden/>
              </w:rPr>
              <w:fldChar w:fldCharType="end"/>
            </w:r>
          </w:hyperlink>
        </w:p>
        <w:p w14:paraId="31FDD573" w14:textId="59D0679E" w:rsidR="00AD59A4" w:rsidRDefault="00AD59A4">
          <w:pPr>
            <w:pStyle w:val="TOC2"/>
            <w:rPr>
              <w:rFonts w:asciiTheme="minorHAnsi" w:eastAsiaTheme="minorEastAsia" w:hAnsiTheme="minorHAnsi" w:cstheme="minorBidi"/>
              <w:b w:val="0"/>
              <w:color w:val="auto"/>
              <w:kern w:val="2"/>
              <w:szCs w:val="24"/>
              <w:lang w:eastAsia="zh-CN"/>
              <w14:ligatures w14:val="standardContextual"/>
            </w:rPr>
          </w:pPr>
          <w:hyperlink w:anchor="_Toc207703806" w:history="1">
            <w:r w:rsidRPr="00F95D55">
              <w:rPr>
                <w:rStyle w:val="Hyperlink"/>
              </w:rPr>
              <w:t>6.0 Capital Outlay and Property</w:t>
            </w:r>
            <w:r>
              <w:rPr>
                <w:webHidden/>
              </w:rPr>
              <w:tab/>
            </w:r>
            <w:r>
              <w:rPr>
                <w:webHidden/>
              </w:rPr>
              <w:fldChar w:fldCharType="begin"/>
            </w:r>
            <w:r>
              <w:rPr>
                <w:webHidden/>
              </w:rPr>
              <w:instrText xml:space="preserve"> PAGEREF _Toc207703806 \h </w:instrText>
            </w:r>
            <w:r>
              <w:rPr>
                <w:webHidden/>
              </w:rPr>
            </w:r>
            <w:r>
              <w:rPr>
                <w:webHidden/>
              </w:rPr>
              <w:fldChar w:fldCharType="separate"/>
            </w:r>
            <w:r w:rsidR="00CA51E0">
              <w:rPr>
                <w:webHidden/>
              </w:rPr>
              <w:t>28</w:t>
            </w:r>
            <w:r>
              <w:rPr>
                <w:webHidden/>
              </w:rPr>
              <w:fldChar w:fldCharType="end"/>
            </w:r>
          </w:hyperlink>
        </w:p>
        <w:p w14:paraId="71F272A4" w14:textId="455BBE68" w:rsidR="00AD59A4" w:rsidRDefault="00AD59A4">
          <w:pPr>
            <w:pStyle w:val="TOC3"/>
            <w:rPr>
              <w:rFonts w:asciiTheme="minorHAnsi" w:hAnsiTheme="minorHAnsi" w:cstheme="minorBidi"/>
              <w:color w:val="auto"/>
              <w:kern w:val="2"/>
              <w:szCs w:val="24"/>
              <w:lang w:eastAsia="zh-CN"/>
              <w14:ligatures w14:val="standardContextual"/>
            </w:rPr>
          </w:pPr>
          <w:hyperlink w:anchor="_Toc207703807" w:history="1">
            <w:r w:rsidRPr="00F95D55">
              <w:rPr>
                <w:rStyle w:val="Hyperlink"/>
              </w:rPr>
              <w:t>6.1 Capital Outlay &amp; Equipment</w:t>
            </w:r>
            <w:r>
              <w:rPr>
                <w:webHidden/>
              </w:rPr>
              <w:tab/>
            </w:r>
            <w:r>
              <w:rPr>
                <w:webHidden/>
              </w:rPr>
              <w:fldChar w:fldCharType="begin"/>
            </w:r>
            <w:r>
              <w:rPr>
                <w:webHidden/>
              </w:rPr>
              <w:instrText xml:space="preserve"> PAGEREF _Toc207703807 \h </w:instrText>
            </w:r>
            <w:r>
              <w:rPr>
                <w:webHidden/>
              </w:rPr>
            </w:r>
            <w:r>
              <w:rPr>
                <w:webHidden/>
              </w:rPr>
              <w:fldChar w:fldCharType="separate"/>
            </w:r>
            <w:r w:rsidR="00CA51E0">
              <w:rPr>
                <w:webHidden/>
              </w:rPr>
              <w:t>28</w:t>
            </w:r>
            <w:r>
              <w:rPr>
                <w:webHidden/>
              </w:rPr>
              <w:fldChar w:fldCharType="end"/>
            </w:r>
          </w:hyperlink>
        </w:p>
        <w:p w14:paraId="7D2503EC" w14:textId="72DDC25B" w:rsidR="00AD59A4" w:rsidRDefault="00AD59A4">
          <w:pPr>
            <w:pStyle w:val="TOC3"/>
            <w:rPr>
              <w:rFonts w:asciiTheme="minorHAnsi" w:hAnsiTheme="minorHAnsi" w:cstheme="minorBidi"/>
              <w:color w:val="auto"/>
              <w:kern w:val="2"/>
              <w:szCs w:val="24"/>
              <w:lang w:eastAsia="zh-CN"/>
              <w14:ligatures w14:val="standardContextual"/>
            </w:rPr>
          </w:pPr>
          <w:hyperlink w:anchor="_Toc207703808" w:history="1">
            <w:r w:rsidRPr="00F95D55">
              <w:rPr>
                <w:rStyle w:val="Hyperlink"/>
              </w:rPr>
              <w:t>6.2 Property</w:t>
            </w:r>
            <w:r>
              <w:rPr>
                <w:webHidden/>
              </w:rPr>
              <w:tab/>
            </w:r>
            <w:r>
              <w:rPr>
                <w:webHidden/>
              </w:rPr>
              <w:fldChar w:fldCharType="begin"/>
            </w:r>
            <w:r>
              <w:rPr>
                <w:webHidden/>
              </w:rPr>
              <w:instrText xml:space="preserve"> PAGEREF _Toc207703808 \h </w:instrText>
            </w:r>
            <w:r>
              <w:rPr>
                <w:webHidden/>
              </w:rPr>
            </w:r>
            <w:r>
              <w:rPr>
                <w:webHidden/>
              </w:rPr>
              <w:fldChar w:fldCharType="separate"/>
            </w:r>
            <w:r w:rsidR="00CA51E0">
              <w:rPr>
                <w:webHidden/>
              </w:rPr>
              <w:t>30</w:t>
            </w:r>
            <w:r>
              <w:rPr>
                <w:webHidden/>
              </w:rPr>
              <w:fldChar w:fldCharType="end"/>
            </w:r>
          </w:hyperlink>
        </w:p>
        <w:p w14:paraId="101468CD" w14:textId="093EEF66" w:rsidR="00AD59A4" w:rsidRDefault="00AD59A4">
          <w:pPr>
            <w:pStyle w:val="TOC2"/>
            <w:rPr>
              <w:rFonts w:asciiTheme="minorHAnsi" w:eastAsiaTheme="minorEastAsia" w:hAnsiTheme="minorHAnsi" w:cstheme="minorBidi"/>
              <w:b w:val="0"/>
              <w:color w:val="auto"/>
              <w:kern w:val="2"/>
              <w:szCs w:val="24"/>
              <w:lang w:eastAsia="zh-CN"/>
              <w14:ligatures w14:val="standardContextual"/>
            </w:rPr>
          </w:pPr>
          <w:hyperlink w:anchor="_Toc207703809" w:history="1">
            <w:r w:rsidRPr="00F95D55">
              <w:rPr>
                <w:rStyle w:val="Hyperlink"/>
              </w:rPr>
              <w:t>7.0 Allowable and Unallowable Expenses</w:t>
            </w:r>
            <w:r>
              <w:rPr>
                <w:webHidden/>
              </w:rPr>
              <w:tab/>
            </w:r>
            <w:r>
              <w:rPr>
                <w:webHidden/>
              </w:rPr>
              <w:fldChar w:fldCharType="begin"/>
            </w:r>
            <w:r>
              <w:rPr>
                <w:webHidden/>
              </w:rPr>
              <w:instrText xml:space="preserve"> PAGEREF _Toc207703809 \h </w:instrText>
            </w:r>
            <w:r>
              <w:rPr>
                <w:webHidden/>
              </w:rPr>
            </w:r>
            <w:r>
              <w:rPr>
                <w:webHidden/>
              </w:rPr>
              <w:fldChar w:fldCharType="separate"/>
            </w:r>
            <w:r w:rsidR="00CA51E0">
              <w:rPr>
                <w:webHidden/>
              </w:rPr>
              <w:t>32</w:t>
            </w:r>
            <w:r>
              <w:rPr>
                <w:webHidden/>
              </w:rPr>
              <w:fldChar w:fldCharType="end"/>
            </w:r>
          </w:hyperlink>
        </w:p>
        <w:p w14:paraId="7A0541E2" w14:textId="5B69F769" w:rsidR="00AD59A4" w:rsidRDefault="00AD59A4">
          <w:pPr>
            <w:pStyle w:val="TOC3"/>
            <w:rPr>
              <w:rFonts w:asciiTheme="minorHAnsi" w:hAnsiTheme="minorHAnsi" w:cstheme="minorBidi"/>
              <w:color w:val="auto"/>
              <w:kern w:val="2"/>
              <w:szCs w:val="24"/>
              <w:lang w:eastAsia="zh-CN"/>
              <w14:ligatures w14:val="standardContextual"/>
            </w:rPr>
          </w:pPr>
          <w:hyperlink w:anchor="_Toc207703810" w:history="1">
            <w:r w:rsidRPr="00F95D55">
              <w:rPr>
                <w:rStyle w:val="Hyperlink"/>
              </w:rPr>
              <w:t>7.1 Allowable Expenses</w:t>
            </w:r>
            <w:r>
              <w:rPr>
                <w:webHidden/>
              </w:rPr>
              <w:tab/>
            </w:r>
            <w:r>
              <w:rPr>
                <w:webHidden/>
              </w:rPr>
              <w:fldChar w:fldCharType="begin"/>
            </w:r>
            <w:r>
              <w:rPr>
                <w:webHidden/>
              </w:rPr>
              <w:instrText xml:space="preserve"> PAGEREF _Toc207703810 \h </w:instrText>
            </w:r>
            <w:r>
              <w:rPr>
                <w:webHidden/>
              </w:rPr>
            </w:r>
            <w:r>
              <w:rPr>
                <w:webHidden/>
              </w:rPr>
              <w:fldChar w:fldCharType="separate"/>
            </w:r>
            <w:r w:rsidR="00CA51E0">
              <w:rPr>
                <w:webHidden/>
              </w:rPr>
              <w:t>33</w:t>
            </w:r>
            <w:r>
              <w:rPr>
                <w:webHidden/>
              </w:rPr>
              <w:fldChar w:fldCharType="end"/>
            </w:r>
          </w:hyperlink>
        </w:p>
        <w:p w14:paraId="36BD6AE5" w14:textId="7602BA54" w:rsidR="00AD59A4" w:rsidRDefault="00AD59A4">
          <w:pPr>
            <w:pStyle w:val="TOC3"/>
            <w:rPr>
              <w:rFonts w:asciiTheme="minorHAnsi" w:hAnsiTheme="minorHAnsi" w:cstheme="minorBidi"/>
              <w:color w:val="auto"/>
              <w:kern w:val="2"/>
              <w:szCs w:val="24"/>
              <w:lang w:eastAsia="zh-CN"/>
              <w14:ligatures w14:val="standardContextual"/>
            </w:rPr>
          </w:pPr>
          <w:hyperlink w:anchor="_Toc207703811" w:history="1">
            <w:r w:rsidRPr="00F95D55">
              <w:rPr>
                <w:rStyle w:val="Hyperlink"/>
              </w:rPr>
              <w:t>7.2 Unallowable Expenses</w:t>
            </w:r>
            <w:r>
              <w:rPr>
                <w:webHidden/>
              </w:rPr>
              <w:tab/>
            </w:r>
            <w:r>
              <w:rPr>
                <w:webHidden/>
              </w:rPr>
              <w:fldChar w:fldCharType="begin"/>
            </w:r>
            <w:r>
              <w:rPr>
                <w:webHidden/>
              </w:rPr>
              <w:instrText xml:space="preserve"> PAGEREF _Toc207703811 \h </w:instrText>
            </w:r>
            <w:r>
              <w:rPr>
                <w:webHidden/>
              </w:rPr>
            </w:r>
            <w:r>
              <w:rPr>
                <w:webHidden/>
              </w:rPr>
              <w:fldChar w:fldCharType="separate"/>
            </w:r>
            <w:r w:rsidR="00CA51E0">
              <w:rPr>
                <w:webHidden/>
              </w:rPr>
              <w:t>34</w:t>
            </w:r>
            <w:r>
              <w:rPr>
                <w:webHidden/>
              </w:rPr>
              <w:fldChar w:fldCharType="end"/>
            </w:r>
          </w:hyperlink>
        </w:p>
        <w:p w14:paraId="1BBAAD55" w14:textId="504F7D91" w:rsidR="00AD59A4" w:rsidRDefault="00AD59A4">
          <w:pPr>
            <w:pStyle w:val="TOC3"/>
            <w:rPr>
              <w:rFonts w:asciiTheme="minorHAnsi" w:hAnsiTheme="minorHAnsi" w:cstheme="minorBidi"/>
              <w:color w:val="auto"/>
              <w:kern w:val="2"/>
              <w:szCs w:val="24"/>
              <w:lang w:eastAsia="zh-CN"/>
              <w14:ligatures w14:val="standardContextual"/>
            </w:rPr>
          </w:pPr>
          <w:hyperlink w:anchor="_Toc207703812" w:history="1">
            <w:r w:rsidRPr="00F95D55">
              <w:rPr>
                <w:rStyle w:val="Hyperlink"/>
                <w:lang w:bidi="en-US"/>
              </w:rPr>
              <w:t>7.3 General Guidelines</w:t>
            </w:r>
            <w:r>
              <w:rPr>
                <w:webHidden/>
              </w:rPr>
              <w:tab/>
            </w:r>
            <w:r>
              <w:rPr>
                <w:webHidden/>
              </w:rPr>
              <w:fldChar w:fldCharType="begin"/>
            </w:r>
            <w:r>
              <w:rPr>
                <w:webHidden/>
              </w:rPr>
              <w:instrText xml:space="preserve"> PAGEREF _Toc207703812 \h </w:instrText>
            </w:r>
            <w:r>
              <w:rPr>
                <w:webHidden/>
              </w:rPr>
            </w:r>
            <w:r>
              <w:rPr>
                <w:webHidden/>
              </w:rPr>
              <w:fldChar w:fldCharType="separate"/>
            </w:r>
            <w:r w:rsidR="00CA51E0">
              <w:rPr>
                <w:webHidden/>
              </w:rPr>
              <w:t>34</w:t>
            </w:r>
            <w:r>
              <w:rPr>
                <w:webHidden/>
              </w:rPr>
              <w:fldChar w:fldCharType="end"/>
            </w:r>
          </w:hyperlink>
        </w:p>
        <w:p w14:paraId="63985D0F" w14:textId="5D57C17B" w:rsidR="00AD59A4" w:rsidRDefault="00AD59A4">
          <w:pPr>
            <w:pStyle w:val="TOC3"/>
            <w:rPr>
              <w:rFonts w:asciiTheme="minorHAnsi" w:hAnsiTheme="minorHAnsi" w:cstheme="minorBidi"/>
              <w:color w:val="auto"/>
              <w:kern w:val="2"/>
              <w:szCs w:val="24"/>
              <w:lang w:eastAsia="zh-CN"/>
              <w14:ligatures w14:val="standardContextual"/>
            </w:rPr>
          </w:pPr>
          <w:hyperlink w:anchor="_Toc207703813" w:history="1">
            <w:r w:rsidRPr="00F95D55">
              <w:rPr>
                <w:rStyle w:val="Hyperlink"/>
              </w:rPr>
              <w:t>8.0 Object Classification Codes</w:t>
            </w:r>
            <w:r>
              <w:rPr>
                <w:webHidden/>
              </w:rPr>
              <w:tab/>
            </w:r>
            <w:r>
              <w:rPr>
                <w:webHidden/>
              </w:rPr>
              <w:fldChar w:fldCharType="begin"/>
            </w:r>
            <w:r>
              <w:rPr>
                <w:webHidden/>
              </w:rPr>
              <w:instrText xml:space="preserve"> PAGEREF _Toc207703813 \h </w:instrText>
            </w:r>
            <w:r>
              <w:rPr>
                <w:webHidden/>
              </w:rPr>
            </w:r>
            <w:r>
              <w:rPr>
                <w:webHidden/>
              </w:rPr>
              <w:fldChar w:fldCharType="separate"/>
            </w:r>
            <w:r w:rsidR="00CA51E0">
              <w:rPr>
                <w:webHidden/>
              </w:rPr>
              <w:t>41</w:t>
            </w:r>
            <w:r>
              <w:rPr>
                <w:webHidden/>
              </w:rPr>
              <w:fldChar w:fldCharType="end"/>
            </w:r>
          </w:hyperlink>
        </w:p>
        <w:p w14:paraId="6736F7B7" w14:textId="0F169718" w:rsidR="00AD59A4" w:rsidRDefault="00AD59A4">
          <w:pPr>
            <w:pStyle w:val="TOC2"/>
            <w:rPr>
              <w:rFonts w:asciiTheme="minorHAnsi" w:eastAsiaTheme="minorEastAsia" w:hAnsiTheme="minorHAnsi" w:cstheme="minorBidi"/>
              <w:b w:val="0"/>
              <w:color w:val="auto"/>
              <w:kern w:val="2"/>
              <w:szCs w:val="24"/>
              <w:lang w:eastAsia="zh-CN"/>
              <w14:ligatures w14:val="standardContextual"/>
            </w:rPr>
          </w:pPr>
          <w:hyperlink w:anchor="_Toc207703814" w:history="1">
            <w:r w:rsidRPr="00F95D55">
              <w:rPr>
                <w:rStyle w:val="Hyperlink"/>
              </w:rPr>
              <w:t>9.0 Glossary</w:t>
            </w:r>
            <w:r>
              <w:rPr>
                <w:webHidden/>
              </w:rPr>
              <w:tab/>
            </w:r>
            <w:r>
              <w:rPr>
                <w:webHidden/>
              </w:rPr>
              <w:fldChar w:fldCharType="begin"/>
            </w:r>
            <w:r>
              <w:rPr>
                <w:webHidden/>
              </w:rPr>
              <w:instrText xml:space="preserve"> PAGEREF _Toc207703814 \h </w:instrText>
            </w:r>
            <w:r>
              <w:rPr>
                <w:webHidden/>
              </w:rPr>
            </w:r>
            <w:r>
              <w:rPr>
                <w:webHidden/>
              </w:rPr>
              <w:fldChar w:fldCharType="separate"/>
            </w:r>
            <w:r w:rsidR="00CA51E0">
              <w:rPr>
                <w:webHidden/>
              </w:rPr>
              <w:t>41</w:t>
            </w:r>
            <w:r>
              <w:rPr>
                <w:webHidden/>
              </w:rPr>
              <w:fldChar w:fldCharType="end"/>
            </w:r>
          </w:hyperlink>
        </w:p>
        <w:p w14:paraId="42CA1D91" w14:textId="2837820C" w:rsidR="00AD59A4" w:rsidRDefault="00AD59A4">
          <w:pPr>
            <w:pStyle w:val="TOC3"/>
            <w:rPr>
              <w:rFonts w:asciiTheme="minorHAnsi" w:hAnsiTheme="minorHAnsi" w:cstheme="minorBidi"/>
              <w:color w:val="auto"/>
              <w:kern w:val="2"/>
              <w:szCs w:val="24"/>
              <w:lang w:eastAsia="zh-CN"/>
              <w14:ligatures w14:val="standardContextual"/>
            </w:rPr>
          </w:pPr>
          <w:hyperlink w:anchor="_Toc207703815" w:history="1">
            <w:r w:rsidRPr="00F95D55">
              <w:rPr>
                <w:rStyle w:val="Hyperlink"/>
              </w:rPr>
              <w:t>9.1 Commonly Used Acronyms</w:t>
            </w:r>
            <w:r>
              <w:rPr>
                <w:webHidden/>
              </w:rPr>
              <w:tab/>
            </w:r>
            <w:r>
              <w:rPr>
                <w:webHidden/>
              </w:rPr>
              <w:fldChar w:fldCharType="begin"/>
            </w:r>
            <w:r>
              <w:rPr>
                <w:webHidden/>
              </w:rPr>
              <w:instrText xml:space="preserve"> PAGEREF _Toc207703815 \h </w:instrText>
            </w:r>
            <w:r>
              <w:rPr>
                <w:webHidden/>
              </w:rPr>
            </w:r>
            <w:r>
              <w:rPr>
                <w:webHidden/>
              </w:rPr>
              <w:fldChar w:fldCharType="separate"/>
            </w:r>
            <w:r w:rsidR="00CA51E0">
              <w:rPr>
                <w:webHidden/>
              </w:rPr>
              <w:t>41</w:t>
            </w:r>
            <w:r>
              <w:rPr>
                <w:webHidden/>
              </w:rPr>
              <w:fldChar w:fldCharType="end"/>
            </w:r>
          </w:hyperlink>
        </w:p>
        <w:p w14:paraId="5EDD27B4" w14:textId="04F1E34F" w:rsidR="00AD59A4" w:rsidRDefault="00AD59A4">
          <w:pPr>
            <w:pStyle w:val="TOC3"/>
            <w:rPr>
              <w:rFonts w:asciiTheme="minorHAnsi" w:hAnsiTheme="minorHAnsi" w:cstheme="minorBidi"/>
              <w:color w:val="auto"/>
              <w:kern w:val="2"/>
              <w:szCs w:val="24"/>
              <w:lang w:eastAsia="zh-CN"/>
              <w14:ligatures w14:val="standardContextual"/>
            </w:rPr>
          </w:pPr>
          <w:hyperlink w:anchor="_Toc207703816" w:history="1">
            <w:r w:rsidRPr="00F95D55">
              <w:rPr>
                <w:rStyle w:val="Hyperlink"/>
              </w:rPr>
              <w:t>9.2 Commonly Used Terms</w:t>
            </w:r>
            <w:r>
              <w:rPr>
                <w:webHidden/>
              </w:rPr>
              <w:tab/>
            </w:r>
            <w:r>
              <w:rPr>
                <w:webHidden/>
              </w:rPr>
              <w:fldChar w:fldCharType="begin"/>
            </w:r>
            <w:r>
              <w:rPr>
                <w:webHidden/>
              </w:rPr>
              <w:instrText xml:space="preserve"> PAGEREF _Toc207703816 \h </w:instrText>
            </w:r>
            <w:r>
              <w:rPr>
                <w:webHidden/>
              </w:rPr>
            </w:r>
            <w:r>
              <w:rPr>
                <w:webHidden/>
              </w:rPr>
              <w:fldChar w:fldCharType="separate"/>
            </w:r>
            <w:r w:rsidR="00CA51E0">
              <w:rPr>
                <w:webHidden/>
              </w:rPr>
              <w:t>42</w:t>
            </w:r>
            <w:r>
              <w:rPr>
                <w:webHidden/>
              </w:rPr>
              <w:fldChar w:fldCharType="end"/>
            </w:r>
          </w:hyperlink>
        </w:p>
        <w:p w14:paraId="65491109" w14:textId="3683147F" w:rsidR="00AD59A4" w:rsidRDefault="00AD59A4">
          <w:pPr>
            <w:pStyle w:val="TOC2"/>
            <w:rPr>
              <w:rFonts w:asciiTheme="minorHAnsi" w:eastAsiaTheme="minorEastAsia" w:hAnsiTheme="minorHAnsi" w:cstheme="minorBidi"/>
              <w:b w:val="0"/>
              <w:color w:val="auto"/>
              <w:kern w:val="2"/>
              <w:szCs w:val="24"/>
              <w:lang w:eastAsia="zh-CN"/>
              <w14:ligatures w14:val="standardContextual"/>
            </w:rPr>
          </w:pPr>
          <w:hyperlink w:anchor="_Toc207703817" w:history="1">
            <w:r w:rsidRPr="00F95D55">
              <w:rPr>
                <w:rStyle w:val="Hyperlink"/>
              </w:rPr>
              <w:t>Contact Information</w:t>
            </w:r>
            <w:r>
              <w:rPr>
                <w:webHidden/>
              </w:rPr>
              <w:tab/>
            </w:r>
            <w:r>
              <w:rPr>
                <w:webHidden/>
              </w:rPr>
              <w:fldChar w:fldCharType="begin"/>
            </w:r>
            <w:r>
              <w:rPr>
                <w:webHidden/>
              </w:rPr>
              <w:instrText xml:space="preserve"> PAGEREF _Toc207703817 \h </w:instrText>
            </w:r>
            <w:r>
              <w:rPr>
                <w:webHidden/>
              </w:rPr>
            </w:r>
            <w:r>
              <w:rPr>
                <w:webHidden/>
              </w:rPr>
              <w:fldChar w:fldCharType="separate"/>
            </w:r>
            <w:r w:rsidR="00CA51E0">
              <w:rPr>
                <w:webHidden/>
              </w:rPr>
              <w:t>43</w:t>
            </w:r>
            <w:r>
              <w:rPr>
                <w:webHidden/>
              </w:rPr>
              <w:fldChar w:fldCharType="end"/>
            </w:r>
          </w:hyperlink>
        </w:p>
        <w:p w14:paraId="54939452" w14:textId="3F1F6EA5" w:rsidR="00CC6D3E" w:rsidRDefault="00CC6D3E">
          <w:r>
            <w:rPr>
              <w:b/>
              <w:bCs/>
              <w:noProof/>
            </w:rPr>
            <w:fldChar w:fldCharType="end"/>
          </w:r>
        </w:p>
      </w:sdtContent>
    </w:sdt>
    <w:p w14:paraId="7C1B473A" w14:textId="71D23138" w:rsidR="001604AF" w:rsidRDefault="001604AF">
      <w:pPr>
        <w:spacing w:after="160" w:line="259" w:lineRule="auto"/>
      </w:pPr>
      <w:r>
        <w:br w:type="page"/>
      </w:r>
    </w:p>
    <w:p w14:paraId="5B9B9299" w14:textId="77777777" w:rsidR="00D83563" w:rsidRPr="00D83563" w:rsidRDefault="00D83563" w:rsidP="00F76EEC">
      <w:pPr>
        <w:pStyle w:val="Heading2"/>
      </w:pPr>
      <w:bookmarkStart w:id="4" w:name="_Toc414262482"/>
      <w:bookmarkStart w:id="5" w:name="_Toc207703777"/>
      <w:r w:rsidRPr="00D83563">
        <w:lastRenderedPageBreak/>
        <w:t>Introduction</w:t>
      </w:r>
      <w:bookmarkEnd w:id="4"/>
      <w:bookmarkEnd w:id="5"/>
    </w:p>
    <w:p w14:paraId="7A53CFC5" w14:textId="2F2B629E" w:rsidR="00944BC2" w:rsidRDefault="00D83563" w:rsidP="00726990">
      <w:pPr>
        <w:pStyle w:val="Footer"/>
        <w:tabs>
          <w:tab w:val="clear" w:pos="4320"/>
          <w:tab w:val="clear" w:pos="8640"/>
        </w:tabs>
        <w:rPr>
          <w:rFonts w:cs="Arial"/>
          <w:color w:val="000000"/>
        </w:rPr>
      </w:pPr>
      <w:r w:rsidRPr="00D83563">
        <w:rPr>
          <w:rFonts w:cs="Arial"/>
          <w:color w:val="000000"/>
        </w:rPr>
        <w:t>The</w:t>
      </w:r>
      <w:r w:rsidR="005C6F1F">
        <w:rPr>
          <w:rFonts w:cs="Arial"/>
          <w:color w:val="000000"/>
        </w:rPr>
        <w:t xml:space="preserve"> Migrant Education Program</w:t>
      </w:r>
      <w:r w:rsidRPr="00D83563">
        <w:rPr>
          <w:rFonts w:cs="Arial"/>
          <w:color w:val="000000"/>
        </w:rPr>
        <w:t xml:space="preserve"> </w:t>
      </w:r>
      <w:r w:rsidR="005C6F1F">
        <w:rPr>
          <w:rFonts w:cs="Arial"/>
          <w:color w:val="000000"/>
        </w:rPr>
        <w:t>(</w:t>
      </w:r>
      <w:r w:rsidRPr="00D83563">
        <w:rPr>
          <w:rFonts w:cs="Arial"/>
          <w:color w:val="000000"/>
        </w:rPr>
        <w:t>MEP</w:t>
      </w:r>
      <w:r w:rsidR="005C6F1F">
        <w:rPr>
          <w:rFonts w:cs="Arial"/>
          <w:color w:val="000000"/>
        </w:rPr>
        <w:t>)</w:t>
      </w:r>
      <w:r w:rsidRPr="00D83563">
        <w:rPr>
          <w:rFonts w:cs="Arial"/>
          <w:color w:val="000000"/>
        </w:rPr>
        <w:t xml:space="preserve"> was established under the Elementary and Secondary Education Act (ESEA) of 1965 and reauthorized under </w:t>
      </w:r>
      <w:r w:rsidR="006339E0">
        <w:rPr>
          <w:rFonts w:cs="Arial"/>
          <w:color w:val="000000"/>
        </w:rPr>
        <w:t>Every Student Succeeds Act (ESSA)</w:t>
      </w:r>
      <w:r w:rsidR="00943BBB">
        <w:rPr>
          <w:rFonts w:cs="Arial"/>
          <w:color w:val="000000"/>
        </w:rPr>
        <w:t xml:space="preserve"> of 2015. </w:t>
      </w:r>
      <w:r w:rsidRPr="00D83563">
        <w:rPr>
          <w:rFonts w:cs="Arial"/>
          <w:color w:val="000000"/>
        </w:rPr>
        <w:t>The provisions of the MEP are included in</w:t>
      </w:r>
      <w:r w:rsidR="005C6F1F">
        <w:rPr>
          <w:rFonts w:cs="Arial"/>
          <w:color w:val="000000"/>
        </w:rPr>
        <w:t xml:space="preserve"> ESEA Title I, Part C</w:t>
      </w:r>
      <w:r w:rsidRPr="00D83563">
        <w:rPr>
          <w:rFonts w:cs="Arial"/>
          <w:color w:val="000000"/>
        </w:rPr>
        <w:t>. The MEP is a state-administered program. The</w:t>
      </w:r>
      <w:r w:rsidR="005C6F1F">
        <w:rPr>
          <w:rFonts w:cs="Arial"/>
          <w:color w:val="000000"/>
        </w:rPr>
        <w:t xml:space="preserve"> California Department of Education</w:t>
      </w:r>
      <w:r w:rsidRPr="00D83563">
        <w:rPr>
          <w:rFonts w:cs="Arial"/>
          <w:color w:val="000000"/>
        </w:rPr>
        <w:t xml:space="preserve"> </w:t>
      </w:r>
      <w:r w:rsidR="005C6F1F">
        <w:rPr>
          <w:rFonts w:cs="Arial"/>
          <w:color w:val="000000"/>
        </w:rPr>
        <w:t>(</w:t>
      </w:r>
      <w:r w:rsidRPr="00D83563">
        <w:rPr>
          <w:rFonts w:cs="Arial"/>
          <w:color w:val="000000"/>
        </w:rPr>
        <w:t>CDE</w:t>
      </w:r>
      <w:r w:rsidR="005C6F1F">
        <w:rPr>
          <w:rFonts w:cs="Arial"/>
          <w:color w:val="000000"/>
        </w:rPr>
        <w:t>)</w:t>
      </w:r>
      <w:r w:rsidRPr="00D83563">
        <w:rPr>
          <w:rFonts w:cs="Arial"/>
          <w:color w:val="000000"/>
        </w:rPr>
        <w:t xml:space="preserve"> is responsible for leadership, oversight, and ensuring that migra</w:t>
      </w:r>
      <w:r w:rsidR="006339E0">
        <w:rPr>
          <w:rFonts w:cs="Arial"/>
          <w:color w:val="000000"/>
        </w:rPr>
        <w:t>t</w:t>
      </w:r>
      <w:r w:rsidR="00D31812">
        <w:rPr>
          <w:rFonts w:cs="Arial"/>
          <w:color w:val="000000"/>
        </w:rPr>
        <w:t>ory</w:t>
      </w:r>
      <w:r w:rsidRPr="00D83563">
        <w:rPr>
          <w:rFonts w:cs="Arial"/>
          <w:color w:val="000000"/>
        </w:rPr>
        <w:t xml:space="preserve"> students receive the full benefit of this funding.</w:t>
      </w:r>
    </w:p>
    <w:p w14:paraId="7C56B0BF" w14:textId="21B8579E" w:rsidR="00944BC2" w:rsidRDefault="00D83563" w:rsidP="00726990">
      <w:pPr>
        <w:pStyle w:val="Footer"/>
        <w:tabs>
          <w:tab w:val="clear" w:pos="4320"/>
          <w:tab w:val="clear" w:pos="8640"/>
        </w:tabs>
        <w:rPr>
          <w:rFonts w:cs="Arial"/>
          <w:color w:val="000000"/>
        </w:rPr>
      </w:pPr>
      <w:r w:rsidRPr="00D83563">
        <w:rPr>
          <w:rFonts w:cs="Arial"/>
          <w:color w:val="000000"/>
        </w:rPr>
        <w:t>The services offered by the MEP are coordinated with other federal, state, and local educational services to support high-quality, comprehensive educational programs for migra</w:t>
      </w:r>
      <w:r w:rsidR="00D31812">
        <w:rPr>
          <w:rFonts w:cs="Arial"/>
          <w:color w:val="000000"/>
        </w:rPr>
        <w:t>tory</w:t>
      </w:r>
      <w:r w:rsidRPr="00D83563">
        <w:rPr>
          <w:rFonts w:cs="Arial"/>
          <w:color w:val="000000"/>
        </w:rPr>
        <w:t xml:space="preserve"> children, to reduce educational disruptions and barriers resulting from frequent moves. States receive annual federal grants based on a number of factors, including the number of migra</w:t>
      </w:r>
      <w:r w:rsidR="00D31812">
        <w:rPr>
          <w:rFonts w:cs="Arial"/>
          <w:color w:val="000000"/>
        </w:rPr>
        <w:t>tory</w:t>
      </w:r>
      <w:r w:rsidRPr="00D83563">
        <w:rPr>
          <w:rFonts w:cs="Arial"/>
          <w:color w:val="000000"/>
        </w:rPr>
        <w:t xml:space="preserve"> students identified within the </w:t>
      </w:r>
      <w:r w:rsidR="00FC5AFC">
        <w:rPr>
          <w:rFonts w:cs="Arial"/>
          <w:color w:val="000000"/>
        </w:rPr>
        <w:t>s</w:t>
      </w:r>
      <w:r w:rsidRPr="00D83563">
        <w:rPr>
          <w:rFonts w:cs="Arial"/>
          <w:color w:val="000000"/>
        </w:rPr>
        <w:t>tate. The grants are to establish or improve educational programs for migra</w:t>
      </w:r>
      <w:r w:rsidR="00D31812">
        <w:rPr>
          <w:rFonts w:cs="Arial"/>
          <w:color w:val="000000"/>
        </w:rPr>
        <w:t>tory</w:t>
      </w:r>
      <w:r w:rsidRPr="00D83563">
        <w:rPr>
          <w:rFonts w:cs="Arial"/>
          <w:color w:val="000000"/>
        </w:rPr>
        <w:t xml:space="preserve"> children. These grants assist states in improving educational opportunities for </w:t>
      </w:r>
      <w:r w:rsidR="00D31812">
        <w:rPr>
          <w:rFonts w:cs="Arial"/>
          <w:color w:val="000000"/>
        </w:rPr>
        <w:t>migratory</w:t>
      </w:r>
      <w:r w:rsidRPr="00D83563">
        <w:rPr>
          <w:rFonts w:cs="Arial"/>
          <w:color w:val="000000"/>
        </w:rPr>
        <w:t xml:space="preserve"> children through the provision of supplemental, direct services to ensure </w:t>
      </w:r>
      <w:r w:rsidR="00D31812">
        <w:rPr>
          <w:rFonts w:cs="Arial"/>
          <w:color w:val="000000"/>
        </w:rPr>
        <w:t>migratory</w:t>
      </w:r>
      <w:r w:rsidRPr="00D83563">
        <w:rPr>
          <w:rFonts w:cs="Arial"/>
          <w:color w:val="000000"/>
        </w:rPr>
        <w:t xml:space="preserve"> students succeed in school, graduate from high school, and make successful transitions to postsecondary education or employment.</w:t>
      </w:r>
    </w:p>
    <w:p w14:paraId="24C79D14" w14:textId="6127DE85" w:rsidR="00D83563" w:rsidRPr="00D83563" w:rsidRDefault="00D83563" w:rsidP="00726990">
      <w:pPr>
        <w:pStyle w:val="Footer"/>
        <w:tabs>
          <w:tab w:val="clear" w:pos="4320"/>
          <w:tab w:val="clear" w:pos="8640"/>
        </w:tabs>
        <w:ind w:right="-90"/>
        <w:rPr>
          <w:rFonts w:cs="Arial"/>
          <w:color w:val="000000"/>
        </w:rPr>
      </w:pPr>
      <w:r w:rsidRPr="00D83563">
        <w:rPr>
          <w:rFonts w:cs="Arial"/>
          <w:iCs/>
          <w:color w:val="000000"/>
        </w:rPr>
        <w:t>The MEP</w:t>
      </w:r>
      <w:r w:rsidRPr="00D83563">
        <w:rPr>
          <w:rFonts w:cs="Arial"/>
          <w:color w:val="000000"/>
        </w:rPr>
        <w:t xml:space="preserve"> funds are intended to benefit </w:t>
      </w:r>
      <w:r w:rsidR="00D31812">
        <w:rPr>
          <w:rFonts w:cs="Arial"/>
          <w:color w:val="000000"/>
        </w:rPr>
        <w:t>migratory</w:t>
      </w:r>
      <w:r w:rsidRPr="00D83563">
        <w:rPr>
          <w:rFonts w:cs="Arial"/>
          <w:color w:val="000000"/>
        </w:rPr>
        <w:t xml:space="preserve"> children and, with very limited exceptions, may not be used to support projects that include non-</w:t>
      </w:r>
      <w:r w:rsidR="00D31812">
        <w:rPr>
          <w:rFonts w:cs="Arial"/>
          <w:color w:val="000000"/>
        </w:rPr>
        <w:t>migratory</w:t>
      </w:r>
      <w:r w:rsidRPr="00D83563">
        <w:rPr>
          <w:rFonts w:cs="Arial"/>
          <w:color w:val="000000"/>
        </w:rPr>
        <w:t xml:space="preserve"> children</w:t>
      </w:r>
      <w:r w:rsidRPr="00D83563">
        <w:rPr>
          <w:rStyle w:val="FootnoteReference"/>
          <w:rFonts w:cs="Arial"/>
          <w:color w:val="000000"/>
        </w:rPr>
        <w:footnoteReference w:id="2"/>
      </w:r>
      <w:r w:rsidRPr="00D83563">
        <w:rPr>
          <w:rFonts w:cs="Arial"/>
          <w:color w:val="000000"/>
        </w:rPr>
        <w:t xml:space="preserve">. Fiscal requirements for the expenditure of migrant education funds must be met by all fund recipients and operating agencies: </w:t>
      </w:r>
      <w:r w:rsidRPr="00D83563">
        <w:rPr>
          <w:rFonts w:cs="Arial"/>
          <w:iCs/>
          <w:color w:val="000000"/>
        </w:rPr>
        <w:t>MEP regions, districts, and direct-funded</w:t>
      </w:r>
      <w:r w:rsidR="005429E9">
        <w:rPr>
          <w:rFonts w:cs="Arial"/>
          <w:iCs/>
          <w:color w:val="000000"/>
        </w:rPr>
        <w:t xml:space="preserve"> </w:t>
      </w:r>
      <w:r w:rsidR="00A00481">
        <w:rPr>
          <w:rFonts w:cs="Arial"/>
          <w:iCs/>
          <w:color w:val="000000"/>
        </w:rPr>
        <w:t>districts</w:t>
      </w:r>
      <w:r w:rsidRPr="00D83563">
        <w:rPr>
          <w:rFonts w:cs="Arial"/>
          <w:color w:val="000000"/>
        </w:rPr>
        <w:t>. Federal and state statutes and regulations require that operating agencies:</w:t>
      </w:r>
    </w:p>
    <w:p w14:paraId="18E1CE54" w14:textId="32034AF9" w:rsidR="00D83563" w:rsidRPr="00D83563" w:rsidRDefault="00D83563" w:rsidP="005842A2">
      <w:pPr>
        <w:pStyle w:val="Footer"/>
        <w:numPr>
          <w:ilvl w:val="0"/>
          <w:numId w:val="17"/>
        </w:numPr>
        <w:tabs>
          <w:tab w:val="clear" w:pos="4320"/>
          <w:tab w:val="clear" w:pos="8640"/>
        </w:tabs>
        <w:ind w:left="576" w:hanging="288"/>
        <w:rPr>
          <w:rFonts w:cs="Arial"/>
          <w:color w:val="000000"/>
        </w:rPr>
      </w:pPr>
      <w:r w:rsidRPr="00D83563">
        <w:rPr>
          <w:rFonts w:cs="Arial"/>
          <w:color w:val="000000"/>
        </w:rPr>
        <w:t xml:space="preserve">Provide services to </w:t>
      </w:r>
      <w:r w:rsidR="00D31812">
        <w:rPr>
          <w:rFonts w:cs="Arial"/>
          <w:color w:val="000000"/>
        </w:rPr>
        <w:t>migratory</w:t>
      </w:r>
      <w:r w:rsidRPr="00D83563">
        <w:rPr>
          <w:rFonts w:cs="Arial"/>
          <w:color w:val="000000"/>
        </w:rPr>
        <w:t xml:space="preserve"> children that are at least</w:t>
      </w:r>
      <w:r w:rsidRPr="00D83563">
        <w:rPr>
          <w:rFonts w:cs="Arial"/>
          <w:i/>
          <w:color w:val="000000"/>
        </w:rPr>
        <w:t xml:space="preserve"> </w:t>
      </w:r>
      <w:r w:rsidRPr="00D83563">
        <w:rPr>
          <w:rFonts w:cs="Arial"/>
          <w:color w:val="000000"/>
        </w:rPr>
        <w:t>comparable to services provided to non-</w:t>
      </w:r>
      <w:r w:rsidR="00D31812">
        <w:rPr>
          <w:rFonts w:cs="Arial"/>
          <w:color w:val="000000"/>
        </w:rPr>
        <w:t>migratory</w:t>
      </w:r>
      <w:r w:rsidRPr="00D83563">
        <w:rPr>
          <w:rFonts w:cs="Arial"/>
          <w:color w:val="000000"/>
        </w:rPr>
        <w:t xml:space="preserve"> children.</w:t>
      </w:r>
    </w:p>
    <w:p w14:paraId="29B519A0" w14:textId="636A7225" w:rsidR="00D83563" w:rsidRPr="00D83563" w:rsidRDefault="00D83563" w:rsidP="005842A2">
      <w:pPr>
        <w:pStyle w:val="Footer"/>
        <w:numPr>
          <w:ilvl w:val="0"/>
          <w:numId w:val="17"/>
        </w:numPr>
        <w:tabs>
          <w:tab w:val="clear" w:pos="4320"/>
          <w:tab w:val="clear" w:pos="8640"/>
        </w:tabs>
        <w:ind w:left="576" w:hanging="288"/>
        <w:rPr>
          <w:rFonts w:cs="Arial"/>
          <w:color w:val="000000"/>
        </w:rPr>
      </w:pPr>
      <w:r w:rsidRPr="00D83563">
        <w:rPr>
          <w:rFonts w:cs="Arial"/>
          <w:color w:val="000000"/>
        </w:rPr>
        <w:t>Use MEP funds to supplement, not supplant regular non-federal funds. Thus, MEP funds are supplementary to the core educational program and to other special programs, such as Title I, Part A, Title III</w:t>
      </w:r>
      <w:r w:rsidR="00D01E11">
        <w:rPr>
          <w:rFonts w:cs="Arial"/>
          <w:color w:val="000000"/>
        </w:rPr>
        <w:t>,</w:t>
      </w:r>
      <w:r w:rsidRPr="00D83563">
        <w:rPr>
          <w:rFonts w:cs="Arial"/>
          <w:color w:val="000000"/>
        </w:rPr>
        <w:t xml:space="preserve"> and Local Control Funding Formula.</w:t>
      </w:r>
    </w:p>
    <w:p w14:paraId="23A4CFF1" w14:textId="77777777" w:rsidR="00D83563" w:rsidRPr="00D83563" w:rsidRDefault="00D83563" w:rsidP="009C532E">
      <w:pPr>
        <w:pStyle w:val="Heading3"/>
      </w:pPr>
      <w:r w:rsidRPr="00D83563">
        <w:t>How to Use This Handbook:</w:t>
      </w:r>
    </w:p>
    <w:p w14:paraId="04CA089A" w14:textId="558E1F3F" w:rsidR="00D83563" w:rsidRPr="00D83563" w:rsidRDefault="00D83563" w:rsidP="00726990">
      <w:pPr>
        <w:pStyle w:val="Footer"/>
        <w:tabs>
          <w:tab w:val="clear" w:pos="4320"/>
          <w:tab w:val="clear" w:pos="8640"/>
        </w:tabs>
        <w:rPr>
          <w:rFonts w:cs="Arial"/>
          <w:color w:val="000000"/>
        </w:rPr>
      </w:pPr>
      <w:r w:rsidRPr="00D83563">
        <w:rPr>
          <w:rFonts w:cs="Arial"/>
          <w:color w:val="000000"/>
        </w:rPr>
        <w:t>The purpose of this Handbook is to provide MEP regional and district staff with basic information and guidelines for the use of migrant education funds. This Handbook describes the MEP funding rules, operating agency responsibilities, application process</w:t>
      </w:r>
      <w:r w:rsidR="007428B7">
        <w:rPr>
          <w:rFonts w:cs="Arial"/>
          <w:color w:val="000000"/>
        </w:rPr>
        <w:t xml:space="preserve"> and </w:t>
      </w:r>
      <w:r w:rsidRPr="00D83563">
        <w:rPr>
          <w:rFonts w:cs="Arial"/>
          <w:color w:val="000000"/>
        </w:rPr>
        <w:t>fiscal policies and procedures. MEP administrators and staff are required to be familiar with applicable state and federal laws, regulations</w:t>
      </w:r>
      <w:r w:rsidR="00FE69DB">
        <w:rPr>
          <w:rFonts w:cs="Arial"/>
          <w:color w:val="000000"/>
        </w:rPr>
        <w:t>,</w:t>
      </w:r>
      <w:r w:rsidRPr="00D83563">
        <w:rPr>
          <w:rFonts w:cs="Arial"/>
          <w:color w:val="000000"/>
        </w:rPr>
        <w:t xml:space="preserve"> and policies. This Handbook is intended to build on the user’s knowledge of these rules by providing a greater level of detail to assist in the implementation of the MEP.</w:t>
      </w:r>
    </w:p>
    <w:p w14:paraId="55B8AA53" w14:textId="61D6EA91" w:rsidR="00D83563" w:rsidRPr="00D83563" w:rsidRDefault="00D83563" w:rsidP="009C532E">
      <w:pPr>
        <w:pStyle w:val="Heading3"/>
      </w:pPr>
      <w:r w:rsidRPr="00D83563">
        <w:lastRenderedPageBreak/>
        <w:t>Key Terms:</w:t>
      </w:r>
    </w:p>
    <w:p w14:paraId="286B1CB4" w14:textId="346E4970" w:rsidR="00944BC2" w:rsidRDefault="00D83563" w:rsidP="00726990">
      <w:pPr>
        <w:pStyle w:val="Footer"/>
        <w:tabs>
          <w:tab w:val="clear" w:pos="4320"/>
          <w:tab w:val="clear" w:pos="8640"/>
        </w:tabs>
        <w:rPr>
          <w:rFonts w:cs="Arial"/>
          <w:color w:val="000000"/>
        </w:rPr>
      </w:pPr>
      <w:r w:rsidRPr="00D83563">
        <w:rPr>
          <w:rFonts w:cs="Arial"/>
          <w:color w:val="000000"/>
        </w:rPr>
        <w:t xml:space="preserve">This Handbook utilizes the terms “operating agency” and “migrant region” throughout. Per California </w:t>
      </w:r>
      <w:r w:rsidRPr="00D83563">
        <w:rPr>
          <w:rFonts w:cs="Arial"/>
          <w:i/>
          <w:color w:val="000000"/>
        </w:rPr>
        <w:t>Education Code</w:t>
      </w:r>
      <w:r w:rsidR="004B5305" w:rsidRPr="008C24E7">
        <w:rPr>
          <w:rFonts w:cs="Arial"/>
          <w:iCs/>
          <w:color w:val="000000"/>
        </w:rPr>
        <w:t xml:space="preserve"> (</w:t>
      </w:r>
      <w:r w:rsidR="004B5305">
        <w:rPr>
          <w:rFonts w:cs="Arial"/>
          <w:i/>
          <w:color w:val="000000"/>
        </w:rPr>
        <w:t>EC</w:t>
      </w:r>
      <w:r w:rsidR="004B5305" w:rsidRPr="008C24E7">
        <w:rPr>
          <w:rFonts w:cs="Arial"/>
          <w:iCs/>
          <w:color w:val="000000"/>
        </w:rPr>
        <w:t>)</w:t>
      </w:r>
      <w:r w:rsidRPr="00D83563">
        <w:rPr>
          <w:rFonts w:cs="Arial"/>
          <w:color w:val="000000"/>
        </w:rPr>
        <w:t>, these terms are defined as follows:</w:t>
      </w:r>
    </w:p>
    <w:p w14:paraId="3038E41B" w14:textId="7F1B032F" w:rsidR="00944BC2" w:rsidRDefault="005429E9" w:rsidP="005842A2">
      <w:pPr>
        <w:pStyle w:val="ListParagraph"/>
        <w:numPr>
          <w:ilvl w:val="0"/>
          <w:numId w:val="52"/>
        </w:numPr>
        <w:ind w:left="576" w:hanging="288"/>
        <w:contextualSpacing w:val="0"/>
        <w:rPr>
          <w:rFonts w:cs="Arial"/>
          <w:color w:val="000000"/>
        </w:rPr>
      </w:pPr>
      <w:r>
        <w:rPr>
          <w:rFonts w:cs="Arial"/>
          <w:color w:val="000000"/>
        </w:rPr>
        <w:t>“</w:t>
      </w:r>
      <w:r w:rsidR="00D83563" w:rsidRPr="00D83563">
        <w:rPr>
          <w:rFonts w:cs="Arial"/>
          <w:color w:val="000000"/>
        </w:rPr>
        <w:t>Operating agency</w:t>
      </w:r>
      <w:r>
        <w:rPr>
          <w:rFonts w:cs="Arial"/>
          <w:color w:val="000000"/>
        </w:rPr>
        <w:t>”</w:t>
      </w:r>
      <w:r w:rsidR="00D83563" w:rsidRPr="00D83563">
        <w:rPr>
          <w:rFonts w:cs="Arial"/>
          <w:color w:val="000000"/>
        </w:rPr>
        <w:t xml:space="preserve"> means a</w:t>
      </w:r>
      <w:r w:rsidR="005C6F1F">
        <w:rPr>
          <w:rFonts w:cs="Arial"/>
          <w:color w:val="000000"/>
        </w:rPr>
        <w:t xml:space="preserve"> local educational agency (</w:t>
      </w:r>
      <w:r w:rsidR="00DB17B9">
        <w:rPr>
          <w:rFonts w:cs="Arial"/>
          <w:color w:val="000000"/>
        </w:rPr>
        <w:t>LEA</w:t>
      </w:r>
      <w:r w:rsidR="005C6F1F">
        <w:rPr>
          <w:rFonts w:cs="Arial"/>
          <w:color w:val="000000"/>
        </w:rPr>
        <w:t>)</w:t>
      </w:r>
      <w:r w:rsidR="00D83563" w:rsidRPr="00D83563">
        <w:rPr>
          <w:rFonts w:cs="Arial"/>
          <w:color w:val="000000"/>
        </w:rPr>
        <w:t xml:space="preserve"> operating under a subgrant of state migrant education funding or a public or private nonprofit agency under a special arrangement with the department to carry out a migrant education program.</w:t>
      </w:r>
    </w:p>
    <w:p w14:paraId="1193BAED" w14:textId="4A5610E5" w:rsidR="00D83563" w:rsidRPr="00D83563" w:rsidRDefault="005429E9" w:rsidP="005842A2">
      <w:pPr>
        <w:pStyle w:val="Footer"/>
        <w:numPr>
          <w:ilvl w:val="0"/>
          <w:numId w:val="51"/>
        </w:numPr>
        <w:tabs>
          <w:tab w:val="clear" w:pos="4320"/>
          <w:tab w:val="clear" w:pos="8640"/>
        </w:tabs>
        <w:ind w:left="576" w:hanging="288"/>
        <w:rPr>
          <w:rFonts w:cs="Arial"/>
          <w:color w:val="000000"/>
        </w:rPr>
      </w:pPr>
      <w:r>
        <w:rPr>
          <w:rFonts w:cs="Arial"/>
          <w:color w:val="000000"/>
        </w:rPr>
        <w:t>“</w:t>
      </w:r>
      <w:r w:rsidR="00D83563" w:rsidRPr="00D83563">
        <w:rPr>
          <w:rFonts w:cs="Arial"/>
          <w:color w:val="000000"/>
        </w:rPr>
        <w:t>Migrant region</w:t>
      </w:r>
      <w:r>
        <w:rPr>
          <w:rFonts w:cs="Arial"/>
          <w:color w:val="000000"/>
        </w:rPr>
        <w:t>”</w:t>
      </w:r>
      <w:r w:rsidR="00D83563" w:rsidRPr="00D83563">
        <w:rPr>
          <w:rFonts w:cs="Arial"/>
          <w:color w:val="000000"/>
        </w:rPr>
        <w:t xml:space="preserve"> means an operating agency comprised of a county or a combination of counties, or a public or private nonprofit agency not controlled in whole or part by a school district, or a combination of counties and agencies, meeting the criteria of</w:t>
      </w:r>
      <w:r w:rsidR="005C6F1F">
        <w:rPr>
          <w:rFonts w:cs="Arial"/>
          <w:color w:val="000000"/>
        </w:rPr>
        <w:t xml:space="preserve"> </w:t>
      </w:r>
      <w:r w:rsidR="005C6F1F" w:rsidRPr="008C24E7">
        <w:rPr>
          <w:rFonts w:cs="Arial"/>
          <w:i/>
          <w:iCs/>
          <w:color w:val="000000"/>
        </w:rPr>
        <w:t>EC</w:t>
      </w:r>
      <w:r w:rsidR="00D83563" w:rsidRPr="00D83563">
        <w:rPr>
          <w:rFonts w:cs="Arial"/>
          <w:color w:val="000000"/>
        </w:rPr>
        <w:t xml:space="preserve"> Section 54444.1</w:t>
      </w:r>
      <w:r w:rsidR="005C6F1F">
        <w:rPr>
          <w:rFonts w:cs="Arial"/>
          <w:color w:val="000000"/>
        </w:rPr>
        <w:t>, subdivision (a)</w:t>
      </w:r>
      <w:r w:rsidR="00D83563" w:rsidRPr="00D83563">
        <w:rPr>
          <w:rFonts w:cs="Arial"/>
          <w:color w:val="000000"/>
        </w:rPr>
        <w:t>.</w:t>
      </w:r>
    </w:p>
    <w:p w14:paraId="6B76C4C7" w14:textId="77777777" w:rsidR="00944BC2" w:rsidRDefault="00D83563" w:rsidP="00726990">
      <w:pPr>
        <w:pStyle w:val="Footer"/>
        <w:tabs>
          <w:tab w:val="clear" w:pos="4320"/>
          <w:tab w:val="clear" w:pos="8640"/>
        </w:tabs>
        <w:rPr>
          <w:rFonts w:cs="Arial"/>
          <w:color w:val="000000"/>
        </w:rPr>
      </w:pPr>
      <w:r w:rsidRPr="00D83563">
        <w:rPr>
          <w:rFonts w:cs="Arial"/>
          <w:color w:val="000000"/>
        </w:rPr>
        <w:t>Per these definitions, the term “operating agency” shall encompass local districts and migrant regions. However, the use of the term “region” shall refer only to those agencies identified as migrant regions and will exclude districts.</w:t>
      </w:r>
    </w:p>
    <w:p w14:paraId="4667E65A" w14:textId="39B32449" w:rsidR="00D83563" w:rsidRPr="00D83563" w:rsidRDefault="00D83563" w:rsidP="00726990">
      <w:pPr>
        <w:pStyle w:val="Footer"/>
        <w:tabs>
          <w:tab w:val="clear" w:pos="4320"/>
          <w:tab w:val="clear" w:pos="8640"/>
        </w:tabs>
        <w:rPr>
          <w:rFonts w:cs="Arial"/>
          <w:color w:val="000000"/>
        </w:rPr>
      </w:pPr>
      <w:r w:rsidRPr="00D83563">
        <w:rPr>
          <w:rFonts w:cs="Arial"/>
          <w:color w:val="000000"/>
        </w:rPr>
        <w:t>The Handbook also commonly uses the term “direct-funded districts”</w:t>
      </w:r>
      <w:r w:rsidR="005C6F1F">
        <w:rPr>
          <w:rFonts w:cs="Arial"/>
          <w:color w:val="000000"/>
        </w:rPr>
        <w:t xml:space="preserve"> (DFD)</w:t>
      </w:r>
      <w:r w:rsidRPr="00D83563">
        <w:rPr>
          <w:rFonts w:cs="Arial"/>
          <w:color w:val="000000"/>
        </w:rPr>
        <w:t>. This term is defined as follows:</w:t>
      </w:r>
    </w:p>
    <w:p w14:paraId="1AFCDF71" w14:textId="4C75E82E" w:rsidR="00944BC2" w:rsidRDefault="00D83563" w:rsidP="005842A2">
      <w:pPr>
        <w:pStyle w:val="Footer"/>
        <w:numPr>
          <w:ilvl w:val="0"/>
          <w:numId w:val="51"/>
        </w:numPr>
        <w:tabs>
          <w:tab w:val="clear" w:pos="4320"/>
          <w:tab w:val="clear" w:pos="8640"/>
        </w:tabs>
        <w:ind w:left="576" w:hanging="288"/>
        <w:rPr>
          <w:rFonts w:cs="Arial"/>
          <w:color w:val="000000"/>
        </w:rPr>
      </w:pPr>
      <w:r w:rsidRPr="00D83563">
        <w:rPr>
          <w:rFonts w:cs="Arial"/>
          <w:color w:val="000000"/>
        </w:rPr>
        <w:t xml:space="preserve">“Direct-funded districts” are districts that are directly funded by the state MEP. </w:t>
      </w:r>
      <w:r w:rsidR="00FD2EFB">
        <w:rPr>
          <w:rFonts w:cs="Arial"/>
          <w:i/>
          <w:color w:val="000000"/>
        </w:rPr>
        <w:t xml:space="preserve">EC </w:t>
      </w:r>
      <w:r w:rsidRPr="00D83563">
        <w:rPr>
          <w:rFonts w:cs="Arial"/>
          <w:color w:val="000000"/>
        </w:rPr>
        <w:t xml:space="preserve">Section 54444.1(c) provides the </w:t>
      </w:r>
      <w:r w:rsidR="004F6DD9" w:rsidRPr="00D83563">
        <w:rPr>
          <w:rFonts w:cs="Arial"/>
          <w:color w:val="000000"/>
        </w:rPr>
        <w:t>CDE with</w:t>
      </w:r>
      <w:r w:rsidRPr="00D83563">
        <w:rPr>
          <w:rFonts w:cs="Arial"/>
          <w:color w:val="000000"/>
        </w:rPr>
        <w:t xml:space="preserve"> the discretion to directly fund </w:t>
      </w:r>
      <w:r w:rsidR="00DB17B9">
        <w:rPr>
          <w:rFonts w:cs="Arial"/>
          <w:color w:val="000000"/>
        </w:rPr>
        <w:t>LEAs</w:t>
      </w:r>
      <w:r w:rsidRPr="00D83563">
        <w:rPr>
          <w:rFonts w:cs="Arial"/>
          <w:color w:val="000000"/>
        </w:rPr>
        <w:t xml:space="preserve">, in whole or in part, to provide services to eligible </w:t>
      </w:r>
      <w:r w:rsidR="00D31812">
        <w:rPr>
          <w:rFonts w:cs="Arial"/>
          <w:color w:val="000000"/>
        </w:rPr>
        <w:t>migratory</w:t>
      </w:r>
      <w:r w:rsidRPr="00D83563">
        <w:rPr>
          <w:rFonts w:cs="Arial"/>
          <w:color w:val="000000"/>
        </w:rPr>
        <w:t xml:space="preserve"> children.</w:t>
      </w:r>
    </w:p>
    <w:p w14:paraId="61D2BE22" w14:textId="15B0A6E8" w:rsidR="00E47872" w:rsidRPr="00E47872" w:rsidRDefault="00D83563" w:rsidP="00726990">
      <w:pPr>
        <w:pStyle w:val="Footer"/>
        <w:tabs>
          <w:tab w:val="clear" w:pos="4320"/>
          <w:tab w:val="clear" w:pos="8640"/>
        </w:tabs>
        <w:rPr>
          <w:rFonts w:cs="Arial"/>
          <w:color w:val="000000"/>
        </w:rPr>
      </w:pPr>
      <w:r w:rsidRPr="00D83563">
        <w:rPr>
          <w:rFonts w:cs="Arial"/>
          <w:color w:val="000000"/>
        </w:rPr>
        <w:t>As the</w:t>
      </w:r>
      <w:r w:rsidR="005C6F1F">
        <w:rPr>
          <w:rFonts w:cs="Arial"/>
          <w:color w:val="000000"/>
        </w:rPr>
        <w:t xml:space="preserve"> Migrant Education Office</w:t>
      </w:r>
      <w:r w:rsidRPr="00D83563">
        <w:rPr>
          <w:rFonts w:cs="Arial"/>
          <w:color w:val="000000"/>
        </w:rPr>
        <w:t xml:space="preserve"> </w:t>
      </w:r>
      <w:r w:rsidR="005C6F1F">
        <w:rPr>
          <w:rFonts w:cs="Arial"/>
          <w:color w:val="000000"/>
        </w:rPr>
        <w:t>(</w:t>
      </w:r>
      <w:r w:rsidRPr="00D83563">
        <w:rPr>
          <w:rFonts w:cs="Arial"/>
          <w:color w:val="000000"/>
        </w:rPr>
        <w:t>MEO</w:t>
      </w:r>
      <w:r w:rsidR="005C6F1F">
        <w:rPr>
          <w:rFonts w:cs="Arial"/>
          <w:color w:val="000000"/>
        </w:rPr>
        <w:t>)</w:t>
      </w:r>
      <w:r w:rsidRPr="00D83563">
        <w:rPr>
          <w:rFonts w:cs="Arial"/>
          <w:color w:val="000000"/>
        </w:rPr>
        <w:t xml:space="preserve"> subgrants go directly to regions and </w:t>
      </w:r>
      <w:r w:rsidR="005C6F1F">
        <w:rPr>
          <w:rFonts w:cs="Arial"/>
          <w:color w:val="000000"/>
        </w:rPr>
        <w:t>DFDs</w:t>
      </w:r>
      <w:r w:rsidRPr="00D83563">
        <w:rPr>
          <w:rFonts w:cs="Arial"/>
          <w:color w:val="000000"/>
        </w:rPr>
        <w:t>, a large portion of the instruction/information in this Handbook refers primarily to said agencies. However, all MEP operational agencies are subject to the stated policies and applicable laws noted throughout this Handbook and in the Grant Award Notification</w:t>
      </w:r>
      <w:r w:rsidR="00681A67">
        <w:rPr>
          <w:rFonts w:cs="Arial"/>
          <w:color w:val="000000"/>
        </w:rPr>
        <w:t xml:space="preserve"> </w:t>
      </w:r>
      <w:r w:rsidR="00B70664">
        <w:rPr>
          <w:rFonts w:cs="Arial"/>
          <w:color w:val="000000"/>
        </w:rPr>
        <w:t>(GAN)</w:t>
      </w:r>
      <w:r w:rsidRPr="00D83563">
        <w:rPr>
          <w:rFonts w:cs="Arial"/>
          <w:color w:val="000000"/>
        </w:rPr>
        <w:t xml:space="preserve"> issued to each subgrantee.</w:t>
      </w:r>
      <w:bookmarkStart w:id="6" w:name="_Toc414262483"/>
    </w:p>
    <w:p w14:paraId="1FA000E1" w14:textId="6CD516D5" w:rsidR="00D83563" w:rsidRDefault="00944BC2" w:rsidP="00F76EEC">
      <w:pPr>
        <w:pStyle w:val="Heading2"/>
      </w:pPr>
      <w:bookmarkStart w:id="7" w:name="_Toc207703778"/>
      <w:r>
        <w:rPr>
          <w:color w:val="000000"/>
        </w:rPr>
        <w:t xml:space="preserve">1.0 </w:t>
      </w:r>
      <w:r w:rsidR="00D83563" w:rsidRPr="00D83563">
        <w:t>General Policy for Funding of Migrant Education Programs</w:t>
      </w:r>
      <w:bookmarkEnd w:id="6"/>
      <w:bookmarkEnd w:id="7"/>
    </w:p>
    <w:p w14:paraId="584E6C90" w14:textId="77777777" w:rsidR="00D83563" w:rsidRDefault="00D83563" w:rsidP="009C532E">
      <w:pPr>
        <w:pStyle w:val="Heading3"/>
      </w:pPr>
      <w:bookmarkStart w:id="8" w:name="_Toc414262484"/>
      <w:bookmarkStart w:id="9" w:name="_Toc207703779"/>
      <w:r w:rsidRPr="00D83563">
        <w:t>1.1</w:t>
      </w:r>
      <w:r w:rsidR="00182DC5">
        <w:t xml:space="preserve"> </w:t>
      </w:r>
      <w:r w:rsidRPr="00D83563">
        <w:t>Process and Funding Formula</w:t>
      </w:r>
      <w:bookmarkEnd w:id="8"/>
      <w:bookmarkEnd w:id="9"/>
    </w:p>
    <w:p w14:paraId="53A7AC53" w14:textId="6BF252B1" w:rsidR="00D83563" w:rsidRDefault="00D83563" w:rsidP="00726990">
      <w:pPr>
        <w:rPr>
          <w:rFonts w:cs="Arial"/>
          <w:color w:val="000000"/>
        </w:rPr>
      </w:pPr>
      <w:r w:rsidRPr="00D83563">
        <w:rPr>
          <w:rFonts w:cs="Arial"/>
          <w:color w:val="000000"/>
        </w:rPr>
        <w:t xml:space="preserve">Each approved operating agency is funded by the </w:t>
      </w:r>
      <w:r w:rsidRPr="00D83563">
        <w:rPr>
          <w:rFonts w:cs="Arial"/>
          <w:iCs/>
          <w:color w:val="000000"/>
        </w:rPr>
        <w:t>CDE</w:t>
      </w:r>
      <w:r w:rsidRPr="00D83563">
        <w:rPr>
          <w:rFonts w:cs="Arial"/>
          <w:color w:val="000000"/>
        </w:rPr>
        <w:t xml:space="preserve"> through a subgranting process. The total amount allocated </w:t>
      </w:r>
      <w:r w:rsidRPr="00D83563">
        <w:rPr>
          <w:rFonts w:cs="Arial"/>
          <w:iCs/>
          <w:color w:val="000000"/>
        </w:rPr>
        <w:t>to applicants is based</w:t>
      </w:r>
      <w:r w:rsidRPr="00D83563">
        <w:rPr>
          <w:rFonts w:cs="Arial"/>
          <w:i/>
          <w:iCs/>
          <w:color w:val="000000"/>
        </w:rPr>
        <w:t xml:space="preserve"> </w:t>
      </w:r>
      <w:r w:rsidRPr="00D83563">
        <w:rPr>
          <w:rFonts w:cs="Arial"/>
          <w:iCs/>
          <w:color w:val="000000"/>
        </w:rPr>
        <w:t>on the</w:t>
      </w:r>
      <w:r w:rsidRPr="00D83563">
        <w:rPr>
          <w:rFonts w:cs="Arial"/>
          <w:i/>
          <w:iCs/>
          <w:color w:val="000000"/>
        </w:rPr>
        <w:t xml:space="preserve"> </w:t>
      </w:r>
      <w:r w:rsidRPr="00D83563">
        <w:rPr>
          <w:rFonts w:cs="Arial"/>
          <w:iCs/>
          <w:color w:val="000000"/>
        </w:rPr>
        <w:t>availability of federal funds and on subgranting factors determined by the CDE in Section 1.2</w:t>
      </w:r>
      <w:r w:rsidR="005C6F1F">
        <w:rPr>
          <w:rFonts w:cs="Arial"/>
          <w:iCs/>
          <w:color w:val="000000"/>
        </w:rPr>
        <w:t xml:space="preserve"> of the Handbook</w:t>
      </w:r>
      <w:r w:rsidRPr="00D83563">
        <w:rPr>
          <w:rFonts w:cs="Arial"/>
          <w:color w:val="000000"/>
        </w:rPr>
        <w:t xml:space="preserve">. Migrant Education grant funds are not guaranteed. Operating agencies are authorized by the CDE to expend MEP funds through the approval of grant applications called </w:t>
      </w:r>
      <w:r w:rsidRPr="008C24E7">
        <w:rPr>
          <w:rFonts w:cs="Arial"/>
          <w:color w:val="000000"/>
        </w:rPr>
        <w:t>Regional Applications</w:t>
      </w:r>
      <w:r w:rsidRPr="00D83563">
        <w:rPr>
          <w:rFonts w:cs="Arial"/>
          <w:color w:val="000000"/>
        </w:rPr>
        <w:t xml:space="preserve"> (RA)</w:t>
      </w:r>
      <w:r w:rsidR="00E476A6">
        <w:rPr>
          <w:rFonts w:cs="Arial"/>
          <w:color w:val="000000"/>
        </w:rPr>
        <w:t>,</w:t>
      </w:r>
      <w:r w:rsidRPr="00D83563">
        <w:rPr>
          <w:rFonts w:cs="Arial"/>
          <w:color w:val="000000"/>
        </w:rPr>
        <w:t xml:space="preserve"> </w:t>
      </w:r>
      <w:r w:rsidRPr="008C24E7">
        <w:rPr>
          <w:rFonts w:cs="Arial"/>
          <w:color w:val="000000"/>
        </w:rPr>
        <w:t>District Service Agreements</w:t>
      </w:r>
      <w:r w:rsidRPr="00D83563">
        <w:rPr>
          <w:rFonts w:cs="Arial"/>
          <w:i/>
          <w:color w:val="000000"/>
        </w:rPr>
        <w:t xml:space="preserve"> </w:t>
      </w:r>
      <w:r w:rsidRPr="00D83563">
        <w:rPr>
          <w:rFonts w:cs="Arial"/>
          <w:color w:val="000000"/>
        </w:rPr>
        <w:t>(DSA)</w:t>
      </w:r>
      <w:r w:rsidR="00E476A6">
        <w:rPr>
          <w:rFonts w:cs="Arial"/>
          <w:color w:val="000000"/>
        </w:rPr>
        <w:t>,</w:t>
      </w:r>
      <w:r w:rsidR="00D01E11">
        <w:rPr>
          <w:rFonts w:cs="Arial"/>
          <w:color w:val="000000"/>
        </w:rPr>
        <w:t xml:space="preserve"> </w:t>
      </w:r>
      <w:r w:rsidR="009E1408">
        <w:rPr>
          <w:rFonts w:cs="Arial"/>
          <w:color w:val="000000"/>
        </w:rPr>
        <w:t>Memorandum of Understanding (MOU),</w:t>
      </w:r>
      <w:r w:rsidR="00E476A6">
        <w:rPr>
          <w:rFonts w:cs="Arial"/>
          <w:color w:val="000000"/>
        </w:rPr>
        <w:t xml:space="preserve"> or DFD</w:t>
      </w:r>
      <w:r w:rsidRPr="00D83563">
        <w:rPr>
          <w:rFonts w:cs="Arial"/>
          <w:color w:val="000000"/>
        </w:rPr>
        <w:t>. These applications are discussed in Section 4.0.</w:t>
      </w:r>
    </w:p>
    <w:p w14:paraId="628AC816" w14:textId="77777777" w:rsidR="00D83563" w:rsidRDefault="00D83563" w:rsidP="009C532E">
      <w:pPr>
        <w:pStyle w:val="Heading3"/>
      </w:pPr>
      <w:bookmarkStart w:id="10" w:name="_Toc414262485"/>
      <w:bookmarkStart w:id="11" w:name="_Toc207703780"/>
      <w:r w:rsidRPr="00D83563">
        <w:t>1.2</w:t>
      </w:r>
      <w:r w:rsidR="00182DC5">
        <w:t xml:space="preserve"> </w:t>
      </w:r>
      <w:r w:rsidRPr="00D83563">
        <w:t>Subgranting</w:t>
      </w:r>
      <w:bookmarkEnd w:id="10"/>
      <w:bookmarkEnd w:id="11"/>
    </w:p>
    <w:p w14:paraId="012AEF54" w14:textId="4A5B2FC2" w:rsidR="00944BC2" w:rsidRDefault="00D83563" w:rsidP="00726990">
      <w:pPr>
        <w:rPr>
          <w:rFonts w:cs="Arial"/>
          <w:color w:val="000000"/>
        </w:rPr>
      </w:pPr>
      <w:r w:rsidRPr="00D83563">
        <w:rPr>
          <w:rFonts w:cs="Arial"/>
          <w:color w:val="000000"/>
        </w:rPr>
        <w:t xml:space="preserve">The </w:t>
      </w:r>
      <w:r w:rsidRPr="00D83563">
        <w:rPr>
          <w:rFonts w:cs="Arial"/>
          <w:iCs/>
          <w:color w:val="000000"/>
        </w:rPr>
        <w:t xml:space="preserve">CDE considers the following seven factors in determining subgrants </w:t>
      </w:r>
      <w:r w:rsidRPr="00D83563">
        <w:rPr>
          <w:rFonts w:cs="Arial"/>
          <w:color w:val="000000"/>
        </w:rPr>
        <w:t xml:space="preserve">to regions and </w:t>
      </w:r>
      <w:r w:rsidR="005C6F1F">
        <w:rPr>
          <w:rFonts w:cs="Arial"/>
          <w:color w:val="000000"/>
        </w:rPr>
        <w:t>DFD</w:t>
      </w:r>
      <w:r w:rsidRPr="00D83563">
        <w:rPr>
          <w:rFonts w:cs="Arial"/>
          <w:color w:val="000000"/>
        </w:rPr>
        <w:t>:</w:t>
      </w:r>
    </w:p>
    <w:p w14:paraId="672C1C3D" w14:textId="77777777" w:rsidR="00944BC2" w:rsidRDefault="00D83563" w:rsidP="005842A2">
      <w:pPr>
        <w:pStyle w:val="ListParagraph"/>
        <w:numPr>
          <w:ilvl w:val="2"/>
          <w:numId w:val="54"/>
        </w:numPr>
        <w:ind w:left="720" w:hanging="288"/>
        <w:contextualSpacing w:val="0"/>
        <w:rPr>
          <w:rFonts w:cs="Arial"/>
          <w:color w:val="000000"/>
        </w:rPr>
      </w:pPr>
      <w:r w:rsidRPr="00D83563">
        <w:rPr>
          <w:rFonts w:cs="Arial"/>
          <w:color w:val="000000"/>
        </w:rPr>
        <w:lastRenderedPageBreak/>
        <w:t>The availability of funds from other federal, state, and local programs</w:t>
      </w:r>
      <w:r w:rsidRPr="00D83563">
        <w:rPr>
          <w:rStyle w:val="FootnoteReference"/>
          <w:rFonts w:cs="Arial"/>
          <w:color w:val="000000"/>
        </w:rPr>
        <w:footnoteReference w:id="3"/>
      </w:r>
    </w:p>
    <w:p w14:paraId="22444F3E" w14:textId="77777777" w:rsidR="00D83563" w:rsidRDefault="00D83563" w:rsidP="005842A2">
      <w:pPr>
        <w:pStyle w:val="ListParagraph"/>
        <w:numPr>
          <w:ilvl w:val="2"/>
          <w:numId w:val="54"/>
        </w:numPr>
        <w:ind w:left="720" w:hanging="288"/>
        <w:contextualSpacing w:val="0"/>
        <w:rPr>
          <w:rFonts w:cs="Arial"/>
          <w:color w:val="000000"/>
        </w:rPr>
      </w:pPr>
      <w:r w:rsidRPr="00D83563">
        <w:rPr>
          <w:rFonts w:cs="Arial"/>
          <w:color w:val="000000"/>
        </w:rPr>
        <w:t xml:space="preserve">Performance period enrollment, also called </w:t>
      </w:r>
      <w:r w:rsidRPr="00D83563">
        <w:rPr>
          <w:rFonts w:cs="Arial"/>
          <w:i/>
          <w:color w:val="000000"/>
        </w:rPr>
        <w:t>Category 1</w:t>
      </w:r>
    </w:p>
    <w:p w14:paraId="31A0BEDD" w14:textId="77777777" w:rsidR="00D83563" w:rsidRDefault="00D83563" w:rsidP="005842A2">
      <w:pPr>
        <w:pStyle w:val="ListParagraph"/>
        <w:numPr>
          <w:ilvl w:val="2"/>
          <w:numId w:val="54"/>
        </w:numPr>
        <w:ind w:left="720" w:hanging="288"/>
        <w:contextualSpacing w:val="0"/>
        <w:rPr>
          <w:rFonts w:cs="Arial"/>
          <w:color w:val="000000"/>
        </w:rPr>
      </w:pPr>
      <w:r w:rsidRPr="00D83563">
        <w:rPr>
          <w:rFonts w:cs="Arial"/>
          <w:color w:val="000000"/>
        </w:rPr>
        <w:t xml:space="preserve">Summer and intersession services, also called </w:t>
      </w:r>
      <w:r w:rsidRPr="00D83563">
        <w:rPr>
          <w:rFonts w:cs="Arial"/>
          <w:i/>
          <w:color w:val="000000"/>
        </w:rPr>
        <w:t>Category 2</w:t>
      </w:r>
    </w:p>
    <w:p w14:paraId="7EC6E6BE" w14:textId="27440F34" w:rsidR="00D83563" w:rsidRDefault="00D83563" w:rsidP="005842A2">
      <w:pPr>
        <w:pStyle w:val="ListParagraph"/>
        <w:numPr>
          <w:ilvl w:val="2"/>
          <w:numId w:val="54"/>
        </w:numPr>
        <w:ind w:left="720" w:hanging="288"/>
        <w:contextualSpacing w:val="0"/>
        <w:rPr>
          <w:rFonts w:cs="Arial"/>
          <w:color w:val="000000"/>
        </w:rPr>
      </w:pPr>
      <w:r w:rsidRPr="00D83563">
        <w:rPr>
          <w:rFonts w:cs="Arial"/>
          <w:color w:val="000000"/>
        </w:rPr>
        <w:t xml:space="preserve">Number of Priority for Services (PFS) </w:t>
      </w:r>
      <w:r w:rsidR="00D31812">
        <w:rPr>
          <w:rFonts w:cs="Arial"/>
          <w:color w:val="000000"/>
        </w:rPr>
        <w:t>migratory</w:t>
      </w:r>
      <w:r w:rsidRPr="00D83563">
        <w:rPr>
          <w:rFonts w:cs="Arial"/>
          <w:color w:val="000000"/>
        </w:rPr>
        <w:t xml:space="preserve"> students</w:t>
      </w:r>
    </w:p>
    <w:p w14:paraId="2F8F0BA6" w14:textId="7907FCAD" w:rsidR="00D83563" w:rsidRDefault="00D83563" w:rsidP="005842A2">
      <w:pPr>
        <w:pStyle w:val="ListParagraph"/>
        <w:numPr>
          <w:ilvl w:val="2"/>
          <w:numId w:val="54"/>
        </w:numPr>
        <w:ind w:left="720" w:hanging="288"/>
        <w:contextualSpacing w:val="0"/>
        <w:rPr>
          <w:rFonts w:cs="Arial"/>
          <w:color w:val="000000"/>
        </w:rPr>
      </w:pPr>
      <w:r w:rsidRPr="00D83563">
        <w:rPr>
          <w:rFonts w:cs="Arial"/>
          <w:color w:val="000000"/>
        </w:rPr>
        <w:t xml:space="preserve">Number of </w:t>
      </w:r>
      <w:r w:rsidR="00D31812">
        <w:rPr>
          <w:rFonts w:cs="Arial"/>
          <w:color w:val="000000"/>
        </w:rPr>
        <w:t>migratory</w:t>
      </w:r>
      <w:r w:rsidRPr="00D83563">
        <w:rPr>
          <w:rFonts w:cs="Arial"/>
          <w:color w:val="000000"/>
        </w:rPr>
        <w:t xml:space="preserve"> children ages 19 through 21</w:t>
      </w:r>
    </w:p>
    <w:p w14:paraId="1DBEA644" w14:textId="4275814B" w:rsidR="00D83563" w:rsidRDefault="00D83563" w:rsidP="005842A2">
      <w:pPr>
        <w:pStyle w:val="ListParagraph"/>
        <w:numPr>
          <w:ilvl w:val="2"/>
          <w:numId w:val="54"/>
        </w:numPr>
        <w:ind w:left="720" w:hanging="288"/>
        <w:contextualSpacing w:val="0"/>
        <w:rPr>
          <w:rFonts w:cs="Arial"/>
          <w:color w:val="000000"/>
        </w:rPr>
      </w:pPr>
      <w:r w:rsidRPr="00D83563">
        <w:rPr>
          <w:rFonts w:cs="Arial"/>
          <w:color w:val="000000"/>
        </w:rPr>
        <w:t xml:space="preserve">Number of </w:t>
      </w:r>
      <w:r w:rsidR="00D31812">
        <w:rPr>
          <w:rFonts w:cs="Arial"/>
          <w:color w:val="000000"/>
        </w:rPr>
        <w:t>migratory</w:t>
      </w:r>
      <w:r w:rsidRPr="00D83563">
        <w:rPr>
          <w:rFonts w:cs="Arial"/>
          <w:color w:val="000000"/>
        </w:rPr>
        <w:t xml:space="preserve"> children that have made a qualifying move during the performance period</w:t>
      </w:r>
    </w:p>
    <w:p w14:paraId="4D8EFF7A" w14:textId="5F6A291E" w:rsidR="00944BC2" w:rsidRPr="003E70A5" w:rsidRDefault="00D83563" w:rsidP="005842A2">
      <w:pPr>
        <w:pStyle w:val="ListParagraph"/>
        <w:numPr>
          <w:ilvl w:val="2"/>
          <w:numId w:val="54"/>
        </w:numPr>
        <w:ind w:left="720" w:hanging="288"/>
        <w:contextualSpacing w:val="0"/>
        <w:rPr>
          <w:rFonts w:cs="Arial"/>
          <w:color w:val="000000"/>
        </w:rPr>
      </w:pPr>
      <w:r w:rsidRPr="003E70A5">
        <w:rPr>
          <w:rFonts w:cs="Arial"/>
          <w:color w:val="000000"/>
        </w:rPr>
        <w:t xml:space="preserve">The academic need of </w:t>
      </w:r>
      <w:r w:rsidR="00D31812" w:rsidRPr="003E70A5">
        <w:rPr>
          <w:rFonts w:cs="Arial"/>
          <w:color w:val="000000"/>
        </w:rPr>
        <w:t>migratory</w:t>
      </w:r>
      <w:r w:rsidRPr="003E70A5">
        <w:rPr>
          <w:rFonts w:cs="Arial"/>
          <w:color w:val="000000"/>
        </w:rPr>
        <w:t xml:space="preserve"> children</w:t>
      </w:r>
      <w:r w:rsidR="00E85507">
        <w:rPr>
          <w:rFonts w:cs="Arial"/>
          <w:color w:val="000000"/>
        </w:rPr>
        <w:t xml:space="preserve">. </w:t>
      </w:r>
      <w:r w:rsidRPr="003E70A5">
        <w:rPr>
          <w:rFonts w:cs="Arial"/>
          <w:color w:val="000000"/>
        </w:rPr>
        <w:t xml:space="preserve">To aid in program planning, in the spring of each year, the CDE will make available preliminary estimates of funding awards for each region and </w:t>
      </w:r>
      <w:r w:rsidR="00E85507">
        <w:rPr>
          <w:rFonts w:cs="Arial"/>
          <w:color w:val="000000"/>
        </w:rPr>
        <w:t>DFD</w:t>
      </w:r>
      <w:r w:rsidRPr="003E70A5">
        <w:rPr>
          <w:rFonts w:cs="Arial"/>
          <w:color w:val="000000"/>
        </w:rPr>
        <w:t>.</w:t>
      </w:r>
    </w:p>
    <w:p w14:paraId="01EBCE3B" w14:textId="62524322" w:rsidR="00D83563" w:rsidRDefault="00D83563" w:rsidP="00726990">
      <w:pPr>
        <w:rPr>
          <w:rFonts w:cs="Arial"/>
          <w:color w:val="000000"/>
        </w:rPr>
      </w:pPr>
      <w:r w:rsidRPr="00D83563">
        <w:rPr>
          <w:rFonts w:cs="Arial"/>
          <w:color w:val="000000"/>
        </w:rPr>
        <w:t xml:space="preserve">As funding is not available to meet all needs of all </w:t>
      </w:r>
      <w:r w:rsidR="00D31812">
        <w:rPr>
          <w:rFonts w:cs="Arial"/>
          <w:color w:val="000000"/>
        </w:rPr>
        <w:t>migratory</w:t>
      </w:r>
      <w:r w:rsidRPr="00D83563">
        <w:rPr>
          <w:rFonts w:cs="Arial"/>
          <w:color w:val="000000"/>
        </w:rPr>
        <w:t xml:space="preserve"> students, the </w:t>
      </w:r>
      <w:r w:rsidR="00E5206C">
        <w:rPr>
          <w:rFonts w:cs="Arial"/>
          <w:color w:val="000000"/>
        </w:rPr>
        <w:t>ESSA</w:t>
      </w:r>
      <w:r w:rsidRPr="00D83563">
        <w:rPr>
          <w:rFonts w:cs="Arial"/>
          <w:color w:val="000000"/>
        </w:rPr>
        <w:t xml:space="preserve"> implemented a PFS requirement. In compliance with </w:t>
      </w:r>
      <w:r w:rsidR="00E5206C">
        <w:rPr>
          <w:rFonts w:cs="Arial"/>
          <w:color w:val="000000"/>
        </w:rPr>
        <w:t>ESSA</w:t>
      </w:r>
      <w:r w:rsidRPr="00D83563">
        <w:rPr>
          <w:rFonts w:cs="Arial"/>
          <w:color w:val="000000"/>
        </w:rPr>
        <w:t xml:space="preserve">, MEP programs </w:t>
      </w:r>
      <w:r w:rsidRPr="00D83563">
        <w:rPr>
          <w:rFonts w:cs="Arial"/>
          <w:i/>
          <w:color w:val="000000"/>
        </w:rPr>
        <w:t>must first address</w:t>
      </w:r>
      <w:r w:rsidRPr="00D83563">
        <w:rPr>
          <w:rFonts w:cs="Arial"/>
          <w:color w:val="000000"/>
        </w:rPr>
        <w:t xml:space="preserve"> the needs of </w:t>
      </w:r>
      <w:r w:rsidR="00D31812">
        <w:rPr>
          <w:rFonts w:cs="Arial"/>
          <w:color w:val="000000"/>
        </w:rPr>
        <w:t>migratory</w:t>
      </w:r>
      <w:r w:rsidRPr="00D83563">
        <w:rPr>
          <w:rFonts w:cs="Arial"/>
          <w:color w:val="000000"/>
        </w:rPr>
        <w:t xml:space="preserve"> </w:t>
      </w:r>
      <w:r w:rsidR="00C14C5F">
        <w:rPr>
          <w:rFonts w:cs="Arial"/>
          <w:color w:val="000000"/>
        </w:rPr>
        <w:t>children who have made a qualifying move within the previous 1-year period and who</w:t>
      </w:r>
      <w:r w:rsidRPr="00D83563">
        <w:rPr>
          <w:rFonts w:cs="Arial"/>
          <w:color w:val="000000"/>
        </w:rPr>
        <w:t>:</w:t>
      </w:r>
    </w:p>
    <w:p w14:paraId="4E5357EB" w14:textId="0927A539" w:rsidR="00944BC2" w:rsidRDefault="00C14C5F" w:rsidP="005842A2">
      <w:pPr>
        <w:pStyle w:val="ListParagraph"/>
        <w:numPr>
          <w:ilvl w:val="0"/>
          <w:numId w:val="24"/>
        </w:numPr>
        <w:ind w:left="720" w:hanging="288"/>
        <w:contextualSpacing w:val="0"/>
        <w:rPr>
          <w:rFonts w:cs="Arial"/>
          <w:b/>
          <w:color w:val="000000"/>
        </w:rPr>
      </w:pPr>
      <w:r>
        <w:rPr>
          <w:rFonts w:cs="Arial"/>
          <w:color w:val="000000"/>
        </w:rPr>
        <w:t>Are</w:t>
      </w:r>
      <w:r w:rsidR="00D83563" w:rsidRPr="00D83563">
        <w:rPr>
          <w:rFonts w:cs="Arial"/>
          <w:color w:val="000000"/>
        </w:rPr>
        <w:t xml:space="preserve"> failing, or most at-risk of failing, to meet the </w:t>
      </w:r>
      <w:r>
        <w:rPr>
          <w:rFonts w:cs="Arial"/>
          <w:color w:val="000000"/>
        </w:rPr>
        <w:t xml:space="preserve">challenging </w:t>
      </w:r>
      <w:r w:rsidR="00D83563" w:rsidRPr="00D83563">
        <w:rPr>
          <w:rFonts w:cs="Arial"/>
          <w:color w:val="000000"/>
        </w:rPr>
        <w:t>state’s academic standards</w:t>
      </w:r>
      <w:r>
        <w:rPr>
          <w:rFonts w:cs="Arial"/>
          <w:color w:val="000000"/>
        </w:rPr>
        <w:t>; or</w:t>
      </w:r>
      <w:r w:rsidR="00E5206C">
        <w:rPr>
          <w:rFonts w:cs="Arial"/>
          <w:color w:val="000000"/>
        </w:rPr>
        <w:t xml:space="preserve"> </w:t>
      </w:r>
    </w:p>
    <w:p w14:paraId="6E60ABD6" w14:textId="2755E23E" w:rsidR="00D83563" w:rsidRDefault="00C14C5F" w:rsidP="005842A2">
      <w:pPr>
        <w:pStyle w:val="ListParagraph"/>
        <w:numPr>
          <w:ilvl w:val="0"/>
          <w:numId w:val="24"/>
        </w:numPr>
        <w:ind w:left="720" w:hanging="288"/>
        <w:contextualSpacing w:val="0"/>
        <w:rPr>
          <w:rFonts w:cs="Arial"/>
          <w:color w:val="000000"/>
        </w:rPr>
      </w:pPr>
      <w:r>
        <w:rPr>
          <w:rFonts w:cs="Arial"/>
          <w:color w:val="000000"/>
        </w:rPr>
        <w:t>Have dropped out of school</w:t>
      </w:r>
      <w:r w:rsidR="00E85507">
        <w:rPr>
          <w:rFonts w:cs="Arial"/>
          <w:color w:val="000000"/>
        </w:rPr>
        <w:t>.</w:t>
      </w:r>
      <w:r>
        <w:rPr>
          <w:rFonts w:cs="Arial"/>
          <w:color w:val="000000"/>
        </w:rPr>
        <w:t xml:space="preserve"> </w:t>
      </w:r>
    </w:p>
    <w:p w14:paraId="0DAD1CF1" w14:textId="1DC90EA5" w:rsidR="00944BC2" w:rsidRDefault="00D83563" w:rsidP="00726990">
      <w:pPr>
        <w:rPr>
          <w:rFonts w:cs="Arial"/>
          <w:bCs/>
          <w:color w:val="000000"/>
        </w:rPr>
      </w:pPr>
      <w:r w:rsidRPr="00FE7F79">
        <w:rPr>
          <w:rFonts w:cs="Arial"/>
          <w:bCs/>
          <w:color w:val="000000"/>
        </w:rPr>
        <w:t xml:space="preserve">California’s </w:t>
      </w:r>
      <w:r w:rsidRPr="008C24E7">
        <w:rPr>
          <w:rFonts w:cs="Arial"/>
          <w:bCs/>
          <w:iCs/>
          <w:color w:val="000000"/>
        </w:rPr>
        <w:t>Service Delivery Plan</w:t>
      </w:r>
      <w:r w:rsidRPr="00FE7F79">
        <w:rPr>
          <w:rFonts w:cs="Arial"/>
          <w:bCs/>
          <w:color w:val="000000"/>
        </w:rPr>
        <w:t xml:space="preserve"> (SDP)</w:t>
      </w:r>
      <w:r w:rsidRPr="00D83563">
        <w:rPr>
          <w:rFonts w:cs="Arial"/>
          <w:bCs/>
          <w:color w:val="000000"/>
        </w:rPr>
        <w:t xml:space="preserve"> identifies specific measurable objectives, strategies, and interventions for </w:t>
      </w:r>
      <w:r w:rsidR="00D31812">
        <w:rPr>
          <w:rFonts w:cs="Arial"/>
          <w:bCs/>
          <w:color w:val="000000"/>
        </w:rPr>
        <w:t>migratory</w:t>
      </w:r>
      <w:r w:rsidRPr="00D83563">
        <w:rPr>
          <w:rFonts w:cs="Arial"/>
          <w:bCs/>
          <w:color w:val="000000"/>
        </w:rPr>
        <w:t xml:space="preserve"> students that are designed to close the achievement gap between </w:t>
      </w:r>
      <w:r w:rsidR="00D31812">
        <w:rPr>
          <w:rFonts w:cs="Arial"/>
          <w:bCs/>
          <w:color w:val="000000"/>
        </w:rPr>
        <w:t>migratory</w:t>
      </w:r>
      <w:r w:rsidRPr="00D83563">
        <w:rPr>
          <w:rFonts w:cs="Arial"/>
          <w:bCs/>
          <w:color w:val="000000"/>
        </w:rPr>
        <w:t xml:space="preserve"> and non-</w:t>
      </w:r>
      <w:r w:rsidR="00D31812">
        <w:rPr>
          <w:rFonts w:cs="Arial"/>
          <w:bCs/>
          <w:color w:val="000000"/>
        </w:rPr>
        <w:t>migratory</w:t>
      </w:r>
      <w:r w:rsidRPr="00D83563">
        <w:rPr>
          <w:rFonts w:cs="Arial"/>
          <w:bCs/>
          <w:color w:val="000000"/>
        </w:rPr>
        <w:t xml:space="preserve"> students.</w:t>
      </w:r>
      <w:r w:rsidR="00E476A6">
        <w:rPr>
          <w:rFonts w:cs="Arial"/>
          <w:bCs/>
          <w:color w:val="000000"/>
        </w:rPr>
        <w:t xml:space="preserve"> </w:t>
      </w:r>
    </w:p>
    <w:p w14:paraId="453C081E" w14:textId="4B1DE5A5" w:rsidR="00D83563" w:rsidRDefault="00D83563" w:rsidP="00726990">
      <w:pPr>
        <w:rPr>
          <w:rFonts w:cs="Arial"/>
          <w:bCs/>
          <w:color w:val="000000"/>
        </w:rPr>
      </w:pPr>
      <w:r w:rsidRPr="00D83563">
        <w:rPr>
          <w:rFonts w:cs="Arial"/>
          <w:bCs/>
          <w:color w:val="000000"/>
        </w:rPr>
        <w:t xml:space="preserve">Each region is responsible for monitoring the progress of </w:t>
      </w:r>
      <w:r w:rsidR="00D31812">
        <w:rPr>
          <w:rFonts w:cs="Arial"/>
          <w:bCs/>
          <w:color w:val="000000"/>
        </w:rPr>
        <w:t>migratory</w:t>
      </w:r>
      <w:r w:rsidRPr="00D83563">
        <w:rPr>
          <w:rFonts w:cs="Arial"/>
          <w:bCs/>
          <w:color w:val="000000"/>
        </w:rPr>
        <w:t xml:space="preserve"> students towards meeting the measurable objectives, as well as for reporting the progress of </w:t>
      </w:r>
      <w:r w:rsidR="00D31812">
        <w:rPr>
          <w:rFonts w:cs="Arial"/>
          <w:bCs/>
          <w:color w:val="000000"/>
        </w:rPr>
        <w:t>migratory</w:t>
      </w:r>
      <w:r w:rsidRPr="00D83563">
        <w:rPr>
          <w:rFonts w:cs="Arial"/>
          <w:bCs/>
          <w:color w:val="000000"/>
        </w:rPr>
        <w:t xml:space="preserve"> students in the region to all stakeholders, including the CDE. </w:t>
      </w:r>
    </w:p>
    <w:p w14:paraId="2B103414" w14:textId="77777777" w:rsidR="00D83563" w:rsidRDefault="00D83563" w:rsidP="009C532E">
      <w:pPr>
        <w:pStyle w:val="Heading3"/>
      </w:pPr>
      <w:bookmarkStart w:id="12" w:name="_Toc414262486"/>
      <w:bookmarkStart w:id="13" w:name="_Toc207703781"/>
      <w:r w:rsidRPr="00D83563">
        <w:t>1.3</w:t>
      </w:r>
      <w:r w:rsidR="00182DC5">
        <w:t xml:space="preserve"> </w:t>
      </w:r>
      <w:r w:rsidRPr="00D83563">
        <w:t>Funding Period</w:t>
      </w:r>
      <w:bookmarkEnd w:id="12"/>
      <w:bookmarkEnd w:id="13"/>
    </w:p>
    <w:p w14:paraId="56EA02BF" w14:textId="13D93E89" w:rsidR="00D83563" w:rsidRDefault="00E476A6" w:rsidP="00726990">
      <w:pPr>
        <w:rPr>
          <w:rFonts w:cs="Arial"/>
          <w:color w:val="000000"/>
        </w:rPr>
      </w:pPr>
      <w:r>
        <w:rPr>
          <w:rFonts w:cs="Arial"/>
          <w:color w:val="000000"/>
        </w:rPr>
        <w:t>T</w:t>
      </w:r>
      <w:r w:rsidR="00D83563" w:rsidRPr="00D83563">
        <w:rPr>
          <w:rFonts w:cs="Arial"/>
          <w:color w:val="000000"/>
        </w:rPr>
        <w:t>he funding period shall be from July 1 through June 30.</w:t>
      </w:r>
      <w:r w:rsidR="00D83563" w:rsidRPr="00D83563">
        <w:rPr>
          <w:rStyle w:val="FootnoteReference"/>
          <w:rFonts w:cs="Arial"/>
          <w:color w:val="000000"/>
        </w:rPr>
        <w:footnoteReference w:id="4"/>
      </w:r>
    </w:p>
    <w:p w14:paraId="6A783506" w14:textId="77777777" w:rsidR="00D83563" w:rsidRDefault="00D83563" w:rsidP="009C532E">
      <w:pPr>
        <w:pStyle w:val="Heading3"/>
      </w:pPr>
      <w:bookmarkStart w:id="14" w:name="_Toc414262487"/>
      <w:bookmarkStart w:id="15" w:name="_Toc207703782"/>
      <w:r w:rsidRPr="00D83563">
        <w:t>1.4</w:t>
      </w:r>
      <w:r w:rsidR="00182DC5">
        <w:t xml:space="preserve"> </w:t>
      </w:r>
      <w:r w:rsidRPr="00D83563">
        <w:t>Service Delivery Models</w:t>
      </w:r>
      <w:bookmarkEnd w:id="14"/>
      <w:bookmarkEnd w:id="15"/>
    </w:p>
    <w:p w14:paraId="209706A4" w14:textId="135684F1" w:rsidR="00944BC2" w:rsidRDefault="00D83563" w:rsidP="00726990">
      <w:pPr>
        <w:pStyle w:val="BodyTextIndent3"/>
        <w:ind w:left="0" w:firstLine="0"/>
        <w:rPr>
          <w:rFonts w:cs="Arial"/>
          <w:color w:val="000000"/>
          <w:sz w:val="24"/>
        </w:rPr>
      </w:pPr>
      <w:r w:rsidRPr="00D83563">
        <w:rPr>
          <w:rFonts w:cs="Arial"/>
          <w:color w:val="000000"/>
          <w:sz w:val="24"/>
        </w:rPr>
        <w:t>California state law establishes the regional system as the primary model of service delivery for the MEP; however, it also authorizes the CDE, at its discretion, to directly-fund school district</w:t>
      </w:r>
      <w:r w:rsidR="002C248D">
        <w:rPr>
          <w:rFonts w:cs="Arial"/>
          <w:color w:val="000000"/>
          <w:sz w:val="24"/>
        </w:rPr>
        <w:t>s</w:t>
      </w:r>
      <w:r w:rsidRPr="00D83563">
        <w:rPr>
          <w:rFonts w:cs="Arial"/>
          <w:color w:val="000000"/>
          <w:sz w:val="24"/>
        </w:rPr>
        <w:t xml:space="preserve"> under specified criteria.</w:t>
      </w:r>
      <w:r w:rsidRPr="00D83563">
        <w:rPr>
          <w:rStyle w:val="FootnoteReference"/>
          <w:rFonts w:cs="Arial"/>
          <w:color w:val="000000"/>
          <w:sz w:val="24"/>
        </w:rPr>
        <w:footnoteReference w:id="5"/>
      </w:r>
      <w:r w:rsidRPr="00D83563">
        <w:rPr>
          <w:rFonts w:cs="Arial"/>
          <w:color w:val="000000"/>
          <w:sz w:val="24"/>
        </w:rPr>
        <w:t xml:space="preserve"> All operating agencies, regardless of funding model, must provide centralized services such as administration, staff development, health resources, parent participation, and local approved programs. The four types of operating agencies are:</w:t>
      </w:r>
    </w:p>
    <w:p w14:paraId="5CE684CA" w14:textId="68AC83AB" w:rsidR="00944BC2" w:rsidRDefault="00D83563" w:rsidP="005842A2">
      <w:pPr>
        <w:pStyle w:val="BodyTextIndent"/>
        <w:numPr>
          <w:ilvl w:val="0"/>
          <w:numId w:val="27"/>
        </w:numPr>
        <w:ind w:left="720" w:hanging="288"/>
        <w:rPr>
          <w:rFonts w:cs="Arial"/>
          <w:color w:val="000000"/>
          <w:sz w:val="24"/>
          <w:szCs w:val="24"/>
        </w:rPr>
      </w:pPr>
      <w:r w:rsidRPr="00B63577">
        <w:rPr>
          <w:rFonts w:cs="Arial"/>
          <w:b/>
          <w:bCs/>
          <w:color w:val="000000"/>
          <w:sz w:val="24"/>
          <w:szCs w:val="24"/>
        </w:rPr>
        <w:lastRenderedPageBreak/>
        <w:t>Centralized Region Model</w:t>
      </w:r>
      <w:r w:rsidRPr="00B63577">
        <w:rPr>
          <w:rFonts w:cs="Arial"/>
          <w:color w:val="000000"/>
          <w:sz w:val="24"/>
          <w:szCs w:val="24"/>
        </w:rPr>
        <w:t>:</w:t>
      </w:r>
      <w:r w:rsidRPr="00D83563">
        <w:rPr>
          <w:rFonts w:cs="Arial"/>
          <w:color w:val="000000"/>
          <w:sz w:val="24"/>
          <w:szCs w:val="24"/>
        </w:rPr>
        <w:t xml:space="preserve"> The region is responsible for all funds and provides all services to students in multiple districts.</w:t>
      </w:r>
      <w:r w:rsidR="007357B8">
        <w:rPr>
          <w:rFonts w:cs="Arial"/>
          <w:color w:val="000000"/>
          <w:sz w:val="24"/>
          <w:szCs w:val="24"/>
        </w:rPr>
        <w:t xml:space="preserve"> In this model, the region is responsible for completing </w:t>
      </w:r>
      <w:r w:rsidR="001F07C4">
        <w:rPr>
          <w:rFonts w:cs="Arial"/>
          <w:color w:val="000000"/>
          <w:sz w:val="24"/>
          <w:szCs w:val="24"/>
        </w:rPr>
        <w:t xml:space="preserve">and submitting </w:t>
      </w:r>
      <w:r w:rsidR="007357B8">
        <w:rPr>
          <w:rFonts w:cs="Arial"/>
          <w:color w:val="000000"/>
          <w:sz w:val="24"/>
          <w:szCs w:val="24"/>
        </w:rPr>
        <w:t>a R</w:t>
      </w:r>
      <w:r w:rsidR="00E77043">
        <w:rPr>
          <w:rFonts w:cs="Arial"/>
          <w:color w:val="000000"/>
          <w:sz w:val="24"/>
          <w:szCs w:val="24"/>
        </w:rPr>
        <w:t>A</w:t>
      </w:r>
      <w:r w:rsidR="00BB40AE">
        <w:rPr>
          <w:rFonts w:cs="Arial"/>
          <w:color w:val="000000"/>
          <w:sz w:val="24"/>
          <w:szCs w:val="24"/>
        </w:rPr>
        <w:t xml:space="preserve"> </w:t>
      </w:r>
      <w:r w:rsidR="001F07C4">
        <w:rPr>
          <w:rFonts w:cs="Arial"/>
          <w:color w:val="000000"/>
          <w:sz w:val="24"/>
          <w:szCs w:val="24"/>
        </w:rPr>
        <w:t xml:space="preserve">regional budget, and regional expenditure reports to the CDE MEO. </w:t>
      </w:r>
    </w:p>
    <w:p w14:paraId="7C66A7E7" w14:textId="21112CBD" w:rsidR="00944BC2" w:rsidRDefault="00D83563" w:rsidP="005842A2">
      <w:pPr>
        <w:pStyle w:val="BodyTextIndent"/>
        <w:numPr>
          <w:ilvl w:val="0"/>
          <w:numId w:val="27"/>
        </w:numPr>
        <w:ind w:left="720" w:hanging="288"/>
        <w:rPr>
          <w:rFonts w:cs="Arial"/>
          <w:color w:val="000000"/>
          <w:sz w:val="24"/>
          <w:szCs w:val="24"/>
        </w:rPr>
      </w:pPr>
      <w:r w:rsidRPr="00B63577">
        <w:rPr>
          <w:rFonts w:cs="Arial"/>
          <w:b/>
          <w:bCs/>
          <w:color w:val="000000"/>
          <w:sz w:val="24"/>
          <w:szCs w:val="24"/>
        </w:rPr>
        <w:t>Mixed Model:</w:t>
      </w:r>
      <w:r w:rsidRPr="00D83563">
        <w:rPr>
          <w:rFonts w:cs="Arial"/>
          <w:color w:val="000000"/>
          <w:sz w:val="24"/>
          <w:szCs w:val="24"/>
        </w:rPr>
        <w:t xml:space="preserve"> The region provides services to some districts (as in the Centralized Region Model) and reimburses other districts through a DSA</w:t>
      </w:r>
      <w:r w:rsidR="001F07C4">
        <w:rPr>
          <w:rFonts w:cs="Arial"/>
          <w:color w:val="000000"/>
          <w:sz w:val="24"/>
          <w:szCs w:val="24"/>
        </w:rPr>
        <w:t xml:space="preserve">, </w:t>
      </w:r>
      <w:r w:rsidRPr="00D83563">
        <w:rPr>
          <w:rFonts w:cs="Arial"/>
          <w:color w:val="000000"/>
          <w:sz w:val="24"/>
          <w:szCs w:val="24"/>
        </w:rPr>
        <w:t>MOU</w:t>
      </w:r>
      <w:r w:rsidR="001F07C4">
        <w:rPr>
          <w:rFonts w:cs="Arial"/>
          <w:color w:val="000000"/>
          <w:sz w:val="24"/>
          <w:szCs w:val="24"/>
        </w:rPr>
        <w:t xml:space="preserve"> or Consortium</w:t>
      </w:r>
      <w:r w:rsidRPr="00D83563">
        <w:rPr>
          <w:rFonts w:cs="Arial"/>
          <w:color w:val="000000"/>
          <w:sz w:val="24"/>
          <w:szCs w:val="24"/>
        </w:rPr>
        <w:t>.</w:t>
      </w:r>
    </w:p>
    <w:p w14:paraId="09443F75" w14:textId="77777777" w:rsidR="00D83563" w:rsidRDefault="00D83563" w:rsidP="00726990">
      <w:pPr>
        <w:pStyle w:val="BodyTextIndent"/>
        <w:rPr>
          <w:rFonts w:cs="Arial"/>
          <w:color w:val="000000"/>
          <w:sz w:val="24"/>
          <w:szCs w:val="24"/>
        </w:rPr>
      </w:pPr>
      <w:r w:rsidRPr="00D83563">
        <w:rPr>
          <w:rFonts w:cs="Arial"/>
          <w:color w:val="000000"/>
          <w:sz w:val="24"/>
          <w:szCs w:val="24"/>
        </w:rPr>
        <w:t>Under the Mixed Model, the region divides responsibilities over MEP services and funding in different ways with different school districts. The mixed model is the most common regional model, and it consists of the following arrangements:</w:t>
      </w:r>
    </w:p>
    <w:p w14:paraId="1A432CC5" w14:textId="425425CF" w:rsidR="00D83563" w:rsidRDefault="003734D4" w:rsidP="005842A2">
      <w:pPr>
        <w:pStyle w:val="BodyTextIndent"/>
        <w:numPr>
          <w:ilvl w:val="0"/>
          <w:numId w:val="26"/>
        </w:numPr>
        <w:ind w:left="1296" w:hanging="288"/>
        <w:rPr>
          <w:rFonts w:cs="Arial"/>
          <w:color w:val="000000"/>
          <w:sz w:val="24"/>
          <w:szCs w:val="24"/>
        </w:rPr>
      </w:pPr>
      <w:r>
        <w:rPr>
          <w:rFonts w:cs="Arial"/>
          <w:i/>
          <w:color w:val="000000"/>
          <w:sz w:val="24"/>
          <w:szCs w:val="24"/>
        </w:rPr>
        <w:t xml:space="preserve">DSAs: These are agreements with </w:t>
      </w:r>
      <w:r w:rsidR="00D83563" w:rsidRPr="00D83563">
        <w:rPr>
          <w:rFonts w:cs="Arial"/>
          <w:i/>
          <w:color w:val="000000"/>
          <w:sz w:val="24"/>
          <w:szCs w:val="24"/>
        </w:rPr>
        <w:t>Districts</w:t>
      </w:r>
      <w:r>
        <w:rPr>
          <w:rFonts w:cs="Arial"/>
          <w:i/>
          <w:color w:val="000000"/>
          <w:sz w:val="24"/>
          <w:szCs w:val="24"/>
        </w:rPr>
        <w:t xml:space="preserve"> with over 200 migratory students that</w:t>
      </w:r>
      <w:r w:rsidR="00D83563" w:rsidRPr="00D83563">
        <w:rPr>
          <w:rFonts w:cs="Arial"/>
          <w:i/>
          <w:color w:val="000000"/>
          <w:sz w:val="24"/>
          <w:szCs w:val="24"/>
        </w:rPr>
        <w:t xml:space="preserve"> provide </w:t>
      </w:r>
      <w:r>
        <w:rPr>
          <w:rFonts w:cs="Arial"/>
          <w:i/>
          <w:color w:val="000000"/>
          <w:sz w:val="24"/>
          <w:szCs w:val="24"/>
        </w:rPr>
        <w:t xml:space="preserve">direct MEP </w:t>
      </w:r>
      <w:r w:rsidR="00D83563" w:rsidRPr="00D83563">
        <w:rPr>
          <w:rFonts w:cs="Arial"/>
          <w:i/>
          <w:color w:val="000000"/>
          <w:sz w:val="24"/>
          <w:szCs w:val="24"/>
        </w:rPr>
        <w:t xml:space="preserve">services to </w:t>
      </w:r>
      <w:r>
        <w:rPr>
          <w:rFonts w:cs="Arial"/>
          <w:i/>
          <w:color w:val="000000"/>
          <w:sz w:val="24"/>
          <w:szCs w:val="24"/>
        </w:rPr>
        <w:t xml:space="preserve">their district migratory </w:t>
      </w:r>
      <w:r w:rsidR="00D83563" w:rsidRPr="00D83563">
        <w:rPr>
          <w:rFonts w:cs="Arial"/>
          <w:i/>
          <w:color w:val="000000"/>
          <w:sz w:val="24"/>
          <w:szCs w:val="24"/>
        </w:rPr>
        <w:t>students</w:t>
      </w:r>
      <w:r w:rsidR="007357B8">
        <w:rPr>
          <w:rFonts w:cs="Arial"/>
          <w:color w:val="000000"/>
          <w:sz w:val="24"/>
          <w:szCs w:val="24"/>
        </w:rPr>
        <w:t>.</w:t>
      </w:r>
      <w:r w:rsidR="00D83563" w:rsidRPr="00D83563">
        <w:rPr>
          <w:rFonts w:cs="Arial"/>
          <w:color w:val="000000"/>
          <w:sz w:val="24"/>
          <w:szCs w:val="24"/>
        </w:rPr>
        <w:t xml:space="preserve"> These districts must complete and submit the DSA</w:t>
      </w:r>
      <w:r>
        <w:rPr>
          <w:rFonts w:cs="Arial"/>
          <w:color w:val="000000"/>
          <w:sz w:val="24"/>
          <w:szCs w:val="24"/>
        </w:rPr>
        <w:t xml:space="preserve"> application</w:t>
      </w:r>
      <w:r w:rsidR="00DF6E1A">
        <w:rPr>
          <w:rFonts w:cs="Arial"/>
          <w:color w:val="000000"/>
          <w:sz w:val="24"/>
          <w:szCs w:val="24"/>
        </w:rPr>
        <w:t>,</w:t>
      </w:r>
      <w:r>
        <w:rPr>
          <w:rFonts w:cs="Arial"/>
          <w:color w:val="000000"/>
          <w:sz w:val="24"/>
          <w:szCs w:val="24"/>
        </w:rPr>
        <w:t xml:space="preserve"> </w:t>
      </w:r>
      <w:r w:rsidRPr="00D83563">
        <w:rPr>
          <w:rFonts w:cs="Arial"/>
          <w:color w:val="000000"/>
          <w:sz w:val="24"/>
          <w:szCs w:val="24"/>
        </w:rPr>
        <w:t xml:space="preserve">DSA </w:t>
      </w:r>
      <w:r w:rsidR="007357B8">
        <w:rPr>
          <w:rFonts w:cs="Arial"/>
          <w:color w:val="000000"/>
          <w:sz w:val="24"/>
          <w:szCs w:val="24"/>
        </w:rPr>
        <w:t>b</w:t>
      </w:r>
      <w:r w:rsidRPr="00D83563">
        <w:rPr>
          <w:rFonts w:cs="Arial"/>
          <w:color w:val="000000"/>
          <w:sz w:val="24"/>
          <w:szCs w:val="24"/>
        </w:rPr>
        <w:t>udget,</w:t>
      </w:r>
      <w:r>
        <w:rPr>
          <w:rFonts w:cs="Arial"/>
          <w:color w:val="000000"/>
          <w:sz w:val="24"/>
          <w:szCs w:val="24"/>
        </w:rPr>
        <w:t xml:space="preserve"> </w:t>
      </w:r>
      <w:r w:rsidR="008070C5">
        <w:rPr>
          <w:rFonts w:cs="Arial"/>
          <w:color w:val="000000"/>
          <w:sz w:val="24"/>
          <w:szCs w:val="24"/>
        </w:rPr>
        <w:t xml:space="preserve">and </w:t>
      </w:r>
      <w:r>
        <w:rPr>
          <w:rFonts w:cs="Arial"/>
          <w:color w:val="000000"/>
          <w:sz w:val="24"/>
          <w:szCs w:val="24"/>
        </w:rPr>
        <w:t>DSA expenditure reports</w:t>
      </w:r>
      <w:r w:rsidR="00D83563" w:rsidRPr="00D83563">
        <w:rPr>
          <w:rFonts w:cs="Arial"/>
          <w:color w:val="000000"/>
          <w:sz w:val="24"/>
          <w:szCs w:val="24"/>
        </w:rPr>
        <w:t xml:space="preserve"> to the Regional Director.</w:t>
      </w:r>
    </w:p>
    <w:p w14:paraId="1E193D10" w14:textId="2F3A7FCE" w:rsidR="00944BC2" w:rsidRDefault="008070C5" w:rsidP="005842A2">
      <w:pPr>
        <w:pStyle w:val="BodyTextIndent"/>
        <w:numPr>
          <w:ilvl w:val="0"/>
          <w:numId w:val="26"/>
        </w:numPr>
        <w:ind w:left="1296" w:hanging="288"/>
        <w:rPr>
          <w:rFonts w:cs="Arial"/>
          <w:color w:val="000000"/>
          <w:sz w:val="24"/>
          <w:szCs w:val="24"/>
        </w:rPr>
      </w:pPr>
      <w:r>
        <w:rPr>
          <w:rFonts w:cs="Arial"/>
          <w:i/>
          <w:color w:val="000000"/>
          <w:sz w:val="24"/>
          <w:szCs w:val="24"/>
        </w:rPr>
        <w:t xml:space="preserve">MOUs: These are agreements with </w:t>
      </w:r>
      <w:r w:rsidR="00D83563" w:rsidRPr="00D83563">
        <w:rPr>
          <w:rFonts w:cs="Arial"/>
          <w:i/>
          <w:color w:val="000000"/>
          <w:sz w:val="24"/>
          <w:szCs w:val="24"/>
        </w:rPr>
        <w:t>Districts</w:t>
      </w:r>
      <w:r>
        <w:rPr>
          <w:rFonts w:cs="Arial"/>
          <w:i/>
          <w:color w:val="000000"/>
          <w:sz w:val="24"/>
          <w:szCs w:val="24"/>
        </w:rPr>
        <w:t xml:space="preserve"> with under 200 migratory students that provide some direct MEP services to migratory students or families</w:t>
      </w:r>
      <w:r w:rsidR="007357B8">
        <w:rPr>
          <w:rFonts w:cs="Arial"/>
          <w:i/>
          <w:color w:val="000000"/>
          <w:sz w:val="24"/>
          <w:szCs w:val="24"/>
        </w:rPr>
        <w:t xml:space="preserve">. </w:t>
      </w:r>
      <w:r w:rsidR="00D83563" w:rsidRPr="00D83563">
        <w:rPr>
          <w:rFonts w:cs="Arial"/>
          <w:color w:val="000000"/>
          <w:sz w:val="24"/>
          <w:szCs w:val="24"/>
        </w:rPr>
        <w:t>These districts must complete specifi</w:t>
      </w:r>
      <w:r w:rsidR="007357B8">
        <w:rPr>
          <w:rFonts w:cs="Arial"/>
          <w:color w:val="000000"/>
          <w:sz w:val="24"/>
          <w:szCs w:val="24"/>
        </w:rPr>
        <w:t>c</w:t>
      </w:r>
      <w:r w:rsidR="00D83563" w:rsidRPr="00D83563">
        <w:rPr>
          <w:rFonts w:cs="Arial"/>
          <w:color w:val="000000"/>
          <w:sz w:val="24"/>
          <w:szCs w:val="24"/>
        </w:rPr>
        <w:t xml:space="preserve"> parts of the </w:t>
      </w:r>
      <w:r w:rsidR="007357B8">
        <w:rPr>
          <w:rFonts w:cs="Arial"/>
          <w:color w:val="000000"/>
          <w:sz w:val="24"/>
          <w:szCs w:val="24"/>
        </w:rPr>
        <w:t xml:space="preserve">MOU </w:t>
      </w:r>
      <w:r w:rsidR="001045D1">
        <w:rPr>
          <w:rFonts w:cs="Arial"/>
          <w:color w:val="000000"/>
          <w:sz w:val="24"/>
          <w:szCs w:val="24"/>
        </w:rPr>
        <w:t>application</w:t>
      </w:r>
      <w:r w:rsidR="00DF6E1A">
        <w:rPr>
          <w:rFonts w:cs="Arial"/>
          <w:color w:val="000000"/>
          <w:sz w:val="24"/>
          <w:szCs w:val="24"/>
        </w:rPr>
        <w:t>,</w:t>
      </w:r>
      <w:r w:rsidR="001045D1">
        <w:rPr>
          <w:rFonts w:cs="Arial"/>
          <w:color w:val="000000"/>
          <w:sz w:val="24"/>
          <w:szCs w:val="24"/>
        </w:rPr>
        <w:t xml:space="preserve"> </w:t>
      </w:r>
      <w:r w:rsidR="007357B8">
        <w:rPr>
          <w:rFonts w:cs="Arial"/>
          <w:color w:val="000000"/>
          <w:sz w:val="24"/>
          <w:szCs w:val="24"/>
        </w:rPr>
        <w:t>MOU budget</w:t>
      </w:r>
      <w:r w:rsidR="00D83563" w:rsidRPr="00D83563">
        <w:rPr>
          <w:rFonts w:cs="Arial"/>
          <w:color w:val="000000"/>
          <w:sz w:val="24"/>
          <w:szCs w:val="24"/>
        </w:rPr>
        <w:t xml:space="preserve">, and </w:t>
      </w:r>
      <w:r w:rsidR="007357B8">
        <w:rPr>
          <w:rFonts w:cs="Arial"/>
          <w:color w:val="000000"/>
          <w:sz w:val="24"/>
          <w:szCs w:val="24"/>
        </w:rPr>
        <w:t xml:space="preserve">MOU expenditure reports to the Regional Director. </w:t>
      </w:r>
    </w:p>
    <w:p w14:paraId="49484AD4" w14:textId="75450E25" w:rsidR="00D83563" w:rsidRDefault="00223877" w:rsidP="005842A2">
      <w:pPr>
        <w:pStyle w:val="BodyTextIndent"/>
        <w:numPr>
          <w:ilvl w:val="0"/>
          <w:numId w:val="26"/>
        </w:numPr>
        <w:ind w:left="1296" w:hanging="288"/>
        <w:rPr>
          <w:rFonts w:cs="Arial"/>
          <w:sz w:val="24"/>
          <w:szCs w:val="24"/>
        </w:rPr>
      </w:pPr>
      <w:r>
        <w:rPr>
          <w:rFonts w:cs="Arial"/>
          <w:i/>
          <w:color w:val="000000"/>
          <w:sz w:val="24"/>
          <w:szCs w:val="24"/>
        </w:rPr>
        <w:t>C</w:t>
      </w:r>
      <w:r w:rsidR="00D83563" w:rsidRPr="00D83563">
        <w:rPr>
          <w:rFonts w:cs="Arial"/>
          <w:i/>
          <w:color w:val="000000"/>
          <w:sz w:val="24"/>
          <w:szCs w:val="24"/>
        </w:rPr>
        <w:t>onsortium</w:t>
      </w:r>
      <w:r>
        <w:rPr>
          <w:rFonts w:cs="Arial"/>
          <w:i/>
          <w:color w:val="000000"/>
          <w:sz w:val="24"/>
          <w:szCs w:val="24"/>
        </w:rPr>
        <w:t>s</w:t>
      </w:r>
      <w:r w:rsidR="00D83563" w:rsidRPr="00D83563">
        <w:rPr>
          <w:rFonts w:cs="Arial"/>
          <w:color w:val="000000"/>
          <w:sz w:val="24"/>
          <w:szCs w:val="24"/>
        </w:rPr>
        <w:t>: School districts</w:t>
      </w:r>
      <w:r w:rsidR="00F722B1">
        <w:rPr>
          <w:rFonts w:cs="Arial"/>
          <w:color w:val="000000"/>
          <w:sz w:val="24"/>
          <w:szCs w:val="24"/>
        </w:rPr>
        <w:t xml:space="preserve"> </w:t>
      </w:r>
      <w:r w:rsidR="00D83563" w:rsidRPr="00D83563">
        <w:rPr>
          <w:rFonts w:cs="Arial"/>
          <w:color w:val="000000"/>
          <w:sz w:val="24"/>
          <w:szCs w:val="24"/>
        </w:rPr>
        <w:t xml:space="preserve">can join other districts to form a consortium (with one district becoming the DSA lead and administrative agent). Districts participating in a consortium must complete some parts of the DSA as directed by the region </w:t>
      </w:r>
      <w:r w:rsidR="00BB00E9">
        <w:rPr>
          <w:rFonts w:cs="Arial"/>
          <w:color w:val="000000"/>
          <w:sz w:val="24"/>
          <w:szCs w:val="24"/>
        </w:rPr>
        <w:t>or</w:t>
      </w:r>
      <w:r w:rsidR="00D83563" w:rsidRPr="00D83563">
        <w:rPr>
          <w:rFonts w:cs="Arial"/>
          <w:color w:val="000000"/>
          <w:sz w:val="24"/>
          <w:szCs w:val="24"/>
        </w:rPr>
        <w:t xml:space="preserve"> must complete an MOU with the region. The district serving as the DSA lead will complete and submit the entire DSA</w:t>
      </w:r>
      <w:r w:rsidR="00BD7A1F">
        <w:rPr>
          <w:rFonts w:cs="Arial"/>
          <w:color w:val="000000"/>
          <w:sz w:val="24"/>
          <w:szCs w:val="24"/>
        </w:rPr>
        <w:t xml:space="preserve"> and</w:t>
      </w:r>
      <w:r w:rsidR="00D83563" w:rsidRPr="00D83563">
        <w:rPr>
          <w:rFonts w:cs="Arial"/>
          <w:color w:val="000000"/>
          <w:sz w:val="24"/>
          <w:szCs w:val="24"/>
        </w:rPr>
        <w:t xml:space="preserve"> DSA Budget</w:t>
      </w:r>
      <w:r w:rsidR="00A01271">
        <w:rPr>
          <w:rFonts w:cs="Arial"/>
          <w:color w:val="000000"/>
          <w:sz w:val="24"/>
          <w:szCs w:val="24"/>
        </w:rPr>
        <w:t xml:space="preserve"> </w:t>
      </w:r>
      <w:r w:rsidR="00D83563" w:rsidRPr="00D83563">
        <w:rPr>
          <w:rFonts w:cs="Arial"/>
          <w:color w:val="000000"/>
          <w:sz w:val="24"/>
          <w:szCs w:val="24"/>
        </w:rPr>
        <w:t>to the Regional Director.</w:t>
      </w:r>
    </w:p>
    <w:p w14:paraId="756B93CF" w14:textId="7C907B1C" w:rsidR="00D83563" w:rsidRDefault="00D83563" w:rsidP="005842A2">
      <w:pPr>
        <w:pStyle w:val="BodyTextIndent"/>
        <w:numPr>
          <w:ilvl w:val="0"/>
          <w:numId w:val="27"/>
        </w:numPr>
        <w:ind w:left="720" w:hanging="288"/>
        <w:rPr>
          <w:rFonts w:cs="Arial"/>
          <w:sz w:val="24"/>
          <w:szCs w:val="24"/>
        </w:rPr>
      </w:pPr>
      <w:r w:rsidRPr="00B63577">
        <w:rPr>
          <w:rFonts w:cs="Arial"/>
          <w:b/>
          <w:bCs/>
          <w:sz w:val="24"/>
          <w:szCs w:val="24"/>
        </w:rPr>
        <w:t>Direct-Funded Districts Model:</w:t>
      </w:r>
      <w:r w:rsidRPr="00D83563">
        <w:rPr>
          <w:rFonts w:cs="Arial"/>
          <w:sz w:val="24"/>
          <w:szCs w:val="24"/>
        </w:rPr>
        <w:t xml:space="preserve"> In this single district model, the district </w:t>
      </w:r>
      <w:r w:rsidR="002B360C">
        <w:rPr>
          <w:rFonts w:cs="Arial"/>
          <w:sz w:val="24"/>
          <w:szCs w:val="24"/>
        </w:rPr>
        <w:t xml:space="preserve">is responsible for </w:t>
      </w:r>
      <w:r w:rsidR="002B360C">
        <w:rPr>
          <w:rFonts w:cs="Arial"/>
          <w:color w:val="000000"/>
          <w:sz w:val="24"/>
          <w:szCs w:val="24"/>
        </w:rPr>
        <w:t>completing and submitting a DFD application</w:t>
      </w:r>
      <w:r w:rsidR="00C91ADD">
        <w:rPr>
          <w:rFonts w:cs="Arial"/>
          <w:color w:val="000000"/>
          <w:sz w:val="24"/>
          <w:szCs w:val="24"/>
        </w:rPr>
        <w:t>,</w:t>
      </w:r>
      <w:r w:rsidR="002B360C">
        <w:rPr>
          <w:rFonts w:cs="Arial"/>
          <w:color w:val="000000"/>
          <w:sz w:val="24"/>
          <w:szCs w:val="24"/>
        </w:rPr>
        <w:t xml:space="preserve"> </w:t>
      </w:r>
      <w:r w:rsidR="00AD54D1">
        <w:rPr>
          <w:rFonts w:cs="Arial"/>
          <w:color w:val="000000"/>
          <w:sz w:val="24"/>
          <w:szCs w:val="24"/>
        </w:rPr>
        <w:t>DFD</w:t>
      </w:r>
      <w:r w:rsidR="002B360C">
        <w:rPr>
          <w:rFonts w:cs="Arial"/>
          <w:color w:val="000000"/>
          <w:sz w:val="24"/>
          <w:szCs w:val="24"/>
        </w:rPr>
        <w:t xml:space="preserve"> budget, and </w:t>
      </w:r>
      <w:r w:rsidR="00AD54D1">
        <w:rPr>
          <w:rFonts w:cs="Arial"/>
          <w:color w:val="000000"/>
          <w:sz w:val="24"/>
          <w:szCs w:val="24"/>
        </w:rPr>
        <w:t xml:space="preserve">DFD </w:t>
      </w:r>
      <w:r w:rsidR="002B360C">
        <w:rPr>
          <w:rFonts w:cs="Arial"/>
          <w:color w:val="000000"/>
          <w:sz w:val="24"/>
          <w:szCs w:val="24"/>
        </w:rPr>
        <w:t>expenditure reports to the CDE MEO.</w:t>
      </w:r>
      <w:r w:rsidRPr="00D83563">
        <w:rPr>
          <w:rFonts w:cs="Arial"/>
          <w:sz w:val="24"/>
          <w:szCs w:val="24"/>
        </w:rPr>
        <w:t xml:space="preserve"> School districts approved for direct-funding operate their MEP independently</w:t>
      </w:r>
      <w:r w:rsidR="005B697B">
        <w:rPr>
          <w:rFonts w:cs="Arial"/>
          <w:sz w:val="24"/>
          <w:szCs w:val="24"/>
        </w:rPr>
        <w:t>.</w:t>
      </w:r>
    </w:p>
    <w:p w14:paraId="3B126283" w14:textId="77777777" w:rsidR="00D83563" w:rsidRDefault="00D83563" w:rsidP="009C532E">
      <w:pPr>
        <w:pStyle w:val="Heading3"/>
      </w:pPr>
      <w:bookmarkStart w:id="16" w:name="_Toc414262488"/>
      <w:bookmarkStart w:id="17" w:name="_Toc207703783"/>
      <w:r w:rsidRPr="00D83563">
        <w:t>1.5</w:t>
      </w:r>
      <w:r w:rsidR="00182DC5">
        <w:t xml:space="preserve"> </w:t>
      </w:r>
      <w:r w:rsidRPr="00D83563">
        <w:t>Operating Agency Contracts with Outside Vendors</w:t>
      </w:r>
      <w:bookmarkEnd w:id="16"/>
      <w:bookmarkEnd w:id="17"/>
    </w:p>
    <w:p w14:paraId="4B5A0E3C" w14:textId="789810AB" w:rsidR="00D83563" w:rsidRPr="00FB4447" w:rsidRDefault="00D83563" w:rsidP="00726990">
      <w:pPr>
        <w:pStyle w:val="BodyTextIndent"/>
        <w:ind w:left="0"/>
        <w:rPr>
          <w:rFonts w:cs="Arial"/>
          <w:iCs/>
          <w:color w:val="000000"/>
          <w:sz w:val="24"/>
        </w:rPr>
      </w:pPr>
      <w:r w:rsidRPr="00FB4447">
        <w:rPr>
          <w:rFonts w:cs="Arial"/>
          <w:iCs/>
          <w:color w:val="000000"/>
          <w:sz w:val="24"/>
        </w:rPr>
        <w:t>Procurement transactions must be conducted in a manner providing for full and open competition consistent with applicable federal and state statutes and regulations. Awards will be made to the lowest responsive and responsible bidder. All policies and practices at the district and regional level (as they pertain to sub-contracts with outside vendors) must also be consistent with the requirements in</w:t>
      </w:r>
      <w:r w:rsidR="00E77043">
        <w:rPr>
          <w:rFonts w:cs="Arial"/>
          <w:iCs/>
          <w:color w:val="000000"/>
          <w:sz w:val="24"/>
        </w:rPr>
        <w:t xml:space="preserve"> Title</w:t>
      </w:r>
      <w:r w:rsidRPr="00FB4447">
        <w:rPr>
          <w:rFonts w:cs="Arial"/>
          <w:iCs/>
          <w:color w:val="000000"/>
          <w:sz w:val="24"/>
        </w:rPr>
        <w:t xml:space="preserve"> 2 </w:t>
      </w:r>
      <w:r w:rsidRPr="008C24E7">
        <w:rPr>
          <w:rFonts w:cs="Arial"/>
          <w:i/>
          <w:color w:val="000000"/>
          <w:sz w:val="24"/>
        </w:rPr>
        <w:t>Code of Federal Regulations</w:t>
      </w:r>
      <w:r w:rsidRPr="00FB4447">
        <w:rPr>
          <w:rFonts w:cs="Arial"/>
          <w:iCs/>
          <w:color w:val="000000"/>
          <w:sz w:val="24"/>
        </w:rPr>
        <w:t xml:space="preserve"> (</w:t>
      </w:r>
      <w:r w:rsidRPr="008C24E7">
        <w:rPr>
          <w:rFonts w:cs="Arial"/>
          <w:i/>
          <w:color w:val="000000"/>
          <w:sz w:val="24"/>
        </w:rPr>
        <w:t>CFR</w:t>
      </w:r>
      <w:r w:rsidRPr="00FB4447">
        <w:rPr>
          <w:rFonts w:cs="Arial"/>
          <w:iCs/>
          <w:color w:val="000000"/>
          <w:sz w:val="24"/>
        </w:rPr>
        <w:t>)</w:t>
      </w:r>
      <w:r w:rsidR="00E77043">
        <w:rPr>
          <w:rFonts w:cs="Arial"/>
          <w:iCs/>
          <w:color w:val="000000"/>
          <w:sz w:val="24"/>
        </w:rPr>
        <w:t xml:space="preserve"> sections</w:t>
      </w:r>
      <w:r w:rsidRPr="00FB4447">
        <w:rPr>
          <w:rFonts w:cs="Arial"/>
          <w:iCs/>
          <w:color w:val="000000"/>
          <w:sz w:val="24"/>
        </w:rPr>
        <w:t xml:space="preserve"> 200.318 – 200.32</w:t>
      </w:r>
      <w:r w:rsidR="00CA1956">
        <w:rPr>
          <w:rFonts w:cs="Arial"/>
          <w:iCs/>
          <w:color w:val="000000"/>
          <w:sz w:val="24"/>
        </w:rPr>
        <w:t>7</w:t>
      </w:r>
      <w:r w:rsidRPr="00FB4447">
        <w:rPr>
          <w:rFonts w:cs="Arial"/>
          <w:iCs/>
          <w:color w:val="000000"/>
          <w:sz w:val="24"/>
        </w:rPr>
        <w:t>, including but not limited to:</w:t>
      </w:r>
    </w:p>
    <w:p w14:paraId="58E0FB0C" w14:textId="3B846BEF" w:rsidR="00D83563" w:rsidRDefault="00D83563" w:rsidP="005842A2">
      <w:pPr>
        <w:pStyle w:val="BodyTextIndent"/>
        <w:numPr>
          <w:ilvl w:val="0"/>
          <w:numId w:val="73"/>
        </w:numPr>
        <w:ind w:left="630" w:hanging="270"/>
        <w:rPr>
          <w:rFonts w:cs="Arial"/>
          <w:color w:val="000000"/>
          <w:sz w:val="24"/>
        </w:rPr>
      </w:pPr>
      <w:r w:rsidRPr="00D83563">
        <w:rPr>
          <w:rFonts w:cs="Arial"/>
          <w:color w:val="000000"/>
          <w:sz w:val="24"/>
        </w:rPr>
        <w:t>Full and open competitive bidding for services</w:t>
      </w:r>
      <w:r w:rsidR="00E77043">
        <w:rPr>
          <w:rFonts w:cs="Arial"/>
          <w:color w:val="000000"/>
          <w:sz w:val="24"/>
        </w:rPr>
        <w:t>.</w:t>
      </w:r>
    </w:p>
    <w:p w14:paraId="4A0BE0BD" w14:textId="4DAA4283" w:rsidR="00D83563" w:rsidRDefault="00D83563" w:rsidP="005842A2">
      <w:pPr>
        <w:pStyle w:val="BodyTextIndent"/>
        <w:numPr>
          <w:ilvl w:val="0"/>
          <w:numId w:val="73"/>
        </w:numPr>
        <w:ind w:left="630" w:hanging="270"/>
        <w:rPr>
          <w:rFonts w:cs="Arial"/>
          <w:color w:val="000000"/>
          <w:sz w:val="24"/>
        </w:rPr>
      </w:pPr>
      <w:r w:rsidRPr="00D83563">
        <w:rPr>
          <w:rFonts w:cs="Arial"/>
          <w:color w:val="000000"/>
          <w:sz w:val="24"/>
        </w:rPr>
        <w:t>Establishment of a clear process and written criteria for reviewing proposals, assessing technical qualifications of contracted personnel, and assessing the quality of the technical approach for service</w:t>
      </w:r>
      <w:r w:rsidR="00E77043">
        <w:rPr>
          <w:rFonts w:cs="Arial"/>
          <w:color w:val="000000"/>
          <w:sz w:val="24"/>
        </w:rPr>
        <w:t>.</w:t>
      </w:r>
    </w:p>
    <w:p w14:paraId="44B98348" w14:textId="33155453" w:rsidR="00D83563" w:rsidRDefault="00D83563" w:rsidP="005842A2">
      <w:pPr>
        <w:pStyle w:val="BodyTextIndent"/>
        <w:numPr>
          <w:ilvl w:val="0"/>
          <w:numId w:val="73"/>
        </w:numPr>
        <w:ind w:left="630" w:hanging="270"/>
        <w:rPr>
          <w:rFonts w:cs="Arial"/>
          <w:color w:val="000000"/>
          <w:sz w:val="24"/>
        </w:rPr>
      </w:pPr>
      <w:r w:rsidRPr="00D83563">
        <w:rPr>
          <w:rFonts w:cs="Arial"/>
          <w:color w:val="000000"/>
          <w:sz w:val="24"/>
        </w:rPr>
        <w:t xml:space="preserve">Performance of a </w:t>
      </w:r>
      <w:r w:rsidR="00D91B68" w:rsidRPr="00D83563">
        <w:rPr>
          <w:rFonts w:cs="Arial"/>
          <w:color w:val="000000"/>
          <w:sz w:val="24"/>
        </w:rPr>
        <w:t>clear</w:t>
      </w:r>
      <w:r w:rsidRPr="00D83563">
        <w:rPr>
          <w:rFonts w:cs="Arial"/>
          <w:color w:val="000000"/>
          <w:sz w:val="24"/>
        </w:rPr>
        <w:t xml:space="preserve"> cost-benefit analysis for the required service</w:t>
      </w:r>
      <w:r w:rsidR="00E77043">
        <w:rPr>
          <w:rFonts w:cs="Arial"/>
          <w:color w:val="000000"/>
          <w:sz w:val="24"/>
        </w:rPr>
        <w:t>.</w:t>
      </w:r>
    </w:p>
    <w:p w14:paraId="1BEE4C15" w14:textId="3957ADD4" w:rsidR="00D83563" w:rsidRDefault="00D83563" w:rsidP="005842A2">
      <w:pPr>
        <w:pStyle w:val="BodyTextIndent"/>
        <w:numPr>
          <w:ilvl w:val="0"/>
          <w:numId w:val="73"/>
        </w:numPr>
        <w:ind w:left="630" w:hanging="270"/>
        <w:rPr>
          <w:rFonts w:cs="Arial"/>
          <w:color w:val="000000"/>
          <w:sz w:val="24"/>
        </w:rPr>
      </w:pPr>
      <w:r w:rsidRPr="00D83563">
        <w:rPr>
          <w:rFonts w:cs="Arial"/>
          <w:color w:val="000000"/>
          <w:sz w:val="24"/>
        </w:rPr>
        <w:lastRenderedPageBreak/>
        <w:t>Identification, avoidance, and reporting of conflicts of interest in procuring goods and services</w:t>
      </w:r>
      <w:r w:rsidR="00E77043">
        <w:rPr>
          <w:rFonts w:cs="Arial"/>
          <w:color w:val="000000"/>
          <w:sz w:val="24"/>
        </w:rPr>
        <w:t>,</w:t>
      </w:r>
      <w:r w:rsidRPr="00D83563">
        <w:rPr>
          <w:rFonts w:cs="Arial"/>
          <w:color w:val="000000"/>
          <w:sz w:val="24"/>
        </w:rPr>
        <w:t xml:space="preserve"> 2 </w:t>
      </w:r>
      <w:r w:rsidRPr="00D83563">
        <w:rPr>
          <w:rFonts w:cs="Arial"/>
          <w:i/>
          <w:color w:val="000000"/>
          <w:sz w:val="24"/>
        </w:rPr>
        <w:t>CFR</w:t>
      </w:r>
      <w:r w:rsidRPr="00D83563">
        <w:rPr>
          <w:rFonts w:cs="Arial"/>
          <w:color w:val="000000"/>
          <w:sz w:val="24"/>
        </w:rPr>
        <w:t xml:space="preserve"> </w:t>
      </w:r>
      <w:r w:rsidR="00E77043">
        <w:rPr>
          <w:rFonts w:cs="Arial"/>
          <w:color w:val="000000"/>
          <w:sz w:val="24"/>
        </w:rPr>
        <w:t xml:space="preserve">Section </w:t>
      </w:r>
      <w:r w:rsidRPr="00D83563">
        <w:rPr>
          <w:rFonts w:cs="Arial"/>
          <w:color w:val="000000"/>
          <w:sz w:val="24"/>
        </w:rPr>
        <w:t>200.318(c)</w:t>
      </w:r>
      <w:r w:rsidR="00E77043">
        <w:rPr>
          <w:rFonts w:cs="Arial"/>
          <w:color w:val="000000"/>
          <w:sz w:val="24"/>
        </w:rPr>
        <w:t>.</w:t>
      </w:r>
    </w:p>
    <w:p w14:paraId="1FE97CD3" w14:textId="6B83F3F4" w:rsidR="00D83563" w:rsidRDefault="00D83563" w:rsidP="00726990">
      <w:pPr>
        <w:pStyle w:val="BodyTextIndent"/>
        <w:ind w:left="0"/>
        <w:rPr>
          <w:rFonts w:cs="Arial"/>
          <w:color w:val="000000"/>
          <w:sz w:val="24"/>
        </w:rPr>
      </w:pPr>
      <w:r w:rsidRPr="00D83563">
        <w:rPr>
          <w:rFonts w:cs="Arial"/>
          <w:color w:val="000000"/>
          <w:sz w:val="24"/>
        </w:rPr>
        <w:t xml:space="preserve">Per 2 </w:t>
      </w:r>
      <w:r w:rsidRPr="00D83563">
        <w:rPr>
          <w:rFonts w:cs="Arial"/>
          <w:i/>
          <w:color w:val="000000"/>
          <w:sz w:val="24"/>
        </w:rPr>
        <w:t>CFR</w:t>
      </w:r>
      <w:r w:rsidRPr="00D83563">
        <w:rPr>
          <w:rFonts w:cs="Arial"/>
          <w:color w:val="000000"/>
          <w:sz w:val="24"/>
        </w:rPr>
        <w:t xml:space="preserve"> </w:t>
      </w:r>
      <w:r w:rsidR="00E77043">
        <w:rPr>
          <w:rFonts w:cs="Arial"/>
          <w:color w:val="000000"/>
          <w:sz w:val="24"/>
        </w:rPr>
        <w:t xml:space="preserve">Section </w:t>
      </w:r>
      <w:r w:rsidRPr="00D83563">
        <w:rPr>
          <w:rFonts w:cs="Arial"/>
          <w:color w:val="000000"/>
          <w:sz w:val="24"/>
        </w:rPr>
        <w:t xml:space="preserve">200.318(c), grantees and subgrantees will maintain </w:t>
      </w:r>
      <w:r w:rsidR="00FB66E7" w:rsidRPr="00FB66E7">
        <w:rPr>
          <w:rFonts w:cs="Arial"/>
          <w:color w:val="000000"/>
          <w:sz w:val="24"/>
        </w:rPr>
        <w:t>written standards of conduct covering conflicts of interest and governing the actions</w:t>
      </w:r>
      <w:r w:rsidRPr="00D83563">
        <w:rPr>
          <w:rFonts w:cs="Arial"/>
          <w:color w:val="000000"/>
          <w:sz w:val="24"/>
        </w:rPr>
        <w:t xml:space="preserve"> of their employees engaged in the award and administration of contracts. No employee, officer or agent of the grantee or subgrantee shall participate in the selection, or in the award or administration of a contract supported by federal funds if a conflict of interest, real or apparent, would be involved. Such a conflict would arise when the employee, officer or agent, member of the immediate family, employee’s partner, or organization which employs or is about to employ any of the above has a financial or other interest in the firms selected for the award. The grantees’ or subgrantees’ officers, employees or agents will neither solicit nor accept gratuities, favors, or anything of monetary value from contractors, potential contractors, or parties to subgrantees. If the grantee or subgrantee has a parent, affiliate or subsidiary organization that is not a state, local or tribal government, the written standards of conduct must also cover organizational conflicts of interest.</w:t>
      </w:r>
    </w:p>
    <w:p w14:paraId="5B667129" w14:textId="77777777" w:rsidR="00D83563" w:rsidRDefault="00D83563" w:rsidP="00726990">
      <w:pPr>
        <w:rPr>
          <w:rFonts w:cs="Arial"/>
          <w:color w:val="000000"/>
        </w:rPr>
      </w:pPr>
      <w:r w:rsidRPr="00D83563">
        <w:rPr>
          <w:rFonts w:cs="Arial"/>
          <w:color w:val="000000"/>
        </w:rPr>
        <w:t xml:space="preserve">Subgrantees must </w:t>
      </w:r>
      <w:r w:rsidRPr="00AD326E">
        <w:t xml:space="preserve">develop policies and procedures for identifying conflicts of interest, per 2 </w:t>
      </w:r>
      <w:r w:rsidRPr="008C24E7">
        <w:rPr>
          <w:i/>
          <w:iCs/>
        </w:rPr>
        <w:t>CFR</w:t>
      </w:r>
      <w:r w:rsidRPr="00AD326E">
        <w:t xml:space="preserve"> 200.318(c) and</w:t>
      </w:r>
      <w:r w:rsidRPr="00D83563">
        <w:rPr>
          <w:rFonts w:cs="Arial"/>
          <w:color w:val="000000"/>
        </w:rPr>
        <w:t xml:space="preserve"> a recusal process.</w:t>
      </w:r>
    </w:p>
    <w:p w14:paraId="041008D1" w14:textId="77777777" w:rsidR="00D83563" w:rsidRDefault="00D83563" w:rsidP="00726990">
      <w:pPr>
        <w:rPr>
          <w:rFonts w:cs="Arial"/>
          <w:color w:val="000000"/>
        </w:rPr>
      </w:pPr>
      <w:r w:rsidRPr="00D83563">
        <w:rPr>
          <w:rFonts w:cs="Arial"/>
          <w:color w:val="000000"/>
        </w:rPr>
        <w:t>Any and all procurement documentation for outside services shall be maintained in the operating agency office and available upon request to the CDE. Approval of such contracts shall be based on the following requirements:</w:t>
      </w:r>
    </w:p>
    <w:p w14:paraId="762EE202" w14:textId="4032D958" w:rsidR="00D83563" w:rsidRDefault="00D83563" w:rsidP="005842A2">
      <w:pPr>
        <w:pStyle w:val="BodyTextIndent"/>
        <w:numPr>
          <w:ilvl w:val="0"/>
          <w:numId w:val="74"/>
        </w:numPr>
        <w:ind w:left="810" w:hanging="450"/>
        <w:rPr>
          <w:rFonts w:cs="Arial"/>
          <w:color w:val="000000"/>
          <w:sz w:val="24"/>
        </w:rPr>
      </w:pPr>
      <w:r w:rsidRPr="00D83563">
        <w:rPr>
          <w:rFonts w:cs="Arial"/>
          <w:color w:val="000000"/>
          <w:sz w:val="24"/>
        </w:rPr>
        <w:t xml:space="preserve">The contract shall not remove direct responsibility from the contractor for any portion of the functions for which the </w:t>
      </w:r>
      <w:r w:rsidRPr="00D83563">
        <w:rPr>
          <w:rFonts w:cs="Arial"/>
          <w:iCs/>
          <w:color w:val="000000"/>
          <w:sz w:val="24"/>
        </w:rPr>
        <w:t>CDE</w:t>
      </w:r>
      <w:r w:rsidRPr="00D83563">
        <w:rPr>
          <w:rFonts w:cs="Arial"/>
          <w:color w:val="000000"/>
          <w:sz w:val="24"/>
        </w:rPr>
        <w:t xml:space="preserve"> holds the operating agency responsible.</w:t>
      </w:r>
    </w:p>
    <w:p w14:paraId="7FA16DBE" w14:textId="79C8C8A0" w:rsidR="00D83563" w:rsidRDefault="00D83563" w:rsidP="005842A2">
      <w:pPr>
        <w:pStyle w:val="BodyTextIndent"/>
        <w:numPr>
          <w:ilvl w:val="0"/>
          <w:numId w:val="74"/>
        </w:numPr>
        <w:ind w:left="810" w:hanging="450"/>
        <w:rPr>
          <w:rFonts w:cs="Arial"/>
          <w:color w:val="000000"/>
          <w:sz w:val="24"/>
        </w:rPr>
      </w:pPr>
      <w:r w:rsidRPr="00D83563">
        <w:rPr>
          <w:rFonts w:cs="Arial"/>
          <w:color w:val="000000"/>
          <w:sz w:val="24"/>
        </w:rPr>
        <w:t>The contract shall not duplicate services already available from the operating agency, the CDE or other governmental entities.</w:t>
      </w:r>
    </w:p>
    <w:p w14:paraId="6EFC1E83" w14:textId="26C5A327" w:rsidR="00D83563" w:rsidRDefault="00D83563" w:rsidP="005842A2">
      <w:pPr>
        <w:pStyle w:val="BodyTextIndent"/>
        <w:numPr>
          <w:ilvl w:val="0"/>
          <w:numId w:val="74"/>
        </w:numPr>
        <w:ind w:left="810" w:hanging="450"/>
        <w:rPr>
          <w:rFonts w:cs="Arial"/>
          <w:color w:val="000000"/>
          <w:sz w:val="24"/>
        </w:rPr>
      </w:pPr>
      <w:r w:rsidRPr="00D83563">
        <w:rPr>
          <w:rFonts w:cs="Arial"/>
          <w:color w:val="000000"/>
          <w:sz w:val="24"/>
        </w:rPr>
        <w:t>All proposed new or renewal contracts and lease agreements shall be made available to the CDE upon request.</w:t>
      </w:r>
    </w:p>
    <w:p w14:paraId="592B779B" w14:textId="0710E0EB" w:rsidR="00D83563" w:rsidRDefault="00D83563" w:rsidP="005842A2">
      <w:pPr>
        <w:pStyle w:val="BodyTextIndent3"/>
        <w:numPr>
          <w:ilvl w:val="0"/>
          <w:numId w:val="74"/>
        </w:numPr>
        <w:tabs>
          <w:tab w:val="left" w:pos="1710"/>
        </w:tabs>
        <w:ind w:left="810" w:hanging="450"/>
        <w:rPr>
          <w:rFonts w:cs="Arial"/>
          <w:color w:val="000000"/>
          <w:sz w:val="24"/>
        </w:rPr>
      </w:pPr>
      <w:r w:rsidRPr="00D83563">
        <w:rPr>
          <w:rFonts w:cs="Arial"/>
          <w:color w:val="000000"/>
          <w:sz w:val="24"/>
        </w:rPr>
        <w:t>Proposed contracts for personal consulting services shall include all necessary information pursuant to the application and the services to be provided.</w:t>
      </w:r>
    </w:p>
    <w:p w14:paraId="7398646D" w14:textId="6FFF82BD" w:rsidR="00D83563" w:rsidRDefault="00D83563" w:rsidP="005842A2">
      <w:pPr>
        <w:pStyle w:val="BodyTextIndent3"/>
        <w:numPr>
          <w:ilvl w:val="0"/>
          <w:numId w:val="74"/>
        </w:numPr>
        <w:ind w:left="810" w:hanging="450"/>
        <w:rPr>
          <w:rFonts w:cs="Arial"/>
          <w:color w:val="000000"/>
          <w:sz w:val="24"/>
        </w:rPr>
      </w:pPr>
      <w:r w:rsidRPr="00D83563">
        <w:rPr>
          <w:rFonts w:cs="Arial"/>
          <w:color w:val="000000"/>
          <w:sz w:val="24"/>
        </w:rPr>
        <w:t xml:space="preserve">No contract shall extend beyond the end of the grant period without a release clause allowing termination with no penalty if </w:t>
      </w:r>
      <w:r w:rsidR="006B3F42">
        <w:rPr>
          <w:rFonts w:cs="Arial"/>
          <w:color w:val="000000"/>
          <w:sz w:val="24"/>
        </w:rPr>
        <w:t>insufficient funds are provided</w:t>
      </w:r>
      <w:r w:rsidRPr="00D83563">
        <w:rPr>
          <w:rFonts w:cs="Arial"/>
          <w:color w:val="000000"/>
          <w:sz w:val="24"/>
        </w:rPr>
        <w:t xml:space="preserve"> in the succeeding grant period.</w:t>
      </w:r>
    </w:p>
    <w:p w14:paraId="385191C0" w14:textId="38477B7B" w:rsidR="00D83563" w:rsidRDefault="00D83563" w:rsidP="005842A2">
      <w:pPr>
        <w:pStyle w:val="BodyTextIndent3"/>
        <w:numPr>
          <w:ilvl w:val="0"/>
          <w:numId w:val="74"/>
        </w:numPr>
        <w:ind w:left="810" w:hanging="450"/>
        <w:rPr>
          <w:rFonts w:cs="Arial"/>
          <w:color w:val="000000"/>
          <w:sz w:val="24"/>
        </w:rPr>
      </w:pPr>
      <w:r w:rsidRPr="00D83563">
        <w:rPr>
          <w:rFonts w:cs="Arial"/>
          <w:color w:val="000000"/>
          <w:sz w:val="24"/>
        </w:rPr>
        <w:t>Cash advances for non-formula contracted services are not allowed.</w:t>
      </w:r>
    </w:p>
    <w:p w14:paraId="2C5138CF" w14:textId="77777777" w:rsidR="00944BC2" w:rsidRDefault="00D83563" w:rsidP="00726990">
      <w:pPr>
        <w:rPr>
          <w:rFonts w:cs="Arial"/>
          <w:color w:val="000000"/>
        </w:rPr>
      </w:pPr>
      <w:r w:rsidRPr="00D83563">
        <w:rPr>
          <w:rFonts w:cs="Arial"/>
          <w:color w:val="000000"/>
        </w:rPr>
        <w:t xml:space="preserve">Procurement </w:t>
      </w:r>
      <w:r w:rsidRPr="00AD326E">
        <w:t>Documentation: All procurement transactions must comply with the audit and record retention requirements</w:t>
      </w:r>
      <w:r w:rsidRPr="00D83563">
        <w:rPr>
          <w:rFonts w:cs="Arial"/>
          <w:color w:val="000000"/>
        </w:rPr>
        <w:t xml:space="preserve"> as stated in Section 5.5.</w:t>
      </w:r>
    </w:p>
    <w:p w14:paraId="42FD30AB" w14:textId="3CE45EC4" w:rsidR="00D83563" w:rsidRDefault="00D83563" w:rsidP="00726990">
      <w:pPr>
        <w:tabs>
          <w:tab w:val="left" w:pos="720"/>
        </w:tabs>
        <w:ind w:left="720" w:hanging="720"/>
        <w:rPr>
          <w:rFonts w:cs="Arial"/>
          <w:b/>
          <w:bCs/>
          <w:color w:val="000000"/>
        </w:rPr>
      </w:pPr>
      <w:r w:rsidRPr="75726380">
        <w:rPr>
          <w:rFonts w:cs="Arial"/>
          <w:b/>
          <w:bCs/>
        </w:rPr>
        <w:t xml:space="preserve">Note: MOUs and DSAs are not considered outside services. Therefore, </w:t>
      </w:r>
      <w:r w:rsidR="00A415B6">
        <w:rPr>
          <w:rFonts w:cs="Arial"/>
          <w:b/>
          <w:bCs/>
        </w:rPr>
        <w:t xml:space="preserve">expenditures related to </w:t>
      </w:r>
      <w:r w:rsidR="00F3482F">
        <w:rPr>
          <w:rFonts w:cs="Arial"/>
          <w:b/>
          <w:bCs/>
        </w:rPr>
        <w:t>MOU</w:t>
      </w:r>
      <w:r w:rsidR="00E272FB">
        <w:rPr>
          <w:rFonts w:cs="Arial"/>
          <w:b/>
          <w:bCs/>
        </w:rPr>
        <w:t xml:space="preserve"> and DSA agreements shall not be reported under object code 5800</w:t>
      </w:r>
      <w:r w:rsidR="00BC3386">
        <w:rPr>
          <w:rFonts w:cs="Arial"/>
          <w:b/>
          <w:bCs/>
        </w:rPr>
        <w:t>.</w:t>
      </w:r>
      <w:r w:rsidRPr="75726380">
        <w:rPr>
          <w:rFonts w:cs="Arial"/>
          <w:b/>
          <w:bCs/>
        </w:rPr>
        <w:t xml:space="preserve"> </w:t>
      </w:r>
    </w:p>
    <w:p w14:paraId="0640F74D" w14:textId="77777777" w:rsidR="00D83563" w:rsidRDefault="00D83563" w:rsidP="009C532E">
      <w:pPr>
        <w:pStyle w:val="Heading3"/>
      </w:pPr>
      <w:bookmarkStart w:id="18" w:name="_Toc414262489"/>
      <w:bookmarkStart w:id="19" w:name="_Toc207703784"/>
      <w:r w:rsidRPr="00D83563">
        <w:lastRenderedPageBreak/>
        <w:t>1.6</w:t>
      </w:r>
      <w:r w:rsidR="00182DC5">
        <w:t xml:space="preserve"> </w:t>
      </w:r>
      <w:r w:rsidRPr="00D83563">
        <w:t>Migrant Education Program Costs</w:t>
      </w:r>
      <w:bookmarkEnd w:id="18"/>
      <w:bookmarkEnd w:id="19"/>
    </w:p>
    <w:p w14:paraId="055BFD06" w14:textId="20145CB9" w:rsidR="00944BC2" w:rsidRDefault="00D83563" w:rsidP="00726990">
      <w:pPr>
        <w:rPr>
          <w:rFonts w:cs="Arial"/>
          <w:color w:val="000000"/>
        </w:rPr>
      </w:pPr>
      <w:r w:rsidRPr="00D83563">
        <w:rPr>
          <w:rFonts w:cs="Arial"/>
          <w:color w:val="000000"/>
        </w:rPr>
        <w:t xml:space="preserve">All MEP costs must be directly correlated with the educationally related activities provided to </w:t>
      </w:r>
      <w:r w:rsidR="00D31812">
        <w:rPr>
          <w:rFonts w:cs="Arial"/>
          <w:color w:val="000000"/>
        </w:rPr>
        <w:t>migratory</w:t>
      </w:r>
      <w:r w:rsidRPr="00D83563">
        <w:rPr>
          <w:rFonts w:cs="Arial"/>
          <w:color w:val="000000"/>
        </w:rPr>
        <w:t xml:space="preserve"> students that enable them to succeed in school.</w:t>
      </w:r>
    </w:p>
    <w:p w14:paraId="35067D90" w14:textId="4835DEAD" w:rsidR="00944BC2" w:rsidRDefault="00D83563" w:rsidP="00726990">
      <w:pPr>
        <w:rPr>
          <w:rFonts w:cs="Arial"/>
          <w:color w:val="000000"/>
        </w:rPr>
      </w:pPr>
      <w:r w:rsidRPr="00D83563">
        <w:rPr>
          <w:rFonts w:cs="Arial"/>
          <w:color w:val="000000"/>
        </w:rPr>
        <w:t>Migrant program costs are separate from and above the cost of core instruction and are in addition to all costs normally incurred in the absence of the MEP. The MEP costs are supplemental to the core curriculum and other programs, such as Title I, Part A, and Title III.</w:t>
      </w:r>
    </w:p>
    <w:p w14:paraId="550BC17F" w14:textId="77777777" w:rsidR="00D83563" w:rsidRDefault="00D83563" w:rsidP="00726990">
      <w:pPr>
        <w:pStyle w:val="BodyTextIndent3"/>
        <w:ind w:left="0" w:firstLine="0"/>
        <w:rPr>
          <w:rFonts w:cs="Arial"/>
          <w:color w:val="000000"/>
          <w:sz w:val="24"/>
        </w:rPr>
      </w:pPr>
      <w:r w:rsidRPr="00D83563">
        <w:rPr>
          <w:rFonts w:cs="Arial"/>
          <w:color w:val="000000"/>
          <w:sz w:val="24"/>
        </w:rPr>
        <w:t>The operating agency shall ensure that each approved activity and budget item:</w:t>
      </w:r>
    </w:p>
    <w:p w14:paraId="3F0B0A37" w14:textId="55AC78E6" w:rsidR="00944BC2" w:rsidRDefault="00D83563" w:rsidP="005842A2">
      <w:pPr>
        <w:pStyle w:val="BodyTextIndent3"/>
        <w:numPr>
          <w:ilvl w:val="1"/>
          <w:numId w:val="75"/>
        </w:numPr>
        <w:tabs>
          <w:tab w:val="left" w:pos="900"/>
        </w:tabs>
        <w:ind w:left="810" w:hanging="450"/>
        <w:rPr>
          <w:rFonts w:cs="Arial"/>
          <w:color w:val="000000"/>
          <w:sz w:val="24"/>
        </w:rPr>
      </w:pPr>
      <w:r w:rsidRPr="00D83563">
        <w:rPr>
          <w:rFonts w:cs="Arial"/>
          <w:color w:val="000000"/>
          <w:sz w:val="24"/>
        </w:rPr>
        <w:t xml:space="preserve">Exists for the educational benefit of eligible </w:t>
      </w:r>
      <w:r w:rsidR="00D31812">
        <w:rPr>
          <w:rFonts w:cs="Arial"/>
          <w:color w:val="000000"/>
          <w:sz w:val="24"/>
        </w:rPr>
        <w:t>migratory</w:t>
      </w:r>
      <w:r w:rsidRPr="00D83563">
        <w:rPr>
          <w:rFonts w:cs="Arial"/>
          <w:color w:val="000000"/>
          <w:sz w:val="24"/>
        </w:rPr>
        <w:t xml:space="preserve"> students based on identified needs</w:t>
      </w:r>
      <w:r w:rsidR="00E77043">
        <w:rPr>
          <w:rFonts w:cs="Arial"/>
          <w:color w:val="000000"/>
          <w:sz w:val="24"/>
        </w:rPr>
        <w:t>, and</w:t>
      </w:r>
    </w:p>
    <w:p w14:paraId="2593BB18" w14:textId="24993F3E" w:rsidR="00D83563" w:rsidRDefault="00D83563" w:rsidP="005842A2">
      <w:pPr>
        <w:pStyle w:val="BodyTextIndent3"/>
        <w:numPr>
          <w:ilvl w:val="1"/>
          <w:numId w:val="75"/>
        </w:numPr>
        <w:tabs>
          <w:tab w:val="left" w:pos="900"/>
        </w:tabs>
        <w:ind w:left="810" w:hanging="450"/>
        <w:rPr>
          <w:rFonts w:cs="Arial"/>
          <w:color w:val="000000"/>
          <w:sz w:val="24"/>
        </w:rPr>
      </w:pPr>
      <w:r w:rsidRPr="00D83563">
        <w:rPr>
          <w:rFonts w:cs="Arial"/>
          <w:color w:val="000000"/>
          <w:sz w:val="24"/>
        </w:rPr>
        <w:t xml:space="preserve">Clearly supplements </w:t>
      </w:r>
      <w:r w:rsidRPr="00D83563">
        <w:rPr>
          <w:rFonts w:cs="Arial"/>
          <w:iCs/>
          <w:color w:val="000000"/>
          <w:sz w:val="24"/>
        </w:rPr>
        <w:t>all</w:t>
      </w:r>
      <w:r w:rsidRPr="00D83563">
        <w:rPr>
          <w:rFonts w:cs="Arial"/>
          <w:color w:val="000000"/>
          <w:sz w:val="24"/>
        </w:rPr>
        <w:t xml:space="preserve"> other services for which the child is </w:t>
      </w:r>
      <w:r w:rsidR="00D91B68" w:rsidRPr="00D83563">
        <w:rPr>
          <w:rFonts w:cs="Arial"/>
          <w:color w:val="000000"/>
          <w:sz w:val="24"/>
        </w:rPr>
        <w:t>eligible and</w:t>
      </w:r>
      <w:r w:rsidRPr="00D83563">
        <w:rPr>
          <w:rFonts w:cs="Arial"/>
          <w:color w:val="000000"/>
          <w:sz w:val="24"/>
        </w:rPr>
        <w:t xml:space="preserve"> will not be used to supplant services which are provided to the non-</w:t>
      </w:r>
      <w:r w:rsidR="00D31812">
        <w:rPr>
          <w:rFonts w:cs="Arial"/>
          <w:color w:val="000000"/>
          <w:sz w:val="24"/>
        </w:rPr>
        <w:t>migratory</w:t>
      </w:r>
      <w:r w:rsidRPr="00D83563">
        <w:rPr>
          <w:rFonts w:cs="Arial"/>
          <w:color w:val="000000"/>
          <w:sz w:val="24"/>
        </w:rPr>
        <w:t xml:space="preserve"> students</w:t>
      </w:r>
      <w:r w:rsidR="00E77043">
        <w:rPr>
          <w:rFonts w:cs="Arial"/>
          <w:color w:val="000000"/>
          <w:sz w:val="24"/>
        </w:rPr>
        <w:t>.</w:t>
      </w:r>
    </w:p>
    <w:p w14:paraId="2F7D5CC4" w14:textId="77777777" w:rsidR="00D83563" w:rsidRDefault="00D83563" w:rsidP="009C532E">
      <w:pPr>
        <w:pStyle w:val="Heading3"/>
      </w:pPr>
      <w:bookmarkStart w:id="20" w:name="_Toc207703785"/>
      <w:r w:rsidRPr="00D83563">
        <w:t>1.7</w:t>
      </w:r>
      <w:r w:rsidR="00182DC5">
        <w:t xml:space="preserve"> </w:t>
      </w:r>
      <w:r w:rsidRPr="00D83563">
        <w:t>Administrative and Direct Service to Pupils Expenditures</w:t>
      </w:r>
      <w:bookmarkEnd w:id="20"/>
    </w:p>
    <w:p w14:paraId="775C84E5" w14:textId="0B36B9E8" w:rsidR="00944BC2" w:rsidRDefault="00D83563" w:rsidP="00726990">
      <w:pPr>
        <w:rPr>
          <w:rFonts w:cs="Arial"/>
          <w:color w:val="000000"/>
          <w:szCs w:val="24"/>
        </w:rPr>
      </w:pPr>
      <w:r w:rsidRPr="00D83563">
        <w:rPr>
          <w:rFonts w:cs="Arial"/>
          <w:color w:val="000000"/>
          <w:szCs w:val="24"/>
        </w:rPr>
        <w:t xml:space="preserve">For MEP funds, there is no statutory language limiting administrative funds for the </w:t>
      </w:r>
      <w:r w:rsidR="00BC3386">
        <w:rPr>
          <w:rFonts w:cs="Arial"/>
          <w:color w:val="000000"/>
          <w:szCs w:val="24"/>
        </w:rPr>
        <w:t>s</w:t>
      </w:r>
      <w:r w:rsidRPr="00D83563">
        <w:rPr>
          <w:rFonts w:cs="Arial"/>
          <w:color w:val="000000"/>
          <w:szCs w:val="24"/>
        </w:rPr>
        <w:t>tate’s subgrantees. However, some programs have a requirement that a specified percentage be spent on direct services to pupils</w:t>
      </w:r>
      <w:r w:rsidR="00E77043">
        <w:rPr>
          <w:rFonts w:cs="Arial"/>
          <w:color w:val="000000"/>
          <w:szCs w:val="24"/>
        </w:rPr>
        <w:t>.</w:t>
      </w:r>
      <w:r w:rsidR="00D06C10">
        <w:rPr>
          <w:rFonts w:cs="Arial"/>
          <w:color w:val="000000"/>
          <w:szCs w:val="24"/>
        </w:rPr>
        <w:t xml:space="preserve"> F</w:t>
      </w:r>
      <w:r w:rsidRPr="00D83563">
        <w:rPr>
          <w:rFonts w:cs="Arial"/>
          <w:color w:val="000000"/>
          <w:szCs w:val="24"/>
        </w:rPr>
        <w:t>or example</w:t>
      </w:r>
      <w:r w:rsidR="00D06C10">
        <w:rPr>
          <w:rFonts w:cs="Arial"/>
          <w:color w:val="000000"/>
          <w:szCs w:val="24"/>
        </w:rPr>
        <w:t>,</w:t>
      </w:r>
      <w:r w:rsidRPr="00D83563">
        <w:rPr>
          <w:rFonts w:cs="Arial"/>
          <w:color w:val="000000"/>
          <w:szCs w:val="24"/>
        </w:rPr>
        <w:t xml:space="preserve"> </w:t>
      </w:r>
      <w:r w:rsidRPr="00D83563">
        <w:rPr>
          <w:rFonts w:eastAsiaTheme="minorHAnsi" w:cs="Arial"/>
          <w:i/>
          <w:szCs w:val="24"/>
        </w:rPr>
        <w:t>EC</w:t>
      </w:r>
      <w:r w:rsidRPr="00D83563">
        <w:rPr>
          <w:rFonts w:eastAsiaTheme="minorHAnsi" w:cs="Arial"/>
          <w:szCs w:val="24"/>
        </w:rPr>
        <w:t xml:space="preserve"> Section 63001 requires public educational agencies to spend no less than 85 percent of funds received from specific categorical programs, including Title I, Part A, for direct services to students. </w:t>
      </w:r>
      <w:r w:rsidR="003319E5">
        <w:rPr>
          <w:rFonts w:eastAsiaTheme="minorHAnsi" w:cs="Arial"/>
          <w:szCs w:val="24"/>
        </w:rPr>
        <w:t>This makes t</w:t>
      </w:r>
      <w:r w:rsidRPr="00D83563">
        <w:rPr>
          <w:rFonts w:eastAsiaTheme="minorHAnsi" w:cs="Arial"/>
          <w:szCs w:val="24"/>
        </w:rPr>
        <w:t>he maximum allowable for administrative costs</w:t>
      </w:r>
      <w:r w:rsidR="003319E5">
        <w:rPr>
          <w:rFonts w:eastAsiaTheme="minorHAnsi" w:cs="Arial"/>
          <w:szCs w:val="24"/>
        </w:rPr>
        <w:t xml:space="preserve"> for Title I, Part A</w:t>
      </w:r>
      <w:r w:rsidRPr="00D83563">
        <w:rPr>
          <w:rFonts w:eastAsiaTheme="minorHAnsi" w:cs="Arial"/>
          <w:szCs w:val="24"/>
        </w:rPr>
        <w:t>, including indirect costs, 15 percent.</w:t>
      </w:r>
      <w:r w:rsidRPr="00D83563">
        <w:rPr>
          <w:rFonts w:cs="Arial"/>
          <w:color w:val="000000"/>
          <w:szCs w:val="24"/>
        </w:rPr>
        <w:t xml:space="preserve"> Although the MEP is specifically exempted from this statute, it is California’s policy that the MEP will aim to approximate this goal and thereby direct the preponderance of funds towards direct services to pupils. Keeping in mind that the MEP is required to fulfill several unique administrative functions, and that some counties </w:t>
      </w:r>
      <w:r w:rsidRPr="00D83563">
        <w:rPr>
          <w:rFonts w:cs="Arial"/>
          <w:szCs w:val="24"/>
        </w:rPr>
        <w:t>have high indirect cost rates</w:t>
      </w:r>
      <w:r w:rsidRPr="00D83563">
        <w:rPr>
          <w:rStyle w:val="FootnoteReference"/>
          <w:rFonts w:cs="Arial"/>
          <w:szCs w:val="24"/>
        </w:rPr>
        <w:footnoteReference w:id="6"/>
      </w:r>
      <w:r w:rsidRPr="00D83563">
        <w:rPr>
          <w:rFonts w:cs="Arial"/>
          <w:szCs w:val="24"/>
        </w:rPr>
        <w:t xml:space="preserve">, </w:t>
      </w:r>
      <w:r w:rsidRPr="00D83563">
        <w:rPr>
          <w:rFonts w:cs="Arial"/>
          <w:color w:val="000000"/>
          <w:szCs w:val="24"/>
        </w:rPr>
        <w:t xml:space="preserve">the CDE will </w:t>
      </w:r>
      <w:r w:rsidR="005A2545">
        <w:rPr>
          <w:rFonts w:cs="Arial"/>
          <w:color w:val="000000"/>
          <w:szCs w:val="24"/>
        </w:rPr>
        <w:t>review and set</w:t>
      </w:r>
      <w:r w:rsidR="005A2545" w:rsidRPr="00D83563">
        <w:rPr>
          <w:rFonts w:cs="Arial"/>
          <w:color w:val="000000"/>
          <w:szCs w:val="24"/>
        </w:rPr>
        <w:t xml:space="preserve"> </w:t>
      </w:r>
      <w:r w:rsidRPr="00D83563">
        <w:rPr>
          <w:rFonts w:cs="Arial"/>
          <w:color w:val="000000"/>
          <w:szCs w:val="24"/>
        </w:rPr>
        <w:t xml:space="preserve">MEP-specific administrative caps for expenditures on administration </w:t>
      </w:r>
      <w:r w:rsidR="005A2545">
        <w:rPr>
          <w:rFonts w:cs="Arial"/>
          <w:color w:val="000000"/>
          <w:szCs w:val="24"/>
        </w:rPr>
        <w:t>on a yearly basis</w:t>
      </w:r>
      <w:r w:rsidR="00AA0B2E">
        <w:rPr>
          <w:rFonts w:cs="Arial"/>
          <w:color w:val="000000"/>
          <w:szCs w:val="24"/>
        </w:rPr>
        <w:t>.</w:t>
      </w:r>
    </w:p>
    <w:p w14:paraId="7481F554" w14:textId="4F56478B" w:rsidR="00800BC2" w:rsidRDefault="00BA6F68" w:rsidP="009C532E">
      <w:pPr>
        <w:pStyle w:val="Heading3"/>
      </w:pPr>
      <w:bookmarkStart w:id="21" w:name="_Toc207703786"/>
      <w:r>
        <w:t>Administr</w:t>
      </w:r>
      <w:r w:rsidR="007A02A1">
        <w:t>ative</w:t>
      </w:r>
      <w:r>
        <w:t xml:space="preserve"> </w:t>
      </w:r>
      <w:r w:rsidR="003B441D">
        <w:t>Cost</w:t>
      </w:r>
      <w:r w:rsidR="00347502">
        <w:t>s</w:t>
      </w:r>
      <w:r w:rsidR="003B441D">
        <w:t xml:space="preserve"> </w:t>
      </w:r>
      <w:r>
        <w:t>Rate Formula</w:t>
      </w:r>
      <w:bookmarkEnd w:id="21"/>
    </w:p>
    <w:p w14:paraId="393B6926" w14:textId="4D86B333" w:rsidR="007A02A1" w:rsidRDefault="001955CA" w:rsidP="007A02A1">
      <w:r>
        <w:t>The</w:t>
      </w:r>
      <w:r w:rsidR="00224704">
        <w:t xml:space="preserve"> CDE is</w:t>
      </w:r>
      <w:r>
        <w:t xml:space="preserve"> currently</w:t>
      </w:r>
      <w:r w:rsidR="00A92D78">
        <w:t xml:space="preserve"> using the following formula for each region</w:t>
      </w:r>
      <w:r w:rsidR="009109E5">
        <w:t xml:space="preserve"> or </w:t>
      </w:r>
      <w:r w:rsidR="00E77043">
        <w:t>DFD</w:t>
      </w:r>
      <w:r w:rsidR="009109E5">
        <w:t>’s administrative cost</w:t>
      </w:r>
      <w:r w:rsidR="00820C29">
        <w:t>s</w:t>
      </w:r>
      <w:r w:rsidR="009109E5">
        <w:t xml:space="preserve"> limit</w:t>
      </w:r>
      <w:r w:rsidR="001E5579">
        <w:t xml:space="preserve"> percentage</w:t>
      </w:r>
      <w:r w:rsidR="00223C2B">
        <w:t>:</w:t>
      </w:r>
    </w:p>
    <w:p w14:paraId="7B6EBB8C" w14:textId="5787D263" w:rsidR="00223C2B" w:rsidRPr="008C24E7" w:rsidRDefault="00DD3DCA" w:rsidP="00223C2B">
      <w:pPr>
        <w:jc w:val="center"/>
        <w:rPr>
          <w:i/>
          <w:iCs/>
        </w:rPr>
      </w:pPr>
      <w:r w:rsidRPr="008C24E7">
        <w:rPr>
          <w:i/>
          <w:iCs/>
        </w:rPr>
        <w:t>Base Rate + Indirect Cost Rate =</w:t>
      </w:r>
      <w:r w:rsidR="00347502" w:rsidRPr="008C24E7">
        <w:rPr>
          <w:i/>
          <w:iCs/>
        </w:rPr>
        <w:t xml:space="preserve"> Administrative Costs Limit</w:t>
      </w:r>
      <w:r w:rsidR="009D2312" w:rsidRPr="008C24E7">
        <w:rPr>
          <w:i/>
          <w:iCs/>
        </w:rPr>
        <w:t xml:space="preserve"> Percentage</w:t>
      </w:r>
    </w:p>
    <w:p w14:paraId="0AB1581D" w14:textId="47C7986B" w:rsidR="00CA0F87" w:rsidRPr="007A02A1" w:rsidRDefault="006436E0" w:rsidP="00CA0F87">
      <w:r>
        <w:t>Currently</w:t>
      </w:r>
      <w:r w:rsidR="00C44623">
        <w:t>, the base rate for regions is 17</w:t>
      </w:r>
      <w:r w:rsidR="00E77043">
        <w:t xml:space="preserve"> percent</w:t>
      </w:r>
      <w:r w:rsidR="00C44623">
        <w:t xml:space="preserve"> and the </w:t>
      </w:r>
      <w:r w:rsidR="00935704">
        <w:t xml:space="preserve">base rate for </w:t>
      </w:r>
      <w:r w:rsidR="00E77043">
        <w:t xml:space="preserve">DFD </w:t>
      </w:r>
      <w:r w:rsidR="00935704">
        <w:t>is 12</w:t>
      </w:r>
      <w:r w:rsidR="00E77043">
        <w:t xml:space="preserve"> percent</w:t>
      </w:r>
      <w:r w:rsidR="00935704">
        <w:t xml:space="preserve">. </w:t>
      </w:r>
      <w:r w:rsidR="00AC1300">
        <w:t xml:space="preserve">The </w:t>
      </w:r>
      <w:r w:rsidR="008F4432">
        <w:t>indirect cost rates for LEAs in California can be found</w:t>
      </w:r>
      <w:r w:rsidR="00E77043">
        <w:t xml:space="preserve"> at the </w:t>
      </w:r>
      <w:bookmarkStart w:id="22" w:name="_Hlk189742467"/>
      <w:r w:rsidR="0053782C">
        <w:fldChar w:fldCharType="begin"/>
      </w:r>
      <w:r w:rsidR="0053782C">
        <w:instrText>HYPERLINK "https://www.cde.ca.gov/fg/ac/ic/"</w:instrText>
      </w:r>
      <w:r w:rsidR="0053782C">
        <w:fldChar w:fldCharType="separate"/>
      </w:r>
      <w:r w:rsidR="00E77043" w:rsidRPr="0053782C">
        <w:rPr>
          <w:rStyle w:val="Hyperlink"/>
        </w:rPr>
        <w:t>CDE Indirect Cost Rates web page</w:t>
      </w:r>
      <w:bookmarkEnd w:id="22"/>
      <w:r w:rsidR="0053782C">
        <w:fldChar w:fldCharType="end"/>
      </w:r>
      <w:r w:rsidR="008F4432">
        <w:t>.</w:t>
      </w:r>
    </w:p>
    <w:p w14:paraId="33634026" w14:textId="77777777" w:rsidR="00D83563" w:rsidRPr="00944BC2" w:rsidRDefault="00D83563" w:rsidP="009C532E">
      <w:pPr>
        <w:pStyle w:val="Heading3"/>
      </w:pPr>
      <w:bookmarkStart w:id="23" w:name="_Toc207703787"/>
      <w:r w:rsidRPr="00944BC2">
        <w:lastRenderedPageBreak/>
        <w:t>Definition of Terms</w:t>
      </w:r>
      <w:bookmarkEnd w:id="23"/>
    </w:p>
    <w:p w14:paraId="01A0CE7F" w14:textId="77777777" w:rsidR="00D83563" w:rsidRPr="00944BC2" w:rsidRDefault="00D83563" w:rsidP="0053782C">
      <w:pPr>
        <w:pStyle w:val="Heading4"/>
      </w:pPr>
      <w:r w:rsidRPr="00944BC2">
        <w:t>Administrative Costs</w:t>
      </w:r>
    </w:p>
    <w:p w14:paraId="111E85B4" w14:textId="7CE12C5D" w:rsidR="00944BC2" w:rsidRDefault="00D83563" w:rsidP="00726990">
      <w:pPr>
        <w:ind w:left="144"/>
        <w:rPr>
          <w:rFonts w:cs="Arial"/>
          <w:color w:val="000000"/>
          <w:szCs w:val="24"/>
        </w:rPr>
      </w:pPr>
      <w:r w:rsidRPr="00D83563">
        <w:rPr>
          <w:rFonts w:cs="Arial"/>
          <w:color w:val="000000"/>
          <w:szCs w:val="24"/>
        </w:rPr>
        <w:t xml:space="preserve">Although definitions of administrative costs vary from program to program, the California MEP shall define administrative costs in alignment to the definition of administrative costs in Procedure 915 of the </w:t>
      </w:r>
      <w:r w:rsidRPr="004F6DD9">
        <w:rPr>
          <w:rFonts w:cs="Arial"/>
          <w:i/>
          <w:iCs/>
          <w:color w:val="000000"/>
          <w:szCs w:val="24"/>
        </w:rPr>
        <w:t>California State Accounting Manual</w:t>
      </w:r>
      <w:r w:rsidRPr="00D83563">
        <w:rPr>
          <w:rFonts w:cs="Arial"/>
          <w:color w:val="000000"/>
          <w:szCs w:val="24"/>
        </w:rPr>
        <w:t xml:space="preserve"> (</w:t>
      </w:r>
      <w:r w:rsidRPr="00B22475">
        <w:rPr>
          <w:rFonts w:cs="Arial"/>
          <w:i/>
          <w:iCs/>
          <w:color w:val="000000"/>
          <w:szCs w:val="24"/>
        </w:rPr>
        <w:t>CSAM</w:t>
      </w:r>
      <w:r w:rsidRPr="00D83563">
        <w:rPr>
          <w:rFonts w:cs="Arial"/>
          <w:color w:val="000000"/>
          <w:szCs w:val="24"/>
        </w:rPr>
        <w:t>) and Title I</w:t>
      </w:r>
      <w:r w:rsidR="009F0633">
        <w:rPr>
          <w:rFonts w:cs="Arial"/>
          <w:color w:val="000000"/>
          <w:szCs w:val="24"/>
        </w:rPr>
        <w:t>,</w:t>
      </w:r>
      <w:r w:rsidRPr="00D83563">
        <w:rPr>
          <w:rFonts w:cs="Arial"/>
          <w:color w:val="000000"/>
          <w:szCs w:val="24"/>
        </w:rPr>
        <w:t xml:space="preserve"> Part A.</w:t>
      </w:r>
    </w:p>
    <w:p w14:paraId="5AFBFA45" w14:textId="77777777" w:rsidR="00D83563" w:rsidRDefault="00D83563" w:rsidP="0053782C">
      <w:pPr>
        <w:pStyle w:val="Heading5"/>
      </w:pPr>
      <w:r w:rsidRPr="00D83563">
        <w:t xml:space="preserve">Per </w:t>
      </w:r>
      <w:r w:rsidRPr="00B22475">
        <w:rPr>
          <w:i/>
          <w:iCs/>
        </w:rPr>
        <w:t>CSAM</w:t>
      </w:r>
      <w:r w:rsidRPr="00D83563">
        <w:t>:</w:t>
      </w:r>
    </w:p>
    <w:p w14:paraId="0FBD1108" w14:textId="5C1A1479" w:rsidR="00944BC2" w:rsidRDefault="009F0633" w:rsidP="00726990">
      <w:pPr>
        <w:ind w:left="432"/>
        <w:rPr>
          <w:rFonts w:cs="Arial"/>
          <w:color w:val="000000"/>
          <w:szCs w:val="24"/>
        </w:rPr>
      </w:pPr>
      <w:r>
        <w:rPr>
          <w:rFonts w:cs="Arial"/>
          <w:color w:val="000000"/>
          <w:szCs w:val="24"/>
        </w:rPr>
        <w:t>“</w:t>
      </w:r>
      <w:r w:rsidR="00D83563" w:rsidRPr="00D83563">
        <w:rPr>
          <w:rFonts w:cs="Arial"/>
          <w:color w:val="000000"/>
          <w:szCs w:val="24"/>
        </w:rPr>
        <w:t>Any costs, indirect or direct, that are administrative in nature and support the management of a program. Costs of program administration may encompass both direct (e.g. salaries of program administrators, costs of program monitoring and preparing program plans, and the purchasing of program specific equipment and supplies) and indirect costs</w:t>
      </w:r>
      <w:r w:rsidR="008B17AE">
        <w:rPr>
          <w:rFonts w:cs="Arial"/>
          <w:color w:val="000000"/>
          <w:szCs w:val="24"/>
        </w:rPr>
        <w:t xml:space="preserve"> </w:t>
      </w:r>
      <w:r w:rsidR="008B17AE" w:rsidRPr="008B17AE">
        <w:rPr>
          <w:rFonts w:cs="Arial"/>
          <w:color w:val="000000"/>
          <w:szCs w:val="24"/>
        </w:rPr>
        <w:t>(e.g., personnel/human resources, accounting, and procurement).</w:t>
      </w:r>
      <w:r>
        <w:rPr>
          <w:rFonts w:cs="Arial"/>
          <w:color w:val="000000"/>
          <w:szCs w:val="24"/>
        </w:rPr>
        <w:t>”</w:t>
      </w:r>
    </w:p>
    <w:p w14:paraId="63432789" w14:textId="77777777" w:rsidR="00944BC2" w:rsidRDefault="00D83563" w:rsidP="0053782C">
      <w:pPr>
        <w:pStyle w:val="Heading5"/>
      </w:pPr>
      <w:r w:rsidRPr="00D83563">
        <w:t>Per Title I, Part A Guidance:</w:t>
      </w:r>
    </w:p>
    <w:p w14:paraId="2250A57D" w14:textId="38BF0407" w:rsidR="00D83563" w:rsidRDefault="00D83563" w:rsidP="00726990">
      <w:pPr>
        <w:tabs>
          <w:tab w:val="left" w:pos="720"/>
        </w:tabs>
        <w:ind w:left="432"/>
        <w:rPr>
          <w:rFonts w:cs="Arial"/>
          <w:color w:val="000000"/>
          <w:szCs w:val="24"/>
        </w:rPr>
      </w:pPr>
      <w:r w:rsidRPr="00D83563">
        <w:rPr>
          <w:rFonts w:cs="Arial"/>
          <w:color w:val="000000"/>
          <w:szCs w:val="24"/>
        </w:rPr>
        <w:t xml:space="preserve">The salaries and benefits of personnel engaged in </w:t>
      </w:r>
      <w:r w:rsidR="00F1136D" w:rsidRPr="00D83563">
        <w:rPr>
          <w:rFonts w:cs="Arial"/>
          <w:color w:val="000000"/>
          <w:szCs w:val="24"/>
        </w:rPr>
        <w:t>administrative</w:t>
      </w:r>
      <w:r w:rsidRPr="00D83563">
        <w:rPr>
          <w:rFonts w:cs="Arial"/>
          <w:color w:val="000000"/>
          <w:szCs w:val="24"/>
        </w:rPr>
        <w:t xml:space="preserve"> or planning activities can be included in the administrative costs. This can include:</w:t>
      </w:r>
    </w:p>
    <w:p w14:paraId="0AE96369" w14:textId="77777777" w:rsidR="00D83563" w:rsidRDefault="00D83563" w:rsidP="005842A2">
      <w:pPr>
        <w:pStyle w:val="ListParagraph"/>
        <w:numPr>
          <w:ilvl w:val="0"/>
          <w:numId w:val="47"/>
        </w:numPr>
        <w:tabs>
          <w:tab w:val="left" w:pos="720"/>
        </w:tabs>
        <w:ind w:left="1008" w:hanging="288"/>
        <w:contextualSpacing w:val="0"/>
        <w:rPr>
          <w:rFonts w:cs="Arial"/>
          <w:color w:val="000000"/>
          <w:szCs w:val="24"/>
        </w:rPr>
      </w:pPr>
      <w:r w:rsidRPr="00D83563">
        <w:rPr>
          <w:rFonts w:cs="Arial"/>
          <w:color w:val="000000"/>
          <w:szCs w:val="24"/>
        </w:rPr>
        <w:t>District administrative personnel.</w:t>
      </w:r>
    </w:p>
    <w:p w14:paraId="3697730F" w14:textId="77777777" w:rsidR="00D83563" w:rsidRDefault="00D83563" w:rsidP="005842A2">
      <w:pPr>
        <w:pStyle w:val="ListParagraph"/>
        <w:numPr>
          <w:ilvl w:val="0"/>
          <w:numId w:val="47"/>
        </w:numPr>
        <w:tabs>
          <w:tab w:val="left" w:pos="720"/>
        </w:tabs>
        <w:ind w:left="1008" w:hanging="288"/>
        <w:contextualSpacing w:val="0"/>
        <w:rPr>
          <w:rFonts w:cs="Arial"/>
          <w:color w:val="000000"/>
          <w:szCs w:val="24"/>
        </w:rPr>
      </w:pPr>
      <w:r w:rsidRPr="00D83563">
        <w:rPr>
          <w:rFonts w:cs="Arial"/>
          <w:color w:val="000000"/>
          <w:szCs w:val="24"/>
        </w:rPr>
        <w:t>District program personnel, either certificated or classified, except for the time engaged in directly instructing pupils, providing professional development activities directly related to the purposes of the Title I program, or traveling to or from school sites for the delivery of instruction or staff development.</w:t>
      </w:r>
    </w:p>
    <w:p w14:paraId="6B25DDF7" w14:textId="77777777" w:rsidR="00D83563" w:rsidRDefault="00D83563" w:rsidP="005842A2">
      <w:pPr>
        <w:pStyle w:val="ListParagraph"/>
        <w:numPr>
          <w:ilvl w:val="0"/>
          <w:numId w:val="47"/>
        </w:numPr>
        <w:tabs>
          <w:tab w:val="left" w:pos="720"/>
        </w:tabs>
        <w:ind w:left="1008" w:hanging="288"/>
        <w:contextualSpacing w:val="0"/>
        <w:rPr>
          <w:rFonts w:cs="Arial"/>
          <w:color w:val="000000"/>
          <w:szCs w:val="24"/>
        </w:rPr>
      </w:pPr>
      <w:r w:rsidRPr="00D83563">
        <w:rPr>
          <w:rFonts w:cs="Arial"/>
          <w:color w:val="000000"/>
          <w:szCs w:val="24"/>
        </w:rPr>
        <w:t>Itinerant staff based at the district, except for the time engaged in directly instructing pupils, providing professional development activities directly related to the purpose of the Title I, Part C program, or traveling to or from school sites for the delivery of instruction or staff development.</w:t>
      </w:r>
    </w:p>
    <w:p w14:paraId="26C12C91" w14:textId="77777777" w:rsidR="00D83563" w:rsidRDefault="00D83563" w:rsidP="001D31A8">
      <w:pPr>
        <w:ind w:left="432"/>
        <w:rPr>
          <w:rFonts w:cs="Arial"/>
          <w:color w:val="000000"/>
          <w:szCs w:val="24"/>
        </w:rPr>
      </w:pPr>
      <w:r w:rsidRPr="00D83563">
        <w:rPr>
          <w:rFonts w:cs="Arial"/>
          <w:color w:val="000000"/>
          <w:szCs w:val="24"/>
        </w:rPr>
        <w:t>For the purpose of the California MEP, the following also applies to administrative costs:</w:t>
      </w:r>
    </w:p>
    <w:p w14:paraId="5BD77670" w14:textId="0E284D0C" w:rsidR="00944BC2" w:rsidRDefault="00D83563" w:rsidP="005842A2">
      <w:pPr>
        <w:pStyle w:val="ListParagraph"/>
        <w:numPr>
          <w:ilvl w:val="0"/>
          <w:numId w:val="46"/>
        </w:numPr>
        <w:ind w:left="1008" w:hanging="288"/>
        <w:contextualSpacing w:val="0"/>
        <w:rPr>
          <w:rFonts w:cs="Arial"/>
          <w:color w:val="000000"/>
          <w:szCs w:val="24"/>
        </w:rPr>
      </w:pPr>
      <w:r w:rsidRPr="00D83563">
        <w:rPr>
          <w:rFonts w:cs="Arial"/>
          <w:color w:val="000000"/>
          <w:szCs w:val="24"/>
        </w:rPr>
        <w:t xml:space="preserve">MEP </w:t>
      </w:r>
      <w:r w:rsidR="009F0633" w:rsidRPr="00D83563">
        <w:rPr>
          <w:rFonts w:cs="Arial"/>
          <w:color w:val="000000"/>
          <w:szCs w:val="24"/>
        </w:rPr>
        <w:t>director’s</w:t>
      </w:r>
      <w:r w:rsidRPr="00D83563">
        <w:rPr>
          <w:rFonts w:cs="Arial"/>
          <w:color w:val="000000"/>
          <w:szCs w:val="24"/>
        </w:rPr>
        <w:t xml:space="preserve"> salaries shall be considered strictly administrative and may not be charged/budgeted under direct instruction/services to pupils.</w:t>
      </w:r>
    </w:p>
    <w:p w14:paraId="73E796A1" w14:textId="77777777" w:rsidR="00944BC2" w:rsidRDefault="00D83563" w:rsidP="005842A2">
      <w:pPr>
        <w:pStyle w:val="ListParagraph"/>
        <w:numPr>
          <w:ilvl w:val="0"/>
          <w:numId w:val="46"/>
        </w:numPr>
        <w:ind w:left="1008" w:hanging="288"/>
        <w:contextualSpacing w:val="0"/>
        <w:rPr>
          <w:rFonts w:cs="Arial"/>
          <w:color w:val="000000"/>
          <w:szCs w:val="24"/>
        </w:rPr>
      </w:pPr>
      <w:r w:rsidRPr="00D83563">
        <w:rPr>
          <w:rFonts w:cs="Arial"/>
          <w:color w:val="000000"/>
          <w:szCs w:val="24"/>
        </w:rPr>
        <w:t>Other administrators such as coordinators and teachers on special assignment shall be considered administrative unless the approved job description (from Human Resources) specifically identifies a percentage of time that will be specifically directed to direct instruction/services to pupils.</w:t>
      </w:r>
    </w:p>
    <w:p w14:paraId="168A8691" w14:textId="77777777" w:rsidR="00D83563" w:rsidRDefault="00D83563" w:rsidP="005842A2">
      <w:pPr>
        <w:pStyle w:val="ListParagraph"/>
        <w:numPr>
          <w:ilvl w:val="0"/>
          <w:numId w:val="46"/>
        </w:numPr>
        <w:ind w:left="1008" w:hanging="288"/>
        <w:contextualSpacing w:val="0"/>
        <w:rPr>
          <w:rFonts w:cs="Arial"/>
          <w:color w:val="000000"/>
          <w:szCs w:val="24"/>
        </w:rPr>
      </w:pPr>
      <w:r w:rsidRPr="00D83563">
        <w:rPr>
          <w:rFonts w:cs="Arial"/>
          <w:color w:val="000000"/>
          <w:szCs w:val="24"/>
        </w:rPr>
        <w:t>Custodians are considered classified support, object code 2200 and their function code, 8100 is plant and operations. Custodians are part of the overall general operations of a program and not a provider of direct instruction to pupils.</w:t>
      </w:r>
    </w:p>
    <w:p w14:paraId="5B5927B0" w14:textId="77777777" w:rsidR="00D83563" w:rsidRPr="00944BC2" w:rsidRDefault="00D83563" w:rsidP="00726990">
      <w:pPr>
        <w:pStyle w:val="Heading4"/>
      </w:pPr>
      <w:r w:rsidRPr="00944BC2">
        <w:lastRenderedPageBreak/>
        <w:t>Migrant Education Program Unique Administrative Costs</w:t>
      </w:r>
    </w:p>
    <w:p w14:paraId="065481ED" w14:textId="6B4F12CE" w:rsidR="00944BC2" w:rsidRDefault="00D83563" w:rsidP="00726990">
      <w:pPr>
        <w:ind w:left="144"/>
        <w:rPr>
          <w:rFonts w:cs="Arial"/>
          <w:color w:val="000000"/>
          <w:szCs w:val="24"/>
        </w:rPr>
      </w:pPr>
      <w:r w:rsidRPr="00D83563">
        <w:rPr>
          <w:rFonts w:cs="Arial"/>
          <w:color w:val="000000"/>
          <w:szCs w:val="24"/>
        </w:rPr>
        <w:t xml:space="preserve">In contrast to other federal and state education programs, the MEP requires </w:t>
      </w:r>
      <w:r w:rsidR="009F0633" w:rsidRPr="00D83563">
        <w:rPr>
          <w:rFonts w:cs="Arial"/>
          <w:color w:val="000000"/>
          <w:szCs w:val="24"/>
        </w:rPr>
        <w:t>several</w:t>
      </w:r>
      <w:r w:rsidR="00D37D33">
        <w:rPr>
          <w:rFonts w:cs="Arial"/>
          <w:color w:val="000000"/>
          <w:szCs w:val="24"/>
        </w:rPr>
        <w:t xml:space="preserve"> </w:t>
      </w:r>
      <w:r w:rsidR="00C3673B">
        <w:rPr>
          <w:rFonts w:cs="Arial"/>
          <w:color w:val="000000"/>
          <w:szCs w:val="24"/>
        </w:rPr>
        <w:t>additional</w:t>
      </w:r>
      <w:r w:rsidR="00C3673B" w:rsidRPr="00D83563">
        <w:rPr>
          <w:rFonts w:cs="Arial"/>
          <w:color w:val="000000"/>
          <w:szCs w:val="24"/>
        </w:rPr>
        <w:t xml:space="preserve"> administrative</w:t>
      </w:r>
      <w:r w:rsidRPr="00D83563">
        <w:rPr>
          <w:rFonts w:cs="Arial"/>
          <w:color w:val="000000"/>
          <w:szCs w:val="24"/>
        </w:rPr>
        <w:t xml:space="preserve"> functions that are integral to the operation and implementation of program objectives.</w:t>
      </w:r>
    </w:p>
    <w:p w14:paraId="730925A7" w14:textId="01BF1230" w:rsidR="00D83563" w:rsidRDefault="00D83563" w:rsidP="00726990">
      <w:pPr>
        <w:ind w:left="144"/>
        <w:rPr>
          <w:rFonts w:cs="Arial"/>
          <w:color w:val="000000"/>
          <w:szCs w:val="24"/>
        </w:rPr>
      </w:pPr>
      <w:r w:rsidRPr="00D83563">
        <w:rPr>
          <w:rFonts w:cs="Arial"/>
          <w:color w:val="000000"/>
          <w:szCs w:val="24"/>
        </w:rPr>
        <w:t xml:space="preserve">The first MEP-unique administrative function is the requirement that regional and direct-funded subgrantees conduct identification and recruitment (I&amp;R) activities. I&amp;R activities require that personnel be employed to go out into the community and identify </w:t>
      </w:r>
      <w:r w:rsidR="00D31812">
        <w:rPr>
          <w:rFonts w:cs="Arial"/>
          <w:color w:val="000000"/>
          <w:szCs w:val="24"/>
        </w:rPr>
        <w:t>migratory</w:t>
      </w:r>
      <w:r w:rsidRPr="00D83563">
        <w:rPr>
          <w:rFonts w:cs="Arial"/>
          <w:color w:val="000000"/>
          <w:szCs w:val="24"/>
        </w:rPr>
        <w:t xml:space="preserve"> families </w:t>
      </w:r>
      <w:r w:rsidR="00D37D33">
        <w:rPr>
          <w:rFonts w:cs="Arial"/>
          <w:color w:val="000000"/>
          <w:szCs w:val="24"/>
        </w:rPr>
        <w:t xml:space="preserve">and youths </w:t>
      </w:r>
      <w:r w:rsidRPr="00D83563">
        <w:rPr>
          <w:rFonts w:cs="Arial"/>
          <w:color w:val="000000"/>
          <w:szCs w:val="24"/>
        </w:rPr>
        <w:t xml:space="preserve">eligible for the program, per program criteria as set forth in </w:t>
      </w:r>
      <w:r w:rsidR="001F1ECE">
        <w:rPr>
          <w:rFonts w:cs="Arial"/>
          <w:color w:val="000000"/>
          <w:szCs w:val="24"/>
        </w:rPr>
        <w:t>US Department of Education non-regulatory guidance</w:t>
      </w:r>
      <w:r w:rsidRPr="00D83563">
        <w:rPr>
          <w:rFonts w:cs="Arial"/>
          <w:color w:val="000000"/>
          <w:szCs w:val="24"/>
        </w:rPr>
        <w:t xml:space="preserve">. As these activities are integral to the operation of the program, the following items shall </w:t>
      </w:r>
      <w:r w:rsidR="00054824">
        <w:rPr>
          <w:rFonts w:cs="Arial"/>
          <w:color w:val="000000"/>
          <w:szCs w:val="24"/>
        </w:rPr>
        <w:t xml:space="preserve">not be included when calculating the MEP administrative </w:t>
      </w:r>
      <w:r w:rsidR="00CD5115">
        <w:rPr>
          <w:rFonts w:cs="Arial"/>
          <w:color w:val="000000"/>
          <w:szCs w:val="24"/>
        </w:rPr>
        <w:t>rate</w:t>
      </w:r>
      <w:r w:rsidR="00054824">
        <w:rPr>
          <w:rFonts w:cs="Arial"/>
          <w:color w:val="000000"/>
          <w:szCs w:val="24"/>
        </w:rPr>
        <w:t xml:space="preserve"> percentage</w:t>
      </w:r>
      <w:r w:rsidRPr="00D83563">
        <w:rPr>
          <w:rFonts w:cs="Arial"/>
          <w:color w:val="000000"/>
          <w:szCs w:val="24"/>
        </w:rPr>
        <w:t>:</w:t>
      </w:r>
    </w:p>
    <w:p w14:paraId="40F67F97" w14:textId="14ED617D" w:rsidR="00D83563" w:rsidRDefault="00D83563" w:rsidP="005842A2">
      <w:pPr>
        <w:pStyle w:val="ListParagraph"/>
        <w:numPr>
          <w:ilvl w:val="0"/>
          <w:numId w:val="46"/>
        </w:numPr>
        <w:ind w:left="864" w:hanging="288"/>
        <w:contextualSpacing w:val="0"/>
        <w:rPr>
          <w:rFonts w:cs="Arial"/>
          <w:color w:val="000000"/>
          <w:szCs w:val="24"/>
        </w:rPr>
      </w:pPr>
      <w:r w:rsidRPr="00D83563">
        <w:rPr>
          <w:rFonts w:cs="Arial"/>
          <w:color w:val="000000"/>
          <w:szCs w:val="24"/>
        </w:rPr>
        <w:t>Salaries and benefits of staff for I&amp;R duties performed</w:t>
      </w:r>
      <w:r w:rsidR="009F0633">
        <w:rPr>
          <w:rFonts w:cs="Arial"/>
          <w:color w:val="000000"/>
          <w:szCs w:val="24"/>
        </w:rPr>
        <w:t>, and</w:t>
      </w:r>
    </w:p>
    <w:p w14:paraId="4B898A83" w14:textId="24F6224E" w:rsidR="00D83563" w:rsidRDefault="00D83563" w:rsidP="005842A2">
      <w:pPr>
        <w:pStyle w:val="ListParagraph"/>
        <w:numPr>
          <w:ilvl w:val="0"/>
          <w:numId w:val="46"/>
        </w:numPr>
        <w:ind w:left="864" w:hanging="288"/>
        <w:contextualSpacing w:val="0"/>
        <w:rPr>
          <w:rFonts w:cs="Arial"/>
          <w:color w:val="000000"/>
          <w:szCs w:val="24"/>
        </w:rPr>
      </w:pPr>
      <w:r w:rsidRPr="00D83563">
        <w:rPr>
          <w:rFonts w:cs="Arial"/>
          <w:color w:val="000000"/>
          <w:szCs w:val="24"/>
        </w:rPr>
        <w:t>I&amp;R activity specific purchases such as computer tablets for recruitment and related supplies</w:t>
      </w:r>
      <w:r w:rsidR="009F0633">
        <w:rPr>
          <w:rFonts w:cs="Arial"/>
          <w:color w:val="000000"/>
          <w:szCs w:val="24"/>
        </w:rPr>
        <w:t>.</w:t>
      </w:r>
    </w:p>
    <w:p w14:paraId="7693A871" w14:textId="08C2EC78" w:rsidR="00D83563" w:rsidRDefault="00D83563" w:rsidP="00726990">
      <w:pPr>
        <w:ind w:left="144"/>
        <w:rPr>
          <w:rFonts w:cs="Arial"/>
          <w:color w:val="000000"/>
          <w:szCs w:val="24"/>
        </w:rPr>
      </w:pPr>
      <w:r w:rsidRPr="00D83563">
        <w:rPr>
          <w:rFonts w:cs="Arial"/>
          <w:color w:val="000000"/>
          <w:szCs w:val="24"/>
        </w:rPr>
        <w:t>A second MEP-unique administrative function is the requirement to coordinate a parent advisory council (PAC). This should not be confused with parent involvement activities which may be funded by the MEP but are not unique to the MEP. Parent involvement is a common requirement with many LEAs</w:t>
      </w:r>
      <w:r w:rsidR="00D37D33">
        <w:rPr>
          <w:rFonts w:cs="Arial"/>
          <w:color w:val="000000"/>
          <w:szCs w:val="24"/>
        </w:rPr>
        <w:t>, whereas</w:t>
      </w:r>
      <w:r w:rsidRPr="00D83563">
        <w:rPr>
          <w:rFonts w:cs="Arial"/>
          <w:color w:val="000000"/>
          <w:szCs w:val="24"/>
        </w:rPr>
        <w:t>, the maintenance and operation of a PAC is unique to the MEP</w:t>
      </w:r>
      <w:r w:rsidR="00D37D33">
        <w:rPr>
          <w:rFonts w:cs="Arial"/>
          <w:color w:val="000000"/>
          <w:szCs w:val="24"/>
        </w:rPr>
        <w:t>.</w:t>
      </w:r>
      <w:r w:rsidRPr="00D83563">
        <w:rPr>
          <w:rFonts w:cs="Arial"/>
          <w:color w:val="000000"/>
          <w:szCs w:val="24"/>
        </w:rPr>
        <w:t xml:space="preserve"> </w:t>
      </w:r>
      <w:r w:rsidR="00D37D33">
        <w:rPr>
          <w:rFonts w:cs="Arial"/>
          <w:color w:val="000000"/>
          <w:szCs w:val="24"/>
        </w:rPr>
        <w:t>T</w:t>
      </w:r>
      <w:r w:rsidRPr="00D83563">
        <w:rPr>
          <w:rFonts w:cs="Arial"/>
          <w:color w:val="000000"/>
          <w:szCs w:val="24"/>
        </w:rPr>
        <w:t>herefore, the following administrative functions shall be exempt from the California MEP administrative cap:</w:t>
      </w:r>
    </w:p>
    <w:p w14:paraId="19B1E3A0" w14:textId="77777777" w:rsidR="00D83563" w:rsidRDefault="00D83563" w:rsidP="005842A2">
      <w:pPr>
        <w:pStyle w:val="ListParagraph"/>
        <w:numPr>
          <w:ilvl w:val="0"/>
          <w:numId w:val="49"/>
        </w:numPr>
        <w:ind w:left="864" w:hanging="288"/>
        <w:contextualSpacing w:val="0"/>
        <w:rPr>
          <w:rFonts w:cs="Arial"/>
          <w:color w:val="000000"/>
          <w:szCs w:val="24"/>
        </w:rPr>
      </w:pPr>
      <w:r w:rsidRPr="00D83563">
        <w:rPr>
          <w:rFonts w:cs="Arial"/>
          <w:color w:val="000000"/>
          <w:szCs w:val="24"/>
        </w:rPr>
        <w:t>Salaries and benefits of staff for duties performed in planning and coordinating PAC meetings</w:t>
      </w:r>
    </w:p>
    <w:p w14:paraId="58762C3E" w14:textId="77777777" w:rsidR="00D83563" w:rsidRDefault="00D83563" w:rsidP="005842A2">
      <w:pPr>
        <w:pStyle w:val="ListParagraph"/>
        <w:numPr>
          <w:ilvl w:val="0"/>
          <w:numId w:val="49"/>
        </w:numPr>
        <w:ind w:left="864" w:hanging="288"/>
        <w:contextualSpacing w:val="0"/>
        <w:rPr>
          <w:rFonts w:cs="Arial"/>
          <w:color w:val="000000"/>
          <w:szCs w:val="24"/>
        </w:rPr>
      </w:pPr>
      <w:r w:rsidRPr="00D83563">
        <w:rPr>
          <w:rFonts w:cs="Arial"/>
          <w:color w:val="000000"/>
          <w:szCs w:val="24"/>
        </w:rPr>
        <w:t>Supplies necessary for the operation of PAC meetings</w:t>
      </w:r>
    </w:p>
    <w:p w14:paraId="488C2C6D" w14:textId="77777777" w:rsidR="00D83563" w:rsidRDefault="00D83563" w:rsidP="00726990">
      <w:pPr>
        <w:ind w:left="144"/>
        <w:rPr>
          <w:rFonts w:cs="Arial"/>
          <w:color w:val="000000"/>
          <w:szCs w:val="24"/>
        </w:rPr>
      </w:pPr>
      <w:r w:rsidRPr="00D83563">
        <w:rPr>
          <w:rFonts w:cs="Arial"/>
          <w:color w:val="000000"/>
          <w:szCs w:val="24"/>
        </w:rPr>
        <w:t>A third MEP-unique administrative function is the requirement to coordinate other education, health, nutrition, and social services</w:t>
      </w:r>
      <w:r w:rsidRPr="00D83563">
        <w:rPr>
          <w:rStyle w:val="FootnoteReference"/>
          <w:rFonts w:cs="Arial"/>
          <w:color w:val="000000"/>
          <w:szCs w:val="24"/>
        </w:rPr>
        <w:footnoteReference w:id="7"/>
      </w:r>
      <w:r w:rsidRPr="00D83563">
        <w:rPr>
          <w:rFonts w:cs="Arial"/>
          <w:color w:val="000000"/>
          <w:szCs w:val="24"/>
        </w:rPr>
        <w:t>. Therefore, the following administrative services shall be exempt from the MEP administrative cap:</w:t>
      </w:r>
    </w:p>
    <w:p w14:paraId="44912CA3" w14:textId="77777777" w:rsidR="00D83563" w:rsidRDefault="00D83563" w:rsidP="005842A2">
      <w:pPr>
        <w:pStyle w:val="ListParagraph"/>
        <w:numPr>
          <w:ilvl w:val="0"/>
          <w:numId w:val="49"/>
        </w:numPr>
        <w:ind w:left="864" w:hanging="288"/>
        <w:contextualSpacing w:val="0"/>
        <w:rPr>
          <w:rFonts w:cs="Arial"/>
          <w:color w:val="000000"/>
          <w:szCs w:val="24"/>
        </w:rPr>
      </w:pPr>
      <w:r w:rsidRPr="00D83563">
        <w:rPr>
          <w:rFonts w:cs="Arial"/>
          <w:color w:val="000000"/>
          <w:szCs w:val="24"/>
        </w:rPr>
        <w:t>Salaries and benefits of staff for duties performed in planning and coordinating other education, health, nutrition, and social services</w:t>
      </w:r>
    </w:p>
    <w:p w14:paraId="106A374B" w14:textId="77777777" w:rsidR="00D83563" w:rsidRDefault="00D83563" w:rsidP="005842A2">
      <w:pPr>
        <w:pStyle w:val="ListParagraph"/>
        <w:numPr>
          <w:ilvl w:val="0"/>
          <w:numId w:val="49"/>
        </w:numPr>
        <w:ind w:left="864" w:hanging="288"/>
        <w:contextualSpacing w:val="0"/>
        <w:rPr>
          <w:rFonts w:cs="Arial"/>
          <w:color w:val="000000"/>
          <w:szCs w:val="24"/>
        </w:rPr>
      </w:pPr>
      <w:r w:rsidRPr="00D83563">
        <w:rPr>
          <w:rFonts w:cs="Arial"/>
          <w:color w:val="000000"/>
          <w:szCs w:val="24"/>
        </w:rPr>
        <w:t>Supplies necessary for the administration of this function</w:t>
      </w:r>
    </w:p>
    <w:p w14:paraId="55D7F610" w14:textId="77777777" w:rsidR="00D83563" w:rsidRDefault="00D83563" w:rsidP="00726990">
      <w:pPr>
        <w:pStyle w:val="Heading4"/>
      </w:pPr>
      <w:r w:rsidRPr="00D83563">
        <w:t>Annotating Administrative Expenditures</w:t>
      </w:r>
    </w:p>
    <w:p w14:paraId="59079808" w14:textId="60008883" w:rsidR="00944BC2" w:rsidRDefault="00D83563" w:rsidP="00726990">
      <w:pPr>
        <w:ind w:left="144"/>
        <w:rPr>
          <w:rFonts w:cs="Arial"/>
          <w:color w:val="000000"/>
          <w:szCs w:val="24"/>
        </w:rPr>
      </w:pPr>
      <w:r w:rsidRPr="00D83563">
        <w:rPr>
          <w:rFonts w:cs="Arial"/>
          <w:color w:val="000000"/>
          <w:szCs w:val="24"/>
        </w:rPr>
        <w:t xml:space="preserve">In the event that an employee’s duties include various </w:t>
      </w:r>
      <w:r w:rsidR="00D91B68" w:rsidRPr="00D83563">
        <w:rPr>
          <w:rFonts w:cs="Arial"/>
          <w:color w:val="000000"/>
          <w:szCs w:val="24"/>
        </w:rPr>
        <w:t>functions (</w:t>
      </w:r>
      <w:r w:rsidRPr="00D83563">
        <w:rPr>
          <w:rFonts w:cs="Arial"/>
          <w:color w:val="000000"/>
          <w:szCs w:val="24"/>
        </w:rPr>
        <w:t xml:space="preserve">administrative, </w:t>
      </w:r>
      <w:r w:rsidR="00D91B68">
        <w:rPr>
          <w:rFonts w:cs="Arial"/>
          <w:color w:val="000000"/>
          <w:szCs w:val="24"/>
        </w:rPr>
        <w:t>I&amp;R</w:t>
      </w:r>
      <w:r w:rsidRPr="00D83563">
        <w:rPr>
          <w:rFonts w:cs="Arial"/>
          <w:color w:val="000000"/>
          <w:szCs w:val="24"/>
        </w:rPr>
        <w:t>, direct service, etc.) the subgrantee will account for these activities in the appropriate component of the funding application. The proportion of time dedicated to administrative and direct service activity will need to be specified in the job description provided by the LEA Human Resources Office and supported with time and effort documentation.</w:t>
      </w:r>
    </w:p>
    <w:p w14:paraId="13604B0B" w14:textId="77777777" w:rsidR="00D83563" w:rsidRDefault="00D83563" w:rsidP="00726990">
      <w:pPr>
        <w:pStyle w:val="Heading4"/>
      </w:pPr>
      <w:r w:rsidRPr="00D83563">
        <w:lastRenderedPageBreak/>
        <w:t>Direct Services to Pupils</w:t>
      </w:r>
    </w:p>
    <w:p w14:paraId="702B9A31" w14:textId="0F81F27E" w:rsidR="00D83563" w:rsidRDefault="00D83563" w:rsidP="00726990">
      <w:pPr>
        <w:ind w:left="144"/>
        <w:rPr>
          <w:rFonts w:cs="Arial"/>
          <w:color w:val="000000"/>
          <w:szCs w:val="24"/>
        </w:rPr>
      </w:pPr>
      <w:r w:rsidRPr="00D83563">
        <w:rPr>
          <w:rFonts w:cs="Arial"/>
          <w:color w:val="000000"/>
          <w:szCs w:val="24"/>
        </w:rPr>
        <w:t xml:space="preserve">Per </w:t>
      </w:r>
      <w:r w:rsidR="0075789D">
        <w:rPr>
          <w:rFonts w:cs="Arial"/>
          <w:color w:val="000000"/>
          <w:szCs w:val="24"/>
        </w:rPr>
        <w:t>CDE</w:t>
      </w:r>
      <w:r w:rsidRPr="00D83563">
        <w:rPr>
          <w:rFonts w:cs="Arial"/>
          <w:color w:val="000000"/>
          <w:szCs w:val="24"/>
        </w:rPr>
        <w:t xml:space="preserve"> guidance</w:t>
      </w:r>
      <w:r w:rsidRPr="00D83563">
        <w:rPr>
          <w:rStyle w:val="FootnoteReference"/>
          <w:rFonts w:cs="Arial"/>
          <w:color w:val="000000"/>
          <w:szCs w:val="24"/>
        </w:rPr>
        <w:footnoteReference w:id="8"/>
      </w:r>
      <w:r w:rsidRPr="00D83563">
        <w:rPr>
          <w:rFonts w:cs="Arial"/>
          <w:color w:val="000000"/>
          <w:szCs w:val="24"/>
        </w:rPr>
        <w:t>, direct services to students are those supplementary services that are typically delivered at the school site and where the student is the direct recipient or beneficiary of the services. Therefore, expenditures for personnel and services are justified as direct service if:</w:t>
      </w:r>
    </w:p>
    <w:p w14:paraId="53C748A7" w14:textId="34E956AC" w:rsidR="00D83563" w:rsidRDefault="00D83563" w:rsidP="005842A2">
      <w:pPr>
        <w:pStyle w:val="ListParagraph"/>
        <w:numPr>
          <w:ilvl w:val="0"/>
          <w:numId w:val="48"/>
        </w:numPr>
        <w:ind w:left="864" w:hanging="288"/>
        <w:contextualSpacing w:val="0"/>
        <w:rPr>
          <w:rFonts w:cs="Arial"/>
          <w:color w:val="000000"/>
        </w:rPr>
      </w:pPr>
      <w:r w:rsidRPr="00D83563">
        <w:rPr>
          <w:rFonts w:cs="Arial"/>
          <w:color w:val="000000"/>
        </w:rPr>
        <w:t xml:space="preserve">The personnel </w:t>
      </w:r>
      <w:r w:rsidR="006D793A" w:rsidRPr="00D83563">
        <w:rPr>
          <w:rFonts w:cs="Arial"/>
          <w:color w:val="000000"/>
        </w:rPr>
        <w:t>provide</w:t>
      </w:r>
      <w:r w:rsidRPr="00D83563">
        <w:rPr>
          <w:rFonts w:cs="Arial"/>
          <w:color w:val="000000"/>
        </w:rPr>
        <w:t xml:space="preserve"> </w:t>
      </w:r>
      <w:r w:rsidR="004C533B" w:rsidRPr="00D83563">
        <w:rPr>
          <w:rFonts w:cs="Arial"/>
          <w:color w:val="000000"/>
        </w:rPr>
        <w:t xml:space="preserve">direct </w:t>
      </w:r>
      <w:r w:rsidR="00D91B68" w:rsidRPr="00D83563">
        <w:rPr>
          <w:rFonts w:cs="Arial"/>
          <w:color w:val="000000"/>
        </w:rPr>
        <w:t>hands-on</w:t>
      </w:r>
      <w:r w:rsidRPr="00D83563">
        <w:rPr>
          <w:rFonts w:cs="Arial"/>
          <w:color w:val="000000"/>
        </w:rPr>
        <w:t xml:space="preserve"> instruction to students.</w:t>
      </w:r>
    </w:p>
    <w:p w14:paraId="1F3B1C71" w14:textId="77777777" w:rsidR="00D83563" w:rsidRDefault="00D83563" w:rsidP="005842A2">
      <w:pPr>
        <w:pStyle w:val="ListParagraph"/>
        <w:numPr>
          <w:ilvl w:val="0"/>
          <w:numId w:val="48"/>
        </w:numPr>
        <w:ind w:left="864" w:hanging="288"/>
        <w:contextualSpacing w:val="0"/>
        <w:rPr>
          <w:rFonts w:cs="Arial"/>
          <w:color w:val="000000"/>
          <w:szCs w:val="24"/>
        </w:rPr>
      </w:pPr>
      <w:r w:rsidRPr="00D83563">
        <w:rPr>
          <w:rFonts w:cs="Arial"/>
          <w:color w:val="000000"/>
          <w:szCs w:val="24"/>
        </w:rPr>
        <w:t>The funds are used to purchase instructional materials and equipment to be used by eligible students.</w:t>
      </w:r>
    </w:p>
    <w:p w14:paraId="39BED280" w14:textId="79158D1F" w:rsidR="00D83563" w:rsidRDefault="00D83563" w:rsidP="005842A2">
      <w:pPr>
        <w:pStyle w:val="ListParagraph"/>
        <w:numPr>
          <w:ilvl w:val="0"/>
          <w:numId w:val="48"/>
        </w:numPr>
        <w:ind w:left="864" w:hanging="288"/>
        <w:contextualSpacing w:val="0"/>
        <w:rPr>
          <w:rFonts w:cs="Arial"/>
          <w:color w:val="000000"/>
          <w:szCs w:val="24"/>
        </w:rPr>
      </w:pPr>
      <w:r w:rsidRPr="00D83563">
        <w:rPr>
          <w:rFonts w:cs="Arial"/>
          <w:color w:val="000000"/>
          <w:szCs w:val="24"/>
        </w:rPr>
        <w:t xml:space="preserve">The services </w:t>
      </w:r>
      <w:r w:rsidR="00D91B68" w:rsidRPr="00D83563">
        <w:rPr>
          <w:rFonts w:cs="Arial"/>
          <w:color w:val="000000"/>
          <w:szCs w:val="24"/>
        </w:rPr>
        <w:t>provided meet</w:t>
      </w:r>
      <w:r w:rsidRPr="00D83563">
        <w:rPr>
          <w:rFonts w:cs="Arial"/>
          <w:color w:val="000000"/>
          <w:szCs w:val="24"/>
        </w:rPr>
        <w:t xml:space="preserve"> the four criteria set forth in the </w:t>
      </w:r>
      <w:r w:rsidR="00A362BF" w:rsidRPr="00D83563">
        <w:rPr>
          <w:rFonts w:cs="Arial"/>
          <w:color w:val="000000"/>
          <w:szCs w:val="24"/>
        </w:rPr>
        <w:t>Office of Migrant Education</w:t>
      </w:r>
      <w:r w:rsidR="00EC0326">
        <w:rPr>
          <w:rFonts w:cs="Arial"/>
          <w:color w:val="000000"/>
          <w:szCs w:val="24"/>
        </w:rPr>
        <w:t>’s</w:t>
      </w:r>
      <w:r w:rsidR="00A362BF" w:rsidRPr="00D83563">
        <w:rPr>
          <w:rFonts w:cs="Arial"/>
          <w:color w:val="000000"/>
          <w:szCs w:val="24"/>
        </w:rPr>
        <w:t xml:space="preserve"> (OME)</w:t>
      </w:r>
      <w:r w:rsidRPr="00D83563">
        <w:rPr>
          <w:rFonts w:cs="Arial"/>
          <w:color w:val="000000"/>
          <w:szCs w:val="24"/>
        </w:rPr>
        <w:t xml:space="preserve"> non-regulatory guidance (see below).</w:t>
      </w:r>
    </w:p>
    <w:p w14:paraId="689E3BDC" w14:textId="4AD3C9B5" w:rsidR="00D83563" w:rsidRDefault="00D83563" w:rsidP="005842A2">
      <w:pPr>
        <w:pStyle w:val="ListParagraph"/>
        <w:numPr>
          <w:ilvl w:val="0"/>
          <w:numId w:val="48"/>
        </w:numPr>
        <w:ind w:left="864" w:hanging="288"/>
        <w:contextualSpacing w:val="0"/>
        <w:rPr>
          <w:rFonts w:cs="Arial"/>
          <w:color w:val="000000"/>
        </w:rPr>
      </w:pPr>
      <w:r w:rsidRPr="00D83563">
        <w:rPr>
          <w:rFonts w:cs="Arial"/>
          <w:color w:val="000000"/>
        </w:rPr>
        <w:t xml:space="preserve">The duties performed meet the criteria above and are described </w:t>
      </w:r>
      <w:r w:rsidR="00D91B68" w:rsidRPr="00D83563">
        <w:rPr>
          <w:rFonts w:cs="Arial"/>
          <w:color w:val="000000"/>
        </w:rPr>
        <w:t>by</w:t>
      </w:r>
      <w:r w:rsidRPr="00D83563">
        <w:rPr>
          <w:rFonts w:cs="Arial"/>
          <w:color w:val="000000"/>
        </w:rPr>
        <w:t xml:space="preserve"> the approved job description (from Human Resources).</w:t>
      </w:r>
    </w:p>
    <w:p w14:paraId="196B4C14" w14:textId="7D0A3F55" w:rsidR="00D83563" w:rsidRDefault="00D83563" w:rsidP="00726990">
      <w:pPr>
        <w:ind w:left="144"/>
        <w:rPr>
          <w:rFonts w:cs="Arial"/>
          <w:color w:val="000000"/>
          <w:szCs w:val="24"/>
        </w:rPr>
      </w:pPr>
      <w:r w:rsidRPr="00D83563">
        <w:rPr>
          <w:rFonts w:cs="Arial"/>
          <w:color w:val="000000"/>
          <w:szCs w:val="24"/>
        </w:rPr>
        <w:t>The federal OME has issued specific non-regulatory guidance</w:t>
      </w:r>
      <w:r w:rsidRPr="00D83563">
        <w:rPr>
          <w:rStyle w:val="FootnoteReference"/>
          <w:rFonts w:cs="Arial"/>
          <w:color w:val="000000"/>
          <w:szCs w:val="24"/>
        </w:rPr>
        <w:footnoteReference w:id="9"/>
      </w:r>
      <w:r w:rsidRPr="00D83563">
        <w:rPr>
          <w:rFonts w:cs="Arial"/>
          <w:color w:val="000000"/>
          <w:szCs w:val="24"/>
        </w:rPr>
        <w:t xml:space="preserve"> to define what constitutes a service in the MEP. The OME defines services </w:t>
      </w:r>
      <w:proofErr w:type="gramStart"/>
      <w:r w:rsidRPr="00D83563">
        <w:rPr>
          <w:rFonts w:cs="Arial"/>
          <w:color w:val="000000"/>
          <w:szCs w:val="24"/>
        </w:rPr>
        <w:t>to</w:t>
      </w:r>
      <w:proofErr w:type="gramEnd"/>
      <w:r w:rsidRPr="00D83563">
        <w:rPr>
          <w:rFonts w:cs="Arial"/>
          <w:color w:val="000000"/>
          <w:szCs w:val="24"/>
        </w:rPr>
        <w:t xml:space="preserve"> pupils as follows:</w:t>
      </w:r>
    </w:p>
    <w:p w14:paraId="445256FC" w14:textId="58B676C9" w:rsidR="00944BC2" w:rsidRDefault="00D83563" w:rsidP="00726990">
      <w:pPr>
        <w:pStyle w:val="BodyText"/>
        <w:suppressAutoHyphens w:val="0"/>
        <w:ind w:left="144"/>
        <w:rPr>
          <w:rFonts w:cs="Arial"/>
          <w:sz w:val="24"/>
          <w:szCs w:val="24"/>
        </w:rPr>
      </w:pPr>
      <w:r w:rsidRPr="00D83563">
        <w:rPr>
          <w:rFonts w:cs="Arial"/>
          <w:sz w:val="24"/>
          <w:szCs w:val="24"/>
        </w:rPr>
        <w:t>For purposes of the MEP, services are a subset of all the activities that the MEP provides through its program and projects. Although State Education Agencies</w:t>
      </w:r>
      <w:r w:rsidR="00D91B68">
        <w:rPr>
          <w:rFonts w:cs="Arial"/>
          <w:sz w:val="24"/>
          <w:szCs w:val="24"/>
        </w:rPr>
        <w:t xml:space="preserve"> (SEA)</w:t>
      </w:r>
      <w:r w:rsidRPr="00D83563">
        <w:rPr>
          <w:rFonts w:cs="Arial"/>
          <w:sz w:val="24"/>
          <w:szCs w:val="24"/>
        </w:rPr>
        <w:t xml:space="preserve"> and </w:t>
      </w:r>
      <w:r w:rsidR="00DB17B9">
        <w:rPr>
          <w:rFonts w:cs="Arial"/>
          <w:sz w:val="24"/>
          <w:szCs w:val="24"/>
        </w:rPr>
        <w:t>LEAs</w:t>
      </w:r>
      <w:r w:rsidRPr="00D83563">
        <w:rPr>
          <w:rFonts w:cs="Arial"/>
          <w:sz w:val="24"/>
          <w:szCs w:val="24"/>
        </w:rPr>
        <w:t xml:space="preserve"> may spend MEP funds on many types of allowable activities</w:t>
      </w:r>
      <w:r w:rsidR="00203CD6">
        <w:rPr>
          <w:rFonts w:cs="Arial"/>
          <w:sz w:val="24"/>
          <w:szCs w:val="24"/>
        </w:rPr>
        <w:t>,</w:t>
      </w:r>
      <w:r w:rsidRPr="00D83563">
        <w:rPr>
          <w:rFonts w:cs="Arial"/>
          <w:sz w:val="24"/>
          <w:szCs w:val="24"/>
        </w:rPr>
        <w:t xml:space="preserve"> some of these activities do not constitute a “service” (e.g., </w:t>
      </w:r>
      <w:r w:rsidR="00D91B68">
        <w:rPr>
          <w:rFonts w:cs="Arial"/>
          <w:sz w:val="24"/>
          <w:szCs w:val="24"/>
        </w:rPr>
        <w:t>I&amp;R</w:t>
      </w:r>
      <w:r w:rsidRPr="00D83563">
        <w:rPr>
          <w:rFonts w:cs="Arial"/>
          <w:sz w:val="24"/>
          <w:szCs w:val="24"/>
        </w:rPr>
        <w:t xml:space="preserve"> or parental involvement activities). “Services” are distinct in that they are the educational or educationally related activities provided to </w:t>
      </w:r>
      <w:r w:rsidR="00D31812">
        <w:rPr>
          <w:rFonts w:cs="Arial"/>
          <w:sz w:val="24"/>
          <w:szCs w:val="24"/>
        </w:rPr>
        <w:t>migratory</w:t>
      </w:r>
      <w:r w:rsidRPr="00D83563">
        <w:rPr>
          <w:rFonts w:cs="Arial"/>
          <w:sz w:val="24"/>
          <w:szCs w:val="24"/>
        </w:rPr>
        <w:t xml:space="preserve"> children to enable them to succeed in school. Because student success is the overarching goal of the MEP, services are a vital aspect of the program.</w:t>
      </w:r>
    </w:p>
    <w:p w14:paraId="25DFD279" w14:textId="750DC7E1" w:rsidR="00944BC2" w:rsidRDefault="00D83563" w:rsidP="00726990">
      <w:pPr>
        <w:pStyle w:val="BodyText"/>
        <w:suppressAutoHyphens w:val="0"/>
        <w:ind w:left="144"/>
        <w:rPr>
          <w:rFonts w:cs="Arial"/>
          <w:sz w:val="24"/>
          <w:szCs w:val="24"/>
        </w:rPr>
      </w:pPr>
      <w:r w:rsidRPr="00D83563">
        <w:rPr>
          <w:rFonts w:cs="Arial"/>
          <w:sz w:val="24"/>
          <w:szCs w:val="24"/>
        </w:rPr>
        <w:t xml:space="preserve">Services are a subset of all the activities that the MEP provides through its programs and projects. “Services” are those educational or educationally related activities that: (1) directly benefit a </w:t>
      </w:r>
      <w:r w:rsidR="00D31812">
        <w:rPr>
          <w:rFonts w:cs="Arial"/>
          <w:sz w:val="24"/>
          <w:szCs w:val="24"/>
        </w:rPr>
        <w:t>migratory</w:t>
      </w:r>
      <w:r w:rsidRPr="00D83563">
        <w:rPr>
          <w:rFonts w:cs="Arial"/>
          <w:sz w:val="24"/>
          <w:szCs w:val="24"/>
        </w:rPr>
        <w:t xml:space="preserve"> child; (2) address a need of a </w:t>
      </w:r>
      <w:r w:rsidR="00D31812">
        <w:rPr>
          <w:rFonts w:cs="Arial"/>
          <w:sz w:val="24"/>
          <w:szCs w:val="24"/>
        </w:rPr>
        <w:t>migratory</w:t>
      </w:r>
      <w:r w:rsidRPr="00D83563">
        <w:rPr>
          <w:rFonts w:cs="Arial"/>
          <w:sz w:val="24"/>
          <w:szCs w:val="24"/>
        </w:rPr>
        <w:t xml:space="preserve"> child consistent with the SEA comprehensive needs assessment and service delivery plan; (3) are grounded in scientifically based research or, in the case of support services, are a generally accepted practice; and (4) are designed to enable the program to meet its measurable outcomes and contribute to the achievement of the state’s performance targets.</w:t>
      </w:r>
    </w:p>
    <w:p w14:paraId="169A2608" w14:textId="2CBA0ACF" w:rsidR="00D83563" w:rsidRPr="00D83563" w:rsidRDefault="00D83563" w:rsidP="00726990">
      <w:pPr>
        <w:pStyle w:val="BodyText"/>
        <w:suppressAutoHyphens w:val="0"/>
        <w:ind w:left="144"/>
        <w:rPr>
          <w:rFonts w:cs="Arial"/>
          <w:sz w:val="24"/>
          <w:szCs w:val="24"/>
        </w:rPr>
      </w:pPr>
      <w:r w:rsidRPr="00D83563">
        <w:rPr>
          <w:rFonts w:cs="Arial"/>
          <w:sz w:val="24"/>
          <w:szCs w:val="24"/>
        </w:rPr>
        <w:t>The OME provides the following guidance regarding definition of services</w:t>
      </w:r>
      <w:r w:rsidR="00D91B68">
        <w:rPr>
          <w:rFonts w:cs="Arial"/>
          <w:sz w:val="24"/>
          <w:szCs w:val="24"/>
        </w:rPr>
        <w:t>.</w:t>
      </w:r>
      <w:bookmarkStart w:id="24" w:name="_Toc414262252"/>
      <w:bookmarkStart w:id="25" w:name="_Toc414262295"/>
      <w:bookmarkStart w:id="26" w:name="_Toc414262490"/>
    </w:p>
    <w:p w14:paraId="32B1AB9E" w14:textId="77777777" w:rsidR="00D83563" w:rsidRPr="00944BC2" w:rsidRDefault="00D83563" w:rsidP="00726990">
      <w:pPr>
        <w:pStyle w:val="Heading4"/>
      </w:pPr>
      <w:r w:rsidRPr="00944BC2">
        <w:t>Examples of allowable activities that do not constitute a service</w:t>
      </w:r>
      <w:bookmarkEnd w:id="24"/>
      <w:bookmarkEnd w:id="25"/>
      <w:bookmarkEnd w:id="26"/>
    </w:p>
    <w:p w14:paraId="65119467" w14:textId="1F05EF14" w:rsidR="00944BC2" w:rsidRDefault="00D83563" w:rsidP="00726990">
      <w:pPr>
        <w:pStyle w:val="BodyText"/>
        <w:tabs>
          <w:tab w:val="clear" w:pos="720"/>
          <w:tab w:val="left" w:pos="90"/>
        </w:tabs>
        <w:suppressAutoHyphens w:val="0"/>
        <w:ind w:left="144"/>
        <w:rPr>
          <w:rFonts w:cs="Arial"/>
          <w:sz w:val="24"/>
          <w:szCs w:val="24"/>
        </w:rPr>
      </w:pPr>
      <w:r w:rsidRPr="00D83563">
        <w:rPr>
          <w:rFonts w:cs="Arial"/>
          <w:sz w:val="24"/>
          <w:szCs w:val="24"/>
        </w:rPr>
        <w:t xml:space="preserve">Activities related to </w:t>
      </w:r>
      <w:r w:rsidR="0072405F">
        <w:rPr>
          <w:rFonts w:cs="Arial"/>
          <w:sz w:val="24"/>
          <w:szCs w:val="24"/>
        </w:rPr>
        <w:t>I&amp;R</w:t>
      </w:r>
      <w:r w:rsidRPr="00D83563">
        <w:rPr>
          <w:rFonts w:cs="Arial"/>
          <w:sz w:val="24"/>
          <w:szCs w:val="24"/>
        </w:rPr>
        <w:t xml:space="preserve"> activities, parental involvement, program evaluation, professional development, or administration of the programs are examples of allowable activities that are not considered services. Another example would be handing out leaflets to </w:t>
      </w:r>
      <w:r w:rsidR="00D31812">
        <w:rPr>
          <w:rFonts w:cs="Arial"/>
          <w:sz w:val="24"/>
          <w:szCs w:val="24"/>
        </w:rPr>
        <w:t>migratory</w:t>
      </w:r>
      <w:r w:rsidRPr="00D83563">
        <w:rPr>
          <w:rFonts w:cs="Arial"/>
          <w:sz w:val="24"/>
          <w:szCs w:val="24"/>
        </w:rPr>
        <w:t xml:space="preserve"> families on available reading programs as part of an effort to increase the reading skills of </w:t>
      </w:r>
      <w:r w:rsidR="00D31812">
        <w:rPr>
          <w:rFonts w:cs="Arial"/>
          <w:sz w:val="24"/>
          <w:szCs w:val="24"/>
        </w:rPr>
        <w:t>migratory</w:t>
      </w:r>
      <w:r w:rsidRPr="00D83563">
        <w:rPr>
          <w:rFonts w:cs="Arial"/>
          <w:sz w:val="24"/>
          <w:szCs w:val="24"/>
        </w:rPr>
        <w:t xml:space="preserve"> children. Although this is an allowable activity, it is not a service because it does not meet all of the </w:t>
      </w:r>
      <w:r w:rsidR="00737F88">
        <w:rPr>
          <w:rFonts w:cs="Arial"/>
          <w:sz w:val="24"/>
          <w:szCs w:val="24"/>
        </w:rPr>
        <w:t xml:space="preserve">necessary </w:t>
      </w:r>
      <w:r w:rsidRPr="00D83563">
        <w:rPr>
          <w:rFonts w:cs="Arial"/>
          <w:sz w:val="24"/>
          <w:szCs w:val="24"/>
        </w:rPr>
        <w:t xml:space="preserve">criteria: (1) it does not directly benefit </w:t>
      </w:r>
      <w:r w:rsidR="00D31812">
        <w:rPr>
          <w:rFonts w:cs="Arial"/>
          <w:sz w:val="24"/>
          <w:szCs w:val="24"/>
        </w:rPr>
        <w:t>migratory</w:t>
      </w:r>
      <w:r w:rsidRPr="00D83563">
        <w:rPr>
          <w:rFonts w:cs="Arial"/>
          <w:sz w:val="24"/>
          <w:szCs w:val="24"/>
        </w:rPr>
        <w:t xml:space="preserve"> children; (2) it is not grounded in scientifically based research; </w:t>
      </w:r>
      <w:r w:rsidRPr="00D83563">
        <w:rPr>
          <w:rFonts w:cs="Arial"/>
          <w:sz w:val="24"/>
          <w:szCs w:val="24"/>
        </w:rPr>
        <w:lastRenderedPageBreak/>
        <w:t>and (3) in and of itself, the activity will not increase children’s reading skills and thereby increase their ability to meet the state’s performance targets.</w:t>
      </w:r>
      <w:r w:rsidRPr="00D83563">
        <w:rPr>
          <w:rStyle w:val="FootnoteReference"/>
          <w:rFonts w:cs="Arial"/>
          <w:sz w:val="24"/>
          <w:szCs w:val="24"/>
        </w:rPr>
        <w:footnoteReference w:id="10"/>
      </w:r>
    </w:p>
    <w:p w14:paraId="6E77229C" w14:textId="77777777" w:rsidR="00D83563" w:rsidRDefault="00D83563" w:rsidP="00726990">
      <w:pPr>
        <w:pStyle w:val="BodyText"/>
        <w:suppressAutoHyphens w:val="0"/>
        <w:ind w:left="144"/>
        <w:rPr>
          <w:rFonts w:cs="Arial"/>
          <w:sz w:val="24"/>
          <w:szCs w:val="24"/>
        </w:rPr>
      </w:pPr>
      <w:r w:rsidRPr="00D83563">
        <w:rPr>
          <w:rFonts w:cs="Arial"/>
          <w:sz w:val="24"/>
          <w:szCs w:val="24"/>
        </w:rPr>
        <w:t>The OME also differentiates services per the following definitions:</w:t>
      </w:r>
    </w:p>
    <w:p w14:paraId="6B77A9CA" w14:textId="77777777" w:rsidR="00D83563" w:rsidRDefault="00D83563" w:rsidP="005842A2">
      <w:pPr>
        <w:pStyle w:val="BodyText"/>
        <w:numPr>
          <w:ilvl w:val="0"/>
          <w:numId w:val="58"/>
        </w:numPr>
        <w:suppressAutoHyphens w:val="0"/>
        <w:ind w:hanging="144"/>
        <w:rPr>
          <w:rFonts w:cs="Arial"/>
          <w:sz w:val="24"/>
          <w:szCs w:val="24"/>
        </w:rPr>
      </w:pPr>
      <w:r w:rsidRPr="00D83563">
        <w:rPr>
          <w:rFonts w:cs="Arial"/>
          <w:sz w:val="24"/>
          <w:szCs w:val="24"/>
        </w:rPr>
        <w:t>Instructional Services – educational activities for preschool age children and instruction in elementary and secondary schools, such as tutoring before and after school</w:t>
      </w:r>
    </w:p>
    <w:p w14:paraId="68B9929B" w14:textId="544A65D7" w:rsidR="00D83563" w:rsidRDefault="00D83563" w:rsidP="005842A2">
      <w:pPr>
        <w:pStyle w:val="BodyText"/>
        <w:numPr>
          <w:ilvl w:val="0"/>
          <w:numId w:val="58"/>
        </w:numPr>
        <w:suppressAutoHyphens w:val="0"/>
        <w:ind w:hanging="144"/>
        <w:rPr>
          <w:rFonts w:cs="Arial"/>
          <w:sz w:val="24"/>
          <w:szCs w:val="24"/>
        </w:rPr>
      </w:pPr>
      <w:r w:rsidRPr="00D83563">
        <w:rPr>
          <w:rFonts w:cs="Arial"/>
          <w:sz w:val="24"/>
          <w:szCs w:val="24"/>
        </w:rPr>
        <w:t xml:space="preserve">Support Services – educationally related activities, such as advocacy for </w:t>
      </w:r>
      <w:r w:rsidR="00D31812">
        <w:rPr>
          <w:rFonts w:cs="Arial"/>
          <w:sz w:val="24"/>
          <w:szCs w:val="24"/>
        </w:rPr>
        <w:t>migratory</w:t>
      </w:r>
      <w:r w:rsidRPr="00D83563">
        <w:rPr>
          <w:rFonts w:cs="Arial"/>
          <w:sz w:val="24"/>
          <w:szCs w:val="24"/>
        </w:rPr>
        <w:t xml:space="preserve"> children; health, nutrition, and social services for </w:t>
      </w:r>
      <w:r w:rsidR="00D31812">
        <w:rPr>
          <w:rFonts w:cs="Arial"/>
          <w:sz w:val="24"/>
          <w:szCs w:val="24"/>
        </w:rPr>
        <w:t>migratory</w:t>
      </w:r>
      <w:r w:rsidRPr="00D83563">
        <w:rPr>
          <w:rFonts w:cs="Arial"/>
          <w:sz w:val="24"/>
          <w:szCs w:val="24"/>
        </w:rPr>
        <w:t xml:space="preserve"> families; necessary educational supplies; transportation</w:t>
      </w:r>
    </w:p>
    <w:p w14:paraId="323A37A0" w14:textId="77777777" w:rsidR="00D83563" w:rsidRDefault="00D83563" w:rsidP="00726990">
      <w:pPr>
        <w:pStyle w:val="Heading4"/>
      </w:pPr>
      <w:r w:rsidRPr="00D83563">
        <w:t>Allowable Activities</w:t>
      </w:r>
    </w:p>
    <w:p w14:paraId="7E74BD81" w14:textId="201C3A95" w:rsidR="00944BC2" w:rsidRDefault="00971E87" w:rsidP="00726990">
      <w:pPr>
        <w:pStyle w:val="BodyText"/>
        <w:suppressAutoHyphens w:val="0"/>
        <w:ind w:left="144"/>
        <w:rPr>
          <w:rFonts w:cs="Arial"/>
          <w:sz w:val="24"/>
          <w:szCs w:val="24"/>
        </w:rPr>
      </w:pPr>
      <w:r>
        <w:rPr>
          <w:rFonts w:cs="Arial"/>
          <w:sz w:val="24"/>
          <w:szCs w:val="24"/>
        </w:rPr>
        <w:t>T</w:t>
      </w:r>
      <w:r w:rsidR="00D83563" w:rsidRPr="00D83563">
        <w:rPr>
          <w:rFonts w:cs="Arial"/>
          <w:sz w:val="24"/>
          <w:szCs w:val="24"/>
        </w:rPr>
        <w:t>he MEP does allow certain activities such as professional development and program evaluation, however, they are not considered services in the MEP. Therefore, for the purpose of the funding application, professional development activities shall be included in the budget sections of each component</w:t>
      </w:r>
      <w:r w:rsidR="00916CB8">
        <w:rPr>
          <w:rFonts w:cs="Arial"/>
          <w:sz w:val="24"/>
          <w:szCs w:val="24"/>
        </w:rPr>
        <w:t>.</w:t>
      </w:r>
    </w:p>
    <w:p w14:paraId="5F96E989" w14:textId="77777777" w:rsidR="00D83563" w:rsidRDefault="00D83563" w:rsidP="00726990">
      <w:pPr>
        <w:pStyle w:val="Heading4"/>
      </w:pPr>
      <w:r w:rsidRPr="00D83563">
        <w:t>Annotating Instructional Services, Support Services, and Allowable Activities</w:t>
      </w:r>
    </w:p>
    <w:p w14:paraId="3B8A075C" w14:textId="4C11D8D7" w:rsidR="00944BC2" w:rsidRDefault="00D83563" w:rsidP="00726990">
      <w:pPr>
        <w:pStyle w:val="BodyText"/>
        <w:suppressAutoHyphens w:val="0"/>
        <w:ind w:left="144"/>
        <w:rPr>
          <w:rFonts w:cs="Arial"/>
          <w:sz w:val="24"/>
          <w:szCs w:val="24"/>
        </w:rPr>
      </w:pPr>
      <w:r w:rsidRPr="00D83563">
        <w:rPr>
          <w:rFonts w:cs="Arial"/>
          <w:sz w:val="24"/>
          <w:szCs w:val="24"/>
        </w:rPr>
        <w:t xml:space="preserve">This </w:t>
      </w:r>
      <w:r w:rsidR="0072405F" w:rsidRPr="00D83563">
        <w:rPr>
          <w:rFonts w:cs="Arial"/>
          <w:sz w:val="24"/>
          <w:szCs w:val="24"/>
        </w:rPr>
        <w:t>distinction</w:t>
      </w:r>
      <w:r w:rsidRPr="00D83563">
        <w:rPr>
          <w:rFonts w:cs="Arial"/>
          <w:sz w:val="24"/>
          <w:szCs w:val="24"/>
        </w:rPr>
        <w:t xml:space="preserve"> between support and instructional </w:t>
      </w:r>
      <w:r w:rsidR="00F1136D" w:rsidRPr="00D83563">
        <w:rPr>
          <w:rFonts w:cs="Arial"/>
          <w:sz w:val="24"/>
          <w:szCs w:val="24"/>
        </w:rPr>
        <w:t>services</w:t>
      </w:r>
      <w:r w:rsidRPr="00D83563">
        <w:rPr>
          <w:rFonts w:cs="Arial"/>
          <w:sz w:val="24"/>
          <w:szCs w:val="24"/>
        </w:rPr>
        <w:t xml:space="preserve"> is important when MEP personnel </w:t>
      </w:r>
      <w:r w:rsidR="005D0787">
        <w:rPr>
          <w:rFonts w:cs="Arial"/>
          <w:sz w:val="24"/>
          <w:szCs w:val="24"/>
        </w:rPr>
        <w:t>create</w:t>
      </w:r>
      <w:r w:rsidR="005D0787" w:rsidRPr="00D83563">
        <w:rPr>
          <w:rFonts w:cs="Arial"/>
          <w:sz w:val="24"/>
          <w:szCs w:val="24"/>
        </w:rPr>
        <w:t xml:space="preserve"> </w:t>
      </w:r>
      <w:r w:rsidRPr="00D83563">
        <w:rPr>
          <w:rFonts w:cs="Arial"/>
          <w:sz w:val="24"/>
          <w:szCs w:val="24"/>
        </w:rPr>
        <w:t xml:space="preserve">services </w:t>
      </w:r>
      <w:r w:rsidR="003C7340">
        <w:rPr>
          <w:rFonts w:cs="Arial"/>
          <w:sz w:val="24"/>
          <w:szCs w:val="24"/>
        </w:rPr>
        <w:t xml:space="preserve">in their </w:t>
      </w:r>
      <w:r w:rsidR="005D0787">
        <w:rPr>
          <w:rFonts w:cs="Arial"/>
          <w:sz w:val="24"/>
          <w:szCs w:val="24"/>
        </w:rPr>
        <w:t>grant application</w:t>
      </w:r>
      <w:r w:rsidRPr="00D83563">
        <w:rPr>
          <w:rFonts w:cs="Arial"/>
          <w:sz w:val="24"/>
          <w:szCs w:val="24"/>
        </w:rPr>
        <w:t xml:space="preserve">. </w:t>
      </w:r>
      <w:r w:rsidR="005D0787">
        <w:rPr>
          <w:rFonts w:cs="Arial"/>
          <w:sz w:val="24"/>
          <w:szCs w:val="24"/>
        </w:rPr>
        <w:t>In</w:t>
      </w:r>
      <w:r w:rsidRPr="00D83563">
        <w:rPr>
          <w:rFonts w:cs="Arial"/>
          <w:sz w:val="24"/>
          <w:szCs w:val="24"/>
        </w:rPr>
        <w:t xml:space="preserve"> the funding application, subgrantees will need to identify instructional staff in the “Instructional Service Staffing” section of the application and </w:t>
      </w:r>
      <w:r w:rsidR="006C61CF">
        <w:rPr>
          <w:rFonts w:cs="Arial"/>
          <w:sz w:val="24"/>
          <w:szCs w:val="24"/>
        </w:rPr>
        <w:t>s</w:t>
      </w:r>
      <w:r w:rsidRPr="00D83563">
        <w:rPr>
          <w:rFonts w:cs="Arial"/>
          <w:sz w:val="24"/>
          <w:szCs w:val="24"/>
        </w:rPr>
        <w:t xml:space="preserve">upport </w:t>
      </w:r>
      <w:r w:rsidR="006C61CF">
        <w:rPr>
          <w:rFonts w:cs="Arial"/>
          <w:sz w:val="24"/>
          <w:szCs w:val="24"/>
        </w:rPr>
        <w:t>s</w:t>
      </w:r>
      <w:r w:rsidRPr="00D83563">
        <w:rPr>
          <w:rFonts w:cs="Arial"/>
          <w:sz w:val="24"/>
          <w:szCs w:val="24"/>
        </w:rPr>
        <w:t xml:space="preserve">taff in the </w:t>
      </w:r>
      <w:r w:rsidR="006C61CF">
        <w:rPr>
          <w:rFonts w:cs="Arial"/>
          <w:sz w:val="24"/>
          <w:szCs w:val="24"/>
        </w:rPr>
        <w:t>“</w:t>
      </w:r>
      <w:r w:rsidRPr="00D83563">
        <w:rPr>
          <w:rFonts w:cs="Arial"/>
          <w:sz w:val="24"/>
          <w:szCs w:val="24"/>
        </w:rPr>
        <w:t>Support Services Staffing</w:t>
      </w:r>
      <w:r w:rsidR="006C61CF">
        <w:rPr>
          <w:rFonts w:cs="Arial"/>
          <w:sz w:val="24"/>
          <w:szCs w:val="24"/>
        </w:rPr>
        <w:t>”</w:t>
      </w:r>
      <w:r w:rsidRPr="00D83563">
        <w:rPr>
          <w:rFonts w:cs="Arial"/>
          <w:sz w:val="24"/>
          <w:szCs w:val="24"/>
        </w:rPr>
        <w:t xml:space="preserve"> section. </w:t>
      </w:r>
      <w:r w:rsidR="006836D3">
        <w:rPr>
          <w:rFonts w:cs="Arial"/>
          <w:sz w:val="24"/>
          <w:szCs w:val="24"/>
        </w:rPr>
        <w:t>In</w:t>
      </w:r>
      <w:r w:rsidRPr="00D83563">
        <w:rPr>
          <w:rFonts w:cs="Arial"/>
          <w:sz w:val="24"/>
          <w:szCs w:val="24"/>
        </w:rPr>
        <w:t xml:space="preserve"> the budget section subgrantees will include costs for all services and allowable activities, except for administrati</w:t>
      </w:r>
      <w:r w:rsidR="003642E2">
        <w:rPr>
          <w:rFonts w:cs="Arial"/>
          <w:sz w:val="24"/>
          <w:szCs w:val="24"/>
        </w:rPr>
        <w:t>ve</w:t>
      </w:r>
      <w:r w:rsidR="006836D3">
        <w:rPr>
          <w:rFonts w:cs="Arial"/>
          <w:sz w:val="24"/>
          <w:szCs w:val="24"/>
        </w:rPr>
        <w:t xml:space="preserve"> costs</w:t>
      </w:r>
      <w:r w:rsidRPr="00D83563">
        <w:rPr>
          <w:rFonts w:cs="Arial"/>
          <w:sz w:val="24"/>
          <w:szCs w:val="24"/>
        </w:rPr>
        <w:t>.</w:t>
      </w:r>
    </w:p>
    <w:p w14:paraId="39491F0D" w14:textId="36B9C0EF" w:rsidR="00D83563" w:rsidRDefault="00D83563" w:rsidP="00726990">
      <w:pPr>
        <w:ind w:left="144"/>
        <w:rPr>
          <w:rFonts w:cs="Arial"/>
          <w:color w:val="000000"/>
          <w:szCs w:val="24"/>
        </w:rPr>
      </w:pPr>
      <w:r w:rsidRPr="00D83563">
        <w:rPr>
          <w:rFonts w:cs="Arial"/>
          <w:color w:val="000000"/>
          <w:szCs w:val="24"/>
        </w:rPr>
        <w:t xml:space="preserve">Each respective subgrantee (region or district) will annotate instructional and support services in the </w:t>
      </w:r>
      <w:r w:rsidR="003C786E">
        <w:rPr>
          <w:rFonts w:cs="Arial"/>
          <w:color w:val="000000"/>
          <w:szCs w:val="24"/>
        </w:rPr>
        <w:t>staff</w:t>
      </w:r>
      <w:r w:rsidR="003C786E" w:rsidRPr="00D83563">
        <w:rPr>
          <w:rFonts w:cs="Arial"/>
          <w:color w:val="000000"/>
          <w:szCs w:val="24"/>
        </w:rPr>
        <w:t xml:space="preserve"> </w:t>
      </w:r>
      <w:r w:rsidRPr="00D83563">
        <w:rPr>
          <w:rFonts w:cs="Arial"/>
          <w:color w:val="000000"/>
          <w:szCs w:val="24"/>
        </w:rPr>
        <w:t xml:space="preserve">component of the applicable service agreement (RA, </w:t>
      </w:r>
      <w:r w:rsidR="0072405F">
        <w:rPr>
          <w:rFonts w:cs="Arial"/>
          <w:color w:val="000000"/>
          <w:szCs w:val="24"/>
        </w:rPr>
        <w:t>DFD</w:t>
      </w:r>
      <w:r w:rsidRPr="00D83563">
        <w:rPr>
          <w:rFonts w:cs="Arial"/>
          <w:color w:val="000000"/>
          <w:szCs w:val="24"/>
        </w:rPr>
        <w:t xml:space="preserve"> application, DSA).</w:t>
      </w:r>
    </w:p>
    <w:p w14:paraId="45390C44" w14:textId="77777777" w:rsidR="00D83563" w:rsidRDefault="00D83563" w:rsidP="009C532E">
      <w:pPr>
        <w:pStyle w:val="Heading3"/>
      </w:pPr>
      <w:bookmarkStart w:id="27" w:name="_Toc207703788"/>
      <w:r w:rsidRPr="00D83563">
        <w:t>1.8</w:t>
      </w:r>
      <w:r w:rsidR="00182DC5">
        <w:t xml:space="preserve"> </w:t>
      </w:r>
      <w:r w:rsidRPr="00D83563">
        <w:t>Supplement Not Supplant and Unaddressed Needs Rule</w:t>
      </w:r>
      <w:bookmarkEnd w:id="27"/>
    </w:p>
    <w:p w14:paraId="4874E1BF" w14:textId="7C9081EC" w:rsidR="00944BC2" w:rsidRPr="00870B2D" w:rsidRDefault="00D83563" w:rsidP="00726990">
      <w:pPr>
        <w:pStyle w:val="ListParagraph"/>
        <w:ind w:left="0"/>
        <w:contextualSpacing w:val="0"/>
        <w:rPr>
          <w:rFonts w:cs="Arial"/>
          <w:szCs w:val="24"/>
        </w:rPr>
      </w:pPr>
      <w:r w:rsidRPr="00D83563">
        <w:rPr>
          <w:rFonts w:cs="Arial"/>
          <w:szCs w:val="24"/>
        </w:rPr>
        <w:t xml:space="preserve">Supplement, not supplant means that funds must be used to provide extra support or services. </w:t>
      </w:r>
      <w:r w:rsidR="009D6D16">
        <w:rPr>
          <w:rFonts w:cs="Arial"/>
          <w:szCs w:val="24"/>
        </w:rPr>
        <w:t>ESSA</w:t>
      </w:r>
      <w:r w:rsidR="009D6D16" w:rsidRPr="00D83563">
        <w:rPr>
          <w:rFonts w:cs="Arial"/>
          <w:szCs w:val="24"/>
        </w:rPr>
        <w:t xml:space="preserve"> </w:t>
      </w:r>
      <w:r w:rsidRPr="00D83563">
        <w:rPr>
          <w:rFonts w:cs="Arial"/>
          <w:szCs w:val="24"/>
        </w:rPr>
        <w:t>specifically applies the following rule to MEP funds: all federal funds under this program shall supplement and not supplant all other non-federal funds.</w:t>
      </w:r>
      <w:r w:rsidR="000B27ED">
        <w:rPr>
          <w:rFonts w:cs="Arial"/>
          <w:szCs w:val="24"/>
        </w:rPr>
        <w:t xml:space="preserve"> Per ES</w:t>
      </w:r>
      <w:r w:rsidR="00375EB9">
        <w:rPr>
          <w:rFonts w:cs="Arial"/>
          <w:szCs w:val="24"/>
        </w:rPr>
        <w:t>EA</w:t>
      </w:r>
      <w:r w:rsidR="000B27ED">
        <w:rPr>
          <w:rFonts w:cs="Arial"/>
          <w:szCs w:val="24"/>
        </w:rPr>
        <w:t xml:space="preserve">, Section 1306(b)(2), </w:t>
      </w:r>
      <w:r w:rsidR="000B3A3C">
        <w:rPr>
          <w:rFonts w:cs="Arial"/>
          <w:szCs w:val="24"/>
        </w:rPr>
        <w:t xml:space="preserve">other federal program funds must be used </w:t>
      </w:r>
      <w:r w:rsidR="000B3A3C">
        <w:rPr>
          <w:rFonts w:cs="Arial"/>
          <w:i/>
          <w:iCs/>
          <w:szCs w:val="24"/>
        </w:rPr>
        <w:t>before</w:t>
      </w:r>
      <w:r w:rsidR="000B3A3C">
        <w:rPr>
          <w:rFonts w:cs="Arial"/>
          <w:szCs w:val="24"/>
        </w:rPr>
        <w:t xml:space="preserve"> MEP funds to provide a service</w:t>
      </w:r>
      <w:r w:rsidR="00C033C8">
        <w:rPr>
          <w:rFonts w:cs="Arial"/>
          <w:szCs w:val="24"/>
        </w:rPr>
        <w:t xml:space="preserve"> in cases where migratory students are eligible for both the MEP and another federal program.</w:t>
      </w:r>
      <w:r w:rsidRPr="00D83563">
        <w:rPr>
          <w:rFonts w:cs="Arial"/>
          <w:szCs w:val="24"/>
        </w:rPr>
        <w:t xml:space="preserve"> The MEP statute makes it clear that MEP services are in </w:t>
      </w:r>
      <w:r w:rsidRPr="00D83563">
        <w:rPr>
          <w:rFonts w:cs="Arial"/>
          <w:i/>
          <w:szCs w:val="24"/>
        </w:rPr>
        <w:t>addition to, not in lieu</w:t>
      </w:r>
      <w:r w:rsidRPr="00D83563">
        <w:rPr>
          <w:rFonts w:cs="Arial"/>
          <w:szCs w:val="24"/>
        </w:rPr>
        <w:t xml:space="preserve"> of, other services that can or should be provided by the core educational program or by any other program.</w:t>
      </w:r>
    </w:p>
    <w:p w14:paraId="4705407E" w14:textId="4599037E" w:rsidR="00D83563" w:rsidRDefault="00D83563" w:rsidP="00726990">
      <w:pPr>
        <w:pStyle w:val="ListParagraph"/>
        <w:ind w:left="0"/>
        <w:contextualSpacing w:val="0"/>
        <w:rPr>
          <w:rFonts w:cs="Arial"/>
          <w:b/>
          <w:szCs w:val="24"/>
        </w:rPr>
      </w:pPr>
      <w:r w:rsidRPr="00D83563">
        <w:rPr>
          <w:rFonts w:cs="Arial"/>
          <w:szCs w:val="24"/>
        </w:rPr>
        <w:t xml:space="preserve">Each of the instructional services provided with MEP funds must be supplemental to the core instruction provided by a district, and whenever possible, </w:t>
      </w:r>
      <w:r w:rsidRPr="00D83563">
        <w:rPr>
          <w:rFonts w:cs="Arial"/>
          <w:b/>
          <w:szCs w:val="24"/>
        </w:rPr>
        <w:t xml:space="preserve">should NOT occur </w:t>
      </w:r>
      <w:r w:rsidRPr="00D83563">
        <w:rPr>
          <w:rFonts w:cs="Arial"/>
          <w:b/>
          <w:szCs w:val="24"/>
        </w:rPr>
        <w:lastRenderedPageBreak/>
        <w:t xml:space="preserve">during regular school </w:t>
      </w:r>
      <w:r w:rsidR="00DD635B">
        <w:rPr>
          <w:rFonts w:cs="Arial"/>
          <w:b/>
          <w:szCs w:val="24"/>
        </w:rPr>
        <w:t>hours</w:t>
      </w:r>
      <w:r w:rsidRPr="00D83563">
        <w:rPr>
          <w:rFonts w:cs="Arial"/>
          <w:b/>
          <w:szCs w:val="24"/>
        </w:rPr>
        <w:t xml:space="preserve">. If services are provided during </w:t>
      </w:r>
      <w:r w:rsidR="00DE06A0">
        <w:rPr>
          <w:rFonts w:cs="Arial"/>
          <w:b/>
          <w:szCs w:val="24"/>
        </w:rPr>
        <w:t xml:space="preserve">regular </w:t>
      </w:r>
      <w:r w:rsidRPr="00D83563">
        <w:rPr>
          <w:rFonts w:cs="Arial"/>
          <w:b/>
          <w:szCs w:val="24"/>
        </w:rPr>
        <w:t xml:space="preserve">school </w:t>
      </w:r>
      <w:r w:rsidR="00DE06A0">
        <w:rPr>
          <w:rFonts w:cs="Arial"/>
          <w:b/>
          <w:szCs w:val="24"/>
        </w:rPr>
        <w:t>hours</w:t>
      </w:r>
      <w:r w:rsidRPr="00D83563">
        <w:rPr>
          <w:rFonts w:cs="Arial"/>
          <w:b/>
          <w:szCs w:val="24"/>
        </w:rPr>
        <w:t>, the operating agency must document the supplemental nature of the service.</w:t>
      </w:r>
    </w:p>
    <w:p w14:paraId="2F87EF07" w14:textId="4C444FF3" w:rsidR="00D83563" w:rsidRDefault="00D83563" w:rsidP="00726990">
      <w:pPr>
        <w:pStyle w:val="ListParagraph"/>
        <w:ind w:left="0"/>
        <w:contextualSpacing w:val="0"/>
        <w:rPr>
          <w:rFonts w:cs="Arial"/>
          <w:szCs w:val="24"/>
        </w:rPr>
      </w:pPr>
      <w:r w:rsidRPr="00D83563">
        <w:rPr>
          <w:rFonts w:cs="Arial"/>
          <w:szCs w:val="24"/>
        </w:rPr>
        <w:t xml:space="preserve">OME MEP </w:t>
      </w:r>
      <w:r w:rsidR="0072405F">
        <w:rPr>
          <w:rFonts w:cs="Arial"/>
          <w:szCs w:val="24"/>
        </w:rPr>
        <w:t>g</w:t>
      </w:r>
      <w:r w:rsidRPr="00D83563">
        <w:rPr>
          <w:rFonts w:cs="Arial"/>
          <w:szCs w:val="24"/>
        </w:rPr>
        <w:t xml:space="preserve">uidance indicates that SEAs can use a wide variety of service delivery designs. California is recommending the following supplemental programs be implemented to provide the most direct services to </w:t>
      </w:r>
      <w:r w:rsidR="00D31812">
        <w:rPr>
          <w:rFonts w:cs="Arial"/>
          <w:szCs w:val="24"/>
        </w:rPr>
        <w:t>migratory</w:t>
      </w:r>
      <w:r w:rsidRPr="00D83563">
        <w:rPr>
          <w:rFonts w:cs="Arial"/>
          <w:szCs w:val="24"/>
        </w:rPr>
        <w:t xml:space="preserve"> children enrolled in </w:t>
      </w:r>
      <w:r w:rsidR="0072405F">
        <w:rPr>
          <w:rFonts w:cs="Arial"/>
          <w:szCs w:val="24"/>
        </w:rPr>
        <w:t xml:space="preserve">kindergarten through grade </w:t>
      </w:r>
      <w:r w:rsidRPr="00D83563">
        <w:rPr>
          <w:rFonts w:cs="Arial"/>
          <w:szCs w:val="24"/>
        </w:rPr>
        <w:t>12 settings:</w:t>
      </w:r>
    </w:p>
    <w:p w14:paraId="0CE99D70" w14:textId="77777777" w:rsidR="00D83563" w:rsidRPr="00D83563" w:rsidRDefault="00D83563" w:rsidP="005842A2">
      <w:pPr>
        <w:pStyle w:val="ListParagraph"/>
        <w:numPr>
          <w:ilvl w:val="0"/>
          <w:numId w:val="59"/>
        </w:numPr>
        <w:autoSpaceDE w:val="0"/>
        <w:autoSpaceDN w:val="0"/>
        <w:adjustRightInd w:val="0"/>
        <w:ind w:left="720" w:hanging="288"/>
        <w:contextualSpacing w:val="0"/>
        <w:rPr>
          <w:rFonts w:cs="Arial"/>
          <w:szCs w:val="24"/>
        </w:rPr>
      </w:pPr>
      <w:r w:rsidRPr="00D83563">
        <w:rPr>
          <w:rFonts w:cs="Arial"/>
          <w:szCs w:val="24"/>
        </w:rPr>
        <w:t>Extended day programs</w:t>
      </w:r>
    </w:p>
    <w:p w14:paraId="79498682" w14:textId="77777777" w:rsidR="00D83563" w:rsidRPr="00D83563" w:rsidRDefault="00D83563" w:rsidP="005842A2">
      <w:pPr>
        <w:pStyle w:val="ListParagraph"/>
        <w:numPr>
          <w:ilvl w:val="0"/>
          <w:numId w:val="59"/>
        </w:numPr>
        <w:autoSpaceDE w:val="0"/>
        <w:autoSpaceDN w:val="0"/>
        <w:adjustRightInd w:val="0"/>
        <w:ind w:left="720" w:hanging="288"/>
        <w:contextualSpacing w:val="0"/>
        <w:rPr>
          <w:rFonts w:cs="Arial"/>
          <w:szCs w:val="24"/>
        </w:rPr>
      </w:pPr>
      <w:r w:rsidRPr="00D83563">
        <w:rPr>
          <w:rFonts w:cs="Arial"/>
          <w:szCs w:val="24"/>
        </w:rPr>
        <w:t>Before/after school programs</w:t>
      </w:r>
    </w:p>
    <w:p w14:paraId="14BA2B9B" w14:textId="77777777" w:rsidR="00D83563" w:rsidRPr="00D83563" w:rsidRDefault="00D83563" w:rsidP="005842A2">
      <w:pPr>
        <w:pStyle w:val="ListParagraph"/>
        <w:numPr>
          <w:ilvl w:val="0"/>
          <w:numId w:val="60"/>
        </w:numPr>
        <w:autoSpaceDE w:val="0"/>
        <w:autoSpaceDN w:val="0"/>
        <w:adjustRightInd w:val="0"/>
        <w:ind w:left="720" w:hanging="288"/>
        <w:contextualSpacing w:val="0"/>
        <w:rPr>
          <w:rFonts w:cs="Arial"/>
          <w:szCs w:val="24"/>
        </w:rPr>
      </w:pPr>
      <w:r w:rsidRPr="00D83563">
        <w:rPr>
          <w:rFonts w:cs="Arial"/>
          <w:szCs w:val="24"/>
        </w:rPr>
        <w:t>Saturday or vacation programs</w:t>
      </w:r>
    </w:p>
    <w:p w14:paraId="45278EE2" w14:textId="77777777" w:rsidR="00D83563" w:rsidRPr="00D83563" w:rsidRDefault="00D83563" w:rsidP="005842A2">
      <w:pPr>
        <w:pStyle w:val="ListParagraph"/>
        <w:numPr>
          <w:ilvl w:val="0"/>
          <w:numId w:val="60"/>
        </w:numPr>
        <w:autoSpaceDE w:val="0"/>
        <w:autoSpaceDN w:val="0"/>
        <w:adjustRightInd w:val="0"/>
        <w:ind w:left="720" w:hanging="288"/>
        <w:contextualSpacing w:val="0"/>
        <w:rPr>
          <w:rFonts w:cs="Arial"/>
          <w:szCs w:val="24"/>
        </w:rPr>
      </w:pPr>
      <w:r w:rsidRPr="00D83563">
        <w:rPr>
          <w:rFonts w:cs="Arial"/>
          <w:szCs w:val="24"/>
        </w:rPr>
        <w:t>Summer/intersession programs</w:t>
      </w:r>
    </w:p>
    <w:p w14:paraId="19A14913" w14:textId="77777777" w:rsidR="00D83563" w:rsidRDefault="00D83563" w:rsidP="005842A2">
      <w:pPr>
        <w:pStyle w:val="ListParagraph"/>
        <w:numPr>
          <w:ilvl w:val="0"/>
          <w:numId w:val="60"/>
        </w:numPr>
        <w:autoSpaceDE w:val="0"/>
        <w:autoSpaceDN w:val="0"/>
        <w:adjustRightInd w:val="0"/>
        <w:ind w:left="720" w:hanging="288"/>
        <w:contextualSpacing w:val="0"/>
        <w:rPr>
          <w:rFonts w:cs="Arial"/>
          <w:szCs w:val="24"/>
        </w:rPr>
      </w:pPr>
      <w:r w:rsidRPr="00D83563">
        <w:rPr>
          <w:rFonts w:cs="Arial"/>
          <w:szCs w:val="24"/>
        </w:rPr>
        <w:t>Distance learning programs</w:t>
      </w:r>
    </w:p>
    <w:p w14:paraId="5B7D10A1" w14:textId="0E2EFE20" w:rsidR="00944BC2" w:rsidRDefault="00D83563" w:rsidP="00726990">
      <w:pPr>
        <w:rPr>
          <w:rFonts w:cs="Arial"/>
          <w:b/>
          <w:szCs w:val="24"/>
        </w:rPr>
      </w:pPr>
      <w:r w:rsidRPr="00D83563">
        <w:rPr>
          <w:rFonts w:cs="Arial"/>
          <w:szCs w:val="24"/>
        </w:rPr>
        <w:t>Programs that do not remove children from the</w:t>
      </w:r>
      <w:r w:rsidR="00DE1D56">
        <w:rPr>
          <w:rFonts w:cs="Arial"/>
          <w:szCs w:val="24"/>
        </w:rPr>
        <w:t>ir</w:t>
      </w:r>
      <w:r w:rsidRPr="00D83563">
        <w:rPr>
          <w:rFonts w:cs="Arial"/>
          <w:szCs w:val="24"/>
        </w:rPr>
        <w:t xml:space="preserve"> classroom during regular school hours for Title I services and, instead, provide extended learning time (e.g., extended school year, before-and after-school, and summer programs, etc.) are per se supplemental. LEAs and schools are encouraged to be creative in the way they provide services to Title I children while remembering that the educational </w:t>
      </w:r>
      <w:r w:rsidRPr="00D83563">
        <w:rPr>
          <w:rFonts w:cs="Arial"/>
          <w:b/>
          <w:szCs w:val="24"/>
        </w:rPr>
        <w:t xml:space="preserve">services provided with Title I funds must be in addition to those services that the LEA and school provides to </w:t>
      </w:r>
      <w:r w:rsidR="0072405F" w:rsidRPr="00D83563">
        <w:rPr>
          <w:rFonts w:cs="Arial"/>
          <w:b/>
          <w:szCs w:val="24"/>
        </w:rPr>
        <w:t>all</w:t>
      </w:r>
      <w:r w:rsidRPr="00D83563">
        <w:rPr>
          <w:rFonts w:cs="Arial"/>
          <w:b/>
          <w:szCs w:val="24"/>
        </w:rPr>
        <w:t xml:space="preserve"> its children using state and local funding sources.</w:t>
      </w:r>
    </w:p>
    <w:p w14:paraId="67F3C934" w14:textId="0A3C48FB" w:rsidR="00D83563" w:rsidRDefault="00D83563" w:rsidP="00726990">
      <w:pPr>
        <w:rPr>
          <w:rFonts w:cs="Arial"/>
          <w:szCs w:val="24"/>
        </w:rPr>
      </w:pPr>
      <w:r w:rsidRPr="00D83563">
        <w:rPr>
          <w:rFonts w:cs="Arial"/>
          <w:szCs w:val="24"/>
        </w:rPr>
        <w:t xml:space="preserve">The MEP statute also requires that MEP funds be used to address the needs of migratory children that are not addressed by services available from other </w:t>
      </w:r>
      <w:r w:rsidR="0072405F">
        <w:rPr>
          <w:rFonts w:cs="Arial"/>
          <w:szCs w:val="24"/>
        </w:rPr>
        <w:t>f</w:t>
      </w:r>
      <w:r w:rsidRPr="00D83563">
        <w:rPr>
          <w:rFonts w:cs="Arial"/>
          <w:szCs w:val="24"/>
        </w:rPr>
        <w:t>ederal or non-</w:t>
      </w:r>
      <w:r w:rsidR="0072405F">
        <w:rPr>
          <w:rFonts w:cs="Arial"/>
          <w:szCs w:val="24"/>
        </w:rPr>
        <w:t>f</w:t>
      </w:r>
      <w:r w:rsidRPr="00D83563">
        <w:rPr>
          <w:rFonts w:cs="Arial"/>
          <w:szCs w:val="24"/>
        </w:rPr>
        <w:t xml:space="preserve">ederal programs. This is very similar to the “supplement, not supplant” rule, but it applies to services funded by </w:t>
      </w:r>
      <w:r w:rsidR="0072405F">
        <w:rPr>
          <w:rFonts w:cs="Arial"/>
          <w:i/>
          <w:szCs w:val="24"/>
        </w:rPr>
        <w:t>f</w:t>
      </w:r>
      <w:r w:rsidRPr="00D83563">
        <w:rPr>
          <w:rFonts w:cs="Arial"/>
          <w:i/>
          <w:szCs w:val="24"/>
        </w:rPr>
        <w:t>ederal or non-</w:t>
      </w:r>
      <w:r w:rsidR="0072405F">
        <w:rPr>
          <w:rFonts w:cs="Arial"/>
          <w:i/>
          <w:szCs w:val="24"/>
        </w:rPr>
        <w:t>f</w:t>
      </w:r>
      <w:r w:rsidRPr="00D83563">
        <w:rPr>
          <w:rFonts w:cs="Arial"/>
          <w:i/>
          <w:szCs w:val="24"/>
        </w:rPr>
        <w:t>ederal programs</w:t>
      </w:r>
      <w:r w:rsidRPr="00D83563">
        <w:rPr>
          <w:rFonts w:cs="Arial"/>
          <w:szCs w:val="24"/>
        </w:rPr>
        <w:t xml:space="preserve">. In essence, it means that if there are other services available that address the needs of migratory children (including services provided with Title I, Part A or Title III funds), then migratory children must be selected for, and </w:t>
      </w:r>
      <w:r w:rsidR="0072405F" w:rsidRPr="00D83563">
        <w:rPr>
          <w:rFonts w:cs="Arial"/>
          <w:szCs w:val="24"/>
        </w:rPr>
        <w:t>provided with</w:t>
      </w:r>
      <w:r w:rsidRPr="00D83563">
        <w:rPr>
          <w:rFonts w:cs="Arial"/>
          <w:szCs w:val="24"/>
        </w:rPr>
        <w:t xml:space="preserve"> those services, on the same basis as other eligible children—prior to applying MEP funds.</w:t>
      </w:r>
      <w:r w:rsidRPr="00D83563">
        <w:rPr>
          <w:rStyle w:val="FootnoteReference"/>
          <w:rFonts w:cs="Arial"/>
          <w:color w:val="000000"/>
          <w:szCs w:val="24"/>
        </w:rPr>
        <w:footnoteReference w:id="11"/>
      </w:r>
    </w:p>
    <w:p w14:paraId="0E7AAC21" w14:textId="45C87AAF" w:rsidR="00D83563" w:rsidRDefault="00D83563" w:rsidP="00F76EEC">
      <w:pPr>
        <w:pStyle w:val="Heading2"/>
      </w:pPr>
      <w:bookmarkStart w:id="28" w:name="_Toc207703789"/>
      <w:bookmarkStart w:id="29" w:name="_Toc414262491"/>
      <w:r w:rsidRPr="00D83563">
        <w:t>2.0</w:t>
      </w:r>
      <w:r w:rsidR="00182DC5">
        <w:t xml:space="preserve"> </w:t>
      </w:r>
      <w:r w:rsidR="00734A8B">
        <w:t>Overview of Governing Legal Authority</w:t>
      </w:r>
      <w:bookmarkEnd w:id="28"/>
      <w:r w:rsidR="00182DC5">
        <w:t xml:space="preserve"> </w:t>
      </w:r>
      <w:bookmarkEnd w:id="29"/>
    </w:p>
    <w:p w14:paraId="132A3878" w14:textId="6CF9EB9E" w:rsidR="00944BC2" w:rsidRDefault="00D83563" w:rsidP="00726990">
      <w:pPr>
        <w:rPr>
          <w:rFonts w:cs="Arial"/>
          <w:color w:val="000000"/>
        </w:rPr>
      </w:pPr>
      <w:r w:rsidRPr="00D83563">
        <w:rPr>
          <w:rFonts w:cs="Arial"/>
          <w:color w:val="000000"/>
        </w:rPr>
        <w:t xml:space="preserve">Migrant education operating agencies and service providers shall comply with all applicable federal and state laws, regulations, policies, guidelines, and operating practices. Federal requirements are the standards for the use of the MEP grant awards. Federal law supersedes all conflicting local practices and procedures for the use of MEP funds. Local policies must conform to all applicable federal and state law </w:t>
      </w:r>
      <w:r w:rsidR="00F1136D" w:rsidRPr="00D83563">
        <w:rPr>
          <w:rFonts w:cs="Arial"/>
          <w:color w:val="000000"/>
        </w:rPr>
        <w:t>regarding</w:t>
      </w:r>
      <w:r w:rsidRPr="00D83563">
        <w:rPr>
          <w:rFonts w:cs="Arial"/>
          <w:color w:val="000000"/>
        </w:rPr>
        <w:t xml:space="preserve"> the use of MEP funds.</w:t>
      </w:r>
    </w:p>
    <w:p w14:paraId="3278FFC3" w14:textId="2961D5F4" w:rsidR="003758A2" w:rsidRDefault="003758A2" w:rsidP="001604AF">
      <w:pPr>
        <w:pStyle w:val="ListParagraph"/>
        <w:numPr>
          <w:ilvl w:val="0"/>
          <w:numId w:val="67"/>
        </w:numPr>
        <w:spacing w:after="240"/>
        <w:contextualSpacing w:val="0"/>
        <w:rPr>
          <w:rFonts w:cs="Arial"/>
          <w:color w:val="000000"/>
        </w:rPr>
      </w:pPr>
      <w:r>
        <w:rPr>
          <w:rFonts w:cs="Arial"/>
          <w:color w:val="000000"/>
        </w:rPr>
        <w:t>Federal Law is Supreme</w:t>
      </w:r>
    </w:p>
    <w:p w14:paraId="64AF4843" w14:textId="46FD92B7" w:rsidR="003758A2" w:rsidRDefault="003758A2" w:rsidP="001604AF">
      <w:pPr>
        <w:pStyle w:val="ListParagraph"/>
        <w:spacing w:before="240"/>
        <w:rPr>
          <w:rFonts w:cs="Arial"/>
          <w:color w:val="000000"/>
        </w:rPr>
      </w:pPr>
      <w:r>
        <w:rPr>
          <w:rFonts w:cs="Arial"/>
          <w:color w:val="000000"/>
        </w:rPr>
        <w:t xml:space="preserve">In general, federal law takes precedence over state law. However, in the context of federal grants it is fairly common for a federal law to permit a state or local government to follow state or local law, as long as certain threshold requirements </w:t>
      </w:r>
      <w:r>
        <w:rPr>
          <w:rFonts w:cs="Arial"/>
          <w:color w:val="000000"/>
        </w:rPr>
        <w:lastRenderedPageBreak/>
        <w:t xml:space="preserve">are met. Where there is a conflict between federal and state law, the federal law will preside unless the federal law in question says otherwise or unless an applicable state law is more stringent. </w:t>
      </w:r>
    </w:p>
    <w:p w14:paraId="328B150F" w14:textId="77777777" w:rsidR="003758A2" w:rsidRDefault="003758A2" w:rsidP="001604AF">
      <w:pPr>
        <w:pStyle w:val="ListParagraph"/>
        <w:numPr>
          <w:ilvl w:val="0"/>
          <w:numId w:val="67"/>
        </w:numPr>
        <w:spacing w:before="240"/>
        <w:contextualSpacing w:val="0"/>
        <w:rPr>
          <w:rFonts w:cs="Arial"/>
          <w:color w:val="000000"/>
        </w:rPr>
      </w:pPr>
      <w:r>
        <w:rPr>
          <w:rFonts w:cs="Arial"/>
          <w:color w:val="000000"/>
        </w:rPr>
        <w:t>Hierarchy of Federal Rules</w:t>
      </w:r>
    </w:p>
    <w:p w14:paraId="1A1F788F" w14:textId="77777777" w:rsidR="003758A2" w:rsidRDefault="003758A2" w:rsidP="001604AF">
      <w:pPr>
        <w:pStyle w:val="ListParagraph"/>
        <w:spacing w:after="240"/>
        <w:contextualSpacing w:val="0"/>
        <w:rPr>
          <w:rFonts w:cs="Arial"/>
          <w:color w:val="000000"/>
        </w:rPr>
      </w:pPr>
      <w:r>
        <w:rPr>
          <w:rFonts w:cs="Arial"/>
          <w:color w:val="000000"/>
        </w:rPr>
        <w:t>The hierarchy of federal requirements is as follows:</w:t>
      </w:r>
    </w:p>
    <w:p w14:paraId="7587A2FB" w14:textId="77777777" w:rsidR="003758A2" w:rsidRDefault="003758A2" w:rsidP="005842A2">
      <w:pPr>
        <w:pStyle w:val="ListParagraph"/>
        <w:numPr>
          <w:ilvl w:val="0"/>
          <w:numId w:val="68"/>
        </w:numPr>
        <w:rPr>
          <w:rFonts w:cs="Arial"/>
          <w:color w:val="000000"/>
        </w:rPr>
      </w:pPr>
      <w:r>
        <w:rPr>
          <w:rFonts w:cs="Arial"/>
          <w:color w:val="000000"/>
        </w:rPr>
        <w:t>Statutes</w:t>
      </w:r>
    </w:p>
    <w:p w14:paraId="0C9F2126" w14:textId="77777777" w:rsidR="003758A2" w:rsidRDefault="003758A2" w:rsidP="005842A2">
      <w:pPr>
        <w:pStyle w:val="ListParagraph"/>
        <w:numPr>
          <w:ilvl w:val="0"/>
          <w:numId w:val="68"/>
        </w:numPr>
        <w:rPr>
          <w:rFonts w:cs="Arial"/>
          <w:color w:val="000000"/>
        </w:rPr>
      </w:pPr>
      <w:r>
        <w:rPr>
          <w:rFonts w:cs="Arial"/>
          <w:color w:val="000000"/>
        </w:rPr>
        <w:t>Regulations</w:t>
      </w:r>
    </w:p>
    <w:p w14:paraId="302B8B1E" w14:textId="77777777" w:rsidR="003758A2" w:rsidRDefault="003758A2" w:rsidP="005842A2">
      <w:pPr>
        <w:pStyle w:val="ListParagraph"/>
        <w:numPr>
          <w:ilvl w:val="0"/>
          <w:numId w:val="68"/>
        </w:numPr>
        <w:rPr>
          <w:rFonts w:cs="Arial"/>
          <w:color w:val="000000"/>
        </w:rPr>
      </w:pPr>
      <w:r>
        <w:rPr>
          <w:rFonts w:cs="Arial"/>
          <w:color w:val="000000"/>
        </w:rPr>
        <w:t>Nonregulatory guidance</w:t>
      </w:r>
    </w:p>
    <w:p w14:paraId="382C8DF6" w14:textId="77777777" w:rsidR="003758A2" w:rsidRDefault="003758A2" w:rsidP="005842A2">
      <w:pPr>
        <w:pStyle w:val="ListParagraph"/>
        <w:numPr>
          <w:ilvl w:val="0"/>
          <w:numId w:val="68"/>
        </w:numPr>
        <w:rPr>
          <w:rFonts w:cs="Arial"/>
          <w:color w:val="000000"/>
        </w:rPr>
      </w:pPr>
      <w:r>
        <w:rPr>
          <w:rFonts w:cs="Arial"/>
          <w:color w:val="000000"/>
        </w:rPr>
        <w:t>Dear Colleague letters</w:t>
      </w:r>
    </w:p>
    <w:p w14:paraId="60EB44F7" w14:textId="37175993" w:rsidR="003758A2" w:rsidRDefault="003758A2" w:rsidP="001604AF">
      <w:pPr>
        <w:pStyle w:val="ListParagraph"/>
        <w:numPr>
          <w:ilvl w:val="0"/>
          <w:numId w:val="68"/>
        </w:numPr>
        <w:spacing w:after="240"/>
        <w:rPr>
          <w:rFonts w:cs="Arial"/>
          <w:color w:val="000000"/>
        </w:rPr>
      </w:pPr>
      <w:r>
        <w:rPr>
          <w:rFonts w:cs="Arial"/>
          <w:color w:val="000000"/>
        </w:rPr>
        <w:t>Direct communication from US Department of Education officials</w:t>
      </w:r>
    </w:p>
    <w:p w14:paraId="55C51C33" w14:textId="77777777" w:rsidR="00944BC2" w:rsidRDefault="00D83563" w:rsidP="00726990">
      <w:pPr>
        <w:rPr>
          <w:rFonts w:cs="Arial"/>
          <w:color w:val="000000"/>
        </w:rPr>
      </w:pPr>
      <w:r w:rsidRPr="00D83563">
        <w:rPr>
          <w:rFonts w:cs="Arial"/>
          <w:color w:val="000000"/>
        </w:rPr>
        <w:t>The MEP grant award is subject to the provisions of:</w:t>
      </w:r>
    </w:p>
    <w:p w14:paraId="05D7AABF" w14:textId="7FEAF59D" w:rsidR="00D83563" w:rsidRPr="00AD3896" w:rsidRDefault="00D83563" w:rsidP="005842A2">
      <w:pPr>
        <w:pStyle w:val="BodyTextIndent"/>
        <w:numPr>
          <w:ilvl w:val="0"/>
          <w:numId w:val="25"/>
        </w:numPr>
        <w:autoSpaceDE w:val="0"/>
        <w:autoSpaceDN w:val="0"/>
        <w:adjustRightInd w:val="0"/>
        <w:ind w:left="720" w:hanging="288"/>
        <w:rPr>
          <w:rFonts w:cs="Arial"/>
          <w:iCs/>
          <w:color w:val="000000"/>
          <w:sz w:val="24"/>
          <w:szCs w:val="24"/>
        </w:rPr>
      </w:pPr>
      <w:hyperlink r:id="rId11" w:history="1">
        <w:r w:rsidR="001550EA">
          <w:rPr>
            <w:rStyle w:val="Hyperlink"/>
            <w:rFonts w:cs="Arial"/>
            <w:i/>
            <w:sz w:val="24"/>
            <w:szCs w:val="24"/>
          </w:rPr>
          <w:t>Federal Register’s E</w:t>
        </w:r>
        <w:r w:rsidRPr="0053782C">
          <w:rPr>
            <w:rStyle w:val="Hyperlink"/>
            <w:rFonts w:cs="Arial"/>
            <w:i/>
            <w:sz w:val="24"/>
            <w:szCs w:val="24"/>
          </w:rPr>
          <w:t>ducation Department General Administrative Regulations (EDGAR</w:t>
        </w:r>
        <w:r w:rsidRPr="0053782C">
          <w:rPr>
            <w:rStyle w:val="Hyperlink"/>
            <w:rFonts w:cs="Arial"/>
            <w:sz w:val="24"/>
            <w:szCs w:val="24"/>
          </w:rPr>
          <w:t>)</w:t>
        </w:r>
      </w:hyperlink>
    </w:p>
    <w:p w14:paraId="3DBE092D" w14:textId="45FBAF4D" w:rsidR="00D83563" w:rsidRPr="00CA51E0" w:rsidRDefault="00CA51E0" w:rsidP="00AC49D7">
      <w:pPr>
        <w:pStyle w:val="BodyTextIndent"/>
        <w:numPr>
          <w:ilvl w:val="0"/>
          <w:numId w:val="25"/>
        </w:numPr>
        <w:tabs>
          <w:tab w:val="left" w:pos="720"/>
        </w:tabs>
        <w:ind w:left="810"/>
        <w:rPr>
          <w:rFonts w:cs="Arial"/>
          <w:iCs/>
          <w:color w:val="000000"/>
          <w:sz w:val="24"/>
        </w:rPr>
      </w:pPr>
      <w:hyperlink r:id="rId12" w:history="1">
        <w:r w:rsidR="001550EA">
          <w:rPr>
            <w:rStyle w:val="Hyperlink"/>
            <w:rFonts w:cs="Arial"/>
            <w:iCs/>
            <w:sz w:val="24"/>
          </w:rPr>
          <w:t>Code of Federal Regulations 3</w:t>
        </w:r>
        <w:r w:rsidRPr="00C740A2">
          <w:rPr>
            <w:rStyle w:val="Hyperlink"/>
            <w:rFonts w:cs="Arial"/>
            <w:iCs/>
            <w:sz w:val="24"/>
          </w:rPr>
          <w:t xml:space="preserve">4 </w:t>
        </w:r>
        <w:r w:rsidRPr="00C740A2">
          <w:rPr>
            <w:rStyle w:val="Hyperlink"/>
            <w:rFonts w:cs="Arial"/>
            <w:i/>
            <w:iCs/>
            <w:sz w:val="24"/>
          </w:rPr>
          <w:t xml:space="preserve">CFR </w:t>
        </w:r>
        <w:r w:rsidRPr="00C740A2">
          <w:rPr>
            <w:rStyle w:val="Hyperlink"/>
            <w:rFonts w:cs="Arial"/>
            <w:iCs/>
            <w:sz w:val="24"/>
          </w:rPr>
          <w:t>76-77, 79, 81.82, 85, 97, 98-99</w:t>
        </w:r>
      </w:hyperlink>
    </w:p>
    <w:p w14:paraId="2750CCC1" w14:textId="5643B98E" w:rsidR="00CA51E0" w:rsidRPr="00CA51E0" w:rsidRDefault="00CA51E0" w:rsidP="00CA51E0">
      <w:pPr>
        <w:pStyle w:val="BodyTextIndent"/>
        <w:numPr>
          <w:ilvl w:val="0"/>
          <w:numId w:val="25"/>
        </w:numPr>
        <w:tabs>
          <w:tab w:val="left" w:pos="720"/>
        </w:tabs>
        <w:ind w:left="810"/>
        <w:rPr>
          <w:rFonts w:cs="Arial"/>
          <w:iCs/>
          <w:color w:val="000000"/>
          <w:sz w:val="24"/>
        </w:rPr>
      </w:pPr>
      <w:r w:rsidRPr="00D83563">
        <w:rPr>
          <w:rFonts w:cs="Arial"/>
          <w:iCs/>
          <w:color w:val="000000"/>
          <w:sz w:val="24"/>
        </w:rPr>
        <w:t>Uniform Administrative requirements, Cost principles and Audit requirements within</w:t>
      </w:r>
      <w:r>
        <w:rPr>
          <w:rFonts w:cs="Arial"/>
          <w:iCs/>
          <w:color w:val="000000"/>
          <w:sz w:val="24"/>
        </w:rPr>
        <w:t xml:space="preserve"> the </w:t>
      </w:r>
      <w:r w:rsidRPr="00AC49D7">
        <w:rPr>
          <w:sz w:val="24"/>
          <w:szCs w:val="24"/>
        </w:rPr>
        <w:t>Code of Federal Regulations</w:t>
      </w:r>
      <w:r w:rsidRPr="00D83563">
        <w:rPr>
          <w:rFonts w:cs="Arial"/>
          <w:iCs/>
          <w:color w:val="000000"/>
          <w:sz w:val="24"/>
        </w:rPr>
        <w:t xml:space="preserve"> </w:t>
      </w:r>
      <w:hyperlink r:id="rId13" w:history="1">
        <w:r w:rsidRPr="00C740A2">
          <w:rPr>
            <w:rStyle w:val="Hyperlink"/>
            <w:rFonts w:cs="Arial"/>
            <w:iCs/>
            <w:sz w:val="24"/>
          </w:rPr>
          <w:t xml:space="preserve">2 </w:t>
        </w:r>
        <w:r w:rsidRPr="00375EB9">
          <w:rPr>
            <w:rStyle w:val="Hyperlink"/>
            <w:rFonts w:cs="Arial"/>
            <w:i/>
            <w:sz w:val="24"/>
          </w:rPr>
          <w:t>CFR</w:t>
        </w:r>
        <w:r w:rsidRPr="00C740A2">
          <w:rPr>
            <w:rStyle w:val="Hyperlink"/>
            <w:rFonts w:cs="Arial"/>
            <w:iCs/>
            <w:sz w:val="24"/>
          </w:rPr>
          <w:t xml:space="preserve"> Part 20</w:t>
        </w:r>
        <w:r w:rsidR="001550EA">
          <w:rPr>
            <w:rStyle w:val="Hyperlink"/>
            <w:rFonts w:cs="Arial"/>
            <w:iCs/>
            <w:sz w:val="24"/>
          </w:rPr>
          <w:t xml:space="preserve"> (External Link)</w:t>
        </w:r>
      </w:hyperlink>
    </w:p>
    <w:p w14:paraId="3E72C822" w14:textId="2D9927FD" w:rsidR="00D83563" w:rsidRDefault="000815D9" w:rsidP="00AC49D7">
      <w:pPr>
        <w:pStyle w:val="BodyTextIndent"/>
        <w:numPr>
          <w:ilvl w:val="0"/>
          <w:numId w:val="25"/>
        </w:numPr>
        <w:tabs>
          <w:tab w:val="left" w:pos="720"/>
        </w:tabs>
        <w:ind w:left="810"/>
        <w:rPr>
          <w:rFonts w:cs="Arial"/>
          <w:iCs/>
          <w:color w:val="000000"/>
          <w:sz w:val="24"/>
        </w:rPr>
      </w:pPr>
      <w:hyperlink r:id="rId14" w:history="1">
        <w:r w:rsidRPr="005E1442">
          <w:rPr>
            <w:rStyle w:val="Hyperlink"/>
            <w:rFonts w:cs="Arial"/>
            <w:iCs/>
            <w:sz w:val="24"/>
          </w:rPr>
          <w:t>ESEA</w:t>
        </w:r>
        <w:r w:rsidR="00D83563" w:rsidRPr="005E1442">
          <w:rPr>
            <w:rStyle w:val="Hyperlink"/>
            <w:rFonts w:cs="Arial"/>
            <w:iCs/>
            <w:sz w:val="24"/>
          </w:rPr>
          <w:t>,</w:t>
        </w:r>
        <w:r w:rsidR="00E17787" w:rsidRPr="005E1442">
          <w:rPr>
            <w:rStyle w:val="Hyperlink"/>
            <w:rFonts w:cs="Arial"/>
            <w:iCs/>
            <w:sz w:val="24"/>
          </w:rPr>
          <w:t xml:space="preserve"> </w:t>
        </w:r>
        <w:r w:rsidR="00D83563" w:rsidRPr="005E1442">
          <w:rPr>
            <w:rStyle w:val="Hyperlink"/>
            <w:rFonts w:cs="Arial"/>
            <w:iCs/>
            <w:sz w:val="24"/>
          </w:rPr>
          <w:t>Title I, Part C, Education of Migratory Childre</w:t>
        </w:r>
        <w:r w:rsidR="00AC49D7">
          <w:rPr>
            <w:rStyle w:val="Hyperlink"/>
            <w:rFonts w:cs="Arial"/>
            <w:iCs/>
            <w:sz w:val="24"/>
          </w:rPr>
          <w:t>n (External Link)</w:t>
        </w:r>
      </w:hyperlink>
    </w:p>
    <w:p w14:paraId="33BC5A2A" w14:textId="77777777" w:rsidR="00AC49D7" w:rsidRPr="00AC49D7" w:rsidRDefault="00D83563" w:rsidP="00CA51E0">
      <w:pPr>
        <w:pStyle w:val="BodyTextIndent"/>
        <w:numPr>
          <w:ilvl w:val="0"/>
          <w:numId w:val="25"/>
        </w:numPr>
        <w:autoSpaceDE w:val="0"/>
        <w:autoSpaceDN w:val="0"/>
        <w:adjustRightInd w:val="0"/>
        <w:ind w:left="720" w:hanging="270"/>
        <w:rPr>
          <w:rFonts w:cs="Arial"/>
          <w:iCs/>
          <w:color w:val="000000"/>
          <w:sz w:val="24"/>
          <w:szCs w:val="24"/>
        </w:rPr>
      </w:pPr>
      <w:hyperlink r:id="rId15" w:history="1">
        <w:r w:rsidRPr="00AC49D7">
          <w:rPr>
            <w:rStyle w:val="Hyperlink"/>
            <w:rFonts w:cs="Arial"/>
            <w:iCs/>
            <w:sz w:val="24"/>
            <w:szCs w:val="24"/>
          </w:rPr>
          <w:t xml:space="preserve">69 </w:t>
        </w:r>
        <w:r w:rsidRPr="00AC49D7">
          <w:rPr>
            <w:rStyle w:val="Hyperlink"/>
            <w:rFonts w:cs="Arial"/>
            <w:i/>
            <w:iCs/>
            <w:sz w:val="24"/>
            <w:szCs w:val="24"/>
          </w:rPr>
          <w:t>Federal</w:t>
        </w:r>
        <w:r w:rsidRPr="00AC49D7">
          <w:rPr>
            <w:rStyle w:val="Hyperlink"/>
            <w:rFonts w:cs="Arial"/>
            <w:iCs/>
            <w:sz w:val="24"/>
            <w:szCs w:val="24"/>
          </w:rPr>
          <w:t xml:space="preserve"> </w:t>
        </w:r>
        <w:r w:rsidRPr="00AC49D7">
          <w:rPr>
            <w:rStyle w:val="Hyperlink"/>
            <w:rFonts w:cs="Arial"/>
            <w:i/>
            <w:iCs/>
            <w:sz w:val="24"/>
            <w:szCs w:val="24"/>
          </w:rPr>
          <w:t xml:space="preserve">Register </w:t>
        </w:r>
        <w:r w:rsidRPr="00AC49D7">
          <w:rPr>
            <w:rStyle w:val="Hyperlink"/>
            <w:rFonts w:cs="Arial"/>
            <w:iCs/>
            <w:sz w:val="24"/>
            <w:szCs w:val="24"/>
          </w:rPr>
          <w:t>4036</w:t>
        </w:r>
        <w:r w:rsidR="00AC49D7" w:rsidRPr="00AC49D7">
          <w:rPr>
            <w:rStyle w:val="Hyperlink"/>
            <w:rFonts w:cs="Arial"/>
            <w:iCs/>
            <w:sz w:val="24"/>
            <w:szCs w:val="24"/>
          </w:rPr>
          <w:t>0 (External Link)</w:t>
        </w:r>
      </w:hyperlink>
    </w:p>
    <w:p w14:paraId="4A8CCC32" w14:textId="53C7D17C" w:rsidR="00944BC2" w:rsidRPr="00AC49D7" w:rsidRDefault="00D83563" w:rsidP="00CA51E0">
      <w:pPr>
        <w:pStyle w:val="BodyTextIndent"/>
        <w:numPr>
          <w:ilvl w:val="0"/>
          <w:numId w:val="25"/>
        </w:numPr>
        <w:autoSpaceDE w:val="0"/>
        <w:autoSpaceDN w:val="0"/>
        <w:adjustRightInd w:val="0"/>
        <w:ind w:left="720" w:hanging="270"/>
        <w:rPr>
          <w:rFonts w:cs="Arial"/>
          <w:iCs/>
          <w:color w:val="000000"/>
          <w:sz w:val="24"/>
          <w:szCs w:val="24"/>
        </w:rPr>
      </w:pPr>
      <w:r w:rsidRPr="00AC49D7">
        <w:rPr>
          <w:rFonts w:cs="Arial"/>
          <w:iCs/>
          <w:color w:val="000000"/>
          <w:sz w:val="24"/>
          <w:szCs w:val="24"/>
        </w:rPr>
        <w:t xml:space="preserve">Special Rule: Consistent with 34 </w:t>
      </w:r>
      <w:r w:rsidRPr="00AC49D7">
        <w:rPr>
          <w:rFonts w:cs="Arial"/>
          <w:i/>
          <w:iCs/>
          <w:color w:val="000000"/>
          <w:sz w:val="24"/>
          <w:szCs w:val="24"/>
        </w:rPr>
        <w:t>CFR</w:t>
      </w:r>
      <w:r w:rsidRPr="00AC49D7">
        <w:rPr>
          <w:rFonts w:cs="Arial"/>
          <w:iCs/>
          <w:color w:val="000000"/>
          <w:sz w:val="24"/>
          <w:szCs w:val="24"/>
        </w:rPr>
        <w:t xml:space="preserve"> </w:t>
      </w:r>
      <w:r w:rsidR="00D93DA6" w:rsidRPr="00AC49D7">
        <w:rPr>
          <w:rFonts w:cs="Arial"/>
          <w:iCs/>
          <w:color w:val="000000"/>
          <w:sz w:val="24"/>
          <w:szCs w:val="24"/>
        </w:rPr>
        <w:t>sections</w:t>
      </w:r>
      <w:r w:rsidRPr="00AC49D7">
        <w:rPr>
          <w:rFonts w:cs="Arial"/>
          <w:iCs/>
          <w:color w:val="000000"/>
          <w:sz w:val="24"/>
          <w:szCs w:val="24"/>
        </w:rPr>
        <w:t xml:space="preserve">1306(b)(4) and 200.29(c)(1), before a school operating as a school-wide program consolidates funds received under Title I, Part C, </w:t>
      </w:r>
      <w:r w:rsidR="00D93DA6" w:rsidRPr="00AC49D7">
        <w:rPr>
          <w:rFonts w:cs="Arial"/>
          <w:iCs/>
          <w:color w:val="000000"/>
          <w:sz w:val="24"/>
          <w:szCs w:val="24"/>
        </w:rPr>
        <w:t>t</w:t>
      </w:r>
      <w:r w:rsidRPr="00AC49D7">
        <w:rPr>
          <w:rFonts w:cs="Arial"/>
          <w:iCs/>
          <w:color w:val="000000"/>
          <w:sz w:val="24"/>
          <w:szCs w:val="24"/>
        </w:rPr>
        <w:t xml:space="preserve">he school must, in consultation with parents of </w:t>
      </w:r>
      <w:r w:rsidR="00D31812" w:rsidRPr="00AC49D7">
        <w:rPr>
          <w:rFonts w:cs="Arial"/>
          <w:iCs/>
          <w:color w:val="000000"/>
          <w:sz w:val="24"/>
          <w:szCs w:val="24"/>
        </w:rPr>
        <w:t>migratory</w:t>
      </w:r>
      <w:r w:rsidRPr="00AC49D7">
        <w:rPr>
          <w:rFonts w:cs="Arial"/>
          <w:iCs/>
          <w:color w:val="000000"/>
          <w:sz w:val="24"/>
          <w:szCs w:val="24"/>
        </w:rPr>
        <w:t xml:space="preserve"> children or organizations representing those parents, or both, first meet the unique educational needs of </w:t>
      </w:r>
      <w:r w:rsidR="00D31812" w:rsidRPr="00AC49D7">
        <w:rPr>
          <w:rFonts w:cs="Arial"/>
          <w:iCs/>
          <w:color w:val="000000"/>
          <w:sz w:val="24"/>
          <w:szCs w:val="24"/>
        </w:rPr>
        <w:t>migratory</w:t>
      </w:r>
      <w:r w:rsidRPr="00AC49D7">
        <w:rPr>
          <w:rFonts w:cs="Arial"/>
          <w:iCs/>
          <w:color w:val="000000"/>
          <w:sz w:val="24"/>
          <w:szCs w:val="24"/>
        </w:rPr>
        <w:t xml:space="preserve"> students that result from the effects of their migratory lifestyle, and those other needs that are necessary for </w:t>
      </w:r>
      <w:r w:rsidR="00D31812" w:rsidRPr="00AC49D7">
        <w:rPr>
          <w:rFonts w:cs="Arial"/>
          <w:iCs/>
          <w:color w:val="000000"/>
          <w:sz w:val="24"/>
          <w:szCs w:val="24"/>
        </w:rPr>
        <w:t>migratory</w:t>
      </w:r>
      <w:r w:rsidRPr="00AC49D7">
        <w:rPr>
          <w:rFonts w:cs="Arial"/>
          <w:iCs/>
          <w:color w:val="000000"/>
          <w:sz w:val="24"/>
          <w:szCs w:val="24"/>
        </w:rPr>
        <w:t xml:space="preserve"> students’ effective participation in school. The school must document that those needs have been met.</w:t>
      </w:r>
    </w:p>
    <w:p w14:paraId="3E820B64" w14:textId="77777777" w:rsidR="00AC49D7" w:rsidRPr="00AC49D7" w:rsidRDefault="00D83563" w:rsidP="00AC516E">
      <w:pPr>
        <w:numPr>
          <w:ilvl w:val="0"/>
          <w:numId w:val="21"/>
        </w:numPr>
        <w:autoSpaceDE w:val="0"/>
        <w:autoSpaceDN w:val="0"/>
        <w:adjustRightInd w:val="0"/>
        <w:ind w:left="720" w:hanging="288"/>
        <w:rPr>
          <w:rFonts w:cs="Arial"/>
        </w:rPr>
      </w:pPr>
      <w:r w:rsidRPr="00AC49D7">
        <w:rPr>
          <w:rFonts w:cs="Arial"/>
          <w:color w:val="000000"/>
        </w:rPr>
        <w:t xml:space="preserve">Applicable sections of </w:t>
      </w:r>
      <w:hyperlink r:id="rId16" w:history="1">
        <w:r w:rsidRPr="00AC49D7">
          <w:rPr>
            <w:rStyle w:val="Hyperlink"/>
            <w:rFonts w:cs="Arial"/>
          </w:rPr>
          <w:t xml:space="preserve">Title 20 of the </w:t>
        </w:r>
        <w:r w:rsidRPr="00AC49D7">
          <w:rPr>
            <w:rStyle w:val="Hyperlink"/>
            <w:rFonts w:cs="Arial"/>
            <w:i/>
          </w:rPr>
          <w:t>United States Cod</w:t>
        </w:r>
        <w:r w:rsidR="00AC49D7" w:rsidRPr="00AC49D7">
          <w:rPr>
            <w:rStyle w:val="Hyperlink"/>
            <w:rFonts w:cs="Arial"/>
            <w:i/>
          </w:rPr>
          <w:t>e</w:t>
        </w:r>
        <w:r w:rsidR="00AC49D7" w:rsidRPr="00AC49D7">
          <w:rPr>
            <w:rStyle w:val="Hyperlink"/>
            <w:rFonts w:cs="Arial"/>
            <w:iCs/>
          </w:rPr>
          <w:t xml:space="preserve"> (External Link)</w:t>
        </w:r>
      </w:hyperlink>
    </w:p>
    <w:p w14:paraId="37C3A0DD" w14:textId="08E5E4D0" w:rsidR="00C15D60" w:rsidRPr="00AC49D7" w:rsidRDefault="00D83563" w:rsidP="00AC516E">
      <w:pPr>
        <w:numPr>
          <w:ilvl w:val="0"/>
          <w:numId w:val="21"/>
        </w:numPr>
        <w:autoSpaceDE w:val="0"/>
        <w:autoSpaceDN w:val="0"/>
        <w:adjustRightInd w:val="0"/>
        <w:ind w:left="720" w:hanging="288"/>
        <w:rPr>
          <w:rFonts w:cs="Arial"/>
        </w:rPr>
      </w:pPr>
      <w:hyperlink r:id="rId17" w:history="1">
        <w:r w:rsidRPr="00AC49D7">
          <w:rPr>
            <w:rStyle w:val="Hyperlink"/>
            <w:rFonts w:cs="Arial"/>
            <w:iCs/>
          </w:rPr>
          <w:t>California</w:t>
        </w:r>
        <w:r w:rsidRPr="00AC49D7">
          <w:rPr>
            <w:rStyle w:val="Hyperlink"/>
            <w:rFonts w:cs="Arial"/>
            <w:i/>
          </w:rPr>
          <w:t xml:space="preserve"> EC</w:t>
        </w:r>
        <w:r w:rsidRPr="00AC49D7">
          <w:rPr>
            <w:rStyle w:val="Hyperlink"/>
            <w:rFonts w:cs="Arial"/>
          </w:rPr>
          <w:t xml:space="preserve"> </w:t>
        </w:r>
        <w:r w:rsidR="00155502" w:rsidRPr="00AC49D7">
          <w:rPr>
            <w:rStyle w:val="Hyperlink"/>
            <w:rFonts w:cs="Arial"/>
          </w:rPr>
          <w:t xml:space="preserve">ARTICLE </w:t>
        </w:r>
        <w:r w:rsidR="00AC49D7">
          <w:rPr>
            <w:rStyle w:val="Hyperlink"/>
            <w:rFonts w:cs="Arial"/>
          </w:rPr>
          <w:t>3 (</w:t>
        </w:r>
        <w:r w:rsidR="00CA51E0">
          <w:rPr>
            <w:rStyle w:val="Hyperlink"/>
            <w:rFonts w:cs="Arial"/>
          </w:rPr>
          <w:t>External Link</w:t>
        </w:r>
        <w:r w:rsidR="00AC49D7">
          <w:rPr>
            <w:rStyle w:val="Hyperlink"/>
            <w:rFonts w:cs="Arial"/>
          </w:rPr>
          <w:t>)</w:t>
        </w:r>
      </w:hyperlink>
      <w:r w:rsidR="00155502" w:rsidRPr="00AC49D7">
        <w:rPr>
          <w:rFonts w:cs="Arial"/>
        </w:rPr>
        <w:t>. Migrant Children [54440 - 54445]</w:t>
      </w:r>
      <w:r w:rsidRPr="00AC49D7">
        <w:rPr>
          <w:rFonts w:cs="Arial"/>
        </w:rPr>
        <w:t>, et seq.</w:t>
      </w:r>
    </w:p>
    <w:p w14:paraId="4F6952F3" w14:textId="4F6AC8E5" w:rsidR="00D83563" w:rsidRPr="008C24E7" w:rsidRDefault="00C740A2" w:rsidP="005842A2">
      <w:pPr>
        <w:numPr>
          <w:ilvl w:val="0"/>
          <w:numId w:val="21"/>
        </w:numPr>
        <w:autoSpaceDE w:val="0"/>
        <w:autoSpaceDN w:val="0"/>
        <w:adjustRightInd w:val="0"/>
        <w:ind w:left="720" w:hanging="288"/>
        <w:rPr>
          <w:rFonts w:cs="Arial"/>
          <w:color w:val="auto"/>
        </w:rPr>
      </w:pPr>
      <w:hyperlink r:id="rId18" w:history="1">
        <w:r w:rsidRPr="00C740A2">
          <w:rPr>
            <w:rStyle w:val="Hyperlink"/>
            <w:rFonts w:cs="Arial"/>
          </w:rPr>
          <w:t>General Education Provisions Act (GEPA</w:t>
        </w:r>
        <w:r w:rsidR="00CA51E0">
          <w:rPr>
            <w:rStyle w:val="Hyperlink"/>
            <w:rFonts w:cs="Arial"/>
          </w:rPr>
          <w:t>) (External Link)</w:t>
        </w:r>
      </w:hyperlink>
      <w:r w:rsidR="00CA51E0">
        <w:t xml:space="preserve"> </w:t>
      </w:r>
      <w:hyperlink r:id="rId19" w:history="1"/>
    </w:p>
    <w:p w14:paraId="2FAFBB0D" w14:textId="500B0598" w:rsidR="00C15D60" w:rsidRPr="008C24E7" w:rsidRDefault="00D83563" w:rsidP="005842A2">
      <w:pPr>
        <w:pStyle w:val="BodyTextIndent"/>
        <w:numPr>
          <w:ilvl w:val="0"/>
          <w:numId w:val="21"/>
        </w:numPr>
        <w:autoSpaceDE w:val="0"/>
        <w:autoSpaceDN w:val="0"/>
        <w:adjustRightInd w:val="0"/>
        <w:ind w:left="720" w:hanging="288"/>
        <w:rPr>
          <w:rFonts w:cs="Arial"/>
          <w:color w:val="auto"/>
          <w:sz w:val="24"/>
        </w:rPr>
      </w:pPr>
      <w:r w:rsidRPr="008C24E7">
        <w:rPr>
          <w:rFonts w:cs="Arial"/>
          <w:color w:val="auto"/>
          <w:sz w:val="24"/>
          <w:szCs w:val="24"/>
        </w:rPr>
        <w:t>Generally Accepted Accounting Principles,</w:t>
      </w:r>
      <w:r w:rsidR="00AD3896">
        <w:rPr>
          <w:rFonts w:cs="Arial"/>
          <w:color w:val="auto"/>
          <w:sz w:val="24"/>
          <w:szCs w:val="24"/>
        </w:rPr>
        <w:t xml:space="preserve"> the text of which can be found on </w:t>
      </w:r>
      <w:r w:rsidR="00111EB7">
        <w:rPr>
          <w:rFonts w:cs="Arial"/>
          <w:color w:val="auto"/>
          <w:sz w:val="24"/>
          <w:szCs w:val="24"/>
        </w:rPr>
        <w:t>t</w:t>
      </w:r>
      <w:r w:rsidR="00AD3896">
        <w:rPr>
          <w:rFonts w:cs="Arial"/>
          <w:color w:val="auto"/>
          <w:sz w:val="24"/>
          <w:szCs w:val="24"/>
        </w:rPr>
        <w:t xml:space="preserve">he </w:t>
      </w:r>
      <w:hyperlink r:id="rId20" w:history="1">
        <w:r w:rsidR="00AD3896" w:rsidRPr="00C740A2">
          <w:rPr>
            <w:rStyle w:val="Hyperlink"/>
            <w:rFonts w:cs="Arial"/>
            <w:sz w:val="24"/>
            <w:szCs w:val="24"/>
          </w:rPr>
          <w:t>Federal Accounting Standards Advisory Board web pag</w:t>
        </w:r>
        <w:r w:rsidR="001550EA">
          <w:rPr>
            <w:rStyle w:val="Hyperlink"/>
            <w:rFonts w:cs="Arial"/>
            <w:sz w:val="24"/>
            <w:szCs w:val="24"/>
          </w:rPr>
          <w:t>e (External Link)</w:t>
        </w:r>
      </w:hyperlink>
    </w:p>
    <w:p w14:paraId="18556387" w14:textId="7B351879" w:rsidR="00D83563" w:rsidRDefault="00C740A2" w:rsidP="005842A2">
      <w:pPr>
        <w:numPr>
          <w:ilvl w:val="0"/>
          <w:numId w:val="21"/>
        </w:numPr>
        <w:autoSpaceDE w:val="0"/>
        <w:autoSpaceDN w:val="0"/>
        <w:adjustRightInd w:val="0"/>
        <w:ind w:left="720" w:hanging="288"/>
        <w:rPr>
          <w:rFonts w:cs="Arial"/>
          <w:color w:val="000000"/>
        </w:rPr>
      </w:pPr>
      <w:hyperlink r:id="rId21" w:history="1">
        <w:r w:rsidRPr="00C740A2">
          <w:rPr>
            <w:rStyle w:val="Hyperlink"/>
            <w:rFonts w:cs="Arial"/>
          </w:rPr>
          <w:t>Governmental Accounting Standards Board (</w:t>
        </w:r>
        <w:proofErr w:type="spellStart"/>
        <w:r w:rsidRPr="00C740A2">
          <w:rPr>
            <w:rStyle w:val="Hyperlink"/>
            <w:rFonts w:cs="Arial"/>
          </w:rPr>
          <w:t>GASB</w:t>
        </w:r>
        <w:proofErr w:type="spellEnd"/>
        <w:r w:rsidRPr="00C740A2">
          <w:rPr>
            <w:rStyle w:val="Hyperlink"/>
            <w:rFonts w:cs="Arial"/>
          </w:rPr>
          <w:t>)</w:t>
        </w:r>
      </w:hyperlink>
    </w:p>
    <w:p w14:paraId="70DF37D0" w14:textId="79248555" w:rsidR="00DD4ADC" w:rsidRDefault="00D83563" w:rsidP="005842A2">
      <w:pPr>
        <w:pStyle w:val="BodyTextIndent"/>
        <w:numPr>
          <w:ilvl w:val="0"/>
          <w:numId w:val="21"/>
        </w:numPr>
        <w:autoSpaceDE w:val="0"/>
        <w:autoSpaceDN w:val="0"/>
        <w:adjustRightInd w:val="0"/>
        <w:ind w:left="720" w:hanging="288"/>
        <w:rPr>
          <w:rFonts w:cs="Arial"/>
          <w:color w:val="000000"/>
          <w:sz w:val="24"/>
        </w:rPr>
      </w:pPr>
      <w:hyperlink r:id="rId22" w:history="1">
        <w:proofErr w:type="spellStart"/>
        <w:r w:rsidRPr="00B22475">
          <w:rPr>
            <w:rStyle w:val="Hyperlink"/>
            <w:rFonts w:cs="Arial"/>
            <w:i/>
            <w:iCs/>
            <w:sz w:val="24"/>
          </w:rPr>
          <w:t>CSAM</w:t>
        </w:r>
        <w:proofErr w:type="spellEnd"/>
      </w:hyperlink>
      <w:r w:rsidRPr="00D83563">
        <w:rPr>
          <w:rFonts w:cs="Arial"/>
          <w:color w:val="000000"/>
          <w:sz w:val="24"/>
        </w:rPr>
        <w:t>,</w:t>
      </w:r>
      <w:r w:rsidR="00AD3896">
        <w:rPr>
          <w:rFonts w:cs="Arial"/>
          <w:color w:val="000000"/>
          <w:sz w:val="24"/>
        </w:rPr>
        <w:t xml:space="preserve"> the text of which can be found on the CDE web page</w:t>
      </w:r>
    </w:p>
    <w:p w14:paraId="5AD7D922" w14:textId="77777777" w:rsidR="00D83563" w:rsidRDefault="00D83563" w:rsidP="005842A2">
      <w:pPr>
        <w:numPr>
          <w:ilvl w:val="0"/>
          <w:numId w:val="21"/>
        </w:numPr>
        <w:autoSpaceDE w:val="0"/>
        <w:autoSpaceDN w:val="0"/>
        <w:adjustRightInd w:val="0"/>
        <w:ind w:left="720" w:hanging="288"/>
        <w:rPr>
          <w:rFonts w:cs="Arial"/>
          <w:color w:val="000000"/>
        </w:rPr>
      </w:pPr>
      <w:r w:rsidRPr="00D83563">
        <w:rPr>
          <w:rFonts w:cs="Arial"/>
          <w:color w:val="000000"/>
        </w:rPr>
        <w:t>Migrant Education Program Fiscal Handbook</w:t>
      </w:r>
    </w:p>
    <w:p w14:paraId="25B1E431" w14:textId="0DA2E9FF" w:rsidR="00D83563" w:rsidRDefault="00D83563" w:rsidP="005842A2">
      <w:pPr>
        <w:numPr>
          <w:ilvl w:val="0"/>
          <w:numId w:val="21"/>
        </w:numPr>
        <w:autoSpaceDE w:val="0"/>
        <w:autoSpaceDN w:val="0"/>
        <w:adjustRightInd w:val="0"/>
        <w:ind w:left="720" w:hanging="288"/>
        <w:rPr>
          <w:rFonts w:cs="Arial"/>
          <w:color w:val="000000"/>
        </w:rPr>
      </w:pPr>
      <w:r w:rsidRPr="00D83563">
        <w:rPr>
          <w:rFonts w:cs="Arial"/>
          <w:color w:val="000000"/>
        </w:rPr>
        <w:t xml:space="preserve">The CDE and the OME guidance, including </w:t>
      </w:r>
      <w:r w:rsidR="00D93DA6" w:rsidRPr="00D83563">
        <w:rPr>
          <w:rFonts w:cs="Arial"/>
          <w:color w:val="000000"/>
        </w:rPr>
        <w:t>operational</w:t>
      </w:r>
      <w:r w:rsidRPr="00D83563">
        <w:rPr>
          <w:rFonts w:cs="Arial"/>
          <w:color w:val="000000"/>
        </w:rPr>
        <w:t xml:space="preserve"> and informational memoranda</w:t>
      </w:r>
    </w:p>
    <w:p w14:paraId="348BE26D" w14:textId="77777777" w:rsidR="00D83563" w:rsidRDefault="00D83563" w:rsidP="005842A2">
      <w:pPr>
        <w:pStyle w:val="BodyTextIndent"/>
        <w:numPr>
          <w:ilvl w:val="0"/>
          <w:numId w:val="21"/>
        </w:numPr>
        <w:autoSpaceDE w:val="0"/>
        <w:autoSpaceDN w:val="0"/>
        <w:adjustRightInd w:val="0"/>
        <w:ind w:left="720" w:hanging="288"/>
        <w:rPr>
          <w:rFonts w:cs="Arial"/>
          <w:color w:val="000000"/>
          <w:sz w:val="24"/>
        </w:rPr>
      </w:pPr>
      <w:r w:rsidRPr="00D83563">
        <w:rPr>
          <w:rFonts w:cs="Arial"/>
          <w:color w:val="000000"/>
          <w:sz w:val="24"/>
        </w:rPr>
        <w:lastRenderedPageBreak/>
        <w:t>The RA and the DSA and corresponding instructions</w:t>
      </w:r>
    </w:p>
    <w:p w14:paraId="757A3308" w14:textId="77777777" w:rsidR="00D83563" w:rsidRDefault="00D83563" w:rsidP="005842A2">
      <w:pPr>
        <w:pStyle w:val="BodyTextIndent"/>
        <w:numPr>
          <w:ilvl w:val="1"/>
          <w:numId w:val="21"/>
        </w:numPr>
        <w:tabs>
          <w:tab w:val="clear" w:pos="2520"/>
          <w:tab w:val="left" w:pos="1890"/>
        </w:tabs>
        <w:autoSpaceDE w:val="0"/>
        <w:autoSpaceDN w:val="0"/>
        <w:adjustRightInd w:val="0"/>
        <w:ind w:left="720" w:hanging="288"/>
        <w:rPr>
          <w:rFonts w:cs="Arial"/>
          <w:color w:val="000000"/>
        </w:rPr>
      </w:pPr>
      <w:r w:rsidRPr="00D83563">
        <w:rPr>
          <w:rFonts w:cs="Arial"/>
          <w:iCs/>
          <w:color w:val="000000"/>
          <w:sz w:val="24"/>
        </w:rPr>
        <w:t>The CDE</w:t>
      </w:r>
      <w:r w:rsidRPr="00D83563">
        <w:rPr>
          <w:rFonts w:cs="Arial"/>
          <w:color w:val="000000"/>
          <w:sz w:val="24"/>
        </w:rPr>
        <w:t xml:space="preserve"> Legal Assurances and Certifications for LEAs</w:t>
      </w:r>
    </w:p>
    <w:p w14:paraId="6C04A607" w14:textId="77777777" w:rsidR="00D83563" w:rsidRDefault="00D83563" w:rsidP="005842A2">
      <w:pPr>
        <w:numPr>
          <w:ilvl w:val="0"/>
          <w:numId w:val="21"/>
        </w:numPr>
        <w:autoSpaceDE w:val="0"/>
        <w:autoSpaceDN w:val="0"/>
        <w:adjustRightInd w:val="0"/>
        <w:ind w:left="720" w:hanging="288"/>
        <w:rPr>
          <w:rFonts w:cs="Arial"/>
          <w:color w:val="000000"/>
        </w:rPr>
      </w:pPr>
      <w:r w:rsidRPr="00D83563">
        <w:rPr>
          <w:rFonts w:cs="Arial"/>
          <w:color w:val="000000"/>
        </w:rPr>
        <w:t>Any and all other applicable policies, rules, and regulations adopted by counties and districts</w:t>
      </w:r>
    </w:p>
    <w:p w14:paraId="09623895" w14:textId="413027E9" w:rsidR="00944BC2" w:rsidRDefault="0045180C" w:rsidP="00726990">
      <w:pPr>
        <w:rPr>
          <w:rFonts w:cs="Arial"/>
          <w:color w:val="000000"/>
        </w:rPr>
      </w:pPr>
      <w:r>
        <w:rPr>
          <w:rFonts w:cs="Arial"/>
          <w:color w:val="000000"/>
        </w:rPr>
        <w:t>T</w:t>
      </w:r>
      <w:r w:rsidR="00D83563" w:rsidRPr="00D83563">
        <w:rPr>
          <w:rFonts w:cs="Arial"/>
          <w:color w:val="000000"/>
        </w:rPr>
        <w:t xml:space="preserve">itles and sections may not correspond with the applicable </w:t>
      </w:r>
      <w:r w:rsidR="00D83563" w:rsidRPr="00F213D7">
        <w:rPr>
          <w:rFonts w:cs="Arial"/>
          <w:iCs/>
          <w:color w:val="000000"/>
        </w:rPr>
        <w:t>U</w:t>
      </w:r>
      <w:r w:rsidR="00375EB9">
        <w:rPr>
          <w:rFonts w:cs="Arial"/>
          <w:iCs/>
          <w:color w:val="000000"/>
        </w:rPr>
        <w:t xml:space="preserve">nited </w:t>
      </w:r>
      <w:r w:rsidR="00D83563" w:rsidRPr="00F213D7">
        <w:rPr>
          <w:rFonts w:cs="Arial"/>
          <w:iCs/>
          <w:color w:val="000000"/>
        </w:rPr>
        <w:t>S</w:t>
      </w:r>
      <w:r w:rsidR="00375EB9">
        <w:rPr>
          <w:rFonts w:cs="Arial"/>
          <w:iCs/>
          <w:color w:val="000000"/>
        </w:rPr>
        <w:t>tates</w:t>
      </w:r>
      <w:r w:rsidR="00D83563" w:rsidRPr="00F213D7">
        <w:rPr>
          <w:rFonts w:cs="Arial"/>
          <w:iCs/>
          <w:color w:val="000000"/>
        </w:rPr>
        <w:t xml:space="preserve"> Code</w:t>
      </w:r>
      <w:r w:rsidR="00D83563" w:rsidRPr="00D83563">
        <w:rPr>
          <w:rFonts w:cs="Arial"/>
          <w:color w:val="000000"/>
        </w:rPr>
        <w:t xml:space="preserve"> </w:t>
      </w:r>
      <w:r w:rsidR="00375EB9">
        <w:rPr>
          <w:rFonts w:cs="Arial"/>
          <w:color w:val="000000"/>
        </w:rPr>
        <w:t xml:space="preserve">(U.S. Code) </w:t>
      </w:r>
      <w:r w:rsidR="00D83563" w:rsidRPr="00D83563">
        <w:rPr>
          <w:rFonts w:cs="Arial"/>
          <w:color w:val="000000"/>
        </w:rPr>
        <w:t xml:space="preserve">title and sections as it takes years for new legislation to appear in print in the official version of the </w:t>
      </w:r>
      <w:r w:rsidR="00D83563" w:rsidRPr="00F213D7">
        <w:rPr>
          <w:rFonts w:cs="Arial"/>
          <w:iCs/>
          <w:color w:val="000000"/>
        </w:rPr>
        <w:t>U.S. Code</w:t>
      </w:r>
      <w:r w:rsidR="00D83563" w:rsidRPr="00D83563">
        <w:rPr>
          <w:rFonts w:cs="Arial"/>
          <w:color w:val="000000"/>
        </w:rPr>
        <w:t>.</w:t>
      </w:r>
    </w:p>
    <w:p w14:paraId="18215E1C" w14:textId="77777777" w:rsidR="00D83563" w:rsidRDefault="00F52896" w:rsidP="00F76EEC">
      <w:pPr>
        <w:pStyle w:val="Heading2"/>
      </w:pPr>
      <w:bookmarkStart w:id="30" w:name="_Toc414262492"/>
      <w:bookmarkStart w:id="31" w:name="_Toc207703790"/>
      <w:r>
        <w:t xml:space="preserve">3.0 </w:t>
      </w:r>
      <w:r w:rsidR="00D83563" w:rsidRPr="00D83563">
        <w:t>Region and Direct-Funded District Administrative Responsibilities</w:t>
      </w:r>
      <w:bookmarkEnd w:id="30"/>
      <w:bookmarkEnd w:id="31"/>
    </w:p>
    <w:p w14:paraId="53241191" w14:textId="77777777" w:rsidR="00D83563" w:rsidRDefault="00F52896" w:rsidP="009C532E">
      <w:pPr>
        <w:pStyle w:val="Heading3"/>
      </w:pPr>
      <w:bookmarkStart w:id="32" w:name="_Toc414262493"/>
      <w:bookmarkStart w:id="33" w:name="_Toc207703791"/>
      <w:r>
        <w:t xml:space="preserve">3.1 </w:t>
      </w:r>
      <w:r w:rsidR="00D83563" w:rsidRPr="00D83563">
        <w:t>General Administrative Functions</w:t>
      </w:r>
      <w:bookmarkEnd w:id="32"/>
      <w:bookmarkEnd w:id="33"/>
    </w:p>
    <w:p w14:paraId="29C2C6C3" w14:textId="5CA1C40F" w:rsidR="00D83563" w:rsidRDefault="00D83563" w:rsidP="00726990">
      <w:pPr>
        <w:rPr>
          <w:rFonts w:cs="Arial"/>
          <w:color w:val="000000"/>
        </w:rPr>
      </w:pPr>
      <w:r w:rsidRPr="00D83563">
        <w:rPr>
          <w:rFonts w:cs="Arial"/>
          <w:i/>
          <w:color w:val="000000"/>
        </w:rPr>
        <w:t>EC</w:t>
      </w:r>
      <w:r w:rsidRPr="00D83563">
        <w:rPr>
          <w:rFonts w:cs="Arial"/>
          <w:color w:val="000000"/>
        </w:rPr>
        <w:t xml:space="preserve"> Section 54444.1, et seq. codifies the migrant education regional service system as the primary method for the delivery of services to </w:t>
      </w:r>
      <w:r w:rsidR="00D31812">
        <w:rPr>
          <w:rFonts w:cs="Arial"/>
          <w:color w:val="000000"/>
        </w:rPr>
        <w:t>migratory</w:t>
      </w:r>
      <w:r w:rsidRPr="00D83563">
        <w:rPr>
          <w:rFonts w:cs="Arial"/>
          <w:color w:val="000000"/>
        </w:rPr>
        <w:t xml:space="preserve"> students. In compliance with this method of delivering services, the </w:t>
      </w:r>
      <w:r w:rsidRPr="00D83563">
        <w:rPr>
          <w:rFonts w:cs="Arial"/>
          <w:iCs/>
          <w:color w:val="000000"/>
        </w:rPr>
        <w:t>CDE</w:t>
      </w:r>
      <w:r w:rsidRPr="00D83563">
        <w:rPr>
          <w:rFonts w:cs="Arial"/>
          <w:color w:val="000000"/>
        </w:rPr>
        <w:t xml:space="preserve"> requires that all operating agencies, regardless of funding model, provide centralized services such as administration, staff development, health resources, parent participatio</w:t>
      </w:r>
      <w:r w:rsidR="00944BC2">
        <w:rPr>
          <w:rFonts w:cs="Arial"/>
          <w:color w:val="000000"/>
        </w:rPr>
        <w:t>n, and local approved programs.</w:t>
      </w:r>
    </w:p>
    <w:p w14:paraId="304FED93" w14:textId="19127355" w:rsidR="00D83563" w:rsidRDefault="00D83563" w:rsidP="00726990">
      <w:pPr>
        <w:rPr>
          <w:rFonts w:cs="Arial"/>
          <w:color w:val="000000"/>
        </w:rPr>
      </w:pPr>
      <w:r w:rsidRPr="00D83563">
        <w:rPr>
          <w:rFonts w:cs="Arial"/>
          <w:color w:val="000000"/>
        </w:rPr>
        <w:t>The administrative responsibilities</w:t>
      </w:r>
      <w:r w:rsidR="0031197F">
        <w:rPr>
          <w:rFonts w:cs="Arial"/>
          <w:color w:val="000000"/>
        </w:rPr>
        <w:t xml:space="preserve"> can</w:t>
      </w:r>
      <w:r w:rsidRPr="00D83563">
        <w:rPr>
          <w:rFonts w:cs="Arial"/>
          <w:color w:val="000000"/>
        </w:rPr>
        <w:t xml:space="preserve"> include:</w:t>
      </w:r>
    </w:p>
    <w:p w14:paraId="0559E5DD" w14:textId="2313CE0B" w:rsidR="00D83563" w:rsidRDefault="00D83563" w:rsidP="005842A2">
      <w:pPr>
        <w:numPr>
          <w:ilvl w:val="0"/>
          <w:numId w:val="19"/>
        </w:numPr>
        <w:ind w:left="720" w:hanging="288"/>
        <w:rPr>
          <w:rFonts w:cs="Arial"/>
          <w:color w:val="000000"/>
        </w:rPr>
      </w:pPr>
      <w:r w:rsidRPr="00D83563">
        <w:rPr>
          <w:rFonts w:cs="Arial"/>
          <w:color w:val="000000"/>
        </w:rPr>
        <w:t>Develop administrative policies for the operating agency to facilitate implementation of the program. These</w:t>
      </w:r>
      <w:r w:rsidRPr="00D83563">
        <w:rPr>
          <w:rFonts w:cs="Arial"/>
          <w:i/>
          <w:color w:val="000000"/>
        </w:rPr>
        <w:t xml:space="preserve"> </w:t>
      </w:r>
      <w:r w:rsidR="00A17B57">
        <w:rPr>
          <w:rFonts w:cs="Arial"/>
          <w:iCs/>
          <w:color w:val="000000"/>
        </w:rPr>
        <w:t xml:space="preserve">local </w:t>
      </w:r>
      <w:r w:rsidRPr="00D83563">
        <w:rPr>
          <w:rFonts w:cs="Arial"/>
          <w:color w:val="000000"/>
        </w:rPr>
        <w:t>policies cannot conflict with other state or federal laws, regulations, and policies.</w:t>
      </w:r>
    </w:p>
    <w:p w14:paraId="64D4115F" w14:textId="77777777" w:rsidR="00D83563" w:rsidRDefault="00D83563" w:rsidP="005842A2">
      <w:pPr>
        <w:numPr>
          <w:ilvl w:val="0"/>
          <w:numId w:val="19"/>
        </w:numPr>
        <w:ind w:left="720" w:hanging="288"/>
        <w:rPr>
          <w:rFonts w:cs="Arial"/>
          <w:color w:val="000000"/>
        </w:rPr>
      </w:pPr>
      <w:r w:rsidRPr="00D83563">
        <w:rPr>
          <w:rFonts w:cs="Arial"/>
          <w:color w:val="000000"/>
        </w:rPr>
        <w:t>Serve as the administering agency for the participating school districts and/or counties that enter into service agreements to form such regions.</w:t>
      </w:r>
    </w:p>
    <w:p w14:paraId="36AB4B4B" w14:textId="77777777" w:rsidR="00D83563" w:rsidRDefault="00D83563" w:rsidP="005842A2">
      <w:pPr>
        <w:numPr>
          <w:ilvl w:val="0"/>
          <w:numId w:val="19"/>
        </w:numPr>
        <w:ind w:left="720" w:hanging="288"/>
        <w:rPr>
          <w:rFonts w:cs="Arial"/>
          <w:color w:val="000000"/>
        </w:rPr>
      </w:pPr>
      <w:r w:rsidRPr="00D83563">
        <w:rPr>
          <w:rFonts w:cs="Arial"/>
          <w:color w:val="000000"/>
        </w:rPr>
        <w:t>Provide services in compliance with applicable state and federal laws and regulations.</w:t>
      </w:r>
    </w:p>
    <w:p w14:paraId="647457A8" w14:textId="77777777" w:rsidR="00D83563" w:rsidRDefault="00D83563" w:rsidP="005842A2">
      <w:pPr>
        <w:numPr>
          <w:ilvl w:val="0"/>
          <w:numId w:val="19"/>
        </w:numPr>
        <w:ind w:left="720" w:hanging="288"/>
        <w:rPr>
          <w:rFonts w:cs="Arial"/>
          <w:color w:val="000000"/>
        </w:rPr>
      </w:pPr>
      <w:r w:rsidRPr="00D83563">
        <w:rPr>
          <w:rFonts w:cs="Arial"/>
          <w:color w:val="000000"/>
        </w:rPr>
        <w:t xml:space="preserve">Provide a program consistent with the basic objectives of project requirements contained in 34 </w:t>
      </w:r>
      <w:r w:rsidRPr="00D83563">
        <w:rPr>
          <w:rFonts w:cs="Arial"/>
          <w:i/>
          <w:color w:val="000000"/>
        </w:rPr>
        <w:t xml:space="preserve">CFR </w:t>
      </w:r>
      <w:r w:rsidRPr="00D83563">
        <w:rPr>
          <w:rFonts w:cs="Arial"/>
          <w:color w:val="000000"/>
        </w:rPr>
        <w:t>200.88 regarding supplementing of non-federal assistance, comparability of services, and meeting the intent of Title I, Part C.</w:t>
      </w:r>
    </w:p>
    <w:p w14:paraId="5E53B8F2" w14:textId="77777777" w:rsidR="00944BC2" w:rsidRDefault="00D83563" w:rsidP="005842A2">
      <w:pPr>
        <w:numPr>
          <w:ilvl w:val="0"/>
          <w:numId w:val="19"/>
        </w:numPr>
        <w:ind w:left="720" w:hanging="288"/>
        <w:rPr>
          <w:rFonts w:cs="Arial"/>
          <w:color w:val="000000"/>
        </w:rPr>
      </w:pPr>
      <w:r w:rsidRPr="00D83563">
        <w:rPr>
          <w:rFonts w:cs="Arial"/>
          <w:color w:val="000000"/>
        </w:rPr>
        <w:t>Have the necessary legal authority to initiate and negotiate service agreements or other contracts.</w:t>
      </w:r>
    </w:p>
    <w:p w14:paraId="4CEB11DA" w14:textId="44EB6770" w:rsidR="00944BC2" w:rsidRDefault="00D83563" w:rsidP="005842A2">
      <w:pPr>
        <w:numPr>
          <w:ilvl w:val="0"/>
          <w:numId w:val="19"/>
        </w:numPr>
        <w:ind w:left="720" w:hanging="288"/>
        <w:rPr>
          <w:rFonts w:cs="Arial"/>
          <w:color w:val="000000"/>
        </w:rPr>
      </w:pPr>
      <w:r w:rsidRPr="00D83563">
        <w:rPr>
          <w:rFonts w:cs="Arial"/>
          <w:color w:val="000000"/>
        </w:rPr>
        <w:t xml:space="preserve">Initiate and implement the necessary interagency agreements with other state and/or local agencies for the provisions of health, social, and other services for </w:t>
      </w:r>
      <w:r w:rsidR="00D31812">
        <w:rPr>
          <w:rFonts w:cs="Arial"/>
          <w:color w:val="000000"/>
        </w:rPr>
        <w:t>migratory</w:t>
      </w:r>
      <w:r w:rsidRPr="00D83563">
        <w:rPr>
          <w:rFonts w:cs="Arial"/>
          <w:color w:val="000000"/>
        </w:rPr>
        <w:t xml:space="preserve"> children.</w:t>
      </w:r>
    </w:p>
    <w:p w14:paraId="7118AE49" w14:textId="77777777" w:rsidR="00D83563" w:rsidRDefault="00D83563" w:rsidP="005842A2">
      <w:pPr>
        <w:numPr>
          <w:ilvl w:val="0"/>
          <w:numId w:val="19"/>
        </w:numPr>
        <w:ind w:left="720" w:hanging="288"/>
        <w:rPr>
          <w:rFonts w:cs="Arial"/>
          <w:color w:val="000000"/>
        </w:rPr>
      </w:pPr>
      <w:r w:rsidRPr="00D83563">
        <w:rPr>
          <w:rFonts w:cs="Arial"/>
          <w:color w:val="000000"/>
        </w:rPr>
        <w:t>Ensure that services are provided for the children who have been determined to have the greatest need.</w:t>
      </w:r>
    </w:p>
    <w:p w14:paraId="5AE31B68" w14:textId="15EC146C" w:rsidR="00D83563" w:rsidRDefault="00D83563" w:rsidP="005842A2">
      <w:pPr>
        <w:numPr>
          <w:ilvl w:val="0"/>
          <w:numId w:val="19"/>
        </w:numPr>
        <w:ind w:left="720" w:hanging="288"/>
        <w:rPr>
          <w:rFonts w:cs="Arial"/>
          <w:color w:val="000000"/>
        </w:rPr>
      </w:pPr>
      <w:r w:rsidRPr="00D83563">
        <w:rPr>
          <w:rFonts w:cs="Arial"/>
          <w:color w:val="000000"/>
        </w:rPr>
        <w:t xml:space="preserve">Employ the appropriate staff to carry-out all the central services and administrative </w:t>
      </w:r>
      <w:r w:rsidR="001327B9" w:rsidRPr="00D83563">
        <w:rPr>
          <w:rFonts w:cs="Arial"/>
          <w:color w:val="000000"/>
        </w:rPr>
        <w:t>functions and</w:t>
      </w:r>
      <w:r w:rsidRPr="00D83563">
        <w:rPr>
          <w:rFonts w:cs="Arial"/>
          <w:color w:val="000000"/>
        </w:rPr>
        <w:t xml:space="preserve"> implement staff development plans and practices to meet the needs of students as defined in the program.</w:t>
      </w:r>
    </w:p>
    <w:p w14:paraId="559F4C68" w14:textId="77777777" w:rsidR="00944BC2" w:rsidRDefault="00D83563" w:rsidP="005842A2">
      <w:pPr>
        <w:numPr>
          <w:ilvl w:val="0"/>
          <w:numId w:val="19"/>
        </w:numPr>
        <w:ind w:left="720" w:hanging="288"/>
        <w:rPr>
          <w:rFonts w:cs="Arial"/>
          <w:color w:val="000000"/>
        </w:rPr>
      </w:pPr>
      <w:r w:rsidRPr="00D83563">
        <w:rPr>
          <w:rFonts w:cs="Arial"/>
          <w:color w:val="000000"/>
        </w:rPr>
        <w:t>Provide support to staff (e.g., staff development training and materials).</w:t>
      </w:r>
    </w:p>
    <w:p w14:paraId="5B4313A3" w14:textId="77777777" w:rsidR="00D83563" w:rsidRDefault="00D83563" w:rsidP="005842A2">
      <w:pPr>
        <w:numPr>
          <w:ilvl w:val="0"/>
          <w:numId w:val="19"/>
        </w:numPr>
        <w:ind w:left="720" w:hanging="288"/>
        <w:rPr>
          <w:rFonts w:cs="Arial"/>
          <w:color w:val="000000"/>
        </w:rPr>
      </w:pPr>
      <w:r w:rsidRPr="00D83563">
        <w:rPr>
          <w:rFonts w:cs="Arial"/>
          <w:color w:val="000000"/>
        </w:rPr>
        <w:lastRenderedPageBreak/>
        <w:t>Provide oversight and</w:t>
      </w:r>
      <w:r w:rsidRPr="00D83563">
        <w:rPr>
          <w:rFonts w:cs="Arial"/>
          <w:i/>
          <w:color w:val="000000"/>
        </w:rPr>
        <w:t xml:space="preserve"> </w:t>
      </w:r>
      <w:r w:rsidRPr="00D83563">
        <w:rPr>
          <w:rFonts w:cs="Arial"/>
          <w:color w:val="000000"/>
        </w:rPr>
        <w:t>technical assistance to agencies operating under service agreements (e.g., budgets, staffing, health resources, and parent involvement).</w:t>
      </w:r>
    </w:p>
    <w:p w14:paraId="37553699" w14:textId="77777777" w:rsidR="00D83563" w:rsidRDefault="00D83563" w:rsidP="005842A2">
      <w:pPr>
        <w:pStyle w:val="BodyTextIndent2"/>
        <w:numPr>
          <w:ilvl w:val="0"/>
          <w:numId w:val="19"/>
        </w:numPr>
        <w:ind w:left="720" w:hanging="288"/>
        <w:rPr>
          <w:rFonts w:cs="Arial"/>
        </w:rPr>
      </w:pPr>
      <w:r w:rsidRPr="00D83563">
        <w:rPr>
          <w:rFonts w:cs="Arial"/>
        </w:rPr>
        <w:t>Promote continuity of program services through staff participation in state MEP meetings and professional development activities.</w:t>
      </w:r>
    </w:p>
    <w:p w14:paraId="5B1C5203" w14:textId="77777777" w:rsidR="00D83563" w:rsidRDefault="00D83563" w:rsidP="005842A2">
      <w:pPr>
        <w:numPr>
          <w:ilvl w:val="0"/>
          <w:numId w:val="19"/>
        </w:numPr>
        <w:ind w:left="720" w:hanging="288"/>
        <w:rPr>
          <w:rFonts w:cs="Arial"/>
          <w:color w:val="000000"/>
        </w:rPr>
      </w:pPr>
      <w:r w:rsidRPr="00D83563">
        <w:rPr>
          <w:rFonts w:cs="Arial"/>
          <w:color w:val="000000"/>
        </w:rPr>
        <w:t>Ensure interagency collaboration to improve the services available to participating students.</w:t>
      </w:r>
    </w:p>
    <w:p w14:paraId="68833366" w14:textId="1CD839D2" w:rsidR="00D83563" w:rsidRDefault="00D83563" w:rsidP="005842A2">
      <w:pPr>
        <w:numPr>
          <w:ilvl w:val="0"/>
          <w:numId w:val="19"/>
        </w:numPr>
        <w:ind w:left="720" w:hanging="288"/>
        <w:rPr>
          <w:rFonts w:cs="Arial"/>
          <w:color w:val="000000"/>
        </w:rPr>
      </w:pPr>
      <w:r w:rsidRPr="00D83563">
        <w:rPr>
          <w:rFonts w:cs="Arial"/>
          <w:color w:val="000000"/>
        </w:rPr>
        <w:t xml:space="preserve">Promote the involvement of parent advisory committees at the state, regional, and district levels to build capacity and maximize the services to </w:t>
      </w:r>
      <w:r w:rsidR="00D31812">
        <w:rPr>
          <w:rFonts w:cs="Arial"/>
          <w:color w:val="000000"/>
        </w:rPr>
        <w:t>migratory</w:t>
      </w:r>
      <w:r w:rsidRPr="00D83563">
        <w:rPr>
          <w:rFonts w:cs="Arial"/>
          <w:color w:val="000000"/>
        </w:rPr>
        <w:t xml:space="preserve"> children.</w:t>
      </w:r>
    </w:p>
    <w:p w14:paraId="0C57C8FE" w14:textId="77777777" w:rsidR="00D83563" w:rsidRDefault="00D83563" w:rsidP="009C532E">
      <w:pPr>
        <w:pStyle w:val="Heading3"/>
      </w:pPr>
      <w:bookmarkStart w:id="34" w:name="_Toc414262494"/>
      <w:bookmarkStart w:id="35" w:name="_Toc207703792"/>
      <w:r w:rsidRPr="00D83563">
        <w:t>3.2</w:t>
      </w:r>
      <w:r w:rsidR="00F52896">
        <w:t xml:space="preserve"> </w:t>
      </w:r>
      <w:r w:rsidRPr="00D83563">
        <w:t>Fiscal Responsibilities</w:t>
      </w:r>
      <w:bookmarkEnd w:id="34"/>
      <w:bookmarkEnd w:id="35"/>
    </w:p>
    <w:p w14:paraId="1EC67232" w14:textId="77777777" w:rsidR="00944BC2" w:rsidRDefault="00D83563" w:rsidP="00726990">
      <w:pPr>
        <w:rPr>
          <w:rFonts w:cs="Arial"/>
          <w:color w:val="000000"/>
        </w:rPr>
      </w:pPr>
      <w:r w:rsidRPr="00D83563">
        <w:rPr>
          <w:rFonts w:cs="Arial"/>
          <w:color w:val="000000"/>
        </w:rPr>
        <w:t>In matters of finance, accounting, budgeting, and purchasing, any and all decisions regarding the classification and appropriateness of expenditures must be in conformity with state and federal law. It is the responsibility of the operating agency to ensure compliance by maintaining fiscal safeguards.</w:t>
      </w:r>
    </w:p>
    <w:p w14:paraId="3E17AB4D" w14:textId="77777777" w:rsidR="00D83563" w:rsidRDefault="00D83563" w:rsidP="00726990">
      <w:pPr>
        <w:rPr>
          <w:rFonts w:cs="Arial"/>
          <w:color w:val="000000"/>
        </w:rPr>
      </w:pPr>
      <w:r w:rsidRPr="00D83563">
        <w:rPr>
          <w:rFonts w:cs="Arial"/>
          <w:color w:val="000000"/>
        </w:rPr>
        <w:t>Each operating agency shall:</w:t>
      </w:r>
    </w:p>
    <w:p w14:paraId="2D137939" w14:textId="77777777" w:rsidR="00D83563" w:rsidRDefault="00D83563" w:rsidP="00726990">
      <w:pPr>
        <w:pStyle w:val="BodyTextIndent3"/>
        <w:numPr>
          <w:ilvl w:val="0"/>
          <w:numId w:val="10"/>
        </w:numPr>
        <w:ind w:left="720"/>
        <w:rPr>
          <w:rFonts w:cs="Arial"/>
          <w:color w:val="000000"/>
          <w:sz w:val="24"/>
        </w:rPr>
      </w:pPr>
      <w:r w:rsidRPr="00D83563">
        <w:rPr>
          <w:rFonts w:cs="Arial"/>
          <w:color w:val="000000"/>
          <w:sz w:val="24"/>
        </w:rPr>
        <w:t>Allocate funds in a manner consistent with program requirements as set forth in applicable federal and state legislation. The use of Migrant Education funds shall be consistent with, but not limited to, the Federal Program Monitoring (FPM) instrument, as follows:</w:t>
      </w:r>
    </w:p>
    <w:p w14:paraId="5F1E47C9" w14:textId="77777777" w:rsidR="00D83563" w:rsidRDefault="00D83563" w:rsidP="00726990">
      <w:pPr>
        <w:pStyle w:val="BodyTextIndent3"/>
        <w:numPr>
          <w:ilvl w:val="1"/>
          <w:numId w:val="10"/>
        </w:numPr>
        <w:ind w:left="1296" w:hanging="288"/>
        <w:jc w:val="both"/>
        <w:rPr>
          <w:rFonts w:cs="Arial"/>
          <w:color w:val="000000"/>
          <w:sz w:val="24"/>
        </w:rPr>
      </w:pPr>
      <w:r w:rsidRPr="00B63577">
        <w:rPr>
          <w:rFonts w:cs="Arial"/>
          <w:b/>
          <w:bCs/>
          <w:color w:val="000000"/>
          <w:sz w:val="24"/>
        </w:rPr>
        <w:t>Use of Funds</w:t>
      </w:r>
      <w:r w:rsidRPr="00D83563">
        <w:rPr>
          <w:rFonts w:cs="Arial"/>
          <w:color w:val="000000"/>
          <w:sz w:val="24"/>
        </w:rPr>
        <w:t>: Migrant Education funds shall be used only for allowable activities and equipment.</w:t>
      </w:r>
      <w:r w:rsidRPr="00D83563">
        <w:rPr>
          <w:rFonts w:cs="Arial"/>
          <w:i/>
          <w:color w:val="000000"/>
          <w:sz w:val="24"/>
        </w:rPr>
        <w:t xml:space="preserve"> FPM item III-Migrant Education (ME) 08, FPM item III-Fiscal Monitoring (FM) 2.</w:t>
      </w:r>
    </w:p>
    <w:p w14:paraId="27B4E02F" w14:textId="77777777" w:rsidR="00D83563" w:rsidRDefault="00D83563" w:rsidP="00726990">
      <w:pPr>
        <w:pStyle w:val="BodyTextIndent3"/>
        <w:numPr>
          <w:ilvl w:val="1"/>
          <w:numId w:val="10"/>
        </w:numPr>
        <w:ind w:left="1296" w:hanging="288"/>
        <w:jc w:val="both"/>
        <w:rPr>
          <w:rFonts w:cs="Arial"/>
          <w:color w:val="000000"/>
          <w:sz w:val="24"/>
        </w:rPr>
      </w:pPr>
      <w:r w:rsidRPr="00B63577">
        <w:rPr>
          <w:rFonts w:cs="Arial"/>
          <w:b/>
          <w:bCs/>
          <w:color w:val="000000"/>
          <w:sz w:val="24"/>
        </w:rPr>
        <w:t>Supplement Not Supplant</w:t>
      </w:r>
      <w:r w:rsidRPr="00D83563">
        <w:rPr>
          <w:rFonts w:cs="Arial"/>
          <w:color w:val="000000"/>
          <w:sz w:val="24"/>
        </w:rPr>
        <w:t xml:space="preserve">: Migrant Education funds shall be used solely to supplement, and not supplant, non-federal funds (see Section 1.8). </w:t>
      </w:r>
      <w:r w:rsidRPr="00D83563">
        <w:rPr>
          <w:rFonts w:cs="Arial"/>
          <w:i/>
          <w:color w:val="000000"/>
          <w:sz w:val="24"/>
        </w:rPr>
        <w:t>FPM item III-ME 09, FPM item III-FM3</w:t>
      </w:r>
    </w:p>
    <w:p w14:paraId="61092FB5" w14:textId="77777777" w:rsidR="00D83563" w:rsidRDefault="00D83563" w:rsidP="00726990">
      <w:pPr>
        <w:pStyle w:val="BodyTextIndent3"/>
        <w:numPr>
          <w:ilvl w:val="1"/>
          <w:numId w:val="10"/>
        </w:numPr>
        <w:ind w:left="1296" w:hanging="288"/>
        <w:jc w:val="both"/>
        <w:rPr>
          <w:rFonts w:cs="Arial"/>
          <w:color w:val="000000"/>
          <w:sz w:val="24"/>
        </w:rPr>
      </w:pPr>
      <w:r w:rsidRPr="00B63577">
        <w:rPr>
          <w:rFonts w:cs="Arial"/>
          <w:b/>
          <w:bCs/>
          <w:color w:val="000000"/>
          <w:sz w:val="24"/>
        </w:rPr>
        <w:t>Salaries and Wages</w:t>
      </w:r>
      <w:r w:rsidRPr="00D83563">
        <w:rPr>
          <w:rFonts w:cs="Arial"/>
          <w:color w:val="000000"/>
          <w:sz w:val="24"/>
        </w:rPr>
        <w:t xml:space="preserve">: The grantee and the LEA shall properly assess administrative charges for direct or indirect costs of Migrant Education funds for salaries and wages in proportion to an allowable quantity and duties of the employee. </w:t>
      </w:r>
      <w:r w:rsidRPr="00D83563">
        <w:rPr>
          <w:rFonts w:cs="Arial"/>
          <w:i/>
          <w:color w:val="000000"/>
          <w:sz w:val="24"/>
        </w:rPr>
        <w:t>FPM item III-ME 10.</w:t>
      </w:r>
    </w:p>
    <w:p w14:paraId="38781B48" w14:textId="77777777" w:rsidR="00944BC2" w:rsidRDefault="00D83563" w:rsidP="00726990">
      <w:pPr>
        <w:pStyle w:val="BodyTextIndent3"/>
        <w:numPr>
          <w:ilvl w:val="0"/>
          <w:numId w:val="10"/>
        </w:numPr>
        <w:ind w:left="720"/>
        <w:rPr>
          <w:rFonts w:cs="Arial"/>
          <w:color w:val="000000"/>
          <w:sz w:val="24"/>
        </w:rPr>
      </w:pPr>
      <w:r w:rsidRPr="00D83563">
        <w:rPr>
          <w:rFonts w:cs="Arial"/>
          <w:color w:val="000000"/>
          <w:sz w:val="24"/>
        </w:rPr>
        <w:t>Establish a written distribution of funds method reflective of program needs, enrollment and/or other factors such as mobility, age, and grade-level.</w:t>
      </w:r>
    </w:p>
    <w:p w14:paraId="72BB5B8A" w14:textId="7C54FBA9" w:rsidR="00D83563" w:rsidRPr="0037573F" w:rsidRDefault="00D83563" w:rsidP="00726990">
      <w:pPr>
        <w:pStyle w:val="BodyTextIndent3"/>
        <w:numPr>
          <w:ilvl w:val="0"/>
          <w:numId w:val="10"/>
        </w:numPr>
        <w:ind w:left="720"/>
        <w:rPr>
          <w:rFonts w:cs="Arial"/>
          <w:color w:val="000000"/>
          <w:sz w:val="24"/>
        </w:rPr>
      </w:pPr>
      <w:r w:rsidRPr="0037573F">
        <w:rPr>
          <w:rFonts w:cs="Arial"/>
          <w:color w:val="000000"/>
          <w:sz w:val="24"/>
        </w:rPr>
        <w:t xml:space="preserve">Reallocate </w:t>
      </w:r>
      <w:r w:rsidR="00F1136D" w:rsidRPr="0037573F">
        <w:rPr>
          <w:rFonts w:cs="Arial"/>
          <w:color w:val="000000"/>
          <w:sz w:val="24"/>
        </w:rPr>
        <w:t>funds</w:t>
      </w:r>
      <w:r w:rsidRPr="0037573F">
        <w:rPr>
          <w:rFonts w:cs="Arial"/>
          <w:color w:val="000000"/>
          <w:sz w:val="24"/>
        </w:rPr>
        <w:t xml:space="preserve"> through the revision process specified in this Handbook </w:t>
      </w:r>
      <w:r w:rsidRPr="00196002">
        <w:rPr>
          <w:rFonts w:cs="Arial"/>
          <w:color w:val="000000"/>
          <w:sz w:val="24"/>
        </w:rPr>
        <w:t>(see Section 4.4).</w:t>
      </w:r>
    </w:p>
    <w:p w14:paraId="18B3BACA" w14:textId="717618C9" w:rsidR="00D83563" w:rsidRPr="0037573F" w:rsidRDefault="00D83563" w:rsidP="00726990">
      <w:pPr>
        <w:pStyle w:val="BodyTextIndent3"/>
        <w:numPr>
          <w:ilvl w:val="0"/>
          <w:numId w:val="10"/>
        </w:numPr>
        <w:ind w:left="720"/>
        <w:rPr>
          <w:rFonts w:cs="Arial"/>
          <w:color w:val="000000"/>
          <w:sz w:val="24"/>
        </w:rPr>
      </w:pPr>
      <w:r w:rsidRPr="0037573F">
        <w:rPr>
          <w:rFonts w:cs="Arial"/>
          <w:color w:val="000000"/>
          <w:sz w:val="24"/>
        </w:rPr>
        <w:t xml:space="preserve">Provide written procedures and criteria for revising service agreements including criteria, process, and timelines for reallocating funds according to the CDE’s established timelines for </w:t>
      </w:r>
      <w:r w:rsidRPr="00196002">
        <w:rPr>
          <w:rFonts w:cs="Arial"/>
          <w:color w:val="000000"/>
          <w:sz w:val="24"/>
        </w:rPr>
        <w:t>revisions (see Section 4.3).</w:t>
      </w:r>
    </w:p>
    <w:p w14:paraId="4211A263" w14:textId="0DC7A5E6" w:rsidR="00D83563" w:rsidRDefault="00D83563" w:rsidP="00726990">
      <w:pPr>
        <w:pStyle w:val="BodyTextIndent3"/>
        <w:numPr>
          <w:ilvl w:val="0"/>
          <w:numId w:val="10"/>
        </w:numPr>
        <w:ind w:left="720"/>
        <w:rPr>
          <w:rFonts w:cs="Arial"/>
          <w:color w:val="000000"/>
          <w:sz w:val="24"/>
        </w:rPr>
      </w:pPr>
      <w:r w:rsidRPr="00D83563">
        <w:rPr>
          <w:rFonts w:cs="Arial"/>
          <w:color w:val="000000"/>
          <w:sz w:val="24"/>
        </w:rPr>
        <w:t>Expend funds on the basis of applications</w:t>
      </w:r>
      <w:r w:rsidR="000C667C">
        <w:rPr>
          <w:rFonts w:cs="Arial"/>
          <w:color w:val="000000"/>
          <w:sz w:val="24"/>
        </w:rPr>
        <w:t xml:space="preserve"> </w:t>
      </w:r>
      <w:r w:rsidRPr="00D83563">
        <w:rPr>
          <w:rFonts w:cs="Arial"/>
          <w:color w:val="000000"/>
          <w:sz w:val="24"/>
        </w:rPr>
        <w:t>or revisions approved by the CDE.</w:t>
      </w:r>
    </w:p>
    <w:p w14:paraId="398F82FC" w14:textId="77777777" w:rsidR="00D83563" w:rsidRDefault="00D83563" w:rsidP="00726990">
      <w:pPr>
        <w:pStyle w:val="BodyTextIndent3"/>
        <w:numPr>
          <w:ilvl w:val="0"/>
          <w:numId w:val="10"/>
        </w:numPr>
        <w:ind w:left="720"/>
        <w:rPr>
          <w:rFonts w:cs="Arial"/>
          <w:color w:val="000000"/>
          <w:sz w:val="24"/>
        </w:rPr>
      </w:pPr>
      <w:r w:rsidRPr="00D83563">
        <w:rPr>
          <w:rFonts w:cs="Arial"/>
          <w:color w:val="000000"/>
          <w:sz w:val="24"/>
        </w:rPr>
        <w:t>Maintain fiscal procedures in conformity with state and federal law.</w:t>
      </w:r>
    </w:p>
    <w:p w14:paraId="51A0E147" w14:textId="4CF91284" w:rsidR="00D83563" w:rsidRDefault="00D83563" w:rsidP="00726990">
      <w:pPr>
        <w:pStyle w:val="BodyTextIndent3"/>
        <w:numPr>
          <w:ilvl w:val="0"/>
          <w:numId w:val="10"/>
        </w:numPr>
        <w:ind w:left="720"/>
        <w:rPr>
          <w:rFonts w:cs="Arial"/>
          <w:color w:val="000000"/>
          <w:sz w:val="24"/>
        </w:rPr>
      </w:pPr>
      <w:r w:rsidRPr="00D83563">
        <w:rPr>
          <w:rFonts w:cs="Arial"/>
          <w:color w:val="000000"/>
          <w:sz w:val="24"/>
        </w:rPr>
        <w:lastRenderedPageBreak/>
        <w:t>Use fiscal control and fund accounting procedures as outlined in the Standardized Account Code Structure that will ensure proper disbursement and accounting for Title I, Part C, funds.</w:t>
      </w:r>
    </w:p>
    <w:p w14:paraId="23EF3191" w14:textId="77777777" w:rsidR="00D83563" w:rsidRDefault="00D83563" w:rsidP="00726990">
      <w:pPr>
        <w:pStyle w:val="BodyTextIndent3"/>
        <w:numPr>
          <w:ilvl w:val="0"/>
          <w:numId w:val="10"/>
        </w:numPr>
        <w:ind w:left="720"/>
        <w:rPr>
          <w:rFonts w:cs="Arial"/>
          <w:color w:val="000000"/>
          <w:sz w:val="24"/>
        </w:rPr>
      </w:pPr>
      <w:r w:rsidRPr="00D83563">
        <w:rPr>
          <w:rFonts w:cs="Arial"/>
          <w:color w:val="000000"/>
          <w:sz w:val="24"/>
        </w:rPr>
        <w:t>Meet the requirements of the GEPA and the</w:t>
      </w:r>
      <w:r w:rsidRPr="00D83563">
        <w:rPr>
          <w:rFonts w:cs="Arial"/>
          <w:i/>
          <w:color w:val="000000"/>
          <w:sz w:val="24"/>
        </w:rPr>
        <w:t xml:space="preserve"> </w:t>
      </w:r>
      <w:r w:rsidRPr="00D83563">
        <w:rPr>
          <w:rFonts w:cs="Arial"/>
          <w:color w:val="000000"/>
          <w:sz w:val="24"/>
        </w:rPr>
        <w:t>GASB as they relate to fiscal control and fund accounting procedures.</w:t>
      </w:r>
    </w:p>
    <w:p w14:paraId="2A4D5A2C" w14:textId="0A4842CC" w:rsidR="00D83563" w:rsidRDefault="00D83563" w:rsidP="00726990">
      <w:pPr>
        <w:pStyle w:val="BodyTextIndent3"/>
        <w:numPr>
          <w:ilvl w:val="0"/>
          <w:numId w:val="10"/>
        </w:numPr>
        <w:ind w:left="720"/>
        <w:rPr>
          <w:rFonts w:cs="Arial"/>
          <w:color w:val="000000"/>
          <w:sz w:val="24"/>
        </w:rPr>
      </w:pPr>
      <w:r w:rsidRPr="00D83563">
        <w:rPr>
          <w:rFonts w:cs="Arial"/>
          <w:color w:val="000000"/>
          <w:sz w:val="24"/>
        </w:rPr>
        <w:t>Return to the CDE the amount of Title I, Part C,</w:t>
      </w:r>
      <w:r w:rsidRPr="00D83563">
        <w:rPr>
          <w:rFonts w:cs="Arial"/>
          <w:i/>
          <w:color w:val="000000"/>
          <w:sz w:val="24"/>
        </w:rPr>
        <w:t xml:space="preserve"> </w:t>
      </w:r>
      <w:r w:rsidRPr="00D83563">
        <w:rPr>
          <w:rFonts w:cs="Arial"/>
          <w:color w:val="000000"/>
          <w:sz w:val="24"/>
        </w:rPr>
        <w:t>funds later determined not to have been spent in accordance with applicable law.</w:t>
      </w:r>
    </w:p>
    <w:p w14:paraId="7489234C" w14:textId="0DC58B10" w:rsidR="00D83563" w:rsidRDefault="00D83563" w:rsidP="00726990">
      <w:pPr>
        <w:pStyle w:val="BodyTextIndent3"/>
        <w:numPr>
          <w:ilvl w:val="0"/>
          <w:numId w:val="10"/>
        </w:numPr>
        <w:tabs>
          <w:tab w:val="clear" w:pos="360"/>
          <w:tab w:val="left" w:pos="450"/>
        </w:tabs>
        <w:ind w:left="720" w:hanging="360"/>
        <w:rPr>
          <w:rFonts w:cs="Arial"/>
          <w:color w:val="000000"/>
          <w:sz w:val="24"/>
        </w:rPr>
      </w:pPr>
      <w:r w:rsidRPr="00D83563">
        <w:rPr>
          <w:rFonts w:cs="Arial"/>
          <w:color w:val="000000"/>
          <w:sz w:val="24"/>
        </w:rPr>
        <w:t>Provide written policies and procedures for collecting unexpended funds and funds paid to districts for expenditures later determined by the CDE or the region to be unallowable (Section 7.0 of Handbook).</w:t>
      </w:r>
    </w:p>
    <w:p w14:paraId="4C1C083B" w14:textId="4871781B" w:rsidR="00D83563" w:rsidRDefault="00D83563" w:rsidP="00726990">
      <w:pPr>
        <w:pStyle w:val="BodyTextIndent3"/>
        <w:numPr>
          <w:ilvl w:val="0"/>
          <w:numId w:val="10"/>
        </w:numPr>
        <w:tabs>
          <w:tab w:val="left" w:pos="288"/>
          <w:tab w:val="left" w:pos="576"/>
        </w:tabs>
        <w:ind w:left="720" w:hanging="360"/>
        <w:rPr>
          <w:rFonts w:cs="Arial"/>
          <w:color w:val="000000"/>
          <w:sz w:val="24"/>
        </w:rPr>
      </w:pPr>
      <w:r w:rsidRPr="00D83563">
        <w:rPr>
          <w:rFonts w:cs="Arial"/>
          <w:color w:val="000000"/>
          <w:sz w:val="24"/>
        </w:rPr>
        <w:t>Monitor all school district expenditures to ensure alignment with the services and costs as proposed in the approved DSA or MOU.</w:t>
      </w:r>
    </w:p>
    <w:p w14:paraId="6A748F61" w14:textId="14CB0FCC" w:rsidR="00944BC2" w:rsidRDefault="006B57E7" w:rsidP="00726990">
      <w:pPr>
        <w:pStyle w:val="BodyTextIndent3"/>
        <w:numPr>
          <w:ilvl w:val="0"/>
          <w:numId w:val="10"/>
        </w:numPr>
        <w:tabs>
          <w:tab w:val="left" w:pos="288"/>
          <w:tab w:val="left" w:pos="576"/>
        </w:tabs>
        <w:ind w:left="720" w:hanging="360"/>
        <w:rPr>
          <w:rFonts w:cs="Arial"/>
          <w:color w:val="000000"/>
          <w:sz w:val="24"/>
        </w:rPr>
      </w:pPr>
      <w:r>
        <w:rPr>
          <w:rFonts w:cs="Arial"/>
          <w:color w:val="000000"/>
          <w:sz w:val="24"/>
        </w:rPr>
        <w:t xml:space="preserve">  </w:t>
      </w:r>
      <w:r w:rsidR="00D83563" w:rsidRPr="00D83563">
        <w:rPr>
          <w:rFonts w:cs="Arial"/>
          <w:color w:val="000000"/>
          <w:sz w:val="24"/>
        </w:rPr>
        <w:t>Ensure that school districts adhere to record retention policies as required by law (see Section 5.5 of Handbook).</w:t>
      </w:r>
    </w:p>
    <w:p w14:paraId="14AD752D" w14:textId="6FFE2AFA" w:rsidR="00944BC2" w:rsidRDefault="00D83563" w:rsidP="00726990">
      <w:pPr>
        <w:pStyle w:val="BodyTextIndent3"/>
        <w:numPr>
          <w:ilvl w:val="0"/>
          <w:numId w:val="10"/>
        </w:numPr>
        <w:tabs>
          <w:tab w:val="left" w:pos="288"/>
          <w:tab w:val="left" w:pos="576"/>
        </w:tabs>
        <w:ind w:left="720" w:hanging="360"/>
        <w:rPr>
          <w:rFonts w:cs="Arial"/>
          <w:color w:val="000000"/>
          <w:sz w:val="24"/>
          <w:szCs w:val="24"/>
        </w:rPr>
      </w:pPr>
      <w:r w:rsidRPr="00D83563">
        <w:rPr>
          <w:rFonts w:cs="Arial"/>
          <w:color w:val="000000"/>
          <w:sz w:val="24"/>
          <w:szCs w:val="24"/>
        </w:rPr>
        <w:t xml:space="preserve">Use procurement procedures that reflect applicable federal and state statutes and standards (see Section 1.5 </w:t>
      </w:r>
      <w:r w:rsidRPr="00D83563">
        <w:rPr>
          <w:rFonts w:cs="Arial"/>
          <w:color w:val="000000"/>
          <w:sz w:val="24"/>
        </w:rPr>
        <w:t>of Handbook</w:t>
      </w:r>
      <w:r w:rsidRPr="00D83563">
        <w:rPr>
          <w:rFonts w:cs="Arial"/>
          <w:i/>
          <w:color w:val="000000"/>
          <w:sz w:val="24"/>
        </w:rPr>
        <w:t>)</w:t>
      </w:r>
      <w:r w:rsidRPr="00D83563">
        <w:rPr>
          <w:rFonts w:cs="Arial"/>
          <w:color w:val="000000"/>
          <w:sz w:val="24"/>
          <w:szCs w:val="24"/>
        </w:rPr>
        <w:t>.</w:t>
      </w:r>
    </w:p>
    <w:p w14:paraId="5D74F944" w14:textId="60147596" w:rsidR="00D83563" w:rsidRDefault="00D83563" w:rsidP="00726990">
      <w:pPr>
        <w:pStyle w:val="BodyTextIndent3"/>
        <w:numPr>
          <w:ilvl w:val="0"/>
          <w:numId w:val="10"/>
        </w:numPr>
        <w:tabs>
          <w:tab w:val="left" w:pos="288"/>
          <w:tab w:val="left" w:pos="576"/>
        </w:tabs>
        <w:ind w:left="720" w:hanging="360"/>
        <w:rPr>
          <w:rFonts w:cs="Arial"/>
          <w:color w:val="000000"/>
        </w:rPr>
      </w:pPr>
      <w:r w:rsidRPr="00D83563">
        <w:rPr>
          <w:rFonts w:cs="Arial"/>
          <w:color w:val="000000"/>
          <w:sz w:val="24"/>
        </w:rPr>
        <w:t>Operating agencies are required to develop and implement a plan that abides by MEP-specific administrative caps for expenditures on administration (see Section 1.7).</w:t>
      </w:r>
    </w:p>
    <w:p w14:paraId="6B8B8F33" w14:textId="113754B8" w:rsidR="00D83563" w:rsidRDefault="00D83563" w:rsidP="00726990">
      <w:pPr>
        <w:pStyle w:val="BodyTextIndent3"/>
        <w:numPr>
          <w:ilvl w:val="0"/>
          <w:numId w:val="10"/>
        </w:numPr>
        <w:tabs>
          <w:tab w:val="left" w:pos="288"/>
          <w:tab w:val="left" w:pos="576"/>
        </w:tabs>
        <w:ind w:left="720" w:hanging="360"/>
        <w:rPr>
          <w:rFonts w:cs="Arial"/>
          <w:color w:val="000000"/>
          <w:sz w:val="24"/>
        </w:rPr>
      </w:pPr>
      <w:r w:rsidRPr="00D83563">
        <w:rPr>
          <w:rFonts w:cs="Arial"/>
          <w:color w:val="000000"/>
          <w:sz w:val="24"/>
        </w:rPr>
        <w:t>Operating agencies and districts shall not roll over unexpended funds.</w:t>
      </w:r>
    </w:p>
    <w:p w14:paraId="64018E23" w14:textId="4D29B0CB" w:rsidR="00D83563" w:rsidRDefault="00D83563" w:rsidP="00726990">
      <w:pPr>
        <w:pStyle w:val="BodyTextIndent3"/>
        <w:numPr>
          <w:ilvl w:val="0"/>
          <w:numId w:val="10"/>
        </w:numPr>
        <w:tabs>
          <w:tab w:val="left" w:pos="288"/>
          <w:tab w:val="left" w:pos="576"/>
        </w:tabs>
        <w:ind w:left="720" w:hanging="360"/>
        <w:rPr>
          <w:rFonts w:cs="Arial"/>
          <w:color w:val="000000"/>
          <w:sz w:val="24"/>
        </w:rPr>
      </w:pPr>
      <w:r w:rsidRPr="00D83563">
        <w:rPr>
          <w:rFonts w:cs="Arial"/>
          <w:color w:val="000000"/>
          <w:sz w:val="24"/>
        </w:rPr>
        <w:t xml:space="preserve">Any funds not expended by the end of the fiscal </w:t>
      </w:r>
      <w:r w:rsidR="00485D87" w:rsidRPr="00D83563">
        <w:rPr>
          <w:rFonts w:cs="Arial"/>
          <w:color w:val="000000"/>
          <w:sz w:val="24"/>
        </w:rPr>
        <w:t>year</w:t>
      </w:r>
      <w:r w:rsidRPr="00D83563">
        <w:rPr>
          <w:rFonts w:cs="Arial"/>
          <w:color w:val="000000"/>
          <w:sz w:val="24"/>
        </w:rPr>
        <w:t xml:space="preserve"> shall be liquidated by the CDE. </w:t>
      </w:r>
    </w:p>
    <w:p w14:paraId="2AB6C33C" w14:textId="77777777" w:rsidR="00D83563" w:rsidRDefault="00F52896" w:rsidP="009C532E">
      <w:pPr>
        <w:pStyle w:val="Heading3"/>
      </w:pPr>
      <w:bookmarkStart w:id="36" w:name="_Toc414262495"/>
      <w:bookmarkStart w:id="37" w:name="_Toc207703793"/>
      <w:r>
        <w:t xml:space="preserve">3.3 </w:t>
      </w:r>
      <w:r w:rsidR="00D83563" w:rsidRPr="00D83563">
        <w:t>Administration of District Programs</w:t>
      </w:r>
      <w:bookmarkEnd w:id="36"/>
      <w:bookmarkEnd w:id="37"/>
    </w:p>
    <w:p w14:paraId="406CAB90" w14:textId="77777777" w:rsidR="00D83563" w:rsidRDefault="00D83563" w:rsidP="00726990">
      <w:pPr>
        <w:pStyle w:val="Heading4"/>
      </w:pPr>
      <w:r w:rsidRPr="00D83563">
        <w:t>General Guidelines</w:t>
      </w:r>
    </w:p>
    <w:p w14:paraId="23FE9A31" w14:textId="53ED5786" w:rsidR="00D83563" w:rsidRDefault="00D83563" w:rsidP="00726990">
      <w:pPr>
        <w:pStyle w:val="BodyTextIndent3"/>
        <w:ind w:left="144" w:firstLine="0"/>
        <w:rPr>
          <w:rFonts w:cs="Arial"/>
          <w:color w:val="000000"/>
          <w:sz w:val="24"/>
        </w:rPr>
      </w:pPr>
      <w:r w:rsidRPr="00D83563">
        <w:rPr>
          <w:rFonts w:cs="Arial"/>
          <w:color w:val="000000"/>
          <w:sz w:val="24"/>
        </w:rPr>
        <w:t xml:space="preserve">The application funding submitted to the CDE should include the RA and all </w:t>
      </w:r>
      <w:r w:rsidR="002F15F9">
        <w:rPr>
          <w:rFonts w:cs="Arial"/>
          <w:color w:val="000000"/>
          <w:sz w:val="24"/>
        </w:rPr>
        <w:t xml:space="preserve">approved </w:t>
      </w:r>
      <w:r w:rsidRPr="00D83563">
        <w:rPr>
          <w:rFonts w:cs="Arial"/>
          <w:color w:val="000000"/>
          <w:sz w:val="24"/>
        </w:rPr>
        <w:t xml:space="preserve">corresponding DSAs/MOUs. The </w:t>
      </w:r>
      <w:r w:rsidRPr="00D83563">
        <w:rPr>
          <w:rFonts w:cs="Arial"/>
          <w:iCs/>
          <w:color w:val="000000"/>
          <w:sz w:val="24"/>
        </w:rPr>
        <w:t>CDE</w:t>
      </w:r>
      <w:r w:rsidRPr="00D83563">
        <w:rPr>
          <w:rFonts w:cs="Arial"/>
          <w:color w:val="000000"/>
          <w:sz w:val="24"/>
        </w:rPr>
        <w:t xml:space="preserve"> approves the RA.</w:t>
      </w:r>
    </w:p>
    <w:p w14:paraId="796E0C55" w14:textId="03F1D05F" w:rsidR="00944BC2" w:rsidRDefault="00D83563" w:rsidP="00726990">
      <w:pPr>
        <w:pStyle w:val="BodyTextIndent3"/>
        <w:tabs>
          <w:tab w:val="num" w:pos="1470"/>
        </w:tabs>
        <w:ind w:left="144" w:firstLine="0"/>
        <w:rPr>
          <w:rFonts w:cs="Arial"/>
          <w:color w:val="000000"/>
          <w:sz w:val="24"/>
        </w:rPr>
      </w:pPr>
      <w:r w:rsidRPr="00D83563">
        <w:rPr>
          <w:rFonts w:cs="Arial"/>
          <w:color w:val="000000"/>
          <w:sz w:val="24"/>
        </w:rPr>
        <w:t xml:space="preserve">The region is responsible for and has the authority to approve </w:t>
      </w:r>
      <w:r w:rsidRPr="00D83563">
        <w:rPr>
          <w:rFonts w:cs="Arial"/>
          <w:iCs/>
          <w:color w:val="000000"/>
          <w:sz w:val="24"/>
        </w:rPr>
        <w:t>the DSAs/MOUs and</w:t>
      </w:r>
      <w:r w:rsidRPr="00D83563">
        <w:rPr>
          <w:rFonts w:cs="Arial"/>
          <w:color w:val="000000"/>
          <w:sz w:val="24"/>
        </w:rPr>
        <w:t xml:space="preserve"> any subsequent revisions submitted to the region by the districts.</w:t>
      </w:r>
    </w:p>
    <w:p w14:paraId="0DDC2479" w14:textId="56F4CB81" w:rsidR="00D83563" w:rsidRPr="008C24E7" w:rsidRDefault="00D83563" w:rsidP="00726990">
      <w:pPr>
        <w:pStyle w:val="BodyTextIndent3"/>
        <w:tabs>
          <w:tab w:val="num" w:pos="1470"/>
        </w:tabs>
        <w:ind w:left="144" w:firstLine="0"/>
        <w:rPr>
          <w:rFonts w:cs="Arial"/>
          <w:iCs/>
          <w:color w:val="000000"/>
          <w:sz w:val="24"/>
        </w:rPr>
      </w:pPr>
      <w:r w:rsidRPr="00405927">
        <w:rPr>
          <w:rFonts w:cs="Arial"/>
          <w:color w:val="000000"/>
          <w:sz w:val="24"/>
        </w:rPr>
        <w:t>The region also has the authority to reallocate funds from one district to another</w:t>
      </w:r>
      <w:r w:rsidR="00863B0F">
        <w:rPr>
          <w:rFonts w:cs="Arial"/>
          <w:color w:val="000000"/>
          <w:sz w:val="24"/>
        </w:rPr>
        <w:t xml:space="preserve">, </w:t>
      </w:r>
      <w:r w:rsidR="00D07F00">
        <w:rPr>
          <w:rFonts w:cs="Arial"/>
          <w:color w:val="000000"/>
          <w:sz w:val="24"/>
        </w:rPr>
        <w:t>from</w:t>
      </w:r>
      <w:r w:rsidR="00863B0F">
        <w:rPr>
          <w:rFonts w:cs="Arial"/>
          <w:color w:val="000000"/>
          <w:sz w:val="24"/>
        </w:rPr>
        <w:t xml:space="preserve"> a district to the region, or from the region to the district</w:t>
      </w:r>
      <w:r w:rsidRPr="00405927">
        <w:rPr>
          <w:rFonts w:cs="Arial"/>
          <w:color w:val="000000"/>
          <w:sz w:val="24"/>
        </w:rPr>
        <w:t xml:space="preserve">. Any reallocations shall not exceed the state-approved aggregate total of all migrant district budgets for the region. The budget revision process is discussed in </w:t>
      </w:r>
      <w:r w:rsidRPr="00FA5836">
        <w:rPr>
          <w:rFonts w:cs="Arial"/>
          <w:color w:val="000000"/>
          <w:sz w:val="24"/>
        </w:rPr>
        <w:t>Section 4.</w:t>
      </w:r>
      <w:r w:rsidR="00FA5836" w:rsidRPr="008C24E7">
        <w:rPr>
          <w:rFonts w:cs="Arial"/>
          <w:color w:val="000000"/>
          <w:sz w:val="24"/>
        </w:rPr>
        <w:t>4</w:t>
      </w:r>
      <w:r w:rsidRPr="00405927">
        <w:rPr>
          <w:rFonts w:cs="Arial"/>
          <w:color w:val="000000"/>
          <w:sz w:val="24"/>
        </w:rPr>
        <w:t xml:space="preserve"> of the Handbook</w:t>
      </w:r>
      <w:r w:rsidRPr="00405927">
        <w:rPr>
          <w:rFonts w:cs="Arial"/>
          <w:i/>
          <w:color w:val="000000"/>
          <w:sz w:val="24"/>
        </w:rPr>
        <w:t>.</w:t>
      </w:r>
    </w:p>
    <w:p w14:paraId="516FF8B8" w14:textId="0830035C" w:rsidR="00944BC2" w:rsidRDefault="00D83563" w:rsidP="00726990">
      <w:pPr>
        <w:pStyle w:val="BodyTextIndent3"/>
        <w:tabs>
          <w:tab w:val="num" w:pos="1470"/>
        </w:tabs>
        <w:ind w:left="144" w:firstLine="0"/>
        <w:rPr>
          <w:rFonts w:cs="Arial"/>
          <w:color w:val="000000"/>
          <w:sz w:val="24"/>
        </w:rPr>
      </w:pPr>
      <w:r w:rsidRPr="00D83563">
        <w:rPr>
          <w:rFonts w:cs="Arial"/>
          <w:color w:val="000000"/>
          <w:sz w:val="24"/>
        </w:rPr>
        <w:t xml:space="preserve">Should the region approve a DSA/MOU that is later found to be out-of-compliance by the CDE, either through a monitoring visit or some other inquiry/review, the DSA/MOU in question will need to be revised to meet the requirements set forth by the CDE. In addition, the authoring district (of the DSA/MOU) may need to repay funds if not utilized in accordance </w:t>
      </w:r>
      <w:r w:rsidR="00EF4100">
        <w:rPr>
          <w:rFonts w:cs="Arial"/>
          <w:color w:val="000000"/>
          <w:sz w:val="24"/>
        </w:rPr>
        <w:t>with</w:t>
      </w:r>
      <w:r w:rsidR="00EF4100" w:rsidRPr="00D83563">
        <w:rPr>
          <w:rFonts w:cs="Arial"/>
          <w:color w:val="000000"/>
          <w:sz w:val="24"/>
        </w:rPr>
        <w:t xml:space="preserve"> </w:t>
      </w:r>
      <w:r w:rsidRPr="00D83563">
        <w:rPr>
          <w:rFonts w:cs="Arial"/>
          <w:color w:val="000000"/>
          <w:sz w:val="24"/>
        </w:rPr>
        <w:t>all applicable laws. Further, a DSA/MOU may need to be revised to meet fiscal repor</w:t>
      </w:r>
      <w:r w:rsidR="00F52896">
        <w:rPr>
          <w:rFonts w:cs="Arial"/>
          <w:color w:val="000000"/>
          <w:sz w:val="24"/>
        </w:rPr>
        <w:t>ting requirements from the CDE.</w:t>
      </w:r>
    </w:p>
    <w:p w14:paraId="4FA57E9D" w14:textId="77777777" w:rsidR="00D83563" w:rsidRDefault="00D83563" w:rsidP="00726990">
      <w:pPr>
        <w:pStyle w:val="Heading4"/>
      </w:pPr>
      <w:r w:rsidRPr="00D83563">
        <w:lastRenderedPageBreak/>
        <w:t>Regional Sub-Grants to Districts</w:t>
      </w:r>
    </w:p>
    <w:p w14:paraId="1AF729B9" w14:textId="77777777" w:rsidR="00D83563" w:rsidRDefault="00D83563" w:rsidP="00726990">
      <w:pPr>
        <w:pStyle w:val="BodyTextIndent"/>
        <w:ind w:left="144"/>
        <w:rPr>
          <w:rFonts w:cs="Arial"/>
          <w:color w:val="000000"/>
          <w:sz w:val="24"/>
        </w:rPr>
      </w:pPr>
      <w:r w:rsidRPr="00D83563">
        <w:rPr>
          <w:rFonts w:cs="Arial"/>
          <w:color w:val="000000"/>
          <w:sz w:val="24"/>
        </w:rPr>
        <w:t>Regions are encouraged to follow the CDE seven factor funding formula when determining the allocation for their districts. These factors include:</w:t>
      </w:r>
    </w:p>
    <w:p w14:paraId="17086C23" w14:textId="77777777" w:rsidR="00944BC2" w:rsidRDefault="00D83563" w:rsidP="005842A2">
      <w:pPr>
        <w:numPr>
          <w:ilvl w:val="0"/>
          <w:numId w:val="55"/>
        </w:numPr>
        <w:ind w:left="864" w:hanging="288"/>
        <w:rPr>
          <w:rFonts w:cs="Arial"/>
          <w:color w:val="000000"/>
        </w:rPr>
      </w:pPr>
      <w:r w:rsidRPr="00D83563">
        <w:rPr>
          <w:rFonts w:cs="Arial"/>
          <w:color w:val="000000"/>
        </w:rPr>
        <w:t>The availability of funds from other federal, state, and local programs</w:t>
      </w:r>
      <w:r w:rsidRPr="00D83563">
        <w:rPr>
          <w:rStyle w:val="FootnoteReference"/>
          <w:rFonts w:cs="Arial"/>
          <w:color w:val="000000"/>
        </w:rPr>
        <w:footnoteReference w:id="12"/>
      </w:r>
    </w:p>
    <w:p w14:paraId="39292A98" w14:textId="77777777" w:rsidR="00D83563" w:rsidRDefault="00D83563" w:rsidP="005842A2">
      <w:pPr>
        <w:pStyle w:val="ListParagraph"/>
        <w:numPr>
          <w:ilvl w:val="0"/>
          <w:numId w:val="55"/>
        </w:numPr>
        <w:ind w:left="864" w:hanging="288"/>
        <w:contextualSpacing w:val="0"/>
        <w:rPr>
          <w:rFonts w:cs="Arial"/>
          <w:color w:val="000000"/>
        </w:rPr>
      </w:pPr>
      <w:r w:rsidRPr="00D83563">
        <w:rPr>
          <w:rFonts w:cs="Arial"/>
          <w:color w:val="000000"/>
        </w:rPr>
        <w:t xml:space="preserve">Performance period enrollment, also called </w:t>
      </w:r>
      <w:r w:rsidRPr="00D83563">
        <w:rPr>
          <w:rFonts w:cs="Arial"/>
          <w:i/>
          <w:color w:val="000000"/>
        </w:rPr>
        <w:t>Category 1</w:t>
      </w:r>
    </w:p>
    <w:p w14:paraId="7B53E5AD" w14:textId="77777777" w:rsidR="00D83563" w:rsidRDefault="00D83563" w:rsidP="005842A2">
      <w:pPr>
        <w:pStyle w:val="ListParagraph"/>
        <w:numPr>
          <w:ilvl w:val="0"/>
          <w:numId w:val="55"/>
        </w:numPr>
        <w:ind w:left="864" w:hanging="288"/>
        <w:contextualSpacing w:val="0"/>
        <w:rPr>
          <w:rFonts w:cs="Arial"/>
          <w:color w:val="000000"/>
        </w:rPr>
      </w:pPr>
      <w:r w:rsidRPr="00D83563">
        <w:rPr>
          <w:rFonts w:cs="Arial"/>
          <w:color w:val="000000"/>
        </w:rPr>
        <w:t xml:space="preserve">Summer and intersession services, also called </w:t>
      </w:r>
      <w:r w:rsidRPr="00D83563">
        <w:rPr>
          <w:rFonts w:cs="Arial"/>
          <w:i/>
          <w:color w:val="000000"/>
        </w:rPr>
        <w:t>Category 2</w:t>
      </w:r>
    </w:p>
    <w:p w14:paraId="5C9F2398" w14:textId="34FD9EB0" w:rsidR="00D83563" w:rsidRDefault="00D83563" w:rsidP="005842A2">
      <w:pPr>
        <w:numPr>
          <w:ilvl w:val="0"/>
          <w:numId w:val="55"/>
        </w:numPr>
        <w:ind w:left="864" w:hanging="288"/>
        <w:rPr>
          <w:rFonts w:cs="Arial"/>
          <w:color w:val="000000"/>
        </w:rPr>
      </w:pPr>
      <w:r w:rsidRPr="00D83563">
        <w:rPr>
          <w:rFonts w:cs="Arial"/>
          <w:color w:val="000000"/>
        </w:rPr>
        <w:t xml:space="preserve">Number of PFS </w:t>
      </w:r>
      <w:r w:rsidR="00D31812">
        <w:rPr>
          <w:rFonts w:cs="Arial"/>
          <w:color w:val="000000"/>
        </w:rPr>
        <w:t>migratory</w:t>
      </w:r>
      <w:r w:rsidRPr="00D83563">
        <w:rPr>
          <w:rFonts w:cs="Arial"/>
          <w:color w:val="000000"/>
        </w:rPr>
        <w:t xml:space="preserve"> children</w:t>
      </w:r>
    </w:p>
    <w:p w14:paraId="602560E6" w14:textId="00BD9D9C" w:rsidR="00D83563" w:rsidRDefault="00D83563" w:rsidP="005842A2">
      <w:pPr>
        <w:numPr>
          <w:ilvl w:val="0"/>
          <w:numId w:val="55"/>
        </w:numPr>
        <w:ind w:left="864" w:hanging="288"/>
        <w:rPr>
          <w:rFonts w:cs="Arial"/>
          <w:color w:val="000000"/>
        </w:rPr>
      </w:pPr>
      <w:r w:rsidRPr="00D83563">
        <w:rPr>
          <w:rFonts w:cs="Arial"/>
          <w:color w:val="000000"/>
        </w:rPr>
        <w:t xml:space="preserve">Number of </w:t>
      </w:r>
      <w:r w:rsidR="00FC5AFC">
        <w:rPr>
          <w:rFonts w:cs="Arial"/>
          <w:color w:val="000000"/>
        </w:rPr>
        <w:t>migratory</w:t>
      </w:r>
      <w:r w:rsidRPr="00D83563">
        <w:rPr>
          <w:rFonts w:cs="Arial"/>
          <w:color w:val="000000"/>
        </w:rPr>
        <w:t xml:space="preserve"> children ages 19 through 21</w:t>
      </w:r>
    </w:p>
    <w:p w14:paraId="150339DD" w14:textId="05540AB8" w:rsidR="00D83563" w:rsidRDefault="00D83563" w:rsidP="005842A2">
      <w:pPr>
        <w:numPr>
          <w:ilvl w:val="0"/>
          <w:numId w:val="55"/>
        </w:numPr>
        <w:ind w:left="864" w:hanging="288"/>
        <w:rPr>
          <w:rFonts w:cs="Arial"/>
          <w:color w:val="000000"/>
        </w:rPr>
      </w:pPr>
      <w:r w:rsidRPr="00D83563">
        <w:rPr>
          <w:rFonts w:cs="Arial"/>
          <w:color w:val="000000"/>
        </w:rPr>
        <w:t xml:space="preserve">Number of </w:t>
      </w:r>
      <w:r w:rsidR="00D31812">
        <w:rPr>
          <w:rFonts w:cs="Arial"/>
          <w:color w:val="000000"/>
        </w:rPr>
        <w:t>migratory</w:t>
      </w:r>
      <w:r w:rsidRPr="00D83563">
        <w:rPr>
          <w:rFonts w:cs="Arial"/>
          <w:color w:val="000000"/>
        </w:rPr>
        <w:t xml:space="preserve"> children that have made a qualifying move during the performance period</w:t>
      </w:r>
    </w:p>
    <w:p w14:paraId="37CF92C0" w14:textId="042BEC4C" w:rsidR="00944BC2" w:rsidRDefault="00D83563" w:rsidP="005842A2">
      <w:pPr>
        <w:numPr>
          <w:ilvl w:val="0"/>
          <w:numId w:val="55"/>
        </w:numPr>
        <w:ind w:left="864" w:hanging="288"/>
        <w:rPr>
          <w:rFonts w:cs="Arial"/>
          <w:color w:val="000000"/>
        </w:rPr>
      </w:pPr>
      <w:r w:rsidRPr="00D83563">
        <w:rPr>
          <w:rFonts w:cs="Arial"/>
          <w:color w:val="000000"/>
        </w:rPr>
        <w:t xml:space="preserve">The academic need of </w:t>
      </w:r>
      <w:r w:rsidR="00D31812">
        <w:rPr>
          <w:rFonts w:cs="Arial"/>
          <w:color w:val="000000"/>
        </w:rPr>
        <w:t>migratory</w:t>
      </w:r>
      <w:r w:rsidRPr="00D83563">
        <w:rPr>
          <w:rFonts w:cs="Arial"/>
          <w:color w:val="000000"/>
        </w:rPr>
        <w:t xml:space="preserve"> children (far below basic)</w:t>
      </w:r>
    </w:p>
    <w:p w14:paraId="313DA3D2" w14:textId="77777777" w:rsidR="00D83563" w:rsidRDefault="00D83563" w:rsidP="00726990">
      <w:pPr>
        <w:ind w:left="144"/>
        <w:rPr>
          <w:rFonts w:cs="Arial"/>
          <w:bCs/>
          <w:color w:val="000000"/>
        </w:rPr>
      </w:pPr>
      <w:r w:rsidRPr="00D83563">
        <w:rPr>
          <w:rFonts w:cs="Arial"/>
          <w:bCs/>
          <w:color w:val="000000"/>
        </w:rPr>
        <w:t>As described in Section 1.4, migrant regions operate via several operational models, therefore, actual subgrants to districts may not reflect the full factor calculation as some districts may opt to have the region provide services that are not cost-effective at the district level.</w:t>
      </w:r>
    </w:p>
    <w:p w14:paraId="006A48E9" w14:textId="60F0454E" w:rsidR="00A7099D" w:rsidRPr="004278D3" w:rsidRDefault="00922AAE" w:rsidP="00922AAE">
      <w:pPr>
        <w:pStyle w:val="BodyTextIndent3"/>
        <w:tabs>
          <w:tab w:val="num" w:pos="1710"/>
        </w:tabs>
        <w:ind w:left="0" w:firstLine="0"/>
        <w:rPr>
          <w:rFonts w:cs="Arial"/>
          <w:color w:val="auto"/>
          <w:sz w:val="24"/>
        </w:rPr>
      </w:pPr>
      <w:r w:rsidRPr="00922AAE">
        <w:rPr>
          <w:rFonts w:cs="Arial"/>
          <w:color w:val="000000"/>
          <w:sz w:val="24"/>
        </w:rPr>
        <w:t xml:space="preserve">Termination and appeals are governed by §3.4 </w:t>
      </w:r>
      <w:r w:rsidR="00FD7703">
        <w:rPr>
          <w:rFonts w:cs="Arial"/>
          <w:color w:val="000000"/>
          <w:sz w:val="24"/>
        </w:rPr>
        <w:t>(</w:t>
      </w:r>
      <w:r w:rsidRPr="00922AAE">
        <w:rPr>
          <w:rFonts w:cs="Arial"/>
          <w:color w:val="000000"/>
          <w:sz w:val="24"/>
        </w:rPr>
        <w:t>Noncompliance and Termination</w:t>
      </w:r>
      <w:r w:rsidR="00FD7703">
        <w:rPr>
          <w:rFonts w:cs="Arial"/>
          <w:color w:val="000000"/>
          <w:sz w:val="24"/>
        </w:rPr>
        <w:t>)</w:t>
      </w:r>
      <w:r w:rsidRPr="00922AAE">
        <w:rPr>
          <w:rFonts w:cs="Arial"/>
          <w:color w:val="000000"/>
          <w:sz w:val="24"/>
        </w:rPr>
        <w:t xml:space="preserve">. </w:t>
      </w:r>
      <w:r w:rsidRPr="004278D3">
        <w:rPr>
          <w:rFonts w:cs="Arial"/>
          <w:color w:val="auto"/>
          <w:sz w:val="24"/>
        </w:rPr>
        <w:t>Regions must apply these standards in any DSA/MOU action.</w:t>
      </w:r>
    </w:p>
    <w:p w14:paraId="1077B8E9" w14:textId="6CC06D3A" w:rsidR="00A7099D" w:rsidRPr="004278D3" w:rsidRDefault="00A7099D" w:rsidP="009C532E">
      <w:pPr>
        <w:pStyle w:val="Heading3"/>
      </w:pPr>
      <w:bookmarkStart w:id="38" w:name="_Toc207703794"/>
      <w:r w:rsidRPr="004278D3">
        <w:t>3.</w:t>
      </w:r>
      <w:r w:rsidR="003C624D" w:rsidRPr="004278D3">
        <w:t>4</w:t>
      </w:r>
      <w:r w:rsidRPr="004278D3">
        <w:t xml:space="preserve"> </w:t>
      </w:r>
      <w:r w:rsidR="00910042" w:rsidRPr="004278D3">
        <w:t>Noncompliance and Termination</w:t>
      </w:r>
      <w:bookmarkEnd w:id="38"/>
    </w:p>
    <w:p w14:paraId="2138836D" w14:textId="77777777" w:rsidR="005842A2" w:rsidRPr="004278D3" w:rsidRDefault="00A00C37" w:rsidP="005842A2">
      <w:pPr>
        <w:pStyle w:val="ListParagraph"/>
        <w:numPr>
          <w:ilvl w:val="0"/>
          <w:numId w:val="80"/>
        </w:numPr>
        <w:rPr>
          <w:b/>
          <w:bCs/>
          <w:color w:val="auto"/>
        </w:rPr>
      </w:pPr>
      <w:r w:rsidRPr="004278D3">
        <w:rPr>
          <w:color w:val="auto"/>
        </w:rPr>
        <w:t>The CDE or its designee may terminate a subgrant, in whole or in part, if the subgrantee materially fails to comply with the terms and conditions of the award, applicable federal or state statutes, regulations, or policies.</w:t>
      </w:r>
    </w:p>
    <w:p w14:paraId="4DB95313" w14:textId="77777777" w:rsidR="00200FF9" w:rsidRPr="004278D3" w:rsidRDefault="00A00C37" w:rsidP="00200FF9">
      <w:pPr>
        <w:pStyle w:val="ListParagraph"/>
        <w:numPr>
          <w:ilvl w:val="0"/>
          <w:numId w:val="80"/>
        </w:numPr>
        <w:rPr>
          <w:b/>
          <w:bCs/>
          <w:color w:val="auto"/>
        </w:rPr>
      </w:pPr>
      <w:r w:rsidRPr="004278D3">
        <w:rPr>
          <w:color w:val="auto"/>
        </w:rPr>
        <w:t>Prior to termination, the CDE will:</w:t>
      </w:r>
    </w:p>
    <w:p w14:paraId="0CD43389" w14:textId="77777777" w:rsidR="001604AF" w:rsidRPr="001604AF" w:rsidRDefault="00A00C37" w:rsidP="00F64009">
      <w:pPr>
        <w:pStyle w:val="ListParagraph"/>
        <w:numPr>
          <w:ilvl w:val="1"/>
          <w:numId w:val="80"/>
        </w:numPr>
        <w:spacing w:after="0"/>
        <w:contextualSpacing w:val="0"/>
        <w:rPr>
          <w:b/>
          <w:bCs/>
          <w:color w:val="auto"/>
        </w:rPr>
      </w:pPr>
      <w:r w:rsidRPr="001604AF">
        <w:rPr>
          <w:color w:val="auto"/>
        </w:rPr>
        <w:t>Provide written notice specifying the nature of the noncompliance;</w:t>
      </w:r>
    </w:p>
    <w:p w14:paraId="6E862101" w14:textId="1FB56443" w:rsidR="00C4605E" w:rsidRPr="001604AF" w:rsidRDefault="00A00C37" w:rsidP="00F64009">
      <w:pPr>
        <w:pStyle w:val="ListParagraph"/>
        <w:numPr>
          <w:ilvl w:val="1"/>
          <w:numId w:val="80"/>
        </w:numPr>
        <w:spacing w:after="0"/>
        <w:contextualSpacing w:val="0"/>
        <w:rPr>
          <w:b/>
          <w:bCs/>
          <w:color w:val="auto"/>
        </w:rPr>
      </w:pPr>
      <w:r w:rsidRPr="001604AF">
        <w:rPr>
          <w:color w:val="auto"/>
        </w:rPr>
        <w:t>Allow a reasonable period for corrective action, unless immediate termination is necessary to protect program integrity or prevent misuse of funds; and</w:t>
      </w:r>
    </w:p>
    <w:p w14:paraId="468B707F" w14:textId="5E95EE58" w:rsidR="00622747" w:rsidRPr="004278D3" w:rsidRDefault="00A00C37" w:rsidP="006D3D77">
      <w:pPr>
        <w:pStyle w:val="ListParagraph"/>
        <w:numPr>
          <w:ilvl w:val="1"/>
          <w:numId w:val="80"/>
        </w:numPr>
        <w:spacing w:after="0"/>
        <w:rPr>
          <w:b/>
          <w:bCs/>
          <w:color w:val="auto"/>
        </w:rPr>
      </w:pPr>
      <w:r w:rsidRPr="004278D3">
        <w:rPr>
          <w:color w:val="auto"/>
        </w:rPr>
        <w:t xml:space="preserve">Document all communications and corrective actions in accordance with 2 </w:t>
      </w:r>
      <w:r w:rsidRPr="00375EB9">
        <w:rPr>
          <w:i/>
          <w:iCs/>
          <w:color w:val="auto"/>
        </w:rPr>
        <w:t>CFR</w:t>
      </w:r>
      <w:r w:rsidRPr="004278D3">
        <w:rPr>
          <w:color w:val="auto"/>
        </w:rPr>
        <w:t xml:space="preserve"> 200.339.</w:t>
      </w:r>
    </w:p>
    <w:p w14:paraId="45154887" w14:textId="1B4F26AD" w:rsidR="00BD7D80" w:rsidRPr="004278D3" w:rsidRDefault="00A00C37" w:rsidP="009258AD">
      <w:pPr>
        <w:spacing w:after="0"/>
        <w:rPr>
          <w:b/>
          <w:bCs/>
          <w:color w:val="auto"/>
        </w:rPr>
      </w:pPr>
      <w:r w:rsidRPr="004278D3">
        <w:rPr>
          <w:b/>
          <w:bCs/>
          <w:color w:val="auto"/>
        </w:rPr>
        <w:t xml:space="preserve">If corrective action is not taken within the specified period, the CDE may implement one or more remedies under 2 </w:t>
      </w:r>
      <w:r w:rsidRPr="00375EB9">
        <w:rPr>
          <w:b/>
          <w:bCs/>
          <w:i/>
          <w:iCs/>
          <w:color w:val="auto"/>
        </w:rPr>
        <w:t>CFR</w:t>
      </w:r>
      <w:r w:rsidRPr="004278D3">
        <w:rPr>
          <w:b/>
          <w:bCs/>
          <w:color w:val="auto"/>
        </w:rPr>
        <w:t xml:space="preserve"> 200.339, including:</w:t>
      </w:r>
    </w:p>
    <w:p w14:paraId="0EC13A2C" w14:textId="36CE13E3" w:rsidR="00BD7D80" w:rsidRPr="004278D3" w:rsidRDefault="00A00C37" w:rsidP="005842A2">
      <w:pPr>
        <w:pStyle w:val="ListParagraph"/>
        <w:numPr>
          <w:ilvl w:val="0"/>
          <w:numId w:val="76"/>
        </w:numPr>
        <w:rPr>
          <w:color w:val="auto"/>
        </w:rPr>
      </w:pPr>
      <w:r w:rsidRPr="004278D3">
        <w:rPr>
          <w:color w:val="auto"/>
        </w:rPr>
        <w:t>Temporarily withholding cash payments;</w:t>
      </w:r>
    </w:p>
    <w:p w14:paraId="4F78137E" w14:textId="7547D48F" w:rsidR="00BD7D80" w:rsidRPr="004278D3" w:rsidRDefault="00A00C37" w:rsidP="005842A2">
      <w:pPr>
        <w:pStyle w:val="ListParagraph"/>
        <w:numPr>
          <w:ilvl w:val="0"/>
          <w:numId w:val="76"/>
        </w:numPr>
        <w:rPr>
          <w:color w:val="auto"/>
        </w:rPr>
      </w:pPr>
      <w:r w:rsidRPr="004278D3">
        <w:rPr>
          <w:color w:val="auto"/>
        </w:rPr>
        <w:t>Disallowing costs associated with the noncompliance;</w:t>
      </w:r>
    </w:p>
    <w:p w14:paraId="6E3628F1" w14:textId="7B4D2C48" w:rsidR="00BD7D80" w:rsidRPr="004278D3" w:rsidRDefault="00A00C37" w:rsidP="005842A2">
      <w:pPr>
        <w:pStyle w:val="ListParagraph"/>
        <w:numPr>
          <w:ilvl w:val="0"/>
          <w:numId w:val="76"/>
        </w:numPr>
        <w:rPr>
          <w:color w:val="auto"/>
        </w:rPr>
      </w:pPr>
      <w:r w:rsidRPr="004278D3">
        <w:rPr>
          <w:color w:val="auto"/>
        </w:rPr>
        <w:t>Suspending or terminating the award in whole or in part;</w:t>
      </w:r>
    </w:p>
    <w:p w14:paraId="105C4636" w14:textId="0B12A67F" w:rsidR="00BD7D80" w:rsidRPr="004278D3" w:rsidRDefault="00A00C37" w:rsidP="005842A2">
      <w:pPr>
        <w:pStyle w:val="ListParagraph"/>
        <w:numPr>
          <w:ilvl w:val="0"/>
          <w:numId w:val="76"/>
        </w:numPr>
        <w:rPr>
          <w:color w:val="auto"/>
        </w:rPr>
      </w:pPr>
      <w:r w:rsidRPr="004278D3">
        <w:rPr>
          <w:color w:val="auto"/>
        </w:rPr>
        <w:t>Withholding further awards for the project or program; or</w:t>
      </w:r>
    </w:p>
    <w:p w14:paraId="77D0C2EA" w14:textId="77777777" w:rsidR="00291B65" w:rsidRPr="004278D3" w:rsidRDefault="00A00C37" w:rsidP="005842A2">
      <w:pPr>
        <w:pStyle w:val="ListParagraph"/>
        <w:numPr>
          <w:ilvl w:val="0"/>
          <w:numId w:val="76"/>
        </w:numPr>
        <w:rPr>
          <w:color w:val="auto"/>
        </w:rPr>
      </w:pPr>
      <w:r w:rsidRPr="004278D3">
        <w:rPr>
          <w:color w:val="auto"/>
        </w:rPr>
        <w:t>Taking other legally available remedies.</w:t>
      </w:r>
    </w:p>
    <w:p w14:paraId="684FC41D" w14:textId="77777777" w:rsidR="00C740A2" w:rsidRDefault="00A00C37" w:rsidP="00C740A2">
      <w:pPr>
        <w:spacing w:before="120"/>
        <w:rPr>
          <w:color w:val="auto"/>
        </w:rPr>
      </w:pPr>
      <w:r w:rsidRPr="004278D3">
        <w:rPr>
          <w:color w:val="auto"/>
        </w:rPr>
        <w:t>Upon termination, the subgrantee will be compensated for allowable costs incurred up to the effective date of termination.</w:t>
      </w:r>
    </w:p>
    <w:p w14:paraId="4E8B0C22" w14:textId="1A77283F" w:rsidR="00FD5B70" w:rsidRPr="004278D3" w:rsidRDefault="00FD5B70" w:rsidP="00C740A2">
      <w:pPr>
        <w:spacing w:before="120"/>
        <w:rPr>
          <w:b/>
          <w:bCs/>
          <w:color w:val="auto"/>
        </w:rPr>
      </w:pPr>
      <w:r w:rsidRPr="00C740A2">
        <w:rPr>
          <w:rStyle w:val="Heading5Char"/>
        </w:rPr>
        <w:lastRenderedPageBreak/>
        <w:t>Appeal Rights</w:t>
      </w:r>
    </w:p>
    <w:p w14:paraId="4849E38D" w14:textId="7C9FBE17" w:rsidR="00E21D21" w:rsidRPr="004278D3" w:rsidRDefault="006F45C6" w:rsidP="00FD5B70">
      <w:pPr>
        <w:rPr>
          <w:color w:val="auto"/>
        </w:rPr>
      </w:pPr>
      <w:r w:rsidRPr="004278D3">
        <w:rPr>
          <w:color w:val="auto"/>
        </w:rPr>
        <w:t xml:space="preserve">A subgrantee may request an administrative review of a termination decision. Appeals must be submitted in writing within 30 calendar days of the termination notice and will be limited to whether the CDE’s action was contrary to applicable federal or state statutes, regulations, or the terms of the grant award. Consistent with 2 </w:t>
      </w:r>
      <w:r w:rsidRPr="00375EB9">
        <w:rPr>
          <w:i/>
          <w:iCs/>
          <w:color w:val="auto"/>
        </w:rPr>
        <w:t>CFR</w:t>
      </w:r>
      <w:r w:rsidRPr="004278D3">
        <w:rPr>
          <w:color w:val="auto"/>
        </w:rPr>
        <w:t xml:space="preserve"> 200.340(a)–(b), the CDE will provide written notice and an opportunity for the subgrantee to present written objections before the termination is finalized.</w:t>
      </w:r>
      <w:r w:rsidR="008C17B5" w:rsidRPr="004278D3">
        <w:rPr>
          <w:color w:val="auto"/>
        </w:rPr>
        <w:t xml:space="preserve"> </w:t>
      </w:r>
      <w:r w:rsidR="00E21D21" w:rsidRPr="004278D3">
        <w:rPr>
          <w:color w:val="auto"/>
        </w:rPr>
        <w:t>Operating agencies filing an appeal must submit a letter of appeal by mail, email, or in person to:</w:t>
      </w:r>
    </w:p>
    <w:p w14:paraId="55AB7120" w14:textId="77777777" w:rsidR="00E21D21" w:rsidRPr="004278D3" w:rsidRDefault="00E21D21" w:rsidP="00E21D21">
      <w:pPr>
        <w:spacing w:after="0"/>
        <w:jc w:val="center"/>
        <w:rPr>
          <w:color w:val="auto"/>
        </w:rPr>
      </w:pPr>
      <w:r w:rsidRPr="004278D3">
        <w:rPr>
          <w:color w:val="auto"/>
        </w:rPr>
        <w:t>California Department of Education</w:t>
      </w:r>
    </w:p>
    <w:p w14:paraId="2D1FB324" w14:textId="77777777" w:rsidR="00E21D21" w:rsidRPr="004278D3" w:rsidRDefault="00E21D21" w:rsidP="00E21D21">
      <w:pPr>
        <w:spacing w:after="0"/>
        <w:jc w:val="center"/>
        <w:rPr>
          <w:color w:val="auto"/>
        </w:rPr>
      </w:pPr>
      <w:r w:rsidRPr="004278D3">
        <w:rPr>
          <w:color w:val="auto"/>
        </w:rPr>
        <w:t>State Superintendent of Public Instruction</w:t>
      </w:r>
    </w:p>
    <w:p w14:paraId="34282FBD" w14:textId="77777777" w:rsidR="00E21D21" w:rsidRPr="004278D3" w:rsidRDefault="00E21D21" w:rsidP="00E21D21">
      <w:pPr>
        <w:spacing w:after="0"/>
        <w:jc w:val="center"/>
        <w:rPr>
          <w:color w:val="auto"/>
        </w:rPr>
      </w:pPr>
      <w:r w:rsidRPr="004278D3">
        <w:rPr>
          <w:color w:val="auto"/>
        </w:rPr>
        <w:t>1430 N Street</w:t>
      </w:r>
    </w:p>
    <w:p w14:paraId="00617869" w14:textId="04BC4054" w:rsidR="00A00C37" w:rsidRPr="004278D3" w:rsidRDefault="00E21D21" w:rsidP="00E21D21">
      <w:pPr>
        <w:spacing w:after="0"/>
        <w:jc w:val="center"/>
        <w:rPr>
          <w:color w:val="auto"/>
        </w:rPr>
      </w:pPr>
      <w:r w:rsidRPr="004278D3">
        <w:rPr>
          <w:color w:val="auto"/>
        </w:rPr>
        <w:t>Sacramento, CA 95814-5901</w:t>
      </w:r>
    </w:p>
    <w:p w14:paraId="521DACB6" w14:textId="77777777" w:rsidR="00D83563" w:rsidRDefault="00F52896" w:rsidP="00F76EEC">
      <w:pPr>
        <w:pStyle w:val="Heading2"/>
      </w:pPr>
      <w:bookmarkStart w:id="39" w:name="_Toc414262496"/>
      <w:bookmarkStart w:id="40" w:name="_Toc207703795"/>
      <w:r>
        <w:rPr>
          <w:color w:val="000000"/>
        </w:rPr>
        <w:t xml:space="preserve">4.0 </w:t>
      </w:r>
      <w:r w:rsidR="00D83563" w:rsidRPr="00D83563">
        <w:t>Instructions for Regional and Direct-Funded District Applications</w:t>
      </w:r>
      <w:bookmarkEnd w:id="39"/>
      <w:bookmarkEnd w:id="40"/>
    </w:p>
    <w:p w14:paraId="5777B608" w14:textId="77777777" w:rsidR="00D83563" w:rsidRDefault="00D83563" w:rsidP="009C532E">
      <w:pPr>
        <w:pStyle w:val="Heading3"/>
      </w:pPr>
      <w:bookmarkStart w:id="41" w:name="_Toc414262497"/>
      <w:bookmarkStart w:id="42" w:name="_Toc207703796"/>
      <w:r w:rsidRPr="00D83563">
        <w:t>4.1</w:t>
      </w:r>
      <w:r w:rsidR="00F52896">
        <w:t xml:space="preserve"> </w:t>
      </w:r>
      <w:r w:rsidRPr="00D83563">
        <w:t>Operating Agency Application for Migrant Education Services</w:t>
      </w:r>
      <w:bookmarkEnd w:id="41"/>
      <w:bookmarkEnd w:id="42"/>
    </w:p>
    <w:p w14:paraId="268F2AAC" w14:textId="77777777" w:rsidR="00D83563" w:rsidRDefault="00D83563" w:rsidP="005842A2">
      <w:pPr>
        <w:pStyle w:val="BodyTextIndent3"/>
        <w:numPr>
          <w:ilvl w:val="0"/>
          <w:numId w:val="11"/>
        </w:numPr>
        <w:tabs>
          <w:tab w:val="clear" w:pos="1440"/>
          <w:tab w:val="num" w:pos="288"/>
        </w:tabs>
        <w:ind w:left="720" w:hanging="288"/>
        <w:rPr>
          <w:rFonts w:cs="Arial"/>
          <w:color w:val="000000"/>
          <w:sz w:val="24"/>
        </w:rPr>
      </w:pPr>
      <w:r w:rsidRPr="00D83563">
        <w:rPr>
          <w:rFonts w:cs="Arial"/>
          <w:color w:val="000000"/>
          <w:sz w:val="24"/>
        </w:rPr>
        <w:t>Program Application. Operating agencies with more than 200 students shall complete an annual application that contains the following:</w:t>
      </w:r>
    </w:p>
    <w:p w14:paraId="5D64D330" w14:textId="6924504A" w:rsidR="00D83563" w:rsidRDefault="00647DD7" w:rsidP="00647DD7">
      <w:pPr>
        <w:pStyle w:val="BodyTextIndent3"/>
        <w:tabs>
          <w:tab w:val="left" w:pos="1710"/>
          <w:tab w:val="left" w:pos="1980"/>
        </w:tabs>
        <w:ind w:left="1296" w:hanging="288"/>
        <w:rPr>
          <w:rFonts w:cs="Arial"/>
          <w:color w:val="000000"/>
          <w:sz w:val="24"/>
        </w:rPr>
      </w:pPr>
      <w:r w:rsidRPr="00647DD7">
        <w:rPr>
          <w:rFonts w:cs="Arial"/>
          <w:color w:val="000000"/>
          <w:sz w:val="24"/>
        </w:rPr>
        <w:t>1)</w:t>
      </w:r>
      <w:r>
        <w:rPr>
          <w:rFonts w:cs="Arial"/>
          <w:color w:val="000000"/>
          <w:sz w:val="24"/>
        </w:rPr>
        <w:t xml:space="preserve"> </w:t>
      </w:r>
      <w:r w:rsidR="002242A6">
        <w:rPr>
          <w:rFonts w:cs="Arial"/>
          <w:color w:val="000000"/>
          <w:sz w:val="24"/>
        </w:rPr>
        <w:t xml:space="preserve">General </w:t>
      </w:r>
      <w:r w:rsidR="00A31B60">
        <w:rPr>
          <w:rFonts w:cs="Arial"/>
          <w:color w:val="000000"/>
          <w:sz w:val="24"/>
        </w:rPr>
        <w:t>i</w:t>
      </w:r>
      <w:r w:rsidR="002242A6">
        <w:rPr>
          <w:rFonts w:cs="Arial"/>
          <w:color w:val="000000"/>
          <w:sz w:val="24"/>
        </w:rPr>
        <w:t xml:space="preserve">nformation and </w:t>
      </w:r>
      <w:r w:rsidR="00A31B60">
        <w:rPr>
          <w:rFonts w:cs="Arial"/>
          <w:color w:val="000000"/>
          <w:sz w:val="24"/>
        </w:rPr>
        <w:t>f</w:t>
      </w:r>
      <w:r w:rsidR="002242A6">
        <w:rPr>
          <w:rFonts w:cs="Arial"/>
          <w:color w:val="000000"/>
          <w:sz w:val="24"/>
        </w:rPr>
        <w:t xml:space="preserve">unding </w:t>
      </w:r>
      <w:r w:rsidR="00A31B60">
        <w:rPr>
          <w:rFonts w:cs="Arial"/>
          <w:color w:val="000000"/>
          <w:sz w:val="24"/>
        </w:rPr>
        <w:t>a</w:t>
      </w:r>
      <w:r w:rsidR="002242A6">
        <w:rPr>
          <w:rFonts w:cs="Arial"/>
          <w:color w:val="000000"/>
          <w:sz w:val="24"/>
        </w:rPr>
        <w:t xml:space="preserve">llocations, </w:t>
      </w:r>
      <w:r w:rsidR="00A31B60">
        <w:rPr>
          <w:rFonts w:cs="Arial"/>
          <w:color w:val="000000"/>
          <w:sz w:val="24"/>
        </w:rPr>
        <w:t xml:space="preserve">allocation and student profile, </w:t>
      </w:r>
      <w:r w:rsidR="00E476ED">
        <w:rPr>
          <w:rFonts w:cs="Arial"/>
          <w:color w:val="000000"/>
          <w:sz w:val="24"/>
        </w:rPr>
        <w:t>region funding process (regions only), a program overview</w:t>
      </w:r>
      <w:r w:rsidR="002568E0">
        <w:rPr>
          <w:rFonts w:cs="Arial"/>
          <w:color w:val="000000"/>
          <w:sz w:val="24"/>
        </w:rPr>
        <w:t xml:space="preserve">, </w:t>
      </w:r>
      <w:r w:rsidR="00D83563" w:rsidRPr="00D83563">
        <w:rPr>
          <w:rFonts w:cs="Arial"/>
          <w:color w:val="000000"/>
          <w:sz w:val="24"/>
        </w:rPr>
        <w:t>and information detailing the proposed services and service budgets for each of the following programmatic components:</w:t>
      </w:r>
    </w:p>
    <w:p w14:paraId="0006B5F4" w14:textId="31291C39" w:rsidR="00D83563" w:rsidRPr="00D83563" w:rsidRDefault="00F93634" w:rsidP="005842A2">
      <w:pPr>
        <w:pStyle w:val="BodyTextIndent3"/>
        <w:numPr>
          <w:ilvl w:val="0"/>
          <w:numId w:val="72"/>
        </w:numPr>
        <w:tabs>
          <w:tab w:val="left" w:pos="1710"/>
          <w:tab w:val="left" w:pos="1980"/>
        </w:tabs>
        <w:spacing w:after="0"/>
        <w:rPr>
          <w:rFonts w:cs="Arial"/>
          <w:color w:val="000000"/>
          <w:sz w:val="24"/>
        </w:rPr>
      </w:pPr>
      <w:r>
        <w:rPr>
          <w:rFonts w:cs="Arial"/>
          <w:color w:val="000000"/>
          <w:sz w:val="24"/>
        </w:rPr>
        <w:t>Regular School Year</w:t>
      </w:r>
    </w:p>
    <w:p w14:paraId="1C7EF921" w14:textId="112C7B6B" w:rsidR="00D83563" w:rsidRPr="00D83563" w:rsidRDefault="00F93634" w:rsidP="005842A2">
      <w:pPr>
        <w:pStyle w:val="BodyTextIndent3"/>
        <w:numPr>
          <w:ilvl w:val="0"/>
          <w:numId w:val="72"/>
        </w:numPr>
        <w:tabs>
          <w:tab w:val="left" w:pos="1710"/>
          <w:tab w:val="left" w:pos="1980"/>
        </w:tabs>
        <w:spacing w:after="0"/>
        <w:rPr>
          <w:rFonts w:cs="Arial"/>
          <w:color w:val="000000"/>
          <w:sz w:val="24"/>
        </w:rPr>
      </w:pPr>
      <w:r>
        <w:rPr>
          <w:rFonts w:cs="Arial"/>
          <w:color w:val="000000"/>
          <w:sz w:val="24"/>
        </w:rPr>
        <w:t>Summer/Intersession</w:t>
      </w:r>
    </w:p>
    <w:p w14:paraId="4E283643" w14:textId="72878100" w:rsidR="00D83563" w:rsidRPr="00D83563" w:rsidRDefault="00F93634" w:rsidP="005842A2">
      <w:pPr>
        <w:pStyle w:val="BodyTextIndent3"/>
        <w:numPr>
          <w:ilvl w:val="0"/>
          <w:numId w:val="72"/>
        </w:numPr>
        <w:tabs>
          <w:tab w:val="left" w:pos="1710"/>
          <w:tab w:val="left" w:pos="1980"/>
        </w:tabs>
        <w:spacing w:after="0"/>
        <w:rPr>
          <w:rFonts w:cs="Arial"/>
          <w:color w:val="000000"/>
          <w:sz w:val="24"/>
        </w:rPr>
      </w:pPr>
      <w:r>
        <w:rPr>
          <w:rFonts w:cs="Arial"/>
          <w:color w:val="000000"/>
          <w:sz w:val="24"/>
        </w:rPr>
        <w:t>School Readiness Regular School Year</w:t>
      </w:r>
    </w:p>
    <w:p w14:paraId="77B6968E" w14:textId="536CC1A1" w:rsidR="00D83563" w:rsidRPr="00D83563" w:rsidRDefault="00F93634" w:rsidP="005842A2">
      <w:pPr>
        <w:pStyle w:val="BodyTextIndent3"/>
        <w:numPr>
          <w:ilvl w:val="0"/>
          <w:numId w:val="72"/>
        </w:numPr>
        <w:tabs>
          <w:tab w:val="left" w:pos="1710"/>
          <w:tab w:val="left" w:pos="1980"/>
        </w:tabs>
        <w:spacing w:after="0"/>
        <w:rPr>
          <w:rFonts w:cs="Arial"/>
          <w:color w:val="000000"/>
          <w:sz w:val="24"/>
        </w:rPr>
      </w:pPr>
      <w:r>
        <w:rPr>
          <w:rFonts w:cs="Arial"/>
          <w:color w:val="000000"/>
          <w:sz w:val="24"/>
        </w:rPr>
        <w:t xml:space="preserve">School Readiness </w:t>
      </w:r>
      <w:r w:rsidR="00A03D34">
        <w:rPr>
          <w:rFonts w:cs="Arial"/>
          <w:color w:val="000000"/>
          <w:sz w:val="24"/>
        </w:rPr>
        <w:t>Summer/Intersession</w:t>
      </w:r>
    </w:p>
    <w:p w14:paraId="32BACD35" w14:textId="0E4D153C" w:rsidR="00D83563" w:rsidRPr="00D83563" w:rsidRDefault="002C319F" w:rsidP="005842A2">
      <w:pPr>
        <w:pStyle w:val="BodyTextIndent3"/>
        <w:numPr>
          <w:ilvl w:val="0"/>
          <w:numId w:val="72"/>
        </w:numPr>
        <w:tabs>
          <w:tab w:val="left" w:pos="1710"/>
          <w:tab w:val="left" w:pos="1980"/>
        </w:tabs>
        <w:spacing w:after="0"/>
        <w:rPr>
          <w:rFonts w:cs="Arial"/>
          <w:color w:val="000000"/>
          <w:sz w:val="24"/>
        </w:rPr>
      </w:pPr>
      <w:r>
        <w:rPr>
          <w:rFonts w:cs="Arial"/>
          <w:color w:val="000000"/>
          <w:sz w:val="24"/>
        </w:rPr>
        <w:t xml:space="preserve">Other Education, Health, Nutrition, </w:t>
      </w:r>
      <w:r w:rsidR="007249AF">
        <w:rPr>
          <w:rFonts w:cs="Arial"/>
          <w:color w:val="000000"/>
          <w:sz w:val="24"/>
        </w:rPr>
        <w:t>and Social Services</w:t>
      </w:r>
    </w:p>
    <w:p w14:paraId="435F3B67" w14:textId="768D4CE3" w:rsidR="00D83563" w:rsidRPr="00D83563" w:rsidRDefault="007249AF" w:rsidP="005842A2">
      <w:pPr>
        <w:pStyle w:val="BodyTextIndent3"/>
        <w:numPr>
          <w:ilvl w:val="0"/>
          <w:numId w:val="72"/>
        </w:numPr>
        <w:tabs>
          <w:tab w:val="left" w:pos="1710"/>
          <w:tab w:val="left" w:pos="1980"/>
        </w:tabs>
        <w:spacing w:after="0"/>
        <w:rPr>
          <w:rFonts w:cs="Arial"/>
          <w:color w:val="000000"/>
          <w:sz w:val="24"/>
        </w:rPr>
      </w:pPr>
      <w:r>
        <w:rPr>
          <w:rFonts w:cs="Arial"/>
          <w:color w:val="000000"/>
          <w:sz w:val="24"/>
        </w:rPr>
        <w:t>I</w:t>
      </w:r>
      <w:r w:rsidR="00497F15">
        <w:rPr>
          <w:rFonts w:cs="Arial"/>
          <w:color w:val="000000"/>
          <w:sz w:val="24"/>
        </w:rPr>
        <w:t>&amp;R</w:t>
      </w:r>
    </w:p>
    <w:p w14:paraId="3776AD65" w14:textId="0C8F97F3" w:rsidR="00D83563" w:rsidRPr="00D83563" w:rsidRDefault="007249AF" w:rsidP="005842A2">
      <w:pPr>
        <w:pStyle w:val="BodyTextIndent3"/>
        <w:numPr>
          <w:ilvl w:val="0"/>
          <w:numId w:val="72"/>
        </w:numPr>
        <w:tabs>
          <w:tab w:val="left" w:pos="1710"/>
          <w:tab w:val="left" w:pos="1980"/>
        </w:tabs>
        <w:spacing w:after="0"/>
        <w:rPr>
          <w:rFonts w:cs="Arial"/>
          <w:color w:val="000000"/>
          <w:sz w:val="24"/>
        </w:rPr>
      </w:pPr>
      <w:r>
        <w:rPr>
          <w:rFonts w:cs="Arial"/>
          <w:color w:val="000000"/>
          <w:sz w:val="24"/>
        </w:rPr>
        <w:t>P</w:t>
      </w:r>
      <w:r w:rsidR="00497F15">
        <w:rPr>
          <w:rFonts w:cs="Arial"/>
          <w:color w:val="000000"/>
          <w:sz w:val="24"/>
        </w:rPr>
        <w:t>AC</w:t>
      </w:r>
    </w:p>
    <w:p w14:paraId="439EF77D" w14:textId="77777777" w:rsidR="00D83563" w:rsidRPr="00D83563" w:rsidRDefault="00D83563" w:rsidP="005842A2">
      <w:pPr>
        <w:pStyle w:val="BodyTextIndent3"/>
        <w:numPr>
          <w:ilvl w:val="0"/>
          <w:numId w:val="72"/>
        </w:numPr>
        <w:tabs>
          <w:tab w:val="left" w:pos="1710"/>
          <w:tab w:val="left" w:pos="1980"/>
        </w:tabs>
        <w:spacing w:after="0"/>
        <w:rPr>
          <w:rFonts w:cs="Arial"/>
          <w:color w:val="000000"/>
          <w:sz w:val="24"/>
        </w:rPr>
      </w:pPr>
      <w:r w:rsidRPr="00D83563">
        <w:rPr>
          <w:rFonts w:cs="Arial"/>
          <w:color w:val="000000"/>
          <w:sz w:val="24"/>
        </w:rPr>
        <w:t>Technical Assistance and DSA/MOU Monitoring</w:t>
      </w:r>
    </w:p>
    <w:p w14:paraId="44894E14" w14:textId="77777777" w:rsidR="00D83563" w:rsidRDefault="00D83563" w:rsidP="005842A2">
      <w:pPr>
        <w:pStyle w:val="BodyTextIndent3"/>
        <w:numPr>
          <w:ilvl w:val="0"/>
          <w:numId w:val="72"/>
        </w:numPr>
        <w:tabs>
          <w:tab w:val="left" w:pos="1710"/>
          <w:tab w:val="left" w:pos="1980"/>
        </w:tabs>
        <w:rPr>
          <w:rFonts w:cs="Arial"/>
          <w:color w:val="000000"/>
          <w:sz w:val="24"/>
        </w:rPr>
      </w:pPr>
      <w:r w:rsidRPr="00D83563">
        <w:rPr>
          <w:rFonts w:cs="Arial"/>
          <w:color w:val="000000"/>
          <w:sz w:val="24"/>
        </w:rPr>
        <w:t>Administration</w:t>
      </w:r>
    </w:p>
    <w:p w14:paraId="62851CAC" w14:textId="2574A546" w:rsidR="00944BC2" w:rsidRPr="008C24E7" w:rsidRDefault="00647DD7" w:rsidP="00647DD7">
      <w:pPr>
        <w:pStyle w:val="BodyTextIndent3"/>
        <w:tabs>
          <w:tab w:val="left" w:pos="1710"/>
        </w:tabs>
        <w:ind w:left="1296" w:hanging="288"/>
        <w:rPr>
          <w:rFonts w:cs="Arial"/>
          <w:sz w:val="24"/>
          <w:szCs w:val="24"/>
        </w:rPr>
      </w:pPr>
      <w:r>
        <w:rPr>
          <w:rFonts w:cs="Arial"/>
          <w:sz w:val="24"/>
          <w:szCs w:val="24"/>
        </w:rPr>
        <w:t>2)</w:t>
      </w:r>
      <w:r w:rsidR="00D83563" w:rsidRPr="6DD09F95">
        <w:rPr>
          <w:rFonts w:cs="Arial"/>
          <w:sz w:val="24"/>
          <w:szCs w:val="24"/>
        </w:rPr>
        <w:t xml:space="preserve"> Budget information and detail specific enough to determine if the proposed migrant education program satisfies all the applicable requirements and is aligned to the proposed services</w:t>
      </w:r>
    </w:p>
    <w:p w14:paraId="27A9D04C" w14:textId="06F52C53" w:rsidR="00D83563" w:rsidRDefault="00647DD7" w:rsidP="00726990">
      <w:pPr>
        <w:pStyle w:val="BodyTextIndent3"/>
        <w:ind w:left="1296" w:hanging="288"/>
        <w:rPr>
          <w:rFonts w:cs="Arial"/>
          <w:color w:val="000000"/>
          <w:sz w:val="24"/>
        </w:rPr>
      </w:pPr>
      <w:r>
        <w:rPr>
          <w:rFonts w:cs="Arial"/>
          <w:color w:val="000000"/>
          <w:sz w:val="24"/>
        </w:rPr>
        <w:t>3)</w:t>
      </w:r>
      <w:r w:rsidR="00D83563" w:rsidRPr="00D83563">
        <w:rPr>
          <w:rFonts w:cs="Arial"/>
          <w:color w:val="000000"/>
          <w:sz w:val="24"/>
        </w:rPr>
        <w:t xml:space="preserve"> Signatures and Legal Assurances</w:t>
      </w:r>
    </w:p>
    <w:p w14:paraId="38A8B6F8" w14:textId="06B220FB" w:rsidR="00D83563" w:rsidRDefault="00647DD7" w:rsidP="00726990">
      <w:pPr>
        <w:pStyle w:val="BodyTextIndent3"/>
        <w:tabs>
          <w:tab w:val="left" w:pos="1800"/>
          <w:tab w:val="left" w:pos="1980"/>
        </w:tabs>
        <w:ind w:left="1296" w:hanging="288"/>
        <w:rPr>
          <w:rFonts w:cs="Arial"/>
          <w:color w:val="000000"/>
          <w:sz w:val="24"/>
        </w:rPr>
      </w:pPr>
      <w:r>
        <w:rPr>
          <w:rFonts w:cs="Arial"/>
          <w:color w:val="000000"/>
          <w:sz w:val="24"/>
        </w:rPr>
        <w:t>4)</w:t>
      </w:r>
      <w:r w:rsidR="00D83563" w:rsidRPr="00D83563">
        <w:rPr>
          <w:rFonts w:cs="Arial"/>
          <w:color w:val="000000"/>
          <w:sz w:val="24"/>
        </w:rPr>
        <w:t xml:space="preserve"> Any other information requested by the </w:t>
      </w:r>
      <w:r w:rsidR="00D83563" w:rsidRPr="00D83563">
        <w:rPr>
          <w:rFonts w:cs="Arial"/>
          <w:iCs/>
          <w:color w:val="000000"/>
          <w:sz w:val="24"/>
        </w:rPr>
        <w:t>CDE</w:t>
      </w:r>
    </w:p>
    <w:p w14:paraId="3B802D3F" w14:textId="7AA7F2D4" w:rsidR="00D83563" w:rsidRDefault="00D83563" w:rsidP="005842A2">
      <w:pPr>
        <w:pStyle w:val="BodyTextIndent3"/>
        <w:numPr>
          <w:ilvl w:val="0"/>
          <w:numId w:val="11"/>
        </w:numPr>
        <w:tabs>
          <w:tab w:val="clear" w:pos="1440"/>
          <w:tab w:val="num" w:pos="720"/>
        </w:tabs>
        <w:ind w:left="720" w:hanging="270"/>
        <w:rPr>
          <w:rFonts w:cs="Arial"/>
          <w:color w:val="000000"/>
          <w:sz w:val="24"/>
        </w:rPr>
      </w:pPr>
      <w:r w:rsidRPr="00D83563">
        <w:rPr>
          <w:rFonts w:cs="Arial"/>
          <w:color w:val="000000"/>
          <w:sz w:val="24"/>
        </w:rPr>
        <w:t>Application Submission. Regions and direct-funded agencies shall submit their application directly to the CDE while all other operational agencies must submit their DSA/MOU to the applicable region.</w:t>
      </w:r>
    </w:p>
    <w:p w14:paraId="3F54ABF8" w14:textId="77777777" w:rsidR="00D83563" w:rsidRDefault="00D83563" w:rsidP="00726990">
      <w:pPr>
        <w:pStyle w:val="BodyTextIndent3"/>
        <w:ind w:firstLine="0"/>
        <w:rPr>
          <w:rFonts w:cs="Arial"/>
          <w:color w:val="000000"/>
          <w:sz w:val="24"/>
        </w:rPr>
      </w:pPr>
      <w:r w:rsidRPr="00D83563">
        <w:rPr>
          <w:rFonts w:cs="Arial"/>
          <w:color w:val="000000"/>
          <w:sz w:val="24"/>
        </w:rPr>
        <w:lastRenderedPageBreak/>
        <w:t xml:space="preserve">Application Non-transferable/Non-assignable. An application for migrant education services shall not be transferred or assigned to any other agency or party. Only the </w:t>
      </w:r>
      <w:r w:rsidRPr="00D83563">
        <w:rPr>
          <w:rFonts w:cs="Arial"/>
          <w:iCs/>
          <w:color w:val="000000"/>
          <w:sz w:val="24"/>
        </w:rPr>
        <w:t>CDE</w:t>
      </w:r>
      <w:r w:rsidRPr="00D83563">
        <w:rPr>
          <w:rFonts w:cs="Arial"/>
          <w:color w:val="000000"/>
          <w:sz w:val="24"/>
        </w:rPr>
        <w:t xml:space="preserve"> may transfer or reassign an application. This does not restrict operating agencies from contracting with districts through service agreements.</w:t>
      </w:r>
    </w:p>
    <w:p w14:paraId="2E561A05" w14:textId="45629769" w:rsidR="00D83563" w:rsidRDefault="00D83563" w:rsidP="005842A2">
      <w:pPr>
        <w:pStyle w:val="BodyTextIndent3"/>
        <w:numPr>
          <w:ilvl w:val="0"/>
          <w:numId w:val="11"/>
        </w:numPr>
        <w:tabs>
          <w:tab w:val="clear" w:pos="1440"/>
          <w:tab w:val="left" w:pos="720"/>
        </w:tabs>
        <w:ind w:left="720" w:hanging="270"/>
        <w:rPr>
          <w:rFonts w:cs="Arial"/>
          <w:color w:val="000000"/>
          <w:sz w:val="24"/>
        </w:rPr>
      </w:pPr>
      <w:r w:rsidRPr="00D83563">
        <w:rPr>
          <w:rFonts w:cs="Arial"/>
          <w:color w:val="000000"/>
          <w:sz w:val="24"/>
        </w:rPr>
        <w:t xml:space="preserve">Application Approval: The </w:t>
      </w:r>
      <w:r w:rsidRPr="00D83563">
        <w:rPr>
          <w:rFonts w:cs="Arial"/>
          <w:iCs/>
          <w:color w:val="000000"/>
          <w:sz w:val="24"/>
        </w:rPr>
        <w:t>CDE</w:t>
      </w:r>
      <w:r w:rsidRPr="00D83563">
        <w:rPr>
          <w:rFonts w:cs="Arial"/>
          <w:color w:val="000000"/>
          <w:sz w:val="24"/>
        </w:rPr>
        <w:t xml:space="preserve"> is responsible for reviewing and approving each </w:t>
      </w:r>
      <w:r w:rsidR="00497F15">
        <w:rPr>
          <w:rFonts w:cs="Arial"/>
          <w:color w:val="000000"/>
          <w:sz w:val="24"/>
        </w:rPr>
        <w:t>R</w:t>
      </w:r>
      <w:r w:rsidRPr="00D83563">
        <w:rPr>
          <w:rFonts w:cs="Arial"/>
          <w:color w:val="000000"/>
          <w:sz w:val="24"/>
        </w:rPr>
        <w:t xml:space="preserve">egion and </w:t>
      </w:r>
      <w:r w:rsidR="00497F15">
        <w:rPr>
          <w:rFonts w:cs="Arial"/>
          <w:color w:val="000000"/>
          <w:sz w:val="24"/>
        </w:rPr>
        <w:t>DFD</w:t>
      </w:r>
      <w:r w:rsidRPr="00D83563">
        <w:rPr>
          <w:rFonts w:cs="Arial"/>
          <w:color w:val="000000"/>
          <w:sz w:val="24"/>
        </w:rPr>
        <w:t>’s budget</w:t>
      </w:r>
      <w:r w:rsidR="00BC34A2">
        <w:rPr>
          <w:rFonts w:cs="Arial"/>
          <w:color w:val="000000"/>
          <w:sz w:val="24"/>
        </w:rPr>
        <w:t xml:space="preserve"> within their application</w:t>
      </w:r>
      <w:r w:rsidRPr="00D83563">
        <w:rPr>
          <w:rFonts w:cs="Arial"/>
          <w:color w:val="000000"/>
          <w:sz w:val="24"/>
        </w:rPr>
        <w:t xml:space="preserve"> for the MEP. </w:t>
      </w:r>
    </w:p>
    <w:p w14:paraId="3830EBE3" w14:textId="77777777" w:rsidR="00944BC2" w:rsidRDefault="00D83563" w:rsidP="005842A2">
      <w:pPr>
        <w:pStyle w:val="BodyTextIndent3"/>
        <w:numPr>
          <w:ilvl w:val="0"/>
          <w:numId w:val="12"/>
        </w:numPr>
        <w:tabs>
          <w:tab w:val="num" w:pos="1710"/>
        </w:tabs>
        <w:ind w:left="1296" w:hanging="288"/>
        <w:rPr>
          <w:rFonts w:cs="Arial"/>
          <w:color w:val="000000"/>
          <w:sz w:val="24"/>
        </w:rPr>
      </w:pPr>
      <w:r w:rsidRPr="00D83563">
        <w:rPr>
          <w:rFonts w:cs="Arial"/>
          <w:sz w:val="24"/>
        </w:rPr>
        <w:t>Upon submission, applications will be reviewed by the</w:t>
      </w:r>
      <w:r w:rsidRPr="00D83563">
        <w:rPr>
          <w:rFonts w:cs="Arial"/>
          <w:color w:val="000000"/>
          <w:sz w:val="24"/>
        </w:rPr>
        <w:t xml:space="preserve"> CDE for approval.</w:t>
      </w:r>
    </w:p>
    <w:p w14:paraId="47D63489" w14:textId="77777777" w:rsidR="00D83563" w:rsidRPr="00B25677" w:rsidRDefault="00D83563" w:rsidP="005842A2">
      <w:pPr>
        <w:pStyle w:val="BodyTextIndent3"/>
        <w:numPr>
          <w:ilvl w:val="0"/>
          <w:numId w:val="12"/>
        </w:numPr>
        <w:tabs>
          <w:tab w:val="num" w:pos="1710"/>
        </w:tabs>
        <w:ind w:left="1296" w:hanging="288"/>
        <w:rPr>
          <w:rFonts w:cs="Arial"/>
          <w:color w:val="000000"/>
          <w:sz w:val="24"/>
        </w:rPr>
      </w:pPr>
      <w:r w:rsidRPr="00D83563">
        <w:rPr>
          <w:rFonts w:cs="Arial"/>
          <w:sz w:val="24"/>
        </w:rPr>
        <w:t xml:space="preserve">All contracts or agreements entered into by operating agencies shall have a release clause contingent upon the availability of funds and approval of applications by the </w:t>
      </w:r>
      <w:r w:rsidRPr="00D83563">
        <w:rPr>
          <w:rFonts w:cs="Arial"/>
          <w:iCs/>
          <w:sz w:val="24"/>
        </w:rPr>
        <w:t>CDE.</w:t>
      </w:r>
    </w:p>
    <w:p w14:paraId="62223A8D" w14:textId="3ADCAECF" w:rsidR="00B25677" w:rsidRPr="004278D3" w:rsidRDefault="00B25677" w:rsidP="005842A2">
      <w:pPr>
        <w:pStyle w:val="BodyTextIndent3"/>
        <w:numPr>
          <w:ilvl w:val="0"/>
          <w:numId w:val="11"/>
        </w:numPr>
        <w:tabs>
          <w:tab w:val="clear" w:pos="1440"/>
          <w:tab w:val="left" w:pos="720"/>
        </w:tabs>
        <w:ind w:left="720" w:hanging="270"/>
        <w:rPr>
          <w:rFonts w:cs="Arial"/>
          <w:color w:val="auto"/>
          <w:sz w:val="24"/>
        </w:rPr>
      </w:pPr>
      <w:r w:rsidRPr="004278D3">
        <w:rPr>
          <w:rFonts w:cs="Arial"/>
          <w:color w:val="auto"/>
          <w:sz w:val="24"/>
        </w:rPr>
        <w:t>Application Denial Appeals</w:t>
      </w:r>
      <w:r w:rsidR="00740D59" w:rsidRPr="004278D3">
        <w:rPr>
          <w:rFonts w:cs="Arial"/>
          <w:color w:val="auto"/>
          <w:sz w:val="24"/>
        </w:rPr>
        <w:t xml:space="preserve">. </w:t>
      </w:r>
      <w:r w:rsidRPr="004278D3">
        <w:rPr>
          <w:rFonts w:cs="Arial"/>
          <w:color w:val="auto"/>
          <w:sz w:val="24"/>
        </w:rPr>
        <w:t xml:space="preserve">This section applies only to the denial of an application for funding under the Migrant Education Program (MEP). It does not apply to termination of an awarded subgrant. Termination procedures and appeal rights are addressed separately in Section 3.4 </w:t>
      </w:r>
      <w:r w:rsidR="000972C5" w:rsidRPr="004278D3">
        <w:rPr>
          <w:rFonts w:cs="Arial"/>
          <w:color w:val="auto"/>
          <w:sz w:val="24"/>
        </w:rPr>
        <w:t xml:space="preserve">(Noncompliance and Termination) </w:t>
      </w:r>
      <w:r w:rsidRPr="004278D3">
        <w:rPr>
          <w:rFonts w:cs="Arial"/>
          <w:color w:val="auto"/>
          <w:sz w:val="24"/>
        </w:rPr>
        <w:t>of this Handbook.</w:t>
      </w:r>
    </w:p>
    <w:p w14:paraId="562D263D" w14:textId="77777777" w:rsidR="00B25677" w:rsidRPr="004278D3" w:rsidRDefault="00B25677" w:rsidP="005842A2">
      <w:pPr>
        <w:pStyle w:val="ListParagraph"/>
        <w:numPr>
          <w:ilvl w:val="0"/>
          <w:numId w:val="78"/>
        </w:numPr>
        <w:rPr>
          <w:color w:val="auto"/>
        </w:rPr>
      </w:pPr>
      <w:r w:rsidRPr="004278D3">
        <w:rPr>
          <w:color w:val="auto"/>
        </w:rPr>
        <w:t xml:space="preserve">Appeals of application denial are governed by 34 </w:t>
      </w:r>
      <w:r w:rsidRPr="00375EB9">
        <w:rPr>
          <w:i/>
          <w:iCs/>
          <w:color w:val="auto"/>
        </w:rPr>
        <w:t>CFR</w:t>
      </w:r>
      <w:r w:rsidRPr="004278D3">
        <w:rPr>
          <w:color w:val="auto"/>
        </w:rPr>
        <w:t xml:space="preserve"> 76.401(d).</w:t>
      </w:r>
    </w:p>
    <w:p w14:paraId="1D20C509" w14:textId="77777777" w:rsidR="00B25677" w:rsidRPr="004278D3" w:rsidRDefault="00B25677" w:rsidP="005842A2">
      <w:pPr>
        <w:pStyle w:val="ListParagraph"/>
        <w:numPr>
          <w:ilvl w:val="0"/>
          <w:numId w:val="78"/>
        </w:numPr>
        <w:rPr>
          <w:color w:val="auto"/>
        </w:rPr>
      </w:pPr>
      <w:r w:rsidRPr="004278D3">
        <w:rPr>
          <w:color w:val="auto"/>
        </w:rPr>
        <w:t>An operating agency whose application is denied may file a written appeal within ten (10) calendar days of receiving the Notice of Intent to Award. The appeal must include:</w:t>
      </w:r>
    </w:p>
    <w:p w14:paraId="0D3399B4" w14:textId="2213A8DB" w:rsidR="00B25677" w:rsidRPr="004278D3" w:rsidRDefault="00B25677" w:rsidP="005842A2">
      <w:pPr>
        <w:pStyle w:val="ListParagraph"/>
        <w:numPr>
          <w:ilvl w:val="0"/>
          <w:numId w:val="79"/>
        </w:numPr>
        <w:rPr>
          <w:color w:val="auto"/>
        </w:rPr>
      </w:pPr>
      <w:r w:rsidRPr="004278D3">
        <w:rPr>
          <w:color w:val="auto"/>
        </w:rPr>
        <w:t>A full and complete statement of the issue(s) in dispute;</w:t>
      </w:r>
    </w:p>
    <w:p w14:paraId="0F9C410C" w14:textId="31877897" w:rsidR="00B25677" w:rsidRPr="004278D3" w:rsidRDefault="00B25677" w:rsidP="005842A2">
      <w:pPr>
        <w:pStyle w:val="ListParagraph"/>
        <w:numPr>
          <w:ilvl w:val="0"/>
          <w:numId w:val="79"/>
        </w:numPr>
        <w:rPr>
          <w:color w:val="auto"/>
        </w:rPr>
      </w:pPr>
      <w:r w:rsidRPr="004278D3">
        <w:rPr>
          <w:color w:val="auto"/>
        </w:rPr>
        <w:t>The legal authority or other basis for the appellant’s position; and</w:t>
      </w:r>
    </w:p>
    <w:p w14:paraId="787814BD" w14:textId="50C3866E" w:rsidR="00B25677" w:rsidRPr="004278D3" w:rsidRDefault="00B25677" w:rsidP="005842A2">
      <w:pPr>
        <w:pStyle w:val="ListParagraph"/>
        <w:numPr>
          <w:ilvl w:val="0"/>
          <w:numId w:val="79"/>
        </w:numPr>
        <w:rPr>
          <w:color w:val="auto"/>
        </w:rPr>
      </w:pPr>
      <w:r w:rsidRPr="004278D3">
        <w:rPr>
          <w:color w:val="auto"/>
        </w:rPr>
        <w:t>The remedy sought.</w:t>
      </w:r>
    </w:p>
    <w:p w14:paraId="31C09D62" w14:textId="77777777" w:rsidR="00B25677" w:rsidRPr="004278D3" w:rsidRDefault="00B25677" w:rsidP="005842A2">
      <w:pPr>
        <w:pStyle w:val="ListParagraph"/>
        <w:numPr>
          <w:ilvl w:val="0"/>
          <w:numId w:val="78"/>
        </w:numPr>
        <w:rPr>
          <w:color w:val="auto"/>
        </w:rPr>
      </w:pPr>
      <w:r w:rsidRPr="004278D3">
        <w:rPr>
          <w:color w:val="auto"/>
        </w:rPr>
        <w:t>Appeals are limited to the grounds that the California Department of Education (CDE) failed to correctly apply the standards for reviewing the application as specified in this Handbook.</w:t>
      </w:r>
    </w:p>
    <w:p w14:paraId="456282DB" w14:textId="77777777" w:rsidR="00B25677" w:rsidRPr="004278D3" w:rsidRDefault="00B25677" w:rsidP="005842A2">
      <w:pPr>
        <w:pStyle w:val="ListParagraph"/>
        <w:numPr>
          <w:ilvl w:val="0"/>
          <w:numId w:val="78"/>
        </w:numPr>
        <w:rPr>
          <w:color w:val="auto"/>
        </w:rPr>
      </w:pPr>
      <w:r w:rsidRPr="004278D3">
        <w:rPr>
          <w:color w:val="auto"/>
        </w:rPr>
        <w:t xml:space="preserve">If the appeal is denied, the operating agency may request a hearing under 34 </w:t>
      </w:r>
      <w:r w:rsidRPr="00375EB9">
        <w:rPr>
          <w:i/>
          <w:iCs/>
          <w:color w:val="auto"/>
        </w:rPr>
        <w:t>CFR</w:t>
      </w:r>
      <w:r w:rsidRPr="004278D3">
        <w:rPr>
          <w:color w:val="auto"/>
        </w:rPr>
        <w:t xml:space="preserve"> 76.401(d). The request for hearing must be submitted within thirty (30) calendar days of the appeal determination.</w:t>
      </w:r>
    </w:p>
    <w:p w14:paraId="6F42E59F" w14:textId="36351255" w:rsidR="00B25677" w:rsidRPr="004278D3" w:rsidRDefault="00B25677" w:rsidP="005842A2">
      <w:pPr>
        <w:pStyle w:val="ListParagraph"/>
        <w:numPr>
          <w:ilvl w:val="0"/>
          <w:numId w:val="78"/>
        </w:numPr>
        <w:rPr>
          <w:color w:val="auto"/>
        </w:rPr>
      </w:pPr>
      <w:r w:rsidRPr="004278D3">
        <w:rPr>
          <w:color w:val="auto"/>
        </w:rPr>
        <w:t>This application denial appeal process is distinct from the</w:t>
      </w:r>
      <w:r w:rsidR="006C4A27" w:rsidRPr="004278D3">
        <w:rPr>
          <w:color w:val="auto"/>
        </w:rPr>
        <w:t xml:space="preserve"> process governing</w:t>
      </w:r>
      <w:r w:rsidRPr="004278D3">
        <w:rPr>
          <w:color w:val="auto"/>
        </w:rPr>
        <w:t xml:space="preserve"> subgrant termination, which are governed by </w:t>
      </w:r>
      <w:r w:rsidR="006C4A27" w:rsidRPr="004278D3">
        <w:rPr>
          <w:color w:val="auto"/>
        </w:rPr>
        <w:t xml:space="preserve">the </w:t>
      </w:r>
      <w:r w:rsidRPr="004278D3">
        <w:rPr>
          <w:color w:val="auto"/>
        </w:rPr>
        <w:t>federal Uniform Guidance and outlined in Section 3.4</w:t>
      </w:r>
      <w:r w:rsidR="000972C5" w:rsidRPr="004278D3">
        <w:rPr>
          <w:color w:val="auto"/>
        </w:rPr>
        <w:t xml:space="preserve"> (Noncompliance and Termination)</w:t>
      </w:r>
      <w:r w:rsidRPr="004278D3">
        <w:rPr>
          <w:color w:val="auto"/>
        </w:rPr>
        <w:t>.</w:t>
      </w:r>
    </w:p>
    <w:p w14:paraId="70FE4468" w14:textId="77777777" w:rsidR="00D83563" w:rsidRDefault="00D83563" w:rsidP="009C532E">
      <w:pPr>
        <w:pStyle w:val="Heading3"/>
      </w:pPr>
      <w:bookmarkStart w:id="43" w:name="_Toc384991263"/>
      <w:bookmarkStart w:id="44" w:name="_Toc414262498"/>
      <w:bookmarkStart w:id="45" w:name="_Toc207703797"/>
      <w:bookmarkStart w:id="46" w:name="_Toc384991262"/>
      <w:r w:rsidRPr="00D83563">
        <w:t>4.2</w:t>
      </w:r>
      <w:r w:rsidR="00F52896">
        <w:t xml:space="preserve"> </w:t>
      </w:r>
      <w:r w:rsidRPr="00D83563">
        <w:t>District Service Agreements</w:t>
      </w:r>
      <w:bookmarkEnd w:id="43"/>
      <w:bookmarkEnd w:id="44"/>
      <w:bookmarkEnd w:id="45"/>
    </w:p>
    <w:p w14:paraId="65932BEF" w14:textId="1A0EF59D" w:rsidR="00D83563" w:rsidRDefault="00647DD7" w:rsidP="00726990">
      <w:pPr>
        <w:pStyle w:val="BodyTextIndent3"/>
        <w:ind w:hanging="288"/>
        <w:rPr>
          <w:rFonts w:cs="Arial"/>
          <w:color w:val="000000"/>
          <w:sz w:val="24"/>
        </w:rPr>
      </w:pPr>
      <w:r>
        <w:rPr>
          <w:rFonts w:cs="Arial"/>
          <w:color w:val="000000"/>
          <w:sz w:val="24"/>
        </w:rPr>
        <w:t>A</w:t>
      </w:r>
      <w:r w:rsidR="00D83563" w:rsidRPr="00D83563">
        <w:rPr>
          <w:rFonts w:cs="Arial"/>
          <w:color w:val="000000"/>
          <w:sz w:val="24"/>
        </w:rPr>
        <w:t xml:space="preserve">. All DSA budgets shall be on forms provided or approved by the </w:t>
      </w:r>
      <w:r w:rsidR="00D83563" w:rsidRPr="00D83563">
        <w:rPr>
          <w:rFonts w:cs="Arial"/>
          <w:iCs/>
          <w:color w:val="000000"/>
          <w:sz w:val="24"/>
        </w:rPr>
        <w:t>CDE</w:t>
      </w:r>
      <w:r w:rsidR="00D83563" w:rsidRPr="00D83563">
        <w:rPr>
          <w:rFonts w:cs="Arial"/>
          <w:color w:val="000000"/>
          <w:sz w:val="24"/>
        </w:rPr>
        <w:t>.</w:t>
      </w:r>
    </w:p>
    <w:p w14:paraId="5A096E3A" w14:textId="52D859CA" w:rsidR="00D83563" w:rsidRDefault="00D83563" w:rsidP="005842A2">
      <w:pPr>
        <w:pStyle w:val="BodyTextIndent3"/>
        <w:numPr>
          <w:ilvl w:val="0"/>
          <w:numId w:val="62"/>
        </w:numPr>
        <w:ind w:left="1296" w:hanging="288"/>
        <w:rPr>
          <w:rFonts w:cs="Arial"/>
          <w:color w:val="000000"/>
          <w:sz w:val="24"/>
        </w:rPr>
      </w:pPr>
      <w:r w:rsidRPr="00D83563">
        <w:rPr>
          <w:rFonts w:cs="Arial"/>
          <w:color w:val="000000"/>
          <w:sz w:val="24"/>
        </w:rPr>
        <w:t>The region shall provide copies of each service agreement, MOU and accompanying legal assurances to the CDE</w:t>
      </w:r>
      <w:r w:rsidR="006E2549">
        <w:rPr>
          <w:rFonts w:cs="Arial"/>
          <w:color w:val="000000"/>
          <w:sz w:val="24"/>
        </w:rPr>
        <w:t xml:space="preserve"> as requested</w:t>
      </w:r>
      <w:r w:rsidRPr="00D83563">
        <w:rPr>
          <w:rFonts w:cs="Arial"/>
          <w:color w:val="000000"/>
          <w:sz w:val="24"/>
        </w:rPr>
        <w:t>.</w:t>
      </w:r>
    </w:p>
    <w:p w14:paraId="36D69152" w14:textId="4AF136A4" w:rsidR="00D83563" w:rsidRDefault="00647DD7" w:rsidP="00726990">
      <w:pPr>
        <w:pStyle w:val="BodyTextIndent3"/>
        <w:ind w:hanging="288"/>
        <w:rPr>
          <w:rFonts w:cs="Arial"/>
          <w:color w:val="000000"/>
          <w:sz w:val="24"/>
        </w:rPr>
      </w:pPr>
      <w:r>
        <w:rPr>
          <w:rFonts w:cs="Arial"/>
          <w:color w:val="000000"/>
          <w:sz w:val="24"/>
        </w:rPr>
        <w:t>B</w:t>
      </w:r>
      <w:r w:rsidR="00D83563" w:rsidRPr="00D83563">
        <w:rPr>
          <w:rFonts w:cs="Arial"/>
          <w:color w:val="000000"/>
          <w:sz w:val="24"/>
        </w:rPr>
        <w:t>.</w:t>
      </w:r>
      <w:r w:rsidR="00F52896">
        <w:rPr>
          <w:rFonts w:cs="Arial"/>
          <w:color w:val="000000"/>
          <w:sz w:val="24"/>
        </w:rPr>
        <w:t xml:space="preserve"> </w:t>
      </w:r>
      <w:r w:rsidR="00D83563" w:rsidRPr="00D83563">
        <w:rPr>
          <w:rFonts w:cs="Arial"/>
          <w:color w:val="000000"/>
          <w:sz w:val="24"/>
        </w:rPr>
        <w:t>Signatures</w:t>
      </w:r>
    </w:p>
    <w:p w14:paraId="6091BFFE" w14:textId="1674A210" w:rsidR="00D83563" w:rsidRDefault="00D83563" w:rsidP="005842A2">
      <w:pPr>
        <w:pStyle w:val="BodyTextIndent3"/>
        <w:numPr>
          <w:ilvl w:val="0"/>
          <w:numId w:val="61"/>
        </w:numPr>
        <w:ind w:left="1296" w:hanging="288"/>
        <w:rPr>
          <w:rFonts w:cs="Arial"/>
          <w:sz w:val="24"/>
        </w:rPr>
      </w:pPr>
      <w:r w:rsidRPr="00D83563">
        <w:rPr>
          <w:rFonts w:cs="Arial"/>
          <w:sz w:val="24"/>
        </w:rPr>
        <w:t xml:space="preserve">The district shall obtain signatures from all required parties prior to the services being provided. Reimbursements may not be made for services </w:t>
      </w:r>
      <w:r w:rsidR="004550FA">
        <w:rPr>
          <w:rFonts w:cs="Arial"/>
          <w:sz w:val="24"/>
        </w:rPr>
        <w:t>performed</w:t>
      </w:r>
      <w:r w:rsidR="004550FA" w:rsidRPr="00D83563">
        <w:rPr>
          <w:rFonts w:cs="Arial"/>
          <w:sz w:val="24"/>
        </w:rPr>
        <w:t xml:space="preserve"> </w:t>
      </w:r>
      <w:r w:rsidRPr="00D83563">
        <w:rPr>
          <w:rFonts w:cs="Arial"/>
          <w:sz w:val="24"/>
        </w:rPr>
        <w:t>prior to approval of the service agreement.</w:t>
      </w:r>
    </w:p>
    <w:p w14:paraId="527F5EDF" w14:textId="77777777" w:rsidR="00944BC2" w:rsidRDefault="00D83563" w:rsidP="005842A2">
      <w:pPr>
        <w:pStyle w:val="BodyTextIndent3"/>
        <w:numPr>
          <w:ilvl w:val="0"/>
          <w:numId w:val="61"/>
        </w:numPr>
        <w:ind w:left="1296" w:hanging="288"/>
        <w:rPr>
          <w:rFonts w:cs="Arial"/>
          <w:sz w:val="24"/>
        </w:rPr>
      </w:pPr>
      <w:r w:rsidRPr="00D83563">
        <w:rPr>
          <w:rFonts w:cs="Arial"/>
          <w:sz w:val="24"/>
        </w:rPr>
        <w:lastRenderedPageBreak/>
        <w:t>The district representative (superintendent or designee) shall sign the service agreement for any project regardless of whether the district or operating agency is providing services.</w:t>
      </w:r>
    </w:p>
    <w:p w14:paraId="7B67648E" w14:textId="77777777" w:rsidR="00D83563" w:rsidRPr="0099036B" w:rsidRDefault="00D83563" w:rsidP="005842A2">
      <w:pPr>
        <w:pStyle w:val="BodyTextIndent3"/>
        <w:numPr>
          <w:ilvl w:val="0"/>
          <w:numId w:val="61"/>
        </w:numPr>
        <w:ind w:left="1296" w:hanging="288"/>
        <w:rPr>
          <w:rFonts w:cs="Arial"/>
          <w:sz w:val="24"/>
        </w:rPr>
      </w:pPr>
      <w:r w:rsidRPr="00D83563">
        <w:rPr>
          <w:rFonts w:cs="Arial"/>
          <w:sz w:val="24"/>
        </w:rPr>
        <w:t xml:space="preserve">The district PAC member signature affirms the district’s consultation with and participation </w:t>
      </w:r>
      <w:r w:rsidRPr="0099036B">
        <w:rPr>
          <w:rFonts w:cs="Arial"/>
          <w:sz w:val="24"/>
        </w:rPr>
        <w:t>of the district parent advisory committee in the development of the agreement.</w:t>
      </w:r>
    </w:p>
    <w:p w14:paraId="488989BB" w14:textId="3C081AD6" w:rsidR="00D83563" w:rsidRPr="0099036B" w:rsidRDefault="00D83563" w:rsidP="005842A2">
      <w:pPr>
        <w:pStyle w:val="BodyTextIndent3"/>
        <w:numPr>
          <w:ilvl w:val="0"/>
          <w:numId w:val="61"/>
        </w:numPr>
        <w:ind w:left="1296" w:hanging="288"/>
        <w:rPr>
          <w:rFonts w:cs="Arial"/>
          <w:sz w:val="24"/>
        </w:rPr>
      </w:pPr>
      <w:r w:rsidRPr="0099036B">
        <w:rPr>
          <w:rFonts w:cs="Arial"/>
          <w:sz w:val="24"/>
        </w:rPr>
        <w:t>The region shall maintain a complete copy of the service agreement and any</w:t>
      </w:r>
      <w:r w:rsidR="007C1F67">
        <w:rPr>
          <w:rFonts w:cs="Arial"/>
          <w:sz w:val="24"/>
        </w:rPr>
        <w:t xml:space="preserve"> </w:t>
      </w:r>
      <w:r w:rsidRPr="0099036B">
        <w:rPr>
          <w:rFonts w:cs="Arial"/>
          <w:sz w:val="24"/>
        </w:rPr>
        <w:t>revisions, including the original signature page.</w:t>
      </w:r>
    </w:p>
    <w:p w14:paraId="5F75A55F" w14:textId="2940EAAA" w:rsidR="00D83563" w:rsidRDefault="00D83563" w:rsidP="005842A2">
      <w:pPr>
        <w:pStyle w:val="BodyTextIndent3"/>
        <w:numPr>
          <w:ilvl w:val="0"/>
          <w:numId w:val="67"/>
        </w:numPr>
        <w:rPr>
          <w:rFonts w:cs="Arial"/>
          <w:sz w:val="24"/>
        </w:rPr>
      </w:pPr>
      <w:r w:rsidRPr="0099036B">
        <w:rPr>
          <w:rFonts w:cs="Arial"/>
          <w:sz w:val="24"/>
        </w:rPr>
        <w:t xml:space="preserve">District </w:t>
      </w:r>
      <w:r w:rsidRPr="00D83563">
        <w:rPr>
          <w:rFonts w:cs="Arial"/>
          <w:sz w:val="24"/>
        </w:rPr>
        <w:t>Revision Process</w:t>
      </w:r>
    </w:p>
    <w:p w14:paraId="3F561091" w14:textId="0C867E01" w:rsidR="00D83563" w:rsidRDefault="00D83563" w:rsidP="005842A2">
      <w:pPr>
        <w:pStyle w:val="BodyTextIndent3"/>
        <w:numPr>
          <w:ilvl w:val="1"/>
          <w:numId w:val="13"/>
        </w:numPr>
        <w:tabs>
          <w:tab w:val="left" w:pos="1710"/>
        </w:tabs>
        <w:ind w:left="1296" w:hanging="288"/>
        <w:rPr>
          <w:rFonts w:cs="Arial"/>
          <w:color w:val="000000"/>
          <w:sz w:val="24"/>
        </w:rPr>
      </w:pPr>
      <w:r w:rsidRPr="00D83563">
        <w:rPr>
          <w:rFonts w:cs="Arial"/>
          <w:color w:val="000000"/>
          <w:sz w:val="24"/>
        </w:rPr>
        <w:t xml:space="preserve">The region shall process all revisions </w:t>
      </w:r>
      <w:r w:rsidR="004C2375" w:rsidRPr="00D83563">
        <w:rPr>
          <w:rFonts w:cs="Arial"/>
          <w:color w:val="000000"/>
          <w:sz w:val="24"/>
        </w:rPr>
        <w:t>in</w:t>
      </w:r>
      <w:r w:rsidRPr="00D83563">
        <w:rPr>
          <w:rFonts w:cs="Arial"/>
          <w:color w:val="000000"/>
          <w:sz w:val="24"/>
        </w:rPr>
        <w:t xml:space="preserve"> accordance with the policy and process set forth in Section 4.3 of the Handbook.</w:t>
      </w:r>
    </w:p>
    <w:p w14:paraId="63C66975" w14:textId="1E9C9427" w:rsidR="00944BC2" w:rsidRDefault="00D83563" w:rsidP="005842A2">
      <w:pPr>
        <w:pStyle w:val="BodyTextIndent3"/>
        <w:numPr>
          <w:ilvl w:val="0"/>
          <w:numId w:val="67"/>
        </w:numPr>
        <w:tabs>
          <w:tab w:val="left" w:pos="1260"/>
        </w:tabs>
        <w:rPr>
          <w:rFonts w:cs="Arial"/>
          <w:color w:val="000000"/>
          <w:sz w:val="24"/>
        </w:rPr>
      </w:pPr>
      <w:r w:rsidRPr="00D83563">
        <w:rPr>
          <w:rFonts w:cs="Arial"/>
          <w:color w:val="000000"/>
          <w:sz w:val="24"/>
        </w:rPr>
        <w:t>Under no circumstances shall a district budget be revised after the end of the grant period.</w:t>
      </w:r>
    </w:p>
    <w:p w14:paraId="4DC8A517" w14:textId="77EC60F3" w:rsidR="00D83563" w:rsidRDefault="00D83563" w:rsidP="009C532E">
      <w:pPr>
        <w:pStyle w:val="Heading3"/>
      </w:pPr>
      <w:bookmarkStart w:id="47" w:name="_Toc414262499"/>
      <w:bookmarkStart w:id="48" w:name="_Toc207703798"/>
      <w:r w:rsidRPr="00D83563">
        <w:t>4.3</w:t>
      </w:r>
      <w:r w:rsidR="00F52896">
        <w:t xml:space="preserve"> </w:t>
      </w:r>
      <w:r w:rsidRPr="00D83563">
        <w:t>Operating Agency Budget Revisions</w:t>
      </w:r>
      <w:bookmarkEnd w:id="46"/>
      <w:bookmarkEnd w:id="47"/>
      <w:bookmarkEnd w:id="48"/>
    </w:p>
    <w:p w14:paraId="2572394D" w14:textId="425040BD" w:rsidR="00D83563" w:rsidRDefault="00D83563" w:rsidP="00C740A2">
      <w:pPr>
        <w:pStyle w:val="Heading4"/>
      </w:pPr>
      <w:r w:rsidRPr="00D83563">
        <w:t>Key Term</w:t>
      </w:r>
    </w:p>
    <w:p w14:paraId="4FB500D1" w14:textId="55B01A68" w:rsidR="00944BC2" w:rsidRPr="00F46F45" w:rsidRDefault="00935E1F" w:rsidP="005842A2">
      <w:pPr>
        <w:pStyle w:val="BodyTextIndent"/>
        <w:numPr>
          <w:ilvl w:val="0"/>
          <w:numId w:val="53"/>
        </w:numPr>
        <w:ind w:left="864" w:hanging="288"/>
        <w:rPr>
          <w:rFonts w:cs="Arial"/>
          <w:color w:val="000000"/>
          <w:sz w:val="24"/>
        </w:rPr>
      </w:pPr>
      <w:r w:rsidRPr="008C24E7">
        <w:rPr>
          <w:rFonts w:cs="Arial"/>
          <w:color w:val="000000"/>
          <w:sz w:val="24"/>
        </w:rPr>
        <w:t xml:space="preserve">Budget </w:t>
      </w:r>
      <w:r w:rsidR="00D83563" w:rsidRPr="00F46F45">
        <w:rPr>
          <w:rFonts w:cs="Arial"/>
          <w:color w:val="000000"/>
          <w:sz w:val="24"/>
        </w:rPr>
        <w:t xml:space="preserve">Revisions. Revisions adjust the budget line items or specific items of cost </w:t>
      </w:r>
    </w:p>
    <w:p w14:paraId="6DED3308" w14:textId="5FF1ED15" w:rsidR="00D83563" w:rsidRDefault="00D83563" w:rsidP="00726990">
      <w:pPr>
        <w:pStyle w:val="Heading4"/>
      </w:pPr>
      <w:r w:rsidRPr="00D83563">
        <w:t>General guidance regarding budget revisions</w:t>
      </w:r>
    </w:p>
    <w:p w14:paraId="3FCBA355" w14:textId="77777777" w:rsidR="00D83563" w:rsidRDefault="00D83563" w:rsidP="005842A2">
      <w:pPr>
        <w:pStyle w:val="BodyTextIndent"/>
        <w:numPr>
          <w:ilvl w:val="0"/>
          <w:numId w:val="57"/>
        </w:numPr>
        <w:ind w:left="864" w:hanging="288"/>
        <w:rPr>
          <w:rFonts w:cs="Arial"/>
          <w:color w:val="000000"/>
          <w:sz w:val="24"/>
        </w:rPr>
      </w:pPr>
      <w:r w:rsidRPr="00D83563">
        <w:rPr>
          <w:rFonts w:cs="Arial"/>
          <w:color w:val="000000"/>
          <w:sz w:val="24"/>
        </w:rPr>
        <w:t>Reimbursements. Expenditures made prior to approval of a budget revision that do not adhere to the revision policy set forth below are not permitted and may not be reimbursed.</w:t>
      </w:r>
      <w:r w:rsidRPr="00D83563">
        <w:rPr>
          <w:rFonts w:cs="Arial"/>
          <w:color w:val="000000"/>
          <w:sz w:val="24"/>
          <w:szCs w:val="24"/>
        </w:rPr>
        <w:t xml:space="preserve"> </w:t>
      </w:r>
      <w:r w:rsidRPr="00D83563">
        <w:rPr>
          <w:rFonts w:eastAsia="Times" w:cs="Arial"/>
          <w:kern w:val="24"/>
          <w:sz w:val="24"/>
          <w:szCs w:val="24"/>
        </w:rPr>
        <w:t>Operating agencies—county offices of education or direct-funded school districts—may be required to reimburse the CDE for expenditures not approved or in excess of the amount in the approved budget.</w:t>
      </w:r>
    </w:p>
    <w:p w14:paraId="0245BD3D" w14:textId="17075EFD" w:rsidR="00944BC2" w:rsidRDefault="00D83563" w:rsidP="005842A2">
      <w:pPr>
        <w:pStyle w:val="BodyTextIndent"/>
        <w:numPr>
          <w:ilvl w:val="0"/>
          <w:numId w:val="57"/>
        </w:numPr>
        <w:ind w:left="864" w:hanging="288"/>
        <w:rPr>
          <w:rFonts w:cs="Arial"/>
          <w:color w:val="000000"/>
          <w:sz w:val="24"/>
        </w:rPr>
      </w:pPr>
      <w:r w:rsidRPr="00D83563">
        <w:rPr>
          <w:rFonts w:cs="Arial"/>
          <w:color w:val="000000"/>
          <w:sz w:val="24"/>
        </w:rPr>
        <w:t xml:space="preserve">Deadlines for </w:t>
      </w:r>
      <w:r w:rsidR="007F3B52">
        <w:rPr>
          <w:rFonts w:cs="Arial"/>
          <w:color w:val="000000"/>
          <w:sz w:val="24"/>
        </w:rPr>
        <w:t>revisions</w:t>
      </w:r>
      <w:r w:rsidRPr="00D83563">
        <w:rPr>
          <w:rFonts w:cs="Arial"/>
          <w:color w:val="000000"/>
          <w:sz w:val="24"/>
        </w:rPr>
        <w:t>. Revision</w:t>
      </w:r>
      <w:r w:rsidR="007F3B52">
        <w:rPr>
          <w:rFonts w:cs="Arial"/>
          <w:color w:val="000000"/>
          <w:sz w:val="24"/>
        </w:rPr>
        <w:t xml:space="preserve">s </w:t>
      </w:r>
      <w:r w:rsidRPr="00D83563">
        <w:rPr>
          <w:rFonts w:cs="Arial"/>
          <w:color w:val="000000"/>
          <w:sz w:val="24"/>
        </w:rPr>
        <w:t>may be submitted no more than once per quarter.</w:t>
      </w:r>
    </w:p>
    <w:p w14:paraId="487979F8" w14:textId="5C789DA0" w:rsidR="00D83563" w:rsidRDefault="00D83563" w:rsidP="005842A2">
      <w:pPr>
        <w:pStyle w:val="BodyTextIndent"/>
        <w:numPr>
          <w:ilvl w:val="0"/>
          <w:numId w:val="57"/>
        </w:numPr>
        <w:ind w:left="864" w:hanging="288"/>
        <w:rPr>
          <w:rFonts w:cs="Arial"/>
          <w:color w:val="000000"/>
          <w:sz w:val="24"/>
        </w:rPr>
      </w:pPr>
      <w:r w:rsidRPr="00D83563">
        <w:rPr>
          <w:rFonts w:cs="Arial"/>
          <w:color w:val="000000"/>
          <w:sz w:val="24"/>
        </w:rPr>
        <w:t xml:space="preserve">Revision requests are intended to be cumulative for the fiscal quarter in which they occur. The deadlines </w:t>
      </w:r>
      <w:r w:rsidR="00C46D80">
        <w:rPr>
          <w:rFonts w:cs="Arial"/>
          <w:color w:val="000000"/>
          <w:sz w:val="24"/>
        </w:rPr>
        <w:t xml:space="preserve">(unless </w:t>
      </w:r>
      <w:r w:rsidR="00AF09E2">
        <w:rPr>
          <w:rFonts w:cs="Arial"/>
          <w:color w:val="000000"/>
          <w:sz w:val="24"/>
        </w:rPr>
        <w:t xml:space="preserve">notified otherwise by CDE) </w:t>
      </w:r>
      <w:r w:rsidRPr="00D83563">
        <w:rPr>
          <w:rFonts w:cs="Arial"/>
          <w:color w:val="000000"/>
          <w:sz w:val="24"/>
        </w:rPr>
        <w:t>are as follows:</w:t>
      </w:r>
    </w:p>
    <w:p w14:paraId="77E9FD44" w14:textId="77777777" w:rsidR="00D83563" w:rsidRPr="00D83563" w:rsidRDefault="00D83563" w:rsidP="005842A2">
      <w:pPr>
        <w:pStyle w:val="BodyTextIndent3"/>
        <w:numPr>
          <w:ilvl w:val="0"/>
          <w:numId w:val="63"/>
        </w:numPr>
        <w:tabs>
          <w:tab w:val="left" w:pos="2250"/>
          <w:tab w:val="left" w:pos="2340"/>
        </w:tabs>
        <w:spacing w:after="0"/>
        <w:ind w:left="1584" w:hanging="288"/>
        <w:rPr>
          <w:rFonts w:cs="Arial"/>
          <w:sz w:val="24"/>
          <w:szCs w:val="24"/>
        </w:rPr>
      </w:pPr>
      <w:r w:rsidRPr="00D83563">
        <w:rPr>
          <w:rFonts w:cs="Arial"/>
          <w:sz w:val="24"/>
          <w:szCs w:val="24"/>
        </w:rPr>
        <w:t>September 15</w:t>
      </w:r>
    </w:p>
    <w:p w14:paraId="66A60141" w14:textId="77777777" w:rsidR="00D83563" w:rsidRPr="00D83563" w:rsidRDefault="00D83563" w:rsidP="005842A2">
      <w:pPr>
        <w:pStyle w:val="BodyTextIndent3"/>
        <w:numPr>
          <w:ilvl w:val="0"/>
          <w:numId w:val="63"/>
        </w:numPr>
        <w:tabs>
          <w:tab w:val="left" w:pos="2250"/>
          <w:tab w:val="left" w:pos="2340"/>
        </w:tabs>
        <w:spacing w:after="0"/>
        <w:ind w:left="1584" w:hanging="288"/>
        <w:rPr>
          <w:rFonts w:cs="Arial"/>
          <w:sz w:val="24"/>
          <w:szCs w:val="24"/>
        </w:rPr>
      </w:pPr>
      <w:r w:rsidRPr="00D83563">
        <w:rPr>
          <w:rFonts w:cs="Arial"/>
          <w:sz w:val="24"/>
          <w:szCs w:val="24"/>
        </w:rPr>
        <w:t>December 15</w:t>
      </w:r>
    </w:p>
    <w:p w14:paraId="098AF5A8" w14:textId="77777777" w:rsidR="00D83563" w:rsidRPr="00D83563" w:rsidRDefault="00D83563" w:rsidP="005842A2">
      <w:pPr>
        <w:pStyle w:val="BodyTextIndent3"/>
        <w:numPr>
          <w:ilvl w:val="0"/>
          <w:numId w:val="63"/>
        </w:numPr>
        <w:tabs>
          <w:tab w:val="left" w:pos="2250"/>
        </w:tabs>
        <w:spacing w:after="0"/>
        <w:ind w:left="1584" w:hanging="288"/>
        <w:rPr>
          <w:rFonts w:cs="Arial"/>
          <w:sz w:val="24"/>
          <w:szCs w:val="24"/>
        </w:rPr>
      </w:pPr>
      <w:r w:rsidRPr="00D83563">
        <w:rPr>
          <w:rFonts w:cs="Arial"/>
          <w:sz w:val="24"/>
          <w:szCs w:val="24"/>
        </w:rPr>
        <w:t>March 15</w:t>
      </w:r>
    </w:p>
    <w:p w14:paraId="32FED5BF" w14:textId="77777777" w:rsidR="00D83563" w:rsidRPr="00497F15" w:rsidRDefault="00D83563" w:rsidP="005842A2">
      <w:pPr>
        <w:pStyle w:val="BodyTextIndent3"/>
        <w:numPr>
          <w:ilvl w:val="0"/>
          <w:numId w:val="63"/>
        </w:numPr>
        <w:ind w:left="1584" w:hanging="288"/>
        <w:rPr>
          <w:rFonts w:cs="Arial"/>
          <w:sz w:val="24"/>
          <w:szCs w:val="24"/>
        </w:rPr>
      </w:pPr>
      <w:r w:rsidRPr="00D83563">
        <w:rPr>
          <w:rFonts w:cs="Arial"/>
          <w:sz w:val="24"/>
          <w:szCs w:val="24"/>
        </w:rPr>
        <w:t>M</w:t>
      </w:r>
      <w:r w:rsidRPr="00497F15">
        <w:rPr>
          <w:rFonts w:cs="Arial"/>
          <w:sz w:val="24"/>
          <w:szCs w:val="24"/>
        </w:rPr>
        <w:t>ay 31</w:t>
      </w:r>
    </w:p>
    <w:p w14:paraId="353FA51C" w14:textId="0AFC359E" w:rsidR="00944BC2" w:rsidRPr="00497F15" w:rsidRDefault="00D83563" w:rsidP="005842A2">
      <w:pPr>
        <w:pStyle w:val="BodyTextIndent3"/>
        <w:numPr>
          <w:ilvl w:val="0"/>
          <w:numId w:val="57"/>
        </w:numPr>
        <w:ind w:left="864" w:hanging="288"/>
        <w:rPr>
          <w:rFonts w:cs="Arial"/>
          <w:sz w:val="24"/>
        </w:rPr>
      </w:pPr>
      <w:r w:rsidRPr="00497F15">
        <w:rPr>
          <w:rFonts w:cs="Arial"/>
          <w:sz w:val="24"/>
        </w:rPr>
        <w:t>Under no circumstanc</w:t>
      </w:r>
      <w:r w:rsidRPr="00D83563">
        <w:rPr>
          <w:rFonts w:cs="Arial"/>
          <w:sz w:val="24"/>
        </w:rPr>
        <w:t xml:space="preserve">es shall a district budget be revised after the </w:t>
      </w:r>
      <w:r w:rsidRPr="00497F15">
        <w:rPr>
          <w:rFonts w:cs="Arial"/>
          <w:sz w:val="24"/>
        </w:rPr>
        <w:t>grant period.</w:t>
      </w:r>
    </w:p>
    <w:p w14:paraId="65AE034E" w14:textId="781DA8D3" w:rsidR="00D83563" w:rsidRDefault="000D7D26" w:rsidP="009C532E">
      <w:pPr>
        <w:pStyle w:val="Heading3"/>
      </w:pPr>
      <w:bookmarkStart w:id="49" w:name="_Toc207703799"/>
      <w:r>
        <w:t xml:space="preserve">4.4 </w:t>
      </w:r>
      <w:r w:rsidR="00D83563" w:rsidRPr="00D83563">
        <w:t>Revision Policy</w:t>
      </w:r>
      <w:bookmarkEnd w:id="49"/>
    </w:p>
    <w:p w14:paraId="5FC1A2E6" w14:textId="3BA96199" w:rsidR="00944BC2" w:rsidRDefault="00D83563" w:rsidP="00726990">
      <w:pPr>
        <w:spacing w:line="300" w:lineRule="atLeast"/>
        <w:ind w:left="144"/>
        <w:rPr>
          <w:rFonts w:eastAsia="Times" w:cs="Arial"/>
          <w:b/>
          <w:kern w:val="24"/>
          <w:szCs w:val="24"/>
        </w:rPr>
      </w:pPr>
      <w:r w:rsidRPr="00D83563">
        <w:rPr>
          <w:rFonts w:eastAsia="Times" w:cs="Arial"/>
          <w:b/>
          <w:kern w:val="24"/>
          <w:szCs w:val="24"/>
        </w:rPr>
        <w:t xml:space="preserve">A </w:t>
      </w:r>
      <w:r w:rsidR="00E22200">
        <w:rPr>
          <w:rFonts w:eastAsia="Times" w:cs="Arial"/>
          <w:b/>
          <w:kern w:val="24"/>
          <w:szCs w:val="24"/>
        </w:rPr>
        <w:t xml:space="preserve">budget </w:t>
      </w:r>
      <w:r w:rsidRPr="00D83563">
        <w:rPr>
          <w:rFonts w:eastAsia="Times" w:cs="Arial"/>
          <w:b/>
          <w:kern w:val="24"/>
          <w:szCs w:val="24"/>
        </w:rPr>
        <w:t>revision is necessary for a proposed increase or decrease of ten percent or more to any budget series (e.g. 1000’s in Regular School Year Service) and requires CDE approval prior to the expenditure of those funds.</w:t>
      </w:r>
    </w:p>
    <w:p w14:paraId="22932A0C" w14:textId="6C120F0F" w:rsidR="00D83563" w:rsidRDefault="00D83563" w:rsidP="00726990">
      <w:pPr>
        <w:spacing w:line="300" w:lineRule="atLeast"/>
        <w:ind w:left="144"/>
        <w:rPr>
          <w:rFonts w:eastAsia="Times" w:cs="Arial"/>
          <w:kern w:val="24"/>
          <w:szCs w:val="24"/>
        </w:rPr>
      </w:pPr>
      <w:r w:rsidRPr="00D83563">
        <w:rPr>
          <w:rFonts w:eastAsia="Times" w:cs="Arial"/>
          <w:kern w:val="24"/>
          <w:szCs w:val="24"/>
        </w:rPr>
        <w:lastRenderedPageBreak/>
        <w:t xml:space="preserve">Note that the revised policy applies to </w:t>
      </w:r>
      <w:r w:rsidRPr="008C24E7">
        <w:rPr>
          <w:rFonts w:eastAsia="Times" w:cs="Arial"/>
          <w:iCs/>
          <w:kern w:val="24"/>
          <w:szCs w:val="24"/>
        </w:rPr>
        <w:t>decreases</w:t>
      </w:r>
      <w:r w:rsidRPr="00D83563">
        <w:rPr>
          <w:rFonts w:eastAsia="Times" w:cs="Arial"/>
          <w:i/>
          <w:kern w:val="24"/>
          <w:szCs w:val="24"/>
        </w:rPr>
        <w:t xml:space="preserve"> </w:t>
      </w:r>
      <w:r w:rsidRPr="00D83563">
        <w:rPr>
          <w:rFonts w:eastAsia="Times" w:cs="Arial"/>
          <w:kern w:val="24"/>
          <w:szCs w:val="24"/>
        </w:rPr>
        <w:t>as well as increases. The monitoring of declines in expenditures is consistent with CDE policies for other programs and assists the CDE in monitoring the implementation of regional plans.</w:t>
      </w:r>
    </w:p>
    <w:p w14:paraId="02C0D5B2" w14:textId="6E9D1344" w:rsidR="00D83563" w:rsidRDefault="00D83563" w:rsidP="6DD09F95">
      <w:pPr>
        <w:spacing w:line="300" w:lineRule="atLeast"/>
        <w:ind w:left="144"/>
        <w:rPr>
          <w:rFonts w:eastAsia="Times" w:cs="Arial"/>
          <w:kern w:val="24"/>
        </w:rPr>
      </w:pPr>
      <w:r w:rsidRPr="6DD09F95">
        <w:rPr>
          <w:rFonts w:eastAsia="Times" w:cs="Arial"/>
          <w:kern w:val="24"/>
        </w:rPr>
        <w:t>The requirement for CDE approval of</w:t>
      </w:r>
      <w:r w:rsidR="00111EB7">
        <w:rPr>
          <w:rFonts w:eastAsia="Times" w:cs="Arial"/>
          <w:kern w:val="24"/>
        </w:rPr>
        <w:t xml:space="preserve"> a</w:t>
      </w:r>
      <w:r w:rsidRPr="6DD09F95">
        <w:rPr>
          <w:rFonts w:eastAsia="Times" w:cs="Arial"/>
          <w:kern w:val="24"/>
        </w:rPr>
        <w:t xml:space="preserve"> </w:t>
      </w:r>
      <w:r w:rsidR="00497F15" w:rsidRPr="6DD09F95">
        <w:rPr>
          <w:rFonts w:eastAsia="Times" w:cs="Arial"/>
          <w:kern w:val="24"/>
        </w:rPr>
        <w:t>budget</w:t>
      </w:r>
      <w:r w:rsidRPr="6DD09F95">
        <w:rPr>
          <w:rFonts w:eastAsia="Times" w:cs="Arial"/>
          <w:kern w:val="24"/>
        </w:rPr>
        <w:t xml:space="preserve"> revision as described above is prompted by a proposed change in the subtotal for the budget series—not in an individual line item. This requirement applies to program component budget documents, which include the following components:</w:t>
      </w:r>
    </w:p>
    <w:p w14:paraId="3AD2BE25" w14:textId="7ECBCCB9" w:rsidR="00944BC2" w:rsidRDefault="00D83563" w:rsidP="005842A2">
      <w:pPr>
        <w:numPr>
          <w:ilvl w:val="0"/>
          <w:numId w:val="43"/>
        </w:numPr>
        <w:spacing w:after="0" w:line="240" w:lineRule="atLeast"/>
        <w:ind w:left="864" w:hanging="288"/>
        <w:rPr>
          <w:rFonts w:eastAsia="Times" w:cs="Arial"/>
          <w:kern w:val="24"/>
        </w:rPr>
      </w:pPr>
      <w:r w:rsidRPr="00D83563">
        <w:rPr>
          <w:rFonts w:eastAsia="Times" w:cs="Arial"/>
          <w:kern w:val="24"/>
        </w:rPr>
        <w:t>Regular School Year</w:t>
      </w:r>
    </w:p>
    <w:p w14:paraId="30C15184" w14:textId="3964B1A9" w:rsidR="00944BC2" w:rsidRDefault="00D83563" w:rsidP="005842A2">
      <w:pPr>
        <w:numPr>
          <w:ilvl w:val="0"/>
          <w:numId w:val="43"/>
        </w:numPr>
        <w:spacing w:after="0" w:line="240" w:lineRule="atLeast"/>
        <w:ind w:left="864" w:hanging="288"/>
        <w:rPr>
          <w:rFonts w:eastAsia="Times" w:cs="Arial"/>
          <w:kern w:val="24"/>
        </w:rPr>
      </w:pPr>
      <w:r w:rsidRPr="00D83563">
        <w:rPr>
          <w:rFonts w:eastAsia="Times" w:cs="Arial"/>
          <w:kern w:val="24"/>
        </w:rPr>
        <w:t>Summer</w:t>
      </w:r>
      <w:r w:rsidR="005F0BFD">
        <w:rPr>
          <w:rFonts w:eastAsia="Times" w:cs="Arial"/>
          <w:kern w:val="24"/>
        </w:rPr>
        <w:t xml:space="preserve">/Intersession </w:t>
      </w:r>
    </w:p>
    <w:p w14:paraId="3DE8CEC3" w14:textId="630BB3D0" w:rsidR="00944BC2" w:rsidRDefault="00D83563" w:rsidP="005842A2">
      <w:pPr>
        <w:numPr>
          <w:ilvl w:val="0"/>
          <w:numId w:val="43"/>
        </w:numPr>
        <w:spacing w:after="0" w:line="240" w:lineRule="atLeast"/>
        <w:ind w:left="864" w:hanging="288"/>
        <w:rPr>
          <w:rFonts w:eastAsia="Times" w:cs="Arial"/>
          <w:kern w:val="24"/>
        </w:rPr>
      </w:pPr>
      <w:r w:rsidRPr="00D83563">
        <w:rPr>
          <w:rFonts w:eastAsia="Times" w:cs="Arial"/>
          <w:kern w:val="24"/>
        </w:rPr>
        <w:t xml:space="preserve">School Readiness </w:t>
      </w:r>
      <w:r w:rsidR="007435A5">
        <w:rPr>
          <w:rFonts w:eastAsia="Times" w:cs="Arial"/>
          <w:kern w:val="24"/>
        </w:rPr>
        <w:t>Regular School Year</w:t>
      </w:r>
    </w:p>
    <w:p w14:paraId="66AD64DD" w14:textId="398300EF" w:rsidR="00944BC2" w:rsidRDefault="00D83563" w:rsidP="005842A2">
      <w:pPr>
        <w:numPr>
          <w:ilvl w:val="0"/>
          <w:numId w:val="43"/>
        </w:numPr>
        <w:spacing w:after="0" w:line="240" w:lineRule="atLeast"/>
        <w:ind w:left="864" w:hanging="288"/>
        <w:rPr>
          <w:rFonts w:eastAsia="Times" w:cs="Arial"/>
          <w:kern w:val="24"/>
        </w:rPr>
      </w:pPr>
      <w:r w:rsidRPr="00D83563">
        <w:rPr>
          <w:rFonts w:eastAsia="Times" w:cs="Arial"/>
          <w:kern w:val="24"/>
        </w:rPr>
        <w:t>School Readiness Summer</w:t>
      </w:r>
      <w:r w:rsidR="007435A5">
        <w:rPr>
          <w:rFonts w:eastAsia="Times" w:cs="Arial"/>
          <w:kern w:val="24"/>
        </w:rPr>
        <w:t>/Intersession</w:t>
      </w:r>
    </w:p>
    <w:p w14:paraId="4945CFC7" w14:textId="7D7ED59F" w:rsidR="007435A5" w:rsidRDefault="007435A5" w:rsidP="005842A2">
      <w:pPr>
        <w:numPr>
          <w:ilvl w:val="0"/>
          <w:numId w:val="43"/>
        </w:numPr>
        <w:spacing w:after="0" w:line="240" w:lineRule="atLeast"/>
        <w:ind w:left="864" w:hanging="288"/>
        <w:rPr>
          <w:rFonts w:eastAsia="Times" w:cs="Arial"/>
          <w:kern w:val="24"/>
        </w:rPr>
      </w:pPr>
      <w:r>
        <w:rPr>
          <w:rFonts w:eastAsia="Times" w:cs="Arial"/>
          <w:kern w:val="24"/>
        </w:rPr>
        <w:t>Other Education</w:t>
      </w:r>
      <w:r w:rsidR="004B5FB9">
        <w:rPr>
          <w:rFonts w:eastAsia="Times" w:cs="Arial"/>
          <w:kern w:val="24"/>
        </w:rPr>
        <w:t>, Health, Nutrition, and Social Services</w:t>
      </w:r>
    </w:p>
    <w:p w14:paraId="0C6F2393" w14:textId="463CCA3F" w:rsidR="00944BC2" w:rsidRDefault="00D83563" w:rsidP="005842A2">
      <w:pPr>
        <w:numPr>
          <w:ilvl w:val="0"/>
          <w:numId w:val="43"/>
        </w:numPr>
        <w:spacing w:after="0" w:line="240" w:lineRule="atLeast"/>
        <w:ind w:left="864" w:hanging="288"/>
        <w:rPr>
          <w:rFonts w:eastAsia="Times" w:cs="Arial"/>
          <w:kern w:val="24"/>
        </w:rPr>
      </w:pPr>
      <w:r w:rsidRPr="00D83563">
        <w:rPr>
          <w:rFonts w:eastAsia="Times" w:cs="Arial"/>
          <w:kern w:val="24"/>
        </w:rPr>
        <w:t>I</w:t>
      </w:r>
      <w:r w:rsidR="00497F15">
        <w:rPr>
          <w:rFonts w:eastAsia="Times" w:cs="Arial"/>
          <w:kern w:val="24"/>
        </w:rPr>
        <w:t>&amp;R</w:t>
      </w:r>
      <w:r w:rsidRPr="00D83563">
        <w:rPr>
          <w:rFonts w:eastAsia="Times" w:cs="Arial"/>
          <w:kern w:val="24"/>
        </w:rPr>
        <w:t xml:space="preserve"> </w:t>
      </w:r>
    </w:p>
    <w:p w14:paraId="0B2B5A4B" w14:textId="58CCB5D0" w:rsidR="00944BC2" w:rsidRDefault="00D83563" w:rsidP="005842A2">
      <w:pPr>
        <w:numPr>
          <w:ilvl w:val="0"/>
          <w:numId w:val="43"/>
        </w:numPr>
        <w:spacing w:after="0" w:line="240" w:lineRule="atLeast"/>
        <w:ind w:left="864" w:hanging="288"/>
        <w:rPr>
          <w:rFonts w:eastAsia="Times" w:cs="Arial"/>
          <w:kern w:val="24"/>
        </w:rPr>
      </w:pPr>
      <w:r w:rsidRPr="00D83563">
        <w:rPr>
          <w:rFonts w:eastAsia="Times" w:cs="Arial"/>
          <w:kern w:val="24"/>
        </w:rPr>
        <w:t>P</w:t>
      </w:r>
      <w:r w:rsidR="00497F15">
        <w:rPr>
          <w:rFonts w:eastAsia="Times" w:cs="Arial"/>
          <w:kern w:val="24"/>
        </w:rPr>
        <w:t>AC</w:t>
      </w:r>
    </w:p>
    <w:p w14:paraId="6E2CD6E9" w14:textId="5CC6F01E" w:rsidR="00D83563" w:rsidRPr="00D83563" w:rsidRDefault="00D83563" w:rsidP="005842A2">
      <w:pPr>
        <w:numPr>
          <w:ilvl w:val="0"/>
          <w:numId w:val="43"/>
        </w:numPr>
        <w:spacing w:line="240" w:lineRule="atLeast"/>
        <w:ind w:left="864" w:hanging="288"/>
        <w:rPr>
          <w:rFonts w:eastAsia="Times" w:cs="Arial"/>
          <w:kern w:val="24"/>
        </w:rPr>
      </w:pPr>
      <w:r w:rsidRPr="00D83563">
        <w:rPr>
          <w:rFonts w:eastAsia="Times" w:cs="Arial"/>
          <w:kern w:val="24"/>
        </w:rPr>
        <w:t>District Summar</w:t>
      </w:r>
      <w:r w:rsidR="004F6A17">
        <w:rPr>
          <w:rFonts w:eastAsia="Times" w:cs="Arial"/>
          <w:kern w:val="24"/>
        </w:rPr>
        <w:t>ies</w:t>
      </w:r>
      <w:r w:rsidRPr="00D83563">
        <w:rPr>
          <w:rFonts w:eastAsia="Times" w:cs="Arial"/>
          <w:kern w:val="24"/>
        </w:rPr>
        <w:t>, if applicable</w:t>
      </w:r>
    </w:p>
    <w:p w14:paraId="59FCC730" w14:textId="77777777" w:rsidR="00D83563" w:rsidRDefault="00D83563" w:rsidP="00726990">
      <w:pPr>
        <w:pStyle w:val="Heading4"/>
        <w:rPr>
          <w:rFonts w:eastAsia="Times"/>
        </w:rPr>
      </w:pPr>
      <w:r w:rsidRPr="00D83563">
        <w:rPr>
          <w:rFonts w:eastAsia="Times"/>
        </w:rPr>
        <w:t>Revision Procedure</w:t>
      </w:r>
    </w:p>
    <w:p w14:paraId="51725274" w14:textId="4C558C35" w:rsidR="00944BC2" w:rsidRDefault="00D83563" w:rsidP="00726990">
      <w:pPr>
        <w:spacing w:line="300" w:lineRule="atLeast"/>
        <w:ind w:left="144"/>
        <w:rPr>
          <w:rFonts w:eastAsia="Times" w:cs="Arial"/>
          <w:kern w:val="24"/>
          <w:szCs w:val="24"/>
        </w:rPr>
      </w:pPr>
      <w:r w:rsidRPr="00D83563">
        <w:rPr>
          <w:rFonts w:eastAsia="Times" w:cs="Arial"/>
          <w:kern w:val="24"/>
          <w:szCs w:val="24"/>
        </w:rPr>
        <w:t xml:space="preserve">Regional and </w:t>
      </w:r>
      <w:r w:rsidR="00497F15">
        <w:rPr>
          <w:rFonts w:eastAsia="Times" w:cs="Arial"/>
          <w:kern w:val="24"/>
          <w:szCs w:val="24"/>
        </w:rPr>
        <w:t>DFD</w:t>
      </w:r>
      <w:r w:rsidRPr="00D83563">
        <w:rPr>
          <w:rFonts w:eastAsia="Times" w:cs="Arial"/>
          <w:kern w:val="24"/>
          <w:szCs w:val="24"/>
        </w:rPr>
        <w:t xml:space="preserve"> subgrantee budget revisions require </w:t>
      </w:r>
      <w:r w:rsidR="004E4A95" w:rsidRPr="00D83563">
        <w:rPr>
          <w:rFonts w:eastAsia="Times" w:cs="Arial"/>
          <w:kern w:val="24"/>
          <w:szCs w:val="24"/>
        </w:rPr>
        <w:t>CDE</w:t>
      </w:r>
      <w:r w:rsidRPr="00D83563">
        <w:rPr>
          <w:rFonts w:eastAsia="Times" w:cs="Arial"/>
          <w:kern w:val="24"/>
          <w:szCs w:val="24"/>
        </w:rPr>
        <w:t xml:space="preserve"> approval </w:t>
      </w:r>
      <w:r w:rsidRPr="00D83563">
        <w:rPr>
          <w:rFonts w:eastAsia="Times" w:cs="Arial"/>
          <w:i/>
          <w:kern w:val="24"/>
          <w:szCs w:val="24"/>
        </w:rPr>
        <w:t xml:space="preserve">prior to </w:t>
      </w:r>
      <w:r w:rsidRPr="00D83563">
        <w:rPr>
          <w:rFonts w:eastAsia="Times" w:cs="Arial"/>
          <w:kern w:val="24"/>
          <w:szCs w:val="24"/>
        </w:rPr>
        <w:t>the expenditure of funds.</w:t>
      </w:r>
    </w:p>
    <w:p w14:paraId="29D21A10" w14:textId="7ED38C0B" w:rsidR="00944BC2" w:rsidRDefault="00D83563" w:rsidP="6DD09F95">
      <w:pPr>
        <w:spacing w:line="300" w:lineRule="atLeast"/>
        <w:ind w:left="144"/>
        <w:rPr>
          <w:rFonts w:eastAsia="Times" w:cs="Arial"/>
          <w:kern w:val="24"/>
        </w:rPr>
      </w:pPr>
      <w:r w:rsidRPr="6DD09F95">
        <w:rPr>
          <w:rFonts w:eastAsia="Times" w:cs="Arial"/>
          <w:kern w:val="24"/>
        </w:rPr>
        <w:t xml:space="preserve">The process for regions to request a revision to their budget will consist of submitting </w:t>
      </w:r>
      <w:r w:rsidR="00463A11">
        <w:rPr>
          <w:rFonts w:eastAsia="Times" w:cs="Arial"/>
          <w:kern w:val="24"/>
        </w:rPr>
        <w:t>a budget revision</w:t>
      </w:r>
      <w:r w:rsidRPr="6DD09F95">
        <w:rPr>
          <w:rFonts w:eastAsia="Times" w:cs="Arial"/>
          <w:kern w:val="24"/>
        </w:rPr>
        <w:t xml:space="preserve"> to the assigned CDE consultant using the MEP Budget Revision</w:t>
      </w:r>
      <w:r w:rsidRPr="6DD09F95">
        <w:rPr>
          <w:rFonts w:eastAsia="Times" w:cs="Arial"/>
          <w:i/>
          <w:iCs/>
          <w:kern w:val="24"/>
        </w:rPr>
        <w:t xml:space="preserve"> </w:t>
      </w:r>
      <w:r w:rsidR="4AFE006F" w:rsidRPr="6DD09F95">
        <w:rPr>
          <w:rFonts w:eastAsia="Times" w:cs="Arial"/>
          <w:kern w:val="24"/>
        </w:rPr>
        <w:t>system</w:t>
      </w:r>
      <w:r w:rsidRPr="6DD09F95">
        <w:rPr>
          <w:rFonts w:eastAsia="Times" w:cs="Arial"/>
          <w:kern w:val="24"/>
        </w:rPr>
        <w:t>.</w:t>
      </w:r>
      <w:r w:rsidR="008F6093">
        <w:rPr>
          <w:rFonts w:eastAsia="Times" w:cs="Arial"/>
          <w:kern w:val="24"/>
        </w:rPr>
        <w:t xml:space="preserve"> </w:t>
      </w:r>
      <w:r w:rsidR="00B16F5C">
        <w:rPr>
          <w:rFonts w:eastAsia="Times" w:cs="Arial"/>
          <w:kern w:val="24"/>
        </w:rPr>
        <w:t>At a minimum, the</w:t>
      </w:r>
      <w:r w:rsidR="008F6093">
        <w:rPr>
          <w:rFonts w:eastAsia="Times" w:cs="Arial"/>
          <w:kern w:val="24"/>
        </w:rPr>
        <w:t xml:space="preserve"> budget revision should include the following:</w:t>
      </w:r>
    </w:p>
    <w:p w14:paraId="348B62A9" w14:textId="14B08619" w:rsidR="00B30577" w:rsidRDefault="00FC4ED0" w:rsidP="005842A2">
      <w:pPr>
        <w:pStyle w:val="ListParagraph"/>
        <w:numPr>
          <w:ilvl w:val="0"/>
          <w:numId w:val="69"/>
        </w:numPr>
        <w:spacing w:before="240" w:after="240"/>
        <w:contextualSpacing w:val="0"/>
        <w:rPr>
          <w:rFonts w:eastAsia="Times" w:cs="Arial"/>
          <w:kern w:val="24"/>
        </w:rPr>
      </w:pPr>
      <w:r>
        <w:rPr>
          <w:rFonts w:eastAsia="Times" w:cs="Arial"/>
          <w:kern w:val="24"/>
        </w:rPr>
        <w:t xml:space="preserve">A detailed </w:t>
      </w:r>
      <w:r w:rsidR="004E7AF5">
        <w:rPr>
          <w:rFonts w:eastAsia="Times" w:cs="Arial"/>
          <w:kern w:val="24"/>
        </w:rPr>
        <w:t>summary</w:t>
      </w:r>
      <w:r>
        <w:rPr>
          <w:rFonts w:eastAsia="Times" w:cs="Arial"/>
          <w:kern w:val="24"/>
        </w:rPr>
        <w:t xml:space="preserve"> of how the proposed budget revision will affect the service</w:t>
      </w:r>
      <w:r w:rsidR="00193233">
        <w:rPr>
          <w:rFonts w:eastAsia="Times" w:cs="Arial"/>
          <w:kern w:val="24"/>
        </w:rPr>
        <w:t xml:space="preserve">. This change </w:t>
      </w:r>
      <w:r w:rsidR="00497F15">
        <w:rPr>
          <w:rFonts w:eastAsia="Times" w:cs="Arial"/>
          <w:kern w:val="24"/>
        </w:rPr>
        <w:t>should</w:t>
      </w:r>
      <w:r w:rsidR="00193233">
        <w:rPr>
          <w:rFonts w:eastAsia="Times" w:cs="Arial"/>
          <w:kern w:val="24"/>
        </w:rPr>
        <w:t xml:space="preserve"> be made in the service description section</w:t>
      </w:r>
      <w:r w:rsidR="000D6D11">
        <w:rPr>
          <w:rFonts w:eastAsia="Times" w:cs="Arial"/>
          <w:kern w:val="24"/>
        </w:rPr>
        <w:t xml:space="preserve"> and should include how the change made is related to student needs and why it is necessary.</w:t>
      </w:r>
    </w:p>
    <w:p w14:paraId="5F69112E" w14:textId="1414AFB1" w:rsidR="00B16F5C" w:rsidRPr="008C24E7" w:rsidRDefault="00CE7BF8" w:rsidP="005842A2">
      <w:pPr>
        <w:pStyle w:val="ListParagraph"/>
        <w:numPr>
          <w:ilvl w:val="0"/>
          <w:numId w:val="69"/>
        </w:numPr>
        <w:spacing w:before="240" w:after="240"/>
        <w:contextualSpacing w:val="0"/>
        <w:rPr>
          <w:rFonts w:eastAsia="Times" w:cs="Arial"/>
          <w:kern w:val="24"/>
        </w:rPr>
      </w:pPr>
      <w:r>
        <w:rPr>
          <w:rFonts w:eastAsia="Times" w:cs="Arial"/>
          <w:kern w:val="24"/>
        </w:rPr>
        <w:t>Edits in the budget section which include</w:t>
      </w:r>
      <w:r w:rsidR="00D75058">
        <w:rPr>
          <w:rFonts w:eastAsia="Times" w:cs="Arial"/>
          <w:kern w:val="24"/>
        </w:rPr>
        <w:t xml:space="preserve"> correct object code, budget amount, and </w:t>
      </w:r>
      <w:r w:rsidR="00070137">
        <w:rPr>
          <w:rFonts w:eastAsia="Times" w:cs="Arial"/>
          <w:kern w:val="24"/>
        </w:rPr>
        <w:t>description of the proposed change.</w:t>
      </w:r>
    </w:p>
    <w:p w14:paraId="561E4731" w14:textId="50398637" w:rsidR="00944BC2" w:rsidRDefault="00D83563" w:rsidP="00726990">
      <w:pPr>
        <w:spacing w:line="240" w:lineRule="atLeast"/>
        <w:ind w:left="144"/>
        <w:rPr>
          <w:rFonts w:eastAsia="Times" w:cs="Arial"/>
          <w:kern w:val="24"/>
          <w:szCs w:val="24"/>
        </w:rPr>
      </w:pPr>
      <w:r w:rsidRPr="00D83563">
        <w:rPr>
          <w:rFonts w:eastAsia="Times" w:cs="Arial"/>
          <w:kern w:val="24"/>
          <w:szCs w:val="24"/>
        </w:rPr>
        <w:t>Regions are responsible for implementing the same policy and process outlined herein for district (DSA</w:t>
      </w:r>
      <w:r w:rsidR="00070137">
        <w:rPr>
          <w:rFonts w:eastAsia="Times" w:cs="Arial"/>
          <w:kern w:val="24"/>
          <w:szCs w:val="24"/>
        </w:rPr>
        <w:t xml:space="preserve"> and MOU</w:t>
      </w:r>
      <w:r w:rsidRPr="00D83563">
        <w:rPr>
          <w:rFonts w:eastAsia="Times" w:cs="Arial"/>
          <w:kern w:val="24"/>
          <w:szCs w:val="24"/>
        </w:rPr>
        <w:t>) budget revisions. Regional offices—not the CDE—continue to be responsible for the review and approval of changes to district budgets. Regional offices are also required to maintain and update their regional budgets to continuously reflect changes in district level budgets.</w:t>
      </w:r>
    </w:p>
    <w:p w14:paraId="629E076D" w14:textId="77777777" w:rsidR="00D83563" w:rsidRDefault="00D83563" w:rsidP="00F76EEC">
      <w:pPr>
        <w:pStyle w:val="Heading2"/>
      </w:pPr>
      <w:bookmarkStart w:id="50" w:name="_Toc414262500"/>
      <w:bookmarkStart w:id="51" w:name="_Toc207703800"/>
      <w:r w:rsidRPr="00D83563">
        <w:rPr>
          <w:color w:val="000000"/>
        </w:rPr>
        <w:lastRenderedPageBreak/>
        <w:t>5.0</w:t>
      </w:r>
      <w:r w:rsidR="00F52896">
        <w:rPr>
          <w:color w:val="000000"/>
        </w:rPr>
        <w:t xml:space="preserve"> </w:t>
      </w:r>
      <w:r w:rsidRPr="00D83563">
        <w:t>Cash Management, Payments, Fiscal Reports, and Audits</w:t>
      </w:r>
      <w:bookmarkEnd w:id="50"/>
      <w:bookmarkEnd w:id="51"/>
    </w:p>
    <w:p w14:paraId="638FDEA0" w14:textId="77777777" w:rsidR="00D83563" w:rsidRDefault="00D83563" w:rsidP="009C532E">
      <w:pPr>
        <w:pStyle w:val="Heading3"/>
      </w:pPr>
      <w:bookmarkStart w:id="52" w:name="_Toc414262501"/>
      <w:bookmarkStart w:id="53" w:name="_Toc207703801"/>
      <w:r w:rsidRPr="00D83563">
        <w:t>5.1</w:t>
      </w:r>
      <w:r w:rsidR="00F52896">
        <w:t xml:space="preserve"> </w:t>
      </w:r>
      <w:r w:rsidRPr="00D83563">
        <w:t>Cash Management</w:t>
      </w:r>
      <w:bookmarkEnd w:id="52"/>
      <w:bookmarkEnd w:id="53"/>
    </w:p>
    <w:p w14:paraId="215C8DE6" w14:textId="46367DBD" w:rsidR="00944BC2" w:rsidRDefault="00D83563" w:rsidP="00726990">
      <w:pPr>
        <w:pStyle w:val="BodyTextIndent3"/>
        <w:ind w:left="0" w:firstLine="0"/>
        <w:rPr>
          <w:rFonts w:cs="Arial"/>
          <w:bCs/>
          <w:color w:val="000000"/>
          <w:sz w:val="24"/>
        </w:rPr>
      </w:pPr>
      <w:r w:rsidRPr="00D83563">
        <w:rPr>
          <w:rFonts w:cs="Arial"/>
          <w:bCs/>
          <w:color w:val="000000"/>
          <w:sz w:val="24"/>
        </w:rPr>
        <w:t xml:space="preserve">Under 2 </w:t>
      </w:r>
      <w:r w:rsidRPr="008C24E7">
        <w:rPr>
          <w:rFonts w:cs="Arial"/>
          <w:bCs/>
          <w:i/>
          <w:iCs/>
          <w:color w:val="000000"/>
          <w:sz w:val="24"/>
        </w:rPr>
        <w:t>CFR</w:t>
      </w:r>
      <w:r w:rsidRPr="00D83563">
        <w:rPr>
          <w:rFonts w:cs="Arial"/>
          <w:bCs/>
          <w:color w:val="000000"/>
          <w:sz w:val="24"/>
        </w:rPr>
        <w:t xml:space="preserve"> </w:t>
      </w:r>
      <w:r w:rsidR="00497F15">
        <w:rPr>
          <w:rFonts w:cs="Arial"/>
          <w:bCs/>
          <w:color w:val="000000"/>
          <w:sz w:val="24"/>
        </w:rPr>
        <w:t xml:space="preserve">Section </w:t>
      </w:r>
      <w:r w:rsidRPr="00D83563">
        <w:rPr>
          <w:rFonts w:cs="Arial"/>
          <w:bCs/>
          <w:color w:val="000000"/>
          <w:sz w:val="24"/>
        </w:rPr>
        <w:t>200.305(b) subgrantees may be paid in advance provided they demonstrate the willingness and ability to maintain procedures to minimize the amount of time elapsing between the receipt and disbursement of federal funds. Otherwise, reimbursement is the preferred method of payment.</w:t>
      </w:r>
    </w:p>
    <w:p w14:paraId="76BC6800" w14:textId="49DEDE19" w:rsidR="00944BC2" w:rsidRPr="007E32BE" w:rsidRDefault="00D83563" w:rsidP="00726990">
      <w:pPr>
        <w:pStyle w:val="BodyTextIndent3"/>
        <w:ind w:left="0" w:firstLine="0"/>
        <w:rPr>
          <w:rFonts w:cs="Arial"/>
          <w:bCs/>
          <w:iCs/>
          <w:sz w:val="24"/>
        </w:rPr>
      </w:pPr>
      <w:r w:rsidRPr="00D83563">
        <w:rPr>
          <w:rFonts w:cs="Arial"/>
          <w:bCs/>
          <w:color w:val="000000"/>
          <w:sz w:val="24"/>
        </w:rPr>
        <w:t xml:space="preserve">Further, 2 </w:t>
      </w:r>
      <w:r w:rsidRPr="008C24E7">
        <w:rPr>
          <w:rFonts w:cs="Arial"/>
          <w:bCs/>
          <w:i/>
          <w:iCs/>
          <w:color w:val="000000"/>
          <w:sz w:val="24"/>
        </w:rPr>
        <w:t>CFR</w:t>
      </w:r>
      <w:r w:rsidRPr="00D83563">
        <w:rPr>
          <w:rFonts w:cs="Arial"/>
          <w:bCs/>
          <w:color w:val="000000"/>
          <w:sz w:val="24"/>
        </w:rPr>
        <w:t xml:space="preserve"> </w:t>
      </w:r>
      <w:r w:rsidR="00497F15">
        <w:rPr>
          <w:rFonts w:cs="Arial"/>
          <w:bCs/>
          <w:color w:val="000000"/>
          <w:sz w:val="24"/>
        </w:rPr>
        <w:t xml:space="preserve">Section </w:t>
      </w:r>
      <w:r w:rsidRPr="00D83563">
        <w:rPr>
          <w:rFonts w:cs="Arial"/>
          <w:bCs/>
          <w:color w:val="000000"/>
          <w:sz w:val="24"/>
        </w:rPr>
        <w:t>200.305(b)(</w:t>
      </w:r>
      <w:r w:rsidR="00983FB1">
        <w:rPr>
          <w:rFonts w:cs="Arial"/>
          <w:bCs/>
          <w:color w:val="000000"/>
          <w:sz w:val="24"/>
        </w:rPr>
        <w:t>12</w:t>
      </w:r>
      <w:r w:rsidRPr="00D83563">
        <w:rPr>
          <w:rFonts w:cs="Arial"/>
          <w:bCs/>
          <w:color w:val="000000"/>
          <w:sz w:val="24"/>
        </w:rPr>
        <w:t>) states that subgrantees must promptly, but at least annually, pay to the federal agency any interest earned on advances. The subgrantee may keep interest amounts up to $500 per year for administrative expenses.</w:t>
      </w:r>
      <w:r w:rsidRPr="00D83563">
        <w:rPr>
          <w:rStyle w:val="FootnoteReference"/>
          <w:rFonts w:cs="Arial"/>
          <w:bCs/>
          <w:color w:val="000000"/>
          <w:sz w:val="24"/>
        </w:rPr>
        <w:footnoteReference w:id="13"/>
      </w:r>
      <w:r w:rsidRPr="00D83563">
        <w:rPr>
          <w:rFonts w:cs="Arial"/>
          <w:bCs/>
          <w:color w:val="000000"/>
          <w:sz w:val="24"/>
        </w:rPr>
        <w:t xml:space="preserve"> </w:t>
      </w:r>
      <w:r w:rsidRPr="00D83563">
        <w:rPr>
          <w:rFonts w:cs="Arial"/>
          <w:bCs/>
          <w:iCs/>
          <w:color w:val="000000"/>
          <w:sz w:val="24"/>
        </w:rPr>
        <w:t xml:space="preserve">ME-7 Expenditure Reports submitted with outstanding balances from payments or payments must indicate the interest earned and be paid </w:t>
      </w:r>
      <w:r w:rsidRPr="007E32BE">
        <w:rPr>
          <w:rFonts w:cs="Arial"/>
          <w:bCs/>
          <w:iCs/>
          <w:sz w:val="24"/>
        </w:rPr>
        <w:t>promptly.</w:t>
      </w:r>
    </w:p>
    <w:p w14:paraId="34EEB1BA" w14:textId="77777777" w:rsidR="00D83563" w:rsidRPr="007E32BE" w:rsidRDefault="00D83563" w:rsidP="009C532E">
      <w:pPr>
        <w:pStyle w:val="Heading3"/>
      </w:pPr>
      <w:bookmarkStart w:id="54" w:name="_Toc414262502"/>
      <w:bookmarkStart w:id="55" w:name="_Toc207703802"/>
      <w:r w:rsidRPr="007E32BE">
        <w:t>5.2</w:t>
      </w:r>
      <w:r w:rsidR="00F52896" w:rsidRPr="007E32BE">
        <w:t xml:space="preserve"> </w:t>
      </w:r>
      <w:r w:rsidRPr="007E32BE">
        <w:t>Advance Payments</w:t>
      </w:r>
      <w:bookmarkEnd w:id="54"/>
      <w:bookmarkEnd w:id="55"/>
    </w:p>
    <w:p w14:paraId="4424EB6F" w14:textId="77777777" w:rsidR="00D83563" w:rsidRDefault="00D83563" w:rsidP="00726990">
      <w:pPr>
        <w:pStyle w:val="BodyTextIndent3"/>
        <w:ind w:left="0" w:firstLine="0"/>
        <w:rPr>
          <w:rFonts w:cs="Arial"/>
          <w:bCs/>
          <w:iCs/>
          <w:color w:val="000000"/>
          <w:sz w:val="24"/>
        </w:rPr>
      </w:pPr>
      <w:r w:rsidRPr="00D83563">
        <w:rPr>
          <w:rFonts w:cs="Arial"/>
          <w:bCs/>
          <w:iCs/>
          <w:color w:val="000000"/>
          <w:sz w:val="24"/>
        </w:rPr>
        <w:t>To receive an advance payment, operating agencies must demonstrate the willingness and ability to minimize the amount of time elapsing between the receipt and disbursement of federal funds.</w:t>
      </w:r>
    </w:p>
    <w:p w14:paraId="5768EA5F" w14:textId="77777777" w:rsidR="00D83563" w:rsidRDefault="00D83563" w:rsidP="00726990">
      <w:pPr>
        <w:pStyle w:val="BodyTextIndent3"/>
        <w:ind w:left="0" w:firstLine="0"/>
        <w:rPr>
          <w:rFonts w:cs="Arial"/>
          <w:bCs/>
          <w:iCs/>
          <w:color w:val="000000"/>
          <w:sz w:val="24"/>
        </w:rPr>
      </w:pPr>
      <w:r w:rsidRPr="00D83563">
        <w:rPr>
          <w:rFonts w:cs="Arial"/>
          <w:bCs/>
          <w:iCs/>
          <w:color w:val="000000"/>
          <w:sz w:val="24"/>
        </w:rPr>
        <w:t>To demonstrate the ability to minimize the time elapsing between the receipt and disbursement of federal funds, operating agencies shall have expended and encumbered at least 90 percent of the previous payment before a subsequent payment will be processed.</w:t>
      </w:r>
    </w:p>
    <w:p w14:paraId="6EF431AD" w14:textId="63A333FD" w:rsidR="00D83563" w:rsidRDefault="00D83563" w:rsidP="005040F5">
      <w:pPr>
        <w:pStyle w:val="BodyTextIndent3"/>
        <w:ind w:left="0" w:firstLine="0"/>
        <w:rPr>
          <w:rFonts w:cs="Arial"/>
          <w:bCs/>
          <w:iCs/>
          <w:color w:val="000000"/>
          <w:sz w:val="24"/>
        </w:rPr>
      </w:pPr>
      <w:r w:rsidRPr="00D83563">
        <w:rPr>
          <w:rFonts w:cs="Arial"/>
          <w:bCs/>
          <w:iCs/>
          <w:color w:val="000000"/>
          <w:sz w:val="24"/>
        </w:rPr>
        <w:t>With the exception of the first payment request, operating agencies shall submit a</w:t>
      </w:r>
      <w:r w:rsidR="003B7BAD">
        <w:rPr>
          <w:rFonts w:cs="Arial"/>
          <w:bCs/>
          <w:iCs/>
          <w:color w:val="000000"/>
          <w:sz w:val="24"/>
        </w:rPr>
        <w:t xml:space="preserve"> signed</w:t>
      </w:r>
      <w:r w:rsidRPr="00D83563">
        <w:rPr>
          <w:rFonts w:cs="Arial"/>
          <w:bCs/>
          <w:iCs/>
          <w:color w:val="000000"/>
          <w:sz w:val="24"/>
        </w:rPr>
        <w:t xml:space="preserve"> ME-7 Expenditure Report for each payment request. The ME-7 Expenditure Report must adequately disclose all expenditures. </w:t>
      </w:r>
      <w:r w:rsidR="00E757B0">
        <w:rPr>
          <w:rFonts w:cs="Arial"/>
          <w:bCs/>
          <w:iCs/>
          <w:color w:val="000000"/>
          <w:sz w:val="24"/>
        </w:rPr>
        <w:t xml:space="preserve">All subsequent </w:t>
      </w:r>
      <w:r w:rsidR="00A231E9">
        <w:rPr>
          <w:rFonts w:cs="Arial"/>
          <w:bCs/>
          <w:iCs/>
          <w:color w:val="000000"/>
          <w:sz w:val="24"/>
        </w:rPr>
        <w:t>expenditure reports will</w:t>
      </w:r>
      <w:r w:rsidRPr="00D83563">
        <w:rPr>
          <w:rFonts w:cs="Arial"/>
          <w:bCs/>
          <w:iCs/>
          <w:color w:val="000000"/>
          <w:sz w:val="24"/>
        </w:rPr>
        <w:t xml:space="preserve"> only be processed upon the submission of </w:t>
      </w:r>
      <w:r w:rsidR="00A231E9">
        <w:rPr>
          <w:rFonts w:cs="Arial"/>
          <w:bCs/>
          <w:iCs/>
          <w:color w:val="000000"/>
          <w:sz w:val="24"/>
        </w:rPr>
        <w:t>a signed</w:t>
      </w:r>
      <w:r w:rsidR="00A231E9" w:rsidRPr="00D83563">
        <w:rPr>
          <w:rFonts w:cs="Arial"/>
          <w:bCs/>
          <w:iCs/>
          <w:color w:val="000000"/>
          <w:sz w:val="24"/>
        </w:rPr>
        <w:t xml:space="preserve"> </w:t>
      </w:r>
      <w:r w:rsidRPr="00D83563">
        <w:rPr>
          <w:rFonts w:cs="Arial"/>
          <w:bCs/>
          <w:iCs/>
          <w:color w:val="000000"/>
          <w:sz w:val="24"/>
        </w:rPr>
        <w:t xml:space="preserve">ME-7 Expenditure Report in compliance with </w:t>
      </w:r>
      <w:r w:rsidR="00497F15">
        <w:rPr>
          <w:rFonts w:cs="Arial"/>
          <w:bCs/>
          <w:iCs/>
          <w:color w:val="000000"/>
          <w:sz w:val="24"/>
        </w:rPr>
        <w:t>S</w:t>
      </w:r>
      <w:r w:rsidRPr="00D83563">
        <w:rPr>
          <w:rFonts w:cs="Arial"/>
          <w:bCs/>
          <w:iCs/>
          <w:color w:val="000000"/>
          <w:sz w:val="24"/>
        </w:rPr>
        <w:t>ections 5.2 Payments and 5.4 Quarterly Expenditure Reports of the Handbook.</w:t>
      </w:r>
    </w:p>
    <w:p w14:paraId="29229AA8" w14:textId="77777777" w:rsidR="00D83563" w:rsidRDefault="00D83563" w:rsidP="005842A2">
      <w:pPr>
        <w:pStyle w:val="BodyTextIndent3"/>
        <w:numPr>
          <w:ilvl w:val="0"/>
          <w:numId w:val="38"/>
        </w:numPr>
        <w:tabs>
          <w:tab w:val="clear" w:pos="1440"/>
          <w:tab w:val="num" w:pos="1080"/>
        </w:tabs>
        <w:ind w:left="720" w:hanging="288"/>
        <w:rPr>
          <w:rFonts w:cs="Arial"/>
          <w:sz w:val="24"/>
        </w:rPr>
      </w:pPr>
      <w:r w:rsidRPr="00D83563">
        <w:rPr>
          <w:rFonts w:cs="Arial"/>
          <w:sz w:val="24"/>
        </w:rPr>
        <w:t>Grant Award Procedure</w:t>
      </w:r>
    </w:p>
    <w:p w14:paraId="2F93EC95" w14:textId="7BBAE0DE" w:rsidR="00D83563" w:rsidRDefault="00D83563" w:rsidP="005842A2">
      <w:pPr>
        <w:pStyle w:val="BodyTextIndent3"/>
        <w:numPr>
          <w:ilvl w:val="1"/>
          <w:numId w:val="38"/>
        </w:numPr>
        <w:tabs>
          <w:tab w:val="left" w:pos="1080"/>
        </w:tabs>
        <w:ind w:left="1008" w:hanging="288"/>
        <w:rPr>
          <w:rFonts w:cs="Arial"/>
          <w:sz w:val="24"/>
        </w:rPr>
      </w:pPr>
      <w:r w:rsidRPr="00D83563">
        <w:rPr>
          <w:rFonts w:cs="Arial"/>
          <w:sz w:val="24"/>
        </w:rPr>
        <w:t>Annually, upon enactment of the state budget, and approval of the regional and direct-funded district application</w:t>
      </w:r>
      <w:r w:rsidR="00754807">
        <w:rPr>
          <w:rFonts w:cs="Arial"/>
          <w:sz w:val="24"/>
        </w:rPr>
        <w:t>s</w:t>
      </w:r>
      <w:r w:rsidRPr="00D83563">
        <w:rPr>
          <w:rFonts w:cs="Arial"/>
          <w:sz w:val="24"/>
        </w:rPr>
        <w:t>, the CDE allocate</w:t>
      </w:r>
      <w:r w:rsidR="00754807">
        <w:rPr>
          <w:rFonts w:cs="Arial"/>
          <w:sz w:val="24"/>
        </w:rPr>
        <w:t>s</w:t>
      </w:r>
      <w:r w:rsidRPr="00D83563">
        <w:rPr>
          <w:rFonts w:cs="Arial"/>
          <w:sz w:val="24"/>
        </w:rPr>
        <w:t xml:space="preserve"> MEP funds to the regions. The CDE does not have the ability to apportion funds or make payments prior to the passage of the state budget</w:t>
      </w:r>
      <w:r w:rsidR="004E4A95">
        <w:rPr>
          <w:rFonts w:cs="Arial"/>
          <w:sz w:val="24"/>
        </w:rPr>
        <w:t xml:space="preserve"> or the receipt of federal funds</w:t>
      </w:r>
      <w:r w:rsidRPr="00D83563">
        <w:rPr>
          <w:rFonts w:cs="Arial"/>
          <w:sz w:val="24"/>
        </w:rPr>
        <w:t>. Delays in the adoption of the state budget will also delay the release of MEP funds by the MEO. The following is an outline of the MEP grant allocation process:</w:t>
      </w:r>
    </w:p>
    <w:p w14:paraId="58E7E9E4" w14:textId="77777777" w:rsidR="00944BC2" w:rsidRDefault="00D83563" w:rsidP="005842A2">
      <w:pPr>
        <w:pStyle w:val="BodyTextIndent3"/>
        <w:numPr>
          <w:ilvl w:val="2"/>
          <w:numId w:val="38"/>
        </w:numPr>
        <w:tabs>
          <w:tab w:val="left" w:pos="1080"/>
        </w:tabs>
        <w:ind w:left="1440" w:hanging="288"/>
        <w:rPr>
          <w:rFonts w:cs="Arial"/>
          <w:i/>
          <w:sz w:val="24"/>
          <w:szCs w:val="24"/>
        </w:rPr>
      </w:pPr>
      <w:r w:rsidRPr="00B63577">
        <w:rPr>
          <w:rFonts w:cs="Arial"/>
          <w:sz w:val="24"/>
        </w:rPr>
        <w:t>Allocations</w:t>
      </w:r>
      <w:r w:rsidRPr="00D83563">
        <w:rPr>
          <w:rFonts w:cs="Arial"/>
          <w:sz w:val="24"/>
        </w:rPr>
        <w:t xml:space="preserve">. </w:t>
      </w:r>
      <w:r w:rsidRPr="00D83563">
        <w:rPr>
          <w:rFonts w:cs="Arial"/>
          <w:sz w:val="24"/>
          <w:szCs w:val="24"/>
        </w:rPr>
        <w:t>The CDE allocates MEP funds to regions and direct-funded districts based on the funding factors outlined in Section 1.2 of the Handbook</w:t>
      </w:r>
      <w:r w:rsidRPr="00D83563">
        <w:rPr>
          <w:rFonts w:cs="Arial"/>
          <w:i/>
          <w:sz w:val="24"/>
          <w:szCs w:val="24"/>
        </w:rPr>
        <w:t>.</w:t>
      </w:r>
    </w:p>
    <w:p w14:paraId="5404C0E5" w14:textId="5BA755DE" w:rsidR="00D83563" w:rsidRDefault="00681A67" w:rsidP="005842A2">
      <w:pPr>
        <w:pStyle w:val="BodyTextIndent3"/>
        <w:numPr>
          <w:ilvl w:val="2"/>
          <w:numId w:val="38"/>
        </w:numPr>
        <w:tabs>
          <w:tab w:val="left" w:pos="1080"/>
          <w:tab w:val="left" w:pos="2160"/>
          <w:tab w:val="num" w:pos="3780"/>
        </w:tabs>
        <w:ind w:left="1440" w:hanging="288"/>
        <w:rPr>
          <w:rFonts w:cs="Arial"/>
          <w:sz w:val="24"/>
          <w:szCs w:val="24"/>
        </w:rPr>
      </w:pPr>
      <w:r w:rsidRPr="00B63577">
        <w:rPr>
          <w:rFonts w:cs="Arial"/>
          <w:sz w:val="24"/>
          <w:szCs w:val="24"/>
        </w:rPr>
        <w:t>GAN</w:t>
      </w:r>
      <w:r w:rsidR="00D83563" w:rsidRPr="00B63577">
        <w:rPr>
          <w:rFonts w:cs="Arial"/>
          <w:sz w:val="24"/>
          <w:szCs w:val="24"/>
        </w:rPr>
        <w:t>, CDE Form AO-400</w:t>
      </w:r>
      <w:r w:rsidR="00D83563" w:rsidRPr="00D83563">
        <w:rPr>
          <w:rFonts w:cs="Arial"/>
          <w:sz w:val="24"/>
          <w:szCs w:val="24"/>
        </w:rPr>
        <w:t xml:space="preserve">. Upon approval of the application for the </w:t>
      </w:r>
      <w:r w:rsidR="004828ED">
        <w:rPr>
          <w:rFonts w:cs="Arial"/>
          <w:sz w:val="24"/>
          <w:szCs w:val="24"/>
        </w:rPr>
        <w:t>R</w:t>
      </w:r>
      <w:r w:rsidR="00D83563" w:rsidRPr="00D83563">
        <w:rPr>
          <w:rFonts w:cs="Arial"/>
          <w:sz w:val="24"/>
          <w:szCs w:val="24"/>
        </w:rPr>
        <w:t xml:space="preserve">egion and </w:t>
      </w:r>
      <w:r w:rsidR="004828ED">
        <w:rPr>
          <w:rFonts w:cs="Arial"/>
          <w:sz w:val="24"/>
          <w:szCs w:val="24"/>
        </w:rPr>
        <w:t>DFD</w:t>
      </w:r>
      <w:r w:rsidR="00D83563" w:rsidRPr="00D83563">
        <w:rPr>
          <w:rFonts w:cs="Arial"/>
          <w:sz w:val="24"/>
          <w:szCs w:val="24"/>
        </w:rPr>
        <w:t xml:space="preserve"> and enactment of the state budget, the </w:t>
      </w:r>
      <w:r>
        <w:rPr>
          <w:rFonts w:cs="Arial"/>
          <w:sz w:val="24"/>
          <w:szCs w:val="24"/>
        </w:rPr>
        <w:t xml:space="preserve">GAN </w:t>
      </w:r>
      <w:r w:rsidR="00D83563" w:rsidRPr="00D83563">
        <w:rPr>
          <w:rFonts w:cs="Arial"/>
          <w:sz w:val="24"/>
          <w:szCs w:val="24"/>
        </w:rPr>
        <w:t xml:space="preserve">(AO-400) is sent to </w:t>
      </w:r>
      <w:r w:rsidR="00D83563" w:rsidRPr="00D83563">
        <w:rPr>
          <w:rFonts w:cs="Arial"/>
          <w:sz w:val="24"/>
          <w:szCs w:val="24"/>
        </w:rPr>
        <w:lastRenderedPageBreak/>
        <w:t>the superintendent of the applicable agencies (county offices of education or school districts). The superintendent signs the original AO-400 and returns it to the CDE office within ten (10) calendar days. The superintendent is responsible for informing the MEP director of the grant award allocation.</w:t>
      </w:r>
    </w:p>
    <w:p w14:paraId="5568EEB3" w14:textId="3D961392" w:rsidR="00D83563" w:rsidRDefault="00D83563" w:rsidP="005842A2">
      <w:pPr>
        <w:pStyle w:val="BodyTextIndent3"/>
        <w:numPr>
          <w:ilvl w:val="2"/>
          <w:numId w:val="38"/>
        </w:numPr>
        <w:tabs>
          <w:tab w:val="left" w:pos="1080"/>
          <w:tab w:val="left" w:pos="2160"/>
          <w:tab w:val="num" w:pos="3780"/>
        </w:tabs>
        <w:ind w:left="1440" w:hanging="288"/>
        <w:rPr>
          <w:rFonts w:cs="Arial"/>
          <w:sz w:val="24"/>
          <w:szCs w:val="24"/>
        </w:rPr>
      </w:pPr>
      <w:r w:rsidRPr="00B63577">
        <w:rPr>
          <w:rFonts w:cs="Arial"/>
          <w:sz w:val="24"/>
          <w:szCs w:val="24"/>
        </w:rPr>
        <w:t>Quarterly Disbursements</w:t>
      </w:r>
      <w:r w:rsidRPr="00D83563">
        <w:rPr>
          <w:rFonts w:cs="Arial"/>
          <w:sz w:val="24"/>
          <w:szCs w:val="24"/>
        </w:rPr>
        <w:t xml:space="preserve">. </w:t>
      </w:r>
      <w:r w:rsidRPr="00D83563">
        <w:rPr>
          <w:rFonts w:cs="Arial"/>
          <w:color w:val="000000"/>
          <w:sz w:val="24"/>
          <w:szCs w:val="24"/>
        </w:rPr>
        <w:t xml:space="preserve">Throughout the MEP grant cycle, funds are released to operating agencies in quarterly allocations, prorated as follows: 30/30/30/10. The MEP operating agency shall have expended and encumbered at least 90 percent of the previous payment before </w:t>
      </w:r>
      <w:r w:rsidR="004828ED" w:rsidRPr="00D83563">
        <w:rPr>
          <w:rFonts w:cs="Arial"/>
          <w:color w:val="000000"/>
          <w:sz w:val="24"/>
          <w:szCs w:val="24"/>
        </w:rPr>
        <w:t>subsequent</w:t>
      </w:r>
      <w:r w:rsidRPr="00D83563">
        <w:rPr>
          <w:rFonts w:cs="Arial"/>
          <w:color w:val="000000"/>
          <w:sz w:val="24"/>
          <w:szCs w:val="24"/>
        </w:rPr>
        <w:t xml:space="preserve"> payment</w:t>
      </w:r>
      <w:r w:rsidR="004828ED">
        <w:rPr>
          <w:rFonts w:cs="Arial"/>
          <w:color w:val="000000"/>
          <w:sz w:val="24"/>
          <w:szCs w:val="24"/>
        </w:rPr>
        <w:t>s</w:t>
      </w:r>
      <w:r w:rsidRPr="00D83563">
        <w:rPr>
          <w:rFonts w:cs="Arial"/>
          <w:color w:val="000000"/>
          <w:sz w:val="24"/>
          <w:szCs w:val="24"/>
        </w:rPr>
        <w:t xml:space="preserve"> will be processed.</w:t>
      </w:r>
    </w:p>
    <w:p w14:paraId="359A3D3E" w14:textId="1816A5A4" w:rsidR="00944BC2" w:rsidRDefault="00D83563" w:rsidP="00726990">
      <w:pPr>
        <w:pStyle w:val="BodyTextIndent3"/>
        <w:tabs>
          <w:tab w:val="left" w:pos="1080"/>
          <w:tab w:val="left" w:pos="2160"/>
        </w:tabs>
        <w:ind w:left="1440" w:firstLine="0"/>
        <w:rPr>
          <w:rFonts w:cs="Arial"/>
          <w:sz w:val="24"/>
          <w:szCs w:val="24"/>
        </w:rPr>
      </w:pPr>
      <w:r w:rsidRPr="00D83563">
        <w:rPr>
          <w:rFonts w:cs="Arial"/>
          <w:sz w:val="24"/>
          <w:szCs w:val="24"/>
        </w:rPr>
        <w:t>ME-7 Expenditure Reports are to be submitted to the CDE once per quarter throughout the grant cycle. ME-7 Expenditure Reports are required before the second, third</w:t>
      </w:r>
      <w:r w:rsidR="005B7271">
        <w:rPr>
          <w:rFonts w:cs="Arial"/>
          <w:sz w:val="24"/>
          <w:szCs w:val="24"/>
        </w:rPr>
        <w:t xml:space="preserve">, and </w:t>
      </w:r>
      <w:r w:rsidRPr="00D83563">
        <w:rPr>
          <w:rFonts w:cs="Arial"/>
          <w:sz w:val="24"/>
          <w:szCs w:val="24"/>
        </w:rPr>
        <w:t>final payment will be released. ME-7 Expenditure Reports must meet all the requirements detailed in Section 5.4 of the Handbook.</w:t>
      </w:r>
    </w:p>
    <w:p w14:paraId="792C42CB" w14:textId="77777777" w:rsidR="00D83563" w:rsidRDefault="00D83563" w:rsidP="005842A2">
      <w:pPr>
        <w:pStyle w:val="BodyTextIndent3"/>
        <w:numPr>
          <w:ilvl w:val="2"/>
          <w:numId w:val="38"/>
        </w:numPr>
        <w:tabs>
          <w:tab w:val="left" w:pos="1080"/>
          <w:tab w:val="left" w:pos="2160"/>
          <w:tab w:val="num" w:pos="3780"/>
        </w:tabs>
        <w:ind w:left="1440" w:hanging="288"/>
        <w:rPr>
          <w:rFonts w:cs="Arial"/>
          <w:color w:val="000000"/>
          <w:sz w:val="24"/>
          <w:szCs w:val="24"/>
        </w:rPr>
      </w:pPr>
      <w:r w:rsidRPr="00B63577">
        <w:rPr>
          <w:rFonts w:cs="Arial"/>
          <w:sz w:val="24"/>
          <w:szCs w:val="24"/>
        </w:rPr>
        <w:t>F</w:t>
      </w:r>
      <w:r w:rsidRPr="00B63577">
        <w:rPr>
          <w:rFonts w:cs="Arial"/>
          <w:color w:val="000000"/>
          <w:sz w:val="24"/>
          <w:szCs w:val="24"/>
        </w:rPr>
        <w:t>irst Advance Payment.</w:t>
      </w:r>
      <w:r w:rsidRPr="00D83563">
        <w:rPr>
          <w:rFonts w:cs="Arial"/>
          <w:b/>
          <w:color w:val="000000"/>
          <w:sz w:val="24"/>
          <w:szCs w:val="24"/>
        </w:rPr>
        <w:t xml:space="preserve"> </w:t>
      </w:r>
      <w:r w:rsidRPr="00D83563">
        <w:rPr>
          <w:rFonts w:cs="Arial"/>
          <w:color w:val="000000"/>
          <w:sz w:val="24"/>
          <w:szCs w:val="24"/>
        </w:rPr>
        <w:t xml:space="preserve">The first advance payment is dependent upon the following: submission and approval of the application, and receipt of the signed AO-400. The first payment is </w:t>
      </w:r>
      <w:r w:rsidRPr="00D83563">
        <w:rPr>
          <w:rFonts w:cs="Arial"/>
          <w:iCs/>
          <w:color w:val="000000"/>
          <w:sz w:val="24"/>
          <w:szCs w:val="24"/>
        </w:rPr>
        <w:t>30</w:t>
      </w:r>
      <w:r w:rsidRPr="00D83563">
        <w:rPr>
          <w:rFonts w:cs="Arial"/>
          <w:color w:val="000000"/>
          <w:sz w:val="24"/>
          <w:szCs w:val="24"/>
        </w:rPr>
        <w:t xml:space="preserve"> percent of the total grant award.</w:t>
      </w:r>
    </w:p>
    <w:p w14:paraId="320B6CB1" w14:textId="77777777" w:rsidR="00944BC2" w:rsidRDefault="00D83563" w:rsidP="005842A2">
      <w:pPr>
        <w:pStyle w:val="BodyTextIndent3"/>
        <w:numPr>
          <w:ilvl w:val="2"/>
          <w:numId w:val="38"/>
        </w:numPr>
        <w:tabs>
          <w:tab w:val="left" w:pos="1080"/>
          <w:tab w:val="left" w:pos="2160"/>
          <w:tab w:val="num" w:pos="3780"/>
        </w:tabs>
        <w:ind w:left="1440" w:hanging="288"/>
        <w:rPr>
          <w:rFonts w:cs="Arial"/>
          <w:color w:val="000000"/>
          <w:sz w:val="24"/>
          <w:szCs w:val="24"/>
        </w:rPr>
      </w:pPr>
      <w:r w:rsidRPr="00B63577">
        <w:rPr>
          <w:rFonts w:cs="Arial"/>
          <w:color w:val="000000"/>
          <w:sz w:val="24"/>
          <w:szCs w:val="24"/>
        </w:rPr>
        <w:t>Second</w:t>
      </w:r>
      <w:r w:rsidRPr="00B63577">
        <w:rPr>
          <w:rFonts w:cs="Arial"/>
          <w:b/>
          <w:color w:val="000000"/>
          <w:sz w:val="24"/>
          <w:szCs w:val="24"/>
        </w:rPr>
        <w:t xml:space="preserve"> </w:t>
      </w:r>
      <w:r w:rsidRPr="00B63577">
        <w:rPr>
          <w:rFonts w:cs="Arial"/>
          <w:color w:val="000000"/>
          <w:sz w:val="24"/>
          <w:szCs w:val="24"/>
        </w:rPr>
        <w:t>Advance Payment.</w:t>
      </w:r>
      <w:r w:rsidRPr="00D83563">
        <w:rPr>
          <w:rFonts w:cs="Arial"/>
          <w:color w:val="000000"/>
          <w:sz w:val="24"/>
          <w:szCs w:val="24"/>
        </w:rPr>
        <w:t xml:space="preserve"> The second advance payment is released only when the operating agency expends 90 percent of the first payment as substantiated by submission and approval of the ME-7 Expenditure Report. The second payment is 30 percent of the total grant award.</w:t>
      </w:r>
    </w:p>
    <w:p w14:paraId="7B55A162" w14:textId="77777777" w:rsidR="00D83563" w:rsidRDefault="00D83563" w:rsidP="005842A2">
      <w:pPr>
        <w:pStyle w:val="BodyTextIndent3"/>
        <w:numPr>
          <w:ilvl w:val="2"/>
          <w:numId w:val="38"/>
        </w:numPr>
        <w:tabs>
          <w:tab w:val="left" w:pos="1080"/>
          <w:tab w:val="left" w:pos="2160"/>
          <w:tab w:val="num" w:pos="3780"/>
        </w:tabs>
        <w:ind w:left="1440" w:hanging="288"/>
        <w:rPr>
          <w:rFonts w:cs="Arial"/>
          <w:iCs/>
          <w:color w:val="000000"/>
          <w:sz w:val="24"/>
          <w:szCs w:val="24"/>
        </w:rPr>
      </w:pPr>
      <w:r w:rsidRPr="00B63577">
        <w:rPr>
          <w:rFonts w:cs="Arial"/>
          <w:color w:val="000000"/>
          <w:sz w:val="24"/>
          <w:szCs w:val="24"/>
        </w:rPr>
        <w:t>Third Payment.</w:t>
      </w:r>
      <w:r w:rsidRPr="00D83563">
        <w:rPr>
          <w:rFonts w:cs="Arial"/>
          <w:color w:val="000000"/>
          <w:sz w:val="24"/>
          <w:szCs w:val="24"/>
        </w:rPr>
        <w:t xml:space="preserve"> The third advance payment is released only when the operating agency expends 90 percent of the second payment, as substantiated by approval of the ME-7 Expenditure Report. The third payment is </w:t>
      </w:r>
      <w:r w:rsidRPr="00D83563">
        <w:rPr>
          <w:rFonts w:cs="Arial"/>
          <w:iCs/>
          <w:color w:val="000000"/>
          <w:sz w:val="24"/>
          <w:szCs w:val="24"/>
        </w:rPr>
        <w:t>30</w:t>
      </w:r>
      <w:r w:rsidRPr="00D83563">
        <w:rPr>
          <w:rFonts w:cs="Arial"/>
          <w:color w:val="000000"/>
          <w:sz w:val="24"/>
          <w:szCs w:val="24"/>
        </w:rPr>
        <w:t xml:space="preserve"> percent of the total grant award.</w:t>
      </w:r>
    </w:p>
    <w:p w14:paraId="1F1D19B3" w14:textId="287DE2A0" w:rsidR="00944BC2" w:rsidRDefault="00D83563" w:rsidP="005842A2">
      <w:pPr>
        <w:pStyle w:val="BodyTextIndent3"/>
        <w:numPr>
          <w:ilvl w:val="2"/>
          <w:numId w:val="38"/>
        </w:numPr>
        <w:tabs>
          <w:tab w:val="left" w:pos="1080"/>
          <w:tab w:val="left" w:pos="2160"/>
          <w:tab w:val="num" w:pos="3780"/>
        </w:tabs>
        <w:ind w:left="1440" w:hanging="288"/>
        <w:rPr>
          <w:rFonts w:cs="Arial"/>
          <w:iCs/>
          <w:color w:val="000000"/>
          <w:szCs w:val="24"/>
        </w:rPr>
      </w:pPr>
      <w:r w:rsidRPr="00B63577">
        <w:rPr>
          <w:rFonts w:cs="Arial"/>
          <w:iCs/>
          <w:color w:val="000000"/>
          <w:sz w:val="24"/>
          <w:szCs w:val="24"/>
        </w:rPr>
        <w:t>Final Payment.</w:t>
      </w:r>
      <w:r w:rsidRPr="00D83563">
        <w:rPr>
          <w:rFonts w:cs="Arial"/>
          <w:iCs/>
          <w:color w:val="000000"/>
          <w:sz w:val="24"/>
          <w:szCs w:val="24"/>
        </w:rPr>
        <w:t xml:space="preserve"> The final payment is released upon approval of the final ME-7. The amount of the final payment will be the difference between cumulative expenditures and total advance</w:t>
      </w:r>
      <w:r w:rsidR="004609CC">
        <w:rPr>
          <w:rFonts w:cs="Arial"/>
          <w:iCs/>
          <w:color w:val="000000"/>
          <w:sz w:val="24"/>
          <w:szCs w:val="24"/>
        </w:rPr>
        <w:t>d</w:t>
      </w:r>
      <w:r w:rsidRPr="00D83563">
        <w:rPr>
          <w:rFonts w:cs="Arial"/>
          <w:iCs/>
          <w:color w:val="000000"/>
          <w:sz w:val="24"/>
          <w:szCs w:val="24"/>
        </w:rPr>
        <w:t xml:space="preserve"> payments.</w:t>
      </w:r>
      <w:r w:rsidR="002B26EF">
        <w:rPr>
          <w:rFonts w:cs="Arial"/>
          <w:iCs/>
          <w:color w:val="000000"/>
          <w:sz w:val="24"/>
          <w:szCs w:val="24"/>
        </w:rPr>
        <w:t xml:space="preserve"> If the subgrantee</w:t>
      </w:r>
      <w:r w:rsidR="00D73388">
        <w:rPr>
          <w:rFonts w:cs="Arial"/>
          <w:iCs/>
          <w:color w:val="000000"/>
          <w:sz w:val="24"/>
          <w:szCs w:val="24"/>
        </w:rPr>
        <w:t xml:space="preserve"> expended less tha</w:t>
      </w:r>
      <w:r w:rsidR="004609CC">
        <w:rPr>
          <w:rFonts w:cs="Arial"/>
          <w:iCs/>
          <w:color w:val="000000"/>
          <w:sz w:val="24"/>
          <w:szCs w:val="24"/>
        </w:rPr>
        <w:t>n the total advanced payments</w:t>
      </w:r>
      <w:r w:rsidR="0075186D">
        <w:rPr>
          <w:rFonts w:cs="Arial"/>
          <w:iCs/>
          <w:color w:val="000000"/>
          <w:sz w:val="24"/>
          <w:szCs w:val="24"/>
        </w:rPr>
        <w:t xml:space="preserve"> received, they will receive an invoice from the CDE to recuperate the difference in funds.</w:t>
      </w:r>
    </w:p>
    <w:p w14:paraId="3A6FAD7D" w14:textId="77777777" w:rsidR="00D83563" w:rsidRDefault="00D83563" w:rsidP="009C532E">
      <w:pPr>
        <w:pStyle w:val="Heading3"/>
      </w:pPr>
      <w:bookmarkStart w:id="56" w:name="_Toc414262503"/>
      <w:bookmarkStart w:id="57" w:name="_Toc207703803"/>
      <w:r w:rsidRPr="00D83563">
        <w:t>5.3</w:t>
      </w:r>
      <w:r w:rsidR="00F52896">
        <w:t xml:space="preserve"> </w:t>
      </w:r>
      <w:r w:rsidRPr="00D83563">
        <w:t>Reimbursements to Districts</w:t>
      </w:r>
      <w:bookmarkEnd w:id="56"/>
      <w:bookmarkEnd w:id="57"/>
    </w:p>
    <w:p w14:paraId="695F567F" w14:textId="77777777" w:rsidR="00D83563" w:rsidRDefault="00D83563" w:rsidP="00726990">
      <w:pPr>
        <w:pStyle w:val="BodyTextIndent3"/>
        <w:numPr>
          <w:ilvl w:val="0"/>
          <w:numId w:val="1"/>
        </w:numPr>
        <w:tabs>
          <w:tab w:val="left" w:pos="1080"/>
        </w:tabs>
        <w:ind w:left="720" w:hanging="288"/>
        <w:rPr>
          <w:rFonts w:cs="Arial"/>
          <w:color w:val="000000"/>
          <w:sz w:val="24"/>
        </w:rPr>
      </w:pPr>
      <w:r w:rsidRPr="00D83563">
        <w:rPr>
          <w:rFonts w:cs="Arial"/>
          <w:color w:val="000000"/>
          <w:sz w:val="24"/>
        </w:rPr>
        <w:t>District documentation substantiating reimbursement requests shall be:</w:t>
      </w:r>
    </w:p>
    <w:p w14:paraId="098627EC" w14:textId="77777777" w:rsidR="00944BC2" w:rsidRDefault="00D83563" w:rsidP="005842A2">
      <w:pPr>
        <w:pStyle w:val="BodyTextIndent3"/>
        <w:numPr>
          <w:ilvl w:val="0"/>
          <w:numId w:val="23"/>
        </w:numPr>
        <w:tabs>
          <w:tab w:val="clear" w:pos="1080"/>
          <w:tab w:val="num" w:pos="1440"/>
          <w:tab w:val="left" w:pos="1800"/>
        </w:tabs>
        <w:ind w:left="1296" w:hanging="288"/>
        <w:rPr>
          <w:rFonts w:cs="Arial"/>
          <w:color w:val="000000"/>
          <w:sz w:val="24"/>
        </w:rPr>
      </w:pPr>
      <w:r w:rsidRPr="00D83563">
        <w:rPr>
          <w:rFonts w:cs="Arial"/>
          <w:color w:val="000000"/>
          <w:sz w:val="24"/>
        </w:rPr>
        <w:t>Provided to the operating agency with reimbursement claims</w:t>
      </w:r>
    </w:p>
    <w:p w14:paraId="7AB63DC8" w14:textId="4FA6C995" w:rsidR="00D83563" w:rsidRDefault="00D83563" w:rsidP="005842A2">
      <w:pPr>
        <w:pStyle w:val="BodyTextIndent3"/>
        <w:numPr>
          <w:ilvl w:val="0"/>
          <w:numId w:val="20"/>
        </w:numPr>
        <w:tabs>
          <w:tab w:val="left" w:pos="990"/>
        </w:tabs>
        <w:ind w:left="1296" w:hanging="288"/>
        <w:rPr>
          <w:rFonts w:cs="Arial"/>
          <w:color w:val="000000"/>
          <w:sz w:val="24"/>
        </w:rPr>
      </w:pPr>
      <w:r w:rsidRPr="00D83563">
        <w:rPr>
          <w:rFonts w:cs="Arial"/>
          <w:color w:val="000000"/>
          <w:sz w:val="24"/>
        </w:rPr>
        <w:t>Made available to the region or the CDE for on-site review at the district</w:t>
      </w:r>
    </w:p>
    <w:p w14:paraId="3C6D1293" w14:textId="77777777" w:rsidR="00D83563" w:rsidRDefault="00D83563" w:rsidP="00726990">
      <w:pPr>
        <w:pStyle w:val="BodyTextIndent3"/>
        <w:tabs>
          <w:tab w:val="left" w:pos="990"/>
        </w:tabs>
        <w:ind w:firstLine="0"/>
        <w:rPr>
          <w:rFonts w:cs="Arial"/>
          <w:color w:val="000000"/>
          <w:sz w:val="24"/>
        </w:rPr>
      </w:pPr>
      <w:r w:rsidRPr="00D83563">
        <w:rPr>
          <w:rFonts w:cs="Arial"/>
          <w:color w:val="000000"/>
          <w:sz w:val="24"/>
        </w:rPr>
        <w:t>Documentation shall be made available to the region or to the CDE upon request and shall include, but not be limited to:</w:t>
      </w:r>
    </w:p>
    <w:p w14:paraId="3F6E610D" w14:textId="77777777" w:rsidR="00D83563" w:rsidRDefault="00D83563" w:rsidP="00F213D7">
      <w:pPr>
        <w:pStyle w:val="BodyTextIndent3"/>
        <w:numPr>
          <w:ilvl w:val="0"/>
          <w:numId w:val="2"/>
        </w:numPr>
        <w:tabs>
          <w:tab w:val="left" w:pos="1710"/>
        </w:tabs>
        <w:spacing w:after="0"/>
        <w:ind w:left="1296" w:hanging="288"/>
        <w:rPr>
          <w:rFonts w:cs="Arial"/>
          <w:color w:val="000000"/>
          <w:sz w:val="24"/>
        </w:rPr>
      </w:pPr>
      <w:r w:rsidRPr="00D83563">
        <w:rPr>
          <w:rFonts w:cs="Arial"/>
          <w:color w:val="000000"/>
          <w:sz w:val="24"/>
        </w:rPr>
        <w:t>Detail General Ledger</w:t>
      </w:r>
    </w:p>
    <w:p w14:paraId="088E0CCA" w14:textId="77777777" w:rsidR="00D83563" w:rsidRDefault="00D83563" w:rsidP="00F213D7">
      <w:pPr>
        <w:pStyle w:val="BodyTextIndent3"/>
        <w:numPr>
          <w:ilvl w:val="0"/>
          <w:numId w:val="2"/>
        </w:numPr>
        <w:tabs>
          <w:tab w:val="left" w:pos="1710"/>
        </w:tabs>
        <w:spacing w:after="0"/>
        <w:ind w:left="1296" w:hanging="288"/>
        <w:rPr>
          <w:rFonts w:cs="Arial"/>
          <w:color w:val="000000"/>
          <w:sz w:val="24"/>
        </w:rPr>
      </w:pPr>
      <w:r w:rsidRPr="00D83563">
        <w:rPr>
          <w:rFonts w:cs="Arial"/>
          <w:color w:val="000000"/>
          <w:sz w:val="24"/>
        </w:rPr>
        <w:t>Journal entries</w:t>
      </w:r>
    </w:p>
    <w:p w14:paraId="4C8D456C" w14:textId="77777777" w:rsidR="00D83563" w:rsidRDefault="00D83563" w:rsidP="00F213D7">
      <w:pPr>
        <w:pStyle w:val="BodyTextIndent3"/>
        <w:numPr>
          <w:ilvl w:val="0"/>
          <w:numId w:val="2"/>
        </w:numPr>
        <w:tabs>
          <w:tab w:val="left" w:pos="1710"/>
        </w:tabs>
        <w:spacing w:after="0"/>
        <w:ind w:left="1296" w:hanging="288"/>
        <w:rPr>
          <w:rFonts w:cs="Arial"/>
          <w:color w:val="000000"/>
          <w:sz w:val="24"/>
        </w:rPr>
      </w:pPr>
      <w:r w:rsidRPr="00D83563">
        <w:rPr>
          <w:rFonts w:cs="Arial"/>
          <w:color w:val="000000"/>
          <w:sz w:val="24"/>
        </w:rPr>
        <w:t>Payroll</w:t>
      </w:r>
    </w:p>
    <w:p w14:paraId="62AD283C" w14:textId="77777777" w:rsidR="00D83563" w:rsidRDefault="00D83563" w:rsidP="00F213D7">
      <w:pPr>
        <w:pStyle w:val="BodyTextIndent3"/>
        <w:numPr>
          <w:ilvl w:val="0"/>
          <w:numId w:val="2"/>
        </w:numPr>
        <w:tabs>
          <w:tab w:val="left" w:pos="1710"/>
        </w:tabs>
        <w:spacing w:after="0"/>
        <w:ind w:left="1296" w:hanging="288"/>
        <w:rPr>
          <w:rFonts w:cs="Arial"/>
          <w:color w:val="000000"/>
          <w:sz w:val="24"/>
        </w:rPr>
      </w:pPr>
      <w:r w:rsidRPr="00D83563">
        <w:rPr>
          <w:rFonts w:cs="Arial"/>
          <w:color w:val="000000"/>
          <w:sz w:val="24"/>
        </w:rPr>
        <w:lastRenderedPageBreak/>
        <w:t>Time accounting records including semi-annual certification and personnel activity reports</w:t>
      </w:r>
    </w:p>
    <w:p w14:paraId="27ED6422" w14:textId="77777777" w:rsidR="00D83563" w:rsidRDefault="00D83563" w:rsidP="00F213D7">
      <w:pPr>
        <w:pStyle w:val="BodyTextIndent3"/>
        <w:numPr>
          <w:ilvl w:val="0"/>
          <w:numId w:val="2"/>
        </w:numPr>
        <w:tabs>
          <w:tab w:val="left" w:pos="1710"/>
        </w:tabs>
        <w:spacing w:after="0"/>
        <w:ind w:left="1296" w:hanging="288"/>
        <w:rPr>
          <w:rFonts w:cs="Arial"/>
          <w:color w:val="000000"/>
          <w:sz w:val="24"/>
        </w:rPr>
      </w:pPr>
      <w:r w:rsidRPr="00D83563">
        <w:rPr>
          <w:rFonts w:cs="Arial"/>
          <w:color w:val="000000"/>
          <w:sz w:val="24"/>
        </w:rPr>
        <w:t>Purchase orders</w:t>
      </w:r>
    </w:p>
    <w:p w14:paraId="59273A20" w14:textId="77777777" w:rsidR="00D83563" w:rsidRDefault="00D83563" w:rsidP="00F213D7">
      <w:pPr>
        <w:pStyle w:val="BodyTextIndent3"/>
        <w:numPr>
          <w:ilvl w:val="0"/>
          <w:numId w:val="2"/>
        </w:numPr>
        <w:tabs>
          <w:tab w:val="left" w:pos="1710"/>
        </w:tabs>
        <w:spacing w:after="0"/>
        <w:ind w:left="1296" w:hanging="288"/>
        <w:rPr>
          <w:rFonts w:cs="Arial"/>
          <w:color w:val="000000"/>
          <w:sz w:val="24"/>
        </w:rPr>
      </w:pPr>
      <w:r w:rsidRPr="00D83563">
        <w:rPr>
          <w:rFonts w:cs="Arial"/>
          <w:color w:val="000000"/>
          <w:sz w:val="24"/>
        </w:rPr>
        <w:t>Invoices</w:t>
      </w:r>
    </w:p>
    <w:p w14:paraId="50EDCC4B" w14:textId="77777777" w:rsidR="00D83563" w:rsidRDefault="00D83563" w:rsidP="00F213D7">
      <w:pPr>
        <w:pStyle w:val="BodyTextIndent3"/>
        <w:numPr>
          <w:ilvl w:val="0"/>
          <w:numId w:val="2"/>
        </w:numPr>
        <w:tabs>
          <w:tab w:val="left" w:pos="1710"/>
        </w:tabs>
        <w:spacing w:after="0"/>
        <w:ind w:left="1296" w:hanging="288"/>
        <w:rPr>
          <w:rFonts w:cs="Arial"/>
          <w:color w:val="000000"/>
          <w:sz w:val="24"/>
        </w:rPr>
      </w:pPr>
      <w:r w:rsidRPr="00D83563">
        <w:rPr>
          <w:rFonts w:cs="Arial"/>
          <w:color w:val="000000"/>
          <w:sz w:val="24"/>
        </w:rPr>
        <w:t>Travel claims</w:t>
      </w:r>
    </w:p>
    <w:p w14:paraId="4DC33DF3" w14:textId="77777777" w:rsidR="00D83563" w:rsidRDefault="00D83563" w:rsidP="00F213D7">
      <w:pPr>
        <w:pStyle w:val="BodyTextIndent3"/>
        <w:numPr>
          <w:ilvl w:val="0"/>
          <w:numId w:val="2"/>
        </w:numPr>
        <w:tabs>
          <w:tab w:val="left" w:pos="1710"/>
        </w:tabs>
        <w:spacing w:after="0"/>
        <w:ind w:left="1296" w:hanging="288"/>
        <w:rPr>
          <w:rFonts w:cs="Arial"/>
          <w:color w:val="000000"/>
          <w:sz w:val="24"/>
        </w:rPr>
      </w:pPr>
      <w:r w:rsidRPr="00D83563">
        <w:rPr>
          <w:rFonts w:cs="Arial"/>
          <w:color w:val="000000"/>
          <w:sz w:val="24"/>
        </w:rPr>
        <w:t>Utility bills</w:t>
      </w:r>
    </w:p>
    <w:p w14:paraId="562C71E9" w14:textId="77777777" w:rsidR="00D83563" w:rsidRDefault="00D83563" w:rsidP="00F213D7">
      <w:pPr>
        <w:pStyle w:val="BodyTextIndent3"/>
        <w:numPr>
          <w:ilvl w:val="0"/>
          <w:numId w:val="2"/>
        </w:numPr>
        <w:tabs>
          <w:tab w:val="left" w:pos="1710"/>
        </w:tabs>
        <w:spacing w:after="0"/>
        <w:ind w:left="1296" w:hanging="288"/>
        <w:rPr>
          <w:rFonts w:cs="Arial"/>
          <w:color w:val="000000"/>
          <w:sz w:val="24"/>
        </w:rPr>
      </w:pPr>
      <w:r w:rsidRPr="00D83563">
        <w:rPr>
          <w:rFonts w:cs="Arial"/>
          <w:color w:val="000000"/>
          <w:sz w:val="24"/>
        </w:rPr>
        <w:t>Contract and Subgrant Documents</w:t>
      </w:r>
    </w:p>
    <w:p w14:paraId="78715D48" w14:textId="0B4BD188" w:rsidR="00444DA1" w:rsidRDefault="00191635" w:rsidP="00111EB7">
      <w:pPr>
        <w:pStyle w:val="BodyTextIndent3"/>
        <w:numPr>
          <w:ilvl w:val="0"/>
          <w:numId w:val="2"/>
        </w:numPr>
        <w:tabs>
          <w:tab w:val="left" w:pos="1710"/>
        </w:tabs>
        <w:ind w:left="1296" w:hanging="288"/>
        <w:rPr>
          <w:rFonts w:cs="Arial"/>
          <w:color w:val="000000"/>
          <w:sz w:val="24"/>
        </w:rPr>
      </w:pPr>
      <w:r>
        <w:rPr>
          <w:rFonts w:cs="Arial"/>
          <w:color w:val="000000"/>
          <w:sz w:val="24"/>
        </w:rPr>
        <w:t>Other documentation as requested</w:t>
      </w:r>
    </w:p>
    <w:p w14:paraId="021AE14C" w14:textId="37DD52A7" w:rsidR="00944BC2" w:rsidRDefault="00D83563" w:rsidP="005842A2">
      <w:pPr>
        <w:pStyle w:val="BodyTextIndent3"/>
        <w:numPr>
          <w:ilvl w:val="0"/>
          <w:numId w:val="38"/>
        </w:numPr>
        <w:tabs>
          <w:tab w:val="clear" w:pos="1440"/>
          <w:tab w:val="num" w:pos="720"/>
        </w:tabs>
        <w:ind w:hanging="990"/>
        <w:rPr>
          <w:rFonts w:cs="Arial"/>
          <w:color w:val="000000"/>
          <w:sz w:val="24"/>
        </w:rPr>
      </w:pPr>
      <w:r w:rsidRPr="00D83563">
        <w:rPr>
          <w:rFonts w:cs="Arial"/>
          <w:color w:val="000000"/>
          <w:sz w:val="24"/>
        </w:rPr>
        <w:t>Documentation shall include verification that:</w:t>
      </w:r>
    </w:p>
    <w:p w14:paraId="5C41D86E" w14:textId="77777777" w:rsidR="00944BC2" w:rsidRDefault="00D83563" w:rsidP="00726990">
      <w:pPr>
        <w:pStyle w:val="BodyTextIndent3"/>
        <w:numPr>
          <w:ilvl w:val="0"/>
          <w:numId w:val="3"/>
        </w:numPr>
        <w:tabs>
          <w:tab w:val="clear" w:pos="1920"/>
          <w:tab w:val="left" w:pos="1710"/>
        </w:tabs>
        <w:ind w:left="1296" w:hanging="288"/>
        <w:rPr>
          <w:rFonts w:cs="Arial"/>
          <w:color w:val="000000"/>
          <w:sz w:val="24"/>
        </w:rPr>
      </w:pPr>
      <w:r w:rsidRPr="00D83563">
        <w:rPr>
          <w:rFonts w:cs="Arial"/>
          <w:color w:val="000000"/>
          <w:sz w:val="24"/>
        </w:rPr>
        <w:t>All expenditures are in the correct budget categories and correspond to the approved service agreement.</w:t>
      </w:r>
    </w:p>
    <w:p w14:paraId="6518DA2A" w14:textId="40B8B4D9" w:rsidR="00944BC2" w:rsidRDefault="00D83563" w:rsidP="00726990">
      <w:pPr>
        <w:pStyle w:val="BodyTextIndent3"/>
        <w:numPr>
          <w:ilvl w:val="0"/>
          <w:numId w:val="3"/>
        </w:numPr>
        <w:tabs>
          <w:tab w:val="left" w:pos="1620"/>
          <w:tab w:val="num" w:pos="1710"/>
        </w:tabs>
        <w:ind w:left="1296" w:hanging="288"/>
        <w:rPr>
          <w:rFonts w:cs="Arial"/>
          <w:color w:val="000000"/>
          <w:sz w:val="24"/>
        </w:rPr>
      </w:pPr>
      <w:r w:rsidRPr="00D83563">
        <w:rPr>
          <w:rFonts w:cs="Arial"/>
          <w:color w:val="000000"/>
          <w:sz w:val="24"/>
        </w:rPr>
        <w:t xml:space="preserve">All expenditures supplement and </w:t>
      </w:r>
      <w:r w:rsidR="004828ED" w:rsidRPr="00D83563">
        <w:rPr>
          <w:rFonts w:cs="Arial"/>
          <w:color w:val="000000"/>
          <w:sz w:val="24"/>
        </w:rPr>
        <w:t>do not</w:t>
      </w:r>
      <w:r w:rsidRPr="00D83563">
        <w:rPr>
          <w:rFonts w:cs="Arial"/>
          <w:color w:val="000000"/>
          <w:sz w:val="24"/>
        </w:rPr>
        <w:t xml:space="preserve"> supplant non-federal funds and correlate to the approved amounts and categories.</w:t>
      </w:r>
    </w:p>
    <w:p w14:paraId="057664D0" w14:textId="77777777" w:rsidR="00D83563" w:rsidRDefault="00D83563" w:rsidP="00726990">
      <w:pPr>
        <w:pStyle w:val="BodyTextIndent3"/>
        <w:numPr>
          <w:ilvl w:val="0"/>
          <w:numId w:val="3"/>
        </w:numPr>
        <w:tabs>
          <w:tab w:val="num" w:pos="1440"/>
          <w:tab w:val="left" w:pos="1710"/>
        </w:tabs>
        <w:ind w:left="1296" w:hanging="288"/>
        <w:rPr>
          <w:rFonts w:cs="Arial"/>
          <w:color w:val="000000"/>
          <w:sz w:val="24"/>
        </w:rPr>
      </w:pPr>
      <w:r w:rsidRPr="00D83563">
        <w:rPr>
          <w:rFonts w:cs="Arial"/>
          <w:color w:val="000000"/>
          <w:sz w:val="24"/>
        </w:rPr>
        <w:t>The personnel reported on the reimbursement claims and/or agency payrolls correspond to staff on the approved service agreements. Changes shall be approved in advance by the operating agency.</w:t>
      </w:r>
    </w:p>
    <w:p w14:paraId="2A063417" w14:textId="5D61783F" w:rsidR="00D83563" w:rsidRDefault="00D83563" w:rsidP="00726990">
      <w:pPr>
        <w:pStyle w:val="BodyTextIndent3"/>
        <w:numPr>
          <w:ilvl w:val="0"/>
          <w:numId w:val="3"/>
        </w:numPr>
        <w:tabs>
          <w:tab w:val="num" w:pos="1440"/>
          <w:tab w:val="num" w:pos="1710"/>
        </w:tabs>
        <w:ind w:left="1296" w:hanging="288"/>
        <w:rPr>
          <w:rFonts w:cs="Arial"/>
          <w:color w:val="000000"/>
          <w:sz w:val="24"/>
        </w:rPr>
      </w:pPr>
      <w:r w:rsidRPr="00D83563">
        <w:rPr>
          <w:rFonts w:cs="Arial"/>
          <w:color w:val="000000"/>
          <w:sz w:val="24"/>
        </w:rPr>
        <w:t>All purchase orders for supplies</w:t>
      </w:r>
      <w:r w:rsidR="007E3E47">
        <w:rPr>
          <w:rFonts w:cs="Arial"/>
          <w:color w:val="000000"/>
          <w:sz w:val="24"/>
        </w:rPr>
        <w:t>,</w:t>
      </w:r>
      <w:r w:rsidRPr="00D83563">
        <w:rPr>
          <w:rFonts w:cs="Arial"/>
          <w:color w:val="000000"/>
          <w:sz w:val="24"/>
        </w:rPr>
        <w:t xml:space="preserve"> materials, and non-consumable supplies are approved by an authorized person in accordance with local policy.</w:t>
      </w:r>
    </w:p>
    <w:p w14:paraId="4B09167E" w14:textId="77777777" w:rsidR="00D83563" w:rsidRDefault="00D83563" w:rsidP="00726990">
      <w:pPr>
        <w:pStyle w:val="BodyTextIndent3"/>
        <w:numPr>
          <w:ilvl w:val="0"/>
          <w:numId w:val="3"/>
        </w:numPr>
        <w:tabs>
          <w:tab w:val="left" w:pos="1710"/>
        </w:tabs>
        <w:ind w:left="1296" w:hanging="288"/>
        <w:rPr>
          <w:rFonts w:cs="Arial"/>
          <w:color w:val="000000"/>
          <w:sz w:val="24"/>
        </w:rPr>
      </w:pPr>
      <w:r w:rsidRPr="00D83563">
        <w:rPr>
          <w:rFonts w:cs="Arial"/>
          <w:color w:val="000000"/>
          <w:sz w:val="24"/>
        </w:rPr>
        <w:t>All travel claims are approved by an authorized person.</w:t>
      </w:r>
    </w:p>
    <w:p w14:paraId="36B0CC32" w14:textId="08FEBD0E" w:rsidR="00D83563" w:rsidRDefault="00D83563" w:rsidP="00726990">
      <w:pPr>
        <w:pStyle w:val="BodyTextIndent3"/>
        <w:numPr>
          <w:ilvl w:val="0"/>
          <w:numId w:val="3"/>
        </w:numPr>
        <w:tabs>
          <w:tab w:val="num" w:pos="1710"/>
        </w:tabs>
        <w:ind w:left="1296" w:hanging="288"/>
        <w:rPr>
          <w:rFonts w:cs="Arial"/>
          <w:color w:val="000000"/>
          <w:sz w:val="24"/>
        </w:rPr>
      </w:pPr>
      <w:r w:rsidRPr="00D83563">
        <w:rPr>
          <w:rFonts w:cs="Arial"/>
          <w:color w:val="000000"/>
          <w:sz w:val="24"/>
        </w:rPr>
        <w:t xml:space="preserve">All travel claims are </w:t>
      </w:r>
      <w:r w:rsidRPr="00D83563">
        <w:rPr>
          <w:rFonts w:cs="Arial"/>
          <w:iCs/>
          <w:color w:val="000000"/>
          <w:sz w:val="24"/>
        </w:rPr>
        <w:t xml:space="preserve">specifically related to the MEP projects and activities as outlined </w:t>
      </w:r>
      <w:r w:rsidR="004828ED" w:rsidRPr="00D83563">
        <w:rPr>
          <w:rFonts w:cs="Arial"/>
          <w:iCs/>
          <w:color w:val="000000"/>
          <w:sz w:val="24"/>
        </w:rPr>
        <w:t>in</w:t>
      </w:r>
      <w:r w:rsidRPr="00D83563">
        <w:rPr>
          <w:rFonts w:cs="Arial"/>
          <w:iCs/>
          <w:color w:val="000000"/>
          <w:sz w:val="24"/>
        </w:rPr>
        <w:t xml:space="preserve"> the LEA’s approved service agreement.</w:t>
      </w:r>
    </w:p>
    <w:p w14:paraId="37966DA3" w14:textId="77777777" w:rsidR="00D83563" w:rsidRDefault="00D83563" w:rsidP="00726990">
      <w:pPr>
        <w:pStyle w:val="BodyTextIndent3"/>
        <w:numPr>
          <w:ilvl w:val="0"/>
          <w:numId w:val="3"/>
        </w:numPr>
        <w:tabs>
          <w:tab w:val="num" w:pos="1440"/>
          <w:tab w:val="left" w:pos="1710"/>
        </w:tabs>
        <w:ind w:left="1296" w:hanging="288"/>
        <w:rPr>
          <w:rFonts w:cs="Arial"/>
          <w:color w:val="000000"/>
          <w:sz w:val="24"/>
        </w:rPr>
      </w:pPr>
      <w:r w:rsidRPr="00D83563">
        <w:rPr>
          <w:rFonts w:cs="Arial"/>
          <w:color w:val="000000"/>
          <w:sz w:val="24"/>
        </w:rPr>
        <w:t>All utility bills are appropriate and only for migrant education activities.</w:t>
      </w:r>
    </w:p>
    <w:p w14:paraId="4482E721" w14:textId="6246CA16" w:rsidR="00840DF0" w:rsidRDefault="00840DF0" w:rsidP="00726990">
      <w:pPr>
        <w:pStyle w:val="BodyTextIndent3"/>
        <w:numPr>
          <w:ilvl w:val="0"/>
          <w:numId w:val="3"/>
        </w:numPr>
        <w:tabs>
          <w:tab w:val="num" w:pos="1440"/>
          <w:tab w:val="left" w:pos="1710"/>
        </w:tabs>
        <w:ind w:left="1296" w:hanging="288"/>
        <w:rPr>
          <w:rFonts w:cs="Arial"/>
          <w:color w:val="000000"/>
          <w:sz w:val="24"/>
        </w:rPr>
      </w:pPr>
      <w:r>
        <w:rPr>
          <w:rFonts w:cs="Arial"/>
          <w:color w:val="000000"/>
          <w:sz w:val="24"/>
        </w:rPr>
        <w:t>All expenses were</w:t>
      </w:r>
      <w:r w:rsidR="00C836D9">
        <w:rPr>
          <w:rFonts w:cs="Arial"/>
          <w:color w:val="000000"/>
          <w:sz w:val="24"/>
        </w:rPr>
        <w:t xml:space="preserve"> reasonable and necessary.</w:t>
      </w:r>
    </w:p>
    <w:p w14:paraId="20F8C708" w14:textId="77777777" w:rsidR="00D83563" w:rsidRDefault="00D83563" w:rsidP="00726990">
      <w:pPr>
        <w:pStyle w:val="BodyTextIndent3"/>
        <w:numPr>
          <w:ilvl w:val="0"/>
          <w:numId w:val="3"/>
        </w:numPr>
        <w:tabs>
          <w:tab w:val="num" w:pos="1710"/>
        </w:tabs>
        <w:ind w:left="1296" w:hanging="288"/>
        <w:rPr>
          <w:rFonts w:cs="Arial"/>
          <w:color w:val="000000"/>
          <w:sz w:val="24"/>
        </w:rPr>
      </w:pPr>
      <w:r w:rsidRPr="00D83563">
        <w:rPr>
          <w:rFonts w:cs="Arial"/>
          <w:color w:val="000000"/>
          <w:sz w:val="24"/>
        </w:rPr>
        <w:t>The practices related to expenditures for migrant education are consistent with the policies, regulations, and procedures the district applies to federal and non-federal assisted activities, and consistent with federal law superseding all conflicting local policies and procedures.</w:t>
      </w:r>
    </w:p>
    <w:p w14:paraId="02F835F5" w14:textId="77777777" w:rsidR="00D83563" w:rsidRDefault="00D83563" w:rsidP="009C532E">
      <w:pPr>
        <w:pStyle w:val="Heading3"/>
      </w:pPr>
      <w:bookmarkStart w:id="58" w:name="_Toc414262504"/>
      <w:bookmarkStart w:id="59" w:name="_Toc207703804"/>
      <w:r w:rsidRPr="00D83563">
        <w:t>5.4</w:t>
      </w:r>
      <w:r w:rsidR="00F52896">
        <w:t xml:space="preserve"> </w:t>
      </w:r>
      <w:r w:rsidRPr="00D83563">
        <w:t>Quarterly Expenditure Reports</w:t>
      </w:r>
      <w:bookmarkEnd w:id="58"/>
      <w:bookmarkEnd w:id="59"/>
    </w:p>
    <w:p w14:paraId="073AA663" w14:textId="3B665B0D" w:rsidR="00D83563" w:rsidRDefault="00D83563" w:rsidP="00726990">
      <w:pPr>
        <w:pStyle w:val="BodyTextIndent3"/>
        <w:tabs>
          <w:tab w:val="left" w:pos="810"/>
        </w:tabs>
        <w:ind w:left="0" w:firstLine="0"/>
        <w:rPr>
          <w:rFonts w:cs="Arial"/>
          <w:color w:val="000000"/>
          <w:sz w:val="24"/>
        </w:rPr>
      </w:pPr>
      <w:r w:rsidRPr="00D83563">
        <w:rPr>
          <w:rFonts w:cs="Arial"/>
          <w:iCs/>
          <w:color w:val="000000"/>
          <w:sz w:val="24"/>
        </w:rPr>
        <w:t>ME-7 Expenditure Reports will be approved provided the reports are contemporaneous, complete, timely, fully disclose expenditures and encumbrances, and are in compliance with the following requirements:</w:t>
      </w:r>
      <w:r w:rsidR="00F52896">
        <w:rPr>
          <w:rFonts w:cs="Arial"/>
          <w:color w:val="000000"/>
          <w:sz w:val="24"/>
        </w:rPr>
        <w:t xml:space="preserve"> </w:t>
      </w:r>
    </w:p>
    <w:p w14:paraId="700DE826" w14:textId="77777777" w:rsidR="00D83563" w:rsidRDefault="00D83563" w:rsidP="005842A2">
      <w:pPr>
        <w:pStyle w:val="BodyTextIndent3"/>
        <w:numPr>
          <w:ilvl w:val="0"/>
          <w:numId w:val="39"/>
        </w:numPr>
        <w:tabs>
          <w:tab w:val="left" w:pos="810"/>
        </w:tabs>
        <w:ind w:left="720" w:hanging="288"/>
        <w:rPr>
          <w:rFonts w:cs="Arial"/>
          <w:color w:val="000000"/>
          <w:sz w:val="24"/>
        </w:rPr>
      </w:pPr>
      <w:r w:rsidRPr="00D83563">
        <w:rPr>
          <w:rFonts w:cs="Arial"/>
          <w:color w:val="000000"/>
          <w:sz w:val="24"/>
        </w:rPr>
        <w:t>Due Dates</w:t>
      </w:r>
    </w:p>
    <w:p w14:paraId="7F1F5D12" w14:textId="2FA77BDB" w:rsidR="00B83FF3" w:rsidRPr="00D83563" w:rsidRDefault="00D83563" w:rsidP="00726990">
      <w:pPr>
        <w:pStyle w:val="BodyTextIndent3"/>
        <w:tabs>
          <w:tab w:val="left" w:pos="810"/>
        </w:tabs>
        <w:ind w:firstLine="0"/>
        <w:rPr>
          <w:rFonts w:cs="Arial"/>
          <w:color w:val="000000"/>
          <w:sz w:val="24"/>
        </w:rPr>
      </w:pPr>
      <w:r w:rsidRPr="00D83563">
        <w:rPr>
          <w:rFonts w:cs="Arial"/>
          <w:color w:val="000000"/>
          <w:sz w:val="24"/>
        </w:rPr>
        <w:t xml:space="preserve">Operating agencies shall provide expenditure reports as required by the </w:t>
      </w:r>
      <w:r w:rsidRPr="00D83563">
        <w:rPr>
          <w:rFonts w:cs="Arial"/>
          <w:iCs/>
          <w:color w:val="000000"/>
          <w:sz w:val="24"/>
        </w:rPr>
        <w:t>CDE</w:t>
      </w:r>
      <w:r w:rsidRPr="00D83563">
        <w:rPr>
          <w:rFonts w:cs="Arial"/>
          <w:color w:val="000000"/>
          <w:sz w:val="24"/>
        </w:rPr>
        <w:t xml:space="preserve"> in conformity with state and federal laws. ME-7 Expenditure Reports shall be submitted to the CDE on a quarterly basis according to the schedule below:</w:t>
      </w:r>
    </w:p>
    <w:p w14:paraId="450C7103" w14:textId="77777777" w:rsidR="00D83563" w:rsidRDefault="00D83563" w:rsidP="00271443">
      <w:pPr>
        <w:pStyle w:val="Heading4"/>
        <w:spacing w:before="120"/>
        <w:jc w:val="center"/>
      </w:pPr>
      <w:r w:rsidRPr="00D83563">
        <w:t>ME-7 Expenditure Report Due Dates</w:t>
      </w:r>
    </w:p>
    <w:p w14:paraId="1CAFDA72" w14:textId="3CE46A22" w:rsidR="00D83563" w:rsidRPr="00B63577" w:rsidRDefault="00D83563" w:rsidP="009C532E">
      <w:pPr>
        <w:pStyle w:val="BodyTextIndent3"/>
        <w:tabs>
          <w:tab w:val="left" w:pos="6120"/>
        </w:tabs>
        <w:ind w:left="1440" w:firstLine="0"/>
        <w:rPr>
          <w:rFonts w:cs="Arial"/>
          <w:b/>
          <w:color w:val="000000"/>
          <w:sz w:val="24"/>
        </w:rPr>
      </w:pPr>
      <w:r w:rsidRPr="00B63577">
        <w:rPr>
          <w:rFonts w:cs="Arial"/>
          <w:b/>
          <w:color w:val="000000"/>
          <w:sz w:val="24"/>
        </w:rPr>
        <w:t>Period Covered</w:t>
      </w:r>
      <w:r w:rsidRPr="00B63577">
        <w:rPr>
          <w:rFonts w:cs="Arial"/>
          <w:b/>
          <w:color w:val="000000"/>
          <w:sz w:val="24"/>
        </w:rPr>
        <w:tab/>
        <w:t>Due Dates</w:t>
      </w:r>
    </w:p>
    <w:p w14:paraId="215C169E" w14:textId="53055872" w:rsidR="00944BC2" w:rsidRDefault="00D83563" w:rsidP="009C532E">
      <w:pPr>
        <w:pStyle w:val="BodyTextIndent3"/>
        <w:tabs>
          <w:tab w:val="left" w:pos="630"/>
          <w:tab w:val="left" w:pos="810"/>
          <w:tab w:val="left" w:pos="1080"/>
          <w:tab w:val="left" w:pos="1170"/>
          <w:tab w:val="left" w:pos="6120"/>
          <w:tab w:val="left" w:pos="7830"/>
        </w:tabs>
        <w:ind w:left="1440" w:firstLine="0"/>
        <w:rPr>
          <w:rFonts w:cs="Arial"/>
          <w:color w:val="000000"/>
          <w:sz w:val="24"/>
        </w:rPr>
      </w:pPr>
      <w:r w:rsidRPr="00D83563">
        <w:rPr>
          <w:rFonts w:cs="Arial"/>
          <w:color w:val="000000"/>
          <w:sz w:val="24"/>
        </w:rPr>
        <w:t>July 1–September 30</w:t>
      </w:r>
      <w:r w:rsidRPr="00D83563">
        <w:rPr>
          <w:rFonts w:cs="Arial"/>
          <w:color w:val="000000"/>
          <w:sz w:val="24"/>
        </w:rPr>
        <w:tab/>
        <w:t>October 3</w:t>
      </w:r>
      <w:r w:rsidR="00771D5F">
        <w:rPr>
          <w:rFonts w:cs="Arial"/>
          <w:color w:val="000000"/>
          <w:sz w:val="24"/>
        </w:rPr>
        <w:t>0</w:t>
      </w:r>
    </w:p>
    <w:p w14:paraId="64DC5EA6" w14:textId="2F277F76" w:rsidR="00D83563" w:rsidRPr="00D83563" w:rsidRDefault="00A64E02" w:rsidP="009C532E">
      <w:pPr>
        <w:pStyle w:val="BodyTextIndent3"/>
        <w:tabs>
          <w:tab w:val="left" w:pos="630"/>
          <w:tab w:val="left" w:pos="810"/>
          <w:tab w:val="left" w:pos="1080"/>
          <w:tab w:val="left" w:pos="1170"/>
          <w:tab w:val="left" w:pos="6120"/>
          <w:tab w:val="left" w:pos="7830"/>
        </w:tabs>
        <w:ind w:left="1440" w:firstLine="0"/>
        <w:rPr>
          <w:rFonts w:cs="Arial"/>
          <w:color w:val="000000"/>
          <w:sz w:val="24"/>
        </w:rPr>
      </w:pPr>
      <w:r>
        <w:rPr>
          <w:rFonts w:cs="Arial"/>
          <w:color w:val="000000"/>
          <w:sz w:val="24"/>
        </w:rPr>
        <w:lastRenderedPageBreak/>
        <w:t>October</w:t>
      </w:r>
      <w:r w:rsidR="00D83563" w:rsidRPr="00D83563">
        <w:rPr>
          <w:rFonts w:cs="Arial"/>
          <w:color w:val="000000"/>
          <w:sz w:val="24"/>
        </w:rPr>
        <w:t xml:space="preserve"> 1–December 31</w:t>
      </w:r>
      <w:r w:rsidR="00D83563" w:rsidRPr="00D83563">
        <w:rPr>
          <w:rFonts w:cs="Arial"/>
          <w:color w:val="000000"/>
          <w:sz w:val="24"/>
        </w:rPr>
        <w:tab/>
        <w:t>January 3</w:t>
      </w:r>
      <w:r w:rsidR="00771D5F">
        <w:rPr>
          <w:rFonts w:cs="Arial"/>
          <w:color w:val="000000"/>
          <w:sz w:val="24"/>
        </w:rPr>
        <w:t>0</w:t>
      </w:r>
    </w:p>
    <w:p w14:paraId="7527E96F" w14:textId="19519049" w:rsidR="00D83563" w:rsidRPr="00D83563" w:rsidRDefault="00A64E02" w:rsidP="009C532E">
      <w:pPr>
        <w:pStyle w:val="BodyTextIndent3"/>
        <w:tabs>
          <w:tab w:val="left" w:pos="630"/>
          <w:tab w:val="left" w:pos="810"/>
          <w:tab w:val="left" w:pos="1080"/>
          <w:tab w:val="left" w:pos="1170"/>
          <w:tab w:val="left" w:pos="6120"/>
          <w:tab w:val="left" w:pos="7830"/>
        </w:tabs>
        <w:ind w:left="1440" w:firstLine="0"/>
        <w:rPr>
          <w:rFonts w:cs="Arial"/>
          <w:color w:val="000000"/>
          <w:sz w:val="24"/>
        </w:rPr>
      </w:pPr>
      <w:r>
        <w:rPr>
          <w:rFonts w:cs="Arial"/>
          <w:color w:val="000000"/>
          <w:sz w:val="24"/>
        </w:rPr>
        <w:t>January</w:t>
      </w:r>
      <w:r w:rsidRPr="00D83563">
        <w:rPr>
          <w:rFonts w:cs="Arial"/>
          <w:color w:val="000000"/>
          <w:sz w:val="24"/>
        </w:rPr>
        <w:t xml:space="preserve"> </w:t>
      </w:r>
      <w:r w:rsidR="00D83563" w:rsidRPr="00D83563">
        <w:rPr>
          <w:rFonts w:cs="Arial"/>
          <w:color w:val="000000"/>
          <w:sz w:val="24"/>
        </w:rPr>
        <w:t>1–March 31</w:t>
      </w:r>
      <w:r w:rsidR="00D83563" w:rsidRPr="00D83563">
        <w:rPr>
          <w:rFonts w:cs="Arial"/>
          <w:color w:val="000000"/>
          <w:sz w:val="24"/>
        </w:rPr>
        <w:tab/>
        <w:t>April 30</w:t>
      </w:r>
    </w:p>
    <w:p w14:paraId="17332D14" w14:textId="7F189B00" w:rsidR="00D83563" w:rsidRPr="00D83563" w:rsidRDefault="00A64E02" w:rsidP="009C532E">
      <w:pPr>
        <w:pStyle w:val="BodyTextIndent3"/>
        <w:tabs>
          <w:tab w:val="left" w:pos="630"/>
          <w:tab w:val="left" w:pos="810"/>
          <w:tab w:val="left" w:pos="1080"/>
          <w:tab w:val="left" w:pos="1170"/>
          <w:tab w:val="left" w:pos="6120"/>
          <w:tab w:val="left" w:pos="7830"/>
        </w:tabs>
        <w:spacing w:after="240"/>
        <w:ind w:left="1440" w:firstLine="0"/>
        <w:rPr>
          <w:rFonts w:cs="Arial"/>
          <w:color w:val="000000"/>
          <w:sz w:val="24"/>
        </w:rPr>
      </w:pPr>
      <w:r>
        <w:rPr>
          <w:rFonts w:cs="Arial"/>
          <w:color w:val="000000"/>
          <w:sz w:val="24"/>
        </w:rPr>
        <w:t>April</w:t>
      </w:r>
      <w:r w:rsidRPr="00D83563">
        <w:rPr>
          <w:rFonts w:cs="Arial"/>
          <w:color w:val="000000"/>
          <w:sz w:val="24"/>
        </w:rPr>
        <w:t xml:space="preserve"> </w:t>
      </w:r>
      <w:r w:rsidR="00D83563" w:rsidRPr="00D83563">
        <w:rPr>
          <w:rFonts w:cs="Arial"/>
          <w:color w:val="000000"/>
          <w:sz w:val="24"/>
        </w:rPr>
        <w:t>1–June 30</w:t>
      </w:r>
      <w:r w:rsidR="00D83563" w:rsidRPr="00D83563">
        <w:rPr>
          <w:rFonts w:cs="Arial"/>
          <w:color w:val="000000"/>
          <w:sz w:val="24"/>
        </w:rPr>
        <w:tab/>
      </w:r>
      <w:r w:rsidR="00176377">
        <w:rPr>
          <w:rFonts w:cs="Arial"/>
          <w:color w:val="000000"/>
          <w:sz w:val="24"/>
        </w:rPr>
        <w:t>September 30</w:t>
      </w:r>
    </w:p>
    <w:p w14:paraId="5A8D1D35" w14:textId="6FE8EFA1" w:rsidR="00D83563" w:rsidRDefault="00975291" w:rsidP="00E37FC8">
      <w:pPr>
        <w:pStyle w:val="BodyTextIndent3"/>
        <w:tabs>
          <w:tab w:val="left" w:pos="7920"/>
        </w:tabs>
        <w:ind w:left="0" w:firstLine="0"/>
        <w:rPr>
          <w:rFonts w:cs="Arial"/>
          <w:bCs/>
          <w:color w:val="000000"/>
          <w:sz w:val="24"/>
        </w:rPr>
      </w:pPr>
      <w:r w:rsidRPr="00B63577">
        <w:rPr>
          <w:rFonts w:cs="Arial"/>
          <w:bCs/>
          <w:color w:val="000000"/>
          <w:sz w:val="24"/>
        </w:rPr>
        <w:t>Note:</w:t>
      </w:r>
      <w:r>
        <w:rPr>
          <w:rFonts w:cs="Arial"/>
          <w:bCs/>
          <w:color w:val="000000"/>
          <w:sz w:val="24"/>
        </w:rPr>
        <w:t xml:space="preserve"> </w:t>
      </w:r>
      <w:r w:rsidR="00431EA4">
        <w:rPr>
          <w:rFonts w:cs="Arial"/>
          <w:bCs/>
          <w:color w:val="000000"/>
          <w:sz w:val="24"/>
        </w:rPr>
        <w:t xml:space="preserve">If </w:t>
      </w:r>
      <w:r w:rsidR="00B83FF3">
        <w:rPr>
          <w:rFonts w:cs="Arial"/>
          <w:bCs/>
          <w:color w:val="000000"/>
          <w:sz w:val="24"/>
        </w:rPr>
        <w:t xml:space="preserve">the </w:t>
      </w:r>
      <w:r w:rsidR="00431EA4">
        <w:rPr>
          <w:rFonts w:cs="Arial"/>
          <w:bCs/>
          <w:color w:val="000000"/>
          <w:sz w:val="24"/>
        </w:rPr>
        <w:t xml:space="preserve">due date </w:t>
      </w:r>
      <w:r w:rsidR="00B83FF3">
        <w:rPr>
          <w:rFonts w:cs="Arial"/>
          <w:bCs/>
          <w:color w:val="000000"/>
          <w:sz w:val="24"/>
        </w:rPr>
        <w:t>is</w:t>
      </w:r>
      <w:r w:rsidR="00431EA4">
        <w:rPr>
          <w:rFonts w:cs="Arial"/>
          <w:bCs/>
          <w:color w:val="000000"/>
          <w:sz w:val="24"/>
        </w:rPr>
        <w:t xml:space="preserve"> over </w:t>
      </w:r>
      <w:r w:rsidR="004828ED">
        <w:rPr>
          <w:rFonts w:cs="Arial"/>
          <w:bCs/>
          <w:color w:val="000000"/>
          <w:sz w:val="24"/>
        </w:rPr>
        <w:t>the weekend</w:t>
      </w:r>
      <w:r w:rsidR="00431EA4">
        <w:rPr>
          <w:rFonts w:cs="Arial"/>
          <w:bCs/>
          <w:color w:val="000000"/>
          <w:sz w:val="24"/>
        </w:rPr>
        <w:t xml:space="preserve">, the expenditure report is due by close of business the </w:t>
      </w:r>
      <w:r w:rsidR="00B83FF3">
        <w:rPr>
          <w:rFonts w:cs="Arial"/>
          <w:bCs/>
          <w:color w:val="000000"/>
          <w:sz w:val="24"/>
        </w:rPr>
        <w:t>next</w:t>
      </w:r>
      <w:r w:rsidR="00431EA4">
        <w:rPr>
          <w:rFonts w:cs="Arial"/>
          <w:bCs/>
          <w:color w:val="000000"/>
          <w:sz w:val="24"/>
        </w:rPr>
        <w:t xml:space="preserve"> business day.</w:t>
      </w:r>
    </w:p>
    <w:p w14:paraId="6CE08D6D" w14:textId="5DACB623" w:rsidR="00944BC2" w:rsidRDefault="00D83563" w:rsidP="005842A2">
      <w:pPr>
        <w:pStyle w:val="BodyTextIndent3"/>
        <w:numPr>
          <w:ilvl w:val="0"/>
          <w:numId w:val="39"/>
        </w:numPr>
        <w:tabs>
          <w:tab w:val="left" w:pos="900"/>
          <w:tab w:val="left" w:pos="1080"/>
          <w:tab w:val="left" w:pos="1170"/>
        </w:tabs>
        <w:ind w:left="720" w:hanging="270"/>
        <w:rPr>
          <w:rFonts w:cs="Arial"/>
          <w:color w:val="000000"/>
          <w:sz w:val="24"/>
        </w:rPr>
      </w:pPr>
      <w:r w:rsidRPr="00D83563">
        <w:rPr>
          <w:rFonts w:cs="Arial"/>
          <w:color w:val="000000"/>
          <w:sz w:val="24"/>
        </w:rPr>
        <w:t>Unauthorized Expenditures</w:t>
      </w:r>
    </w:p>
    <w:p w14:paraId="7D9E91A5" w14:textId="535AE363" w:rsidR="00D83563" w:rsidRDefault="00D83563" w:rsidP="00726990">
      <w:pPr>
        <w:pStyle w:val="BodyTextIndent3"/>
        <w:ind w:firstLine="0"/>
        <w:rPr>
          <w:rFonts w:cs="Arial"/>
          <w:color w:val="000000"/>
          <w:sz w:val="24"/>
        </w:rPr>
      </w:pPr>
      <w:r w:rsidRPr="00D83563">
        <w:rPr>
          <w:rFonts w:cs="Arial"/>
          <w:color w:val="000000"/>
          <w:sz w:val="24"/>
        </w:rPr>
        <w:t>Expenditures that are not approved in the application</w:t>
      </w:r>
      <w:r w:rsidR="002E3E1F">
        <w:rPr>
          <w:rFonts w:cs="Arial"/>
          <w:color w:val="000000"/>
          <w:sz w:val="24"/>
        </w:rPr>
        <w:t xml:space="preserve"> </w:t>
      </w:r>
      <w:r w:rsidRPr="00D83563">
        <w:rPr>
          <w:rFonts w:cs="Arial"/>
          <w:color w:val="000000"/>
          <w:sz w:val="24"/>
        </w:rPr>
        <w:t xml:space="preserve">or revisions </w:t>
      </w:r>
      <w:r w:rsidR="003D6D80">
        <w:rPr>
          <w:rFonts w:cs="Arial"/>
          <w:color w:val="000000"/>
          <w:sz w:val="24"/>
        </w:rPr>
        <w:t>may not be</w:t>
      </w:r>
      <w:r w:rsidRPr="00D83563">
        <w:rPr>
          <w:rFonts w:cs="Arial"/>
          <w:color w:val="000000"/>
          <w:sz w:val="24"/>
        </w:rPr>
        <w:t xml:space="preserve"> allowed.</w:t>
      </w:r>
    </w:p>
    <w:p w14:paraId="47465B4E" w14:textId="6BC72BBE" w:rsidR="00D83563" w:rsidRDefault="00D83563" w:rsidP="005842A2">
      <w:pPr>
        <w:pStyle w:val="BodyTextIndent3"/>
        <w:numPr>
          <w:ilvl w:val="0"/>
          <w:numId w:val="39"/>
        </w:numPr>
        <w:ind w:left="720" w:hanging="270"/>
        <w:rPr>
          <w:rFonts w:cs="Arial"/>
          <w:color w:val="000000"/>
          <w:sz w:val="24"/>
        </w:rPr>
      </w:pPr>
      <w:r w:rsidRPr="00D83563">
        <w:rPr>
          <w:rFonts w:cs="Arial"/>
          <w:color w:val="000000"/>
          <w:sz w:val="24"/>
        </w:rPr>
        <w:t>Fiscal Duties and Fiduciary Responsibility</w:t>
      </w:r>
    </w:p>
    <w:p w14:paraId="71299C9E" w14:textId="78F17A4D" w:rsidR="00944BC2" w:rsidRDefault="00D83563" w:rsidP="00726990">
      <w:pPr>
        <w:pStyle w:val="BodyTextIndent3"/>
        <w:ind w:firstLine="0"/>
        <w:rPr>
          <w:rFonts w:cs="Arial"/>
          <w:color w:val="000000"/>
          <w:sz w:val="24"/>
        </w:rPr>
      </w:pPr>
      <w:r w:rsidRPr="00D83563">
        <w:rPr>
          <w:rFonts w:cs="Arial"/>
          <w:color w:val="000000"/>
          <w:sz w:val="24"/>
        </w:rPr>
        <w:t xml:space="preserve">Operating agencies are required to adhere to the grant terms, application requirements for the budget, and the policies stated in this handbook. Failure to comply with the fiscal policies and laws for this grant award may lead to a grant reduction or termination (see Section </w:t>
      </w:r>
      <w:r w:rsidR="00167442">
        <w:rPr>
          <w:rFonts w:cs="Arial"/>
          <w:color w:val="000000"/>
          <w:sz w:val="24"/>
        </w:rPr>
        <w:t>3.4</w:t>
      </w:r>
      <w:r w:rsidR="00FD7703">
        <w:rPr>
          <w:rFonts w:cs="Arial"/>
          <w:color w:val="000000"/>
          <w:sz w:val="24"/>
        </w:rPr>
        <w:t>:</w:t>
      </w:r>
      <w:r w:rsidR="00BE2070">
        <w:rPr>
          <w:rFonts w:cs="Arial"/>
          <w:color w:val="000000"/>
          <w:sz w:val="24"/>
        </w:rPr>
        <w:t xml:space="preserve"> </w:t>
      </w:r>
      <w:r w:rsidR="00BE2070" w:rsidRPr="00BE2070">
        <w:rPr>
          <w:rFonts w:cs="Arial"/>
          <w:color w:val="000000"/>
          <w:sz w:val="24"/>
        </w:rPr>
        <w:t>Noncompliance and Termination</w:t>
      </w:r>
      <w:r w:rsidRPr="00D83563">
        <w:rPr>
          <w:rFonts w:cs="Arial"/>
          <w:color w:val="000000"/>
          <w:sz w:val="24"/>
        </w:rPr>
        <w:t>).</w:t>
      </w:r>
    </w:p>
    <w:p w14:paraId="646A5F12" w14:textId="11DFD57C" w:rsidR="00D83563" w:rsidRDefault="00D83563" w:rsidP="005842A2">
      <w:pPr>
        <w:pStyle w:val="BodyTextIndent3"/>
        <w:numPr>
          <w:ilvl w:val="0"/>
          <w:numId w:val="39"/>
        </w:numPr>
        <w:tabs>
          <w:tab w:val="left" w:pos="1080"/>
        </w:tabs>
        <w:ind w:left="720" w:hanging="270"/>
        <w:rPr>
          <w:rFonts w:cs="Arial"/>
          <w:color w:val="000000"/>
          <w:sz w:val="24"/>
        </w:rPr>
      </w:pPr>
      <w:r w:rsidRPr="00D83563">
        <w:rPr>
          <w:rFonts w:cs="Arial"/>
          <w:color w:val="000000"/>
          <w:sz w:val="24"/>
        </w:rPr>
        <w:t>District Expenditures and Financial Reports</w:t>
      </w:r>
    </w:p>
    <w:p w14:paraId="5FCE112D" w14:textId="18AD606F" w:rsidR="00D83563" w:rsidRDefault="00D83563" w:rsidP="00726990">
      <w:pPr>
        <w:pStyle w:val="BodyTextIndent3"/>
        <w:ind w:firstLine="0"/>
        <w:rPr>
          <w:rFonts w:cs="Arial"/>
          <w:color w:val="000000"/>
          <w:sz w:val="24"/>
        </w:rPr>
      </w:pPr>
      <w:r w:rsidRPr="00D83563">
        <w:rPr>
          <w:rFonts w:cs="Arial"/>
          <w:color w:val="000000"/>
          <w:sz w:val="24"/>
        </w:rPr>
        <w:t xml:space="preserve">Subpart E of 2 </w:t>
      </w:r>
      <w:r w:rsidRPr="008C24E7">
        <w:rPr>
          <w:rFonts w:cs="Arial"/>
          <w:i/>
          <w:iCs/>
          <w:color w:val="000000"/>
          <w:sz w:val="24"/>
        </w:rPr>
        <w:t>CFR</w:t>
      </w:r>
      <w:r w:rsidRPr="00D83563">
        <w:rPr>
          <w:rFonts w:cs="Arial"/>
          <w:color w:val="000000"/>
          <w:sz w:val="24"/>
        </w:rPr>
        <w:t xml:space="preserve"> Part 200 establishes the cost principles and standards for the administration of the MEP awards. As such, each operating agency is required to monitor expenditures made by districts providing services in their area, as all subgrants are subject to federal cost principles. The operating agency shall at a minimum ensure that all costs charged to the MEP are allowable as defined by the cost principles of Subpart E (see Section 7.</w:t>
      </w:r>
      <w:r w:rsidR="00E42EDA">
        <w:rPr>
          <w:rFonts w:cs="Arial"/>
          <w:color w:val="000000"/>
          <w:sz w:val="24"/>
        </w:rPr>
        <w:t>0</w:t>
      </w:r>
      <w:r w:rsidRPr="00D83563">
        <w:rPr>
          <w:rFonts w:cs="Arial"/>
          <w:color w:val="000000"/>
          <w:sz w:val="24"/>
        </w:rPr>
        <w:t>).</w:t>
      </w:r>
    </w:p>
    <w:p w14:paraId="7F75CACE" w14:textId="25020DD1" w:rsidR="00D83563" w:rsidRDefault="00D83563" w:rsidP="00726990">
      <w:pPr>
        <w:pStyle w:val="BodyTextIndent3"/>
        <w:tabs>
          <w:tab w:val="left" w:pos="720"/>
        </w:tabs>
        <w:ind w:firstLine="0"/>
        <w:rPr>
          <w:rFonts w:cs="Arial"/>
          <w:color w:val="000000"/>
          <w:sz w:val="24"/>
        </w:rPr>
      </w:pPr>
      <w:r w:rsidRPr="00D83563">
        <w:rPr>
          <w:rFonts w:cs="Arial"/>
          <w:color w:val="000000"/>
          <w:sz w:val="24"/>
        </w:rPr>
        <w:t>Additionally</w:t>
      </w:r>
      <w:r w:rsidR="00335A06">
        <w:rPr>
          <w:rFonts w:cs="Arial"/>
          <w:color w:val="000000"/>
          <w:sz w:val="24"/>
        </w:rPr>
        <w:t>,</w:t>
      </w:r>
      <w:r w:rsidRPr="00D83563">
        <w:rPr>
          <w:rFonts w:cs="Arial"/>
          <w:color w:val="000000"/>
          <w:sz w:val="24"/>
        </w:rPr>
        <w:t xml:space="preserve"> regions shall:</w:t>
      </w:r>
    </w:p>
    <w:p w14:paraId="64F22A68" w14:textId="77777777" w:rsidR="00D83563" w:rsidRDefault="00D83563" w:rsidP="00726990">
      <w:pPr>
        <w:pStyle w:val="BodyTextIndent3"/>
        <w:numPr>
          <w:ilvl w:val="0"/>
          <w:numId w:val="9"/>
        </w:numPr>
        <w:tabs>
          <w:tab w:val="clear" w:pos="720"/>
          <w:tab w:val="num" w:pos="1800"/>
        </w:tabs>
        <w:ind w:left="1296" w:hanging="288"/>
        <w:rPr>
          <w:rFonts w:cs="Arial"/>
          <w:iCs/>
          <w:color w:val="000000"/>
          <w:sz w:val="24"/>
        </w:rPr>
      </w:pPr>
      <w:r w:rsidRPr="00D83563">
        <w:rPr>
          <w:rFonts w:cs="Arial"/>
          <w:iCs/>
          <w:color w:val="000000"/>
          <w:sz w:val="24"/>
        </w:rPr>
        <w:t>Require documentation substantiating district reimbursement requests and/or perform onsite reviews of the documentation at the district</w:t>
      </w:r>
    </w:p>
    <w:p w14:paraId="3951D570" w14:textId="77777777" w:rsidR="00D83563" w:rsidRDefault="00D83563" w:rsidP="00726990">
      <w:pPr>
        <w:pStyle w:val="BodyTextIndent3"/>
        <w:numPr>
          <w:ilvl w:val="0"/>
          <w:numId w:val="9"/>
        </w:numPr>
        <w:tabs>
          <w:tab w:val="clear" w:pos="720"/>
          <w:tab w:val="num" w:pos="1440"/>
          <w:tab w:val="left" w:pos="1800"/>
        </w:tabs>
        <w:ind w:left="1296" w:hanging="288"/>
        <w:rPr>
          <w:rFonts w:cs="Arial"/>
          <w:iCs/>
          <w:color w:val="000000"/>
          <w:sz w:val="24"/>
        </w:rPr>
      </w:pPr>
      <w:r w:rsidRPr="00D83563">
        <w:rPr>
          <w:rFonts w:cs="Arial"/>
          <w:iCs/>
          <w:color w:val="000000"/>
          <w:sz w:val="24"/>
        </w:rPr>
        <w:t>Enforce due dates for reimbursement requests</w:t>
      </w:r>
    </w:p>
    <w:p w14:paraId="1375F49E" w14:textId="74167346" w:rsidR="00D83563" w:rsidRDefault="00D83563" w:rsidP="00726990">
      <w:pPr>
        <w:pStyle w:val="BodyTextIndent3"/>
        <w:numPr>
          <w:ilvl w:val="0"/>
          <w:numId w:val="9"/>
        </w:numPr>
        <w:tabs>
          <w:tab w:val="clear" w:pos="720"/>
          <w:tab w:val="num" w:pos="1800"/>
        </w:tabs>
        <w:ind w:left="1296" w:hanging="288"/>
        <w:rPr>
          <w:rFonts w:cs="Arial"/>
          <w:iCs/>
          <w:color w:val="000000"/>
          <w:sz w:val="24"/>
        </w:rPr>
      </w:pPr>
      <w:r w:rsidRPr="00D83563">
        <w:rPr>
          <w:rFonts w:cs="Arial"/>
          <w:iCs/>
          <w:color w:val="000000"/>
          <w:sz w:val="24"/>
        </w:rPr>
        <w:t xml:space="preserve">Require justification for any budget object code series increased or decreased by more than ten percent </w:t>
      </w:r>
    </w:p>
    <w:p w14:paraId="2F361D74" w14:textId="77777777" w:rsidR="00D83563" w:rsidRDefault="00D83563" w:rsidP="00726990">
      <w:pPr>
        <w:pStyle w:val="BodyTextIndent3"/>
        <w:numPr>
          <w:ilvl w:val="0"/>
          <w:numId w:val="9"/>
        </w:numPr>
        <w:tabs>
          <w:tab w:val="clear" w:pos="720"/>
          <w:tab w:val="num" w:pos="1440"/>
          <w:tab w:val="left" w:pos="1800"/>
        </w:tabs>
        <w:ind w:left="1296" w:hanging="288"/>
        <w:rPr>
          <w:rFonts w:cs="Arial"/>
          <w:iCs/>
          <w:color w:val="000000"/>
          <w:sz w:val="24"/>
        </w:rPr>
      </w:pPr>
      <w:r w:rsidRPr="00D83563">
        <w:rPr>
          <w:rFonts w:cs="Arial"/>
          <w:iCs/>
          <w:color w:val="000000"/>
          <w:sz w:val="24"/>
        </w:rPr>
        <w:t>Not reimburse districts for unapproved or unbudgeted expenditures</w:t>
      </w:r>
    </w:p>
    <w:p w14:paraId="4A14ACA1" w14:textId="4ED69221" w:rsidR="00D83563" w:rsidRDefault="00D83563" w:rsidP="00726990">
      <w:pPr>
        <w:pStyle w:val="BodyTextIndent3"/>
        <w:numPr>
          <w:ilvl w:val="0"/>
          <w:numId w:val="9"/>
        </w:numPr>
        <w:tabs>
          <w:tab w:val="clear" w:pos="720"/>
          <w:tab w:val="num" w:pos="1800"/>
        </w:tabs>
        <w:ind w:left="1296" w:hanging="288"/>
        <w:rPr>
          <w:rFonts w:cs="Arial"/>
          <w:color w:val="000000"/>
          <w:sz w:val="24"/>
        </w:rPr>
      </w:pPr>
      <w:r w:rsidRPr="00D83563">
        <w:rPr>
          <w:rFonts w:cs="Arial"/>
          <w:iCs/>
          <w:color w:val="000000"/>
          <w:sz w:val="24"/>
        </w:rPr>
        <w:t>Not reimburse district expenditures which exceed the total approved district</w:t>
      </w:r>
      <w:r w:rsidRPr="00D83563">
        <w:rPr>
          <w:rFonts w:cs="Arial"/>
          <w:b/>
          <w:iCs/>
          <w:color w:val="000000"/>
          <w:sz w:val="24"/>
        </w:rPr>
        <w:t xml:space="preserve"> </w:t>
      </w:r>
      <w:r w:rsidRPr="00D83563">
        <w:rPr>
          <w:rFonts w:cs="Arial"/>
          <w:iCs/>
          <w:color w:val="000000"/>
          <w:sz w:val="24"/>
        </w:rPr>
        <w:t>budget</w:t>
      </w:r>
    </w:p>
    <w:p w14:paraId="121793F9" w14:textId="18B0CDBD" w:rsidR="00D167FD" w:rsidRPr="008C24E7" w:rsidRDefault="00D83563" w:rsidP="005842A2">
      <w:pPr>
        <w:pStyle w:val="BodyTextIndent3"/>
        <w:numPr>
          <w:ilvl w:val="0"/>
          <w:numId w:val="39"/>
        </w:numPr>
        <w:tabs>
          <w:tab w:val="left" w:pos="1080"/>
        </w:tabs>
        <w:ind w:left="720" w:hanging="288"/>
        <w:rPr>
          <w:rFonts w:cs="Arial"/>
          <w:color w:val="000000"/>
        </w:rPr>
      </w:pPr>
      <w:r w:rsidRPr="008C24E7">
        <w:rPr>
          <w:rFonts w:cs="Arial"/>
          <w:color w:val="000000"/>
          <w:sz w:val="24"/>
        </w:rPr>
        <w:t>Use of Funds</w:t>
      </w:r>
    </w:p>
    <w:p w14:paraId="3471167C" w14:textId="51D185A7" w:rsidR="00944BC2" w:rsidRPr="00D167FD" w:rsidRDefault="00D83563" w:rsidP="008C24E7">
      <w:pPr>
        <w:pStyle w:val="BodyTextIndent3"/>
        <w:tabs>
          <w:tab w:val="left" w:pos="1080"/>
        </w:tabs>
        <w:ind w:firstLine="0"/>
        <w:rPr>
          <w:rFonts w:cs="Arial"/>
          <w:sz w:val="24"/>
        </w:rPr>
      </w:pPr>
      <w:r w:rsidRPr="00D167FD">
        <w:rPr>
          <w:rFonts w:cs="Arial"/>
          <w:sz w:val="24"/>
        </w:rPr>
        <w:t xml:space="preserve">Grant funds may only be expended within the fiscal year they are </w:t>
      </w:r>
      <w:r w:rsidR="00652311" w:rsidRPr="00485E2D">
        <w:rPr>
          <w:rFonts w:cs="Arial"/>
          <w:sz w:val="24"/>
        </w:rPr>
        <w:t>obligated</w:t>
      </w:r>
      <w:r w:rsidRPr="00D167FD">
        <w:rPr>
          <w:rFonts w:cs="Arial"/>
          <w:sz w:val="24"/>
        </w:rPr>
        <w:t>.</w:t>
      </w:r>
    </w:p>
    <w:p w14:paraId="71785A9A" w14:textId="77777777" w:rsidR="00D83563" w:rsidRDefault="00F52896" w:rsidP="009C532E">
      <w:pPr>
        <w:pStyle w:val="Heading3"/>
      </w:pPr>
      <w:bookmarkStart w:id="60" w:name="_Toc414262505"/>
      <w:bookmarkStart w:id="61" w:name="_Toc207703805"/>
      <w:r>
        <w:t xml:space="preserve">5.5 </w:t>
      </w:r>
      <w:r w:rsidR="00D83563" w:rsidRPr="00D83563">
        <w:t>Audit Requirements and Record Retention</w:t>
      </w:r>
      <w:bookmarkEnd w:id="60"/>
      <w:bookmarkEnd w:id="61"/>
    </w:p>
    <w:p w14:paraId="3138B1B2" w14:textId="77777777" w:rsidR="00944BC2" w:rsidRDefault="00D83563" w:rsidP="005842A2">
      <w:pPr>
        <w:pStyle w:val="Heading4"/>
        <w:numPr>
          <w:ilvl w:val="0"/>
          <w:numId w:val="65"/>
        </w:numPr>
        <w:ind w:left="648"/>
      </w:pPr>
      <w:r w:rsidRPr="00D83563">
        <w:t>Audits</w:t>
      </w:r>
    </w:p>
    <w:p w14:paraId="6705B4EE" w14:textId="77777777" w:rsidR="00D83563" w:rsidRDefault="00D83563" w:rsidP="00726990">
      <w:pPr>
        <w:pStyle w:val="BodyTextIndent3"/>
        <w:ind w:firstLine="0"/>
        <w:rPr>
          <w:rFonts w:cs="Arial"/>
          <w:sz w:val="24"/>
        </w:rPr>
      </w:pPr>
      <w:r w:rsidRPr="00D83563">
        <w:rPr>
          <w:rFonts w:cs="Arial"/>
          <w:sz w:val="24"/>
        </w:rPr>
        <w:t>Each operating agency shall:</w:t>
      </w:r>
    </w:p>
    <w:p w14:paraId="60FB024C" w14:textId="77777777" w:rsidR="00D83563" w:rsidRDefault="00D83563" w:rsidP="005842A2">
      <w:pPr>
        <w:pStyle w:val="BodyTextIndent3"/>
        <w:numPr>
          <w:ilvl w:val="0"/>
          <w:numId w:val="14"/>
        </w:numPr>
        <w:tabs>
          <w:tab w:val="left" w:pos="1710"/>
        </w:tabs>
        <w:ind w:left="1296" w:hanging="288"/>
        <w:rPr>
          <w:rFonts w:cs="Arial"/>
          <w:sz w:val="24"/>
        </w:rPr>
      </w:pPr>
      <w:r w:rsidRPr="00D83563">
        <w:rPr>
          <w:rFonts w:cs="Arial"/>
          <w:sz w:val="24"/>
        </w:rPr>
        <w:t>Comply with all state and federal regulations and guidelines relating to audits</w:t>
      </w:r>
    </w:p>
    <w:p w14:paraId="189416C5" w14:textId="77777777" w:rsidR="00D83563" w:rsidRDefault="00D83563" w:rsidP="005842A2">
      <w:pPr>
        <w:pStyle w:val="BodyTextIndent3"/>
        <w:numPr>
          <w:ilvl w:val="0"/>
          <w:numId w:val="14"/>
        </w:numPr>
        <w:tabs>
          <w:tab w:val="left" w:pos="1440"/>
          <w:tab w:val="left" w:pos="1530"/>
          <w:tab w:val="left" w:pos="1710"/>
          <w:tab w:val="left" w:pos="1800"/>
        </w:tabs>
        <w:ind w:left="1296" w:hanging="288"/>
        <w:rPr>
          <w:rFonts w:cs="Arial"/>
          <w:sz w:val="24"/>
        </w:rPr>
      </w:pPr>
      <w:r w:rsidRPr="00D83563">
        <w:rPr>
          <w:rFonts w:cs="Arial"/>
          <w:sz w:val="24"/>
        </w:rPr>
        <w:lastRenderedPageBreak/>
        <w:t>Maintain records—as described below—that may be needed to conduct an effective audit</w:t>
      </w:r>
    </w:p>
    <w:p w14:paraId="043A5265" w14:textId="77777777" w:rsidR="00D83563" w:rsidRDefault="00D83563" w:rsidP="005842A2">
      <w:pPr>
        <w:pStyle w:val="BodyTextIndent3"/>
        <w:numPr>
          <w:ilvl w:val="0"/>
          <w:numId w:val="14"/>
        </w:numPr>
        <w:tabs>
          <w:tab w:val="left" w:pos="1440"/>
          <w:tab w:val="left" w:pos="1530"/>
          <w:tab w:val="left" w:pos="1800"/>
        </w:tabs>
        <w:ind w:left="1296" w:hanging="288"/>
        <w:rPr>
          <w:rFonts w:cs="Arial"/>
          <w:sz w:val="24"/>
        </w:rPr>
      </w:pPr>
      <w:r w:rsidRPr="00D83563">
        <w:rPr>
          <w:rFonts w:cs="Arial"/>
          <w:sz w:val="24"/>
        </w:rPr>
        <w:t>Resolve all fiscal and program audit exceptions.</w:t>
      </w:r>
    </w:p>
    <w:p w14:paraId="4C77A377" w14:textId="77777777" w:rsidR="00D83563" w:rsidRDefault="00D83563" w:rsidP="005842A2">
      <w:pPr>
        <w:pStyle w:val="Heading4"/>
        <w:numPr>
          <w:ilvl w:val="0"/>
          <w:numId w:val="65"/>
        </w:numPr>
        <w:ind w:left="648"/>
      </w:pPr>
      <w:r w:rsidRPr="00D83563">
        <w:t>Standards for Financial Management Systems</w:t>
      </w:r>
    </w:p>
    <w:p w14:paraId="24C6DD9B" w14:textId="77777777" w:rsidR="00D83563" w:rsidRDefault="00D83563" w:rsidP="00726990">
      <w:pPr>
        <w:pStyle w:val="BodyTextIndent3"/>
        <w:numPr>
          <w:ilvl w:val="0"/>
          <w:numId w:val="5"/>
        </w:numPr>
        <w:tabs>
          <w:tab w:val="left" w:pos="1530"/>
          <w:tab w:val="left" w:pos="1710"/>
        </w:tabs>
        <w:ind w:left="1296" w:hanging="288"/>
        <w:rPr>
          <w:rFonts w:cs="Arial"/>
          <w:b/>
          <w:color w:val="000000"/>
          <w:sz w:val="24"/>
        </w:rPr>
      </w:pPr>
      <w:r w:rsidRPr="00D83563">
        <w:rPr>
          <w:rFonts w:cs="Arial"/>
          <w:b/>
          <w:color w:val="000000"/>
          <w:sz w:val="24"/>
        </w:rPr>
        <w:t>Accounting Records</w:t>
      </w:r>
    </w:p>
    <w:p w14:paraId="7C3040D2" w14:textId="77777777" w:rsidR="00D83563" w:rsidRDefault="00D83563" w:rsidP="00726990">
      <w:pPr>
        <w:pStyle w:val="BodyTextIndent3"/>
        <w:ind w:left="1296" w:firstLine="0"/>
        <w:rPr>
          <w:rFonts w:cs="Arial"/>
          <w:color w:val="000000"/>
          <w:sz w:val="24"/>
        </w:rPr>
      </w:pPr>
      <w:r w:rsidRPr="00D83563">
        <w:rPr>
          <w:rFonts w:cs="Arial"/>
          <w:color w:val="000000"/>
          <w:sz w:val="24"/>
        </w:rPr>
        <w:t>Records which identify the source and application of funds for grant or subgrant supported activities shall be maintained. These records shall contain information pertaining to grant or subgrant awards, authorizations, obligations, unobligated balances, assets, outlays, income, and interest.</w:t>
      </w:r>
    </w:p>
    <w:p w14:paraId="6233BD5C" w14:textId="77777777" w:rsidR="00D83563" w:rsidRDefault="00D83563" w:rsidP="00726990">
      <w:pPr>
        <w:pStyle w:val="BodyTextIndent3"/>
        <w:numPr>
          <w:ilvl w:val="0"/>
          <w:numId w:val="5"/>
        </w:numPr>
        <w:tabs>
          <w:tab w:val="left" w:pos="1530"/>
          <w:tab w:val="left" w:pos="1710"/>
        </w:tabs>
        <w:ind w:left="1296" w:hanging="288"/>
        <w:rPr>
          <w:rFonts w:cs="Arial"/>
          <w:b/>
          <w:color w:val="000000"/>
          <w:sz w:val="24"/>
        </w:rPr>
      </w:pPr>
      <w:r w:rsidRPr="00D83563">
        <w:rPr>
          <w:rFonts w:cs="Arial"/>
          <w:b/>
          <w:color w:val="000000"/>
          <w:sz w:val="24"/>
        </w:rPr>
        <w:t>Internal Control</w:t>
      </w:r>
    </w:p>
    <w:p w14:paraId="75F46309" w14:textId="576F8FE8" w:rsidR="00D83563" w:rsidRDefault="00D83563" w:rsidP="00726990">
      <w:pPr>
        <w:pStyle w:val="BodyTextIndent3"/>
        <w:ind w:left="1296" w:firstLine="0"/>
        <w:rPr>
          <w:rFonts w:cs="Arial"/>
          <w:color w:val="000000"/>
          <w:sz w:val="24"/>
        </w:rPr>
      </w:pPr>
      <w:r w:rsidRPr="00D83563">
        <w:rPr>
          <w:rFonts w:cs="Arial"/>
          <w:color w:val="000000"/>
          <w:sz w:val="24"/>
        </w:rPr>
        <w:t>Recipients shall adequately safeguard all property purchased with federal funds and shall assure that it is used solely for authorized purposes. Documentation must be maintained that demonstrates that effective controls and accountability exist for all grant or subgrant cash, real and personal property, and other assets, e.g.</w:t>
      </w:r>
      <w:r w:rsidR="0029162F">
        <w:rPr>
          <w:rFonts w:cs="Arial"/>
          <w:color w:val="000000"/>
          <w:sz w:val="24"/>
        </w:rPr>
        <w:t>,</w:t>
      </w:r>
      <w:r w:rsidRPr="00D83563">
        <w:rPr>
          <w:rFonts w:cs="Arial"/>
          <w:color w:val="000000"/>
          <w:sz w:val="24"/>
        </w:rPr>
        <w:t xml:space="preserve"> documentation of the purpose of trips in a vehicle log.</w:t>
      </w:r>
    </w:p>
    <w:p w14:paraId="3B8850B2" w14:textId="77777777" w:rsidR="00D83563" w:rsidRDefault="00D83563" w:rsidP="00726990">
      <w:pPr>
        <w:pStyle w:val="BodyTextIndent3"/>
        <w:numPr>
          <w:ilvl w:val="0"/>
          <w:numId w:val="5"/>
        </w:numPr>
        <w:tabs>
          <w:tab w:val="clear" w:pos="1440"/>
          <w:tab w:val="num" w:pos="1710"/>
        </w:tabs>
        <w:ind w:left="1296" w:hanging="288"/>
        <w:rPr>
          <w:rFonts w:cs="Arial"/>
          <w:color w:val="000000"/>
          <w:sz w:val="24"/>
        </w:rPr>
      </w:pPr>
      <w:r w:rsidRPr="00D83563">
        <w:rPr>
          <w:rFonts w:cs="Arial"/>
          <w:b/>
          <w:color w:val="000000"/>
          <w:sz w:val="24"/>
        </w:rPr>
        <w:t>Source Documentation</w:t>
      </w:r>
    </w:p>
    <w:p w14:paraId="778CA363" w14:textId="77777777" w:rsidR="00D83563" w:rsidRDefault="00D83563" w:rsidP="00726990">
      <w:pPr>
        <w:pStyle w:val="BodyTextIndent3"/>
        <w:ind w:left="1296" w:firstLine="0"/>
        <w:rPr>
          <w:rFonts w:cs="Arial"/>
          <w:color w:val="000000"/>
          <w:sz w:val="24"/>
        </w:rPr>
      </w:pPr>
      <w:r w:rsidRPr="00D83563">
        <w:rPr>
          <w:rFonts w:cs="Arial"/>
          <w:color w:val="000000"/>
          <w:sz w:val="24"/>
        </w:rPr>
        <w:t>Accounting records shall be supported by source documentation such as purchase orders, invoices, payrolls, contract and subgrant documents.</w:t>
      </w:r>
    </w:p>
    <w:p w14:paraId="69650E4A" w14:textId="77777777" w:rsidR="00D83563" w:rsidRDefault="00D83563" w:rsidP="00726990">
      <w:pPr>
        <w:pStyle w:val="BodyTextIndent3"/>
        <w:numPr>
          <w:ilvl w:val="0"/>
          <w:numId w:val="5"/>
        </w:numPr>
        <w:tabs>
          <w:tab w:val="left" w:pos="1080"/>
          <w:tab w:val="left" w:pos="1710"/>
        </w:tabs>
        <w:ind w:left="1296" w:hanging="288"/>
        <w:rPr>
          <w:rFonts w:cs="Arial"/>
          <w:b/>
          <w:color w:val="000000"/>
          <w:sz w:val="24"/>
        </w:rPr>
      </w:pPr>
      <w:r w:rsidRPr="00D83563">
        <w:rPr>
          <w:rFonts w:cs="Arial"/>
          <w:b/>
          <w:color w:val="000000"/>
          <w:sz w:val="24"/>
        </w:rPr>
        <w:t>Federal Program Monitoring</w:t>
      </w:r>
    </w:p>
    <w:p w14:paraId="64E21A80" w14:textId="0584A750" w:rsidR="00944BC2" w:rsidRDefault="00D83563" w:rsidP="00726990">
      <w:pPr>
        <w:pStyle w:val="BodyTextIndent3"/>
        <w:ind w:left="1296" w:firstLine="0"/>
        <w:rPr>
          <w:rFonts w:cs="Arial"/>
          <w:color w:val="000000"/>
          <w:sz w:val="24"/>
        </w:rPr>
      </w:pPr>
      <w:r w:rsidRPr="00D83563">
        <w:rPr>
          <w:rFonts w:cs="Arial"/>
          <w:color w:val="000000"/>
          <w:sz w:val="24"/>
        </w:rPr>
        <w:t>Operating agencies must retain the necessary records for preparation for</w:t>
      </w:r>
      <w:r w:rsidR="007C361A">
        <w:rPr>
          <w:rFonts w:cs="Arial"/>
          <w:color w:val="000000"/>
          <w:sz w:val="24"/>
        </w:rPr>
        <w:t xml:space="preserve"> </w:t>
      </w:r>
      <w:r w:rsidRPr="00D83563">
        <w:rPr>
          <w:rFonts w:cs="Arial"/>
          <w:color w:val="000000"/>
          <w:sz w:val="24"/>
        </w:rPr>
        <w:t xml:space="preserve">FPM by </w:t>
      </w:r>
      <w:r w:rsidR="00F1136D" w:rsidRPr="00D83563">
        <w:rPr>
          <w:rFonts w:cs="Arial"/>
          <w:color w:val="000000"/>
          <w:sz w:val="24"/>
        </w:rPr>
        <w:t>CDE</w:t>
      </w:r>
      <w:r w:rsidRPr="00D83563">
        <w:rPr>
          <w:rFonts w:cs="Arial"/>
          <w:color w:val="000000"/>
          <w:sz w:val="24"/>
        </w:rPr>
        <w:t xml:space="preserve">. These records will be identified in the FPM Monitoring Instruments found on the CDE </w:t>
      </w:r>
      <w:hyperlink r:id="rId23" w:history="1">
        <w:r w:rsidRPr="009C532E">
          <w:rPr>
            <w:rStyle w:val="Hyperlink"/>
            <w:rFonts w:cs="Arial"/>
            <w:sz w:val="24"/>
          </w:rPr>
          <w:t>Compliance Monitoring Web page</w:t>
        </w:r>
      </w:hyperlink>
      <w:r w:rsidRPr="00D83563">
        <w:rPr>
          <w:rFonts w:cs="Arial"/>
          <w:color w:val="000000"/>
          <w:sz w:val="24"/>
        </w:rPr>
        <w:t>.</w:t>
      </w:r>
    </w:p>
    <w:p w14:paraId="01059ABF" w14:textId="77777777" w:rsidR="00D83563" w:rsidRDefault="00D83563" w:rsidP="005842A2">
      <w:pPr>
        <w:pStyle w:val="Heading4"/>
        <w:numPr>
          <w:ilvl w:val="0"/>
          <w:numId w:val="65"/>
        </w:numPr>
        <w:ind w:left="648"/>
      </w:pPr>
      <w:r w:rsidRPr="00D83563">
        <w:t>Record Retention</w:t>
      </w:r>
    </w:p>
    <w:p w14:paraId="4F0E5426" w14:textId="1C513FD7" w:rsidR="00D83563" w:rsidRDefault="00D83563" w:rsidP="00726990">
      <w:pPr>
        <w:pStyle w:val="BodyTextIndent3"/>
        <w:ind w:firstLine="0"/>
        <w:rPr>
          <w:rFonts w:cs="Arial"/>
          <w:color w:val="000000"/>
          <w:sz w:val="24"/>
        </w:rPr>
      </w:pPr>
      <w:r w:rsidRPr="00D83563">
        <w:rPr>
          <w:rFonts w:cs="Arial"/>
          <w:color w:val="000000"/>
          <w:sz w:val="24"/>
        </w:rPr>
        <w:t>Federal regulations require that fiscal program records be retained for audit purposes for three years after the date of the final expenditure report unless an audit is pending. If an audit is pending, records will then be maintained until the final resolution.</w:t>
      </w:r>
      <w:r w:rsidRPr="00D83563">
        <w:rPr>
          <w:rStyle w:val="FootnoteReference"/>
          <w:rFonts w:cs="Arial"/>
          <w:color w:val="000000"/>
          <w:sz w:val="24"/>
        </w:rPr>
        <w:footnoteReference w:id="14"/>
      </w:r>
    </w:p>
    <w:p w14:paraId="73BF0993" w14:textId="77777777" w:rsidR="00944BC2" w:rsidRDefault="00D83563" w:rsidP="00F76EEC">
      <w:pPr>
        <w:pStyle w:val="Heading2"/>
      </w:pPr>
      <w:bookmarkStart w:id="62" w:name="_Toc414262506"/>
      <w:bookmarkStart w:id="63" w:name="_Toc207703806"/>
      <w:r w:rsidRPr="00D83563">
        <w:t>6.0</w:t>
      </w:r>
      <w:r w:rsidR="004E2608">
        <w:t xml:space="preserve"> </w:t>
      </w:r>
      <w:r w:rsidRPr="00D83563">
        <w:t>Capital Outlay and Property</w:t>
      </w:r>
      <w:bookmarkEnd w:id="62"/>
      <w:bookmarkEnd w:id="63"/>
    </w:p>
    <w:p w14:paraId="02DF348F" w14:textId="77777777" w:rsidR="00D83563" w:rsidRDefault="00D83563" w:rsidP="009C532E">
      <w:pPr>
        <w:pStyle w:val="Heading3"/>
      </w:pPr>
      <w:bookmarkStart w:id="64" w:name="_Toc414262507"/>
      <w:bookmarkStart w:id="65" w:name="_Toc207703807"/>
      <w:r w:rsidRPr="00D83563">
        <w:t>6.1</w:t>
      </w:r>
      <w:r w:rsidR="004E2608">
        <w:t xml:space="preserve"> </w:t>
      </w:r>
      <w:r w:rsidRPr="00D83563">
        <w:t>Capital Outlay &amp; Equipment</w:t>
      </w:r>
      <w:bookmarkEnd w:id="64"/>
      <w:bookmarkEnd w:id="65"/>
    </w:p>
    <w:p w14:paraId="47EFF1A5" w14:textId="25D1301A" w:rsidR="00D83563" w:rsidRDefault="00D83563" w:rsidP="005842A2">
      <w:pPr>
        <w:pStyle w:val="BodyTextIndent3"/>
        <w:numPr>
          <w:ilvl w:val="0"/>
          <w:numId w:val="28"/>
        </w:numPr>
        <w:tabs>
          <w:tab w:val="left" w:pos="1080"/>
        </w:tabs>
        <w:ind w:hanging="288"/>
        <w:rPr>
          <w:rFonts w:cs="Arial"/>
          <w:color w:val="000000"/>
          <w:sz w:val="24"/>
        </w:rPr>
      </w:pPr>
      <w:r w:rsidRPr="00D83563">
        <w:rPr>
          <w:rFonts w:cs="Arial"/>
          <w:color w:val="000000"/>
          <w:sz w:val="24"/>
        </w:rPr>
        <w:t xml:space="preserve">Definitions: </w:t>
      </w:r>
      <w:r w:rsidRPr="00D83563">
        <w:rPr>
          <w:rFonts w:cs="Arial"/>
          <w:i/>
          <w:color w:val="000000"/>
          <w:sz w:val="24"/>
        </w:rPr>
        <w:t>Capital outlay</w:t>
      </w:r>
      <w:r w:rsidRPr="00D83563">
        <w:rPr>
          <w:rFonts w:cs="Arial"/>
          <w:color w:val="000000"/>
          <w:sz w:val="24"/>
        </w:rPr>
        <w:t xml:space="preserve"> is an expenditure that results in the acquisition of capital assets or improvements and additions to capital assets that materially increase their value or useful life. </w:t>
      </w:r>
      <w:r w:rsidRPr="00D83563">
        <w:rPr>
          <w:rFonts w:cs="Arial"/>
          <w:i/>
          <w:color w:val="000000"/>
          <w:sz w:val="24"/>
        </w:rPr>
        <w:t>Equipment</w:t>
      </w:r>
      <w:r w:rsidRPr="00D83563">
        <w:rPr>
          <w:rFonts w:cs="Arial"/>
          <w:color w:val="000000"/>
          <w:sz w:val="24"/>
        </w:rPr>
        <w:t xml:space="preserve"> is tangible </w:t>
      </w:r>
      <w:r w:rsidR="007C361A" w:rsidRPr="00D83563">
        <w:rPr>
          <w:rFonts w:cs="Arial"/>
          <w:color w:val="000000"/>
          <w:sz w:val="24"/>
        </w:rPr>
        <w:t>property,</w:t>
      </w:r>
      <w:r w:rsidRPr="00D83563">
        <w:rPr>
          <w:rFonts w:cs="Arial"/>
          <w:color w:val="000000"/>
          <w:sz w:val="24"/>
        </w:rPr>
        <w:t xml:space="preserve"> having a useful life of more than one year and an acquisition cost that equals or exceeds the lesser of the capitalization level established by the operating agency or $5,000. For </w:t>
      </w:r>
      <w:r w:rsidRPr="00D83563">
        <w:rPr>
          <w:rFonts w:cs="Arial"/>
          <w:color w:val="000000"/>
          <w:sz w:val="24"/>
        </w:rPr>
        <w:lastRenderedPageBreak/>
        <w:t>example, vehicles that meet the acquisition cost threshold are considered equipment requiring the approval process described below.</w:t>
      </w:r>
    </w:p>
    <w:p w14:paraId="5B161A6A" w14:textId="77777777" w:rsidR="00D83563" w:rsidRDefault="00D83563" w:rsidP="005842A2">
      <w:pPr>
        <w:pStyle w:val="BodyTextIndent3"/>
        <w:numPr>
          <w:ilvl w:val="0"/>
          <w:numId w:val="28"/>
        </w:numPr>
        <w:tabs>
          <w:tab w:val="left" w:pos="1080"/>
        </w:tabs>
        <w:ind w:hanging="288"/>
        <w:rPr>
          <w:rFonts w:cs="Arial"/>
          <w:color w:val="000000"/>
          <w:sz w:val="24"/>
        </w:rPr>
      </w:pPr>
      <w:r w:rsidRPr="00D83563">
        <w:rPr>
          <w:rFonts w:cs="Arial"/>
          <w:color w:val="000000"/>
          <w:sz w:val="24"/>
        </w:rPr>
        <w:t>Requirements for Approval for Purchase</w:t>
      </w:r>
    </w:p>
    <w:p w14:paraId="7A002C52" w14:textId="652F2C96" w:rsidR="00D83563" w:rsidRDefault="00C56DF4" w:rsidP="00726990">
      <w:pPr>
        <w:pStyle w:val="BodyTextIndent3"/>
        <w:tabs>
          <w:tab w:val="left" w:pos="1710"/>
          <w:tab w:val="num" w:pos="2880"/>
        </w:tabs>
        <w:ind w:left="1296" w:hanging="288"/>
        <w:rPr>
          <w:rFonts w:cs="Arial"/>
          <w:color w:val="000000"/>
          <w:sz w:val="24"/>
        </w:rPr>
      </w:pPr>
      <w:r>
        <w:rPr>
          <w:rFonts w:cs="Arial"/>
          <w:color w:val="000000"/>
          <w:sz w:val="24"/>
        </w:rPr>
        <w:t>1)</w:t>
      </w:r>
      <w:r w:rsidR="00D83563" w:rsidRPr="00D83563">
        <w:rPr>
          <w:rFonts w:cs="Arial"/>
          <w:color w:val="000000"/>
          <w:sz w:val="24"/>
        </w:rPr>
        <w:t xml:space="preserve"> Capital outlay and expenditures for equipment shall be made in compliance with federal, state, and local policies.</w:t>
      </w:r>
    </w:p>
    <w:p w14:paraId="73B1417E" w14:textId="5059AE20" w:rsidR="00D83563" w:rsidRDefault="00C56DF4" w:rsidP="00726990">
      <w:pPr>
        <w:pStyle w:val="BodyTextIndent3"/>
        <w:tabs>
          <w:tab w:val="left" w:pos="1710"/>
          <w:tab w:val="num" w:pos="2880"/>
        </w:tabs>
        <w:ind w:left="1296" w:hanging="288"/>
        <w:rPr>
          <w:rFonts w:cs="Arial"/>
          <w:color w:val="000000"/>
          <w:sz w:val="24"/>
        </w:rPr>
      </w:pPr>
      <w:r>
        <w:rPr>
          <w:rFonts w:cs="Arial"/>
          <w:color w:val="000000"/>
          <w:sz w:val="24"/>
        </w:rPr>
        <w:t>2)</w:t>
      </w:r>
      <w:r w:rsidR="00D83563" w:rsidRPr="00D83563">
        <w:rPr>
          <w:rFonts w:cs="Arial"/>
          <w:color w:val="000000"/>
          <w:sz w:val="24"/>
        </w:rPr>
        <w:t xml:space="preserve"> Capital outlay and expenditures for equipment as defined above or in excess of $5,000 shall be approved in advance and in writing by the </w:t>
      </w:r>
      <w:r w:rsidR="00D83563" w:rsidRPr="00D83563">
        <w:rPr>
          <w:rFonts w:cs="Arial"/>
          <w:iCs/>
          <w:color w:val="000000"/>
          <w:sz w:val="24"/>
        </w:rPr>
        <w:t>CDE</w:t>
      </w:r>
      <w:r w:rsidR="00D83563" w:rsidRPr="00D83563">
        <w:rPr>
          <w:rFonts w:cs="Arial"/>
          <w:color w:val="000000"/>
          <w:sz w:val="24"/>
        </w:rPr>
        <w:t xml:space="preserve"> through the application or revision process. </w:t>
      </w:r>
      <w:r w:rsidR="00D83563" w:rsidRPr="00092F54">
        <w:rPr>
          <w:rFonts w:cs="Arial"/>
          <w:color w:val="000000"/>
          <w:sz w:val="24"/>
        </w:rPr>
        <w:t>Lease-purchase contracts in excess of $5,000 require advance written approval from the CDE MEP Administrator.</w:t>
      </w:r>
      <w:r w:rsidR="00D83563" w:rsidRPr="00D83563">
        <w:rPr>
          <w:rFonts w:cs="Arial"/>
          <w:color w:val="000000"/>
          <w:sz w:val="24"/>
        </w:rPr>
        <w:t xml:space="preserve"> Requests must be submitted in writing prior to the expenditure of funds.</w:t>
      </w:r>
    </w:p>
    <w:p w14:paraId="722A7AC7" w14:textId="1B79E8BB" w:rsidR="00D83563" w:rsidRDefault="00C56DF4" w:rsidP="00726990">
      <w:pPr>
        <w:pStyle w:val="BodyTextIndent3"/>
        <w:tabs>
          <w:tab w:val="num" w:pos="2880"/>
        </w:tabs>
        <w:ind w:left="1296" w:hanging="288"/>
        <w:rPr>
          <w:rFonts w:cs="Arial"/>
          <w:color w:val="000000"/>
          <w:sz w:val="24"/>
        </w:rPr>
      </w:pPr>
      <w:r>
        <w:rPr>
          <w:rFonts w:cs="Arial"/>
          <w:color w:val="000000"/>
          <w:sz w:val="24"/>
        </w:rPr>
        <w:t>3)</w:t>
      </w:r>
      <w:r w:rsidR="00D83563" w:rsidRPr="00D83563">
        <w:rPr>
          <w:rFonts w:cs="Arial"/>
          <w:color w:val="000000"/>
          <w:sz w:val="24"/>
        </w:rPr>
        <w:t xml:space="preserve"> Capital outlay purchases shall be made only by the operating agency.</w:t>
      </w:r>
    </w:p>
    <w:p w14:paraId="62B515CF" w14:textId="2EE1FF03" w:rsidR="00D83563" w:rsidRDefault="00C56DF4" w:rsidP="00726990">
      <w:pPr>
        <w:pStyle w:val="BodyTextIndent3"/>
        <w:tabs>
          <w:tab w:val="left" w:pos="1710"/>
          <w:tab w:val="num" w:pos="2880"/>
        </w:tabs>
        <w:ind w:left="1296" w:hanging="288"/>
        <w:rPr>
          <w:rFonts w:cs="Arial"/>
          <w:color w:val="000000"/>
          <w:sz w:val="24"/>
        </w:rPr>
      </w:pPr>
      <w:r>
        <w:rPr>
          <w:rFonts w:cs="Arial"/>
          <w:color w:val="000000"/>
          <w:sz w:val="24"/>
        </w:rPr>
        <w:t>4)</w:t>
      </w:r>
      <w:r w:rsidR="00D83563" w:rsidRPr="00D83563">
        <w:rPr>
          <w:rFonts w:cs="Arial"/>
          <w:color w:val="000000"/>
          <w:sz w:val="24"/>
        </w:rPr>
        <w:t xml:space="preserve"> The operating agency may use MEP funds to purchase equipment only if the agency demonstrates in its migrant education application that:</w:t>
      </w:r>
    </w:p>
    <w:p w14:paraId="5812873B" w14:textId="77777777" w:rsidR="00D83563" w:rsidRDefault="00D83563" w:rsidP="00726990">
      <w:pPr>
        <w:pStyle w:val="BodyTextIndent3"/>
        <w:numPr>
          <w:ilvl w:val="0"/>
          <w:numId w:val="6"/>
        </w:numPr>
        <w:tabs>
          <w:tab w:val="num" w:pos="2520"/>
        </w:tabs>
        <w:ind w:left="2160" w:hanging="288"/>
        <w:rPr>
          <w:rFonts w:cs="Arial"/>
          <w:color w:val="000000"/>
          <w:sz w:val="24"/>
        </w:rPr>
      </w:pPr>
      <w:r w:rsidRPr="00D83563">
        <w:rPr>
          <w:rFonts w:cs="Arial"/>
          <w:color w:val="000000"/>
          <w:sz w:val="24"/>
        </w:rPr>
        <w:t>The equipment provides a supplementary function over-and-above equipment purchases with non-federal funds</w:t>
      </w:r>
    </w:p>
    <w:p w14:paraId="59DAC4E3" w14:textId="77777777" w:rsidR="00D83563" w:rsidRDefault="00D83563" w:rsidP="00726990">
      <w:pPr>
        <w:pStyle w:val="BodyTextIndent3"/>
        <w:numPr>
          <w:ilvl w:val="0"/>
          <w:numId w:val="6"/>
        </w:numPr>
        <w:tabs>
          <w:tab w:val="num" w:pos="2520"/>
        </w:tabs>
        <w:ind w:left="2160" w:hanging="288"/>
        <w:rPr>
          <w:rFonts w:cs="Arial"/>
          <w:color w:val="000000"/>
          <w:sz w:val="24"/>
        </w:rPr>
      </w:pPr>
      <w:r w:rsidRPr="00D83563">
        <w:rPr>
          <w:rFonts w:cs="Arial"/>
          <w:color w:val="000000"/>
          <w:sz w:val="24"/>
        </w:rPr>
        <w:t>The equipment is necessary to effectively operate the migrant education program without regard to use in non-MEP activities</w:t>
      </w:r>
    </w:p>
    <w:p w14:paraId="38C02C3B" w14:textId="77777777" w:rsidR="00D83563" w:rsidRDefault="00D83563" w:rsidP="00726990">
      <w:pPr>
        <w:pStyle w:val="BodyTextIndent3"/>
        <w:numPr>
          <w:ilvl w:val="0"/>
          <w:numId w:val="6"/>
        </w:numPr>
        <w:tabs>
          <w:tab w:val="num" w:pos="2520"/>
        </w:tabs>
        <w:ind w:left="2160" w:hanging="288"/>
        <w:rPr>
          <w:rFonts w:cs="Arial"/>
          <w:color w:val="000000"/>
          <w:sz w:val="24"/>
        </w:rPr>
      </w:pPr>
      <w:r w:rsidRPr="00D83563">
        <w:rPr>
          <w:rFonts w:cs="Arial"/>
          <w:color w:val="000000"/>
          <w:sz w:val="24"/>
        </w:rPr>
        <w:t>It has made every reasonable effort to find other funds to pay for the equipment before applying to use migrant education funds for that purpose</w:t>
      </w:r>
    </w:p>
    <w:p w14:paraId="3F6D9F43" w14:textId="5CD1AD10" w:rsidR="00D83563" w:rsidRDefault="00D83563" w:rsidP="00726990">
      <w:pPr>
        <w:pStyle w:val="BodyTextIndent3"/>
        <w:numPr>
          <w:ilvl w:val="0"/>
          <w:numId w:val="6"/>
        </w:numPr>
        <w:tabs>
          <w:tab w:val="num" w:pos="2520"/>
        </w:tabs>
        <w:ind w:left="2160" w:hanging="288"/>
        <w:rPr>
          <w:rFonts w:cs="Arial"/>
          <w:color w:val="000000"/>
          <w:sz w:val="24"/>
        </w:rPr>
      </w:pPr>
      <w:r w:rsidRPr="00D83563">
        <w:rPr>
          <w:rFonts w:cs="Arial"/>
          <w:color w:val="000000"/>
          <w:sz w:val="24"/>
        </w:rPr>
        <w:t>The equipment is reasonably priced and, if applicable, properly documented (i.e.</w:t>
      </w:r>
      <w:r w:rsidR="0029162F">
        <w:rPr>
          <w:rFonts w:cs="Arial"/>
          <w:color w:val="000000"/>
          <w:sz w:val="24"/>
        </w:rPr>
        <w:t>,</w:t>
      </w:r>
      <w:r w:rsidRPr="00D83563">
        <w:rPr>
          <w:rFonts w:cs="Arial"/>
          <w:color w:val="000000"/>
          <w:sz w:val="24"/>
        </w:rPr>
        <w:t xml:space="preserve"> vehicle logs)</w:t>
      </w:r>
    </w:p>
    <w:p w14:paraId="6B83A048" w14:textId="2F00EEF5" w:rsidR="00D83563" w:rsidRDefault="00C56DF4" w:rsidP="008C24E7">
      <w:pPr>
        <w:pStyle w:val="BodyTextIndent3"/>
        <w:ind w:left="990" w:firstLine="0"/>
        <w:rPr>
          <w:rFonts w:cs="Arial"/>
          <w:color w:val="000000"/>
          <w:sz w:val="24"/>
        </w:rPr>
      </w:pPr>
      <w:r>
        <w:rPr>
          <w:rFonts w:cs="Arial"/>
          <w:color w:val="000000"/>
          <w:sz w:val="24"/>
        </w:rPr>
        <w:t xml:space="preserve">5) </w:t>
      </w:r>
      <w:r w:rsidR="00D83563" w:rsidRPr="00D83563">
        <w:rPr>
          <w:rFonts w:cs="Arial"/>
          <w:color w:val="000000"/>
          <w:sz w:val="24"/>
        </w:rPr>
        <w:t>M</w:t>
      </w:r>
      <w:r w:rsidR="007C361A">
        <w:rPr>
          <w:rFonts w:cs="Arial"/>
          <w:color w:val="000000"/>
          <w:sz w:val="24"/>
        </w:rPr>
        <w:t>EP</w:t>
      </w:r>
      <w:r w:rsidR="00D83563" w:rsidRPr="00D83563">
        <w:rPr>
          <w:rFonts w:cs="Arial"/>
          <w:color w:val="000000"/>
          <w:sz w:val="24"/>
        </w:rPr>
        <w:t xml:space="preserve"> funds shall not be used to pay for site improvement.</w:t>
      </w:r>
    </w:p>
    <w:p w14:paraId="33A8ED48" w14:textId="4F360248" w:rsidR="00D83563" w:rsidRDefault="00D83563" w:rsidP="008C24E7">
      <w:pPr>
        <w:pStyle w:val="BodyTextIndent3"/>
        <w:numPr>
          <w:ilvl w:val="0"/>
          <w:numId w:val="9"/>
        </w:numPr>
        <w:ind w:left="1296" w:hanging="288"/>
        <w:rPr>
          <w:rFonts w:cs="Arial"/>
          <w:color w:val="000000"/>
          <w:sz w:val="24"/>
        </w:rPr>
      </w:pPr>
      <w:r w:rsidRPr="00D83563">
        <w:rPr>
          <w:rFonts w:cs="Arial"/>
          <w:color w:val="000000"/>
          <w:sz w:val="24"/>
        </w:rPr>
        <w:t>Operating agency or district lease agreements for facilities require CDE</w:t>
      </w:r>
      <w:r w:rsidR="00EB248B">
        <w:rPr>
          <w:rFonts w:cs="Arial"/>
          <w:color w:val="000000"/>
          <w:sz w:val="24"/>
        </w:rPr>
        <w:t xml:space="preserve"> </w:t>
      </w:r>
      <w:r w:rsidRPr="00D83563">
        <w:rPr>
          <w:rFonts w:cs="Arial"/>
          <w:color w:val="000000"/>
          <w:sz w:val="24"/>
        </w:rPr>
        <w:t xml:space="preserve">approval in advance and in writing. Regions shall request the </w:t>
      </w:r>
      <w:r w:rsidRPr="00D83563">
        <w:rPr>
          <w:rFonts w:cs="Arial"/>
          <w:iCs/>
          <w:color w:val="000000"/>
          <w:sz w:val="24"/>
        </w:rPr>
        <w:t>CDE</w:t>
      </w:r>
      <w:r w:rsidRPr="00D83563">
        <w:rPr>
          <w:rFonts w:cs="Arial"/>
          <w:color w:val="000000"/>
          <w:sz w:val="24"/>
        </w:rPr>
        <w:t xml:space="preserve"> approval through the application or revision process.</w:t>
      </w:r>
    </w:p>
    <w:p w14:paraId="72A3B832" w14:textId="77777777" w:rsidR="00D83563" w:rsidRDefault="00D83563" w:rsidP="005842A2">
      <w:pPr>
        <w:pStyle w:val="BodyTextIndent3"/>
        <w:numPr>
          <w:ilvl w:val="0"/>
          <w:numId w:val="28"/>
        </w:numPr>
        <w:ind w:hanging="288"/>
        <w:rPr>
          <w:rFonts w:cs="Arial"/>
          <w:color w:val="000000"/>
          <w:sz w:val="24"/>
        </w:rPr>
      </w:pPr>
      <w:r w:rsidRPr="00D83563">
        <w:rPr>
          <w:rFonts w:cs="Arial"/>
          <w:color w:val="000000"/>
          <w:sz w:val="24"/>
        </w:rPr>
        <w:t>Non-Consumable Supplies</w:t>
      </w:r>
    </w:p>
    <w:p w14:paraId="0DDE5C97" w14:textId="09929D99" w:rsidR="00D83563" w:rsidRDefault="00D83563" w:rsidP="00726990">
      <w:pPr>
        <w:pStyle w:val="BodyTextIndent3"/>
        <w:ind w:firstLine="0"/>
        <w:rPr>
          <w:rFonts w:cs="Arial"/>
          <w:color w:val="000000"/>
          <w:sz w:val="24"/>
        </w:rPr>
      </w:pPr>
      <w:r w:rsidRPr="00D83563">
        <w:rPr>
          <w:rFonts w:cs="Arial"/>
          <w:color w:val="000000"/>
          <w:sz w:val="24"/>
        </w:rPr>
        <w:t xml:space="preserve">An item is defined as a non-consumable supply if it can be expected to serve its </w:t>
      </w:r>
      <w:r w:rsidR="00E341CC" w:rsidRPr="00D83563">
        <w:rPr>
          <w:rFonts w:cs="Arial"/>
          <w:color w:val="000000"/>
          <w:sz w:val="24"/>
        </w:rPr>
        <w:t>principal</w:t>
      </w:r>
      <w:r w:rsidRPr="00D83563">
        <w:rPr>
          <w:rFonts w:cs="Arial"/>
          <w:color w:val="000000"/>
          <w:sz w:val="24"/>
        </w:rPr>
        <w:t xml:space="preserve"> purpose for at least one</w:t>
      </w:r>
      <w:r w:rsidR="00E05D8D">
        <w:rPr>
          <w:rFonts w:cs="Arial"/>
          <w:color w:val="000000"/>
          <w:sz w:val="24"/>
        </w:rPr>
        <w:t xml:space="preserve"> </w:t>
      </w:r>
      <w:r w:rsidRPr="00D83563">
        <w:rPr>
          <w:rFonts w:cs="Arial"/>
          <w:color w:val="000000"/>
          <w:sz w:val="24"/>
        </w:rPr>
        <w:t>year and is less than $5,000 (with accessories) per unit cost in value (e.g.</w:t>
      </w:r>
      <w:r w:rsidR="0029162F">
        <w:rPr>
          <w:rFonts w:cs="Arial"/>
          <w:color w:val="000000"/>
          <w:sz w:val="24"/>
        </w:rPr>
        <w:t>,</w:t>
      </w:r>
      <w:r w:rsidRPr="00D83563">
        <w:rPr>
          <w:rFonts w:cs="Arial"/>
          <w:color w:val="000000"/>
          <w:sz w:val="24"/>
        </w:rPr>
        <w:t xml:space="preserve"> printers, cameras, tables, and cellphones).</w:t>
      </w:r>
    </w:p>
    <w:p w14:paraId="2692BB3D" w14:textId="77777777" w:rsidR="00D83563" w:rsidRDefault="00D83563" w:rsidP="005842A2">
      <w:pPr>
        <w:pStyle w:val="BodyTextIndent3"/>
        <w:numPr>
          <w:ilvl w:val="0"/>
          <w:numId w:val="28"/>
        </w:numPr>
        <w:tabs>
          <w:tab w:val="left" w:pos="1800"/>
        </w:tabs>
        <w:ind w:hanging="288"/>
        <w:rPr>
          <w:rFonts w:cs="Arial"/>
          <w:color w:val="000000"/>
          <w:sz w:val="24"/>
        </w:rPr>
      </w:pPr>
      <w:r w:rsidRPr="00D83563">
        <w:rPr>
          <w:rFonts w:cs="Arial"/>
          <w:color w:val="000000"/>
          <w:sz w:val="24"/>
        </w:rPr>
        <w:t>Inventory Procedures</w:t>
      </w:r>
    </w:p>
    <w:p w14:paraId="7D868874" w14:textId="478ED622" w:rsidR="00BC1C28" w:rsidRDefault="00D83563" w:rsidP="007269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rPr>
      </w:pPr>
      <w:r w:rsidRPr="00D83563">
        <w:rPr>
          <w:rFonts w:cs="Arial"/>
          <w:color w:val="000000"/>
        </w:rPr>
        <w:t xml:space="preserve">The operating agency is required to maintain an inventory of the equipment (including replacement equipment) and non-consumable supplies until transfer, replacement, or disposition takes place. A physical inventory of equipment and non-consumable supplies shall be </w:t>
      </w:r>
      <w:r w:rsidR="006D2653" w:rsidRPr="00D83563">
        <w:rPr>
          <w:rFonts w:cs="Arial"/>
          <w:color w:val="000000"/>
        </w:rPr>
        <w:t>taken,</w:t>
      </w:r>
      <w:r w:rsidRPr="00D83563">
        <w:rPr>
          <w:rFonts w:cs="Arial"/>
          <w:color w:val="000000"/>
        </w:rPr>
        <w:t xml:space="preserve"> and the results reconciled with property records at least once every two years.</w:t>
      </w:r>
    </w:p>
    <w:p w14:paraId="54C3300C" w14:textId="2D2DB9EF" w:rsidR="00944BC2" w:rsidRDefault="00D83563" w:rsidP="007269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rPr>
      </w:pPr>
      <w:r w:rsidRPr="00D83563">
        <w:rPr>
          <w:rFonts w:cs="Arial"/>
          <w:color w:val="000000"/>
        </w:rPr>
        <w:t>The records shall include:</w:t>
      </w:r>
    </w:p>
    <w:p w14:paraId="5F171778" w14:textId="77777777" w:rsidR="00D83563" w:rsidRDefault="00D83563" w:rsidP="00726990">
      <w:pPr>
        <w:numPr>
          <w:ilvl w:val="0"/>
          <w:numId w:val="7"/>
        </w:numPr>
        <w:tabs>
          <w:tab w:val="clear" w:pos="1440"/>
          <w:tab w:val="left" w:pos="0"/>
          <w:tab w:val="num" w:pos="1530"/>
          <w:tab w:val="left" w:pos="2880"/>
          <w:tab w:val="left" w:pos="3600"/>
          <w:tab w:val="left" w:pos="4320"/>
          <w:tab w:val="left" w:pos="5040"/>
          <w:tab w:val="left" w:pos="5760"/>
          <w:tab w:val="left" w:pos="6480"/>
          <w:tab w:val="left" w:pos="7200"/>
          <w:tab w:val="left" w:pos="7920"/>
          <w:tab w:val="left" w:pos="8640"/>
        </w:tabs>
        <w:ind w:left="1296" w:hanging="288"/>
        <w:rPr>
          <w:rFonts w:cs="Arial"/>
          <w:color w:val="000000"/>
        </w:rPr>
      </w:pPr>
      <w:r w:rsidRPr="00D83563">
        <w:rPr>
          <w:rFonts w:cs="Arial"/>
          <w:color w:val="000000"/>
        </w:rPr>
        <w:t>A description of the equipment, including the manufacturer’s serial number or other identification number.</w:t>
      </w:r>
    </w:p>
    <w:p w14:paraId="13EC5201" w14:textId="77777777" w:rsidR="00D83563" w:rsidRDefault="00D83563" w:rsidP="00726990">
      <w:pPr>
        <w:numPr>
          <w:ilvl w:val="0"/>
          <w:numId w:val="7"/>
        </w:num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ind w:left="1296" w:hanging="288"/>
        <w:rPr>
          <w:rFonts w:cs="Arial"/>
          <w:color w:val="000000"/>
        </w:rPr>
      </w:pPr>
      <w:r w:rsidRPr="00D83563">
        <w:rPr>
          <w:rFonts w:cs="Arial"/>
          <w:color w:val="000000"/>
        </w:rPr>
        <w:lastRenderedPageBreak/>
        <w:t>The source of the property, including award number.</w:t>
      </w:r>
    </w:p>
    <w:p w14:paraId="6C12AA0E" w14:textId="77777777" w:rsidR="00D83563" w:rsidRDefault="00D83563" w:rsidP="00726990">
      <w:pPr>
        <w:numPr>
          <w:ilvl w:val="0"/>
          <w:numId w:val="7"/>
        </w:num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ind w:left="1296" w:hanging="288"/>
        <w:rPr>
          <w:rFonts w:cs="Arial"/>
          <w:color w:val="000000"/>
        </w:rPr>
      </w:pPr>
      <w:r w:rsidRPr="00D83563">
        <w:rPr>
          <w:rFonts w:cs="Arial"/>
          <w:color w:val="000000"/>
        </w:rPr>
        <w:t>Who holds the title to the property.</w:t>
      </w:r>
    </w:p>
    <w:p w14:paraId="2312D60C" w14:textId="77777777" w:rsidR="00D83563" w:rsidRDefault="00D83563" w:rsidP="00726990">
      <w:pPr>
        <w:numPr>
          <w:ilvl w:val="0"/>
          <w:numId w:val="7"/>
        </w:num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s>
        <w:ind w:left="1296" w:hanging="288"/>
        <w:rPr>
          <w:rFonts w:cs="Arial"/>
          <w:color w:val="000000"/>
        </w:rPr>
      </w:pPr>
      <w:r w:rsidRPr="00D83563">
        <w:rPr>
          <w:rFonts w:cs="Arial"/>
          <w:color w:val="000000"/>
        </w:rPr>
        <w:t>The acquisition date and cost of the equipment.</w:t>
      </w:r>
    </w:p>
    <w:p w14:paraId="24AA40AF" w14:textId="77777777" w:rsidR="00D83563" w:rsidRDefault="00D83563" w:rsidP="00726990">
      <w:pPr>
        <w:numPr>
          <w:ilvl w:val="0"/>
          <w:numId w:val="7"/>
        </w:numPr>
        <w:tabs>
          <w:tab w:val="clear" w:pos="1440"/>
          <w:tab w:val="left" w:pos="0"/>
          <w:tab w:val="left" w:pos="1530"/>
          <w:tab w:val="left" w:pos="5040"/>
          <w:tab w:val="left" w:pos="5760"/>
          <w:tab w:val="left" w:pos="6480"/>
          <w:tab w:val="left" w:pos="7200"/>
          <w:tab w:val="left" w:pos="7920"/>
          <w:tab w:val="left" w:pos="8640"/>
        </w:tabs>
        <w:ind w:left="1296" w:hanging="288"/>
        <w:rPr>
          <w:rFonts w:cs="Arial"/>
        </w:rPr>
      </w:pPr>
      <w:r w:rsidRPr="00D83563">
        <w:rPr>
          <w:rFonts w:cs="Arial"/>
        </w:rPr>
        <w:t>The use, condition, and location of the equipment, as well as the date this information was reported.</w:t>
      </w:r>
    </w:p>
    <w:p w14:paraId="32804780" w14:textId="77777777" w:rsidR="00D83563" w:rsidRDefault="00D83563" w:rsidP="00726990">
      <w:pPr>
        <w:numPr>
          <w:ilvl w:val="0"/>
          <w:numId w:val="7"/>
        </w:numPr>
        <w:tabs>
          <w:tab w:val="clear" w:pos="1440"/>
          <w:tab w:val="left" w:pos="0"/>
          <w:tab w:val="left" w:pos="1530"/>
          <w:tab w:val="left" w:pos="5040"/>
          <w:tab w:val="left" w:pos="5760"/>
          <w:tab w:val="left" w:pos="6480"/>
          <w:tab w:val="left" w:pos="7200"/>
          <w:tab w:val="left" w:pos="7920"/>
          <w:tab w:val="left" w:pos="8640"/>
        </w:tabs>
        <w:ind w:left="1296" w:hanging="288"/>
        <w:rPr>
          <w:rFonts w:cs="Arial"/>
        </w:rPr>
      </w:pPr>
      <w:r w:rsidRPr="00D83563">
        <w:rPr>
          <w:rFonts w:cs="Arial"/>
        </w:rPr>
        <w:t>A control system to ensure adequate safeguards to prevent loss, damage, or theft of the property. Any loss, damage, or theft shall be investigated.</w:t>
      </w:r>
    </w:p>
    <w:p w14:paraId="7E43CFBD" w14:textId="77777777" w:rsidR="00944BC2" w:rsidRDefault="00D83563" w:rsidP="00726990">
      <w:pPr>
        <w:numPr>
          <w:ilvl w:val="0"/>
          <w:numId w:val="7"/>
        </w:numPr>
        <w:tabs>
          <w:tab w:val="clear" w:pos="1440"/>
          <w:tab w:val="left" w:pos="0"/>
          <w:tab w:val="left" w:pos="1530"/>
          <w:tab w:val="left" w:pos="5040"/>
          <w:tab w:val="left" w:pos="5760"/>
          <w:tab w:val="left" w:pos="6480"/>
          <w:tab w:val="left" w:pos="7200"/>
          <w:tab w:val="left" w:pos="7920"/>
          <w:tab w:val="left" w:pos="8640"/>
        </w:tabs>
        <w:ind w:left="1296" w:hanging="288"/>
        <w:rPr>
          <w:rFonts w:cs="Arial"/>
        </w:rPr>
      </w:pPr>
      <w:r w:rsidRPr="00D83563">
        <w:rPr>
          <w:rFonts w:cs="Arial"/>
        </w:rPr>
        <w:t>Any ultimate disposition data, including the date of the disposal, transfer, or replacement and/or the sales prices of the property, if applicable.</w:t>
      </w:r>
    </w:p>
    <w:p w14:paraId="0A85887D" w14:textId="77777777" w:rsidR="00D83563" w:rsidRDefault="00D83563" w:rsidP="005842A2">
      <w:pPr>
        <w:pStyle w:val="ListParagraph"/>
        <w:numPr>
          <w:ilvl w:val="0"/>
          <w:numId w:val="28"/>
        </w:numPr>
        <w:tabs>
          <w:tab w:val="left" w:pos="1080"/>
          <w:tab w:val="left" w:pos="1350"/>
          <w:tab w:val="left" w:pos="5040"/>
          <w:tab w:val="left" w:pos="5760"/>
          <w:tab w:val="left" w:pos="6480"/>
          <w:tab w:val="left" w:pos="7200"/>
          <w:tab w:val="left" w:pos="7920"/>
          <w:tab w:val="left" w:pos="8640"/>
        </w:tabs>
        <w:ind w:hanging="288"/>
        <w:contextualSpacing w:val="0"/>
        <w:rPr>
          <w:rFonts w:cs="Arial"/>
        </w:rPr>
      </w:pPr>
      <w:r w:rsidRPr="00D83563">
        <w:rPr>
          <w:rFonts w:cs="Arial"/>
        </w:rPr>
        <w:t>Safeguards Against Theft</w:t>
      </w:r>
    </w:p>
    <w:p w14:paraId="3FD1DC95" w14:textId="77777777" w:rsidR="00944BC2" w:rsidRDefault="00D83563" w:rsidP="00726990">
      <w:pPr>
        <w:tabs>
          <w:tab w:val="left" w:pos="1080"/>
          <w:tab w:val="left" w:pos="1350"/>
          <w:tab w:val="num" w:pos="1530"/>
          <w:tab w:val="left" w:pos="5040"/>
          <w:tab w:val="left" w:pos="5760"/>
          <w:tab w:val="left" w:pos="6480"/>
          <w:tab w:val="left" w:pos="7200"/>
          <w:tab w:val="left" w:pos="7920"/>
          <w:tab w:val="left" w:pos="8640"/>
        </w:tabs>
        <w:suppressAutoHyphens/>
        <w:ind w:left="720"/>
        <w:rPr>
          <w:rFonts w:cs="Arial"/>
        </w:rPr>
      </w:pPr>
      <w:r w:rsidRPr="00D83563">
        <w:rPr>
          <w:rFonts w:cs="Arial"/>
        </w:rPr>
        <w:t>As part of an inventory management system, an operating agency must develop a control system to ensure that adequate safeguards are in place to prevent loss, damage or theft of any property. Any loss, damage or theft must be investigated immediately. Further, the operating agency must ensure that adequate maintenance procedures are in place to keep equipment purchased with federal funds in good condition. The operating agency must maintain records which demonstrate this control system and maintenance policy.</w:t>
      </w:r>
    </w:p>
    <w:p w14:paraId="71080A4E" w14:textId="77777777" w:rsidR="00944BC2" w:rsidRDefault="00D83563" w:rsidP="00726990">
      <w:pPr>
        <w:tabs>
          <w:tab w:val="left" w:pos="1080"/>
          <w:tab w:val="left" w:pos="1350"/>
          <w:tab w:val="num" w:pos="1530"/>
          <w:tab w:val="left" w:pos="5040"/>
          <w:tab w:val="left" w:pos="5760"/>
          <w:tab w:val="left" w:pos="6480"/>
          <w:tab w:val="left" w:pos="7200"/>
          <w:tab w:val="left" w:pos="7920"/>
          <w:tab w:val="left" w:pos="8640"/>
        </w:tabs>
        <w:suppressAutoHyphens/>
        <w:ind w:left="720"/>
        <w:rPr>
          <w:rFonts w:cs="Arial"/>
        </w:rPr>
      </w:pPr>
      <w:r w:rsidRPr="00D83563">
        <w:rPr>
          <w:rFonts w:cs="Arial"/>
        </w:rPr>
        <w:t>To facilitate the proper tracking of property, local operating agencies must tag any piece of equipment and non-consumable supply. The tag must consist of a physical label with an inventory number which corresponds to the local operating agency’s property records. The tag must not be easily removable.</w:t>
      </w:r>
    </w:p>
    <w:p w14:paraId="5C804BCB" w14:textId="77777777" w:rsidR="00D83563" w:rsidRDefault="00D83563" w:rsidP="009C532E">
      <w:pPr>
        <w:pStyle w:val="Heading3"/>
      </w:pPr>
      <w:bookmarkStart w:id="66" w:name="_Toc414262508"/>
      <w:bookmarkStart w:id="67" w:name="_Toc207703808"/>
      <w:r w:rsidRPr="00D83563">
        <w:t>6.2</w:t>
      </w:r>
      <w:r w:rsidR="004E2608">
        <w:t xml:space="preserve"> </w:t>
      </w:r>
      <w:r w:rsidRPr="00D83563">
        <w:t>Property</w:t>
      </w:r>
      <w:bookmarkEnd w:id="66"/>
      <w:bookmarkEnd w:id="67"/>
    </w:p>
    <w:p w14:paraId="40E89585" w14:textId="77777777" w:rsidR="00D83563" w:rsidRDefault="00D83563" w:rsidP="005842A2">
      <w:pPr>
        <w:pStyle w:val="Heading4"/>
        <w:numPr>
          <w:ilvl w:val="0"/>
          <w:numId w:val="66"/>
        </w:numPr>
      </w:pPr>
      <w:r w:rsidRPr="00D83563">
        <w:t>Title</w:t>
      </w:r>
    </w:p>
    <w:p w14:paraId="35BCE2F0" w14:textId="77777777" w:rsidR="00944BC2" w:rsidRDefault="00D83563" w:rsidP="00726990">
      <w:pPr>
        <w:pStyle w:val="BodyTextIndent3"/>
        <w:suppressAutoHyphens/>
        <w:ind w:firstLine="0"/>
        <w:rPr>
          <w:rFonts w:cs="Arial"/>
          <w:color w:val="000000"/>
          <w:sz w:val="24"/>
        </w:rPr>
      </w:pPr>
      <w:r w:rsidRPr="00D83563">
        <w:rPr>
          <w:rFonts w:cs="Arial"/>
          <w:color w:val="000000"/>
          <w:sz w:val="24"/>
        </w:rPr>
        <w:t xml:space="preserve">The </w:t>
      </w:r>
      <w:r w:rsidRPr="00D83563">
        <w:rPr>
          <w:rFonts w:cs="Arial"/>
          <w:iCs/>
          <w:color w:val="000000"/>
          <w:sz w:val="24"/>
        </w:rPr>
        <w:t>CDE</w:t>
      </w:r>
      <w:r w:rsidRPr="00D83563">
        <w:rPr>
          <w:rFonts w:cs="Arial"/>
          <w:color w:val="000000"/>
          <w:sz w:val="24"/>
        </w:rPr>
        <w:t xml:space="preserve"> shall maintain ownership and control over all equipment or property acquired with migrant education funds. All materials developed under the terms of this award will become the property of the CDE. The CDE reserves the exclusive right to copyright such materials and to publish, disseminate, and otherwise use materials developed under the terms of MEP funds.</w:t>
      </w:r>
    </w:p>
    <w:p w14:paraId="2A5ADFF0" w14:textId="77777777" w:rsidR="00D83563" w:rsidRDefault="00D83563" w:rsidP="005842A2">
      <w:pPr>
        <w:pStyle w:val="Heading4"/>
        <w:numPr>
          <w:ilvl w:val="0"/>
          <w:numId w:val="66"/>
        </w:numPr>
      </w:pPr>
      <w:r w:rsidRPr="00D83563">
        <w:t>Use for Non-Project Purpose</w:t>
      </w:r>
    </w:p>
    <w:p w14:paraId="7B4DD05A" w14:textId="77777777" w:rsidR="00D83563" w:rsidRDefault="00D83563" w:rsidP="00726990">
      <w:pPr>
        <w:pStyle w:val="BodyTextIndent3"/>
        <w:suppressAutoHyphens/>
        <w:ind w:firstLine="0"/>
        <w:rPr>
          <w:rFonts w:cs="Arial"/>
          <w:color w:val="000000"/>
          <w:sz w:val="24"/>
        </w:rPr>
      </w:pPr>
      <w:r w:rsidRPr="00D83563">
        <w:rPr>
          <w:rFonts w:cs="Arial"/>
          <w:color w:val="000000"/>
          <w:sz w:val="24"/>
        </w:rPr>
        <w:t>If equipment is being used less than full-time in the program for which it was originally acquired, the recipient shall make it available for use in other programs currently or previously sponsored by the federal government. First preference for such other use shall be given to programs sponsored by the same granting agency.</w:t>
      </w:r>
    </w:p>
    <w:p w14:paraId="733F088D" w14:textId="65FFC39D" w:rsidR="00944BC2" w:rsidRDefault="00D83563" w:rsidP="00726990">
      <w:pPr>
        <w:pStyle w:val="BodyTextIndent3"/>
        <w:suppressAutoHyphens/>
        <w:ind w:firstLine="0"/>
        <w:rPr>
          <w:rFonts w:cs="Arial"/>
          <w:color w:val="000000"/>
          <w:sz w:val="24"/>
        </w:rPr>
      </w:pPr>
      <w:r w:rsidRPr="00D83563">
        <w:rPr>
          <w:rFonts w:cs="Arial"/>
          <w:color w:val="000000"/>
          <w:sz w:val="24"/>
        </w:rPr>
        <w:t xml:space="preserve">Operating agencies shall request in </w:t>
      </w:r>
      <w:r w:rsidR="007C361A" w:rsidRPr="00D83563">
        <w:rPr>
          <w:rFonts w:cs="Arial"/>
          <w:color w:val="000000"/>
          <w:sz w:val="24"/>
        </w:rPr>
        <w:t>writing</w:t>
      </w:r>
      <w:r w:rsidRPr="00D83563">
        <w:rPr>
          <w:rFonts w:cs="Arial"/>
          <w:color w:val="000000"/>
          <w:sz w:val="24"/>
        </w:rPr>
        <w:t xml:space="preserve"> justification(s) for allowing migrant education equipment to be used by other programs and receive prior written approval from the appropriate granting agency (the region must approve for districts and the </w:t>
      </w:r>
      <w:r w:rsidRPr="00D83563">
        <w:rPr>
          <w:rFonts w:cs="Arial"/>
          <w:iCs/>
          <w:color w:val="000000"/>
          <w:sz w:val="24"/>
        </w:rPr>
        <w:t>CDE must approve for regions and direct-funded districts)</w:t>
      </w:r>
      <w:r w:rsidRPr="00D83563">
        <w:rPr>
          <w:rFonts w:cs="Arial"/>
          <w:color w:val="000000"/>
          <w:sz w:val="24"/>
        </w:rPr>
        <w:t xml:space="preserve"> before any equipment may be used by other programs. The operating agency must </w:t>
      </w:r>
      <w:r w:rsidRPr="00D83563">
        <w:rPr>
          <w:rFonts w:cs="Arial"/>
          <w:color w:val="000000"/>
          <w:sz w:val="24"/>
        </w:rPr>
        <w:lastRenderedPageBreak/>
        <w:t xml:space="preserve">demonstrate that the use of the equipment in non-MEP activities does not decrease the quality of the equipment or effectiveness of the MEP services provided to </w:t>
      </w:r>
      <w:r w:rsidR="00D31812">
        <w:rPr>
          <w:rFonts w:cs="Arial"/>
          <w:color w:val="000000"/>
          <w:sz w:val="24"/>
        </w:rPr>
        <w:t>migratory</w:t>
      </w:r>
      <w:r w:rsidRPr="00D83563">
        <w:rPr>
          <w:rFonts w:cs="Arial"/>
          <w:color w:val="000000"/>
          <w:sz w:val="24"/>
        </w:rPr>
        <w:t xml:space="preserve"> children, increase the cost of using the equipment for the MEP project, or result in the exclusion of MEP children who otherwise would have been able to use the equipment.</w:t>
      </w:r>
    </w:p>
    <w:p w14:paraId="5437ECCD" w14:textId="77777777" w:rsidR="00D83563" w:rsidRDefault="00D83563" w:rsidP="00726990">
      <w:pPr>
        <w:pStyle w:val="BodyTextIndent3"/>
        <w:suppressAutoHyphens/>
        <w:ind w:firstLine="0"/>
        <w:rPr>
          <w:rFonts w:cs="Arial"/>
          <w:color w:val="000000"/>
          <w:sz w:val="24"/>
        </w:rPr>
      </w:pPr>
      <w:r w:rsidRPr="00D83563">
        <w:rPr>
          <w:rFonts w:cs="Arial"/>
          <w:color w:val="000000"/>
          <w:sz w:val="24"/>
        </w:rPr>
        <w:t>Requests should include the following:</w:t>
      </w:r>
    </w:p>
    <w:p w14:paraId="00845DC0" w14:textId="77777777" w:rsidR="00D83563" w:rsidRPr="00D83563" w:rsidRDefault="00D83563" w:rsidP="005842A2">
      <w:pPr>
        <w:pStyle w:val="BodyTextIndent3"/>
        <w:numPr>
          <w:ilvl w:val="0"/>
          <w:numId w:val="56"/>
        </w:numPr>
        <w:tabs>
          <w:tab w:val="left" w:pos="1530"/>
        </w:tabs>
        <w:rPr>
          <w:rFonts w:cs="Arial"/>
          <w:color w:val="000000"/>
          <w:sz w:val="24"/>
        </w:rPr>
      </w:pPr>
      <w:r w:rsidRPr="00D83563">
        <w:rPr>
          <w:rFonts w:cs="Arial"/>
          <w:color w:val="000000"/>
          <w:sz w:val="24"/>
        </w:rPr>
        <w:t>Reason equipment is not being used full-time by the MEP</w:t>
      </w:r>
    </w:p>
    <w:p w14:paraId="710D4A17" w14:textId="77777777" w:rsidR="00D83563" w:rsidRPr="00D83563" w:rsidRDefault="00D83563" w:rsidP="005842A2">
      <w:pPr>
        <w:pStyle w:val="BodyTextIndent3"/>
        <w:numPr>
          <w:ilvl w:val="0"/>
          <w:numId w:val="56"/>
        </w:numPr>
        <w:tabs>
          <w:tab w:val="left" w:pos="1530"/>
        </w:tabs>
        <w:rPr>
          <w:rFonts w:cs="Arial"/>
          <w:color w:val="000000"/>
          <w:sz w:val="24"/>
        </w:rPr>
      </w:pPr>
      <w:r w:rsidRPr="00D83563">
        <w:rPr>
          <w:rFonts w:cs="Arial"/>
          <w:color w:val="000000"/>
          <w:sz w:val="24"/>
        </w:rPr>
        <w:t>Proposed additional use</w:t>
      </w:r>
    </w:p>
    <w:p w14:paraId="25E04F2B" w14:textId="77777777" w:rsidR="00D83563" w:rsidRPr="00D83563" w:rsidRDefault="00D83563" w:rsidP="005842A2">
      <w:pPr>
        <w:pStyle w:val="BodyTextIndent3"/>
        <w:numPr>
          <w:ilvl w:val="0"/>
          <w:numId w:val="56"/>
        </w:numPr>
        <w:tabs>
          <w:tab w:val="left" w:pos="1530"/>
        </w:tabs>
        <w:rPr>
          <w:rFonts w:cs="Arial"/>
          <w:color w:val="000000"/>
          <w:sz w:val="24"/>
        </w:rPr>
      </w:pPr>
      <w:r w:rsidRPr="00D83563">
        <w:rPr>
          <w:rFonts w:cs="Arial"/>
          <w:color w:val="000000"/>
          <w:sz w:val="24"/>
        </w:rPr>
        <w:t>Program that will share equipment</w:t>
      </w:r>
    </w:p>
    <w:p w14:paraId="2949D88C" w14:textId="77777777" w:rsidR="00D83563" w:rsidRDefault="00D83563" w:rsidP="005842A2">
      <w:pPr>
        <w:pStyle w:val="BodyTextIndent3"/>
        <w:numPr>
          <w:ilvl w:val="0"/>
          <w:numId w:val="56"/>
        </w:numPr>
        <w:tabs>
          <w:tab w:val="left" w:pos="1530"/>
        </w:tabs>
        <w:rPr>
          <w:rFonts w:cs="Arial"/>
          <w:color w:val="000000"/>
          <w:sz w:val="24"/>
        </w:rPr>
      </w:pPr>
      <w:r w:rsidRPr="00D83563">
        <w:rPr>
          <w:rFonts w:cs="Arial"/>
          <w:color w:val="000000"/>
          <w:sz w:val="24"/>
        </w:rPr>
        <w:t>Justification for shared use</w:t>
      </w:r>
    </w:p>
    <w:p w14:paraId="110547FB" w14:textId="64E49A17" w:rsidR="00D83563" w:rsidRDefault="00D83563" w:rsidP="005842A2">
      <w:pPr>
        <w:pStyle w:val="Heading4"/>
        <w:numPr>
          <w:ilvl w:val="0"/>
          <w:numId w:val="66"/>
        </w:numPr>
      </w:pPr>
      <w:r w:rsidRPr="00D83563">
        <w:t>Replacement, Transfer, and Disposition of Equipment</w:t>
      </w:r>
    </w:p>
    <w:p w14:paraId="12A728DA" w14:textId="2BC7B00B" w:rsidR="00944BC2" w:rsidRDefault="00D83563" w:rsidP="00726990">
      <w:pPr>
        <w:pStyle w:val="BodyTextIndent3"/>
        <w:tabs>
          <w:tab w:val="left" w:pos="900"/>
          <w:tab w:val="left" w:pos="1080"/>
        </w:tabs>
        <w:ind w:firstLine="0"/>
        <w:rPr>
          <w:rFonts w:cs="Arial"/>
          <w:sz w:val="24"/>
        </w:rPr>
      </w:pPr>
      <w:r w:rsidRPr="00D83563">
        <w:rPr>
          <w:rFonts w:cs="Arial"/>
          <w:color w:val="000000"/>
          <w:sz w:val="24"/>
        </w:rPr>
        <w:t xml:space="preserve">The obligations and conditions for equipment must be followed as set forth in 2 </w:t>
      </w:r>
      <w:r w:rsidRPr="00D83563">
        <w:rPr>
          <w:rFonts w:cs="Arial"/>
          <w:i/>
          <w:color w:val="000000"/>
          <w:sz w:val="24"/>
        </w:rPr>
        <w:t>CFR</w:t>
      </w:r>
      <w:r w:rsidRPr="00D83563">
        <w:rPr>
          <w:rFonts w:cs="Arial"/>
          <w:color w:val="000000"/>
          <w:sz w:val="24"/>
        </w:rPr>
        <w:t xml:space="preserve"> </w:t>
      </w:r>
      <w:r w:rsidR="007C361A">
        <w:rPr>
          <w:rFonts w:cs="Arial"/>
          <w:color w:val="000000"/>
          <w:sz w:val="24"/>
        </w:rPr>
        <w:t xml:space="preserve">Section </w:t>
      </w:r>
      <w:r w:rsidRPr="00D83563">
        <w:rPr>
          <w:rFonts w:cs="Arial"/>
          <w:color w:val="000000"/>
          <w:sz w:val="24"/>
        </w:rPr>
        <w:t>200.313</w:t>
      </w:r>
      <w:r w:rsidRPr="00D83563">
        <w:rPr>
          <w:rFonts w:cs="Arial"/>
          <w:sz w:val="24"/>
        </w:rPr>
        <w:t>.</w:t>
      </w:r>
    </w:p>
    <w:p w14:paraId="31D6DD4E" w14:textId="77777777" w:rsidR="00D83563" w:rsidRDefault="00D83563" w:rsidP="005842A2">
      <w:pPr>
        <w:pStyle w:val="BodyTextIndent3"/>
        <w:numPr>
          <w:ilvl w:val="3"/>
          <w:numId w:val="15"/>
        </w:numPr>
        <w:tabs>
          <w:tab w:val="clear" w:pos="2910"/>
          <w:tab w:val="num" w:pos="1080"/>
          <w:tab w:val="left" w:pos="1530"/>
        </w:tabs>
        <w:ind w:left="1296" w:hanging="288"/>
        <w:rPr>
          <w:rFonts w:cs="Arial"/>
          <w:color w:val="000000"/>
          <w:sz w:val="24"/>
        </w:rPr>
      </w:pPr>
      <w:r w:rsidRPr="00D83563">
        <w:rPr>
          <w:rFonts w:cs="Arial"/>
          <w:color w:val="000000"/>
          <w:sz w:val="24"/>
        </w:rPr>
        <w:t>Replacement of Equipment</w:t>
      </w:r>
    </w:p>
    <w:p w14:paraId="1AF4D653" w14:textId="77777777" w:rsidR="00D83563" w:rsidRDefault="00D83563" w:rsidP="00726990">
      <w:pPr>
        <w:pStyle w:val="BodyTextIndent3"/>
        <w:ind w:left="1296" w:firstLine="0"/>
        <w:rPr>
          <w:rFonts w:cs="Arial"/>
          <w:color w:val="000000"/>
          <w:sz w:val="24"/>
        </w:rPr>
      </w:pPr>
      <w:r w:rsidRPr="00D83563">
        <w:rPr>
          <w:rFonts w:cs="Arial"/>
          <w:color w:val="000000"/>
          <w:sz w:val="24"/>
        </w:rPr>
        <w:t>Equipment may be exchanged for replacement equipment, if needed, through trade-in or sale. The proceeds of the sale or trade-in shall be applied to the acquisition of the replacement equipment. If additional migrant education funds are required to purchase the replacement equipment, the purchase will be subject to the same requirements as new equipment.</w:t>
      </w:r>
    </w:p>
    <w:p w14:paraId="3DCEF197" w14:textId="77777777" w:rsidR="00D83563" w:rsidRDefault="00D83563" w:rsidP="005842A2">
      <w:pPr>
        <w:pStyle w:val="BodyTextIndent3"/>
        <w:numPr>
          <w:ilvl w:val="2"/>
          <w:numId w:val="15"/>
        </w:numPr>
        <w:tabs>
          <w:tab w:val="left" w:pos="1530"/>
        </w:tabs>
        <w:ind w:left="1296" w:hanging="288"/>
        <w:rPr>
          <w:rFonts w:cs="Arial"/>
          <w:color w:val="000000"/>
          <w:sz w:val="24"/>
        </w:rPr>
      </w:pPr>
      <w:r w:rsidRPr="00D83563">
        <w:rPr>
          <w:rFonts w:cs="Arial"/>
          <w:color w:val="000000"/>
          <w:sz w:val="24"/>
        </w:rPr>
        <w:t>Transfer of Equipment</w:t>
      </w:r>
    </w:p>
    <w:p w14:paraId="4716F39D" w14:textId="200050D4" w:rsidR="00D83563" w:rsidRDefault="00D83563" w:rsidP="00726990">
      <w:pPr>
        <w:pStyle w:val="BodyTextIndent3"/>
        <w:ind w:left="1296" w:firstLine="0"/>
        <w:rPr>
          <w:rFonts w:cs="Arial"/>
          <w:color w:val="000000"/>
          <w:sz w:val="24"/>
        </w:rPr>
      </w:pPr>
      <w:r w:rsidRPr="00D83563">
        <w:rPr>
          <w:rFonts w:cs="Arial"/>
          <w:color w:val="000000"/>
          <w:sz w:val="24"/>
        </w:rPr>
        <w:t>If the program for which the equipment was acquired is transferred from one operating agency to another, all items of equipment having a unit acquisition cost of $</w:t>
      </w:r>
      <w:r w:rsidR="00CD186B">
        <w:rPr>
          <w:rFonts w:cs="Arial"/>
          <w:color w:val="000000"/>
          <w:sz w:val="24"/>
        </w:rPr>
        <w:t>10</w:t>
      </w:r>
      <w:r w:rsidRPr="00D83563">
        <w:rPr>
          <w:rFonts w:cs="Arial"/>
          <w:color w:val="000000"/>
          <w:sz w:val="24"/>
        </w:rPr>
        <w:t>,000 or more shall be transferred to the new operating agency.</w:t>
      </w:r>
    </w:p>
    <w:p w14:paraId="568CABFF" w14:textId="77777777" w:rsidR="00D83563" w:rsidRDefault="00D83563" w:rsidP="00726990">
      <w:pPr>
        <w:pStyle w:val="BodyTextIndent3"/>
        <w:ind w:left="1296" w:firstLine="0"/>
        <w:rPr>
          <w:rFonts w:cs="Arial"/>
          <w:color w:val="000000"/>
          <w:sz w:val="24"/>
        </w:rPr>
      </w:pPr>
      <w:r w:rsidRPr="00D83563">
        <w:rPr>
          <w:rFonts w:cs="Arial"/>
          <w:color w:val="000000"/>
          <w:sz w:val="24"/>
        </w:rPr>
        <w:t xml:space="preserve">The </w:t>
      </w:r>
      <w:r w:rsidRPr="00D83563">
        <w:rPr>
          <w:rFonts w:cs="Arial"/>
          <w:iCs/>
          <w:color w:val="000000"/>
          <w:sz w:val="24"/>
        </w:rPr>
        <w:t>CDE</w:t>
      </w:r>
      <w:r w:rsidRPr="00D83563">
        <w:rPr>
          <w:rFonts w:cs="Arial"/>
          <w:color w:val="000000"/>
          <w:sz w:val="24"/>
        </w:rPr>
        <w:t xml:space="preserve"> shall require the original recipient to furnish a listing of all items of equipment subject to the transfer. This will enable the </w:t>
      </w:r>
      <w:r w:rsidRPr="00D83563">
        <w:rPr>
          <w:rFonts w:cs="Arial"/>
          <w:iCs/>
          <w:color w:val="000000"/>
          <w:sz w:val="24"/>
        </w:rPr>
        <w:t>CDE</w:t>
      </w:r>
      <w:r w:rsidRPr="00D83563">
        <w:rPr>
          <w:rFonts w:cs="Arial"/>
          <w:color w:val="000000"/>
          <w:sz w:val="24"/>
        </w:rPr>
        <w:t xml:space="preserve"> to determine which items should be transferred. Reasonable shipping and/or storage costs incurred will be paid by the </w:t>
      </w:r>
      <w:r w:rsidRPr="00D83563">
        <w:rPr>
          <w:rFonts w:cs="Arial"/>
          <w:iCs/>
          <w:color w:val="000000"/>
          <w:sz w:val="24"/>
        </w:rPr>
        <w:t>CDE</w:t>
      </w:r>
      <w:r w:rsidRPr="00D83563">
        <w:rPr>
          <w:rFonts w:cs="Arial"/>
          <w:color w:val="000000"/>
          <w:sz w:val="24"/>
        </w:rPr>
        <w:t>.</w:t>
      </w:r>
    </w:p>
    <w:p w14:paraId="6DAF26EE" w14:textId="77777777" w:rsidR="00D83563" w:rsidRDefault="00D83563" w:rsidP="005842A2">
      <w:pPr>
        <w:pStyle w:val="BodyTextIndent3"/>
        <w:numPr>
          <w:ilvl w:val="2"/>
          <w:numId w:val="15"/>
        </w:numPr>
        <w:tabs>
          <w:tab w:val="left" w:pos="1530"/>
        </w:tabs>
        <w:ind w:left="1296" w:hanging="288"/>
        <w:rPr>
          <w:rFonts w:cs="Arial"/>
          <w:color w:val="000000"/>
          <w:sz w:val="24"/>
        </w:rPr>
      </w:pPr>
      <w:r w:rsidRPr="00D83563">
        <w:rPr>
          <w:rFonts w:cs="Arial"/>
          <w:color w:val="000000"/>
          <w:sz w:val="24"/>
        </w:rPr>
        <w:t>Disposition of Equipment</w:t>
      </w:r>
    </w:p>
    <w:p w14:paraId="73757BBC" w14:textId="77777777" w:rsidR="00D83563" w:rsidRDefault="00D83563" w:rsidP="00726990">
      <w:pPr>
        <w:pStyle w:val="BodyTextIndent3"/>
        <w:ind w:left="1296" w:firstLine="0"/>
        <w:rPr>
          <w:rFonts w:cs="Arial"/>
          <w:color w:val="000000"/>
          <w:sz w:val="24"/>
        </w:rPr>
      </w:pPr>
      <w:r w:rsidRPr="00D83563">
        <w:rPr>
          <w:rFonts w:cs="Arial"/>
          <w:color w:val="000000"/>
          <w:sz w:val="24"/>
        </w:rPr>
        <w:t>Notify the CDE when disposing of equipment. When original or replacement equipment is no longer used in programs currently sponsored by the federal government, disposition of the equipment shall be made as follows:</w:t>
      </w:r>
    </w:p>
    <w:p w14:paraId="7D18BE20" w14:textId="472992FB" w:rsidR="00D83563" w:rsidRDefault="00D83563" w:rsidP="005842A2">
      <w:pPr>
        <w:pStyle w:val="BodyTextIndent3"/>
        <w:numPr>
          <w:ilvl w:val="0"/>
          <w:numId w:val="16"/>
        </w:numPr>
        <w:tabs>
          <w:tab w:val="clear" w:pos="1800"/>
          <w:tab w:val="num" w:pos="1440"/>
          <w:tab w:val="left" w:pos="2520"/>
        </w:tabs>
        <w:ind w:left="1872"/>
        <w:rPr>
          <w:rFonts w:cs="Arial"/>
          <w:color w:val="000000"/>
          <w:sz w:val="24"/>
        </w:rPr>
      </w:pPr>
      <w:r w:rsidRPr="00D83563">
        <w:rPr>
          <w:rFonts w:cs="Arial"/>
          <w:color w:val="000000"/>
          <w:sz w:val="24"/>
        </w:rPr>
        <w:t>Equipment with a current per unit fair market value of less than $</w:t>
      </w:r>
      <w:r w:rsidR="0036666F">
        <w:rPr>
          <w:rFonts w:cs="Arial"/>
          <w:color w:val="000000"/>
          <w:sz w:val="24"/>
        </w:rPr>
        <w:t>10</w:t>
      </w:r>
      <w:r w:rsidRPr="00D83563">
        <w:rPr>
          <w:rFonts w:cs="Arial"/>
          <w:color w:val="000000"/>
          <w:sz w:val="24"/>
        </w:rPr>
        <w:t xml:space="preserve">,000 </w:t>
      </w:r>
      <w:r w:rsidR="00A64877">
        <w:rPr>
          <w:rFonts w:cs="Arial"/>
          <w:color w:val="000000"/>
          <w:sz w:val="24"/>
        </w:rPr>
        <w:t xml:space="preserve">(per unit) </w:t>
      </w:r>
      <w:r w:rsidRPr="00D83563">
        <w:rPr>
          <w:rFonts w:cs="Arial"/>
          <w:color w:val="000000"/>
          <w:sz w:val="24"/>
        </w:rPr>
        <w:t>may be retained, sold, or otherwise disposed of with no further obligation.</w:t>
      </w:r>
    </w:p>
    <w:p w14:paraId="3942C1F1" w14:textId="2051B3F3" w:rsidR="00944BC2" w:rsidRDefault="00D83563" w:rsidP="005842A2">
      <w:pPr>
        <w:pStyle w:val="BodyTextIndent3"/>
        <w:numPr>
          <w:ilvl w:val="0"/>
          <w:numId w:val="16"/>
        </w:numPr>
        <w:tabs>
          <w:tab w:val="clear" w:pos="1800"/>
          <w:tab w:val="num" w:pos="1440"/>
          <w:tab w:val="left" w:pos="2520"/>
        </w:tabs>
        <w:ind w:left="1872"/>
        <w:rPr>
          <w:rFonts w:cs="Arial"/>
          <w:color w:val="000000"/>
          <w:sz w:val="24"/>
        </w:rPr>
      </w:pPr>
      <w:r w:rsidRPr="00D83563">
        <w:rPr>
          <w:rFonts w:cs="Arial"/>
          <w:color w:val="000000"/>
          <w:sz w:val="24"/>
        </w:rPr>
        <w:t xml:space="preserve">Equipment with a current per unit fair market value </w:t>
      </w:r>
      <w:proofErr w:type="gramStart"/>
      <w:r w:rsidRPr="00D83563">
        <w:rPr>
          <w:rFonts w:cs="Arial"/>
          <w:color w:val="000000"/>
          <w:sz w:val="24"/>
        </w:rPr>
        <w:t>in excess of</w:t>
      </w:r>
      <w:proofErr w:type="gramEnd"/>
      <w:r w:rsidRPr="00D83563">
        <w:rPr>
          <w:rFonts w:cs="Arial"/>
          <w:color w:val="000000"/>
          <w:sz w:val="24"/>
        </w:rPr>
        <w:t xml:space="preserve"> $</w:t>
      </w:r>
      <w:r w:rsidR="0036666F">
        <w:rPr>
          <w:rFonts w:cs="Arial"/>
          <w:color w:val="000000"/>
          <w:sz w:val="24"/>
        </w:rPr>
        <w:t>10</w:t>
      </w:r>
      <w:r w:rsidRPr="00D83563">
        <w:rPr>
          <w:rFonts w:cs="Arial"/>
          <w:color w:val="000000"/>
          <w:sz w:val="24"/>
        </w:rPr>
        <w:t xml:space="preserve">,000 </w:t>
      </w:r>
      <w:r w:rsidR="00A87721">
        <w:rPr>
          <w:rFonts w:cs="Arial"/>
          <w:color w:val="000000"/>
          <w:sz w:val="24"/>
        </w:rPr>
        <w:t xml:space="preserve">(per unit) </w:t>
      </w:r>
      <w:r w:rsidRPr="00D83563">
        <w:rPr>
          <w:rFonts w:cs="Arial"/>
          <w:color w:val="000000"/>
          <w:sz w:val="24"/>
        </w:rPr>
        <w:t xml:space="preserve">may be retained or sold and the federal government has </w:t>
      </w:r>
      <w:r w:rsidR="00F1136D" w:rsidRPr="00D83563">
        <w:rPr>
          <w:rFonts w:cs="Arial"/>
          <w:color w:val="000000"/>
          <w:sz w:val="24"/>
        </w:rPr>
        <w:t>the right</w:t>
      </w:r>
      <w:r w:rsidRPr="00D83563">
        <w:rPr>
          <w:rFonts w:cs="Arial"/>
          <w:color w:val="000000"/>
          <w:sz w:val="24"/>
        </w:rPr>
        <w:t xml:space="preserve"> to an amount calculated by multiplying the current market value or the proceeds from the sale by the federal share of the original purchase. The amount due from the sale shall be remitted to the CDE </w:t>
      </w:r>
      <w:r w:rsidRPr="00D83563">
        <w:rPr>
          <w:rFonts w:cs="Arial"/>
          <w:color w:val="000000"/>
          <w:sz w:val="24"/>
        </w:rPr>
        <w:lastRenderedPageBreak/>
        <w:t>with a letter listing the item, reason for its disposal, and total amount of the sale.</w:t>
      </w:r>
      <w:r w:rsidR="00DC74AA" w:rsidRPr="00DC74AA">
        <w:t xml:space="preserve"> </w:t>
      </w:r>
      <w:r w:rsidR="00DC74AA" w:rsidRPr="00DC74AA">
        <w:rPr>
          <w:rFonts w:cs="Arial"/>
          <w:color w:val="000000"/>
          <w:sz w:val="24"/>
        </w:rPr>
        <w:t>If the equipment is sold, the Federal agency or pass-through entity may permit the recipient or subrecipient to retain, from the Federal share, $1,000 of the proceeds to cover expenses associated with the selling and handling of the equipment.</w:t>
      </w:r>
    </w:p>
    <w:p w14:paraId="51171F2E" w14:textId="77777777" w:rsidR="00944BC2" w:rsidRDefault="00D83563" w:rsidP="005842A2">
      <w:pPr>
        <w:pStyle w:val="BodyTextIndent3"/>
        <w:numPr>
          <w:ilvl w:val="0"/>
          <w:numId w:val="16"/>
        </w:numPr>
        <w:tabs>
          <w:tab w:val="left" w:pos="2520"/>
        </w:tabs>
        <w:ind w:left="1872"/>
        <w:rPr>
          <w:rFonts w:cs="Arial"/>
          <w:color w:val="000000"/>
          <w:sz w:val="24"/>
        </w:rPr>
      </w:pPr>
      <w:r w:rsidRPr="00D83563">
        <w:rPr>
          <w:rFonts w:cs="Arial"/>
          <w:color w:val="000000"/>
          <w:sz w:val="24"/>
        </w:rPr>
        <w:t>Regardless of the value of the disposed equipment, the operating agency must retain documentation which demonstrates the value of the item at disposal and ultimate disposition.</w:t>
      </w:r>
    </w:p>
    <w:p w14:paraId="7F13FF60" w14:textId="66D12ABB" w:rsidR="00D83563" w:rsidRDefault="00D83563" w:rsidP="005842A2">
      <w:pPr>
        <w:pStyle w:val="Heading4"/>
        <w:numPr>
          <w:ilvl w:val="0"/>
          <w:numId w:val="66"/>
        </w:numPr>
      </w:pPr>
      <w:r w:rsidRPr="00D83563">
        <w:t>Inventory Disposition</w:t>
      </w:r>
    </w:p>
    <w:p w14:paraId="3D38F3A5" w14:textId="79B9A67E" w:rsidR="00D83563" w:rsidRDefault="00D83563" w:rsidP="00726990">
      <w:pPr>
        <w:pStyle w:val="BodyTextIndent3"/>
        <w:ind w:firstLine="0"/>
        <w:rPr>
          <w:rFonts w:cs="Arial"/>
          <w:color w:val="000000"/>
          <w:sz w:val="24"/>
        </w:rPr>
      </w:pPr>
      <w:r w:rsidRPr="00D83563">
        <w:rPr>
          <w:rFonts w:cs="Arial"/>
          <w:color w:val="000000"/>
          <w:sz w:val="24"/>
        </w:rPr>
        <w:t>It is the responsibility of the operating agency to record all information regarding the ultimate disposition of the inventory and to notify the CDE when disposing of inventory with a market value of $</w:t>
      </w:r>
      <w:r w:rsidR="00936345">
        <w:rPr>
          <w:rFonts w:cs="Arial"/>
          <w:color w:val="000000"/>
          <w:sz w:val="24"/>
        </w:rPr>
        <w:t>10</w:t>
      </w:r>
      <w:r w:rsidRPr="00D83563">
        <w:rPr>
          <w:rFonts w:cs="Arial"/>
          <w:color w:val="000000"/>
          <w:sz w:val="24"/>
        </w:rPr>
        <w:t>,000 or more.</w:t>
      </w:r>
    </w:p>
    <w:p w14:paraId="7576F853" w14:textId="6CCA2301" w:rsidR="00301004" w:rsidRDefault="00301004" w:rsidP="00726990">
      <w:pPr>
        <w:pStyle w:val="BodyTextIndent3"/>
        <w:ind w:firstLine="0"/>
        <w:rPr>
          <w:rFonts w:cs="Arial"/>
          <w:color w:val="000000"/>
          <w:sz w:val="24"/>
        </w:rPr>
      </w:pPr>
      <w:r w:rsidRPr="00301004">
        <w:rPr>
          <w:rFonts w:cs="Arial"/>
          <w:color w:val="000000"/>
          <w:sz w:val="24"/>
        </w:rPr>
        <w:t>When there is a residual inventory of unused supplies exceeding $10,000 in aggregate value at the end of the period of performance, and the supplies are not needed for any other Federal award, the recipient or subrecipient may retain or sell the unused supplies. Unused supplies mean supplies that are in new condition, not having been used or opened before. The aggregate value of unused supplies consists of all supply types, not just like-item supplies. The Federal agency or pass-through entity is entitled to compensation in an amount calculated by multiplying the percentage of the Federal agency's or pass-through entity's contribution towards the cost of the original purchase(s) by the current market value or proceeds from the sale. If the supplies are sold, the Federal agency or pass-through entity may permit the recipient or subrecipient to retain, from the Federal share, $1,000 of the proceeds to cover expenses associated with the selling and handling of the supplies.</w:t>
      </w:r>
    </w:p>
    <w:p w14:paraId="765C3557" w14:textId="77777777" w:rsidR="00D83563" w:rsidRDefault="00D83563" w:rsidP="00F76EEC">
      <w:pPr>
        <w:pStyle w:val="Heading2"/>
      </w:pPr>
      <w:bookmarkStart w:id="68" w:name="_Toc414262509"/>
      <w:bookmarkStart w:id="69" w:name="_Toc207703809"/>
      <w:r w:rsidRPr="00D83563">
        <w:t>7.0</w:t>
      </w:r>
      <w:r w:rsidR="004E2608">
        <w:t xml:space="preserve"> </w:t>
      </w:r>
      <w:r w:rsidRPr="00D83563">
        <w:t>Allowable and Unallowable Expenses</w:t>
      </w:r>
      <w:bookmarkEnd w:id="68"/>
      <w:bookmarkEnd w:id="69"/>
    </w:p>
    <w:p w14:paraId="4A775200" w14:textId="17146659" w:rsidR="00944BC2" w:rsidRDefault="00D83563" w:rsidP="00726990">
      <w:pPr>
        <w:pStyle w:val="BodyTextIndent"/>
        <w:tabs>
          <w:tab w:val="left" w:pos="450"/>
        </w:tabs>
        <w:ind w:left="0"/>
        <w:rPr>
          <w:rFonts w:cs="Arial"/>
          <w:color w:val="000000"/>
          <w:sz w:val="24"/>
        </w:rPr>
      </w:pPr>
      <w:r w:rsidRPr="00D83563">
        <w:rPr>
          <w:rFonts w:cs="Arial"/>
          <w:color w:val="000000"/>
          <w:sz w:val="24"/>
        </w:rPr>
        <w:t>Operating agencies assume responsibility for ensuring that federal program funds have been expended and accounted for</w:t>
      </w:r>
      <w:r w:rsidR="003C4532">
        <w:rPr>
          <w:rFonts w:cs="Arial"/>
          <w:color w:val="000000"/>
          <w:sz w:val="24"/>
        </w:rPr>
        <w:t>,</w:t>
      </w:r>
      <w:r w:rsidRPr="00D83563">
        <w:rPr>
          <w:rFonts w:cs="Arial"/>
          <w:color w:val="000000"/>
          <w:sz w:val="24"/>
        </w:rPr>
        <w:t xml:space="preserve"> consistent with applicable </w:t>
      </w:r>
      <w:r w:rsidRPr="00D83563">
        <w:rPr>
          <w:rFonts w:cs="Arial"/>
          <w:sz w:val="24"/>
          <w:szCs w:val="24"/>
        </w:rPr>
        <w:t xml:space="preserve">2 </w:t>
      </w:r>
      <w:r w:rsidRPr="00D83563">
        <w:rPr>
          <w:rFonts w:cs="Arial"/>
          <w:i/>
          <w:sz w:val="24"/>
          <w:szCs w:val="24"/>
        </w:rPr>
        <w:t>CFR</w:t>
      </w:r>
      <w:r w:rsidRPr="00D83563">
        <w:rPr>
          <w:rFonts w:cs="Arial"/>
          <w:sz w:val="24"/>
          <w:szCs w:val="24"/>
        </w:rPr>
        <w:t xml:space="preserve"> 200 (Uniform Guidance)</w:t>
      </w:r>
      <w:r w:rsidRPr="00D83563">
        <w:rPr>
          <w:rFonts w:cs="Arial"/>
          <w:color w:val="000000"/>
          <w:sz w:val="24"/>
          <w:szCs w:val="24"/>
        </w:rPr>
        <w:t xml:space="preserve"> </w:t>
      </w:r>
      <w:r w:rsidRPr="00D83563">
        <w:rPr>
          <w:rFonts w:cs="Arial"/>
          <w:color w:val="000000"/>
          <w:sz w:val="24"/>
        </w:rPr>
        <w:t xml:space="preserve">cost principles, agency program regulations, and the terms of subgrant agreements to determine the reasonableness, necessity and allowability of costs. Subpart E of </w:t>
      </w:r>
      <w:r w:rsidRPr="00D83563">
        <w:rPr>
          <w:rFonts w:cs="Arial"/>
          <w:sz w:val="24"/>
          <w:szCs w:val="24"/>
        </w:rPr>
        <w:t xml:space="preserve">2 </w:t>
      </w:r>
      <w:r w:rsidRPr="00D83563">
        <w:rPr>
          <w:rFonts w:cs="Arial"/>
          <w:i/>
          <w:sz w:val="24"/>
          <w:szCs w:val="24"/>
        </w:rPr>
        <w:t>CFR</w:t>
      </w:r>
      <w:r w:rsidRPr="00D83563">
        <w:rPr>
          <w:rFonts w:cs="Arial"/>
          <w:sz w:val="24"/>
          <w:szCs w:val="24"/>
        </w:rPr>
        <w:t xml:space="preserve"> 200 (Uniform Guidance)</w:t>
      </w:r>
      <w:r w:rsidRPr="00D83563">
        <w:rPr>
          <w:rFonts w:cs="Arial"/>
          <w:color w:val="000000"/>
          <w:sz w:val="24"/>
        </w:rPr>
        <w:t xml:space="preserve"> establishes cost principles and standards for determining allowable costs applicable to grants, contracts, and other agreements with nonfederal entities. Costs are allowable for federal reimbursement only to the extent of benefits received by federal programs, and costs must meet the basic guidelines of allowability, including necessary and reasonable.</w:t>
      </w:r>
    </w:p>
    <w:p w14:paraId="5E91AC87" w14:textId="77777777" w:rsidR="00D83563" w:rsidRDefault="00D83563" w:rsidP="00726990">
      <w:pPr>
        <w:pStyle w:val="BodyTextIndent"/>
        <w:tabs>
          <w:tab w:val="left" w:pos="450"/>
        </w:tabs>
        <w:ind w:left="0"/>
        <w:rPr>
          <w:rFonts w:cs="Arial"/>
          <w:color w:val="000000"/>
          <w:sz w:val="24"/>
          <w:szCs w:val="24"/>
        </w:rPr>
      </w:pPr>
      <w:r w:rsidRPr="00D83563">
        <w:rPr>
          <w:rFonts w:cs="Arial"/>
          <w:color w:val="000000"/>
          <w:sz w:val="24"/>
          <w:szCs w:val="24"/>
        </w:rPr>
        <w:t xml:space="preserve">All costs must be allowable under the cost principles contained within Subpart E, </w:t>
      </w:r>
      <w:r w:rsidRPr="00D83563">
        <w:rPr>
          <w:rFonts w:cs="Arial"/>
          <w:sz w:val="24"/>
          <w:szCs w:val="24"/>
        </w:rPr>
        <w:t xml:space="preserve">2 </w:t>
      </w:r>
      <w:r w:rsidRPr="00D83563">
        <w:rPr>
          <w:rFonts w:cs="Arial"/>
          <w:i/>
          <w:sz w:val="24"/>
          <w:szCs w:val="24"/>
        </w:rPr>
        <w:t>CFR</w:t>
      </w:r>
      <w:r w:rsidRPr="00D83563">
        <w:rPr>
          <w:rFonts w:cs="Arial"/>
          <w:sz w:val="24"/>
          <w:szCs w:val="24"/>
        </w:rPr>
        <w:t xml:space="preserve"> 200 (Uniform Guidance)</w:t>
      </w:r>
      <w:r w:rsidRPr="00D83563">
        <w:rPr>
          <w:rFonts w:cs="Arial"/>
          <w:color w:val="000000"/>
          <w:sz w:val="24"/>
          <w:szCs w:val="24"/>
        </w:rPr>
        <w:t>.</w:t>
      </w:r>
    </w:p>
    <w:p w14:paraId="2313A9BF" w14:textId="5B555E7C" w:rsidR="00852426" w:rsidRDefault="00D83563" w:rsidP="00726990">
      <w:pPr>
        <w:pStyle w:val="BodyTextIndent"/>
        <w:tabs>
          <w:tab w:val="left" w:pos="450"/>
        </w:tabs>
        <w:ind w:left="0"/>
        <w:rPr>
          <w:rFonts w:cs="Arial"/>
          <w:color w:val="000000"/>
          <w:sz w:val="24"/>
        </w:rPr>
      </w:pPr>
      <w:r w:rsidRPr="00D83563">
        <w:rPr>
          <w:rFonts w:cs="Arial"/>
          <w:color w:val="000000"/>
          <w:sz w:val="24"/>
        </w:rPr>
        <w:t>The CDE guidance regarding expenditures that are generally an allowable use of MEP funds is in addition to all other state and federal laws, regulations, and guidance. Expenditures identified as allowable must meet any and all requirements.</w:t>
      </w:r>
    </w:p>
    <w:p w14:paraId="496B4BFF" w14:textId="794ED11B" w:rsidR="00852426" w:rsidRDefault="00852426" w:rsidP="00726990">
      <w:pPr>
        <w:pStyle w:val="BodyTextIndent"/>
        <w:tabs>
          <w:tab w:val="left" w:pos="450"/>
        </w:tabs>
        <w:ind w:left="0"/>
        <w:rPr>
          <w:rFonts w:cs="Arial"/>
          <w:color w:val="000000"/>
          <w:sz w:val="24"/>
        </w:rPr>
      </w:pPr>
      <w:r w:rsidRPr="00852426">
        <w:rPr>
          <w:rFonts w:cs="Arial"/>
          <w:color w:val="000000"/>
          <w:sz w:val="24"/>
        </w:rPr>
        <w:lastRenderedPageBreak/>
        <w:t>For more information regarding MEP allowable</w:t>
      </w:r>
      <w:r>
        <w:rPr>
          <w:rFonts w:cs="Arial"/>
          <w:color w:val="000000"/>
          <w:sz w:val="24"/>
        </w:rPr>
        <w:t xml:space="preserve"> and unallowable</w:t>
      </w:r>
      <w:r w:rsidRPr="00852426">
        <w:rPr>
          <w:rFonts w:cs="Arial"/>
          <w:color w:val="000000"/>
          <w:sz w:val="24"/>
        </w:rPr>
        <w:t xml:space="preserve"> costs, please refer to the </w:t>
      </w:r>
      <w:hyperlink r:id="rId24" w:history="1">
        <w:r w:rsidRPr="00271443">
          <w:rPr>
            <w:rStyle w:val="Hyperlink"/>
            <w:rFonts w:cs="Arial"/>
            <w:sz w:val="24"/>
          </w:rPr>
          <w:t>MEP Allowable Cost Guidebook</w:t>
        </w:r>
      </w:hyperlink>
      <w:r w:rsidRPr="00852426">
        <w:rPr>
          <w:rFonts w:cs="Arial"/>
          <w:color w:val="000000"/>
          <w:sz w:val="24"/>
        </w:rPr>
        <w:t>, which can be found on</w:t>
      </w:r>
      <w:r w:rsidR="0032242A">
        <w:rPr>
          <w:rFonts w:cs="Arial"/>
          <w:color w:val="000000"/>
          <w:sz w:val="24"/>
        </w:rPr>
        <w:t xml:space="preserve"> the CDE</w:t>
      </w:r>
      <w:r w:rsidRPr="00852426">
        <w:rPr>
          <w:rFonts w:cs="Arial"/>
          <w:color w:val="000000"/>
          <w:sz w:val="24"/>
        </w:rPr>
        <w:t xml:space="preserve"> </w:t>
      </w:r>
      <w:r w:rsidR="0086229A">
        <w:rPr>
          <w:rFonts w:cs="Arial"/>
          <w:color w:val="000000"/>
          <w:sz w:val="24"/>
        </w:rPr>
        <w:t xml:space="preserve">Migrant Education Program Funding </w:t>
      </w:r>
      <w:r w:rsidRPr="00852426">
        <w:rPr>
          <w:rFonts w:cs="Arial"/>
          <w:color w:val="000000"/>
          <w:sz w:val="24"/>
        </w:rPr>
        <w:t>web</w:t>
      </w:r>
      <w:r w:rsidR="0086229A">
        <w:rPr>
          <w:rFonts w:cs="Arial"/>
          <w:color w:val="000000"/>
          <w:sz w:val="24"/>
        </w:rPr>
        <w:t xml:space="preserve"> page</w:t>
      </w:r>
      <w:r w:rsidRPr="00852426">
        <w:rPr>
          <w:rFonts w:cs="Arial"/>
          <w:color w:val="000000"/>
          <w:sz w:val="24"/>
        </w:rPr>
        <w:t>.</w:t>
      </w:r>
      <w:r>
        <w:rPr>
          <w:rFonts w:cs="Arial"/>
          <w:color w:val="000000"/>
          <w:sz w:val="24"/>
        </w:rPr>
        <w:t xml:space="preserve"> </w:t>
      </w:r>
    </w:p>
    <w:p w14:paraId="0474E701" w14:textId="77777777" w:rsidR="00D83563" w:rsidRDefault="00D83563" w:rsidP="009C532E">
      <w:pPr>
        <w:pStyle w:val="Heading3"/>
      </w:pPr>
      <w:bookmarkStart w:id="70" w:name="_Toc414262510"/>
      <w:bookmarkStart w:id="71" w:name="_Toc207703810"/>
      <w:r w:rsidRPr="00D83563">
        <w:t>7.1</w:t>
      </w:r>
      <w:r w:rsidR="004E2608">
        <w:t xml:space="preserve"> </w:t>
      </w:r>
      <w:r w:rsidRPr="00D83563">
        <w:t>Allowable Expenses</w:t>
      </w:r>
      <w:bookmarkEnd w:id="70"/>
      <w:bookmarkEnd w:id="71"/>
    </w:p>
    <w:p w14:paraId="13CEBE53" w14:textId="77777777" w:rsidR="00D83563" w:rsidRDefault="00D83563" w:rsidP="00726990">
      <w:pPr>
        <w:pStyle w:val="BodyTextIndent"/>
        <w:ind w:left="0"/>
        <w:rPr>
          <w:rFonts w:cs="Arial"/>
          <w:color w:val="000000"/>
          <w:sz w:val="24"/>
        </w:rPr>
      </w:pPr>
      <w:r w:rsidRPr="00D83563">
        <w:rPr>
          <w:rFonts w:cs="Arial"/>
          <w:color w:val="000000"/>
          <w:sz w:val="24"/>
        </w:rPr>
        <w:t>Allowable expenditures shall meet the following criteria:</w:t>
      </w:r>
    </w:p>
    <w:p w14:paraId="7D682906" w14:textId="77777777" w:rsidR="00D83563" w:rsidRDefault="00D83563" w:rsidP="00726990">
      <w:pPr>
        <w:pStyle w:val="BodyTextIndent"/>
        <w:numPr>
          <w:ilvl w:val="0"/>
          <w:numId w:val="4"/>
        </w:numPr>
        <w:ind w:left="720" w:hanging="288"/>
        <w:rPr>
          <w:rFonts w:cs="Arial"/>
          <w:color w:val="000000"/>
          <w:sz w:val="24"/>
        </w:rPr>
      </w:pPr>
      <w:r w:rsidRPr="00D83563">
        <w:rPr>
          <w:rFonts w:cs="Arial"/>
          <w:color w:val="000000"/>
          <w:sz w:val="24"/>
        </w:rPr>
        <w:t>Be necessary and reasonable for proper and efficient performance, and administration of federal awards. The expenditure must be necessary in order to implement the services required by the MEP grant as reflected in the approved RA, DSA, or contract. A cost is reasonable if, in its nature and amount, it does not exceed that which would be incurred by a prudent person under the circumstances prevailing at the time the decision was made to incur the cost.</w:t>
      </w:r>
    </w:p>
    <w:p w14:paraId="1FFAD832" w14:textId="2BF2675E" w:rsidR="00D83563" w:rsidRDefault="00D83563" w:rsidP="00726990">
      <w:pPr>
        <w:pStyle w:val="BodyTextIndent"/>
        <w:numPr>
          <w:ilvl w:val="0"/>
          <w:numId w:val="4"/>
        </w:numPr>
        <w:tabs>
          <w:tab w:val="num" w:pos="1890"/>
        </w:tabs>
        <w:ind w:left="720" w:hanging="288"/>
        <w:rPr>
          <w:rFonts w:cs="Arial"/>
          <w:color w:val="000000"/>
          <w:sz w:val="24"/>
        </w:rPr>
      </w:pPr>
      <w:r w:rsidRPr="00D83563">
        <w:rPr>
          <w:rFonts w:cs="Arial"/>
          <w:color w:val="000000"/>
          <w:sz w:val="24"/>
        </w:rPr>
        <w:t>Supplement and not supplant</w:t>
      </w:r>
      <w:r w:rsidR="004034AF">
        <w:rPr>
          <w:rFonts w:cs="Arial"/>
          <w:color w:val="000000"/>
          <w:sz w:val="24"/>
        </w:rPr>
        <w:t xml:space="preserve"> other</w:t>
      </w:r>
      <w:r w:rsidRPr="00D83563">
        <w:rPr>
          <w:rFonts w:cs="Arial"/>
          <w:color w:val="000000"/>
          <w:sz w:val="24"/>
        </w:rPr>
        <w:t xml:space="preserve"> </w:t>
      </w:r>
      <w:r w:rsidR="00F561A7">
        <w:rPr>
          <w:rFonts w:cs="Arial"/>
          <w:color w:val="000000"/>
          <w:sz w:val="24"/>
        </w:rPr>
        <w:t>fe</w:t>
      </w:r>
      <w:r w:rsidR="004034AF">
        <w:rPr>
          <w:rFonts w:cs="Arial"/>
          <w:color w:val="000000"/>
          <w:sz w:val="24"/>
        </w:rPr>
        <w:t xml:space="preserve">deral and </w:t>
      </w:r>
      <w:r w:rsidRPr="00D83563">
        <w:rPr>
          <w:rFonts w:cs="Arial"/>
          <w:color w:val="000000"/>
          <w:sz w:val="24"/>
        </w:rPr>
        <w:t>non-federal expenses required to carry out the overall responsibility of state or local governments, including school districts and county offices of education.</w:t>
      </w:r>
    </w:p>
    <w:p w14:paraId="7544CA4E" w14:textId="7B09D2F9" w:rsidR="00D83563" w:rsidRDefault="00D83563" w:rsidP="00726990">
      <w:pPr>
        <w:pStyle w:val="BodyTextIndent"/>
        <w:numPr>
          <w:ilvl w:val="0"/>
          <w:numId w:val="4"/>
        </w:numPr>
        <w:tabs>
          <w:tab w:val="left" w:pos="1890"/>
        </w:tabs>
        <w:ind w:left="720" w:hanging="288"/>
        <w:rPr>
          <w:rFonts w:cs="Arial"/>
          <w:color w:val="000000"/>
          <w:sz w:val="24"/>
        </w:rPr>
      </w:pPr>
      <w:r w:rsidRPr="00D83563">
        <w:rPr>
          <w:rFonts w:cs="Arial"/>
          <w:color w:val="000000"/>
          <w:sz w:val="24"/>
        </w:rPr>
        <w:t xml:space="preserve">Be allocable under federal and state cost principles. </w:t>
      </w:r>
      <w:r w:rsidR="00555225" w:rsidRPr="00D83563">
        <w:rPr>
          <w:rFonts w:cs="Arial"/>
          <w:color w:val="000000"/>
          <w:sz w:val="24"/>
          <w:szCs w:val="24"/>
        </w:rPr>
        <w:t>The cost</w:t>
      </w:r>
      <w:r w:rsidRPr="00D83563">
        <w:rPr>
          <w:rFonts w:cs="Arial"/>
          <w:color w:val="000000"/>
          <w:sz w:val="24"/>
          <w:szCs w:val="24"/>
        </w:rPr>
        <w:t xml:space="preserve"> is allocable to a cost objective if the goods or services involved are chargeable or assignable to the cost objective in accordance with the relative benefits received.</w:t>
      </w:r>
    </w:p>
    <w:p w14:paraId="6B1211DD" w14:textId="7C8E9CD4" w:rsidR="00944BC2" w:rsidRDefault="00D83563" w:rsidP="00726990">
      <w:pPr>
        <w:pStyle w:val="BodyTextIndent"/>
        <w:numPr>
          <w:ilvl w:val="0"/>
          <w:numId w:val="4"/>
        </w:numPr>
        <w:ind w:left="720" w:hanging="288"/>
        <w:rPr>
          <w:rFonts w:cs="Arial"/>
          <w:color w:val="000000"/>
          <w:sz w:val="24"/>
        </w:rPr>
      </w:pPr>
      <w:r w:rsidRPr="00D83563">
        <w:rPr>
          <w:rFonts w:cs="Arial"/>
          <w:color w:val="000000"/>
          <w:sz w:val="24"/>
        </w:rPr>
        <w:t>Be consistent with policy, regulations</w:t>
      </w:r>
      <w:r w:rsidR="00555225" w:rsidRPr="00D83563">
        <w:rPr>
          <w:rFonts w:cs="Arial"/>
          <w:color w:val="000000"/>
          <w:sz w:val="24"/>
        </w:rPr>
        <w:t>, and procedures</w:t>
      </w:r>
      <w:r w:rsidRPr="00D83563">
        <w:rPr>
          <w:rFonts w:cs="Arial"/>
          <w:color w:val="000000"/>
          <w:sz w:val="24"/>
        </w:rPr>
        <w:t xml:space="preserve"> and not prohibited under federal, state, or local laws and regulations.</w:t>
      </w:r>
    </w:p>
    <w:p w14:paraId="2F442B1F" w14:textId="77777777" w:rsidR="00D83563" w:rsidRDefault="00D83563" w:rsidP="00726990">
      <w:pPr>
        <w:pStyle w:val="BodyTextIndent"/>
        <w:numPr>
          <w:ilvl w:val="0"/>
          <w:numId w:val="4"/>
        </w:numPr>
        <w:ind w:left="720" w:hanging="288"/>
        <w:rPr>
          <w:rFonts w:cs="Arial"/>
          <w:color w:val="000000"/>
          <w:sz w:val="24"/>
        </w:rPr>
      </w:pPr>
      <w:r w:rsidRPr="00D83563">
        <w:rPr>
          <w:rFonts w:cs="Arial"/>
          <w:color w:val="000000"/>
          <w:sz w:val="24"/>
        </w:rPr>
        <w:t>Be consistent with principles, regulations, and procedures that apply uniformly to federal awards and other activities of the subgrantee.</w:t>
      </w:r>
    </w:p>
    <w:p w14:paraId="65370406" w14:textId="77777777" w:rsidR="00944BC2" w:rsidRDefault="00D83563" w:rsidP="00726990">
      <w:pPr>
        <w:pStyle w:val="BodyTextIndent"/>
        <w:numPr>
          <w:ilvl w:val="0"/>
          <w:numId w:val="4"/>
        </w:numPr>
        <w:ind w:left="720" w:hanging="288"/>
        <w:rPr>
          <w:rFonts w:cs="Arial"/>
          <w:color w:val="000000"/>
          <w:sz w:val="24"/>
        </w:rPr>
      </w:pPr>
      <w:r w:rsidRPr="00D83563">
        <w:rPr>
          <w:rFonts w:cs="Arial"/>
          <w:color w:val="000000"/>
          <w:sz w:val="24"/>
        </w:rPr>
        <w:t>Conform to any limitations or exclusions set forth in these principles, federal laws or other governing limitations as to types or amounts of cost items.</w:t>
      </w:r>
    </w:p>
    <w:p w14:paraId="0AA24A20" w14:textId="77777777" w:rsidR="00D83563" w:rsidRDefault="00D83563" w:rsidP="00726990">
      <w:pPr>
        <w:pStyle w:val="BodyTextIndent"/>
        <w:numPr>
          <w:ilvl w:val="0"/>
          <w:numId w:val="4"/>
        </w:numPr>
        <w:ind w:left="720" w:hanging="288"/>
        <w:rPr>
          <w:rFonts w:cs="Arial"/>
          <w:color w:val="000000"/>
          <w:sz w:val="24"/>
        </w:rPr>
      </w:pPr>
      <w:r w:rsidRPr="00D83563">
        <w:rPr>
          <w:rFonts w:cs="Arial"/>
          <w:color w:val="000000"/>
          <w:sz w:val="24"/>
        </w:rPr>
        <w:t>Be accorded consistent treatment. A cost may not be assigned to a federal award as a direct cost if any other cost incurred for the same purpose in like circumstances has been allocated to a federal award as an indirect cost.</w:t>
      </w:r>
    </w:p>
    <w:p w14:paraId="0F026F57" w14:textId="77777777" w:rsidR="00D83563" w:rsidRDefault="00D83563" w:rsidP="00726990">
      <w:pPr>
        <w:pStyle w:val="BodyTextIndent"/>
        <w:numPr>
          <w:ilvl w:val="0"/>
          <w:numId w:val="4"/>
        </w:numPr>
        <w:ind w:left="720" w:hanging="288"/>
        <w:rPr>
          <w:rFonts w:cs="Arial"/>
          <w:color w:val="000000"/>
          <w:sz w:val="24"/>
        </w:rPr>
      </w:pPr>
      <w:r w:rsidRPr="00D83563">
        <w:rPr>
          <w:rFonts w:cs="Arial"/>
          <w:color w:val="000000"/>
          <w:sz w:val="24"/>
        </w:rPr>
        <w:t>Be determined in accordance with generally accepted accounting principles.</w:t>
      </w:r>
    </w:p>
    <w:p w14:paraId="6B761B8B" w14:textId="06236D40" w:rsidR="00D83563" w:rsidRDefault="00D83563" w:rsidP="00726990">
      <w:pPr>
        <w:pStyle w:val="BodyTextIndent"/>
        <w:numPr>
          <w:ilvl w:val="0"/>
          <w:numId w:val="4"/>
        </w:numPr>
        <w:ind w:left="720" w:hanging="288"/>
        <w:rPr>
          <w:rFonts w:cs="Arial"/>
          <w:color w:val="000000"/>
          <w:sz w:val="24"/>
        </w:rPr>
      </w:pPr>
      <w:r w:rsidRPr="00D83563">
        <w:rPr>
          <w:rFonts w:cs="Arial"/>
          <w:color w:val="000000"/>
          <w:sz w:val="24"/>
        </w:rPr>
        <w:t xml:space="preserve">Not </w:t>
      </w:r>
      <w:r w:rsidR="00555225" w:rsidRPr="00D83563">
        <w:rPr>
          <w:rFonts w:cs="Arial"/>
          <w:color w:val="000000"/>
          <w:sz w:val="24"/>
        </w:rPr>
        <w:t>included</w:t>
      </w:r>
      <w:r w:rsidRPr="00D83563">
        <w:rPr>
          <w:rFonts w:cs="Arial"/>
          <w:color w:val="000000"/>
          <w:sz w:val="24"/>
        </w:rPr>
        <w:t xml:space="preserve"> as a cost or used to meet cost sharing or matching requirements of any other federal activity in either the current or a prior period.</w:t>
      </w:r>
    </w:p>
    <w:p w14:paraId="2D0B9384" w14:textId="77777777" w:rsidR="00D83563" w:rsidRDefault="00D83563" w:rsidP="008C24E7">
      <w:pPr>
        <w:pStyle w:val="BodyTextIndent"/>
        <w:numPr>
          <w:ilvl w:val="0"/>
          <w:numId w:val="4"/>
        </w:numPr>
        <w:ind w:left="720" w:hanging="270"/>
        <w:rPr>
          <w:rFonts w:cs="Arial"/>
          <w:color w:val="000000"/>
          <w:sz w:val="24"/>
        </w:rPr>
      </w:pPr>
      <w:r w:rsidRPr="00D83563">
        <w:rPr>
          <w:rFonts w:cs="Arial"/>
          <w:color w:val="000000"/>
          <w:sz w:val="24"/>
        </w:rPr>
        <w:t>Be adequately documented so as to illustrate compliance with all applicable funding rules and restrictions.</w:t>
      </w:r>
    </w:p>
    <w:p w14:paraId="3026F7B6" w14:textId="77777777" w:rsidR="00D83563" w:rsidRDefault="00D83563" w:rsidP="008C24E7">
      <w:pPr>
        <w:pStyle w:val="BodyTextIndent"/>
        <w:numPr>
          <w:ilvl w:val="0"/>
          <w:numId w:val="4"/>
        </w:numPr>
        <w:ind w:left="720" w:hanging="270"/>
        <w:rPr>
          <w:rFonts w:cs="Arial"/>
          <w:color w:val="000000"/>
          <w:sz w:val="24"/>
        </w:rPr>
      </w:pPr>
      <w:r w:rsidRPr="00D83563">
        <w:rPr>
          <w:rFonts w:cs="Arial"/>
          <w:color w:val="000000"/>
          <w:sz w:val="24"/>
        </w:rPr>
        <w:t>Be net of applicable credits. “Applicable credits” refers to receipts or reductions of expenditures that offset or reduce the cost to federal awards. Examples include, but are not limited to, purchase discounts, rebates or allowances, and adjustments of overpayments or erroneous charges.</w:t>
      </w:r>
    </w:p>
    <w:p w14:paraId="61F9C2E7" w14:textId="6FAAB1AD" w:rsidR="00D83563" w:rsidRDefault="00D83563" w:rsidP="008C24E7">
      <w:pPr>
        <w:pStyle w:val="BodyTextIndent"/>
        <w:numPr>
          <w:ilvl w:val="0"/>
          <w:numId w:val="4"/>
        </w:numPr>
        <w:ind w:left="720" w:hanging="270"/>
        <w:rPr>
          <w:rFonts w:cs="Arial"/>
          <w:color w:val="000000"/>
          <w:sz w:val="24"/>
        </w:rPr>
      </w:pPr>
      <w:r w:rsidRPr="00D83563">
        <w:rPr>
          <w:rFonts w:cs="Arial"/>
          <w:color w:val="000000"/>
          <w:sz w:val="24"/>
        </w:rPr>
        <w:t xml:space="preserve">Expenditures </w:t>
      </w:r>
      <w:r w:rsidR="00555225" w:rsidRPr="00D83563">
        <w:rPr>
          <w:rFonts w:cs="Arial"/>
          <w:color w:val="000000"/>
          <w:sz w:val="24"/>
        </w:rPr>
        <w:t>on</w:t>
      </w:r>
      <w:r w:rsidRPr="00D83563">
        <w:rPr>
          <w:rFonts w:cs="Arial"/>
          <w:color w:val="000000"/>
          <w:sz w:val="24"/>
        </w:rPr>
        <w:t xml:space="preserve"> food, travel, conferences, </w:t>
      </w:r>
      <w:r w:rsidR="003C4532" w:rsidRPr="00D83563">
        <w:rPr>
          <w:rFonts w:cs="Arial"/>
          <w:color w:val="000000"/>
          <w:sz w:val="24"/>
        </w:rPr>
        <w:t>field trips</w:t>
      </w:r>
      <w:r w:rsidRPr="00D83563">
        <w:rPr>
          <w:rFonts w:cs="Arial"/>
          <w:color w:val="000000"/>
          <w:sz w:val="24"/>
        </w:rPr>
        <w:t>, music, dance and theatre activities must be described in the approved RA, DSA, MOU or its revision as to the need for the expenditure and how it relates to the supplemental academic program for the students. Based on the description provided, the CDE will approve expenditures deemed to have sufficient nexus to the academic program</w:t>
      </w:r>
      <w:r w:rsidR="007415DE">
        <w:rPr>
          <w:rFonts w:cs="Arial"/>
          <w:color w:val="000000"/>
          <w:sz w:val="24"/>
        </w:rPr>
        <w:t>.</w:t>
      </w:r>
    </w:p>
    <w:p w14:paraId="45B70430" w14:textId="77777777" w:rsidR="00D83563" w:rsidRDefault="00D83563" w:rsidP="009C532E">
      <w:pPr>
        <w:pStyle w:val="Heading3"/>
      </w:pPr>
      <w:bookmarkStart w:id="72" w:name="_Toc414262511"/>
      <w:bookmarkStart w:id="73" w:name="_Toc207703811"/>
      <w:r w:rsidRPr="00D83563">
        <w:lastRenderedPageBreak/>
        <w:t>7.2</w:t>
      </w:r>
      <w:r w:rsidR="004E2608">
        <w:t xml:space="preserve"> </w:t>
      </w:r>
      <w:r w:rsidRPr="00D83563">
        <w:t>Unallowable Expenses</w:t>
      </w:r>
      <w:bookmarkEnd w:id="72"/>
      <w:bookmarkEnd w:id="73"/>
    </w:p>
    <w:p w14:paraId="19289156" w14:textId="77777777" w:rsidR="00D83563" w:rsidRDefault="00D83563" w:rsidP="00726990">
      <w:pPr>
        <w:pStyle w:val="BodyTextIndent3"/>
        <w:ind w:left="0" w:firstLine="0"/>
        <w:rPr>
          <w:rFonts w:cs="Arial"/>
          <w:color w:val="000000"/>
          <w:sz w:val="24"/>
        </w:rPr>
      </w:pPr>
      <w:r w:rsidRPr="00D83563">
        <w:rPr>
          <w:rFonts w:cs="Arial"/>
          <w:color w:val="000000"/>
          <w:sz w:val="24"/>
        </w:rPr>
        <w:t>The following are examples of are unallowable expenses:</w:t>
      </w:r>
    </w:p>
    <w:p w14:paraId="445C594C" w14:textId="58CC4AFC" w:rsidR="00D83563" w:rsidRDefault="00D83563" w:rsidP="00726990">
      <w:pPr>
        <w:pStyle w:val="BodyTextIndent3"/>
        <w:numPr>
          <w:ilvl w:val="0"/>
          <w:numId w:val="8"/>
        </w:numPr>
        <w:tabs>
          <w:tab w:val="clear" w:pos="1500"/>
          <w:tab w:val="num" w:pos="1170"/>
        </w:tabs>
        <w:ind w:left="720" w:hanging="288"/>
        <w:rPr>
          <w:rFonts w:cs="Arial"/>
          <w:color w:val="000000"/>
          <w:sz w:val="24"/>
        </w:rPr>
      </w:pPr>
      <w:r w:rsidRPr="00D83563">
        <w:rPr>
          <w:rFonts w:cs="Arial"/>
          <w:color w:val="000000"/>
          <w:sz w:val="24"/>
        </w:rPr>
        <w:t>Salaries, benefits, and expenses incurred by employees of the county office of education or LEA offices not directly related to the MEP</w:t>
      </w:r>
      <w:r w:rsidR="00555225">
        <w:rPr>
          <w:rFonts w:cs="Arial"/>
          <w:color w:val="000000"/>
          <w:sz w:val="24"/>
        </w:rPr>
        <w:t>.</w:t>
      </w:r>
    </w:p>
    <w:p w14:paraId="25DA9646" w14:textId="56081826" w:rsidR="00D83563" w:rsidRDefault="00D83563" w:rsidP="00726990">
      <w:pPr>
        <w:pStyle w:val="BodyTextIndent3"/>
        <w:numPr>
          <w:ilvl w:val="0"/>
          <w:numId w:val="8"/>
        </w:numPr>
        <w:ind w:left="720" w:hanging="288"/>
        <w:rPr>
          <w:rFonts w:cs="Arial"/>
          <w:color w:val="000000"/>
          <w:sz w:val="24"/>
        </w:rPr>
      </w:pPr>
      <w:r w:rsidRPr="00D83563">
        <w:rPr>
          <w:rFonts w:cs="Arial"/>
          <w:color w:val="000000"/>
          <w:sz w:val="24"/>
        </w:rPr>
        <w:t>Expenses of county or school district boards and their members</w:t>
      </w:r>
      <w:r w:rsidR="00555225">
        <w:rPr>
          <w:rFonts w:cs="Arial"/>
          <w:color w:val="000000"/>
          <w:sz w:val="24"/>
        </w:rPr>
        <w:t>.</w:t>
      </w:r>
    </w:p>
    <w:p w14:paraId="4DC3B0DA" w14:textId="7405D967" w:rsidR="00D83563" w:rsidRDefault="00D83563" w:rsidP="00726990">
      <w:pPr>
        <w:pStyle w:val="BodyTextIndent3"/>
        <w:numPr>
          <w:ilvl w:val="0"/>
          <w:numId w:val="8"/>
        </w:numPr>
        <w:ind w:left="720" w:hanging="288"/>
        <w:rPr>
          <w:rFonts w:cs="Arial"/>
          <w:color w:val="000000"/>
          <w:sz w:val="24"/>
        </w:rPr>
      </w:pPr>
      <w:r w:rsidRPr="00D83563">
        <w:rPr>
          <w:rFonts w:cs="Arial"/>
          <w:color w:val="000000"/>
          <w:sz w:val="24"/>
        </w:rPr>
        <w:t>Interest on borrowing, cost of financing</w:t>
      </w:r>
      <w:r w:rsidR="003C4532">
        <w:rPr>
          <w:rFonts w:cs="Arial"/>
          <w:color w:val="000000"/>
          <w:sz w:val="24"/>
        </w:rPr>
        <w:t>,</w:t>
      </w:r>
      <w:r w:rsidRPr="00D83563">
        <w:rPr>
          <w:rFonts w:cs="Arial"/>
          <w:color w:val="000000"/>
          <w:sz w:val="24"/>
        </w:rPr>
        <w:t xml:space="preserve"> and refinancing operations</w:t>
      </w:r>
      <w:r w:rsidR="00555225">
        <w:rPr>
          <w:rFonts w:cs="Arial"/>
          <w:color w:val="000000"/>
          <w:sz w:val="24"/>
        </w:rPr>
        <w:t>.</w:t>
      </w:r>
    </w:p>
    <w:p w14:paraId="67648897" w14:textId="063F5B8E" w:rsidR="00D83563" w:rsidRDefault="00D83563" w:rsidP="00726990">
      <w:pPr>
        <w:pStyle w:val="BodyTextIndent3"/>
        <w:numPr>
          <w:ilvl w:val="0"/>
          <w:numId w:val="8"/>
        </w:numPr>
        <w:ind w:left="720" w:hanging="288"/>
        <w:rPr>
          <w:rFonts w:cs="Arial"/>
          <w:color w:val="000000"/>
          <w:sz w:val="24"/>
        </w:rPr>
      </w:pPr>
      <w:r w:rsidRPr="00D83563">
        <w:rPr>
          <w:rFonts w:cs="Arial"/>
          <w:color w:val="000000"/>
          <w:sz w:val="24"/>
        </w:rPr>
        <w:t>Membership or other professional association fees</w:t>
      </w:r>
      <w:r w:rsidR="00555225">
        <w:rPr>
          <w:rFonts w:cs="Arial"/>
          <w:color w:val="000000"/>
          <w:sz w:val="24"/>
        </w:rPr>
        <w:t>.</w:t>
      </w:r>
    </w:p>
    <w:p w14:paraId="16D8EA31" w14:textId="65F4086A" w:rsidR="00D83563" w:rsidRDefault="00D83563" w:rsidP="00726990">
      <w:pPr>
        <w:pStyle w:val="BodyTextIndent3"/>
        <w:numPr>
          <w:ilvl w:val="0"/>
          <w:numId w:val="8"/>
        </w:numPr>
        <w:ind w:left="720" w:hanging="288"/>
        <w:rPr>
          <w:rFonts w:cs="Arial"/>
          <w:color w:val="000000"/>
          <w:sz w:val="24"/>
        </w:rPr>
      </w:pPr>
      <w:r w:rsidRPr="00D83563">
        <w:rPr>
          <w:rFonts w:cs="Arial"/>
          <w:color w:val="000000"/>
          <w:sz w:val="24"/>
        </w:rPr>
        <w:t>Any excess cost incurred under another grant agreement</w:t>
      </w:r>
      <w:r w:rsidR="00555225">
        <w:rPr>
          <w:rFonts w:cs="Arial"/>
          <w:color w:val="000000"/>
          <w:sz w:val="24"/>
        </w:rPr>
        <w:t>.</w:t>
      </w:r>
    </w:p>
    <w:p w14:paraId="1A9D0B68" w14:textId="4DD51879" w:rsidR="00944BC2" w:rsidRDefault="00D83563" w:rsidP="00726990">
      <w:pPr>
        <w:pStyle w:val="BodyTextIndent3"/>
        <w:numPr>
          <w:ilvl w:val="0"/>
          <w:numId w:val="8"/>
        </w:numPr>
        <w:ind w:left="720" w:hanging="288"/>
        <w:rPr>
          <w:rFonts w:cs="Arial"/>
          <w:color w:val="000000"/>
          <w:sz w:val="24"/>
        </w:rPr>
      </w:pPr>
      <w:r w:rsidRPr="00D83563">
        <w:rPr>
          <w:rFonts w:cs="Arial"/>
          <w:color w:val="000000"/>
          <w:sz w:val="24"/>
        </w:rPr>
        <w:t>The development, improvement, maintenance, or repair of any physical facility or property belonging to any county office of education, school district, or any other party, not belonging to the MEP</w:t>
      </w:r>
      <w:r w:rsidR="00555225">
        <w:rPr>
          <w:rFonts w:cs="Arial"/>
          <w:color w:val="000000"/>
          <w:sz w:val="24"/>
        </w:rPr>
        <w:t>.</w:t>
      </w:r>
    </w:p>
    <w:p w14:paraId="15CB51B3" w14:textId="4F76BA8B" w:rsidR="00D83563" w:rsidRDefault="000D6503" w:rsidP="005842A2">
      <w:pPr>
        <w:numPr>
          <w:ilvl w:val="0"/>
          <w:numId w:val="29"/>
        </w:numPr>
        <w:ind w:left="1008" w:hanging="288"/>
        <w:rPr>
          <w:rFonts w:cs="Arial"/>
          <w:szCs w:val="24"/>
          <w:lang w:bidi="en-US"/>
        </w:rPr>
      </w:pPr>
      <w:r>
        <w:rPr>
          <w:rFonts w:cs="Arial"/>
          <w:szCs w:val="24"/>
          <w:lang w:bidi="en-US"/>
        </w:rPr>
        <w:t>One</w:t>
      </w:r>
      <w:r w:rsidR="00D83563" w:rsidRPr="00D83563">
        <w:rPr>
          <w:rFonts w:cs="Arial"/>
          <w:szCs w:val="24"/>
          <w:lang w:bidi="en-US"/>
        </w:rPr>
        <w:t xml:space="preserve"> exception is payment for summer school facility maintenance costs that are incurred as a direct result of the operation o</w:t>
      </w:r>
      <w:r w:rsidR="00555225">
        <w:rPr>
          <w:rFonts w:cs="Arial"/>
          <w:szCs w:val="24"/>
          <w:lang w:bidi="en-US"/>
        </w:rPr>
        <w:t>f the MEP</w:t>
      </w:r>
      <w:r w:rsidR="00D83563" w:rsidRPr="00D83563">
        <w:rPr>
          <w:rFonts w:cs="Arial"/>
          <w:szCs w:val="24"/>
          <w:lang w:bidi="en-US"/>
        </w:rPr>
        <w:t>.</w:t>
      </w:r>
    </w:p>
    <w:p w14:paraId="340A0D5B" w14:textId="68B1FCA4" w:rsidR="00D83563" w:rsidRDefault="00D83563" w:rsidP="008C24E7">
      <w:pPr>
        <w:pStyle w:val="BodyTextIndent3"/>
        <w:numPr>
          <w:ilvl w:val="0"/>
          <w:numId w:val="8"/>
        </w:numPr>
        <w:tabs>
          <w:tab w:val="clear" w:pos="1500"/>
        </w:tabs>
        <w:ind w:left="720" w:hanging="270"/>
        <w:rPr>
          <w:rFonts w:cs="Arial"/>
          <w:sz w:val="24"/>
          <w:szCs w:val="24"/>
          <w:lang w:bidi="en-US"/>
        </w:rPr>
      </w:pPr>
      <w:r w:rsidRPr="00D83563">
        <w:rPr>
          <w:rFonts w:cs="Arial"/>
          <w:sz w:val="24"/>
          <w:szCs w:val="24"/>
          <w:lang w:bidi="en-US"/>
        </w:rPr>
        <w:t>Costs related to social activities such as potlucks, dances, holiday and graduation parties, or any other celebrations</w:t>
      </w:r>
      <w:r w:rsidR="000541E1">
        <w:rPr>
          <w:rFonts w:cs="Arial"/>
          <w:sz w:val="24"/>
          <w:szCs w:val="24"/>
          <w:lang w:bidi="en-US"/>
        </w:rPr>
        <w:t xml:space="preserve"> not directly related to the</w:t>
      </w:r>
      <w:r w:rsidR="00B11241">
        <w:rPr>
          <w:rFonts w:cs="Arial"/>
          <w:sz w:val="24"/>
          <w:szCs w:val="24"/>
          <w:lang w:bidi="en-US"/>
        </w:rPr>
        <w:t xml:space="preserve"> </w:t>
      </w:r>
      <w:r w:rsidR="00550234">
        <w:rPr>
          <w:rFonts w:cs="Arial"/>
          <w:sz w:val="24"/>
          <w:szCs w:val="24"/>
          <w:lang w:bidi="en-US"/>
        </w:rPr>
        <w:t>implementation</w:t>
      </w:r>
      <w:r w:rsidR="00B11241">
        <w:rPr>
          <w:rFonts w:cs="Arial"/>
          <w:sz w:val="24"/>
          <w:szCs w:val="24"/>
          <w:lang w:bidi="en-US"/>
        </w:rPr>
        <w:t xml:space="preserve"> of the</w:t>
      </w:r>
      <w:r w:rsidR="000541E1">
        <w:rPr>
          <w:rFonts w:cs="Arial"/>
          <w:sz w:val="24"/>
          <w:szCs w:val="24"/>
          <w:lang w:bidi="en-US"/>
        </w:rPr>
        <w:t xml:space="preserve"> MEP</w:t>
      </w:r>
      <w:r w:rsidRPr="00D83563">
        <w:rPr>
          <w:rFonts w:cs="Arial"/>
          <w:sz w:val="24"/>
          <w:szCs w:val="24"/>
          <w:lang w:bidi="en-US"/>
        </w:rPr>
        <w:t>.</w:t>
      </w:r>
    </w:p>
    <w:p w14:paraId="00AF20EC" w14:textId="77777777" w:rsidR="00D83563" w:rsidRDefault="00D83563" w:rsidP="008C24E7">
      <w:pPr>
        <w:pStyle w:val="BodyTextIndent3"/>
        <w:numPr>
          <w:ilvl w:val="0"/>
          <w:numId w:val="8"/>
        </w:numPr>
        <w:tabs>
          <w:tab w:val="clear" w:pos="1500"/>
          <w:tab w:val="num" w:pos="720"/>
        </w:tabs>
        <w:ind w:hanging="1050"/>
        <w:rPr>
          <w:rFonts w:cs="Arial"/>
          <w:sz w:val="24"/>
          <w:szCs w:val="24"/>
          <w:lang w:bidi="en-US"/>
        </w:rPr>
      </w:pPr>
      <w:r w:rsidRPr="00D83563">
        <w:rPr>
          <w:rFonts w:cs="Arial"/>
          <w:sz w:val="24"/>
          <w:szCs w:val="24"/>
          <w:lang w:bidi="en-US"/>
        </w:rPr>
        <w:t>Costs related to entertainment, including amusement, and diversion.</w:t>
      </w:r>
    </w:p>
    <w:p w14:paraId="598EAE70" w14:textId="77777777" w:rsidR="00944BC2" w:rsidRDefault="00D83563" w:rsidP="008C24E7">
      <w:pPr>
        <w:pStyle w:val="BodyTextIndent3"/>
        <w:numPr>
          <w:ilvl w:val="0"/>
          <w:numId w:val="8"/>
        </w:numPr>
        <w:tabs>
          <w:tab w:val="clear" w:pos="1500"/>
          <w:tab w:val="num" w:pos="720"/>
        </w:tabs>
        <w:ind w:left="720" w:hanging="180"/>
        <w:rPr>
          <w:rFonts w:cs="Arial"/>
          <w:sz w:val="24"/>
          <w:szCs w:val="24"/>
          <w:lang w:bidi="en-US"/>
        </w:rPr>
      </w:pPr>
      <w:r w:rsidRPr="00D83563">
        <w:rPr>
          <w:rFonts w:cs="Arial"/>
          <w:sz w:val="24"/>
          <w:szCs w:val="24"/>
          <w:lang w:bidi="en-US"/>
        </w:rPr>
        <w:t>Stipends or compensation for lost wages for participation in PAC activities or any other aspect of the MEP.</w:t>
      </w:r>
    </w:p>
    <w:p w14:paraId="51C6DB13" w14:textId="6137FF34" w:rsidR="00944BC2" w:rsidRDefault="00A7623A" w:rsidP="005842A2">
      <w:pPr>
        <w:numPr>
          <w:ilvl w:val="0"/>
          <w:numId w:val="29"/>
        </w:numPr>
        <w:ind w:left="1008" w:hanging="288"/>
        <w:rPr>
          <w:rFonts w:cs="Arial"/>
          <w:szCs w:val="24"/>
          <w:lang w:bidi="en-US"/>
        </w:rPr>
      </w:pPr>
      <w:r>
        <w:rPr>
          <w:rFonts w:cs="Arial"/>
          <w:szCs w:val="24"/>
          <w:lang w:bidi="en-US"/>
        </w:rPr>
        <w:t>One</w:t>
      </w:r>
      <w:r w:rsidR="00D83563" w:rsidRPr="00D83563">
        <w:rPr>
          <w:rFonts w:cs="Arial"/>
          <w:szCs w:val="24"/>
          <w:lang w:bidi="en-US"/>
        </w:rPr>
        <w:t xml:space="preserve"> exception is reimbursement of lost wages incurred by parent representatives of the </w:t>
      </w:r>
      <w:r w:rsidR="00D83563" w:rsidRPr="008C24E7">
        <w:rPr>
          <w:rFonts w:cs="Arial"/>
          <w:i/>
          <w:iCs/>
          <w:szCs w:val="24"/>
          <w:lang w:bidi="en-US"/>
        </w:rPr>
        <w:t>Statewide</w:t>
      </w:r>
      <w:r w:rsidR="00D83563" w:rsidRPr="00D83563">
        <w:rPr>
          <w:rFonts w:cs="Arial"/>
          <w:szCs w:val="24"/>
          <w:lang w:bidi="en-US"/>
        </w:rPr>
        <w:t xml:space="preserve"> P</w:t>
      </w:r>
      <w:r w:rsidR="00555225">
        <w:rPr>
          <w:rFonts w:cs="Arial"/>
          <w:szCs w:val="24"/>
          <w:lang w:bidi="en-US"/>
        </w:rPr>
        <w:t>AC</w:t>
      </w:r>
      <w:r w:rsidR="00965F16">
        <w:rPr>
          <w:rFonts w:cs="Arial"/>
          <w:szCs w:val="24"/>
          <w:lang w:bidi="en-US"/>
        </w:rPr>
        <w:t xml:space="preserve"> (SPAC)</w:t>
      </w:r>
      <w:r w:rsidR="00D83563" w:rsidRPr="00D83563">
        <w:rPr>
          <w:rFonts w:cs="Arial"/>
          <w:szCs w:val="24"/>
          <w:lang w:bidi="en-US"/>
        </w:rPr>
        <w:t xml:space="preserve"> when attending official meetings convened by the CDE. This reimbursement is allowable only when adequately documented in accordance with the process put forth by the CDE. </w:t>
      </w:r>
    </w:p>
    <w:p w14:paraId="54CF4BC8" w14:textId="4F3FF983" w:rsidR="00D83563" w:rsidRPr="00EF5DDB" w:rsidRDefault="00D83563" w:rsidP="008C24E7">
      <w:pPr>
        <w:pStyle w:val="ListParagraph"/>
        <w:numPr>
          <w:ilvl w:val="0"/>
          <w:numId w:val="8"/>
        </w:numPr>
        <w:tabs>
          <w:tab w:val="clear" w:pos="1500"/>
          <w:tab w:val="num" w:pos="720"/>
        </w:tabs>
        <w:ind w:hanging="1050"/>
        <w:contextualSpacing w:val="0"/>
        <w:rPr>
          <w:rFonts w:cs="Arial"/>
          <w:szCs w:val="24"/>
          <w:lang w:bidi="en-US"/>
        </w:rPr>
      </w:pPr>
      <w:r w:rsidRPr="00EF5DDB">
        <w:rPr>
          <w:rFonts w:cs="Arial"/>
          <w:szCs w:val="24"/>
          <w:lang w:bidi="en-US"/>
        </w:rPr>
        <w:t>Instruction in English as a Second Language for parents.</w:t>
      </w:r>
    </w:p>
    <w:p w14:paraId="2F9B165E" w14:textId="47D24F0F" w:rsidR="00944BC2" w:rsidRPr="00EF5DDB" w:rsidRDefault="00D83563" w:rsidP="008C24E7">
      <w:pPr>
        <w:pStyle w:val="ListParagraph"/>
        <w:numPr>
          <w:ilvl w:val="0"/>
          <w:numId w:val="8"/>
        </w:numPr>
        <w:tabs>
          <w:tab w:val="clear" w:pos="1500"/>
          <w:tab w:val="num" w:pos="720"/>
        </w:tabs>
        <w:ind w:hanging="1050"/>
        <w:contextualSpacing w:val="0"/>
        <w:rPr>
          <w:rFonts w:cs="Arial"/>
          <w:szCs w:val="24"/>
          <w:lang w:bidi="en-US"/>
        </w:rPr>
      </w:pPr>
      <w:r w:rsidRPr="00EF5DDB">
        <w:rPr>
          <w:rFonts w:cs="Arial"/>
          <w:szCs w:val="24"/>
          <w:lang w:bidi="en-US"/>
        </w:rPr>
        <w:t>Adult education or any for-credit classes for parents.</w:t>
      </w:r>
    </w:p>
    <w:p w14:paraId="6BB5DE66" w14:textId="54A99EA1" w:rsidR="00D83563" w:rsidRPr="00EF5DDB" w:rsidRDefault="00D83563" w:rsidP="008C24E7">
      <w:pPr>
        <w:pStyle w:val="ListParagraph"/>
        <w:numPr>
          <w:ilvl w:val="0"/>
          <w:numId w:val="8"/>
        </w:numPr>
        <w:tabs>
          <w:tab w:val="clear" w:pos="1500"/>
          <w:tab w:val="num" w:pos="720"/>
        </w:tabs>
        <w:ind w:hanging="1050"/>
        <w:contextualSpacing w:val="0"/>
        <w:rPr>
          <w:rFonts w:cs="Arial"/>
          <w:szCs w:val="24"/>
          <w:lang w:bidi="en-US"/>
        </w:rPr>
      </w:pPr>
      <w:r w:rsidRPr="00EF5DDB">
        <w:rPr>
          <w:rFonts w:cs="Arial"/>
          <w:szCs w:val="24"/>
          <w:lang w:bidi="en-US"/>
        </w:rPr>
        <w:t>Healthcare or mental health services for parents.</w:t>
      </w:r>
    </w:p>
    <w:p w14:paraId="3B21EF7B" w14:textId="498D923F" w:rsidR="00D83563" w:rsidRPr="00720E69" w:rsidRDefault="00D83563" w:rsidP="008C24E7">
      <w:pPr>
        <w:pStyle w:val="ListParagraph"/>
        <w:numPr>
          <w:ilvl w:val="0"/>
          <w:numId w:val="8"/>
        </w:numPr>
        <w:tabs>
          <w:tab w:val="clear" w:pos="1500"/>
          <w:tab w:val="num" w:pos="720"/>
        </w:tabs>
        <w:ind w:hanging="1050"/>
        <w:contextualSpacing w:val="0"/>
        <w:rPr>
          <w:rFonts w:cs="Arial"/>
          <w:szCs w:val="24"/>
          <w:lang w:bidi="en-US"/>
        </w:rPr>
      </w:pPr>
      <w:r w:rsidRPr="00720E69">
        <w:rPr>
          <w:rFonts w:cs="Arial"/>
          <w:szCs w:val="24"/>
          <w:lang w:bidi="en-US"/>
        </w:rPr>
        <w:t>Instruction in personal finance.</w:t>
      </w:r>
    </w:p>
    <w:p w14:paraId="1FED286A" w14:textId="53A98A33" w:rsidR="00D83563" w:rsidRPr="00720E69" w:rsidRDefault="00D83563" w:rsidP="008C24E7">
      <w:pPr>
        <w:pStyle w:val="ListParagraph"/>
        <w:numPr>
          <w:ilvl w:val="0"/>
          <w:numId w:val="8"/>
        </w:numPr>
        <w:tabs>
          <w:tab w:val="clear" w:pos="1500"/>
          <w:tab w:val="num" w:pos="720"/>
        </w:tabs>
        <w:ind w:hanging="1050"/>
        <w:contextualSpacing w:val="0"/>
        <w:rPr>
          <w:rFonts w:cs="Arial"/>
          <w:szCs w:val="24"/>
          <w:lang w:bidi="en-US"/>
        </w:rPr>
      </w:pPr>
      <w:r w:rsidRPr="00720E69">
        <w:rPr>
          <w:rFonts w:cs="Arial"/>
          <w:szCs w:val="24"/>
          <w:lang w:bidi="en-US"/>
        </w:rPr>
        <w:t>Instruction pertaining to immigration laws, rules or requirements.</w:t>
      </w:r>
    </w:p>
    <w:p w14:paraId="68341F1B" w14:textId="365F01EB" w:rsidR="00D83563" w:rsidRPr="00EF5DDB" w:rsidRDefault="00D83563" w:rsidP="008C24E7">
      <w:pPr>
        <w:pStyle w:val="ListParagraph"/>
        <w:numPr>
          <w:ilvl w:val="0"/>
          <w:numId w:val="8"/>
        </w:numPr>
        <w:tabs>
          <w:tab w:val="clear" w:pos="1500"/>
          <w:tab w:val="num" w:pos="720"/>
        </w:tabs>
        <w:ind w:hanging="1050"/>
        <w:contextualSpacing w:val="0"/>
        <w:rPr>
          <w:rFonts w:cs="Arial"/>
          <w:szCs w:val="24"/>
          <w:lang w:bidi="en-US"/>
        </w:rPr>
      </w:pPr>
      <w:r w:rsidRPr="00EF5DDB">
        <w:rPr>
          <w:rFonts w:cs="Arial"/>
          <w:szCs w:val="24"/>
          <w:lang w:bidi="en-US"/>
        </w:rPr>
        <w:t>Political activities or lobbying.</w:t>
      </w:r>
    </w:p>
    <w:p w14:paraId="329A3C48" w14:textId="77777777" w:rsidR="00D83563" w:rsidRDefault="00D83563" w:rsidP="009C532E">
      <w:pPr>
        <w:pStyle w:val="Heading3"/>
        <w:rPr>
          <w:lang w:bidi="en-US"/>
        </w:rPr>
      </w:pPr>
      <w:bookmarkStart w:id="74" w:name="_Toc414262512"/>
      <w:bookmarkStart w:id="75" w:name="_Toc207703812"/>
      <w:r w:rsidRPr="00D83563">
        <w:rPr>
          <w:lang w:bidi="en-US"/>
        </w:rPr>
        <w:t>7.3</w:t>
      </w:r>
      <w:r w:rsidR="004E2608">
        <w:rPr>
          <w:lang w:bidi="en-US"/>
        </w:rPr>
        <w:t xml:space="preserve"> </w:t>
      </w:r>
      <w:r w:rsidRPr="00D83563">
        <w:rPr>
          <w:lang w:bidi="en-US"/>
        </w:rPr>
        <w:t>General Guidelines</w:t>
      </w:r>
      <w:bookmarkEnd w:id="74"/>
      <w:bookmarkEnd w:id="75"/>
    </w:p>
    <w:p w14:paraId="62075817" w14:textId="77777777" w:rsidR="00D83563" w:rsidRDefault="00D83563" w:rsidP="005842A2">
      <w:pPr>
        <w:pStyle w:val="Heading4"/>
        <w:numPr>
          <w:ilvl w:val="0"/>
          <w:numId w:val="64"/>
        </w:numPr>
        <w:tabs>
          <w:tab w:val="clear" w:pos="1080"/>
        </w:tabs>
        <w:ind w:left="576"/>
        <w:rPr>
          <w:lang w:bidi="en-US"/>
        </w:rPr>
      </w:pPr>
      <w:r w:rsidRPr="00D83563">
        <w:rPr>
          <w:lang w:bidi="en-US"/>
        </w:rPr>
        <w:t>Meetings &amp; Trainings</w:t>
      </w:r>
    </w:p>
    <w:p w14:paraId="4ECB6490" w14:textId="77777777" w:rsidR="00944BC2" w:rsidRDefault="00D83563" w:rsidP="00726990">
      <w:pPr>
        <w:widowControl w:val="0"/>
        <w:autoSpaceDE w:val="0"/>
        <w:autoSpaceDN w:val="0"/>
        <w:adjustRightInd w:val="0"/>
        <w:ind w:left="720"/>
        <w:rPr>
          <w:rFonts w:cs="Arial"/>
          <w:color w:val="000000"/>
          <w:szCs w:val="23"/>
          <w:lang w:bidi="en-US"/>
        </w:rPr>
      </w:pPr>
      <w:r w:rsidRPr="00D83563">
        <w:rPr>
          <w:rFonts w:cs="Arial"/>
          <w:color w:val="000000"/>
          <w:szCs w:val="23"/>
          <w:lang w:bidi="en-US"/>
        </w:rPr>
        <w:t>Allowable expenditures for staff, students or parents related to meetings, workshops, in-service or other trainings shall meet the following criteria:</w:t>
      </w:r>
    </w:p>
    <w:p w14:paraId="6BDDCBF7" w14:textId="77777777" w:rsidR="00D83563" w:rsidRDefault="00D83563" w:rsidP="005842A2">
      <w:pPr>
        <w:widowControl w:val="0"/>
        <w:numPr>
          <w:ilvl w:val="0"/>
          <w:numId w:val="29"/>
        </w:numPr>
        <w:tabs>
          <w:tab w:val="num" w:pos="720"/>
        </w:tabs>
        <w:autoSpaceDE w:val="0"/>
        <w:autoSpaceDN w:val="0"/>
        <w:adjustRightInd w:val="0"/>
        <w:ind w:left="1296" w:hanging="288"/>
        <w:rPr>
          <w:rFonts w:cs="Arial"/>
          <w:color w:val="000000"/>
          <w:szCs w:val="23"/>
          <w:lang w:bidi="en-US"/>
        </w:rPr>
      </w:pPr>
      <w:r w:rsidRPr="00D83563">
        <w:rPr>
          <w:rFonts w:cs="Arial"/>
          <w:color w:val="000000"/>
          <w:szCs w:val="23"/>
          <w:lang w:bidi="en-US"/>
        </w:rPr>
        <w:t>Be reasonable and necessary for the implementation of the MEP program.</w:t>
      </w:r>
    </w:p>
    <w:p w14:paraId="36E6B2E6" w14:textId="39C97E0F" w:rsidR="00944BC2" w:rsidRDefault="00D83563" w:rsidP="005842A2">
      <w:pPr>
        <w:widowControl w:val="0"/>
        <w:numPr>
          <w:ilvl w:val="0"/>
          <w:numId w:val="29"/>
        </w:numPr>
        <w:tabs>
          <w:tab w:val="num" w:pos="720"/>
        </w:tabs>
        <w:autoSpaceDE w:val="0"/>
        <w:autoSpaceDN w:val="0"/>
        <w:adjustRightInd w:val="0"/>
        <w:ind w:left="1296" w:hanging="288"/>
        <w:rPr>
          <w:rFonts w:cs="Arial"/>
          <w:color w:val="000000"/>
          <w:szCs w:val="23"/>
          <w:lang w:bidi="en-US"/>
        </w:rPr>
      </w:pPr>
      <w:r w:rsidRPr="00D83563">
        <w:rPr>
          <w:rFonts w:cs="Arial"/>
          <w:color w:val="000000"/>
          <w:szCs w:val="23"/>
          <w:lang w:bidi="en-US"/>
        </w:rPr>
        <w:t>Expenses incurred by staff shall be budgeted in the approved application</w:t>
      </w:r>
      <w:r w:rsidR="00550234">
        <w:rPr>
          <w:rFonts w:cs="Arial"/>
          <w:color w:val="000000"/>
          <w:szCs w:val="23"/>
          <w:lang w:bidi="en-US"/>
        </w:rPr>
        <w:t xml:space="preserve"> or </w:t>
      </w:r>
      <w:r w:rsidR="00550234">
        <w:rPr>
          <w:rFonts w:cs="Arial"/>
          <w:color w:val="000000"/>
          <w:szCs w:val="23"/>
          <w:lang w:bidi="en-US"/>
        </w:rPr>
        <w:lastRenderedPageBreak/>
        <w:t>revision</w:t>
      </w:r>
      <w:r w:rsidRPr="00D83563">
        <w:rPr>
          <w:rFonts w:cs="Arial"/>
          <w:color w:val="000000"/>
          <w:szCs w:val="23"/>
          <w:lang w:bidi="en-US"/>
        </w:rPr>
        <w:t>.</w:t>
      </w:r>
    </w:p>
    <w:p w14:paraId="4B69F83F" w14:textId="77777777" w:rsidR="00D83563" w:rsidRDefault="00D83563" w:rsidP="005842A2">
      <w:pPr>
        <w:widowControl w:val="0"/>
        <w:numPr>
          <w:ilvl w:val="0"/>
          <w:numId w:val="29"/>
        </w:numPr>
        <w:tabs>
          <w:tab w:val="num" w:pos="720"/>
        </w:tabs>
        <w:autoSpaceDE w:val="0"/>
        <w:autoSpaceDN w:val="0"/>
        <w:adjustRightInd w:val="0"/>
        <w:ind w:left="1296" w:hanging="288"/>
        <w:rPr>
          <w:rFonts w:cs="Arial"/>
          <w:color w:val="000000"/>
          <w:szCs w:val="23"/>
          <w:lang w:bidi="en-US"/>
        </w:rPr>
      </w:pPr>
      <w:r w:rsidRPr="00D83563">
        <w:rPr>
          <w:rFonts w:cs="Arial"/>
          <w:color w:val="000000"/>
          <w:szCs w:val="23"/>
          <w:lang w:bidi="en-US"/>
        </w:rPr>
        <w:t>Expenses incurred by staff are limited to staff employed by the MEP.</w:t>
      </w:r>
    </w:p>
    <w:p w14:paraId="3B6568CC" w14:textId="4CE84C5D" w:rsidR="00D83563" w:rsidRDefault="00D83563" w:rsidP="005842A2">
      <w:pPr>
        <w:widowControl w:val="0"/>
        <w:numPr>
          <w:ilvl w:val="0"/>
          <w:numId w:val="29"/>
        </w:numPr>
        <w:tabs>
          <w:tab w:val="num" w:pos="720"/>
        </w:tabs>
        <w:autoSpaceDE w:val="0"/>
        <w:autoSpaceDN w:val="0"/>
        <w:adjustRightInd w:val="0"/>
        <w:ind w:left="1296" w:hanging="288"/>
        <w:rPr>
          <w:rFonts w:cs="Arial"/>
          <w:color w:val="000000"/>
          <w:szCs w:val="23"/>
          <w:lang w:bidi="en-US"/>
        </w:rPr>
      </w:pPr>
      <w:r w:rsidRPr="00D83563">
        <w:rPr>
          <w:rFonts w:cs="Arial"/>
          <w:color w:val="000000"/>
          <w:szCs w:val="23"/>
          <w:lang w:bidi="en-US"/>
        </w:rPr>
        <w:t xml:space="preserve">When feasible, MEP staff shall use other modes of communication to disseminate information, such as </w:t>
      </w:r>
      <w:r w:rsidRPr="00D83563">
        <w:rPr>
          <w:rFonts w:cs="Arial"/>
          <w:szCs w:val="24"/>
          <w:lang w:bidi="en-US"/>
        </w:rPr>
        <w:t>telephone, email</w:t>
      </w:r>
      <w:r w:rsidR="003C4532">
        <w:rPr>
          <w:rFonts w:cs="Arial"/>
          <w:szCs w:val="24"/>
          <w:lang w:bidi="en-US"/>
        </w:rPr>
        <w:t xml:space="preserve">, virtual </w:t>
      </w:r>
      <w:r w:rsidR="00F1136D">
        <w:rPr>
          <w:rFonts w:cs="Arial"/>
          <w:szCs w:val="24"/>
          <w:lang w:bidi="en-US"/>
        </w:rPr>
        <w:t>meetings</w:t>
      </w:r>
      <w:r w:rsidR="003C4532">
        <w:rPr>
          <w:rFonts w:cs="Arial"/>
          <w:szCs w:val="24"/>
          <w:lang w:bidi="en-US"/>
        </w:rPr>
        <w:t>,</w:t>
      </w:r>
      <w:r w:rsidRPr="00D83563">
        <w:rPr>
          <w:rFonts w:cs="Arial"/>
          <w:szCs w:val="24"/>
          <w:lang w:bidi="en-US"/>
        </w:rPr>
        <w:t xml:space="preserve"> or videoconference,</w:t>
      </w:r>
      <w:r w:rsidRPr="00D83563">
        <w:rPr>
          <w:rFonts w:cs="Arial"/>
          <w:color w:val="000000"/>
          <w:szCs w:val="23"/>
          <w:lang w:bidi="en-US"/>
        </w:rPr>
        <w:t xml:space="preserve"> instead of incurring expenses related to in-person meetings. This requirement does not change the statutory or regulatory obligation to hold regular meetings for </w:t>
      </w:r>
      <w:r w:rsidR="00D31812">
        <w:rPr>
          <w:rFonts w:cs="Arial"/>
          <w:color w:val="000000"/>
          <w:szCs w:val="23"/>
          <w:lang w:bidi="en-US"/>
        </w:rPr>
        <w:t>migratory</w:t>
      </w:r>
      <w:r w:rsidRPr="00D83563">
        <w:rPr>
          <w:rFonts w:cs="Arial"/>
          <w:color w:val="000000"/>
          <w:szCs w:val="23"/>
          <w:lang w:bidi="en-US"/>
        </w:rPr>
        <w:t xml:space="preserve"> parents.</w:t>
      </w:r>
    </w:p>
    <w:p w14:paraId="3C7220C4" w14:textId="77777777" w:rsidR="00D83563" w:rsidRDefault="00D83563" w:rsidP="005842A2">
      <w:pPr>
        <w:pStyle w:val="Heading4"/>
        <w:numPr>
          <w:ilvl w:val="0"/>
          <w:numId w:val="64"/>
        </w:numPr>
        <w:ind w:left="576"/>
        <w:rPr>
          <w:lang w:bidi="en-US"/>
        </w:rPr>
      </w:pPr>
      <w:r w:rsidRPr="00D83563">
        <w:rPr>
          <w:lang w:bidi="en-US"/>
        </w:rPr>
        <w:t>Travel</w:t>
      </w:r>
    </w:p>
    <w:p w14:paraId="015FE410" w14:textId="51E3AACD" w:rsidR="00D83563" w:rsidRDefault="00D83563" w:rsidP="00726990">
      <w:pPr>
        <w:ind w:left="720"/>
        <w:rPr>
          <w:rFonts w:cs="Arial"/>
          <w:szCs w:val="24"/>
          <w:lang w:bidi="en-US"/>
        </w:rPr>
      </w:pPr>
      <w:r w:rsidRPr="00D83563">
        <w:rPr>
          <w:rFonts w:cs="Arial"/>
          <w:szCs w:val="24"/>
          <w:lang w:bidi="en-US"/>
        </w:rPr>
        <w:t>Per the OME, travel to meetings or conferences for the purpose of “information dissemination” is not an allowable use of MEP funds. Whenever feasible, information should be shared via telephone, email</w:t>
      </w:r>
      <w:r w:rsidR="003C4532">
        <w:rPr>
          <w:rFonts w:cs="Arial"/>
          <w:szCs w:val="24"/>
          <w:lang w:bidi="en-US"/>
        </w:rPr>
        <w:t>, virtual meeting,</w:t>
      </w:r>
      <w:r w:rsidRPr="00D83563">
        <w:rPr>
          <w:rFonts w:cs="Arial"/>
          <w:szCs w:val="24"/>
          <w:lang w:bidi="en-US"/>
        </w:rPr>
        <w:t xml:space="preserve"> or videoconference. The only allowable travel is for provision of “technical information”</w:t>
      </w:r>
      <w:r w:rsidRPr="00D83563">
        <w:rPr>
          <w:rStyle w:val="FootnoteReference"/>
          <w:rFonts w:cs="Arial"/>
          <w:szCs w:val="24"/>
          <w:lang w:bidi="en-US"/>
        </w:rPr>
        <w:footnoteReference w:id="15"/>
      </w:r>
      <w:r w:rsidRPr="00D83563">
        <w:rPr>
          <w:rFonts w:cs="Arial"/>
          <w:szCs w:val="24"/>
          <w:lang w:bidi="en-US"/>
        </w:rPr>
        <w:t xml:space="preserve"> or when activities cannot properly be conducted through other means. For example, professional development and technical assistance activities may require group interaction that is not feasible other than in person.</w:t>
      </w:r>
    </w:p>
    <w:p w14:paraId="56BCD9A8" w14:textId="1D43DDBC" w:rsidR="00D83563" w:rsidRDefault="00D83563" w:rsidP="00726990">
      <w:pPr>
        <w:ind w:left="720"/>
        <w:rPr>
          <w:rFonts w:cs="Arial"/>
          <w:szCs w:val="24"/>
          <w:lang w:bidi="en-US"/>
        </w:rPr>
      </w:pPr>
      <w:r w:rsidRPr="00D83563">
        <w:rPr>
          <w:rFonts w:cs="Arial"/>
          <w:szCs w:val="24"/>
          <w:lang w:bidi="en-US"/>
        </w:rPr>
        <w:t>To be allowable, travel costs must be budgeted in the approved application</w:t>
      </w:r>
      <w:r w:rsidR="00A97154">
        <w:rPr>
          <w:rFonts w:cs="Arial"/>
          <w:szCs w:val="24"/>
          <w:lang w:bidi="en-US"/>
        </w:rPr>
        <w:t xml:space="preserve">, </w:t>
      </w:r>
      <w:r w:rsidR="00861260">
        <w:rPr>
          <w:rFonts w:cs="Arial"/>
          <w:szCs w:val="24"/>
          <w:lang w:bidi="en-US"/>
        </w:rPr>
        <w:t>revision,</w:t>
      </w:r>
      <w:r w:rsidRPr="00D83563">
        <w:rPr>
          <w:rFonts w:cs="Arial"/>
          <w:szCs w:val="24"/>
          <w:lang w:bidi="en-US"/>
        </w:rPr>
        <w:t xml:space="preserve"> or the CDE contract.</w:t>
      </w:r>
    </w:p>
    <w:p w14:paraId="25F6E371" w14:textId="513899F5" w:rsidR="00D83563" w:rsidRDefault="00D83563" w:rsidP="00726990">
      <w:pPr>
        <w:ind w:left="720"/>
        <w:rPr>
          <w:rFonts w:cs="Arial"/>
          <w:szCs w:val="24"/>
          <w:lang w:bidi="en-US"/>
        </w:rPr>
      </w:pPr>
      <w:r w:rsidRPr="00D83563">
        <w:rPr>
          <w:rFonts w:cs="Arial"/>
          <w:szCs w:val="24"/>
          <w:lang w:bidi="en-US"/>
        </w:rPr>
        <w:t>Travel to any out-of-state meeting, event, conference, etc. must receive prior approval from the CDE using the Out-of-State Approval Request</w:t>
      </w:r>
      <w:r w:rsidR="0049024D">
        <w:rPr>
          <w:rStyle w:val="FootnoteReference"/>
          <w:rFonts w:cs="Arial"/>
          <w:szCs w:val="24"/>
          <w:lang w:bidi="en-US"/>
        </w:rPr>
        <w:footnoteReference w:id="16"/>
      </w:r>
      <w:r w:rsidRPr="00D83563">
        <w:rPr>
          <w:rFonts w:cs="Arial"/>
          <w:szCs w:val="24"/>
          <w:lang w:bidi="en-US"/>
        </w:rPr>
        <w:t>. This form shall include a justification, name, and titles of individuals attending, and estimated cost. This form is required in addition to the accounting/budgeting of travel in the appropriate funding application</w:t>
      </w:r>
      <w:r w:rsidR="00861260">
        <w:rPr>
          <w:rFonts w:cs="Arial"/>
          <w:szCs w:val="24"/>
          <w:lang w:bidi="en-US"/>
        </w:rPr>
        <w:t xml:space="preserve"> or revision</w:t>
      </w:r>
      <w:r w:rsidRPr="00D83563">
        <w:rPr>
          <w:rFonts w:cs="Arial"/>
          <w:szCs w:val="24"/>
          <w:lang w:bidi="en-US"/>
        </w:rPr>
        <w:t>.</w:t>
      </w:r>
    </w:p>
    <w:p w14:paraId="0B802A17" w14:textId="77777777" w:rsidR="00D83563" w:rsidRDefault="00D83563" w:rsidP="005842A2">
      <w:pPr>
        <w:pStyle w:val="Heading4"/>
        <w:numPr>
          <w:ilvl w:val="0"/>
          <w:numId w:val="64"/>
        </w:numPr>
        <w:ind w:left="576"/>
        <w:rPr>
          <w:lang w:bidi="en-US"/>
        </w:rPr>
      </w:pPr>
      <w:r w:rsidRPr="00D83563">
        <w:rPr>
          <w:lang w:bidi="en-US"/>
        </w:rPr>
        <w:t>Conferences</w:t>
      </w:r>
    </w:p>
    <w:p w14:paraId="4EDB6522" w14:textId="77777777" w:rsidR="00944BC2" w:rsidRDefault="00D83563" w:rsidP="00726990">
      <w:pPr>
        <w:ind w:left="720"/>
        <w:rPr>
          <w:rFonts w:cs="Arial"/>
          <w:szCs w:val="24"/>
          <w:lang w:bidi="en-US"/>
        </w:rPr>
      </w:pPr>
      <w:r w:rsidRPr="00D83563">
        <w:rPr>
          <w:rFonts w:cs="Arial"/>
          <w:szCs w:val="24"/>
          <w:lang w:bidi="en-US"/>
        </w:rPr>
        <w:t>Allowable conference expenditures shall meet the following criteria:</w:t>
      </w:r>
    </w:p>
    <w:p w14:paraId="51C3ACB5" w14:textId="77777777" w:rsidR="00D83563" w:rsidRDefault="00D83563" w:rsidP="005842A2">
      <w:pPr>
        <w:pStyle w:val="BodyTextIndent"/>
        <w:numPr>
          <w:ilvl w:val="0"/>
          <w:numId w:val="30"/>
        </w:numPr>
        <w:tabs>
          <w:tab w:val="left" w:pos="720"/>
        </w:tabs>
        <w:ind w:left="1296" w:hanging="288"/>
        <w:rPr>
          <w:rFonts w:cs="Arial"/>
          <w:color w:val="000000"/>
          <w:sz w:val="24"/>
        </w:rPr>
      </w:pPr>
      <w:r w:rsidRPr="00D83563">
        <w:rPr>
          <w:rFonts w:cs="Arial"/>
          <w:color w:val="000000"/>
          <w:sz w:val="24"/>
        </w:rPr>
        <w:t>Per the OME guidance, expenditures for conference attendance cannot be solely for the purpose of “information dissemination.”</w:t>
      </w:r>
    </w:p>
    <w:p w14:paraId="5AC5700C" w14:textId="77777777" w:rsidR="00944BC2" w:rsidRDefault="00D83563" w:rsidP="005842A2">
      <w:pPr>
        <w:pStyle w:val="ListParagraph"/>
        <w:numPr>
          <w:ilvl w:val="0"/>
          <w:numId w:val="30"/>
        </w:numPr>
        <w:ind w:left="1296" w:hanging="288"/>
        <w:contextualSpacing w:val="0"/>
        <w:rPr>
          <w:rFonts w:cs="Arial"/>
          <w:color w:val="000000"/>
        </w:rPr>
      </w:pPr>
      <w:r w:rsidRPr="00D83563">
        <w:rPr>
          <w:rFonts w:cs="Arial"/>
          <w:color w:val="000000"/>
        </w:rPr>
        <w:t>Be limited to actual and necessary expenses incurred by MEP staff, parents or students.</w:t>
      </w:r>
    </w:p>
    <w:p w14:paraId="63686375" w14:textId="037738CE" w:rsidR="00D83563" w:rsidRDefault="00D83563" w:rsidP="005842A2">
      <w:pPr>
        <w:pStyle w:val="ListParagraph"/>
        <w:numPr>
          <w:ilvl w:val="0"/>
          <w:numId w:val="30"/>
        </w:numPr>
        <w:ind w:left="1296" w:hanging="288"/>
        <w:contextualSpacing w:val="0"/>
        <w:rPr>
          <w:rFonts w:cs="Arial"/>
          <w:color w:val="000000"/>
        </w:rPr>
      </w:pPr>
      <w:r w:rsidRPr="00D83563">
        <w:rPr>
          <w:rFonts w:cs="Arial"/>
          <w:color w:val="000000"/>
        </w:rPr>
        <w:t xml:space="preserve">Be related to the identified and prioritized needs of </w:t>
      </w:r>
      <w:r w:rsidR="00FC5AFC">
        <w:rPr>
          <w:rFonts w:cs="Arial"/>
          <w:color w:val="000000"/>
        </w:rPr>
        <w:t>migratory</w:t>
      </w:r>
      <w:r w:rsidRPr="00D83563">
        <w:rPr>
          <w:rFonts w:cs="Arial"/>
          <w:color w:val="000000"/>
        </w:rPr>
        <w:t xml:space="preserve"> students.</w:t>
      </w:r>
    </w:p>
    <w:p w14:paraId="36BC7D4F" w14:textId="77777777" w:rsidR="00944BC2" w:rsidRDefault="00D83563" w:rsidP="005842A2">
      <w:pPr>
        <w:pStyle w:val="ListParagraph"/>
        <w:numPr>
          <w:ilvl w:val="0"/>
          <w:numId w:val="30"/>
        </w:numPr>
        <w:ind w:left="1296" w:hanging="288"/>
        <w:contextualSpacing w:val="0"/>
        <w:rPr>
          <w:rFonts w:cs="Arial"/>
          <w:color w:val="000000"/>
        </w:rPr>
      </w:pPr>
      <w:r w:rsidRPr="00D83563">
        <w:rPr>
          <w:rFonts w:cs="Arial"/>
          <w:color w:val="000000"/>
        </w:rPr>
        <w:t>Be reasonable and necessary for the implementation of the approved RA, DSA or CDE contract.</w:t>
      </w:r>
    </w:p>
    <w:p w14:paraId="78201890" w14:textId="77777777" w:rsidR="00944BC2" w:rsidRDefault="00D83563" w:rsidP="005842A2">
      <w:pPr>
        <w:pStyle w:val="ListParagraph"/>
        <w:numPr>
          <w:ilvl w:val="0"/>
          <w:numId w:val="30"/>
        </w:numPr>
        <w:ind w:left="1296" w:hanging="288"/>
        <w:contextualSpacing w:val="0"/>
        <w:rPr>
          <w:rFonts w:cs="Arial"/>
          <w:color w:val="000000"/>
        </w:rPr>
      </w:pPr>
      <w:r w:rsidRPr="00D83563">
        <w:rPr>
          <w:rFonts w:cs="Arial"/>
          <w:color w:val="000000"/>
        </w:rPr>
        <w:t>Each conference to be attended or conducted, including local, state, and out-of-state conferences, must be listed in the approved RA, DSA or CDE contract, and in the related budget documents.</w:t>
      </w:r>
    </w:p>
    <w:p w14:paraId="025B367D" w14:textId="0FCAE06D" w:rsidR="00944BC2" w:rsidRDefault="00D83563" w:rsidP="005842A2">
      <w:pPr>
        <w:pStyle w:val="ListParagraph"/>
        <w:numPr>
          <w:ilvl w:val="1"/>
          <w:numId w:val="30"/>
        </w:numPr>
        <w:tabs>
          <w:tab w:val="left" w:pos="288"/>
        </w:tabs>
        <w:ind w:left="1872" w:hanging="288"/>
        <w:contextualSpacing w:val="0"/>
        <w:rPr>
          <w:rFonts w:cs="Arial"/>
          <w:color w:val="000000"/>
        </w:rPr>
      </w:pPr>
      <w:r w:rsidRPr="00D83563">
        <w:rPr>
          <w:rFonts w:cs="Arial"/>
          <w:color w:val="000000"/>
        </w:rPr>
        <w:lastRenderedPageBreak/>
        <w:t>Subsequent additions or substitutions require an approved budget</w:t>
      </w:r>
      <w:r w:rsidR="002E3E1F">
        <w:rPr>
          <w:rFonts w:cs="Arial"/>
          <w:color w:val="000000"/>
        </w:rPr>
        <w:t xml:space="preserve"> </w:t>
      </w:r>
      <w:r w:rsidRPr="00D83563">
        <w:rPr>
          <w:rFonts w:cs="Arial"/>
          <w:color w:val="000000"/>
        </w:rPr>
        <w:t>revision prior to conference attendance.</w:t>
      </w:r>
    </w:p>
    <w:p w14:paraId="00461BBA" w14:textId="751061CD" w:rsidR="00D83563" w:rsidRDefault="00D83563" w:rsidP="005842A2">
      <w:pPr>
        <w:pStyle w:val="ListParagraph"/>
        <w:numPr>
          <w:ilvl w:val="1"/>
          <w:numId w:val="30"/>
        </w:numPr>
        <w:tabs>
          <w:tab w:val="left" w:pos="288"/>
        </w:tabs>
        <w:ind w:left="1872" w:hanging="288"/>
        <w:contextualSpacing w:val="0"/>
        <w:rPr>
          <w:rFonts w:cs="Arial"/>
          <w:color w:val="000000"/>
        </w:rPr>
      </w:pPr>
      <w:r w:rsidRPr="00D83563">
        <w:rPr>
          <w:rFonts w:cs="Arial"/>
          <w:color w:val="000000"/>
        </w:rPr>
        <w:t>The budget request must include each of the following:</w:t>
      </w:r>
    </w:p>
    <w:p w14:paraId="1CA25889" w14:textId="77777777" w:rsidR="00D83563" w:rsidRPr="00D83563" w:rsidRDefault="00D83563" w:rsidP="005842A2">
      <w:pPr>
        <w:pStyle w:val="ListParagraph"/>
        <w:numPr>
          <w:ilvl w:val="1"/>
          <w:numId w:val="44"/>
        </w:numPr>
        <w:ind w:left="2448" w:hanging="288"/>
        <w:contextualSpacing w:val="0"/>
        <w:rPr>
          <w:rFonts w:cs="Arial"/>
        </w:rPr>
      </w:pPr>
      <w:r w:rsidRPr="00D83563">
        <w:rPr>
          <w:rFonts w:cs="Arial"/>
        </w:rPr>
        <w:t>Name, purpose, and location of the conference</w:t>
      </w:r>
    </w:p>
    <w:p w14:paraId="1B2B3F75" w14:textId="77777777" w:rsidR="00D83563" w:rsidRPr="00D83563" w:rsidRDefault="00D83563" w:rsidP="005842A2">
      <w:pPr>
        <w:pStyle w:val="ListParagraph"/>
        <w:numPr>
          <w:ilvl w:val="1"/>
          <w:numId w:val="44"/>
        </w:numPr>
        <w:ind w:left="2448" w:hanging="288"/>
        <w:contextualSpacing w:val="0"/>
        <w:rPr>
          <w:rFonts w:cs="Arial"/>
        </w:rPr>
      </w:pPr>
      <w:r w:rsidRPr="00D83563">
        <w:rPr>
          <w:rFonts w:cs="Arial"/>
        </w:rPr>
        <w:t>List of attendees identified by job title, and name when available</w:t>
      </w:r>
    </w:p>
    <w:p w14:paraId="652E1DDB" w14:textId="77777777" w:rsidR="00D83563" w:rsidRDefault="00D83563" w:rsidP="005842A2">
      <w:pPr>
        <w:pStyle w:val="ListParagraph"/>
        <w:numPr>
          <w:ilvl w:val="1"/>
          <w:numId w:val="44"/>
        </w:numPr>
        <w:ind w:left="2448" w:hanging="288"/>
        <w:contextualSpacing w:val="0"/>
        <w:rPr>
          <w:rFonts w:cs="Arial"/>
        </w:rPr>
      </w:pPr>
      <w:r w:rsidRPr="00D83563">
        <w:rPr>
          <w:rFonts w:cs="Arial"/>
        </w:rPr>
        <w:t>Estimated costs</w:t>
      </w:r>
    </w:p>
    <w:p w14:paraId="620EFA96" w14:textId="58C8F479" w:rsidR="00D83563" w:rsidRPr="008634D9" w:rsidRDefault="00D83563" w:rsidP="008C24E7">
      <w:pPr>
        <w:ind w:left="720"/>
      </w:pPr>
      <w:r w:rsidRPr="00D83563">
        <w:rPr>
          <w:rFonts w:cs="Arial"/>
          <w:color w:val="000000"/>
        </w:rPr>
        <w:t xml:space="preserve">Requests to participate as a conference presenter on migrant-related topics at other than MEP-sponsored conferences must be approved by the State Administrator of the CDE. These requests must also be listed in the approved RA, DSA or CDE contract, and in the related budget documents. Requests must be submitted at least 60 days in advance, and shall include the information required for conference </w:t>
      </w:r>
      <w:r w:rsidRPr="008634D9">
        <w:rPr>
          <w:rFonts w:cs="Arial"/>
        </w:rPr>
        <w:t>attendance, as stated in this Handbook.</w:t>
      </w:r>
    </w:p>
    <w:p w14:paraId="73B03B75" w14:textId="77777777" w:rsidR="00D83563" w:rsidRPr="00756F5E" w:rsidRDefault="00D83563" w:rsidP="005842A2">
      <w:pPr>
        <w:pStyle w:val="Heading4"/>
        <w:numPr>
          <w:ilvl w:val="0"/>
          <w:numId w:val="64"/>
        </w:numPr>
        <w:ind w:left="576"/>
      </w:pPr>
      <w:r w:rsidRPr="00756F5E">
        <w:t>Food</w:t>
      </w:r>
    </w:p>
    <w:p w14:paraId="4AE5F815" w14:textId="77777777" w:rsidR="00D83563" w:rsidRPr="008634D9" w:rsidRDefault="00D83563" w:rsidP="00726990">
      <w:pPr>
        <w:ind w:left="720"/>
        <w:rPr>
          <w:rFonts w:cs="Arial"/>
          <w:szCs w:val="24"/>
        </w:rPr>
      </w:pPr>
      <w:r w:rsidRPr="008634D9">
        <w:rPr>
          <w:rFonts w:cs="Arial"/>
          <w:szCs w:val="24"/>
        </w:rPr>
        <w:t>In February 2014, the OME issued clarification regarding the use of federal grant funds to pay for food. In it, the OME indicates that:</w:t>
      </w:r>
    </w:p>
    <w:p w14:paraId="736B0BC7" w14:textId="77777777" w:rsidR="00D83563" w:rsidRDefault="00D83563" w:rsidP="00726990">
      <w:pPr>
        <w:ind w:left="720"/>
        <w:rPr>
          <w:rFonts w:cs="Arial"/>
          <w:szCs w:val="24"/>
        </w:rPr>
      </w:pPr>
      <w:r w:rsidRPr="008634D9">
        <w:rPr>
          <w:rFonts w:cs="Arial"/>
          <w:szCs w:val="24"/>
        </w:rPr>
        <w:t xml:space="preserve">“Generally, there is a very high burden of proof to show that paying for food and beverages with federal </w:t>
      </w:r>
      <w:r w:rsidRPr="00D83563">
        <w:rPr>
          <w:rFonts w:cs="Arial"/>
          <w:szCs w:val="24"/>
        </w:rPr>
        <w:t>funds is necessary to meet the goals and objectives of a federal grant. When a grantee is hosting a meeting, the grantee should structure the agenda for the meeting so there is time for participants to purchase their own food, beverages, and snacks. In addition, when planning a meeting, grantees may want to consider a location in which participants have easy access to food and beverages.</w:t>
      </w:r>
    </w:p>
    <w:p w14:paraId="6CAFBC70" w14:textId="77777777" w:rsidR="00D83563" w:rsidRDefault="00D83563" w:rsidP="00726990">
      <w:pPr>
        <w:ind w:left="720"/>
        <w:rPr>
          <w:rFonts w:cs="Arial"/>
          <w:szCs w:val="24"/>
        </w:rPr>
      </w:pPr>
      <w:r w:rsidRPr="00D83563">
        <w:rPr>
          <w:rFonts w:cs="Arial"/>
          <w:szCs w:val="24"/>
        </w:rPr>
        <w:t>These determinations will be made on a case-by-case basis, and there may be some circumstances where the cost would be permissible. Grantees, therefore, will have to make a compelling case that the unique circumstances they have identified would justify costs as reasonable and necessary.”</w:t>
      </w:r>
    </w:p>
    <w:p w14:paraId="2CDD0B4D" w14:textId="77777777" w:rsidR="00D83563" w:rsidRDefault="00D83563" w:rsidP="00726990">
      <w:pPr>
        <w:ind w:left="720"/>
        <w:rPr>
          <w:rFonts w:cs="Arial"/>
          <w:szCs w:val="24"/>
        </w:rPr>
      </w:pPr>
      <w:r w:rsidRPr="00D83563">
        <w:rPr>
          <w:rFonts w:cs="Arial"/>
          <w:szCs w:val="24"/>
        </w:rPr>
        <w:t>OME developed guidelines to assist grantees and subgrantees in evaluating the appropriateness of using MEP funds for a working lunch:</w:t>
      </w:r>
    </w:p>
    <w:p w14:paraId="37075121" w14:textId="77777777" w:rsidR="00D83563" w:rsidRDefault="00D83563" w:rsidP="005842A2">
      <w:pPr>
        <w:pStyle w:val="ListParagraph"/>
        <w:numPr>
          <w:ilvl w:val="0"/>
          <w:numId w:val="45"/>
        </w:numPr>
        <w:ind w:left="1296" w:hanging="288"/>
        <w:contextualSpacing w:val="0"/>
        <w:rPr>
          <w:rFonts w:cs="Arial"/>
          <w:szCs w:val="24"/>
        </w:rPr>
      </w:pPr>
      <w:r w:rsidRPr="00D83563">
        <w:rPr>
          <w:rFonts w:cs="Arial"/>
          <w:szCs w:val="24"/>
        </w:rPr>
        <w:t>Is the portion of the agenda to be carried out during lunch substantive and integral to the overall purpose of the conference or meeting?</w:t>
      </w:r>
    </w:p>
    <w:p w14:paraId="2EC035C2" w14:textId="77777777" w:rsidR="00D83563" w:rsidRDefault="00D83563" w:rsidP="005842A2">
      <w:pPr>
        <w:pStyle w:val="ListParagraph"/>
        <w:numPr>
          <w:ilvl w:val="0"/>
          <w:numId w:val="45"/>
        </w:numPr>
        <w:ind w:left="1296" w:hanging="288"/>
        <w:contextualSpacing w:val="0"/>
        <w:rPr>
          <w:rFonts w:cs="Arial"/>
          <w:szCs w:val="24"/>
        </w:rPr>
      </w:pPr>
      <w:r w:rsidRPr="00D83563">
        <w:rPr>
          <w:rFonts w:cs="Arial"/>
          <w:szCs w:val="24"/>
        </w:rPr>
        <w:t>Is there a genuine time constraint that requires the working lunch?</w:t>
      </w:r>
    </w:p>
    <w:p w14:paraId="1EDB13FE" w14:textId="77777777" w:rsidR="00D83563" w:rsidRDefault="00D83563" w:rsidP="005842A2">
      <w:pPr>
        <w:pStyle w:val="ListParagraph"/>
        <w:numPr>
          <w:ilvl w:val="0"/>
          <w:numId w:val="45"/>
        </w:numPr>
        <w:ind w:left="1296" w:hanging="288"/>
        <w:contextualSpacing w:val="0"/>
        <w:rPr>
          <w:rFonts w:cs="Arial"/>
          <w:szCs w:val="24"/>
        </w:rPr>
      </w:pPr>
      <w:r w:rsidRPr="00D83563">
        <w:rPr>
          <w:rFonts w:cs="Arial"/>
          <w:szCs w:val="24"/>
        </w:rPr>
        <w:t>If a working lunch is necessary, is the cost of the working lunch reasonable?</w:t>
      </w:r>
    </w:p>
    <w:p w14:paraId="559AB9CF" w14:textId="30579D2D" w:rsidR="00D83563" w:rsidRDefault="00D83563" w:rsidP="005842A2">
      <w:pPr>
        <w:pStyle w:val="ListParagraph"/>
        <w:numPr>
          <w:ilvl w:val="2"/>
          <w:numId w:val="42"/>
        </w:numPr>
        <w:tabs>
          <w:tab w:val="left" w:pos="900"/>
        </w:tabs>
        <w:ind w:left="1872" w:hanging="288"/>
        <w:contextualSpacing w:val="0"/>
        <w:rPr>
          <w:rFonts w:cs="Arial"/>
          <w:szCs w:val="24"/>
          <w:lang w:bidi="en-US"/>
        </w:rPr>
      </w:pPr>
      <w:r w:rsidRPr="00D83563">
        <w:rPr>
          <w:rFonts w:cs="Arial"/>
          <w:szCs w:val="24"/>
          <w:lang w:bidi="en-US"/>
        </w:rPr>
        <w:t xml:space="preserve">Staff: Expenditures for food at </w:t>
      </w:r>
      <w:r w:rsidRPr="00D83563">
        <w:rPr>
          <w:rFonts w:cs="Arial"/>
          <w:i/>
          <w:szCs w:val="24"/>
          <w:lang w:bidi="en-US"/>
        </w:rPr>
        <w:t>staff</w:t>
      </w:r>
      <w:r w:rsidRPr="00D83563">
        <w:rPr>
          <w:rFonts w:cs="Arial"/>
          <w:szCs w:val="24"/>
          <w:lang w:bidi="en-US"/>
        </w:rPr>
        <w:t xml:space="preserve"> meetings or functions are not an allowable use of MEP funds. Organizers should plan meeting schedules and locations </w:t>
      </w:r>
      <w:r w:rsidR="00921C4A" w:rsidRPr="00D83563">
        <w:rPr>
          <w:rFonts w:cs="Arial"/>
          <w:szCs w:val="24"/>
          <w:lang w:bidi="en-US"/>
        </w:rPr>
        <w:t>to</w:t>
      </w:r>
      <w:r w:rsidRPr="00D83563">
        <w:rPr>
          <w:rFonts w:cs="Arial"/>
          <w:szCs w:val="24"/>
          <w:lang w:bidi="en-US"/>
        </w:rPr>
        <w:t xml:space="preserve"> allow staff time to procure their own meals. Per the OME, MEP expenditures on food for staff are unallowable </w:t>
      </w:r>
      <w:r w:rsidRPr="00D83563">
        <w:rPr>
          <w:rFonts w:cs="Arial"/>
          <w:i/>
          <w:szCs w:val="24"/>
          <w:lang w:bidi="en-US"/>
        </w:rPr>
        <w:t>even</w:t>
      </w:r>
      <w:r w:rsidRPr="00D83563">
        <w:rPr>
          <w:rFonts w:cs="Arial"/>
          <w:szCs w:val="24"/>
          <w:lang w:bidi="en-US"/>
        </w:rPr>
        <w:t xml:space="preserve"> if the expenditure would be less than the cost of reimbursing staff to purchase food while traveling.</w:t>
      </w:r>
    </w:p>
    <w:p w14:paraId="76DD81A5" w14:textId="2C358B4F" w:rsidR="00D83563" w:rsidRPr="000D0600" w:rsidRDefault="00D83563" w:rsidP="005842A2">
      <w:pPr>
        <w:pStyle w:val="ListParagraph"/>
        <w:numPr>
          <w:ilvl w:val="2"/>
          <w:numId w:val="42"/>
        </w:numPr>
        <w:ind w:left="1890"/>
        <w:rPr>
          <w:rFonts w:cs="Arial"/>
          <w:szCs w:val="24"/>
          <w:lang w:bidi="en-US"/>
        </w:rPr>
      </w:pPr>
      <w:r w:rsidRPr="000D0600">
        <w:rPr>
          <w:rFonts w:cs="Arial"/>
          <w:szCs w:val="24"/>
          <w:lang w:bidi="en-US"/>
        </w:rPr>
        <w:t xml:space="preserve">Students/Parents: Expenditures for food for students or parents may be allowable if they are reasonable and necessary to provide a service </w:t>
      </w:r>
      <w:r w:rsidRPr="000D0600">
        <w:rPr>
          <w:rFonts w:cs="Arial"/>
          <w:szCs w:val="24"/>
          <w:lang w:bidi="en-US"/>
        </w:rPr>
        <w:lastRenderedPageBreak/>
        <w:t xml:space="preserve">listed in the approved RA, DSA or CDE contract, and in the related budget documents. </w:t>
      </w:r>
      <w:r w:rsidR="005829F4">
        <w:rPr>
          <w:rFonts w:cs="Arial"/>
          <w:szCs w:val="24"/>
          <w:lang w:bidi="en-US"/>
        </w:rPr>
        <w:t>F</w:t>
      </w:r>
      <w:r w:rsidRPr="000D0600">
        <w:rPr>
          <w:rFonts w:cs="Arial"/>
          <w:szCs w:val="24"/>
          <w:lang w:bidi="en-US"/>
        </w:rPr>
        <w:t>ederal policy requires that organizers first attempt to plan activities during times and locations that allow students and parents to procure their own meals. Food expenditures should generally be limited to beverages and light snacks as it is not often that full meals are necessary for the provision of migrant services. Additionally, only expenditures for working meals are allowable.</w:t>
      </w:r>
    </w:p>
    <w:p w14:paraId="2AC38A1C" w14:textId="77777777" w:rsidR="00D83563" w:rsidRDefault="00D83563" w:rsidP="005842A2">
      <w:pPr>
        <w:pStyle w:val="Heading4"/>
        <w:numPr>
          <w:ilvl w:val="0"/>
          <w:numId w:val="64"/>
        </w:numPr>
        <w:ind w:left="576"/>
      </w:pPr>
      <w:r w:rsidRPr="00D83563">
        <w:t>Field Trips</w:t>
      </w:r>
    </w:p>
    <w:p w14:paraId="2A960EB1" w14:textId="77777777" w:rsidR="00D83563" w:rsidRDefault="00D83563" w:rsidP="00726990">
      <w:pPr>
        <w:ind w:left="720"/>
        <w:rPr>
          <w:rFonts w:cs="Arial"/>
          <w:szCs w:val="24"/>
          <w:lang w:bidi="en-US"/>
        </w:rPr>
      </w:pPr>
      <w:r w:rsidRPr="00D83563">
        <w:rPr>
          <w:rFonts w:cs="Arial"/>
          <w:szCs w:val="24"/>
        </w:rPr>
        <w:t xml:space="preserve">Allowable field trips </w:t>
      </w:r>
      <w:r w:rsidRPr="00D83563">
        <w:rPr>
          <w:rFonts w:cs="Arial"/>
          <w:szCs w:val="24"/>
          <w:lang w:bidi="en-US"/>
        </w:rPr>
        <w:t>shall meet the following minimum criteria:</w:t>
      </w:r>
    </w:p>
    <w:p w14:paraId="59BE70D2" w14:textId="77777777" w:rsidR="00D83563" w:rsidRDefault="00D83563" w:rsidP="005842A2">
      <w:pPr>
        <w:numPr>
          <w:ilvl w:val="0"/>
          <w:numId w:val="31"/>
        </w:numPr>
        <w:ind w:left="1296" w:hanging="288"/>
        <w:rPr>
          <w:rFonts w:cs="Arial"/>
          <w:szCs w:val="24"/>
          <w:lang w:bidi="en-US"/>
        </w:rPr>
      </w:pPr>
      <w:r w:rsidRPr="00D83563">
        <w:rPr>
          <w:rFonts w:cs="Arial"/>
          <w:szCs w:val="24"/>
          <w:lang w:bidi="en-US"/>
        </w:rPr>
        <w:t>Must be directly related to the instructional program in use by the students.</w:t>
      </w:r>
    </w:p>
    <w:p w14:paraId="79FAFDEE" w14:textId="1D2E25E0" w:rsidR="00D83563" w:rsidRDefault="00D83563" w:rsidP="005842A2">
      <w:pPr>
        <w:numPr>
          <w:ilvl w:val="0"/>
          <w:numId w:val="31"/>
        </w:numPr>
        <w:ind w:left="1296" w:hanging="288"/>
        <w:rPr>
          <w:rFonts w:cs="Arial"/>
          <w:szCs w:val="24"/>
          <w:lang w:bidi="en-US"/>
        </w:rPr>
      </w:pPr>
      <w:r w:rsidRPr="00D83563">
        <w:rPr>
          <w:rFonts w:cs="Arial"/>
          <w:szCs w:val="24"/>
          <w:lang w:bidi="en-US"/>
        </w:rPr>
        <w:t>Must include pre</w:t>
      </w:r>
      <w:r w:rsidR="00555225">
        <w:rPr>
          <w:rFonts w:cs="Arial"/>
          <w:szCs w:val="24"/>
          <w:lang w:bidi="en-US"/>
        </w:rPr>
        <w:t>-</w:t>
      </w:r>
      <w:r w:rsidRPr="00D83563">
        <w:rPr>
          <w:rFonts w:cs="Arial"/>
          <w:szCs w:val="24"/>
          <w:lang w:bidi="en-US"/>
        </w:rPr>
        <w:t xml:space="preserve"> and post</w:t>
      </w:r>
      <w:r w:rsidR="00555225">
        <w:rPr>
          <w:rFonts w:cs="Arial"/>
          <w:szCs w:val="24"/>
          <w:lang w:bidi="en-US"/>
        </w:rPr>
        <w:t>-</w:t>
      </w:r>
      <w:r w:rsidRPr="00D83563">
        <w:rPr>
          <w:rFonts w:cs="Arial"/>
          <w:szCs w:val="24"/>
          <w:lang w:bidi="en-US"/>
        </w:rPr>
        <w:t>assessment and ongoing activities aligned with the Common Core State Standards.</w:t>
      </w:r>
    </w:p>
    <w:p w14:paraId="2CEC84E7" w14:textId="0E6FC37E" w:rsidR="00D83563" w:rsidRDefault="00D83563" w:rsidP="005842A2">
      <w:pPr>
        <w:numPr>
          <w:ilvl w:val="0"/>
          <w:numId w:val="31"/>
        </w:numPr>
        <w:ind w:left="1296" w:hanging="288"/>
        <w:rPr>
          <w:rFonts w:cs="Arial"/>
          <w:szCs w:val="24"/>
        </w:rPr>
      </w:pPr>
      <w:r w:rsidRPr="00D83563">
        <w:rPr>
          <w:rFonts w:cs="Arial"/>
          <w:szCs w:val="24"/>
          <w:lang w:bidi="en-US"/>
        </w:rPr>
        <w:t>Must be supplemental and not supplant activities that are the responsibility of the county office of education or school district, or that are provided to non-</w:t>
      </w:r>
      <w:r w:rsidR="00FC5AFC">
        <w:rPr>
          <w:rFonts w:cs="Arial"/>
          <w:szCs w:val="24"/>
          <w:lang w:bidi="en-US"/>
        </w:rPr>
        <w:t>migratory</w:t>
      </w:r>
      <w:r w:rsidRPr="00D83563">
        <w:rPr>
          <w:rFonts w:cs="Arial"/>
          <w:szCs w:val="24"/>
          <w:lang w:bidi="en-US"/>
        </w:rPr>
        <w:t xml:space="preserve"> students of these agencies through other funds.</w:t>
      </w:r>
    </w:p>
    <w:p w14:paraId="08B36C0F" w14:textId="77777777" w:rsidR="00D83563" w:rsidRDefault="00D83563" w:rsidP="005842A2">
      <w:pPr>
        <w:numPr>
          <w:ilvl w:val="0"/>
          <w:numId w:val="31"/>
        </w:numPr>
        <w:ind w:left="1296" w:hanging="288"/>
        <w:rPr>
          <w:rFonts w:cs="Arial"/>
          <w:szCs w:val="24"/>
        </w:rPr>
      </w:pPr>
      <w:r w:rsidRPr="00D83563">
        <w:rPr>
          <w:rFonts w:cs="Arial"/>
          <w:szCs w:val="24"/>
          <w:lang w:bidi="en-US"/>
        </w:rPr>
        <w:t>Expenditures related to the participation of staff, parents, and chaperones shall be limited to those that are reasonable and necessary.</w:t>
      </w:r>
    </w:p>
    <w:p w14:paraId="664542A1" w14:textId="77777777" w:rsidR="00944BC2" w:rsidRDefault="00D83563" w:rsidP="005842A2">
      <w:pPr>
        <w:numPr>
          <w:ilvl w:val="0"/>
          <w:numId w:val="31"/>
        </w:numPr>
        <w:ind w:left="1296" w:hanging="288"/>
        <w:rPr>
          <w:rFonts w:cs="Arial"/>
          <w:szCs w:val="24"/>
          <w:lang w:bidi="en-US"/>
        </w:rPr>
      </w:pPr>
      <w:r w:rsidRPr="00D83563">
        <w:rPr>
          <w:rFonts w:cs="Arial"/>
          <w:szCs w:val="24"/>
          <w:lang w:bidi="en-US"/>
        </w:rPr>
        <w:t>Must be listed in the approved RA, DSA or CDE contract, and in the related budget documents.</w:t>
      </w:r>
    </w:p>
    <w:p w14:paraId="0A1A09C3" w14:textId="70AB6654" w:rsidR="00D83563" w:rsidRDefault="00D83563" w:rsidP="005842A2">
      <w:pPr>
        <w:numPr>
          <w:ilvl w:val="1"/>
          <w:numId w:val="31"/>
        </w:numPr>
        <w:ind w:left="1872" w:hanging="288"/>
        <w:rPr>
          <w:rFonts w:cs="Arial"/>
          <w:szCs w:val="24"/>
          <w:lang w:bidi="en-US"/>
        </w:rPr>
      </w:pPr>
      <w:r w:rsidRPr="00D83563">
        <w:rPr>
          <w:rFonts w:cs="Arial"/>
          <w:color w:val="000000"/>
          <w:szCs w:val="24"/>
          <w:lang w:bidi="en-US"/>
        </w:rPr>
        <w:t>The service agreement must include:</w:t>
      </w:r>
    </w:p>
    <w:p w14:paraId="23F52734" w14:textId="77777777" w:rsidR="00D83563" w:rsidRDefault="00D83563" w:rsidP="005842A2">
      <w:pPr>
        <w:numPr>
          <w:ilvl w:val="0"/>
          <w:numId w:val="32"/>
        </w:numPr>
        <w:ind w:left="2448" w:hanging="288"/>
        <w:rPr>
          <w:rFonts w:cs="Arial"/>
          <w:szCs w:val="24"/>
          <w:lang w:bidi="en-US"/>
        </w:rPr>
      </w:pPr>
      <w:r w:rsidRPr="00D83563">
        <w:rPr>
          <w:rFonts w:cs="Arial"/>
          <w:color w:val="000000"/>
          <w:szCs w:val="24"/>
          <w:lang w:bidi="en-US"/>
        </w:rPr>
        <w:t>Name and location of the place to be visited</w:t>
      </w:r>
      <w:r w:rsidRPr="00D83563">
        <w:rPr>
          <w:rFonts w:cs="Arial"/>
          <w:szCs w:val="24"/>
          <w:lang w:bidi="en-US"/>
        </w:rPr>
        <w:t>.</w:t>
      </w:r>
    </w:p>
    <w:p w14:paraId="0EEDB38F" w14:textId="77777777" w:rsidR="00D83563" w:rsidRDefault="00D83563" w:rsidP="005842A2">
      <w:pPr>
        <w:numPr>
          <w:ilvl w:val="0"/>
          <w:numId w:val="32"/>
        </w:numPr>
        <w:ind w:left="2448" w:hanging="288"/>
        <w:rPr>
          <w:rFonts w:cs="Arial"/>
          <w:szCs w:val="24"/>
          <w:lang w:bidi="en-US"/>
        </w:rPr>
      </w:pPr>
      <w:r w:rsidRPr="00D83563">
        <w:rPr>
          <w:rFonts w:cs="Arial"/>
          <w:szCs w:val="24"/>
          <w:lang w:bidi="en-US"/>
        </w:rPr>
        <w:t>Purpose of the trip and description of how it supports and enhances the curriculum being used by the migrant program or the core curriculum in use by the students.</w:t>
      </w:r>
    </w:p>
    <w:p w14:paraId="500E3B3B" w14:textId="77777777" w:rsidR="00D83563" w:rsidRDefault="00D83563" w:rsidP="005842A2">
      <w:pPr>
        <w:numPr>
          <w:ilvl w:val="0"/>
          <w:numId w:val="32"/>
        </w:numPr>
        <w:ind w:left="2448" w:hanging="288"/>
        <w:rPr>
          <w:rFonts w:cs="Arial"/>
          <w:szCs w:val="24"/>
          <w:lang w:bidi="en-US"/>
        </w:rPr>
      </w:pPr>
      <w:r w:rsidRPr="00D83563">
        <w:rPr>
          <w:rFonts w:cs="Arial"/>
          <w:szCs w:val="24"/>
          <w:lang w:bidi="en-US"/>
        </w:rPr>
        <w:t>The supplemental nature of the field trip.</w:t>
      </w:r>
    </w:p>
    <w:p w14:paraId="4D032ECF" w14:textId="77777777" w:rsidR="00D83563" w:rsidRDefault="00D83563" w:rsidP="005842A2">
      <w:pPr>
        <w:numPr>
          <w:ilvl w:val="0"/>
          <w:numId w:val="32"/>
        </w:numPr>
        <w:ind w:left="2448" w:hanging="288"/>
        <w:rPr>
          <w:rFonts w:cs="Arial"/>
          <w:szCs w:val="24"/>
          <w:lang w:bidi="en-US"/>
        </w:rPr>
      </w:pPr>
      <w:r w:rsidRPr="00D83563">
        <w:rPr>
          <w:rFonts w:cs="Arial"/>
          <w:szCs w:val="24"/>
          <w:lang w:bidi="en-US"/>
        </w:rPr>
        <w:t>Number and grade level of students to attend.</w:t>
      </w:r>
    </w:p>
    <w:p w14:paraId="0E279604" w14:textId="77777777" w:rsidR="00D83563" w:rsidRDefault="00D83563" w:rsidP="005842A2">
      <w:pPr>
        <w:numPr>
          <w:ilvl w:val="0"/>
          <w:numId w:val="32"/>
        </w:numPr>
        <w:ind w:left="2448" w:hanging="288"/>
        <w:rPr>
          <w:rFonts w:cs="Arial"/>
          <w:szCs w:val="24"/>
          <w:lang w:bidi="en-US"/>
        </w:rPr>
      </w:pPr>
      <w:r w:rsidRPr="00D83563">
        <w:rPr>
          <w:rFonts w:cs="Arial"/>
          <w:color w:val="000000"/>
          <w:szCs w:val="24"/>
          <w:lang w:bidi="en-US"/>
        </w:rPr>
        <w:t>List of staff and parent attendees to attend.</w:t>
      </w:r>
    </w:p>
    <w:p w14:paraId="1FB2D0A0" w14:textId="77777777" w:rsidR="00D83563" w:rsidRDefault="00D83563" w:rsidP="005842A2">
      <w:pPr>
        <w:numPr>
          <w:ilvl w:val="0"/>
          <w:numId w:val="32"/>
        </w:numPr>
        <w:ind w:left="2448" w:hanging="288"/>
        <w:rPr>
          <w:rFonts w:cs="Arial"/>
          <w:szCs w:val="24"/>
          <w:lang w:bidi="en-US"/>
        </w:rPr>
      </w:pPr>
      <w:r w:rsidRPr="00D83563">
        <w:rPr>
          <w:rFonts w:cs="Arial"/>
          <w:color w:val="000000"/>
          <w:szCs w:val="24"/>
          <w:lang w:bidi="en-US"/>
        </w:rPr>
        <w:t>Estimated costs.</w:t>
      </w:r>
    </w:p>
    <w:p w14:paraId="29FA544E" w14:textId="77777777" w:rsidR="00D83563" w:rsidRDefault="00D83563" w:rsidP="009C532E">
      <w:pPr>
        <w:pStyle w:val="Heading4"/>
        <w:numPr>
          <w:ilvl w:val="0"/>
          <w:numId w:val="64"/>
        </w:numPr>
        <w:spacing w:before="240"/>
        <w:ind w:left="576"/>
      </w:pPr>
      <w:r w:rsidRPr="00D83563">
        <w:t>Transportation</w:t>
      </w:r>
    </w:p>
    <w:p w14:paraId="0381076F" w14:textId="77777777" w:rsidR="00944BC2" w:rsidRDefault="00D83563" w:rsidP="00726990">
      <w:pPr>
        <w:ind w:left="720"/>
        <w:rPr>
          <w:rFonts w:cs="Arial"/>
          <w:szCs w:val="24"/>
          <w:lang w:bidi="en-US"/>
        </w:rPr>
      </w:pPr>
      <w:r w:rsidRPr="00D83563">
        <w:rPr>
          <w:rFonts w:cs="Arial"/>
          <w:szCs w:val="24"/>
          <w:lang w:bidi="en-US"/>
        </w:rPr>
        <w:t>To be allowable, all transportation expenditures must be listed in the approved RA, DSA or CDE contract, and in the related budget documents.</w:t>
      </w:r>
    </w:p>
    <w:p w14:paraId="0806F1AA" w14:textId="77777777" w:rsidR="00D83563" w:rsidRDefault="00D83563" w:rsidP="00726990">
      <w:pPr>
        <w:ind w:left="720"/>
        <w:rPr>
          <w:rFonts w:cs="Arial"/>
          <w:szCs w:val="24"/>
          <w:lang w:bidi="en-US"/>
        </w:rPr>
      </w:pPr>
      <w:r w:rsidRPr="00D83563">
        <w:rPr>
          <w:rFonts w:cs="Arial"/>
          <w:szCs w:val="24"/>
          <w:lang w:bidi="en-US"/>
        </w:rPr>
        <w:t>Allowable transportation expenditures may include:</w:t>
      </w:r>
    </w:p>
    <w:p w14:paraId="0D71AD0D" w14:textId="7A818F23" w:rsidR="00D83563" w:rsidRDefault="00D83563" w:rsidP="005842A2">
      <w:pPr>
        <w:pStyle w:val="ListParagraph"/>
        <w:numPr>
          <w:ilvl w:val="0"/>
          <w:numId w:val="37"/>
        </w:numPr>
        <w:ind w:left="1296" w:hanging="288"/>
        <w:contextualSpacing w:val="0"/>
        <w:rPr>
          <w:rFonts w:cs="Arial"/>
          <w:szCs w:val="24"/>
          <w:lang w:bidi="en-US"/>
        </w:rPr>
      </w:pPr>
      <w:r w:rsidRPr="00D83563">
        <w:rPr>
          <w:rFonts w:cs="Arial"/>
          <w:szCs w:val="24"/>
          <w:lang w:bidi="en-US"/>
        </w:rPr>
        <w:t xml:space="preserve">Regular Year: approved field trips for </w:t>
      </w:r>
      <w:r w:rsidR="00FC5AFC">
        <w:rPr>
          <w:rFonts w:cs="Arial"/>
          <w:szCs w:val="24"/>
          <w:lang w:bidi="en-US"/>
        </w:rPr>
        <w:t>migratory</w:t>
      </w:r>
      <w:r w:rsidRPr="00D83563">
        <w:rPr>
          <w:rFonts w:cs="Arial"/>
          <w:szCs w:val="24"/>
          <w:lang w:bidi="en-US"/>
        </w:rPr>
        <w:t xml:space="preserve"> students and extended day or weekend activities</w:t>
      </w:r>
    </w:p>
    <w:p w14:paraId="5D08783B" w14:textId="77777777" w:rsidR="00D83563" w:rsidRDefault="00D83563" w:rsidP="005842A2">
      <w:pPr>
        <w:pStyle w:val="ListParagraph"/>
        <w:numPr>
          <w:ilvl w:val="0"/>
          <w:numId w:val="37"/>
        </w:numPr>
        <w:ind w:left="1296" w:hanging="288"/>
        <w:contextualSpacing w:val="0"/>
        <w:rPr>
          <w:rFonts w:cs="Arial"/>
          <w:szCs w:val="24"/>
          <w:lang w:bidi="en-US"/>
        </w:rPr>
      </w:pPr>
      <w:r w:rsidRPr="00D83563">
        <w:rPr>
          <w:rFonts w:cs="Arial"/>
          <w:szCs w:val="24"/>
          <w:lang w:bidi="en-US"/>
        </w:rPr>
        <w:t>Summer: transportation to and from migrant-funded summer school</w:t>
      </w:r>
    </w:p>
    <w:p w14:paraId="28F9453A" w14:textId="575D1DD6" w:rsidR="00944BC2" w:rsidRDefault="00D83563" w:rsidP="00726990">
      <w:pPr>
        <w:ind w:left="720"/>
        <w:rPr>
          <w:rFonts w:cs="Arial"/>
          <w:szCs w:val="24"/>
        </w:rPr>
      </w:pPr>
      <w:r w:rsidRPr="00D83563">
        <w:rPr>
          <w:rFonts w:cs="Arial"/>
          <w:szCs w:val="24"/>
        </w:rPr>
        <w:t xml:space="preserve">Transportation of students to and from school and core activities is the responsibility of the school district and is generally not an allowable use of MEP </w:t>
      </w:r>
      <w:r w:rsidRPr="00D83563">
        <w:rPr>
          <w:rFonts w:cs="Arial"/>
          <w:szCs w:val="24"/>
        </w:rPr>
        <w:lastRenderedPageBreak/>
        <w:t xml:space="preserve">funds. An exception may exist if </w:t>
      </w:r>
      <w:r w:rsidRPr="00D83563">
        <w:rPr>
          <w:rFonts w:cs="Arial"/>
          <w:szCs w:val="24"/>
          <w:lang w:bidi="en-US"/>
        </w:rPr>
        <w:t xml:space="preserve">a district does not provide transportation to the core program for any student. Migrant funds may be used to provide such transportation to </w:t>
      </w:r>
      <w:r w:rsidR="00FC5AFC">
        <w:rPr>
          <w:rFonts w:cs="Arial"/>
          <w:szCs w:val="24"/>
          <w:lang w:bidi="en-US"/>
        </w:rPr>
        <w:t>migratory</w:t>
      </w:r>
      <w:r w:rsidRPr="00D83563">
        <w:rPr>
          <w:rFonts w:cs="Arial"/>
          <w:szCs w:val="24"/>
          <w:lang w:bidi="en-US"/>
        </w:rPr>
        <w:t xml:space="preserve"> students if the expenditure does not constitute supplanting and if it can be shown that the expenditure is reasonable and necessary.</w:t>
      </w:r>
    </w:p>
    <w:p w14:paraId="7DE19B15" w14:textId="77777777" w:rsidR="00D83563" w:rsidRDefault="00D83563" w:rsidP="00726990">
      <w:pPr>
        <w:ind w:left="720"/>
        <w:rPr>
          <w:rFonts w:cs="Arial"/>
          <w:szCs w:val="24"/>
          <w:lang w:bidi="en-US"/>
        </w:rPr>
      </w:pPr>
      <w:r w:rsidRPr="00D83563">
        <w:rPr>
          <w:rFonts w:cs="Arial"/>
          <w:szCs w:val="24"/>
          <w:lang w:bidi="en-US"/>
        </w:rPr>
        <w:t xml:space="preserve">Expenditures on transportation of </w:t>
      </w:r>
      <w:r w:rsidRPr="00D83563">
        <w:rPr>
          <w:rFonts w:cs="Arial"/>
          <w:i/>
          <w:szCs w:val="24"/>
          <w:lang w:bidi="en-US"/>
        </w:rPr>
        <w:t>staff</w:t>
      </w:r>
      <w:r w:rsidRPr="00D83563">
        <w:rPr>
          <w:rFonts w:cs="Arial"/>
          <w:szCs w:val="24"/>
          <w:lang w:bidi="en-US"/>
        </w:rPr>
        <w:t xml:space="preserve"> must be reasonable and necessary for the implementation of migrant services and must be within state and local guidelines.</w:t>
      </w:r>
    </w:p>
    <w:p w14:paraId="53076CBD" w14:textId="2A4E78C7" w:rsidR="00D83563" w:rsidRDefault="00D83563" w:rsidP="00726990">
      <w:pPr>
        <w:ind w:left="720"/>
        <w:rPr>
          <w:rFonts w:cs="Arial"/>
          <w:szCs w:val="24"/>
          <w:lang w:bidi="en-US"/>
        </w:rPr>
      </w:pPr>
      <w:r w:rsidRPr="00D83563">
        <w:rPr>
          <w:rFonts w:cs="Arial"/>
          <w:szCs w:val="24"/>
          <w:lang w:bidi="en-US"/>
        </w:rPr>
        <w:t xml:space="preserve">Expenditures on transportation of </w:t>
      </w:r>
      <w:r w:rsidRPr="00D83563">
        <w:rPr>
          <w:rFonts w:cs="Arial"/>
          <w:i/>
          <w:szCs w:val="24"/>
          <w:lang w:bidi="en-US"/>
        </w:rPr>
        <w:t>parents</w:t>
      </w:r>
      <w:r w:rsidRPr="00D83563">
        <w:rPr>
          <w:rFonts w:cs="Arial"/>
          <w:szCs w:val="24"/>
          <w:lang w:bidi="en-US"/>
        </w:rPr>
        <w:t xml:space="preserve"> to or from regular MEP activities and meetings are generally not an allowable use of funds. Transportation to or from regional or statewide conferences and of </w:t>
      </w:r>
      <w:r w:rsidR="00965F16">
        <w:rPr>
          <w:rFonts w:cs="Arial"/>
          <w:szCs w:val="24"/>
          <w:lang w:bidi="en-US"/>
        </w:rPr>
        <w:t>S</w:t>
      </w:r>
      <w:r w:rsidRPr="00D83563">
        <w:rPr>
          <w:rFonts w:cs="Arial"/>
          <w:szCs w:val="24"/>
          <w:lang w:bidi="en-US"/>
        </w:rPr>
        <w:t>PAC members to or from official meetings are allowable.</w:t>
      </w:r>
    </w:p>
    <w:p w14:paraId="5EE36F17" w14:textId="77777777" w:rsidR="00D83563" w:rsidRDefault="00D83563" w:rsidP="005842A2">
      <w:pPr>
        <w:pStyle w:val="Heading4"/>
        <w:numPr>
          <w:ilvl w:val="0"/>
          <w:numId w:val="64"/>
        </w:numPr>
        <w:ind w:left="576"/>
      </w:pPr>
      <w:r w:rsidRPr="00D83563">
        <w:t>Parent Participation</w:t>
      </w:r>
    </w:p>
    <w:p w14:paraId="5629BCCA" w14:textId="77777777" w:rsidR="00D83563" w:rsidRDefault="00D83563" w:rsidP="005842A2">
      <w:pPr>
        <w:pStyle w:val="ListParagraph"/>
        <w:numPr>
          <w:ilvl w:val="3"/>
          <w:numId w:val="40"/>
        </w:numPr>
        <w:ind w:left="1296" w:hanging="288"/>
        <w:contextualSpacing w:val="0"/>
        <w:rPr>
          <w:rFonts w:cs="Arial"/>
          <w:szCs w:val="24"/>
        </w:rPr>
      </w:pPr>
      <w:r w:rsidRPr="00D83563">
        <w:rPr>
          <w:rFonts w:cs="Arial"/>
          <w:szCs w:val="24"/>
        </w:rPr>
        <w:t>Allowable: The following are generally allowable parent participation expenditures:</w:t>
      </w:r>
    </w:p>
    <w:p w14:paraId="1A3C7FC1" w14:textId="1F7C4290" w:rsidR="00944BC2" w:rsidRDefault="00D83563" w:rsidP="005842A2">
      <w:pPr>
        <w:widowControl w:val="0"/>
        <w:numPr>
          <w:ilvl w:val="0"/>
          <w:numId w:val="33"/>
        </w:numPr>
        <w:tabs>
          <w:tab w:val="clear" w:pos="720"/>
          <w:tab w:val="num" w:pos="1080"/>
        </w:tabs>
        <w:autoSpaceDE w:val="0"/>
        <w:autoSpaceDN w:val="0"/>
        <w:adjustRightInd w:val="0"/>
        <w:ind w:left="1872" w:hanging="288"/>
        <w:rPr>
          <w:rFonts w:cs="Arial"/>
          <w:color w:val="000000"/>
          <w:szCs w:val="24"/>
          <w:lang w:bidi="en-US"/>
        </w:rPr>
      </w:pPr>
      <w:r w:rsidRPr="00D83563">
        <w:rPr>
          <w:rFonts w:cs="Arial"/>
          <w:color w:val="000000"/>
          <w:szCs w:val="24"/>
          <w:lang w:bidi="en-US"/>
        </w:rPr>
        <w:t xml:space="preserve">Expenses for parent training related to understanding the educational system are allowable if training will result in a direct educational benefit to </w:t>
      </w:r>
      <w:r w:rsidR="00FC5AFC">
        <w:rPr>
          <w:rFonts w:cs="Arial"/>
          <w:color w:val="000000"/>
          <w:szCs w:val="24"/>
          <w:lang w:bidi="en-US"/>
        </w:rPr>
        <w:t>migratory</w:t>
      </w:r>
      <w:r w:rsidRPr="00D83563">
        <w:rPr>
          <w:rFonts w:cs="Arial"/>
          <w:color w:val="000000"/>
          <w:szCs w:val="24"/>
          <w:lang w:bidi="en-US"/>
        </w:rPr>
        <w:t xml:space="preserve"> students.</w:t>
      </w:r>
    </w:p>
    <w:p w14:paraId="1DFDD7F2" w14:textId="77777777" w:rsidR="00D83563" w:rsidRDefault="00D83563" w:rsidP="005842A2">
      <w:pPr>
        <w:widowControl w:val="0"/>
        <w:numPr>
          <w:ilvl w:val="0"/>
          <w:numId w:val="33"/>
        </w:numPr>
        <w:autoSpaceDE w:val="0"/>
        <w:autoSpaceDN w:val="0"/>
        <w:adjustRightInd w:val="0"/>
        <w:ind w:left="1872" w:hanging="288"/>
        <w:rPr>
          <w:rFonts w:cs="Arial"/>
          <w:szCs w:val="24"/>
          <w:lang w:bidi="en-US"/>
        </w:rPr>
      </w:pPr>
      <w:r w:rsidRPr="00D83563">
        <w:rPr>
          <w:rFonts w:cs="Arial"/>
          <w:szCs w:val="24"/>
          <w:lang w:bidi="en-US"/>
        </w:rPr>
        <w:t>Fees paid to consultants providing parent training, translation, or interpretation services that are reasonable and market rate.</w:t>
      </w:r>
    </w:p>
    <w:p w14:paraId="2E5227AC" w14:textId="77777777" w:rsidR="00D83563" w:rsidRDefault="00D83563" w:rsidP="005842A2">
      <w:pPr>
        <w:widowControl w:val="0"/>
        <w:numPr>
          <w:ilvl w:val="0"/>
          <w:numId w:val="33"/>
        </w:numPr>
        <w:autoSpaceDE w:val="0"/>
        <w:autoSpaceDN w:val="0"/>
        <w:adjustRightInd w:val="0"/>
        <w:ind w:left="1872" w:hanging="288"/>
        <w:rPr>
          <w:rFonts w:cs="Arial"/>
          <w:szCs w:val="24"/>
          <w:lang w:bidi="en-US"/>
        </w:rPr>
      </w:pPr>
      <w:r w:rsidRPr="00D83563">
        <w:rPr>
          <w:rFonts w:cs="Arial"/>
          <w:szCs w:val="24"/>
          <w:lang w:bidi="en-US"/>
        </w:rPr>
        <w:t xml:space="preserve">Costs for childcare while parents attend meetings. Stipends may not be issued to parent members. Costs for childcare may only be reimbursed </w:t>
      </w:r>
      <w:proofErr w:type="gramStart"/>
      <w:r w:rsidRPr="00D83563">
        <w:rPr>
          <w:rFonts w:cs="Arial"/>
          <w:szCs w:val="24"/>
          <w:lang w:bidi="en-US"/>
        </w:rPr>
        <w:t>to</w:t>
      </w:r>
      <w:proofErr w:type="gramEnd"/>
      <w:r w:rsidRPr="00D83563">
        <w:rPr>
          <w:rFonts w:cs="Arial"/>
          <w:szCs w:val="24"/>
          <w:lang w:bidi="en-US"/>
        </w:rPr>
        <w:t xml:space="preserve"> the operating agency.</w:t>
      </w:r>
    </w:p>
    <w:p w14:paraId="20C8B346" w14:textId="77777777" w:rsidR="00D83563" w:rsidRDefault="00D83563" w:rsidP="005842A2">
      <w:pPr>
        <w:widowControl w:val="0"/>
        <w:numPr>
          <w:ilvl w:val="0"/>
          <w:numId w:val="33"/>
        </w:numPr>
        <w:autoSpaceDE w:val="0"/>
        <w:autoSpaceDN w:val="0"/>
        <w:adjustRightInd w:val="0"/>
        <w:ind w:left="1872" w:hanging="288"/>
        <w:rPr>
          <w:rFonts w:cs="Arial"/>
          <w:color w:val="000000"/>
          <w:szCs w:val="24"/>
          <w:lang w:bidi="en-US"/>
        </w:rPr>
      </w:pPr>
      <w:r w:rsidRPr="00D83563">
        <w:rPr>
          <w:rFonts w:cs="Arial"/>
          <w:color w:val="000000"/>
          <w:szCs w:val="24"/>
          <w:lang w:bidi="en-US"/>
        </w:rPr>
        <w:t>Training materials and meeting supplies.</w:t>
      </w:r>
    </w:p>
    <w:p w14:paraId="4E924A56" w14:textId="77777777" w:rsidR="00D83563" w:rsidRDefault="00D83563" w:rsidP="005842A2">
      <w:pPr>
        <w:widowControl w:val="0"/>
        <w:numPr>
          <w:ilvl w:val="0"/>
          <w:numId w:val="33"/>
        </w:numPr>
        <w:tabs>
          <w:tab w:val="clear" w:pos="720"/>
          <w:tab w:val="num" w:pos="1080"/>
        </w:tabs>
        <w:autoSpaceDE w:val="0"/>
        <w:autoSpaceDN w:val="0"/>
        <w:adjustRightInd w:val="0"/>
        <w:ind w:left="1872" w:hanging="288"/>
        <w:rPr>
          <w:rFonts w:cs="Arial"/>
          <w:color w:val="000000"/>
          <w:szCs w:val="24"/>
          <w:lang w:bidi="en-US"/>
        </w:rPr>
      </w:pPr>
      <w:r w:rsidRPr="00D83563">
        <w:rPr>
          <w:rFonts w:cs="Arial"/>
          <w:color w:val="000000"/>
          <w:szCs w:val="24"/>
          <w:lang w:bidi="en-US"/>
        </w:rPr>
        <w:t>Reasonable and necessary meeting room rentals when no free space is available.</w:t>
      </w:r>
    </w:p>
    <w:p w14:paraId="5D3AB123" w14:textId="77777777" w:rsidR="00D83563" w:rsidRDefault="00D83563" w:rsidP="005842A2">
      <w:pPr>
        <w:widowControl w:val="0"/>
        <w:numPr>
          <w:ilvl w:val="0"/>
          <w:numId w:val="33"/>
        </w:numPr>
        <w:autoSpaceDE w:val="0"/>
        <w:autoSpaceDN w:val="0"/>
        <w:adjustRightInd w:val="0"/>
        <w:ind w:left="1872" w:hanging="288"/>
        <w:rPr>
          <w:rFonts w:cs="Arial"/>
          <w:color w:val="000000"/>
          <w:szCs w:val="24"/>
          <w:lang w:bidi="en-US"/>
        </w:rPr>
      </w:pPr>
      <w:r w:rsidRPr="00D83563">
        <w:rPr>
          <w:rFonts w:cs="Arial"/>
          <w:color w:val="000000"/>
          <w:szCs w:val="24"/>
          <w:lang w:bidi="en-US"/>
        </w:rPr>
        <w:t>Maintenance service fees for costs that are a direct result of MEP use.</w:t>
      </w:r>
    </w:p>
    <w:p w14:paraId="2FAA7B22" w14:textId="77777777" w:rsidR="00D83563" w:rsidRDefault="00D83563" w:rsidP="005842A2">
      <w:pPr>
        <w:widowControl w:val="0"/>
        <w:numPr>
          <w:ilvl w:val="0"/>
          <w:numId w:val="33"/>
        </w:numPr>
        <w:autoSpaceDE w:val="0"/>
        <w:autoSpaceDN w:val="0"/>
        <w:adjustRightInd w:val="0"/>
        <w:ind w:left="1872" w:hanging="288"/>
        <w:rPr>
          <w:rFonts w:cs="Arial"/>
          <w:color w:val="000000"/>
          <w:szCs w:val="24"/>
          <w:lang w:bidi="en-US"/>
        </w:rPr>
      </w:pPr>
      <w:r w:rsidRPr="00D83563">
        <w:rPr>
          <w:rFonts w:cs="Arial"/>
          <w:szCs w:val="24"/>
          <w:lang w:bidi="en-US"/>
        </w:rPr>
        <w:t>Mileage and transportation costs of regional and district PAC officers to official meetings. Expenditures shall not exceed the locally approved per diem and travel rates.</w:t>
      </w:r>
    </w:p>
    <w:p w14:paraId="3A42A503" w14:textId="7D1240BC" w:rsidR="00D83563" w:rsidRDefault="00D83563" w:rsidP="005842A2">
      <w:pPr>
        <w:widowControl w:val="0"/>
        <w:numPr>
          <w:ilvl w:val="0"/>
          <w:numId w:val="33"/>
        </w:numPr>
        <w:autoSpaceDE w:val="0"/>
        <w:autoSpaceDN w:val="0"/>
        <w:adjustRightInd w:val="0"/>
        <w:ind w:left="1872" w:hanging="288"/>
        <w:rPr>
          <w:rFonts w:cs="Arial"/>
          <w:szCs w:val="24"/>
        </w:rPr>
      </w:pPr>
      <w:r w:rsidRPr="00D83563">
        <w:rPr>
          <w:rFonts w:cs="Arial"/>
          <w:color w:val="000000"/>
          <w:szCs w:val="24"/>
          <w:lang w:bidi="en-US"/>
        </w:rPr>
        <w:t xml:space="preserve">Transportation, meals, and admissions to facilities when acting as chaperones for </w:t>
      </w:r>
      <w:r w:rsidR="00FC5AFC">
        <w:rPr>
          <w:rFonts w:cs="Arial"/>
          <w:color w:val="000000"/>
          <w:szCs w:val="24"/>
          <w:lang w:bidi="en-US"/>
        </w:rPr>
        <w:t>migratory</w:t>
      </w:r>
      <w:r w:rsidRPr="00D83563">
        <w:rPr>
          <w:rFonts w:cs="Arial"/>
          <w:color w:val="000000"/>
          <w:szCs w:val="24"/>
          <w:lang w:bidi="en-US"/>
        </w:rPr>
        <w:t xml:space="preserve"> student field trips.</w:t>
      </w:r>
    </w:p>
    <w:p w14:paraId="29C13FE1" w14:textId="3E064D4F" w:rsidR="00944BC2" w:rsidRDefault="00D83563" w:rsidP="00726990">
      <w:pPr>
        <w:ind w:left="1296"/>
        <w:rPr>
          <w:rFonts w:cs="Arial"/>
          <w:b/>
          <w:szCs w:val="24"/>
        </w:rPr>
      </w:pPr>
      <w:r w:rsidRPr="00D83563">
        <w:rPr>
          <w:rFonts w:cs="Arial"/>
          <w:b/>
          <w:szCs w:val="24"/>
        </w:rPr>
        <w:t>As a reminder, MEP funds should not be utilized to replace or supplant costs (e.g.</w:t>
      </w:r>
      <w:r w:rsidR="003C4532">
        <w:rPr>
          <w:rFonts w:cs="Arial"/>
          <w:b/>
          <w:szCs w:val="24"/>
        </w:rPr>
        <w:t>,</w:t>
      </w:r>
      <w:r w:rsidRPr="00D83563">
        <w:rPr>
          <w:rFonts w:cs="Arial"/>
          <w:b/>
          <w:szCs w:val="24"/>
        </w:rPr>
        <w:t xml:space="preserve"> translation services), that would otherwise be paid through other sources.</w:t>
      </w:r>
    </w:p>
    <w:p w14:paraId="75BC61C4" w14:textId="03988C03" w:rsidR="00D83563" w:rsidRDefault="00D83563" w:rsidP="00726990">
      <w:pPr>
        <w:ind w:left="1296"/>
        <w:rPr>
          <w:rFonts w:cs="Arial"/>
          <w:szCs w:val="24"/>
          <w:lang w:bidi="en-US"/>
        </w:rPr>
      </w:pPr>
      <w:r w:rsidRPr="00D83563">
        <w:rPr>
          <w:rFonts w:cs="Arial"/>
          <w:color w:val="000000"/>
          <w:szCs w:val="24"/>
          <w:lang w:bidi="en-US"/>
        </w:rPr>
        <w:t xml:space="preserve">SPAC members may be reimbursed for their travel, lodging and meal expenses by the operating agency </w:t>
      </w:r>
      <w:r w:rsidRPr="00D83563">
        <w:rPr>
          <w:rFonts w:cs="Arial"/>
          <w:szCs w:val="24"/>
          <w:lang w:bidi="en-US"/>
        </w:rPr>
        <w:t>if they meet the following criteria:</w:t>
      </w:r>
    </w:p>
    <w:p w14:paraId="56FFA3E6" w14:textId="77777777" w:rsidR="00D83563" w:rsidRDefault="00D83563" w:rsidP="005842A2">
      <w:pPr>
        <w:widowControl w:val="0"/>
        <w:numPr>
          <w:ilvl w:val="0"/>
          <w:numId w:val="34"/>
        </w:numPr>
        <w:tabs>
          <w:tab w:val="clear" w:pos="720"/>
          <w:tab w:val="num" w:pos="1080"/>
        </w:tabs>
        <w:autoSpaceDE w:val="0"/>
        <w:autoSpaceDN w:val="0"/>
        <w:adjustRightInd w:val="0"/>
        <w:ind w:left="1872" w:hanging="288"/>
        <w:rPr>
          <w:rFonts w:cs="Arial"/>
          <w:szCs w:val="24"/>
        </w:rPr>
      </w:pPr>
      <w:r w:rsidRPr="00D83563">
        <w:rPr>
          <w:rFonts w:cs="Arial"/>
          <w:szCs w:val="24"/>
        </w:rPr>
        <w:t>The meeting is an official SPAC meeting convened by the CDE.</w:t>
      </w:r>
    </w:p>
    <w:p w14:paraId="283F8699" w14:textId="0E3FF1B6" w:rsidR="00D83563" w:rsidRDefault="00D83563" w:rsidP="005842A2">
      <w:pPr>
        <w:widowControl w:val="0"/>
        <w:numPr>
          <w:ilvl w:val="0"/>
          <w:numId w:val="34"/>
        </w:numPr>
        <w:autoSpaceDE w:val="0"/>
        <w:autoSpaceDN w:val="0"/>
        <w:adjustRightInd w:val="0"/>
        <w:ind w:left="1872" w:hanging="288"/>
        <w:rPr>
          <w:rFonts w:cs="Arial"/>
          <w:szCs w:val="24"/>
        </w:rPr>
      </w:pPr>
      <w:r w:rsidRPr="00D83563">
        <w:rPr>
          <w:rFonts w:cs="Arial"/>
          <w:szCs w:val="24"/>
        </w:rPr>
        <w:t xml:space="preserve">Parent participation is requested by the CDE </w:t>
      </w:r>
    </w:p>
    <w:p w14:paraId="281B5F78" w14:textId="77777777" w:rsidR="00D83563" w:rsidRDefault="00D83563" w:rsidP="005842A2">
      <w:pPr>
        <w:widowControl w:val="0"/>
        <w:numPr>
          <w:ilvl w:val="0"/>
          <w:numId w:val="34"/>
        </w:numPr>
        <w:autoSpaceDE w:val="0"/>
        <w:autoSpaceDN w:val="0"/>
        <w:adjustRightInd w:val="0"/>
        <w:ind w:left="1872" w:hanging="288"/>
        <w:rPr>
          <w:rFonts w:cs="Arial"/>
          <w:szCs w:val="24"/>
        </w:rPr>
      </w:pPr>
      <w:r w:rsidRPr="00D83563">
        <w:rPr>
          <w:rFonts w:cs="Arial"/>
          <w:szCs w:val="24"/>
        </w:rPr>
        <w:lastRenderedPageBreak/>
        <w:t>Reimbursement is limited to the locally approved per diem and travel rates.</w:t>
      </w:r>
    </w:p>
    <w:p w14:paraId="3D2A47CD" w14:textId="77777777" w:rsidR="00D83563" w:rsidRDefault="00D83563" w:rsidP="005842A2">
      <w:pPr>
        <w:pStyle w:val="ListParagraph"/>
        <w:widowControl w:val="0"/>
        <w:numPr>
          <w:ilvl w:val="0"/>
          <w:numId w:val="40"/>
        </w:numPr>
        <w:tabs>
          <w:tab w:val="left" w:pos="180"/>
        </w:tabs>
        <w:autoSpaceDE w:val="0"/>
        <w:autoSpaceDN w:val="0"/>
        <w:adjustRightInd w:val="0"/>
        <w:ind w:left="1296" w:hanging="288"/>
        <w:contextualSpacing w:val="0"/>
        <w:rPr>
          <w:rFonts w:cs="Arial"/>
          <w:szCs w:val="24"/>
        </w:rPr>
      </w:pPr>
      <w:r w:rsidRPr="00D83563">
        <w:rPr>
          <w:rFonts w:cs="Arial"/>
          <w:szCs w:val="24"/>
        </w:rPr>
        <w:t>Unallowable: The following are unallowable parent participation expenditures:</w:t>
      </w:r>
    </w:p>
    <w:p w14:paraId="1A1148B6" w14:textId="77777777" w:rsidR="00D83563" w:rsidRDefault="00D83563" w:rsidP="005842A2">
      <w:pPr>
        <w:widowControl w:val="0"/>
        <w:numPr>
          <w:ilvl w:val="0"/>
          <w:numId w:val="35"/>
        </w:numPr>
        <w:autoSpaceDE w:val="0"/>
        <w:autoSpaceDN w:val="0"/>
        <w:adjustRightInd w:val="0"/>
        <w:ind w:left="1872" w:hanging="288"/>
        <w:rPr>
          <w:rFonts w:cs="Arial"/>
          <w:color w:val="000000"/>
          <w:szCs w:val="23"/>
          <w:lang w:bidi="en-US"/>
        </w:rPr>
      </w:pPr>
      <w:r w:rsidRPr="00D83563">
        <w:rPr>
          <w:rFonts w:cs="Arial"/>
          <w:color w:val="000000"/>
          <w:szCs w:val="24"/>
          <w:lang w:bidi="en-US"/>
        </w:rPr>
        <w:t xml:space="preserve">Stipends or compensation for participation in conferences, </w:t>
      </w:r>
      <w:r w:rsidRPr="00D83563">
        <w:rPr>
          <w:rFonts w:cs="Arial"/>
          <w:color w:val="000000"/>
          <w:szCs w:val="23"/>
          <w:lang w:bidi="en-US"/>
        </w:rPr>
        <w:t>regional or district advisory council or committee meetings, or any other MEP activity.</w:t>
      </w:r>
    </w:p>
    <w:p w14:paraId="241F1B4D" w14:textId="77777777" w:rsidR="00D83563" w:rsidRDefault="00D83563" w:rsidP="005842A2">
      <w:pPr>
        <w:widowControl w:val="0"/>
        <w:numPr>
          <w:ilvl w:val="4"/>
          <w:numId w:val="35"/>
        </w:numPr>
        <w:tabs>
          <w:tab w:val="clear" w:pos="3600"/>
          <w:tab w:val="num" w:pos="3690"/>
        </w:tabs>
        <w:autoSpaceDE w:val="0"/>
        <w:autoSpaceDN w:val="0"/>
        <w:adjustRightInd w:val="0"/>
        <w:ind w:left="2520" w:hanging="270"/>
        <w:rPr>
          <w:rFonts w:cs="Arial"/>
          <w:szCs w:val="24"/>
          <w:lang w:bidi="en-US"/>
        </w:rPr>
      </w:pPr>
      <w:r w:rsidRPr="00D83563">
        <w:rPr>
          <w:rFonts w:cs="Arial"/>
          <w:szCs w:val="24"/>
          <w:lang w:bidi="en-US"/>
        </w:rPr>
        <w:t>The only exception is reimbursement of lost wages incurred by parent representatives of the SPAC when attending official meetings convened by the CDE. This reimbursement is allowable only when adequately documented in accordance with the process put forth by the CDE.</w:t>
      </w:r>
    </w:p>
    <w:p w14:paraId="586720C1" w14:textId="77777777" w:rsidR="00D83563" w:rsidRDefault="00D83563" w:rsidP="005842A2">
      <w:pPr>
        <w:pStyle w:val="Heading4"/>
        <w:numPr>
          <w:ilvl w:val="0"/>
          <w:numId w:val="64"/>
        </w:numPr>
        <w:ind w:left="576"/>
      </w:pPr>
      <w:r w:rsidRPr="00D83563">
        <w:t>Indirect Costs</w:t>
      </w:r>
    </w:p>
    <w:p w14:paraId="07606668" w14:textId="77777777" w:rsidR="00944BC2" w:rsidRDefault="00D83563" w:rsidP="00726990">
      <w:pPr>
        <w:ind w:left="720"/>
        <w:rPr>
          <w:rFonts w:cs="Arial"/>
          <w:szCs w:val="23"/>
        </w:rPr>
      </w:pPr>
      <w:r w:rsidRPr="00D83563">
        <w:rPr>
          <w:rFonts w:cs="Arial"/>
          <w:szCs w:val="23"/>
        </w:rPr>
        <w:t xml:space="preserve">Operating agencies may apply through their RA/DSA/MOU for indirect costs by using their approved State Indirect Cost Rate as defined in </w:t>
      </w:r>
      <w:r w:rsidRPr="00B22475">
        <w:rPr>
          <w:rFonts w:cs="Arial"/>
          <w:i/>
          <w:iCs/>
          <w:szCs w:val="23"/>
        </w:rPr>
        <w:t>CSAM</w:t>
      </w:r>
      <w:r w:rsidRPr="00D83563">
        <w:rPr>
          <w:rFonts w:cs="Arial"/>
          <w:szCs w:val="23"/>
        </w:rPr>
        <w:t xml:space="preserve"> procedure 915. Migrant education funds may not be used for any position, service or activity usually funded at the district base program level.</w:t>
      </w:r>
    </w:p>
    <w:p w14:paraId="71EA82FA" w14:textId="57CD0FAD" w:rsidR="00C06396" w:rsidRDefault="000172C0" w:rsidP="00726990">
      <w:pPr>
        <w:ind w:left="720"/>
        <w:rPr>
          <w:rFonts w:cs="Arial"/>
          <w:szCs w:val="23"/>
        </w:rPr>
      </w:pPr>
      <w:r>
        <w:rPr>
          <w:rFonts w:cs="Arial"/>
          <w:szCs w:val="23"/>
        </w:rPr>
        <w:t>For tracking purp</w:t>
      </w:r>
      <w:r w:rsidR="00F70CA8">
        <w:rPr>
          <w:rFonts w:cs="Arial"/>
          <w:szCs w:val="23"/>
        </w:rPr>
        <w:t>oses, w</w:t>
      </w:r>
      <w:r w:rsidR="00C754F5">
        <w:rPr>
          <w:rFonts w:cs="Arial"/>
          <w:szCs w:val="23"/>
        </w:rPr>
        <w:t>hen entering indirect costs into the Migrant Education Program Expenditure (MEPEX) system,</w:t>
      </w:r>
      <w:r w:rsidR="00F70CA8">
        <w:rPr>
          <w:rFonts w:cs="Arial"/>
          <w:szCs w:val="23"/>
        </w:rPr>
        <w:t xml:space="preserve"> use object code 7000 to track indirect </w:t>
      </w:r>
      <w:r w:rsidR="00B256D3">
        <w:rPr>
          <w:rFonts w:cs="Arial"/>
          <w:szCs w:val="23"/>
        </w:rPr>
        <w:t xml:space="preserve">costs </w:t>
      </w:r>
      <w:r w:rsidR="00F70CA8">
        <w:rPr>
          <w:rFonts w:cs="Arial"/>
          <w:szCs w:val="23"/>
        </w:rPr>
        <w:t>at the regional level and object code 7300</w:t>
      </w:r>
      <w:r w:rsidR="00F843B3">
        <w:rPr>
          <w:rFonts w:cs="Arial"/>
          <w:szCs w:val="23"/>
        </w:rPr>
        <w:t xml:space="preserve"> to track the indirect</w:t>
      </w:r>
      <w:r w:rsidR="00B256D3">
        <w:rPr>
          <w:rFonts w:cs="Arial"/>
          <w:szCs w:val="23"/>
        </w:rPr>
        <w:t xml:space="preserve"> costs</w:t>
      </w:r>
      <w:r w:rsidR="00F843B3">
        <w:rPr>
          <w:rFonts w:cs="Arial"/>
          <w:szCs w:val="23"/>
        </w:rPr>
        <w:t xml:space="preserve"> </w:t>
      </w:r>
      <w:r w:rsidR="0066671D">
        <w:rPr>
          <w:rFonts w:cs="Arial"/>
          <w:szCs w:val="23"/>
        </w:rPr>
        <w:t>of reimbursable</w:t>
      </w:r>
      <w:r w:rsidR="00AD125A">
        <w:rPr>
          <w:rFonts w:cs="Arial"/>
          <w:szCs w:val="23"/>
        </w:rPr>
        <w:t xml:space="preserve"> districts.</w:t>
      </w:r>
      <w:r w:rsidR="007E06EE">
        <w:rPr>
          <w:rFonts w:cs="Arial"/>
          <w:szCs w:val="23"/>
        </w:rPr>
        <w:t xml:space="preserve"> </w:t>
      </w:r>
      <w:r w:rsidR="008E276E">
        <w:rPr>
          <w:rFonts w:cs="Arial"/>
          <w:szCs w:val="23"/>
        </w:rPr>
        <w:t xml:space="preserve">In </w:t>
      </w:r>
      <w:r w:rsidR="00122B0A">
        <w:rPr>
          <w:rFonts w:cs="Arial"/>
          <w:szCs w:val="23"/>
        </w:rPr>
        <w:t>the</w:t>
      </w:r>
      <w:r w:rsidR="008E276E">
        <w:rPr>
          <w:rFonts w:cs="Arial"/>
          <w:szCs w:val="23"/>
        </w:rPr>
        <w:t xml:space="preserve"> general ledger, please continue to</w:t>
      </w:r>
      <w:r w:rsidR="00865583">
        <w:rPr>
          <w:rFonts w:cs="Arial"/>
          <w:szCs w:val="23"/>
        </w:rPr>
        <w:t xml:space="preserve"> align indirect costs with </w:t>
      </w:r>
      <w:r w:rsidR="00865583" w:rsidRPr="00B22475">
        <w:rPr>
          <w:rFonts w:cs="Arial"/>
          <w:i/>
          <w:iCs/>
          <w:szCs w:val="23"/>
        </w:rPr>
        <w:t>CSAM</w:t>
      </w:r>
      <w:r w:rsidR="00865583">
        <w:rPr>
          <w:rFonts w:cs="Arial"/>
          <w:szCs w:val="23"/>
        </w:rPr>
        <w:t xml:space="preserve"> standards. </w:t>
      </w:r>
    </w:p>
    <w:p w14:paraId="1845528A" w14:textId="77777777" w:rsidR="00D83563" w:rsidRDefault="00D83563" w:rsidP="005842A2">
      <w:pPr>
        <w:pStyle w:val="Heading4"/>
        <w:numPr>
          <w:ilvl w:val="0"/>
          <w:numId w:val="64"/>
        </w:numPr>
        <w:ind w:left="576"/>
      </w:pPr>
      <w:r w:rsidRPr="00D83563">
        <w:t>Student Work-Study Program</w:t>
      </w:r>
    </w:p>
    <w:p w14:paraId="367C38CC" w14:textId="62E1740D" w:rsidR="00D83563" w:rsidRDefault="00D83563" w:rsidP="00726990">
      <w:pPr>
        <w:ind w:left="720"/>
        <w:rPr>
          <w:rFonts w:cs="Arial"/>
          <w:szCs w:val="24"/>
          <w:lang w:bidi="en-US"/>
        </w:rPr>
      </w:pPr>
      <w:r w:rsidRPr="00D83563">
        <w:rPr>
          <w:rFonts w:cs="Arial"/>
          <w:szCs w:val="24"/>
          <w:lang w:bidi="en-US"/>
        </w:rPr>
        <w:t xml:space="preserve">A region or district may hire a </w:t>
      </w:r>
      <w:r w:rsidR="00FC5AFC">
        <w:rPr>
          <w:rFonts w:cs="Arial"/>
          <w:szCs w:val="24"/>
          <w:lang w:bidi="en-US"/>
        </w:rPr>
        <w:t>migratory</w:t>
      </w:r>
      <w:r w:rsidRPr="00D83563">
        <w:rPr>
          <w:rFonts w:cs="Arial"/>
          <w:szCs w:val="24"/>
          <w:lang w:bidi="en-US"/>
        </w:rPr>
        <w:t xml:space="preserve"> student for work-study if the operating agency retains the following documentation:</w:t>
      </w:r>
    </w:p>
    <w:p w14:paraId="569BBA95" w14:textId="77777777" w:rsidR="00D83563" w:rsidRDefault="00D83563" w:rsidP="005842A2">
      <w:pPr>
        <w:pStyle w:val="ListParagraph"/>
        <w:numPr>
          <w:ilvl w:val="0"/>
          <w:numId w:val="41"/>
        </w:numPr>
        <w:ind w:left="1296" w:hanging="288"/>
        <w:contextualSpacing w:val="0"/>
        <w:rPr>
          <w:rFonts w:cs="Arial"/>
          <w:szCs w:val="24"/>
          <w:lang w:bidi="en-US"/>
        </w:rPr>
      </w:pPr>
      <w:r w:rsidRPr="00D83563">
        <w:rPr>
          <w:rFonts w:cs="Arial"/>
          <w:szCs w:val="24"/>
          <w:lang w:bidi="en-US"/>
        </w:rPr>
        <w:t>Name of student</w:t>
      </w:r>
    </w:p>
    <w:p w14:paraId="2F51C31E" w14:textId="77777777" w:rsidR="00D83563" w:rsidRDefault="00D83563" w:rsidP="005842A2">
      <w:pPr>
        <w:pStyle w:val="ListParagraph"/>
        <w:numPr>
          <w:ilvl w:val="0"/>
          <w:numId w:val="41"/>
        </w:numPr>
        <w:ind w:left="1296" w:hanging="288"/>
        <w:contextualSpacing w:val="0"/>
        <w:rPr>
          <w:rFonts w:cs="Arial"/>
          <w:szCs w:val="24"/>
          <w:lang w:bidi="en-US"/>
        </w:rPr>
      </w:pPr>
      <w:r w:rsidRPr="00D83563">
        <w:rPr>
          <w:rFonts w:cs="Arial"/>
          <w:szCs w:val="24"/>
          <w:lang w:bidi="en-US"/>
        </w:rPr>
        <w:t>Employer, job description, and location of employment</w:t>
      </w:r>
    </w:p>
    <w:p w14:paraId="6EB71955" w14:textId="77777777" w:rsidR="00944BC2" w:rsidRDefault="00D83563" w:rsidP="005842A2">
      <w:pPr>
        <w:pStyle w:val="ListParagraph"/>
        <w:numPr>
          <w:ilvl w:val="0"/>
          <w:numId w:val="41"/>
        </w:numPr>
        <w:ind w:left="1296" w:hanging="288"/>
        <w:contextualSpacing w:val="0"/>
        <w:rPr>
          <w:rFonts w:cs="Arial"/>
          <w:szCs w:val="24"/>
          <w:lang w:bidi="en-US"/>
        </w:rPr>
      </w:pPr>
      <w:r w:rsidRPr="00D83563">
        <w:rPr>
          <w:rFonts w:cs="Arial"/>
          <w:szCs w:val="24"/>
          <w:lang w:bidi="en-US"/>
        </w:rPr>
        <w:t>Explanation of non-monetary benefit to the student</w:t>
      </w:r>
    </w:p>
    <w:p w14:paraId="0153BE01" w14:textId="77777777" w:rsidR="00D83563" w:rsidRDefault="00D83563" w:rsidP="005842A2">
      <w:pPr>
        <w:pStyle w:val="ListParagraph"/>
        <w:numPr>
          <w:ilvl w:val="0"/>
          <w:numId w:val="41"/>
        </w:numPr>
        <w:ind w:left="1296" w:hanging="288"/>
        <w:contextualSpacing w:val="0"/>
        <w:rPr>
          <w:rFonts w:cs="Arial"/>
          <w:szCs w:val="24"/>
          <w:lang w:bidi="en-US"/>
        </w:rPr>
      </w:pPr>
      <w:r w:rsidRPr="00D83563">
        <w:rPr>
          <w:rFonts w:cs="Arial"/>
          <w:szCs w:val="24"/>
          <w:lang w:bidi="en-US"/>
        </w:rPr>
        <w:t>Days, dates, time, and hours worked by student</w:t>
      </w:r>
    </w:p>
    <w:p w14:paraId="04ACE40A" w14:textId="77777777" w:rsidR="00D83563" w:rsidRDefault="00D83563" w:rsidP="005842A2">
      <w:pPr>
        <w:pStyle w:val="ListParagraph"/>
        <w:numPr>
          <w:ilvl w:val="0"/>
          <w:numId w:val="41"/>
        </w:numPr>
        <w:ind w:left="1296" w:hanging="288"/>
        <w:contextualSpacing w:val="0"/>
        <w:rPr>
          <w:rFonts w:cs="Arial"/>
          <w:szCs w:val="24"/>
          <w:lang w:bidi="en-US"/>
        </w:rPr>
      </w:pPr>
      <w:r w:rsidRPr="00D83563">
        <w:rPr>
          <w:rFonts w:cs="Arial"/>
          <w:szCs w:val="24"/>
          <w:lang w:bidi="en-US"/>
        </w:rPr>
        <w:t>Date and signature of student confirming the above information</w:t>
      </w:r>
    </w:p>
    <w:p w14:paraId="77B50588" w14:textId="7E2E034A" w:rsidR="00D83563" w:rsidRDefault="00D83563" w:rsidP="005842A2">
      <w:pPr>
        <w:pStyle w:val="ListParagraph"/>
        <w:numPr>
          <w:ilvl w:val="0"/>
          <w:numId w:val="41"/>
        </w:numPr>
        <w:ind w:left="1296" w:hanging="288"/>
        <w:contextualSpacing w:val="0"/>
        <w:rPr>
          <w:rFonts w:cs="Arial"/>
          <w:szCs w:val="24"/>
          <w:lang w:bidi="en-US"/>
        </w:rPr>
      </w:pPr>
      <w:r w:rsidRPr="00D83563">
        <w:rPr>
          <w:rFonts w:cs="Arial"/>
          <w:szCs w:val="24"/>
          <w:lang w:bidi="en-US"/>
        </w:rPr>
        <w:t xml:space="preserve">Date and signature of worksite supervisor confirming and verifying the accuracy of the timekeeping documents and work performance of the </w:t>
      </w:r>
      <w:r w:rsidR="00FC5AFC">
        <w:rPr>
          <w:rFonts w:cs="Arial"/>
          <w:szCs w:val="24"/>
          <w:lang w:bidi="en-US"/>
        </w:rPr>
        <w:t>migratory</w:t>
      </w:r>
      <w:r w:rsidRPr="00D83563">
        <w:rPr>
          <w:rFonts w:cs="Arial"/>
          <w:szCs w:val="24"/>
          <w:lang w:bidi="en-US"/>
        </w:rPr>
        <w:t xml:space="preserve"> student(s)</w:t>
      </w:r>
    </w:p>
    <w:p w14:paraId="76A23D0E" w14:textId="77777777" w:rsidR="00D83563" w:rsidRDefault="00D83563" w:rsidP="005842A2">
      <w:pPr>
        <w:pStyle w:val="ListParagraph"/>
        <w:numPr>
          <w:ilvl w:val="0"/>
          <w:numId w:val="41"/>
        </w:numPr>
        <w:ind w:left="1296" w:hanging="288"/>
        <w:contextualSpacing w:val="0"/>
        <w:rPr>
          <w:rFonts w:cs="Arial"/>
          <w:szCs w:val="24"/>
          <w:lang w:bidi="en-US"/>
        </w:rPr>
      </w:pPr>
      <w:r w:rsidRPr="00D83563">
        <w:rPr>
          <w:rFonts w:cs="Arial"/>
          <w:szCs w:val="24"/>
          <w:lang w:bidi="en-US"/>
        </w:rPr>
        <w:t>Acknowledgement by the student and employer of any other federal, state, and local employment guidelines</w:t>
      </w:r>
    </w:p>
    <w:p w14:paraId="490D2C69" w14:textId="77777777" w:rsidR="00D83563" w:rsidRDefault="00D83563" w:rsidP="005842A2">
      <w:pPr>
        <w:pStyle w:val="Heading4"/>
        <w:numPr>
          <w:ilvl w:val="0"/>
          <w:numId w:val="64"/>
        </w:numPr>
        <w:tabs>
          <w:tab w:val="clear" w:pos="1080"/>
        </w:tabs>
        <w:ind w:left="576"/>
      </w:pPr>
      <w:r w:rsidRPr="00D83563">
        <w:t>Summer School Facility Maintenance Costs</w:t>
      </w:r>
    </w:p>
    <w:p w14:paraId="196D8865" w14:textId="77777777" w:rsidR="00D83563" w:rsidRDefault="00D83563" w:rsidP="00726990">
      <w:pPr>
        <w:ind w:left="720"/>
        <w:rPr>
          <w:rFonts w:cs="Arial"/>
          <w:szCs w:val="24"/>
          <w:lang w:bidi="en-US"/>
        </w:rPr>
      </w:pPr>
      <w:r w:rsidRPr="00D83563">
        <w:rPr>
          <w:rFonts w:cs="Arial"/>
          <w:szCs w:val="24"/>
          <w:lang w:bidi="en-US"/>
        </w:rPr>
        <w:t xml:space="preserve">Per the statutory requirement in </w:t>
      </w:r>
      <w:r w:rsidRPr="00D83563">
        <w:rPr>
          <w:rFonts w:cs="Arial"/>
          <w:i/>
          <w:szCs w:val="24"/>
          <w:lang w:bidi="en-US"/>
        </w:rPr>
        <w:t>EC</w:t>
      </w:r>
      <w:r w:rsidRPr="00D83563">
        <w:rPr>
          <w:rFonts w:cs="Arial"/>
          <w:szCs w:val="24"/>
          <w:lang w:bidi="en-US"/>
        </w:rPr>
        <w:t xml:space="preserve"> Section 54444.3(b), each school district, county office of education, and community college district shall, upon request, </w:t>
      </w:r>
      <w:r w:rsidRPr="00D83563">
        <w:rPr>
          <w:rFonts w:cs="Arial"/>
          <w:szCs w:val="24"/>
          <w:lang w:bidi="en-US"/>
        </w:rPr>
        <w:lastRenderedPageBreak/>
        <w:t>make facilities available at cost for the operation of migrant summer school programs whenever they are available. Where available, these facilities shall be suitable for the summer climate.</w:t>
      </w:r>
    </w:p>
    <w:p w14:paraId="1A1652C6" w14:textId="77777777" w:rsidR="00D83563" w:rsidRDefault="00D83563" w:rsidP="00726990">
      <w:pPr>
        <w:ind w:left="720"/>
        <w:rPr>
          <w:rFonts w:cs="Arial"/>
          <w:szCs w:val="24"/>
          <w:lang w:bidi="en-US"/>
        </w:rPr>
      </w:pPr>
      <w:r w:rsidRPr="00D83563">
        <w:rPr>
          <w:rFonts w:cs="Arial"/>
          <w:szCs w:val="24"/>
          <w:lang w:bidi="en-US"/>
        </w:rPr>
        <w:t>Expenditures for costs that are incurred as a direct result of the operation of the MEP are an allowable use of funds when they are reasonable, necessary, and based on the following methodology for cost determination:</w:t>
      </w:r>
    </w:p>
    <w:p w14:paraId="657245BA" w14:textId="77777777" w:rsidR="00D83563" w:rsidRDefault="00D83563" w:rsidP="005842A2">
      <w:pPr>
        <w:numPr>
          <w:ilvl w:val="0"/>
          <w:numId w:val="36"/>
        </w:numPr>
        <w:tabs>
          <w:tab w:val="clear" w:pos="720"/>
          <w:tab w:val="num" w:pos="810"/>
        </w:tabs>
        <w:ind w:left="1296" w:hanging="288"/>
        <w:rPr>
          <w:rFonts w:cs="Arial"/>
          <w:szCs w:val="24"/>
          <w:lang w:bidi="en-US"/>
        </w:rPr>
      </w:pPr>
      <w:r w:rsidRPr="00D83563">
        <w:rPr>
          <w:rFonts w:cs="Arial"/>
          <w:szCs w:val="24"/>
          <w:lang w:bidi="en-US"/>
        </w:rPr>
        <w:t>Total all the general maintenance costs incurred for the year.</w:t>
      </w:r>
    </w:p>
    <w:p w14:paraId="6BE9DB91" w14:textId="77777777" w:rsidR="00D83563" w:rsidRDefault="00D83563" w:rsidP="005842A2">
      <w:pPr>
        <w:numPr>
          <w:ilvl w:val="0"/>
          <w:numId w:val="36"/>
        </w:numPr>
        <w:tabs>
          <w:tab w:val="clear" w:pos="720"/>
          <w:tab w:val="num" w:pos="1170"/>
        </w:tabs>
        <w:ind w:left="1296" w:hanging="288"/>
        <w:rPr>
          <w:rFonts w:cs="Arial"/>
          <w:szCs w:val="24"/>
        </w:rPr>
      </w:pPr>
      <w:r w:rsidRPr="00D83563">
        <w:rPr>
          <w:rFonts w:cs="Arial"/>
          <w:szCs w:val="24"/>
          <w:lang w:bidi="en-US"/>
        </w:rPr>
        <w:t>Prorate the allocated maintenance costs by the number of hours or weeks that a migrant summer program is conducted as compared with the total yearly hours or weeks of use for these facilities for all programs.</w:t>
      </w:r>
    </w:p>
    <w:p w14:paraId="05993234" w14:textId="77777777" w:rsidR="00D83563" w:rsidRDefault="00D83563" w:rsidP="005842A2">
      <w:pPr>
        <w:pStyle w:val="Heading4"/>
        <w:numPr>
          <w:ilvl w:val="0"/>
          <w:numId w:val="64"/>
        </w:numPr>
        <w:tabs>
          <w:tab w:val="clear" w:pos="1080"/>
        </w:tabs>
        <w:ind w:left="576"/>
      </w:pPr>
      <w:r w:rsidRPr="00D83563">
        <w:t>Substitute Staff</w:t>
      </w:r>
    </w:p>
    <w:p w14:paraId="6127B75A" w14:textId="464135A7" w:rsidR="00944BC2" w:rsidRDefault="00D83563" w:rsidP="00726990">
      <w:pPr>
        <w:pStyle w:val="ListParagraph"/>
        <w:contextualSpacing w:val="0"/>
        <w:rPr>
          <w:rFonts w:cs="Arial"/>
          <w:szCs w:val="24"/>
        </w:rPr>
      </w:pPr>
      <w:r w:rsidRPr="00D83563">
        <w:rPr>
          <w:rFonts w:cs="Arial"/>
          <w:szCs w:val="24"/>
        </w:rPr>
        <w:t>Migrant education funds may be used to secure substitutes for (</w:t>
      </w:r>
      <w:r w:rsidRPr="003B0E1B">
        <w:rPr>
          <w:rFonts w:cs="Arial"/>
          <w:szCs w:val="24"/>
        </w:rPr>
        <w:t xml:space="preserve">1) non-migrant funded classroom teachers who work with </w:t>
      </w:r>
      <w:r w:rsidR="00FC5AFC" w:rsidRPr="003B0E1B">
        <w:rPr>
          <w:rFonts w:cs="Arial"/>
          <w:szCs w:val="24"/>
        </w:rPr>
        <w:t>migratory</w:t>
      </w:r>
      <w:r w:rsidRPr="003B0E1B">
        <w:rPr>
          <w:rFonts w:cs="Arial"/>
          <w:szCs w:val="24"/>
        </w:rPr>
        <w:t xml:space="preserve"> students to enable them to participate in activities sponsored by the MEP;</w:t>
      </w:r>
      <w:r w:rsidRPr="00D83563">
        <w:rPr>
          <w:rFonts w:cs="Arial"/>
          <w:szCs w:val="24"/>
        </w:rPr>
        <w:t xml:space="preserve"> and (2) migrant-funded personnel when the absence will make a significantly adverse impact on the program.</w:t>
      </w:r>
    </w:p>
    <w:p w14:paraId="4BB1D5F4" w14:textId="77777777" w:rsidR="00944BC2" w:rsidRDefault="00D83563" w:rsidP="00726990">
      <w:pPr>
        <w:widowControl w:val="0"/>
        <w:autoSpaceDE w:val="0"/>
        <w:autoSpaceDN w:val="0"/>
        <w:adjustRightInd w:val="0"/>
        <w:ind w:left="720"/>
        <w:rPr>
          <w:rFonts w:cs="Arial"/>
          <w:b/>
          <w:szCs w:val="24"/>
        </w:rPr>
      </w:pPr>
      <w:r w:rsidRPr="00D83563">
        <w:rPr>
          <w:rFonts w:cs="Arial"/>
          <w:b/>
          <w:szCs w:val="24"/>
        </w:rPr>
        <w:t>As a reminder, MEP funds should not be utilized to replace or supplant costs that would otherwise be paid through other sources.</w:t>
      </w:r>
    </w:p>
    <w:p w14:paraId="0069DED1" w14:textId="4EB4269A" w:rsidR="00D83563" w:rsidRDefault="00D83563" w:rsidP="005842A2">
      <w:pPr>
        <w:pStyle w:val="Heading4"/>
        <w:numPr>
          <w:ilvl w:val="0"/>
          <w:numId w:val="64"/>
        </w:numPr>
        <w:tabs>
          <w:tab w:val="clear" w:pos="1080"/>
        </w:tabs>
        <w:ind w:left="288" w:firstLine="0"/>
      </w:pPr>
      <w:r w:rsidRPr="00D83563">
        <w:t xml:space="preserve">Time </w:t>
      </w:r>
      <w:r w:rsidR="00992C95">
        <w:t>and Effort</w:t>
      </w:r>
      <w:r w:rsidR="00992C95" w:rsidRPr="00D83563">
        <w:t xml:space="preserve"> </w:t>
      </w:r>
      <w:r w:rsidRPr="00D83563">
        <w:t>Requirements</w:t>
      </w:r>
    </w:p>
    <w:p w14:paraId="4948EE51" w14:textId="0D9B74E7" w:rsidR="006649B6" w:rsidRDefault="006649B6" w:rsidP="006649B6">
      <w:pPr>
        <w:ind w:left="720"/>
      </w:pPr>
      <w:bookmarkStart w:id="76" w:name="_Hlk185242922"/>
      <w:r>
        <w:t>Employees paid with federal funds, in whole or in part, must maintain documentation of time worked.</w:t>
      </w:r>
    </w:p>
    <w:bookmarkEnd w:id="76"/>
    <w:p w14:paraId="1EF748AB" w14:textId="7039C11A" w:rsidR="006649B6" w:rsidRDefault="008E2F27" w:rsidP="005842A2">
      <w:pPr>
        <w:pStyle w:val="ListParagraph"/>
        <w:numPr>
          <w:ilvl w:val="0"/>
          <w:numId w:val="70"/>
        </w:numPr>
        <w:contextualSpacing w:val="0"/>
      </w:pPr>
      <w:r>
        <w:t xml:space="preserve">Includes: Full and </w:t>
      </w:r>
      <w:r w:rsidR="00965F16">
        <w:t>part-time</w:t>
      </w:r>
      <w:r>
        <w:t xml:space="preserve"> employees and </w:t>
      </w:r>
      <w:r w:rsidR="00E4035D">
        <w:t>employees</w:t>
      </w:r>
      <w:r>
        <w:t xml:space="preserve"> whose salary is used to meet a</w:t>
      </w:r>
      <w:r w:rsidR="00E4035D">
        <w:t xml:space="preserve"> cost share requirement</w:t>
      </w:r>
    </w:p>
    <w:p w14:paraId="0F09DD8B" w14:textId="5282ECF2" w:rsidR="00E4035D" w:rsidRDefault="00E4035D" w:rsidP="005842A2">
      <w:pPr>
        <w:pStyle w:val="ListParagraph"/>
        <w:numPr>
          <w:ilvl w:val="0"/>
          <w:numId w:val="70"/>
        </w:numPr>
        <w:contextualSpacing w:val="0"/>
      </w:pPr>
      <w:r>
        <w:t>Does not apply to contractors</w:t>
      </w:r>
    </w:p>
    <w:p w14:paraId="581DA71B" w14:textId="4BC75D9D" w:rsidR="00E4035D" w:rsidRDefault="00E4035D" w:rsidP="00E4035D">
      <w:pPr>
        <w:ind w:left="720"/>
      </w:pPr>
      <w:bookmarkStart w:id="77" w:name="_Hlk185244420"/>
      <w:r>
        <w:t>Charges to federal wards for salaries and wages must be based on records that accurately reflect the work performed.</w:t>
      </w:r>
      <w:r w:rsidR="00157EC5">
        <w:t xml:space="preserve"> Documentation must:</w:t>
      </w:r>
    </w:p>
    <w:bookmarkEnd w:id="77"/>
    <w:p w14:paraId="792E20EB" w14:textId="45D8C9A2" w:rsidR="00157EC5" w:rsidRDefault="00FD24DE" w:rsidP="005842A2">
      <w:pPr>
        <w:pStyle w:val="ListParagraph"/>
        <w:numPr>
          <w:ilvl w:val="0"/>
          <w:numId w:val="71"/>
        </w:numPr>
        <w:spacing w:after="0" w:line="360" w:lineRule="auto"/>
      </w:pPr>
      <w:r>
        <w:t>Be supported by a system of internal controls which provides reasonable assurance charges are accurate, allowable, and allocable</w:t>
      </w:r>
      <w:r w:rsidR="00E12D47">
        <w:t>.</w:t>
      </w:r>
    </w:p>
    <w:p w14:paraId="4E72ECA5" w14:textId="5B2519A7" w:rsidR="00FD24DE" w:rsidRDefault="00FD24DE" w:rsidP="005842A2">
      <w:pPr>
        <w:pStyle w:val="ListParagraph"/>
        <w:numPr>
          <w:ilvl w:val="0"/>
          <w:numId w:val="71"/>
        </w:numPr>
        <w:spacing w:line="360" w:lineRule="auto"/>
      </w:pPr>
      <w:r>
        <w:t>Be in</w:t>
      </w:r>
      <w:r w:rsidR="00E12D47">
        <w:t>corporated into official records.</w:t>
      </w:r>
    </w:p>
    <w:p w14:paraId="5D334665" w14:textId="304AC101" w:rsidR="00E12D47" w:rsidRDefault="00E12D47" w:rsidP="005842A2">
      <w:pPr>
        <w:pStyle w:val="ListParagraph"/>
        <w:numPr>
          <w:ilvl w:val="0"/>
          <w:numId w:val="71"/>
        </w:numPr>
        <w:spacing w:line="360" w:lineRule="auto"/>
      </w:pPr>
      <w:r>
        <w:t xml:space="preserve">Reasonably reflect total activity for which </w:t>
      </w:r>
      <w:r w:rsidR="00965F16">
        <w:t>the employee</w:t>
      </w:r>
      <w:r>
        <w:t xml:space="preserve"> is compensated.</w:t>
      </w:r>
    </w:p>
    <w:p w14:paraId="666230CC" w14:textId="62788296" w:rsidR="00E12D47" w:rsidRDefault="00E12D47" w:rsidP="005842A2">
      <w:pPr>
        <w:pStyle w:val="ListParagraph"/>
        <w:numPr>
          <w:ilvl w:val="0"/>
          <w:numId w:val="71"/>
        </w:numPr>
        <w:spacing w:line="360" w:lineRule="auto"/>
      </w:pPr>
      <w:r>
        <w:t>Encompass all activities (federal and non-federal)</w:t>
      </w:r>
      <w:r w:rsidR="0066671D">
        <w:t>.</w:t>
      </w:r>
    </w:p>
    <w:p w14:paraId="5A8C6B5D" w14:textId="34F336FA" w:rsidR="00E12D47" w:rsidRDefault="00E12D47" w:rsidP="005842A2">
      <w:pPr>
        <w:pStyle w:val="ListParagraph"/>
        <w:numPr>
          <w:ilvl w:val="0"/>
          <w:numId w:val="71"/>
        </w:numPr>
        <w:spacing w:line="360" w:lineRule="auto"/>
      </w:pPr>
      <w:r>
        <w:t>Comply with established accounting policies and practices.</w:t>
      </w:r>
    </w:p>
    <w:p w14:paraId="5BE1C5D7" w14:textId="6E5C5E31" w:rsidR="00E12D47" w:rsidRDefault="00E12D47" w:rsidP="005842A2">
      <w:pPr>
        <w:pStyle w:val="ListParagraph"/>
        <w:numPr>
          <w:ilvl w:val="0"/>
          <w:numId w:val="71"/>
        </w:numPr>
        <w:spacing w:line="360" w:lineRule="auto"/>
      </w:pPr>
      <w:r>
        <w:t>Support distributions among specific activities or cost objectives</w:t>
      </w:r>
      <w:r w:rsidR="0066671D">
        <w:t>.</w:t>
      </w:r>
    </w:p>
    <w:p w14:paraId="1463D038" w14:textId="28A2CFBC" w:rsidR="001E680C" w:rsidRDefault="001E680C" w:rsidP="009C532E">
      <w:pPr>
        <w:spacing w:after="240"/>
        <w:ind w:left="720"/>
      </w:pPr>
      <w:r>
        <w:t xml:space="preserve">Cost objective means a program, function, activity, award, organizational subdivision, contract, or work unit for which cost data are desired and </w:t>
      </w:r>
      <w:r w:rsidR="006C6DAF">
        <w:t>for which provision is made to accumulate and measure the cost of processes, products, jobs, and capital projects.</w:t>
      </w:r>
      <w:r w:rsidR="005616E5">
        <w:t xml:space="preserve"> See examples below.</w:t>
      </w:r>
    </w:p>
    <w:tbl>
      <w:tblPr>
        <w:tblStyle w:val="TableGrid"/>
        <w:tblW w:w="0" w:type="auto"/>
        <w:tblBorders>
          <w:insideH w:val="none" w:sz="0" w:space="0" w:color="auto"/>
        </w:tblBorders>
        <w:tblLook w:val="0420" w:firstRow="1" w:lastRow="0" w:firstColumn="0" w:lastColumn="0" w:noHBand="0" w:noVBand="1"/>
        <w:tblDescription w:val="Table of cost objectives and not cost objectives."/>
      </w:tblPr>
      <w:tblGrid>
        <w:gridCol w:w="4732"/>
        <w:gridCol w:w="4733"/>
      </w:tblGrid>
      <w:tr w:rsidR="00774701" w14:paraId="067EE4D5" w14:textId="77777777" w:rsidTr="00B22475">
        <w:trPr>
          <w:cantSplit/>
          <w:tblHeader/>
        </w:trPr>
        <w:tc>
          <w:tcPr>
            <w:tcW w:w="4732" w:type="dxa"/>
            <w:tcBorders>
              <w:top w:val="single" w:sz="4" w:space="0" w:color="auto"/>
              <w:bottom w:val="single" w:sz="4" w:space="0" w:color="auto"/>
            </w:tcBorders>
          </w:tcPr>
          <w:p w14:paraId="37B5734B" w14:textId="370FC91C" w:rsidR="00774701" w:rsidRPr="008C24E7" w:rsidRDefault="00774701" w:rsidP="008C24E7">
            <w:pPr>
              <w:jc w:val="center"/>
              <w:rPr>
                <w:b/>
                <w:bCs/>
              </w:rPr>
            </w:pPr>
            <w:r w:rsidRPr="008C24E7">
              <w:rPr>
                <w:b/>
                <w:bCs/>
              </w:rPr>
              <w:lastRenderedPageBreak/>
              <w:t>Cost Objectives</w:t>
            </w:r>
          </w:p>
        </w:tc>
        <w:tc>
          <w:tcPr>
            <w:tcW w:w="4733" w:type="dxa"/>
            <w:tcBorders>
              <w:top w:val="single" w:sz="4" w:space="0" w:color="auto"/>
              <w:bottom w:val="single" w:sz="4" w:space="0" w:color="auto"/>
            </w:tcBorders>
          </w:tcPr>
          <w:p w14:paraId="4714DD69" w14:textId="6776D896" w:rsidR="00774701" w:rsidRPr="008C24E7" w:rsidRDefault="00774701" w:rsidP="008C24E7">
            <w:pPr>
              <w:jc w:val="center"/>
              <w:rPr>
                <w:b/>
                <w:bCs/>
              </w:rPr>
            </w:pPr>
            <w:r w:rsidRPr="008C24E7">
              <w:rPr>
                <w:b/>
                <w:bCs/>
              </w:rPr>
              <w:t>Not Cost Objectives</w:t>
            </w:r>
          </w:p>
        </w:tc>
      </w:tr>
      <w:tr w:rsidR="00774701" w14:paraId="2FD0E657" w14:textId="77777777" w:rsidTr="00B22475">
        <w:trPr>
          <w:cantSplit/>
        </w:trPr>
        <w:tc>
          <w:tcPr>
            <w:tcW w:w="4732" w:type="dxa"/>
            <w:tcBorders>
              <w:top w:val="single" w:sz="4" w:space="0" w:color="auto"/>
            </w:tcBorders>
          </w:tcPr>
          <w:p w14:paraId="4D1D7121" w14:textId="6DAB5560" w:rsidR="00774701" w:rsidRDefault="00774701" w:rsidP="008C24E7">
            <w:pPr>
              <w:spacing w:after="0"/>
              <w:jc w:val="center"/>
            </w:pPr>
            <w:r>
              <w:t>Title I, C Admin</w:t>
            </w:r>
          </w:p>
        </w:tc>
        <w:tc>
          <w:tcPr>
            <w:tcW w:w="4733" w:type="dxa"/>
            <w:tcBorders>
              <w:top w:val="single" w:sz="4" w:space="0" w:color="auto"/>
            </w:tcBorders>
          </w:tcPr>
          <w:p w14:paraId="7D89F034" w14:textId="182C12AE" w:rsidR="00774701" w:rsidRDefault="00774701" w:rsidP="008C24E7">
            <w:pPr>
              <w:spacing w:after="0"/>
              <w:jc w:val="center"/>
            </w:pPr>
            <w:r>
              <w:t>Ti</w:t>
            </w:r>
            <w:r w:rsidR="00F9480A">
              <w:t>t</w:t>
            </w:r>
            <w:r>
              <w:t>le I</w:t>
            </w:r>
          </w:p>
        </w:tc>
      </w:tr>
      <w:tr w:rsidR="00774701" w14:paraId="692EEED5" w14:textId="77777777" w:rsidTr="00B22475">
        <w:trPr>
          <w:cantSplit/>
        </w:trPr>
        <w:tc>
          <w:tcPr>
            <w:tcW w:w="4732" w:type="dxa"/>
          </w:tcPr>
          <w:p w14:paraId="7C215D5C" w14:textId="0042B463" w:rsidR="00774701" w:rsidRDefault="00774701" w:rsidP="008C24E7">
            <w:pPr>
              <w:spacing w:after="0"/>
              <w:jc w:val="center"/>
            </w:pPr>
            <w:r>
              <w:t>Title I, C I&amp;R</w:t>
            </w:r>
          </w:p>
        </w:tc>
        <w:tc>
          <w:tcPr>
            <w:tcW w:w="4733" w:type="dxa"/>
          </w:tcPr>
          <w:p w14:paraId="270796BF" w14:textId="45C2BA46" w:rsidR="00774701" w:rsidRDefault="00774701" w:rsidP="008C24E7">
            <w:pPr>
              <w:spacing w:after="0"/>
              <w:jc w:val="center"/>
            </w:pPr>
            <w:r>
              <w:t>Ti</w:t>
            </w:r>
            <w:r w:rsidR="00F9480A">
              <w:t>t</w:t>
            </w:r>
            <w:r>
              <w:t>le II, A</w:t>
            </w:r>
          </w:p>
        </w:tc>
      </w:tr>
      <w:tr w:rsidR="00774701" w14:paraId="20A84906" w14:textId="77777777" w:rsidTr="00B22475">
        <w:trPr>
          <w:cantSplit/>
        </w:trPr>
        <w:tc>
          <w:tcPr>
            <w:tcW w:w="4732" w:type="dxa"/>
          </w:tcPr>
          <w:p w14:paraId="488D4C3A" w14:textId="18ED7749" w:rsidR="00774701" w:rsidRDefault="00774701" w:rsidP="008C24E7">
            <w:pPr>
              <w:spacing w:after="0"/>
              <w:jc w:val="center"/>
            </w:pPr>
            <w:r>
              <w:t>Ti</w:t>
            </w:r>
            <w:r w:rsidR="00343CDD">
              <w:t>t</w:t>
            </w:r>
            <w:r>
              <w:t xml:space="preserve">le I, C </w:t>
            </w:r>
            <w:r w:rsidR="003026E6">
              <w:t>PAC</w:t>
            </w:r>
          </w:p>
        </w:tc>
        <w:tc>
          <w:tcPr>
            <w:tcW w:w="4733" w:type="dxa"/>
          </w:tcPr>
          <w:p w14:paraId="6FB227A8" w14:textId="48DE4128" w:rsidR="00774701" w:rsidRDefault="00251184" w:rsidP="008C24E7">
            <w:pPr>
              <w:spacing w:after="0"/>
              <w:jc w:val="center"/>
            </w:pPr>
            <w:r>
              <w:t>Federal Programs</w:t>
            </w:r>
          </w:p>
        </w:tc>
      </w:tr>
      <w:tr w:rsidR="00774701" w14:paraId="6A563BC2" w14:textId="77777777" w:rsidTr="00B22475">
        <w:trPr>
          <w:cantSplit/>
        </w:trPr>
        <w:tc>
          <w:tcPr>
            <w:tcW w:w="4732" w:type="dxa"/>
          </w:tcPr>
          <w:p w14:paraId="730641B8" w14:textId="4C116CEF" w:rsidR="00774701" w:rsidRDefault="00251184" w:rsidP="008C24E7">
            <w:pPr>
              <w:spacing w:after="0"/>
              <w:jc w:val="center"/>
            </w:pPr>
            <w:r>
              <w:t>Title I, C Other</w:t>
            </w:r>
            <w:r w:rsidR="005C53C5">
              <w:t xml:space="preserve"> </w:t>
            </w:r>
            <w:r w:rsidR="002B3BC4">
              <w:t>Education</w:t>
            </w:r>
          </w:p>
        </w:tc>
        <w:tc>
          <w:tcPr>
            <w:tcW w:w="4733" w:type="dxa"/>
          </w:tcPr>
          <w:p w14:paraId="5214282E" w14:textId="7DF65B82" w:rsidR="00774701" w:rsidRDefault="005F1299" w:rsidP="008C24E7">
            <w:pPr>
              <w:spacing w:after="0"/>
              <w:jc w:val="center"/>
            </w:pPr>
            <w:r>
              <w:t>Program Director</w:t>
            </w:r>
          </w:p>
        </w:tc>
      </w:tr>
    </w:tbl>
    <w:p w14:paraId="2804F774" w14:textId="38FC25A8" w:rsidR="00D83563" w:rsidRDefault="00D83563" w:rsidP="009C532E">
      <w:pPr>
        <w:pStyle w:val="Heading3"/>
      </w:pPr>
      <w:bookmarkStart w:id="78" w:name="_Toc414262513"/>
      <w:bookmarkStart w:id="79" w:name="_Toc207703813"/>
      <w:r w:rsidRPr="00D47231">
        <w:t>8.0</w:t>
      </w:r>
      <w:r w:rsidR="004E2608" w:rsidRPr="00D47231">
        <w:t xml:space="preserve"> </w:t>
      </w:r>
      <w:r w:rsidR="00F418B1">
        <w:t>Object Classification Codes</w:t>
      </w:r>
      <w:bookmarkEnd w:id="78"/>
      <w:bookmarkEnd w:id="79"/>
    </w:p>
    <w:p w14:paraId="6195F867" w14:textId="47C10255" w:rsidR="00D83563" w:rsidRDefault="00965F16" w:rsidP="00726990">
      <w:pPr>
        <w:pStyle w:val="BodyTextIndent"/>
        <w:ind w:left="0"/>
        <w:rPr>
          <w:rFonts w:cs="Arial"/>
          <w:color w:val="000000"/>
          <w:sz w:val="24"/>
          <w:u w:val="single"/>
        </w:rPr>
      </w:pPr>
      <w:r w:rsidRPr="008C24E7">
        <w:rPr>
          <w:rFonts w:cs="Arial"/>
          <w:i/>
          <w:iCs/>
          <w:color w:val="000000"/>
          <w:sz w:val="24"/>
        </w:rPr>
        <w:t>EC</w:t>
      </w:r>
      <w:r>
        <w:rPr>
          <w:rFonts w:cs="Arial"/>
          <w:color w:val="000000"/>
          <w:sz w:val="24"/>
        </w:rPr>
        <w:t xml:space="preserve"> </w:t>
      </w:r>
      <w:r w:rsidR="00D83563" w:rsidRPr="00D83563">
        <w:rPr>
          <w:rFonts w:cs="Arial"/>
          <w:color w:val="000000"/>
          <w:sz w:val="24"/>
        </w:rPr>
        <w:t>Section 41010 requires LEAs to follow the definitions, instructions, and procedures in the</w:t>
      </w:r>
      <w:r w:rsidR="00D83563" w:rsidRPr="00965F16">
        <w:rPr>
          <w:rFonts w:cs="Arial"/>
          <w:color w:val="000000"/>
          <w:sz w:val="24"/>
        </w:rPr>
        <w:t xml:space="preserve"> </w:t>
      </w:r>
      <w:r w:rsidR="00D83563" w:rsidRPr="00B22475">
        <w:rPr>
          <w:rFonts w:cs="Arial"/>
          <w:i/>
          <w:iCs/>
          <w:color w:val="000000"/>
          <w:sz w:val="24"/>
        </w:rPr>
        <w:t>CSA</w:t>
      </w:r>
      <w:r w:rsidRPr="00B22475">
        <w:rPr>
          <w:rFonts w:cs="Arial"/>
          <w:i/>
          <w:iCs/>
          <w:color w:val="000000"/>
          <w:sz w:val="24"/>
        </w:rPr>
        <w:t>M</w:t>
      </w:r>
      <w:r w:rsidR="00D83563" w:rsidRPr="00965F16">
        <w:rPr>
          <w:rFonts w:cs="Arial"/>
          <w:color w:val="000000"/>
          <w:sz w:val="24"/>
        </w:rPr>
        <w:t xml:space="preserve">. </w:t>
      </w:r>
      <w:r w:rsidR="00D83563" w:rsidRPr="00D83563">
        <w:rPr>
          <w:rFonts w:cs="Arial"/>
          <w:color w:val="000000"/>
          <w:sz w:val="24"/>
        </w:rPr>
        <w:t xml:space="preserve">Operating agencies and districts are mandated to follow </w:t>
      </w:r>
      <w:r w:rsidR="00D83563" w:rsidRPr="00B22475">
        <w:rPr>
          <w:rFonts w:cs="Arial"/>
          <w:i/>
          <w:color w:val="000000"/>
          <w:sz w:val="24"/>
        </w:rPr>
        <w:t>CSAM</w:t>
      </w:r>
      <w:r w:rsidR="00D83563" w:rsidRPr="00D83563">
        <w:rPr>
          <w:rFonts w:cs="Arial"/>
          <w:i/>
          <w:color w:val="000000"/>
          <w:sz w:val="24"/>
        </w:rPr>
        <w:t xml:space="preserve"> </w:t>
      </w:r>
      <w:r w:rsidR="00D83563" w:rsidRPr="00D83563">
        <w:rPr>
          <w:rFonts w:cs="Arial"/>
          <w:color w:val="000000"/>
          <w:sz w:val="24"/>
        </w:rPr>
        <w:t xml:space="preserve">guidelines for conformity with generally accepted accounting principles, which are essential for consistency and comparability in financial reporting. The </w:t>
      </w:r>
      <w:r w:rsidR="00D83563" w:rsidRPr="00B22475">
        <w:rPr>
          <w:rFonts w:cs="Arial"/>
          <w:i/>
          <w:color w:val="000000"/>
          <w:sz w:val="24"/>
        </w:rPr>
        <w:t>CSAM</w:t>
      </w:r>
      <w:r w:rsidR="00D83563" w:rsidRPr="00D83563">
        <w:rPr>
          <w:rFonts w:cs="Arial"/>
          <w:i/>
          <w:color w:val="000000"/>
          <w:sz w:val="24"/>
        </w:rPr>
        <w:t xml:space="preserve"> </w:t>
      </w:r>
      <w:r w:rsidR="00D83563" w:rsidRPr="00D83563">
        <w:rPr>
          <w:rFonts w:cs="Arial"/>
          <w:color w:val="000000"/>
          <w:sz w:val="24"/>
        </w:rPr>
        <w:t>is to be used</w:t>
      </w:r>
      <w:r w:rsidR="00D83563" w:rsidRPr="00D83563">
        <w:rPr>
          <w:rFonts w:cs="Arial"/>
          <w:i/>
          <w:color w:val="000000"/>
          <w:sz w:val="24"/>
        </w:rPr>
        <w:t xml:space="preserve"> </w:t>
      </w:r>
      <w:r w:rsidR="00D83563" w:rsidRPr="00D83563">
        <w:rPr>
          <w:rFonts w:cs="Arial"/>
          <w:color w:val="000000"/>
          <w:sz w:val="24"/>
        </w:rPr>
        <w:t xml:space="preserve">for classifying, developing, and recording all revenues and expenditures for the MEP. Printed copies of the </w:t>
      </w:r>
      <w:r w:rsidR="00D83563" w:rsidRPr="00B22475">
        <w:rPr>
          <w:rFonts w:cs="Arial"/>
          <w:i/>
          <w:color w:val="000000"/>
          <w:sz w:val="24"/>
        </w:rPr>
        <w:t>CSAM</w:t>
      </w:r>
      <w:r w:rsidR="00D83563" w:rsidRPr="00D83563">
        <w:rPr>
          <w:rFonts w:cs="Arial"/>
          <w:i/>
          <w:color w:val="000000"/>
          <w:sz w:val="24"/>
        </w:rPr>
        <w:t xml:space="preserve"> </w:t>
      </w:r>
      <w:r w:rsidR="00D83563" w:rsidRPr="00D83563">
        <w:rPr>
          <w:rFonts w:cs="Arial"/>
          <w:color w:val="000000"/>
          <w:sz w:val="24"/>
        </w:rPr>
        <w:t xml:space="preserve">are available from the CDE Press, Sales Office, 1430 N Street, Suite 3207, Sacramento, CA 95814-5901; FAX (916) 323-0823. The </w:t>
      </w:r>
      <w:r w:rsidR="00D83563" w:rsidRPr="00B22475">
        <w:rPr>
          <w:rFonts w:cs="Arial"/>
          <w:i/>
          <w:color w:val="000000"/>
          <w:sz w:val="24"/>
        </w:rPr>
        <w:t>CSAM</w:t>
      </w:r>
      <w:r w:rsidR="00D83563" w:rsidRPr="00D83563">
        <w:rPr>
          <w:rFonts w:cs="Arial"/>
          <w:color w:val="000000"/>
          <w:sz w:val="24"/>
        </w:rPr>
        <w:t xml:space="preserve"> may be viewed and downloaded at </w:t>
      </w:r>
      <w:hyperlink r:id="rId25" w:history="1">
        <w:r w:rsidR="009C532E" w:rsidRPr="009C532E">
          <w:rPr>
            <w:rStyle w:val="Hyperlink"/>
            <w:rFonts w:cs="Arial"/>
            <w:sz w:val="24"/>
          </w:rPr>
          <w:t>CDE’s Definitions, Instructions, &amp; Procedures web page</w:t>
        </w:r>
      </w:hyperlink>
      <w:r w:rsidR="00D83563" w:rsidRPr="009C532E">
        <w:rPr>
          <w:rFonts w:cs="Arial"/>
          <w:color w:val="000000"/>
          <w:sz w:val="24"/>
        </w:rPr>
        <w:t>.</w:t>
      </w:r>
    </w:p>
    <w:p w14:paraId="0769A2E0" w14:textId="74F2F845" w:rsidR="00D83563" w:rsidRPr="00D83563" w:rsidRDefault="00D83563" w:rsidP="008C24E7">
      <w:pPr>
        <w:pStyle w:val="BodyTextIndent"/>
        <w:ind w:left="0"/>
        <w:rPr>
          <w:color w:val="000000"/>
        </w:rPr>
      </w:pPr>
      <w:r w:rsidRPr="00D83563">
        <w:rPr>
          <w:rFonts w:cs="Arial"/>
          <w:color w:val="000000"/>
          <w:sz w:val="24"/>
        </w:rPr>
        <w:t xml:space="preserve">Please refer to the </w:t>
      </w:r>
      <w:r w:rsidRPr="00B22475">
        <w:rPr>
          <w:rFonts w:cs="Arial"/>
          <w:i/>
          <w:iCs/>
          <w:color w:val="000000"/>
          <w:sz w:val="24"/>
        </w:rPr>
        <w:t>CSAM</w:t>
      </w:r>
      <w:r w:rsidRPr="00D83563">
        <w:rPr>
          <w:rFonts w:cs="Arial"/>
          <w:color w:val="000000"/>
          <w:sz w:val="24"/>
        </w:rPr>
        <w:t xml:space="preserve"> </w:t>
      </w:r>
      <w:r w:rsidR="00965F16">
        <w:rPr>
          <w:rFonts w:cs="Arial"/>
          <w:color w:val="000000"/>
          <w:sz w:val="24"/>
        </w:rPr>
        <w:t>w</w:t>
      </w:r>
      <w:r w:rsidRPr="00D83563">
        <w:rPr>
          <w:rFonts w:cs="Arial"/>
          <w:color w:val="000000"/>
          <w:sz w:val="24"/>
        </w:rPr>
        <w:t xml:space="preserve">eb </w:t>
      </w:r>
      <w:r w:rsidR="00965F16">
        <w:rPr>
          <w:rFonts w:cs="Arial"/>
          <w:color w:val="000000"/>
          <w:sz w:val="24"/>
        </w:rPr>
        <w:t>page</w:t>
      </w:r>
      <w:r w:rsidRPr="00D83563">
        <w:rPr>
          <w:rFonts w:cs="Arial"/>
          <w:color w:val="000000"/>
          <w:sz w:val="24"/>
        </w:rPr>
        <w:t xml:space="preserve"> to view the object classification codes. It is the responsibility of the operating agencies and districts to review the complete listing of </w:t>
      </w:r>
      <w:r w:rsidR="00965F16">
        <w:rPr>
          <w:rFonts w:cs="Arial"/>
          <w:color w:val="000000"/>
          <w:sz w:val="24"/>
        </w:rPr>
        <w:t>o</w:t>
      </w:r>
      <w:r w:rsidRPr="00D83563">
        <w:rPr>
          <w:rFonts w:cs="Arial"/>
          <w:color w:val="000000"/>
          <w:sz w:val="24"/>
        </w:rPr>
        <w:t xml:space="preserve">bject </w:t>
      </w:r>
      <w:r w:rsidR="00965F16">
        <w:rPr>
          <w:rFonts w:cs="Arial"/>
          <w:color w:val="000000"/>
          <w:sz w:val="24"/>
        </w:rPr>
        <w:t>c</w:t>
      </w:r>
      <w:r w:rsidRPr="00D83563">
        <w:rPr>
          <w:rFonts w:cs="Arial"/>
          <w:color w:val="000000"/>
          <w:sz w:val="24"/>
        </w:rPr>
        <w:t xml:space="preserve">lassification codes in the </w:t>
      </w:r>
      <w:r w:rsidRPr="00B22475">
        <w:rPr>
          <w:rFonts w:cs="Arial"/>
          <w:i/>
          <w:iCs/>
          <w:color w:val="000000"/>
          <w:sz w:val="24"/>
        </w:rPr>
        <w:t>CSAM</w:t>
      </w:r>
      <w:r w:rsidRPr="00D83563">
        <w:rPr>
          <w:rFonts w:cs="Arial"/>
          <w:color w:val="000000"/>
          <w:sz w:val="24"/>
        </w:rPr>
        <w:t xml:space="preserve"> and to check for updates to this document.</w:t>
      </w:r>
      <w:bookmarkStart w:id="80" w:name="_Toc414262514"/>
    </w:p>
    <w:p w14:paraId="7A9A1A5A" w14:textId="77777777" w:rsidR="00D83563" w:rsidRDefault="00D83563" w:rsidP="00F76EEC">
      <w:pPr>
        <w:pStyle w:val="Heading2"/>
      </w:pPr>
      <w:bookmarkStart w:id="81" w:name="_Toc207703814"/>
      <w:r w:rsidRPr="00D83563">
        <w:t>9.0</w:t>
      </w:r>
      <w:r w:rsidR="004E2608">
        <w:t xml:space="preserve"> </w:t>
      </w:r>
      <w:r w:rsidRPr="00D83563">
        <w:t>Glossary</w:t>
      </w:r>
      <w:bookmarkEnd w:id="80"/>
      <w:bookmarkEnd w:id="81"/>
    </w:p>
    <w:p w14:paraId="04F1EAA1" w14:textId="77777777" w:rsidR="00944BC2" w:rsidRPr="004E2608" w:rsidRDefault="004E2608" w:rsidP="009C532E">
      <w:pPr>
        <w:pStyle w:val="Heading3"/>
      </w:pPr>
      <w:bookmarkStart w:id="82" w:name="_Toc414262515"/>
      <w:bookmarkStart w:id="83" w:name="_Toc207703815"/>
      <w:r>
        <w:t xml:space="preserve">9.1 </w:t>
      </w:r>
      <w:r w:rsidR="00D83563" w:rsidRPr="004E2608">
        <w:t>Commonly Used Acronyms</w:t>
      </w:r>
      <w:bookmarkEnd w:id="82"/>
      <w:bookmarkEnd w:id="83"/>
    </w:p>
    <w:p w14:paraId="4FC2E6BF" w14:textId="77777777" w:rsidR="00D83563" w:rsidRPr="00D83563" w:rsidRDefault="00D83563" w:rsidP="00726990">
      <w:pPr>
        <w:tabs>
          <w:tab w:val="left" w:pos="360"/>
          <w:tab w:val="left" w:pos="2160"/>
        </w:tabs>
        <w:autoSpaceDE w:val="0"/>
        <w:autoSpaceDN w:val="0"/>
        <w:adjustRightInd w:val="0"/>
        <w:spacing w:before="120"/>
        <w:rPr>
          <w:rFonts w:cs="Arial"/>
          <w:bCs/>
          <w:szCs w:val="24"/>
        </w:rPr>
      </w:pPr>
      <w:r w:rsidRPr="00D83563">
        <w:rPr>
          <w:rFonts w:cs="Arial"/>
          <w:b/>
          <w:bCs/>
          <w:szCs w:val="24"/>
        </w:rPr>
        <w:t>CDE</w:t>
      </w:r>
      <w:r w:rsidRPr="00D83563">
        <w:rPr>
          <w:rFonts w:cs="Arial"/>
          <w:b/>
          <w:bCs/>
          <w:szCs w:val="24"/>
        </w:rPr>
        <w:tab/>
      </w:r>
      <w:r w:rsidRPr="00D83563">
        <w:rPr>
          <w:rFonts w:cs="Arial"/>
          <w:bCs/>
          <w:szCs w:val="24"/>
        </w:rPr>
        <w:t>California Department of Education</w:t>
      </w:r>
    </w:p>
    <w:p w14:paraId="031B1970" w14:textId="77777777" w:rsidR="00D83563" w:rsidRPr="00D83563" w:rsidRDefault="00D83563" w:rsidP="00726990">
      <w:pPr>
        <w:tabs>
          <w:tab w:val="left" w:pos="360"/>
          <w:tab w:val="left" w:pos="2160"/>
        </w:tabs>
        <w:autoSpaceDE w:val="0"/>
        <w:autoSpaceDN w:val="0"/>
        <w:adjustRightInd w:val="0"/>
        <w:spacing w:before="120"/>
        <w:rPr>
          <w:rFonts w:cs="Arial"/>
          <w:szCs w:val="24"/>
        </w:rPr>
      </w:pPr>
      <w:r w:rsidRPr="00D83563">
        <w:rPr>
          <w:rFonts w:cs="Arial"/>
          <w:b/>
          <w:bCs/>
          <w:i/>
          <w:szCs w:val="24"/>
        </w:rPr>
        <w:t>CFR</w:t>
      </w:r>
      <w:r w:rsidRPr="00D83563">
        <w:rPr>
          <w:rFonts w:cs="Arial"/>
          <w:szCs w:val="24"/>
        </w:rPr>
        <w:tab/>
        <w:t>Code of Federal Regulations</w:t>
      </w:r>
    </w:p>
    <w:p w14:paraId="41AB8E51" w14:textId="77777777" w:rsidR="00D83563" w:rsidRPr="00D83563" w:rsidRDefault="00D83563" w:rsidP="00726990">
      <w:pPr>
        <w:tabs>
          <w:tab w:val="left" w:pos="360"/>
          <w:tab w:val="left" w:pos="2160"/>
        </w:tabs>
        <w:autoSpaceDE w:val="0"/>
        <w:autoSpaceDN w:val="0"/>
        <w:adjustRightInd w:val="0"/>
        <w:spacing w:before="120"/>
        <w:rPr>
          <w:rFonts w:cs="Arial"/>
          <w:szCs w:val="24"/>
        </w:rPr>
      </w:pPr>
      <w:r w:rsidRPr="00D83563">
        <w:rPr>
          <w:rFonts w:cs="Arial"/>
          <w:b/>
          <w:bCs/>
          <w:szCs w:val="24"/>
        </w:rPr>
        <w:t>COE</w:t>
      </w:r>
      <w:r w:rsidRPr="00D83563">
        <w:rPr>
          <w:rFonts w:cs="Arial"/>
          <w:szCs w:val="24"/>
        </w:rPr>
        <w:tab/>
        <w:t>Certificate of Eligibility</w:t>
      </w:r>
    </w:p>
    <w:p w14:paraId="6D7F8ED8" w14:textId="77777777" w:rsidR="00D83563" w:rsidRDefault="00D83563" w:rsidP="00726990">
      <w:pPr>
        <w:tabs>
          <w:tab w:val="left" w:pos="360"/>
          <w:tab w:val="left" w:pos="2160"/>
        </w:tabs>
        <w:autoSpaceDE w:val="0"/>
        <w:autoSpaceDN w:val="0"/>
        <w:adjustRightInd w:val="0"/>
        <w:spacing w:before="120"/>
        <w:rPr>
          <w:rFonts w:cs="Arial"/>
          <w:szCs w:val="24"/>
        </w:rPr>
      </w:pPr>
      <w:r w:rsidRPr="00D83563">
        <w:rPr>
          <w:rFonts w:cs="Arial"/>
          <w:b/>
          <w:bCs/>
          <w:szCs w:val="24"/>
        </w:rPr>
        <w:t>CSPR</w:t>
      </w:r>
      <w:r w:rsidRPr="00D83563">
        <w:rPr>
          <w:rFonts w:cs="Arial"/>
          <w:szCs w:val="24"/>
        </w:rPr>
        <w:tab/>
        <w:t>Consolidated State Performance Report</w:t>
      </w:r>
    </w:p>
    <w:p w14:paraId="30A37A22" w14:textId="466E3AEE" w:rsidR="00375EB9" w:rsidRPr="00375EB9" w:rsidRDefault="00375EB9" w:rsidP="00726990">
      <w:pPr>
        <w:tabs>
          <w:tab w:val="left" w:pos="360"/>
          <w:tab w:val="left" w:pos="2160"/>
        </w:tabs>
        <w:autoSpaceDE w:val="0"/>
        <w:autoSpaceDN w:val="0"/>
        <w:adjustRightInd w:val="0"/>
        <w:spacing w:before="120"/>
        <w:rPr>
          <w:rFonts w:cs="Arial"/>
          <w:b/>
          <w:bCs/>
          <w:szCs w:val="24"/>
        </w:rPr>
      </w:pPr>
      <w:proofErr w:type="spellStart"/>
      <w:r w:rsidRPr="00375EB9">
        <w:rPr>
          <w:rFonts w:cs="Arial"/>
          <w:b/>
          <w:bCs/>
          <w:szCs w:val="24"/>
        </w:rPr>
        <w:t>DFD</w:t>
      </w:r>
      <w:proofErr w:type="spellEnd"/>
      <w:r>
        <w:rPr>
          <w:rFonts w:cs="Arial"/>
          <w:b/>
          <w:bCs/>
          <w:szCs w:val="24"/>
        </w:rPr>
        <w:tab/>
      </w:r>
      <w:r>
        <w:rPr>
          <w:rFonts w:cs="Arial"/>
          <w:color w:val="000000"/>
        </w:rPr>
        <w:t>D</w:t>
      </w:r>
      <w:r w:rsidRPr="00D83563">
        <w:rPr>
          <w:rFonts w:cs="Arial"/>
          <w:color w:val="000000"/>
        </w:rPr>
        <w:t xml:space="preserve">irect-funded </w:t>
      </w:r>
      <w:r>
        <w:rPr>
          <w:rFonts w:cs="Arial"/>
          <w:color w:val="000000"/>
        </w:rPr>
        <w:t>D</w:t>
      </w:r>
      <w:r w:rsidRPr="00D83563">
        <w:rPr>
          <w:rFonts w:cs="Arial"/>
          <w:color w:val="000000"/>
        </w:rPr>
        <w:t>istricts</w:t>
      </w:r>
    </w:p>
    <w:p w14:paraId="5197E802" w14:textId="77777777" w:rsidR="00D83563" w:rsidRPr="00D83563" w:rsidRDefault="00D83563" w:rsidP="00726990">
      <w:pPr>
        <w:tabs>
          <w:tab w:val="left" w:pos="360"/>
          <w:tab w:val="left" w:pos="2160"/>
        </w:tabs>
        <w:autoSpaceDE w:val="0"/>
        <w:autoSpaceDN w:val="0"/>
        <w:adjustRightInd w:val="0"/>
        <w:spacing w:before="120"/>
        <w:rPr>
          <w:rFonts w:cs="Arial"/>
          <w:bCs/>
          <w:szCs w:val="24"/>
        </w:rPr>
      </w:pPr>
      <w:r w:rsidRPr="00D83563">
        <w:rPr>
          <w:rFonts w:cs="Arial"/>
          <w:b/>
          <w:bCs/>
          <w:szCs w:val="24"/>
        </w:rPr>
        <w:t>DSA</w:t>
      </w:r>
      <w:r w:rsidRPr="00D83563">
        <w:rPr>
          <w:rFonts w:cs="Arial"/>
          <w:b/>
          <w:bCs/>
          <w:szCs w:val="24"/>
        </w:rPr>
        <w:tab/>
      </w:r>
      <w:r w:rsidRPr="00D83563">
        <w:rPr>
          <w:rFonts w:cs="Arial"/>
          <w:bCs/>
          <w:szCs w:val="24"/>
        </w:rPr>
        <w:t>District Service Agreement</w:t>
      </w:r>
    </w:p>
    <w:p w14:paraId="4BAC7229" w14:textId="07757502" w:rsidR="00D83563" w:rsidRPr="00D83563" w:rsidRDefault="00D83563" w:rsidP="00726990">
      <w:pPr>
        <w:tabs>
          <w:tab w:val="left" w:pos="360"/>
          <w:tab w:val="left" w:pos="2160"/>
        </w:tabs>
        <w:autoSpaceDE w:val="0"/>
        <w:autoSpaceDN w:val="0"/>
        <w:adjustRightInd w:val="0"/>
        <w:spacing w:before="120"/>
        <w:rPr>
          <w:rFonts w:cs="Arial"/>
          <w:szCs w:val="24"/>
        </w:rPr>
      </w:pPr>
      <w:r w:rsidRPr="00D83563">
        <w:rPr>
          <w:rFonts w:cs="Arial"/>
          <w:b/>
          <w:bCs/>
          <w:szCs w:val="24"/>
        </w:rPr>
        <w:t>ED</w:t>
      </w:r>
      <w:r w:rsidR="0046338E" w:rsidRPr="0046338E">
        <w:rPr>
          <w:rFonts w:cs="Arial"/>
          <w:b/>
          <w:szCs w:val="24"/>
        </w:rPr>
        <w:t xml:space="preserve"> </w:t>
      </w:r>
      <w:r w:rsidR="0046338E" w:rsidRPr="00D83563">
        <w:rPr>
          <w:rFonts w:cs="Arial"/>
          <w:b/>
          <w:szCs w:val="24"/>
        </w:rPr>
        <w:t>and USDE</w:t>
      </w:r>
      <w:r w:rsidRPr="00D83563">
        <w:rPr>
          <w:rFonts w:cs="Arial"/>
          <w:szCs w:val="24"/>
        </w:rPr>
        <w:tab/>
        <w:t>(United States) Education Depar</w:t>
      </w:r>
      <w:r w:rsidR="0046338E">
        <w:rPr>
          <w:rFonts w:cs="Arial"/>
          <w:szCs w:val="24"/>
        </w:rPr>
        <w:t>tment; also referred to as USDE</w:t>
      </w:r>
    </w:p>
    <w:p w14:paraId="31A47C24" w14:textId="77777777" w:rsidR="00D83563" w:rsidRPr="00D83563" w:rsidRDefault="00D83563" w:rsidP="00726990">
      <w:pPr>
        <w:tabs>
          <w:tab w:val="left" w:pos="360"/>
          <w:tab w:val="left" w:pos="2160"/>
        </w:tabs>
        <w:autoSpaceDE w:val="0"/>
        <w:autoSpaceDN w:val="0"/>
        <w:adjustRightInd w:val="0"/>
        <w:spacing w:before="120"/>
        <w:rPr>
          <w:rFonts w:cs="Arial"/>
          <w:szCs w:val="24"/>
        </w:rPr>
      </w:pPr>
      <w:r w:rsidRPr="00D83563">
        <w:rPr>
          <w:rFonts w:cs="Arial"/>
          <w:b/>
          <w:bCs/>
          <w:szCs w:val="24"/>
        </w:rPr>
        <w:t>EDGAR</w:t>
      </w:r>
      <w:r w:rsidRPr="00D83563">
        <w:rPr>
          <w:rFonts w:cs="Arial"/>
          <w:szCs w:val="24"/>
        </w:rPr>
        <w:tab/>
        <w:t>Education Department General Administrative Regulations</w:t>
      </w:r>
    </w:p>
    <w:p w14:paraId="12BEB62B" w14:textId="77777777" w:rsidR="00D83563" w:rsidRDefault="00D83563" w:rsidP="00726990">
      <w:pPr>
        <w:tabs>
          <w:tab w:val="left" w:pos="360"/>
          <w:tab w:val="left" w:pos="2160"/>
        </w:tabs>
        <w:autoSpaceDE w:val="0"/>
        <w:autoSpaceDN w:val="0"/>
        <w:adjustRightInd w:val="0"/>
        <w:spacing w:before="120"/>
        <w:rPr>
          <w:rFonts w:cs="Arial"/>
          <w:szCs w:val="24"/>
        </w:rPr>
      </w:pPr>
      <w:r w:rsidRPr="00D83563">
        <w:rPr>
          <w:rFonts w:cs="Arial"/>
          <w:b/>
          <w:bCs/>
          <w:szCs w:val="24"/>
        </w:rPr>
        <w:t>ESEA</w:t>
      </w:r>
      <w:r w:rsidRPr="00D83563">
        <w:rPr>
          <w:rFonts w:cs="Arial"/>
          <w:szCs w:val="24"/>
        </w:rPr>
        <w:tab/>
        <w:t>Elementary and Secondary Education Act</w:t>
      </w:r>
    </w:p>
    <w:p w14:paraId="309F357D" w14:textId="1D099625" w:rsidR="005116D8" w:rsidRPr="005116D8" w:rsidRDefault="005116D8" w:rsidP="00726990">
      <w:pPr>
        <w:tabs>
          <w:tab w:val="left" w:pos="360"/>
          <w:tab w:val="left" w:pos="2160"/>
        </w:tabs>
        <w:autoSpaceDE w:val="0"/>
        <w:autoSpaceDN w:val="0"/>
        <w:adjustRightInd w:val="0"/>
        <w:spacing w:before="120"/>
        <w:rPr>
          <w:rFonts w:cs="Arial"/>
          <w:szCs w:val="24"/>
        </w:rPr>
      </w:pPr>
      <w:r>
        <w:rPr>
          <w:rFonts w:cs="Arial"/>
          <w:b/>
          <w:bCs/>
          <w:szCs w:val="24"/>
        </w:rPr>
        <w:t>ESSA</w:t>
      </w:r>
      <w:r>
        <w:rPr>
          <w:rFonts w:cs="Arial"/>
          <w:b/>
          <w:bCs/>
          <w:szCs w:val="24"/>
        </w:rPr>
        <w:tab/>
      </w:r>
      <w:r>
        <w:rPr>
          <w:rFonts w:cs="Arial"/>
          <w:szCs w:val="24"/>
        </w:rPr>
        <w:t>Every Student Succeeds Act</w:t>
      </w:r>
    </w:p>
    <w:p w14:paraId="395F4BCA" w14:textId="77777777" w:rsidR="00D83563" w:rsidRPr="00D83563" w:rsidRDefault="00D83563" w:rsidP="00726990">
      <w:pPr>
        <w:tabs>
          <w:tab w:val="left" w:pos="360"/>
          <w:tab w:val="left" w:pos="2160"/>
        </w:tabs>
        <w:autoSpaceDE w:val="0"/>
        <w:autoSpaceDN w:val="0"/>
        <w:adjustRightInd w:val="0"/>
        <w:spacing w:before="120"/>
        <w:rPr>
          <w:rFonts w:cs="Arial"/>
          <w:bCs/>
          <w:szCs w:val="24"/>
        </w:rPr>
      </w:pPr>
      <w:r w:rsidRPr="00D83563">
        <w:rPr>
          <w:rFonts w:cs="Arial"/>
          <w:b/>
          <w:bCs/>
          <w:szCs w:val="24"/>
        </w:rPr>
        <w:t>FPM</w:t>
      </w:r>
      <w:r w:rsidRPr="00D83563">
        <w:rPr>
          <w:rFonts w:cs="Arial"/>
          <w:bCs/>
          <w:szCs w:val="24"/>
        </w:rPr>
        <w:tab/>
        <w:t>Federal Program Monitoring</w:t>
      </w:r>
    </w:p>
    <w:p w14:paraId="17EB58C1" w14:textId="77777777" w:rsidR="00944BC2" w:rsidRDefault="00D83563" w:rsidP="00726990">
      <w:pPr>
        <w:tabs>
          <w:tab w:val="left" w:pos="360"/>
          <w:tab w:val="left" w:pos="2160"/>
        </w:tabs>
        <w:autoSpaceDE w:val="0"/>
        <w:autoSpaceDN w:val="0"/>
        <w:adjustRightInd w:val="0"/>
        <w:spacing w:before="120"/>
        <w:rPr>
          <w:rFonts w:cs="Arial"/>
          <w:szCs w:val="24"/>
        </w:rPr>
      </w:pPr>
      <w:r w:rsidRPr="00D83563">
        <w:rPr>
          <w:rFonts w:cs="Arial"/>
          <w:b/>
          <w:bCs/>
          <w:szCs w:val="24"/>
        </w:rPr>
        <w:t>FTE</w:t>
      </w:r>
      <w:r w:rsidRPr="00D83563">
        <w:rPr>
          <w:rFonts w:cs="Arial"/>
          <w:szCs w:val="24"/>
        </w:rPr>
        <w:tab/>
        <w:t>Full-Time Equivalency</w:t>
      </w:r>
    </w:p>
    <w:p w14:paraId="3AB8ABD2" w14:textId="77777777" w:rsidR="00D83563" w:rsidRPr="00D83563" w:rsidRDefault="00D83563" w:rsidP="00726990">
      <w:pPr>
        <w:tabs>
          <w:tab w:val="left" w:pos="360"/>
          <w:tab w:val="left" w:pos="2160"/>
        </w:tabs>
        <w:autoSpaceDE w:val="0"/>
        <w:autoSpaceDN w:val="0"/>
        <w:adjustRightInd w:val="0"/>
        <w:spacing w:before="120"/>
        <w:rPr>
          <w:rFonts w:cs="Arial"/>
          <w:szCs w:val="24"/>
        </w:rPr>
      </w:pPr>
      <w:r w:rsidRPr="00D83563">
        <w:rPr>
          <w:rFonts w:cs="Arial"/>
          <w:b/>
          <w:bCs/>
          <w:szCs w:val="24"/>
        </w:rPr>
        <w:t>FY</w:t>
      </w:r>
      <w:r w:rsidRPr="00D83563">
        <w:rPr>
          <w:rFonts w:cs="Arial"/>
          <w:szCs w:val="24"/>
        </w:rPr>
        <w:tab/>
      </w:r>
      <w:r w:rsidRPr="00D83563">
        <w:rPr>
          <w:rFonts w:cs="Arial"/>
          <w:szCs w:val="24"/>
        </w:rPr>
        <w:tab/>
        <w:t>Fiscal Year</w:t>
      </w:r>
    </w:p>
    <w:p w14:paraId="139ABBEA" w14:textId="77777777" w:rsidR="00D83563" w:rsidRPr="00D83563" w:rsidRDefault="00D83563" w:rsidP="00726990">
      <w:pPr>
        <w:tabs>
          <w:tab w:val="left" w:pos="360"/>
          <w:tab w:val="left" w:pos="2160"/>
        </w:tabs>
        <w:autoSpaceDE w:val="0"/>
        <w:autoSpaceDN w:val="0"/>
        <w:adjustRightInd w:val="0"/>
        <w:spacing w:before="120"/>
        <w:rPr>
          <w:rFonts w:cs="Arial"/>
          <w:szCs w:val="24"/>
        </w:rPr>
      </w:pPr>
      <w:proofErr w:type="spellStart"/>
      <w:r w:rsidRPr="00D83563">
        <w:rPr>
          <w:rFonts w:cs="Arial"/>
          <w:b/>
          <w:bCs/>
          <w:szCs w:val="24"/>
        </w:rPr>
        <w:t>I&amp;R</w:t>
      </w:r>
      <w:proofErr w:type="spellEnd"/>
      <w:r w:rsidRPr="00D83563">
        <w:rPr>
          <w:rFonts w:cs="Arial"/>
          <w:szCs w:val="24"/>
        </w:rPr>
        <w:tab/>
        <w:t xml:space="preserve">Identification and Recruitment; sometimes referred to as </w:t>
      </w:r>
      <w:r w:rsidRPr="00D83563">
        <w:rPr>
          <w:rFonts w:cs="Arial"/>
          <w:i/>
          <w:szCs w:val="24"/>
        </w:rPr>
        <w:t>ID&amp;R</w:t>
      </w:r>
    </w:p>
    <w:p w14:paraId="3227C04C" w14:textId="283770A9" w:rsidR="00D83563" w:rsidRPr="00D83563" w:rsidRDefault="00D83563" w:rsidP="00726990">
      <w:pPr>
        <w:tabs>
          <w:tab w:val="left" w:pos="360"/>
          <w:tab w:val="left" w:pos="2160"/>
        </w:tabs>
        <w:autoSpaceDE w:val="0"/>
        <w:autoSpaceDN w:val="0"/>
        <w:adjustRightInd w:val="0"/>
        <w:spacing w:before="120"/>
        <w:rPr>
          <w:rFonts w:cs="Arial"/>
          <w:szCs w:val="24"/>
        </w:rPr>
      </w:pPr>
      <w:r w:rsidRPr="00D83563">
        <w:rPr>
          <w:rFonts w:cs="Arial"/>
          <w:b/>
          <w:bCs/>
          <w:szCs w:val="24"/>
        </w:rPr>
        <w:t>LEA</w:t>
      </w:r>
      <w:r w:rsidRPr="00D83563">
        <w:rPr>
          <w:rFonts w:cs="Arial"/>
          <w:szCs w:val="24"/>
        </w:rPr>
        <w:tab/>
        <w:t>Local Education</w:t>
      </w:r>
      <w:r w:rsidR="001F07C4">
        <w:rPr>
          <w:rFonts w:cs="Arial"/>
          <w:szCs w:val="24"/>
        </w:rPr>
        <w:t>al</w:t>
      </w:r>
      <w:r w:rsidRPr="00D83563">
        <w:rPr>
          <w:rFonts w:cs="Arial"/>
          <w:szCs w:val="24"/>
        </w:rPr>
        <w:t xml:space="preserve"> Agency</w:t>
      </w:r>
    </w:p>
    <w:p w14:paraId="3A08F79B" w14:textId="77777777" w:rsidR="00D83563" w:rsidRPr="00D83563" w:rsidRDefault="00D83563" w:rsidP="00726990">
      <w:pPr>
        <w:tabs>
          <w:tab w:val="left" w:pos="360"/>
          <w:tab w:val="left" w:pos="2160"/>
        </w:tabs>
        <w:autoSpaceDE w:val="0"/>
        <w:autoSpaceDN w:val="0"/>
        <w:adjustRightInd w:val="0"/>
        <w:spacing w:before="120"/>
        <w:rPr>
          <w:rFonts w:cs="Arial"/>
          <w:bCs/>
          <w:szCs w:val="24"/>
        </w:rPr>
      </w:pPr>
      <w:r w:rsidRPr="00D83563">
        <w:rPr>
          <w:rFonts w:cs="Arial"/>
          <w:b/>
          <w:bCs/>
          <w:szCs w:val="24"/>
        </w:rPr>
        <w:lastRenderedPageBreak/>
        <w:t>MEO</w:t>
      </w:r>
      <w:r w:rsidRPr="00D83563">
        <w:rPr>
          <w:rFonts w:cs="Arial"/>
          <w:bCs/>
          <w:szCs w:val="24"/>
        </w:rPr>
        <w:tab/>
        <w:t>California Migrant Education Office</w:t>
      </w:r>
    </w:p>
    <w:p w14:paraId="050FC08A" w14:textId="77777777" w:rsidR="00D83563" w:rsidRPr="00D83563" w:rsidRDefault="00D83563" w:rsidP="00726990">
      <w:pPr>
        <w:tabs>
          <w:tab w:val="left" w:pos="360"/>
          <w:tab w:val="left" w:pos="2160"/>
        </w:tabs>
        <w:autoSpaceDE w:val="0"/>
        <w:autoSpaceDN w:val="0"/>
        <w:adjustRightInd w:val="0"/>
        <w:spacing w:before="120"/>
        <w:rPr>
          <w:rFonts w:cs="Arial"/>
          <w:szCs w:val="24"/>
        </w:rPr>
      </w:pPr>
      <w:r w:rsidRPr="00D83563">
        <w:rPr>
          <w:rFonts w:cs="Arial"/>
          <w:b/>
          <w:bCs/>
          <w:szCs w:val="24"/>
        </w:rPr>
        <w:t>MEP</w:t>
      </w:r>
      <w:r w:rsidRPr="00D83563">
        <w:rPr>
          <w:rFonts w:cs="Arial"/>
          <w:szCs w:val="24"/>
        </w:rPr>
        <w:tab/>
        <w:t>Migrant Education Program</w:t>
      </w:r>
    </w:p>
    <w:p w14:paraId="485A2FB2" w14:textId="77777777" w:rsidR="00D83563" w:rsidRPr="00D83563" w:rsidRDefault="00D83563" w:rsidP="00726990">
      <w:pPr>
        <w:tabs>
          <w:tab w:val="left" w:pos="360"/>
          <w:tab w:val="left" w:pos="2160"/>
        </w:tabs>
        <w:autoSpaceDE w:val="0"/>
        <w:autoSpaceDN w:val="0"/>
        <w:adjustRightInd w:val="0"/>
        <w:spacing w:before="120"/>
        <w:rPr>
          <w:rFonts w:cs="Arial"/>
          <w:bCs/>
          <w:szCs w:val="24"/>
        </w:rPr>
      </w:pPr>
      <w:r w:rsidRPr="00D83563">
        <w:rPr>
          <w:rFonts w:cs="Arial"/>
          <w:b/>
          <w:bCs/>
          <w:szCs w:val="24"/>
        </w:rPr>
        <w:t>MOU</w:t>
      </w:r>
      <w:r w:rsidRPr="00D83563">
        <w:rPr>
          <w:rFonts w:cs="Arial"/>
          <w:b/>
          <w:bCs/>
          <w:szCs w:val="24"/>
        </w:rPr>
        <w:tab/>
      </w:r>
      <w:r w:rsidRPr="00D83563">
        <w:rPr>
          <w:rFonts w:cs="Arial"/>
          <w:bCs/>
          <w:szCs w:val="24"/>
        </w:rPr>
        <w:t>Memorandum of Understanding</w:t>
      </w:r>
    </w:p>
    <w:p w14:paraId="4A82DFCD" w14:textId="77777777" w:rsidR="00D83563" w:rsidRPr="00D83563" w:rsidRDefault="00D83563" w:rsidP="00726990">
      <w:pPr>
        <w:tabs>
          <w:tab w:val="left" w:pos="360"/>
          <w:tab w:val="left" w:pos="2160"/>
        </w:tabs>
        <w:autoSpaceDE w:val="0"/>
        <w:autoSpaceDN w:val="0"/>
        <w:adjustRightInd w:val="0"/>
        <w:spacing w:before="120"/>
        <w:rPr>
          <w:rFonts w:cs="Arial"/>
          <w:szCs w:val="24"/>
        </w:rPr>
      </w:pPr>
      <w:r w:rsidRPr="00D83563">
        <w:rPr>
          <w:rFonts w:cs="Arial"/>
          <w:b/>
          <w:bCs/>
          <w:szCs w:val="24"/>
        </w:rPr>
        <w:t>OME</w:t>
      </w:r>
      <w:r w:rsidRPr="00D83563">
        <w:rPr>
          <w:rFonts w:cs="Arial"/>
          <w:szCs w:val="24"/>
        </w:rPr>
        <w:tab/>
        <w:t>Office of Migrant Education of the US Department of Education</w:t>
      </w:r>
    </w:p>
    <w:p w14:paraId="19D0A9C5" w14:textId="77777777" w:rsidR="00D83563" w:rsidRPr="00D83563" w:rsidRDefault="00D83563" w:rsidP="00726990">
      <w:pPr>
        <w:tabs>
          <w:tab w:val="left" w:pos="360"/>
          <w:tab w:val="left" w:pos="2160"/>
        </w:tabs>
        <w:autoSpaceDE w:val="0"/>
        <w:autoSpaceDN w:val="0"/>
        <w:adjustRightInd w:val="0"/>
        <w:spacing w:before="120"/>
        <w:rPr>
          <w:rFonts w:cs="Arial"/>
          <w:szCs w:val="24"/>
        </w:rPr>
      </w:pPr>
      <w:r w:rsidRPr="00D83563">
        <w:rPr>
          <w:rFonts w:cs="Arial"/>
          <w:b/>
          <w:bCs/>
          <w:szCs w:val="24"/>
        </w:rPr>
        <w:t>PAC</w:t>
      </w:r>
      <w:r w:rsidRPr="00D83563">
        <w:rPr>
          <w:rFonts w:cs="Arial"/>
          <w:szCs w:val="24"/>
        </w:rPr>
        <w:tab/>
        <w:t>Parent Advisory Council</w:t>
      </w:r>
    </w:p>
    <w:p w14:paraId="750DAC6D" w14:textId="77777777" w:rsidR="00D83563" w:rsidRPr="00D83563" w:rsidRDefault="00D83563" w:rsidP="00726990">
      <w:pPr>
        <w:tabs>
          <w:tab w:val="left" w:pos="360"/>
          <w:tab w:val="left" w:pos="2160"/>
        </w:tabs>
        <w:autoSpaceDE w:val="0"/>
        <w:autoSpaceDN w:val="0"/>
        <w:adjustRightInd w:val="0"/>
        <w:spacing w:before="120"/>
        <w:rPr>
          <w:rFonts w:cs="Arial"/>
          <w:bCs/>
          <w:szCs w:val="24"/>
        </w:rPr>
      </w:pPr>
      <w:r w:rsidRPr="00D83563">
        <w:rPr>
          <w:rFonts w:cs="Arial"/>
          <w:b/>
          <w:bCs/>
          <w:szCs w:val="24"/>
        </w:rPr>
        <w:t>PFS</w:t>
      </w:r>
      <w:r w:rsidRPr="00D83563">
        <w:rPr>
          <w:rFonts w:cs="Arial"/>
          <w:bCs/>
          <w:szCs w:val="24"/>
        </w:rPr>
        <w:tab/>
        <w:t>Priority for Services</w:t>
      </w:r>
    </w:p>
    <w:p w14:paraId="289CC4D7" w14:textId="77777777" w:rsidR="00D83563" w:rsidRPr="00D83563" w:rsidRDefault="00D83563" w:rsidP="00726990">
      <w:pPr>
        <w:tabs>
          <w:tab w:val="left" w:pos="360"/>
          <w:tab w:val="left" w:pos="2160"/>
        </w:tabs>
        <w:autoSpaceDE w:val="0"/>
        <w:autoSpaceDN w:val="0"/>
        <w:adjustRightInd w:val="0"/>
        <w:spacing w:before="120"/>
        <w:rPr>
          <w:rFonts w:cs="Arial"/>
          <w:szCs w:val="24"/>
        </w:rPr>
      </w:pPr>
      <w:r w:rsidRPr="00D83563">
        <w:rPr>
          <w:rFonts w:cs="Arial"/>
          <w:b/>
          <w:szCs w:val="24"/>
        </w:rPr>
        <w:t>RA</w:t>
      </w:r>
      <w:r w:rsidRPr="00D83563">
        <w:rPr>
          <w:rFonts w:cs="Arial"/>
          <w:b/>
          <w:szCs w:val="24"/>
        </w:rPr>
        <w:tab/>
      </w:r>
      <w:r w:rsidRPr="00D83563">
        <w:rPr>
          <w:rFonts w:cs="Arial"/>
          <w:b/>
          <w:szCs w:val="24"/>
        </w:rPr>
        <w:tab/>
      </w:r>
      <w:r w:rsidRPr="00D83563">
        <w:rPr>
          <w:rFonts w:cs="Arial"/>
          <w:szCs w:val="24"/>
        </w:rPr>
        <w:t>Regional Application</w:t>
      </w:r>
    </w:p>
    <w:p w14:paraId="21382DAC" w14:textId="77777777" w:rsidR="00D83563" w:rsidRPr="00D83563" w:rsidRDefault="00D83563" w:rsidP="00726990">
      <w:pPr>
        <w:tabs>
          <w:tab w:val="left" w:pos="360"/>
          <w:tab w:val="left" w:pos="2160"/>
        </w:tabs>
        <w:autoSpaceDE w:val="0"/>
        <w:autoSpaceDN w:val="0"/>
        <w:adjustRightInd w:val="0"/>
        <w:spacing w:before="120"/>
        <w:rPr>
          <w:rFonts w:cs="Arial"/>
          <w:szCs w:val="24"/>
        </w:rPr>
      </w:pPr>
      <w:r w:rsidRPr="00D83563">
        <w:rPr>
          <w:rFonts w:cs="Arial"/>
          <w:b/>
          <w:bCs/>
          <w:szCs w:val="24"/>
        </w:rPr>
        <w:t>SEA</w:t>
      </w:r>
      <w:r w:rsidRPr="00D83563">
        <w:rPr>
          <w:rFonts w:cs="Arial"/>
          <w:szCs w:val="24"/>
        </w:rPr>
        <w:tab/>
        <w:t>State Education Agency (California Department of Education)</w:t>
      </w:r>
    </w:p>
    <w:p w14:paraId="033CD07E" w14:textId="77777777" w:rsidR="00D83563" w:rsidRDefault="00D83563" w:rsidP="00726990">
      <w:pPr>
        <w:tabs>
          <w:tab w:val="left" w:pos="360"/>
          <w:tab w:val="left" w:pos="2160"/>
        </w:tabs>
        <w:autoSpaceDE w:val="0"/>
        <w:autoSpaceDN w:val="0"/>
        <w:adjustRightInd w:val="0"/>
        <w:spacing w:before="120"/>
        <w:rPr>
          <w:rFonts w:cs="Arial"/>
          <w:bCs/>
          <w:szCs w:val="24"/>
        </w:rPr>
      </w:pPr>
      <w:r w:rsidRPr="00D83563">
        <w:rPr>
          <w:rFonts w:cs="Arial"/>
          <w:b/>
          <w:bCs/>
          <w:szCs w:val="24"/>
        </w:rPr>
        <w:t>SPAC</w:t>
      </w:r>
      <w:r w:rsidRPr="00D83563">
        <w:rPr>
          <w:rFonts w:cs="Arial"/>
          <w:b/>
          <w:bCs/>
          <w:szCs w:val="24"/>
        </w:rPr>
        <w:tab/>
      </w:r>
      <w:r w:rsidRPr="00D83563">
        <w:rPr>
          <w:rFonts w:cs="Arial"/>
          <w:bCs/>
          <w:szCs w:val="24"/>
        </w:rPr>
        <w:t>State Parent Advisory Council</w:t>
      </w:r>
    </w:p>
    <w:p w14:paraId="44CC27A2" w14:textId="77777777" w:rsidR="00D83563" w:rsidRDefault="00D83563" w:rsidP="009C532E">
      <w:pPr>
        <w:pStyle w:val="Heading3"/>
      </w:pPr>
      <w:bookmarkStart w:id="84" w:name="_Toc414262516"/>
      <w:bookmarkStart w:id="85" w:name="_Toc207703816"/>
      <w:r w:rsidRPr="00D83563">
        <w:t>9.2</w:t>
      </w:r>
      <w:r w:rsidR="004E2608">
        <w:t xml:space="preserve"> </w:t>
      </w:r>
      <w:r w:rsidRPr="00D83563">
        <w:t>Commonly Used Terms</w:t>
      </w:r>
      <w:bookmarkEnd w:id="84"/>
      <w:bookmarkEnd w:id="85"/>
    </w:p>
    <w:p w14:paraId="67194AB7" w14:textId="5E366DA7" w:rsidR="00D83563" w:rsidRDefault="00D83563" w:rsidP="00726990">
      <w:pPr>
        <w:tabs>
          <w:tab w:val="left" w:pos="360"/>
        </w:tabs>
        <w:autoSpaceDE w:val="0"/>
        <w:autoSpaceDN w:val="0"/>
        <w:adjustRightInd w:val="0"/>
        <w:rPr>
          <w:rFonts w:cs="Arial"/>
          <w:szCs w:val="24"/>
        </w:rPr>
      </w:pPr>
      <w:r w:rsidRPr="00D83563">
        <w:rPr>
          <w:rFonts w:cs="Arial"/>
          <w:b/>
          <w:bCs/>
          <w:szCs w:val="24"/>
        </w:rPr>
        <w:t>Allocation</w:t>
      </w:r>
      <w:r w:rsidR="004B0CA9">
        <w:rPr>
          <w:rFonts w:cs="Arial"/>
          <w:b/>
          <w:bCs/>
          <w:szCs w:val="24"/>
        </w:rPr>
        <w:t>:</w:t>
      </w:r>
      <w:r w:rsidRPr="00D83563">
        <w:rPr>
          <w:rFonts w:cs="Arial"/>
          <w:szCs w:val="24"/>
        </w:rPr>
        <w:t xml:space="preserve"> Amount of funds provided by CDE to an operating agency after the agency’s RA has been approved.</w:t>
      </w:r>
    </w:p>
    <w:p w14:paraId="505438A7" w14:textId="69198A37" w:rsidR="00D83563" w:rsidRDefault="00D83563" w:rsidP="00726990">
      <w:pPr>
        <w:tabs>
          <w:tab w:val="left" w:pos="360"/>
        </w:tabs>
        <w:autoSpaceDE w:val="0"/>
        <w:autoSpaceDN w:val="0"/>
        <w:adjustRightInd w:val="0"/>
        <w:rPr>
          <w:rFonts w:cs="Arial"/>
          <w:bCs/>
          <w:szCs w:val="24"/>
        </w:rPr>
      </w:pPr>
      <w:r w:rsidRPr="00D83563">
        <w:rPr>
          <w:rFonts w:cs="Arial"/>
          <w:b/>
          <w:bCs/>
          <w:szCs w:val="24"/>
        </w:rPr>
        <w:t>Direct Services</w:t>
      </w:r>
      <w:r w:rsidR="004B0CA9">
        <w:rPr>
          <w:rFonts w:cs="Arial"/>
          <w:b/>
          <w:bCs/>
          <w:szCs w:val="24"/>
        </w:rPr>
        <w:t>:</w:t>
      </w:r>
      <w:r w:rsidRPr="00D83563">
        <w:rPr>
          <w:rFonts w:cs="Arial"/>
          <w:b/>
          <w:bCs/>
          <w:szCs w:val="24"/>
        </w:rPr>
        <w:t xml:space="preserve"> </w:t>
      </w:r>
      <w:r w:rsidRPr="00D83563">
        <w:rPr>
          <w:rFonts w:cs="Arial"/>
          <w:bCs/>
          <w:szCs w:val="24"/>
        </w:rPr>
        <w:t xml:space="preserve">Supplementary services that typically are delivered </w:t>
      </w:r>
      <w:proofErr w:type="gramStart"/>
      <w:r w:rsidRPr="00D83563">
        <w:rPr>
          <w:rFonts w:cs="Arial"/>
          <w:bCs/>
          <w:szCs w:val="24"/>
        </w:rPr>
        <w:t>at</w:t>
      </w:r>
      <w:proofErr w:type="gramEnd"/>
      <w:r w:rsidRPr="00D83563">
        <w:rPr>
          <w:rFonts w:cs="Arial"/>
          <w:bCs/>
          <w:szCs w:val="24"/>
        </w:rPr>
        <w:t xml:space="preserve"> the school site and where the student is the direct recipient or beneficiary of the service.</w:t>
      </w:r>
    </w:p>
    <w:p w14:paraId="4A0E4744" w14:textId="13D84510" w:rsidR="00D83563" w:rsidRDefault="00D83563" w:rsidP="00726990">
      <w:pPr>
        <w:tabs>
          <w:tab w:val="left" w:pos="360"/>
        </w:tabs>
        <w:autoSpaceDE w:val="0"/>
        <w:autoSpaceDN w:val="0"/>
        <w:adjustRightInd w:val="0"/>
        <w:rPr>
          <w:rFonts w:cs="Arial"/>
          <w:szCs w:val="24"/>
        </w:rPr>
      </w:pPr>
      <w:r w:rsidRPr="00D83563">
        <w:rPr>
          <w:rFonts w:cs="Arial"/>
          <w:b/>
          <w:bCs/>
          <w:szCs w:val="24"/>
        </w:rPr>
        <w:t>English Language Learners</w:t>
      </w:r>
      <w:r w:rsidR="004B0CA9">
        <w:rPr>
          <w:rFonts w:cs="Arial"/>
          <w:b/>
          <w:bCs/>
          <w:szCs w:val="24"/>
        </w:rPr>
        <w:t>:</w:t>
      </w:r>
      <w:r w:rsidRPr="00D83563">
        <w:rPr>
          <w:rFonts w:cs="Arial"/>
          <w:b/>
          <w:bCs/>
          <w:szCs w:val="24"/>
        </w:rPr>
        <w:t xml:space="preserve"> </w:t>
      </w:r>
      <w:r w:rsidRPr="00D83563">
        <w:rPr>
          <w:rFonts w:cs="Arial"/>
          <w:szCs w:val="24"/>
        </w:rPr>
        <w:t>Students whose first language is not English and who are in the process of learning English.</w:t>
      </w:r>
    </w:p>
    <w:p w14:paraId="0B47620B" w14:textId="52B2F6C6" w:rsidR="00850052" w:rsidRPr="008C24E7" w:rsidRDefault="00850052" w:rsidP="00726990">
      <w:pPr>
        <w:tabs>
          <w:tab w:val="left" w:pos="360"/>
        </w:tabs>
        <w:autoSpaceDE w:val="0"/>
        <w:autoSpaceDN w:val="0"/>
        <w:adjustRightInd w:val="0"/>
        <w:rPr>
          <w:rFonts w:cs="Arial"/>
          <w:szCs w:val="24"/>
        </w:rPr>
      </w:pPr>
      <w:r>
        <w:rPr>
          <w:rFonts w:cs="Arial"/>
          <w:b/>
          <w:bCs/>
          <w:szCs w:val="24"/>
        </w:rPr>
        <w:t xml:space="preserve">Every Student Succeeds Act: </w:t>
      </w:r>
      <w:r w:rsidR="00137F1A">
        <w:rPr>
          <w:rFonts w:cs="Arial"/>
          <w:szCs w:val="24"/>
        </w:rPr>
        <w:t xml:space="preserve">Federal law that </w:t>
      </w:r>
      <w:r w:rsidR="00260C66">
        <w:rPr>
          <w:rFonts w:cs="Arial"/>
          <w:szCs w:val="24"/>
        </w:rPr>
        <w:t>was signed into law in 2015 and governs K-12 education in the United States</w:t>
      </w:r>
      <w:r w:rsidR="00151247">
        <w:rPr>
          <w:rFonts w:cs="Arial"/>
          <w:szCs w:val="24"/>
        </w:rPr>
        <w:t xml:space="preserve">. This law replaced the No Child Left Behind </w:t>
      </w:r>
      <w:r w:rsidR="00B22475">
        <w:rPr>
          <w:rFonts w:cs="Arial"/>
          <w:szCs w:val="24"/>
        </w:rPr>
        <w:t>Act and</w:t>
      </w:r>
      <w:r w:rsidR="00151247">
        <w:rPr>
          <w:rFonts w:cs="Arial"/>
          <w:szCs w:val="24"/>
        </w:rPr>
        <w:t xml:space="preserve"> </w:t>
      </w:r>
      <w:r w:rsidR="00B41DC7">
        <w:rPr>
          <w:rFonts w:cs="Arial"/>
          <w:color w:val="000000"/>
        </w:rPr>
        <w:t>reauthorized the MEP.</w:t>
      </w:r>
      <w:r w:rsidR="00151247" w:rsidRPr="00D83563">
        <w:rPr>
          <w:rFonts w:cs="Arial"/>
          <w:color w:val="000000"/>
        </w:rPr>
        <w:t xml:space="preserve"> </w:t>
      </w:r>
    </w:p>
    <w:p w14:paraId="09E46169" w14:textId="77777777" w:rsidR="00D83563" w:rsidRDefault="00D83563" w:rsidP="00726990">
      <w:pPr>
        <w:autoSpaceDE w:val="0"/>
        <w:autoSpaceDN w:val="0"/>
        <w:adjustRightInd w:val="0"/>
        <w:rPr>
          <w:rFonts w:cs="Arial"/>
          <w:szCs w:val="24"/>
        </w:rPr>
      </w:pPr>
      <w:r w:rsidRPr="00D83563">
        <w:rPr>
          <w:rFonts w:cs="Arial"/>
          <w:b/>
          <w:szCs w:val="24"/>
        </w:rPr>
        <w:t>ME-1:</w:t>
      </w:r>
      <w:r w:rsidRPr="00D83563">
        <w:rPr>
          <w:rFonts w:cs="Arial"/>
          <w:szCs w:val="24"/>
        </w:rPr>
        <w:t xml:space="preserve"> Migrant Education Program Budget Form</w:t>
      </w:r>
    </w:p>
    <w:p w14:paraId="19799E16" w14:textId="77777777" w:rsidR="00D83563" w:rsidRDefault="00D83563" w:rsidP="00726990">
      <w:pPr>
        <w:autoSpaceDE w:val="0"/>
        <w:autoSpaceDN w:val="0"/>
        <w:adjustRightInd w:val="0"/>
        <w:rPr>
          <w:rFonts w:cs="Arial"/>
          <w:szCs w:val="24"/>
        </w:rPr>
      </w:pPr>
      <w:r w:rsidRPr="00D83563">
        <w:rPr>
          <w:rFonts w:cs="Arial"/>
          <w:b/>
          <w:szCs w:val="24"/>
        </w:rPr>
        <w:t>ME-7:</w:t>
      </w:r>
      <w:r w:rsidRPr="00D83563">
        <w:rPr>
          <w:rFonts w:cs="Arial"/>
          <w:szCs w:val="24"/>
        </w:rPr>
        <w:t xml:space="preserve"> Migrant Education Program Expenditure Report Form</w:t>
      </w:r>
    </w:p>
    <w:p w14:paraId="7F1339EC" w14:textId="5A6BCFAE" w:rsidR="00D83563" w:rsidRDefault="00D83563" w:rsidP="00726990">
      <w:pPr>
        <w:tabs>
          <w:tab w:val="left" w:pos="360"/>
        </w:tabs>
        <w:autoSpaceDE w:val="0"/>
        <w:autoSpaceDN w:val="0"/>
        <w:adjustRightInd w:val="0"/>
        <w:rPr>
          <w:rFonts w:cs="Arial"/>
          <w:szCs w:val="24"/>
        </w:rPr>
      </w:pPr>
      <w:r w:rsidRPr="00D83563">
        <w:rPr>
          <w:rFonts w:cs="Arial"/>
          <w:b/>
          <w:bCs/>
          <w:szCs w:val="24"/>
        </w:rPr>
        <w:t>Parent Advisory Council</w:t>
      </w:r>
      <w:r w:rsidR="004B0CA9">
        <w:rPr>
          <w:rFonts w:cs="Arial"/>
          <w:b/>
          <w:bCs/>
          <w:szCs w:val="24"/>
        </w:rPr>
        <w:t>:</w:t>
      </w:r>
      <w:r w:rsidRPr="00D83563">
        <w:rPr>
          <w:rFonts w:cs="Arial"/>
          <w:b/>
          <w:bCs/>
          <w:szCs w:val="24"/>
        </w:rPr>
        <w:t xml:space="preserve"> </w:t>
      </w:r>
      <w:r w:rsidRPr="00D83563">
        <w:rPr>
          <w:rFonts w:cs="Arial"/>
          <w:szCs w:val="24"/>
        </w:rPr>
        <w:t>A required component of a MEP to provide a means for community and parent input during the design and operation of a school district MEP.</w:t>
      </w:r>
    </w:p>
    <w:p w14:paraId="6867FCC5" w14:textId="60DB18C3" w:rsidR="00D83563" w:rsidRDefault="00D83563" w:rsidP="00726990">
      <w:pPr>
        <w:autoSpaceDE w:val="0"/>
        <w:autoSpaceDN w:val="0"/>
        <w:adjustRightInd w:val="0"/>
        <w:rPr>
          <w:rFonts w:cs="Arial"/>
          <w:szCs w:val="24"/>
        </w:rPr>
      </w:pPr>
      <w:r w:rsidRPr="00D83563">
        <w:rPr>
          <w:rFonts w:cs="Arial"/>
          <w:b/>
          <w:bCs/>
          <w:szCs w:val="24"/>
        </w:rPr>
        <w:t>Priority for Services</w:t>
      </w:r>
      <w:r w:rsidR="004B0CA9">
        <w:rPr>
          <w:rFonts w:cs="Arial"/>
          <w:b/>
          <w:bCs/>
          <w:szCs w:val="24"/>
        </w:rPr>
        <w:t>:</w:t>
      </w:r>
      <w:r w:rsidRPr="00D83563">
        <w:rPr>
          <w:rFonts w:cs="Arial"/>
          <w:bCs/>
          <w:szCs w:val="24"/>
        </w:rPr>
        <w:t xml:space="preserve"> Federal rules require states and operating agencies to give priority for MEP services to </w:t>
      </w:r>
      <w:r w:rsidR="00FC5AFC">
        <w:rPr>
          <w:rFonts w:cs="Arial"/>
          <w:bCs/>
          <w:szCs w:val="24"/>
        </w:rPr>
        <w:t>migratory</w:t>
      </w:r>
      <w:r w:rsidRPr="00D83563">
        <w:rPr>
          <w:rFonts w:cs="Arial"/>
          <w:bCs/>
          <w:szCs w:val="24"/>
        </w:rPr>
        <w:t xml:space="preserve"> students</w:t>
      </w:r>
      <w:r w:rsidR="00AA2B33">
        <w:rPr>
          <w:rFonts w:cs="Arial"/>
          <w:bCs/>
          <w:szCs w:val="24"/>
        </w:rPr>
        <w:t xml:space="preserve"> </w:t>
      </w:r>
      <w:r w:rsidR="00485EB7">
        <w:rPr>
          <w:rFonts w:cs="Arial"/>
          <w:bCs/>
          <w:szCs w:val="24"/>
        </w:rPr>
        <w:t xml:space="preserve">who have made a qualifying move within the previous 1-year period and who: </w:t>
      </w:r>
      <w:r w:rsidR="00565975">
        <w:rPr>
          <w:rFonts w:cs="Arial"/>
          <w:bCs/>
          <w:szCs w:val="24"/>
        </w:rPr>
        <w:t>are failing, or at risk of failing, to meet the</w:t>
      </w:r>
      <w:r w:rsidR="00F03EEC">
        <w:rPr>
          <w:rFonts w:cs="Arial"/>
          <w:bCs/>
          <w:szCs w:val="24"/>
        </w:rPr>
        <w:t xml:space="preserve"> challenging State academic standards; or have dropped out of school.</w:t>
      </w:r>
    </w:p>
    <w:p w14:paraId="78590660" w14:textId="6F2C4C1C" w:rsidR="00D83563" w:rsidRDefault="00D83563" w:rsidP="00726990">
      <w:pPr>
        <w:tabs>
          <w:tab w:val="left" w:pos="360"/>
        </w:tabs>
        <w:autoSpaceDE w:val="0"/>
        <w:autoSpaceDN w:val="0"/>
        <w:adjustRightInd w:val="0"/>
        <w:rPr>
          <w:rFonts w:cs="Arial"/>
          <w:szCs w:val="24"/>
        </w:rPr>
      </w:pPr>
      <w:r w:rsidRPr="00D83563">
        <w:rPr>
          <w:rFonts w:cs="Arial"/>
          <w:b/>
          <w:bCs/>
          <w:szCs w:val="24"/>
        </w:rPr>
        <w:t>State Education Agency</w:t>
      </w:r>
      <w:r w:rsidR="004B0CA9">
        <w:rPr>
          <w:rFonts w:cs="Arial"/>
          <w:b/>
          <w:bCs/>
          <w:szCs w:val="24"/>
        </w:rPr>
        <w:t>:</w:t>
      </w:r>
      <w:r w:rsidRPr="00D83563">
        <w:rPr>
          <w:rFonts w:cs="Arial"/>
          <w:szCs w:val="24"/>
        </w:rPr>
        <w:t xml:space="preserve"> The governmental agency responsible for statewide education program supervision and administration. The legal entity in each state recognized by </w:t>
      </w:r>
      <w:r w:rsidR="006F28A4">
        <w:rPr>
          <w:rFonts w:cs="Arial"/>
          <w:szCs w:val="24"/>
        </w:rPr>
        <w:t>OME</w:t>
      </w:r>
      <w:r w:rsidR="006F28A4" w:rsidRPr="00D83563">
        <w:rPr>
          <w:rFonts w:cs="Arial"/>
          <w:szCs w:val="24"/>
        </w:rPr>
        <w:t xml:space="preserve"> </w:t>
      </w:r>
      <w:r w:rsidRPr="00D83563">
        <w:rPr>
          <w:rFonts w:cs="Arial"/>
          <w:szCs w:val="24"/>
        </w:rPr>
        <w:t>as being the governing agency eligible to receive Title I-C funds and administer the state’s MEP.</w:t>
      </w:r>
    </w:p>
    <w:p w14:paraId="0A5697E6" w14:textId="44E079B9" w:rsidR="00944BC2" w:rsidRDefault="00D83563" w:rsidP="00726990">
      <w:pPr>
        <w:tabs>
          <w:tab w:val="left" w:pos="360"/>
        </w:tabs>
        <w:autoSpaceDE w:val="0"/>
        <w:autoSpaceDN w:val="0"/>
        <w:adjustRightInd w:val="0"/>
        <w:rPr>
          <w:rFonts w:cs="Arial"/>
          <w:szCs w:val="24"/>
        </w:rPr>
      </w:pPr>
      <w:r w:rsidRPr="00D83563">
        <w:rPr>
          <w:rFonts w:cs="Arial"/>
          <w:b/>
          <w:szCs w:val="24"/>
        </w:rPr>
        <w:t>Support Services</w:t>
      </w:r>
      <w:r w:rsidR="004B0CA9">
        <w:rPr>
          <w:rFonts w:cs="Arial"/>
          <w:szCs w:val="24"/>
        </w:rPr>
        <w:t>:</w:t>
      </w:r>
      <w:r w:rsidRPr="00D83563">
        <w:rPr>
          <w:rFonts w:cs="Arial"/>
          <w:szCs w:val="24"/>
        </w:rPr>
        <w:t xml:space="preserve"> Educational or educationally related activities provided to </w:t>
      </w:r>
      <w:r w:rsidR="00FC5AFC">
        <w:rPr>
          <w:rFonts w:cs="Arial"/>
          <w:szCs w:val="24"/>
        </w:rPr>
        <w:t>migratory</w:t>
      </w:r>
      <w:r w:rsidRPr="00D83563">
        <w:rPr>
          <w:rFonts w:cs="Arial"/>
          <w:szCs w:val="24"/>
        </w:rPr>
        <w:t xml:space="preserve"> children to enable them to succe</w:t>
      </w:r>
      <w:r w:rsidR="00547175">
        <w:rPr>
          <w:rFonts w:cs="Arial"/>
          <w:szCs w:val="24"/>
        </w:rPr>
        <w:t xml:space="preserve">ed </w:t>
      </w:r>
      <w:r w:rsidRPr="00D83563">
        <w:rPr>
          <w:rFonts w:cs="Arial"/>
          <w:szCs w:val="24"/>
        </w:rPr>
        <w:t>in school. Health, nutrition, counseling, social services, educational supplies, and transportation (CSPR definition). The one-time act of providing instructional or informational packets to a child does not constitute a support service.</w:t>
      </w:r>
    </w:p>
    <w:p w14:paraId="2855E4BF" w14:textId="60EEF493" w:rsidR="004802CE" w:rsidRDefault="00D83563" w:rsidP="00754DD8">
      <w:pPr>
        <w:tabs>
          <w:tab w:val="left" w:pos="360"/>
        </w:tabs>
        <w:autoSpaceDE w:val="0"/>
        <w:autoSpaceDN w:val="0"/>
        <w:adjustRightInd w:val="0"/>
        <w:rPr>
          <w:rFonts w:cs="Arial"/>
          <w:szCs w:val="24"/>
        </w:rPr>
      </w:pPr>
      <w:r w:rsidRPr="00D83563">
        <w:rPr>
          <w:rFonts w:cs="Arial"/>
          <w:b/>
          <w:szCs w:val="24"/>
        </w:rPr>
        <w:lastRenderedPageBreak/>
        <w:t>Unique Administrative Cost</w:t>
      </w:r>
      <w:r w:rsidR="004B0CA9">
        <w:rPr>
          <w:rFonts w:cs="Arial"/>
          <w:szCs w:val="24"/>
        </w:rPr>
        <w:t>:</w:t>
      </w:r>
      <w:r w:rsidRPr="00D83563">
        <w:rPr>
          <w:rFonts w:cs="Arial"/>
          <w:szCs w:val="24"/>
        </w:rPr>
        <w:t xml:space="preserve"> Costs that are </w:t>
      </w:r>
      <w:r w:rsidR="005E3567" w:rsidRPr="005E3567">
        <w:rPr>
          <w:rFonts w:cs="Arial"/>
          <w:szCs w:val="24"/>
        </w:rPr>
        <w:t xml:space="preserve">not </w:t>
      </w:r>
      <w:r w:rsidR="00B22475" w:rsidRPr="005E3567">
        <w:rPr>
          <w:rFonts w:cs="Arial"/>
          <w:szCs w:val="24"/>
        </w:rPr>
        <w:t>included</w:t>
      </w:r>
      <w:r w:rsidR="005E3567" w:rsidRPr="005E3567">
        <w:rPr>
          <w:rFonts w:cs="Arial"/>
          <w:szCs w:val="24"/>
        </w:rPr>
        <w:t xml:space="preserve"> when calculating the MEP administrative rate percentage</w:t>
      </w:r>
      <w:r w:rsidRPr="00D83563">
        <w:rPr>
          <w:rFonts w:cs="Arial"/>
          <w:szCs w:val="24"/>
        </w:rPr>
        <w:t>. Salaries and benefits of staff for: Identification and recruitment duties performed, planning and coordinating of PAC meeting duties performed, planning and coordinating other education, health, nutrition, and social services duties performed, and supplies necessary for the administration of this function (for more detail see p. 1</w:t>
      </w:r>
      <w:r w:rsidR="00615D4B">
        <w:rPr>
          <w:rFonts w:cs="Arial"/>
          <w:szCs w:val="24"/>
        </w:rPr>
        <w:t>2</w:t>
      </w:r>
      <w:r w:rsidRPr="00D83563">
        <w:rPr>
          <w:rFonts w:cs="Arial"/>
          <w:szCs w:val="24"/>
        </w:rPr>
        <w:t xml:space="preserve"> and 1</w:t>
      </w:r>
      <w:r w:rsidR="00615D4B">
        <w:rPr>
          <w:rFonts w:cs="Arial"/>
          <w:szCs w:val="24"/>
        </w:rPr>
        <w:t>3</w:t>
      </w:r>
      <w:r w:rsidRPr="00D83563">
        <w:rPr>
          <w:rFonts w:cs="Arial"/>
          <w:szCs w:val="24"/>
        </w:rPr>
        <w:t>).</w:t>
      </w:r>
    </w:p>
    <w:p w14:paraId="31E19D5F" w14:textId="5D8DC6F8" w:rsidR="00D83563" w:rsidRDefault="00D83563" w:rsidP="004C2742">
      <w:pPr>
        <w:pStyle w:val="Heading2"/>
        <w:spacing w:before="1440"/>
      </w:pPr>
      <w:bookmarkStart w:id="86" w:name="_Toc207703817"/>
      <w:r w:rsidRPr="00D83563">
        <w:t>Contact Information</w:t>
      </w:r>
      <w:bookmarkEnd w:id="86"/>
    </w:p>
    <w:p w14:paraId="375F073A" w14:textId="77777777" w:rsidR="00D83563" w:rsidRPr="00D83563" w:rsidRDefault="00D83563" w:rsidP="004C2742">
      <w:pPr>
        <w:tabs>
          <w:tab w:val="left" w:pos="360"/>
        </w:tabs>
        <w:autoSpaceDE w:val="0"/>
        <w:autoSpaceDN w:val="0"/>
        <w:adjustRightInd w:val="0"/>
        <w:rPr>
          <w:rFonts w:cs="Arial"/>
          <w:szCs w:val="24"/>
        </w:rPr>
      </w:pPr>
      <w:r w:rsidRPr="00D83563">
        <w:rPr>
          <w:rFonts w:cs="Arial"/>
          <w:szCs w:val="24"/>
        </w:rPr>
        <w:t>California Department of Education</w:t>
      </w:r>
    </w:p>
    <w:p w14:paraId="53A4FB02" w14:textId="77777777" w:rsidR="00D83563" w:rsidRPr="00D83563" w:rsidRDefault="00D83563" w:rsidP="004C2742">
      <w:pPr>
        <w:tabs>
          <w:tab w:val="left" w:pos="360"/>
        </w:tabs>
        <w:autoSpaceDE w:val="0"/>
        <w:autoSpaceDN w:val="0"/>
        <w:adjustRightInd w:val="0"/>
        <w:rPr>
          <w:rFonts w:cs="Arial"/>
          <w:szCs w:val="24"/>
        </w:rPr>
      </w:pPr>
      <w:r w:rsidRPr="00D83563">
        <w:rPr>
          <w:rFonts w:cs="Arial"/>
          <w:szCs w:val="24"/>
        </w:rPr>
        <w:t>Migrant Education Office</w:t>
      </w:r>
    </w:p>
    <w:p w14:paraId="7B3E6BBE" w14:textId="77777777" w:rsidR="00D83563" w:rsidRPr="00D83563" w:rsidRDefault="00D83563" w:rsidP="004C2742">
      <w:pPr>
        <w:tabs>
          <w:tab w:val="left" w:pos="360"/>
        </w:tabs>
        <w:autoSpaceDE w:val="0"/>
        <w:autoSpaceDN w:val="0"/>
        <w:adjustRightInd w:val="0"/>
        <w:rPr>
          <w:rFonts w:cs="Arial"/>
          <w:szCs w:val="24"/>
        </w:rPr>
      </w:pPr>
      <w:r w:rsidRPr="00D83563">
        <w:rPr>
          <w:rFonts w:cs="Arial"/>
          <w:szCs w:val="24"/>
        </w:rPr>
        <w:t>1430 N Street, Suite 2204</w:t>
      </w:r>
    </w:p>
    <w:p w14:paraId="5CA36CF2" w14:textId="6577336C" w:rsidR="005A5B6D" w:rsidRPr="001604AF" w:rsidRDefault="00D83563" w:rsidP="001604AF">
      <w:pPr>
        <w:tabs>
          <w:tab w:val="left" w:pos="360"/>
        </w:tabs>
        <w:autoSpaceDE w:val="0"/>
        <w:autoSpaceDN w:val="0"/>
        <w:adjustRightInd w:val="0"/>
        <w:rPr>
          <w:rFonts w:cs="Arial"/>
          <w:szCs w:val="24"/>
        </w:rPr>
      </w:pPr>
      <w:r w:rsidRPr="00D83563">
        <w:rPr>
          <w:rFonts w:cs="Arial"/>
          <w:szCs w:val="24"/>
        </w:rPr>
        <w:t>Sacramento, CA 95814-5901</w:t>
      </w:r>
    </w:p>
    <w:sectPr w:rsidR="005A5B6D" w:rsidRPr="001604AF" w:rsidSect="008C24E7">
      <w:type w:val="continuous"/>
      <w:pgSz w:w="12240" w:h="15840" w:code="1"/>
      <w:pgMar w:top="1440" w:right="1325" w:bottom="1440" w:left="1440" w:header="720" w:footer="720"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399F" w14:textId="77777777" w:rsidR="00EF5FA1" w:rsidRDefault="00EF5FA1" w:rsidP="00D83563">
      <w:pPr>
        <w:spacing w:after="0"/>
      </w:pPr>
      <w:r>
        <w:separator/>
      </w:r>
    </w:p>
  </w:endnote>
  <w:endnote w:type="continuationSeparator" w:id="0">
    <w:p w14:paraId="48F29CC1" w14:textId="77777777" w:rsidR="00EF5FA1" w:rsidRDefault="00EF5FA1" w:rsidP="00D83563">
      <w:pPr>
        <w:spacing w:after="0"/>
      </w:pPr>
      <w:r>
        <w:continuationSeparator/>
      </w:r>
    </w:p>
  </w:endnote>
  <w:endnote w:type="continuationNotice" w:id="1">
    <w:p w14:paraId="76DC716F" w14:textId="77777777" w:rsidR="00EF5FA1" w:rsidRDefault="00EF5F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tim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E156" w14:textId="77777777" w:rsidR="00EF5FA1" w:rsidRDefault="00EF5FA1" w:rsidP="00D83563">
      <w:pPr>
        <w:spacing w:after="0"/>
      </w:pPr>
      <w:r>
        <w:separator/>
      </w:r>
    </w:p>
  </w:footnote>
  <w:footnote w:type="continuationSeparator" w:id="0">
    <w:p w14:paraId="58D22F7E" w14:textId="77777777" w:rsidR="00EF5FA1" w:rsidRDefault="00EF5FA1" w:rsidP="00D83563">
      <w:pPr>
        <w:spacing w:after="0"/>
      </w:pPr>
      <w:r>
        <w:continuationSeparator/>
      </w:r>
    </w:p>
  </w:footnote>
  <w:footnote w:type="continuationNotice" w:id="1">
    <w:p w14:paraId="25FC10A6" w14:textId="77777777" w:rsidR="00EF5FA1" w:rsidRDefault="00EF5FA1">
      <w:pPr>
        <w:spacing w:after="0"/>
      </w:pPr>
    </w:p>
  </w:footnote>
  <w:footnote w:id="2">
    <w:p w14:paraId="18BC9C2A" w14:textId="6E523F9E" w:rsidR="006339E0" w:rsidRPr="001604AF" w:rsidRDefault="00F616F3" w:rsidP="00D83563">
      <w:pPr>
        <w:pStyle w:val="FootnoteText"/>
        <w:rPr>
          <w:rFonts w:cs="Arial"/>
          <w:sz w:val="24"/>
          <w:szCs w:val="24"/>
        </w:rPr>
      </w:pPr>
      <w:r w:rsidRPr="001604AF">
        <w:rPr>
          <w:rStyle w:val="FootnoteReference"/>
          <w:sz w:val="24"/>
          <w:szCs w:val="24"/>
        </w:rPr>
        <w:footnoteRef/>
      </w:r>
      <w:r w:rsidR="006339E0" w:rsidRPr="001604AF">
        <w:rPr>
          <w:rFonts w:cs="Arial"/>
          <w:sz w:val="24"/>
          <w:szCs w:val="24"/>
        </w:rPr>
        <w:t xml:space="preserve"> Services for non-</w:t>
      </w:r>
      <w:r w:rsidR="00FC5AFC" w:rsidRPr="001604AF">
        <w:rPr>
          <w:rFonts w:cs="Arial"/>
          <w:sz w:val="24"/>
          <w:szCs w:val="24"/>
        </w:rPr>
        <w:t>migratory</w:t>
      </w:r>
      <w:r w:rsidR="006339E0" w:rsidRPr="001604AF">
        <w:rPr>
          <w:rFonts w:cs="Arial"/>
          <w:sz w:val="24"/>
          <w:szCs w:val="24"/>
        </w:rPr>
        <w:t xml:space="preserve"> children are typically limited to formerly eligible </w:t>
      </w:r>
      <w:r w:rsidR="00FC5AFC" w:rsidRPr="001604AF">
        <w:rPr>
          <w:rFonts w:cs="Arial"/>
          <w:sz w:val="24"/>
          <w:szCs w:val="24"/>
        </w:rPr>
        <w:t>migratory</w:t>
      </w:r>
      <w:r w:rsidR="006339E0" w:rsidRPr="001604AF">
        <w:rPr>
          <w:rFonts w:cs="Arial"/>
          <w:sz w:val="24"/>
          <w:szCs w:val="24"/>
        </w:rPr>
        <w:t xml:space="preserve"> children who may continue to receive services if they meet certain conditions. See Elementary and Secondary Education Act (ESEA), Section 1304(e)</w:t>
      </w:r>
      <w:r w:rsidR="005E1442">
        <w:rPr>
          <w:rFonts w:cs="Arial"/>
          <w:sz w:val="24"/>
          <w:szCs w:val="24"/>
        </w:rPr>
        <w:t>.</w:t>
      </w:r>
      <w:r w:rsidR="006339E0" w:rsidRPr="001604AF">
        <w:rPr>
          <w:rFonts w:cs="Arial"/>
          <w:sz w:val="24"/>
          <w:szCs w:val="24"/>
        </w:rPr>
        <w:t xml:space="preserve"> </w:t>
      </w:r>
    </w:p>
  </w:footnote>
  <w:footnote w:id="3">
    <w:p w14:paraId="16BFB693" w14:textId="77777777" w:rsidR="006339E0" w:rsidRPr="001604AF" w:rsidRDefault="006339E0" w:rsidP="00D83563">
      <w:pPr>
        <w:pStyle w:val="FootnoteText"/>
        <w:rPr>
          <w:sz w:val="24"/>
          <w:szCs w:val="24"/>
        </w:rPr>
      </w:pPr>
      <w:r w:rsidRPr="001604AF">
        <w:rPr>
          <w:rStyle w:val="FootnoteReference"/>
          <w:sz w:val="24"/>
          <w:szCs w:val="24"/>
        </w:rPr>
        <w:footnoteRef/>
      </w:r>
      <w:r w:rsidRPr="001604AF">
        <w:rPr>
          <w:sz w:val="24"/>
          <w:szCs w:val="24"/>
        </w:rPr>
        <w:t xml:space="preserve"> </w:t>
      </w:r>
      <w:r w:rsidRPr="001604AF">
        <w:rPr>
          <w:rFonts w:cs="Arial"/>
          <w:sz w:val="24"/>
          <w:szCs w:val="24"/>
        </w:rPr>
        <w:t>ESEA Section 1304(b)(5)</w:t>
      </w:r>
    </w:p>
  </w:footnote>
  <w:footnote w:id="4">
    <w:p w14:paraId="5117C135" w14:textId="77777777" w:rsidR="006339E0" w:rsidRPr="001604AF" w:rsidRDefault="006339E0" w:rsidP="00D83563">
      <w:pPr>
        <w:pStyle w:val="FootnoteText"/>
        <w:rPr>
          <w:rFonts w:cs="Arial"/>
          <w:sz w:val="24"/>
          <w:szCs w:val="24"/>
        </w:rPr>
      </w:pPr>
      <w:r w:rsidRPr="001604AF">
        <w:rPr>
          <w:rStyle w:val="FootnoteReference"/>
          <w:rFonts w:cs="Arial"/>
          <w:sz w:val="24"/>
          <w:szCs w:val="24"/>
        </w:rPr>
        <w:footnoteRef/>
      </w:r>
      <w:r w:rsidRPr="001604AF">
        <w:rPr>
          <w:rFonts w:cs="Arial"/>
          <w:sz w:val="24"/>
          <w:szCs w:val="24"/>
        </w:rPr>
        <w:t xml:space="preserve"> Please note, expenditures for summer school may occur in two separate fiscal years. </w:t>
      </w:r>
    </w:p>
  </w:footnote>
  <w:footnote w:id="5">
    <w:p w14:paraId="175BF150" w14:textId="13006EF1" w:rsidR="006339E0" w:rsidRDefault="006339E0" w:rsidP="00D83563">
      <w:pPr>
        <w:pStyle w:val="FootnoteText"/>
      </w:pPr>
      <w:r w:rsidRPr="001604AF">
        <w:rPr>
          <w:rStyle w:val="FootnoteReference"/>
          <w:rFonts w:cs="Arial"/>
          <w:sz w:val="24"/>
          <w:szCs w:val="24"/>
        </w:rPr>
        <w:footnoteRef/>
      </w:r>
      <w:r w:rsidRPr="001604AF">
        <w:rPr>
          <w:rFonts w:cs="Arial"/>
          <w:sz w:val="24"/>
          <w:szCs w:val="24"/>
        </w:rPr>
        <w:t xml:space="preserve"> California </w:t>
      </w:r>
      <w:r w:rsidRPr="001604AF">
        <w:rPr>
          <w:rFonts w:cs="Arial"/>
          <w:i/>
          <w:iCs/>
          <w:sz w:val="24"/>
          <w:szCs w:val="24"/>
        </w:rPr>
        <w:t>E</w:t>
      </w:r>
      <w:r w:rsidR="00D91B68" w:rsidRPr="001604AF">
        <w:rPr>
          <w:rFonts w:cs="Arial"/>
          <w:i/>
          <w:iCs/>
          <w:sz w:val="24"/>
          <w:szCs w:val="24"/>
        </w:rPr>
        <w:t>C</w:t>
      </w:r>
      <w:r w:rsidRPr="001604AF">
        <w:rPr>
          <w:rFonts w:cs="Arial"/>
          <w:sz w:val="24"/>
          <w:szCs w:val="24"/>
        </w:rPr>
        <w:t xml:space="preserve"> Section 54444.1(a)</w:t>
      </w:r>
    </w:p>
  </w:footnote>
  <w:footnote w:id="6">
    <w:p w14:paraId="3D45427C" w14:textId="3960E59C" w:rsidR="006339E0" w:rsidRPr="0053782C" w:rsidRDefault="006339E0" w:rsidP="00D83563">
      <w:pPr>
        <w:pStyle w:val="FootnoteText"/>
        <w:rPr>
          <w:rFonts w:cs="Arial"/>
          <w:sz w:val="24"/>
          <w:szCs w:val="24"/>
        </w:rPr>
      </w:pPr>
      <w:r w:rsidRPr="0053782C">
        <w:rPr>
          <w:rStyle w:val="FootnoteReference"/>
          <w:rFonts w:cs="Arial"/>
          <w:sz w:val="24"/>
          <w:szCs w:val="24"/>
        </w:rPr>
        <w:footnoteRef/>
      </w:r>
      <w:r w:rsidRPr="0053782C">
        <w:rPr>
          <w:rFonts w:cs="Arial"/>
          <w:sz w:val="24"/>
          <w:szCs w:val="24"/>
        </w:rPr>
        <w:t xml:space="preserve"> The Indirect Cost Rate is established per the agreement between the C</w:t>
      </w:r>
      <w:r w:rsidR="00D91B68" w:rsidRPr="0053782C">
        <w:rPr>
          <w:rFonts w:cs="Arial"/>
          <w:sz w:val="24"/>
          <w:szCs w:val="24"/>
        </w:rPr>
        <w:t>DE</w:t>
      </w:r>
      <w:r w:rsidRPr="0053782C">
        <w:rPr>
          <w:rFonts w:cs="Arial"/>
          <w:sz w:val="24"/>
          <w:szCs w:val="24"/>
        </w:rPr>
        <w:t xml:space="preserve"> and U</w:t>
      </w:r>
      <w:r w:rsidR="00375EB9">
        <w:rPr>
          <w:rFonts w:cs="Arial"/>
          <w:sz w:val="24"/>
          <w:szCs w:val="24"/>
        </w:rPr>
        <w:t xml:space="preserve">nited </w:t>
      </w:r>
      <w:r w:rsidRPr="0053782C">
        <w:rPr>
          <w:rFonts w:cs="Arial"/>
          <w:sz w:val="24"/>
          <w:szCs w:val="24"/>
        </w:rPr>
        <w:t>S</w:t>
      </w:r>
      <w:r w:rsidR="00375EB9">
        <w:rPr>
          <w:rFonts w:cs="Arial"/>
          <w:sz w:val="24"/>
          <w:szCs w:val="24"/>
        </w:rPr>
        <w:t>tates</w:t>
      </w:r>
      <w:r w:rsidRPr="0053782C">
        <w:rPr>
          <w:rFonts w:cs="Arial"/>
          <w:sz w:val="24"/>
          <w:szCs w:val="24"/>
        </w:rPr>
        <w:t xml:space="preserve"> Department of Education. For more information visit the </w:t>
      </w:r>
      <w:hyperlink r:id="rId1" w:history="1">
        <w:r w:rsidRPr="0053782C">
          <w:rPr>
            <w:rStyle w:val="Hyperlink"/>
            <w:rFonts w:cs="Arial"/>
            <w:sz w:val="24"/>
            <w:szCs w:val="24"/>
          </w:rPr>
          <w:t>CDE</w:t>
        </w:r>
        <w:r w:rsidR="009F0633" w:rsidRPr="0053782C">
          <w:rPr>
            <w:rStyle w:val="Hyperlink"/>
            <w:rFonts w:cs="Arial"/>
            <w:sz w:val="24"/>
            <w:szCs w:val="24"/>
          </w:rPr>
          <w:t xml:space="preserve"> Indirect Cost Rates</w:t>
        </w:r>
        <w:r w:rsidRPr="0053782C">
          <w:rPr>
            <w:rStyle w:val="Hyperlink"/>
            <w:rFonts w:cs="Arial"/>
            <w:sz w:val="24"/>
            <w:szCs w:val="24"/>
          </w:rPr>
          <w:t xml:space="preserve"> </w:t>
        </w:r>
        <w:r w:rsidR="009F0633" w:rsidRPr="0053782C">
          <w:rPr>
            <w:rStyle w:val="Hyperlink"/>
            <w:rFonts w:cs="Arial"/>
            <w:sz w:val="24"/>
            <w:szCs w:val="24"/>
          </w:rPr>
          <w:t>w</w:t>
        </w:r>
        <w:r w:rsidRPr="0053782C">
          <w:rPr>
            <w:rStyle w:val="Hyperlink"/>
            <w:rFonts w:cs="Arial"/>
            <w:sz w:val="24"/>
            <w:szCs w:val="24"/>
          </w:rPr>
          <w:t>eb page</w:t>
        </w:r>
      </w:hyperlink>
      <w:r w:rsidR="0053782C">
        <w:rPr>
          <w:rFonts w:cs="Arial"/>
          <w:sz w:val="24"/>
          <w:szCs w:val="24"/>
        </w:rPr>
        <w:t>.</w:t>
      </w:r>
    </w:p>
  </w:footnote>
  <w:footnote w:id="7">
    <w:p w14:paraId="25146045" w14:textId="77777777" w:rsidR="006339E0" w:rsidRPr="0053782C" w:rsidRDefault="006339E0" w:rsidP="00D83563">
      <w:pPr>
        <w:pStyle w:val="FootnoteText"/>
        <w:rPr>
          <w:sz w:val="24"/>
          <w:szCs w:val="24"/>
        </w:rPr>
      </w:pPr>
      <w:r w:rsidRPr="0053782C">
        <w:rPr>
          <w:rStyle w:val="FootnoteReference"/>
          <w:sz w:val="24"/>
          <w:szCs w:val="24"/>
        </w:rPr>
        <w:footnoteRef/>
      </w:r>
      <w:r w:rsidRPr="0053782C">
        <w:rPr>
          <w:sz w:val="24"/>
          <w:szCs w:val="24"/>
        </w:rPr>
        <w:t xml:space="preserve"> </w:t>
      </w:r>
      <w:r w:rsidRPr="0053782C">
        <w:rPr>
          <w:rFonts w:cs="Arial"/>
          <w:sz w:val="24"/>
          <w:szCs w:val="24"/>
        </w:rPr>
        <w:t>Per the ESEA Section 1304(c)(6)(A), “To the extent feasible, such program and projects will provide for–advocacy and outreach activities for migratory children and their families, including informing such children and families of, or helping such children and families gain access to, other education, health, nutrition, and social services.”</w:t>
      </w:r>
    </w:p>
  </w:footnote>
  <w:footnote w:id="8">
    <w:p w14:paraId="4CC59F3A" w14:textId="6B8B7D79" w:rsidR="006339E0" w:rsidRPr="0053782C" w:rsidRDefault="006339E0" w:rsidP="00D83563">
      <w:pPr>
        <w:pStyle w:val="FootnoteText"/>
        <w:rPr>
          <w:rFonts w:cs="Arial"/>
          <w:sz w:val="24"/>
          <w:szCs w:val="24"/>
        </w:rPr>
      </w:pPr>
      <w:r w:rsidRPr="0053782C">
        <w:rPr>
          <w:rStyle w:val="FootnoteReference"/>
          <w:rFonts w:cs="Arial"/>
          <w:sz w:val="24"/>
          <w:szCs w:val="24"/>
        </w:rPr>
        <w:footnoteRef/>
      </w:r>
      <w:r w:rsidRPr="0053782C">
        <w:rPr>
          <w:rFonts w:cs="Arial"/>
          <w:sz w:val="24"/>
          <w:szCs w:val="24"/>
        </w:rPr>
        <w:t xml:space="preserve"> </w:t>
      </w:r>
      <w:r w:rsidR="0031796B" w:rsidRPr="0053782C">
        <w:rPr>
          <w:rFonts w:cs="Arial"/>
          <w:sz w:val="24"/>
          <w:szCs w:val="24"/>
        </w:rPr>
        <w:t xml:space="preserve">Visit the </w:t>
      </w:r>
      <w:hyperlink r:id="rId2" w:history="1">
        <w:r w:rsidR="0031796B" w:rsidRPr="0053782C">
          <w:rPr>
            <w:rStyle w:val="Hyperlink"/>
            <w:rFonts w:cs="Arial"/>
            <w:sz w:val="24"/>
            <w:szCs w:val="24"/>
          </w:rPr>
          <w:t>CDE’s Direct Service and Administrative Cost Guidance</w:t>
        </w:r>
      </w:hyperlink>
      <w:r w:rsidR="007F54EC" w:rsidRPr="0053782C">
        <w:rPr>
          <w:rFonts w:cs="Arial"/>
          <w:sz w:val="24"/>
          <w:szCs w:val="24"/>
        </w:rPr>
        <w:t>.</w:t>
      </w:r>
      <w:hyperlink r:id="rId3" w:history="1"/>
    </w:p>
  </w:footnote>
  <w:footnote w:id="9">
    <w:p w14:paraId="785D696D" w14:textId="3DE57C2D" w:rsidR="006339E0" w:rsidRPr="0053782C" w:rsidRDefault="006339E0" w:rsidP="0053782C">
      <w:pPr>
        <w:pStyle w:val="FootnoteText"/>
        <w:spacing w:after="0"/>
        <w:rPr>
          <w:rFonts w:cs="Arial"/>
          <w:color w:val="0563C1" w:themeColor="hyperlink"/>
          <w:sz w:val="24"/>
          <w:szCs w:val="24"/>
          <w:u w:val="single"/>
        </w:rPr>
      </w:pPr>
      <w:r w:rsidRPr="0053782C">
        <w:rPr>
          <w:rStyle w:val="FootnoteReference"/>
          <w:rFonts w:cs="Arial"/>
          <w:sz w:val="24"/>
          <w:szCs w:val="24"/>
        </w:rPr>
        <w:footnoteRef/>
      </w:r>
      <w:r w:rsidRPr="0053782C">
        <w:rPr>
          <w:rFonts w:cs="Arial"/>
          <w:sz w:val="24"/>
          <w:szCs w:val="24"/>
        </w:rPr>
        <w:t xml:space="preserve"> </w:t>
      </w:r>
      <w:r w:rsidR="0031796B" w:rsidRPr="0053782C">
        <w:rPr>
          <w:rFonts w:cs="Arial"/>
          <w:sz w:val="24"/>
          <w:szCs w:val="24"/>
        </w:rPr>
        <w:t xml:space="preserve">Department of Education guidance document, Education of Migratory Children under </w:t>
      </w:r>
      <w:r w:rsidR="0031796B" w:rsidRPr="005E1442">
        <w:rPr>
          <w:rFonts w:cs="Arial"/>
          <w:sz w:val="24"/>
          <w:szCs w:val="24"/>
        </w:rPr>
        <w:t>Title I, Part C of the</w:t>
      </w:r>
      <w:r w:rsidR="0053782C" w:rsidRPr="005E1442">
        <w:rPr>
          <w:rFonts w:cs="Arial"/>
          <w:sz w:val="24"/>
          <w:szCs w:val="24"/>
        </w:rPr>
        <w:t xml:space="preserve"> </w:t>
      </w:r>
      <w:r w:rsidR="0031796B" w:rsidRPr="005E1442">
        <w:rPr>
          <w:rFonts w:cs="Arial"/>
          <w:sz w:val="24"/>
          <w:szCs w:val="24"/>
        </w:rPr>
        <w:t>Elementary and Secondary Education Act of 1965</w:t>
      </w:r>
      <w:r w:rsidR="004311FD" w:rsidRPr="0053782C">
        <w:rPr>
          <w:rFonts w:cs="Arial"/>
          <w:sz w:val="24"/>
          <w:szCs w:val="24"/>
        </w:rPr>
        <w:t>.</w:t>
      </w:r>
      <w:hyperlink r:id="rId4" w:history="1"/>
    </w:p>
  </w:footnote>
  <w:footnote w:id="10">
    <w:p w14:paraId="1D5598B8" w14:textId="64F5262A" w:rsidR="006339E0" w:rsidRPr="0053782C" w:rsidRDefault="006339E0" w:rsidP="0053782C">
      <w:pPr>
        <w:pStyle w:val="FootnoteText"/>
        <w:spacing w:after="0"/>
        <w:rPr>
          <w:rFonts w:cs="Arial"/>
          <w:sz w:val="24"/>
          <w:szCs w:val="24"/>
        </w:rPr>
      </w:pPr>
      <w:r w:rsidRPr="0053782C">
        <w:rPr>
          <w:rStyle w:val="FootnoteReference"/>
          <w:sz w:val="24"/>
          <w:szCs w:val="24"/>
        </w:rPr>
        <w:footnoteRef/>
      </w:r>
      <w:r w:rsidRPr="0053782C">
        <w:rPr>
          <w:sz w:val="24"/>
          <w:szCs w:val="24"/>
        </w:rPr>
        <w:t xml:space="preserve"> </w:t>
      </w:r>
      <w:r w:rsidR="0031796B" w:rsidRPr="0053782C">
        <w:rPr>
          <w:rFonts w:cs="Arial"/>
          <w:sz w:val="24"/>
          <w:szCs w:val="24"/>
        </w:rPr>
        <w:t xml:space="preserve">Department of Education guidance document, Education of Migratory Children under </w:t>
      </w:r>
      <w:r w:rsidR="0031796B" w:rsidRPr="005E1442">
        <w:rPr>
          <w:rFonts w:cs="Arial"/>
          <w:sz w:val="24"/>
          <w:szCs w:val="24"/>
        </w:rPr>
        <w:t>Title I, Part C of the</w:t>
      </w:r>
      <w:r w:rsidR="0053782C" w:rsidRPr="005E1442">
        <w:rPr>
          <w:rFonts w:cs="Arial"/>
          <w:sz w:val="24"/>
          <w:szCs w:val="24"/>
        </w:rPr>
        <w:t xml:space="preserve"> </w:t>
      </w:r>
      <w:r w:rsidR="0031796B" w:rsidRPr="005E1442">
        <w:rPr>
          <w:rFonts w:cs="Arial"/>
          <w:sz w:val="24"/>
          <w:szCs w:val="24"/>
        </w:rPr>
        <w:t>Elementary and Secondary Education Act of 1965</w:t>
      </w:r>
      <w:r w:rsidR="00850C69" w:rsidRPr="0053782C">
        <w:rPr>
          <w:sz w:val="24"/>
          <w:szCs w:val="24"/>
        </w:rPr>
        <w:t>.</w:t>
      </w:r>
    </w:p>
  </w:footnote>
  <w:footnote w:id="11">
    <w:p w14:paraId="77D08596" w14:textId="77777777" w:rsidR="006339E0" w:rsidRPr="0053782C" w:rsidRDefault="006339E0" w:rsidP="00D83563">
      <w:pPr>
        <w:pStyle w:val="FootnoteText"/>
        <w:rPr>
          <w:rFonts w:cs="Arial"/>
          <w:sz w:val="24"/>
          <w:szCs w:val="24"/>
        </w:rPr>
      </w:pPr>
      <w:r w:rsidRPr="0053782C">
        <w:rPr>
          <w:rStyle w:val="FootnoteReference"/>
          <w:rFonts w:cs="Arial"/>
          <w:sz w:val="24"/>
          <w:szCs w:val="24"/>
        </w:rPr>
        <w:footnoteRef/>
      </w:r>
      <w:r w:rsidRPr="0053782C">
        <w:rPr>
          <w:rFonts w:cs="Arial"/>
          <w:sz w:val="24"/>
          <w:szCs w:val="24"/>
        </w:rPr>
        <w:t xml:space="preserve"> ESEA, Section 1306(b)(2)</w:t>
      </w:r>
    </w:p>
  </w:footnote>
  <w:footnote w:id="12">
    <w:p w14:paraId="15A1B4EB" w14:textId="1A0B983B" w:rsidR="006339E0" w:rsidRPr="00C740A2" w:rsidRDefault="006339E0" w:rsidP="00D83563">
      <w:pPr>
        <w:pStyle w:val="FootnoteText"/>
        <w:rPr>
          <w:sz w:val="24"/>
          <w:szCs w:val="24"/>
        </w:rPr>
      </w:pPr>
      <w:r w:rsidRPr="00C740A2">
        <w:rPr>
          <w:rStyle w:val="FootnoteReference"/>
          <w:sz w:val="24"/>
          <w:szCs w:val="24"/>
        </w:rPr>
        <w:footnoteRef/>
      </w:r>
      <w:r w:rsidRPr="00C740A2">
        <w:rPr>
          <w:sz w:val="24"/>
          <w:szCs w:val="24"/>
        </w:rPr>
        <w:t xml:space="preserve"> ESEA Section 1304(</w:t>
      </w:r>
      <w:r w:rsidR="003368E9" w:rsidRPr="00C740A2">
        <w:rPr>
          <w:sz w:val="24"/>
          <w:szCs w:val="24"/>
        </w:rPr>
        <w:t>b</w:t>
      </w:r>
      <w:r w:rsidRPr="00C740A2">
        <w:rPr>
          <w:sz w:val="24"/>
          <w:szCs w:val="24"/>
        </w:rPr>
        <w:t>)(</w:t>
      </w:r>
      <w:r w:rsidR="003368E9" w:rsidRPr="00C740A2">
        <w:rPr>
          <w:sz w:val="24"/>
          <w:szCs w:val="24"/>
        </w:rPr>
        <w:t>5</w:t>
      </w:r>
      <w:r w:rsidRPr="00C740A2">
        <w:rPr>
          <w:sz w:val="24"/>
          <w:szCs w:val="24"/>
        </w:rPr>
        <w:t>)</w:t>
      </w:r>
    </w:p>
  </w:footnote>
  <w:footnote w:id="13">
    <w:p w14:paraId="77A664B9" w14:textId="33B8EE2F" w:rsidR="006339E0" w:rsidRPr="00C740A2" w:rsidRDefault="006339E0" w:rsidP="00D83563">
      <w:pPr>
        <w:pStyle w:val="FootnoteText"/>
        <w:rPr>
          <w:rFonts w:cs="Arial"/>
          <w:sz w:val="24"/>
          <w:szCs w:val="24"/>
        </w:rPr>
      </w:pPr>
      <w:r w:rsidRPr="00C740A2">
        <w:rPr>
          <w:rStyle w:val="FootnoteReference"/>
          <w:rFonts w:cs="Arial"/>
          <w:sz w:val="24"/>
          <w:szCs w:val="24"/>
        </w:rPr>
        <w:footnoteRef/>
      </w:r>
      <w:r w:rsidR="0031796B" w:rsidRPr="00C740A2">
        <w:rPr>
          <w:rFonts w:cs="Arial"/>
          <w:sz w:val="24"/>
          <w:szCs w:val="24"/>
        </w:rPr>
        <w:t>Visit the</w:t>
      </w:r>
      <w:r w:rsidRPr="00C740A2">
        <w:rPr>
          <w:rFonts w:cs="Arial"/>
          <w:sz w:val="24"/>
          <w:szCs w:val="24"/>
        </w:rPr>
        <w:t xml:space="preserve"> </w:t>
      </w:r>
      <w:hyperlink r:id="rId5" w:anchor="p-200.305(b)(12)" w:history="1">
        <w:r w:rsidR="0031796B" w:rsidRPr="00C740A2">
          <w:rPr>
            <w:rStyle w:val="Hyperlink"/>
            <w:rFonts w:cs="Arial"/>
            <w:i/>
            <w:iCs/>
            <w:sz w:val="24"/>
            <w:szCs w:val="24"/>
          </w:rPr>
          <w:t>CFR</w:t>
        </w:r>
        <w:r w:rsidR="0031796B" w:rsidRPr="00C740A2">
          <w:rPr>
            <w:rStyle w:val="Hyperlink"/>
            <w:rFonts w:cs="Arial"/>
            <w:sz w:val="24"/>
            <w:szCs w:val="24"/>
          </w:rPr>
          <w:t xml:space="preserve"> websit</w:t>
        </w:r>
        <w:r w:rsidR="00CA51E0">
          <w:rPr>
            <w:rStyle w:val="Hyperlink"/>
            <w:rFonts w:cs="Arial"/>
            <w:sz w:val="24"/>
            <w:szCs w:val="24"/>
          </w:rPr>
          <w:t>e (External Link)</w:t>
        </w:r>
      </w:hyperlink>
    </w:p>
  </w:footnote>
  <w:footnote w:id="14">
    <w:p w14:paraId="457306BE" w14:textId="2E8583A1" w:rsidR="006339E0" w:rsidRPr="00271443" w:rsidRDefault="006339E0" w:rsidP="00D83563">
      <w:pPr>
        <w:pStyle w:val="FootnoteText"/>
        <w:rPr>
          <w:rFonts w:cs="Arial"/>
          <w:sz w:val="24"/>
          <w:szCs w:val="24"/>
        </w:rPr>
      </w:pPr>
      <w:r w:rsidRPr="00271443">
        <w:rPr>
          <w:rStyle w:val="FootnoteReference"/>
          <w:rFonts w:cs="Arial"/>
          <w:sz w:val="24"/>
          <w:szCs w:val="24"/>
        </w:rPr>
        <w:footnoteRef/>
      </w:r>
      <w:r w:rsidRPr="00271443">
        <w:rPr>
          <w:rFonts w:cs="Arial"/>
          <w:sz w:val="24"/>
          <w:szCs w:val="24"/>
        </w:rPr>
        <w:t xml:space="preserve"> Uniform Administrative Requirements, at 2 </w:t>
      </w:r>
      <w:r w:rsidRPr="00271443">
        <w:rPr>
          <w:rFonts w:cs="Arial"/>
          <w:i/>
          <w:iCs/>
          <w:sz w:val="24"/>
          <w:szCs w:val="24"/>
        </w:rPr>
        <w:t>CFR</w:t>
      </w:r>
      <w:r w:rsidR="007C361A" w:rsidRPr="00271443">
        <w:rPr>
          <w:rFonts w:cs="Arial"/>
          <w:sz w:val="24"/>
          <w:szCs w:val="24"/>
        </w:rPr>
        <w:t xml:space="preserve"> Section</w:t>
      </w:r>
      <w:r w:rsidRPr="00271443">
        <w:rPr>
          <w:rFonts w:cs="Arial"/>
          <w:sz w:val="24"/>
          <w:szCs w:val="24"/>
        </w:rPr>
        <w:t xml:space="preserve"> 200.33</w:t>
      </w:r>
      <w:r w:rsidR="001458DA" w:rsidRPr="00271443">
        <w:rPr>
          <w:rFonts w:cs="Arial"/>
          <w:sz w:val="24"/>
          <w:szCs w:val="24"/>
        </w:rPr>
        <w:t>4</w:t>
      </w:r>
    </w:p>
  </w:footnote>
  <w:footnote w:id="15">
    <w:p w14:paraId="68D67279" w14:textId="1A448FCB" w:rsidR="006339E0" w:rsidRPr="00271443" w:rsidRDefault="006339E0" w:rsidP="0031796B">
      <w:pPr>
        <w:pStyle w:val="FootnoteText"/>
        <w:rPr>
          <w:rFonts w:cs="Arial"/>
          <w:sz w:val="24"/>
          <w:szCs w:val="24"/>
        </w:rPr>
      </w:pPr>
      <w:r w:rsidRPr="00271443">
        <w:rPr>
          <w:rStyle w:val="FootnoteReference"/>
          <w:rFonts w:cs="Arial"/>
          <w:sz w:val="24"/>
          <w:szCs w:val="24"/>
        </w:rPr>
        <w:footnoteRef/>
      </w:r>
      <w:r w:rsidRPr="00271443">
        <w:rPr>
          <w:rFonts w:cs="Arial"/>
          <w:sz w:val="24"/>
          <w:szCs w:val="24"/>
        </w:rPr>
        <w:t xml:space="preserve"> </w:t>
      </w:r>
      <w:r w:rsidR="0031796B" w:rsidRPr="00271443">
        <w:rPr>
          <w:rFonts w:cs="Arial"/>
          <w:sz w:val="24"/>
          <w:szCs w:val="24"/>
        </w:rPr>
        <w:t xml:space="preserve">The CDE guidance document, </w:t>
      </w:r>
      <w:hyperlink r:id="rId6" w:history="1">
        <w:r w:rsidR="0031796B" w:rsidRPr="00271443">
          <w:rPr>
            <w:rStyle w:val="Hyperlink"/>
            <w:rFonts w:cs="Arial"/>
            <w:sz w:val="24"/>
            <w:szCs w:val="24"/>
          </w:rPr>
          <w:t>California Migrant Education Program Allowable Cost Guidebook</w:t>
        </w:r>
      </w:hyperlink>
    </w:p>
  </w:footnote>
  <w:footnote w:id="16">
    <w:p w14:paraId="4473811D" w14:textId="7ACE5CC5" w:rsidR="0049024D" w:rsidRPr="00B92594" w:rsidRDefault="0049024D">
      <w:pPr>
        <w:pStyle w:val="FootnoteText"/>
      </w:pPr>
      <w:r w:rsidRPr="00271443">
        <w:rPr>
          <w:rStyle w:val="FootnoteReference"/>
          <w:sz w:val="24"/>
          <w:szCs w:val="24"/>
        </w:rPr>
        <w:footnoteRef/>
      </w:r>
      <w:r w:rsidRPr="00271443">
        <w:rPr>
          <w:sz w:val="24"/>
          <w:szCs w:val="24"/>
        </w:rPr>
        <w:t xml:space="preserve"> </w:t>
      </w:r>
      <w:r w:rsidR="0031796B" w:rsidRPr="00271443">
        <w:rPr>
          <w:rFonts w:cs="Arial"/>
          <w:sz w:val="24"/>
          <w:szCs w:val="24"/>
        </w:rPr>
        <w:t xml:space="preserve">The CDE guidance document, </w:t>
      </w:r>
      <w:hyperlink r:id="rId7" w:history="1">
        <w:r w:rsidR="0031796B" w:rsidRPr="00271443">
          <w:rPr>
            <w:rStyle w:val="Hyperlink"/>
            <w:rFonts w:cs="Arial"/>
            <w:sz w:val="24"/>
            <w:szCs w:val="24"/>
          </w:rPr>
          <w:t xml:space="preserve">California Migrant Education Program </w:t>
        </w:r>
        <w:r w:rsidR="00271443" w:rsidRPr="00271443">
          <w:rPr>
            <w:rStyle w:val="Hyperlink"/>
            <w:rFonts w:cs="Arial"/>
            <w:sz w:val="24"/>
            <w:szCs w:val="24"/>
          </w:rPr>
          <w:t>Out-of-State Approval Request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F162F8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CA7336"/>
    <w:multiLevelType w:val="hybridMultilevel"/>
    <w:tmpl w:val="3AFC5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A02A57"/>
    <w:multiLevelType w:val="hybridMultilevel"/>
    <w:tmpl w:val="113C87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831780"/>
    <w:multiLevelType w:val="hybridMultilevel"/>
    <w:tmpl w:val="9CD89268"/>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067F6B01"/>
    <w:multiLevelType w:val="hybridMultilevel"/>
    <w:tmpl w:val="C6483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F462FD"/>
    <w:multiLevelType w:val="hybridMultilevel"/>
    <w:tmpl w:val="E1087E2A"/>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438D4"/>
    <w:multiLevelType w:val="hybridMultilevel"/>
    <w:tmpl w:val="CCF421F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0DC153D1"/>
    <w:multiLevelType w:val="multilevel"/>
    <w:tmpl w:val="E0EA2C50"/>
    <w:lvl w:ilvl="0">
      <w:start w:val="1"/>
      <w:numFmt w:val="upperLetter"/>
      <w:lvlText w:val="%1."/>
      <w:lvlJc w:val="left"/>
      <w:pPr>
        <w:tabs>
          <w:tab w:val="num" w:pos="1440"/>
        </w:tabs>
        <w:ind w:left="1440" w:hanging="360"/>
      </w:pPr>
      <w:rPr>
        <w:rFonts w:hint="default"/>
        <w:b/>
      </w:rPr>
    </w:lvl>
    <w:lvl w:ilvl="1">
      <w:start w:val="1"/>
      <w:numFmt w:val="decimal"/>
      <w:isLgl/>
      <w:lvlText w:val="%1.%2"/>
      <w:lvlJc w:val="left"/>
      <w:pPr>
        <w:tabs>
          <w:tab w:val="num" w:pos="1650"/>
        </w:tabs>
        <w:ind w:left="1650" w:hanging="540"/>
      </w:pPr>
      <w:rPr>
        <w:rFonts w:hint="default"/>
      </w:rPr>
    </w:lvl>
    <w:lvl w:ilvl="2">
      <w:start w:val="1"/>
      <w:numFmt w:val="decimal"/>
      <w:isLgl/>
      <w:lvlText w:val="%1.%2.%3"/>
      <w:lvlJc w:val="left"/>
      <w:pPr>
        <w:tabs>
          <w:tab w:val="num" w:pos="1830"/>
        </w:tabs>
        <w:ind w:left="1830" w:hanging="720"/>
      </w:pPr>
      <w:rPr>
        <w:rFonts w:hint="default"/>
      </w:rPr>
    </w:lvl>
    <w:lvl w:ilvl="3">
      <w:start w:val="1"/>
      <w:numFmt w:val="decimal"/>
      <w:isLgl/>
      <w:lvlText w:val="%1.%2.%3.%4"/>
      <w:lvlJc w:val="left"/>
      <w:pPr>
        <w:tabs>
          <w:tab w:val="num" w:pos="1830"/>
        </w:tabs>
        <w:ind w:left="1830" w:hanging="720"/>
      </w:pPr>
      <w:rPr>
        <w:rFonts w:hint="default"/>
      </w:rPr>
    </w:lvl>
    <w:lvl w:ilvl="4">
      <w:start w:val="1"/>
      <w:numFmt w:val="decimal"/>
      <w:isLgl/>
      <w:lvlText w:val="%1.%2.%3.%4.%5"/>
      <w:lvlJc w:val="left"/>
      <w:pPr>
        <w:tabs>
          <w:tab w:val="num" w:pos="2190"/>
        </w:tabs>
        <w:ind w:left="2190" w:hanging="1080"/>
      </w:pPr>
      <w:rPr>
        <w:rFonts w:hint="default"/>
      </w:rPr>
    </w:lvl>
    <w:lvl w:ilvl="5">
      <w:start w:val="1"/>
      <w:numFmt w:val="decimal"/>
      <w:isLgl/>
      <w:lvlText w:val="%1.%2.%3.%4.%5.%6"/>
      <w:lvlJc w:val="left"/>
      <w:pPr>
        <w:tabs>
          <w:tab w:val="num" w:pos="2190"/>
        </w:tabs>
        <w:ind w:left="2190" w:hanging="1080"/>
      </w:pPr>
      <w:rPr>
        <w:rFonts w:hint="default"/>
      </w:rPr>
    </w:lvl>
    <w:lvl w:ilvl="6">
      <w:start w:val="1"/>
      <w:numFmt w:val="decimal"/>
      <w:isLgl/>
      <w:lvlText w:val="%1.%2.%3.%4.%5.%6.%7"/>
      <w:lvlJc w:val="left"/>
      <w:pPr>
        <w:tabs>
          <w:tab w:val="num" w:pos="2550"/>
        </w:tabs>
        <w:ind w:left="2550" w:hanging="1440"/>
      </w:pPr>
      <w:rPr>
        <w:rFonts w:hint="default"/>
      </w:rPr>
    </w:lvl>
    <w:lvl w:ilvl="7">
      <w:start w:val="1"/>
      <w:numFmt w:val="decimal"/>
      <w:isLgl/>
      <w:lvlText w:val="%1.%2.%3.%4.%5.%6.%7.%8"/>
      <w:lvlJc w:val="left"/>
      <w:pPr>
        <w:tabs>
          <w:tab w:val="num" w:pos="2550"/>
        </w:tabs>
        <w:ind w:left="2550" w:hanging="1440"/>
      </w:pPr>
      <w:rPr>
        <w:rFonts w:hint="default"/>
      </w:rPr>
    </w:lvl>
    <w:lvl w:ilvl="8">
      <w:start w:val="1"/>
      <w:numFmt w:val="decimal"/>
      <w:isLgl/>
      <w:lvlText w:val="%1.%2.%3.%4.%5.%6.%7.%8.%9"/>
      <w:lvlJc w:val="left"/>
      <w:pPr>
        <w:tabs>
          <w:tab w:val="num" w:pos="2550"/>
        </w:tabs>
        <w:ind w:left="2550" w:hanging="1440"/>
      </w:pPr>
      <w:rPr>
        <w:rFonts w:hint="default"/>
      </w:rPr>
    </w:lvl>
  </w:abstractNum>
  <w:abstractNum w:abstractNumId="8" w15:restartNumberingAfterBreak="0">
    <w:nsid w:val="12602AC7"/>
    <w:multiLevelType w:val="hybridMultilevel"/>
    <w:tmpl w:val="0740753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2B014D0"/>
    <w:multiLevelType w:val="hybridMultilevel"/>
    <w:tmpl w:val="055E2B2A"/>
    <w:lvl w:ilvl="0" w:tplc="0409000F">
      <w:start w:val="1"/>
      <w:numFmt w:val="decimal"/>
      <w:lvlText w:val="%1."/>
      <w:lvlJc w:val="left"/>
      <w:pPr>
        <w:ind w:left="720" w:hanging="360"/>
      </w:pPr>
    </w:lvl>
    <w:lvl w:ilvl="1" w:tplc="64CA0ED6">
      <w:start w:val="1"/>
      <w:numFmt w:val="decimal"/>
      <w:lvlText w:val="%2)"/>
      <w:lvlJc w:val="left"/>
      <w:pPr>
        <w:ind w:left="1440" w:hanging="360"/>
      </w:pPr>
      <w:rPr>
        <w:rFonts w:hint="default"/>
      </w:rPr>
    </w:lvl>
    <w:lvl w:ilvl="2" w:tplc="04090015">
      <w:start w:val="1"/>
      <w:numFmt w:val="upperLetter"/>
      <w:lvlText w:val="%3."/>
      <w:lvlJc w:val="left"/>
      <w:pPr>
        <w:ind w:left="1440" w:hanging="36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CD7F67"/>
    <w:multiLevelType w:val="hybridMultilevel"/>
    <w:tmpl w:val="5FE2B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A1134"/>
    <w:multiLevelType w:val="hybridMultilevel"/>
    <w:tmpl w:val="84AAF4DA"/>
    <w:lvl w:ilvl="0" w:tplc="FFFFFFFF">
      <w:start w:val="1"/>
      <w:numFmt w:val="upperLetter"/>
      <w:lvlText w:val="%1."/>
      <w:lvlJc w:val="left"/>
      <w:pPr>
        <w:tabs>
          <w:tab w:val="num" w:pos="720"/>
        </w:tabs>
        <w:ind w:left="720" w:hanging="360"/>
      </w:pPr>
    </w:lvl>
    <w:lvl w:ilvl="1" w:tplc="04090015">
      <w:start w:val="1"/>
      <w:numFmt w:val="upperLetter"/>
      <w:lvlText w:val="%2."/>
      <w:lvlJc w:val="left"/>
      <w:pPr>
        <w:ind w:left="1152"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4291F1B"/>
    <w:multiLevelType w:val="singleLevel"/>
    <w:tmpl w:val="0409001B"/>
    <w:lvl w:ilvl="0">
      <w:start w:val="1"/>
      <w:numFmt w:val="lowerRoman"/>
      <w:lvlText w:val="%1."/>
      <w:lvlJc w:val="right"/>
      <w:pPr>
        <w:ind w:left="1830" w:hanging="360"/>
      </w:pPr>
      <w:rPr>
        <w:rFonts w:hint="default"/>
      </w:rPr>
    </w:lvl>
  </w:abstractNum>
  <w:abstractNum w:abstractNumId="13" w15:restartNumberingAfterBreak="0">
    <w:nsid w:val="156C042B"/>
    <w:multiLevelType w:val="multilevel"/>
    <w:tmpl w:val="51C6B2D0"/>
    <w:lvl w:ilvl="0">
      <w:start w:val="1"/>
      <w:numFmt w:val="decimal"/>
      <w:lvlText w:val="%1)"/>
      <w:lvlJc w:val="left"/>
      <w:pPr>
        <w:tabs>
          <w:tab w:val="num" w:pos="1920"/>
        </w:tabs>
        <w:ind w:left="1920" w:hanging="360"/>
      </w:pPr>
      <w:rPr>
        <w:rFonts w:hint="default"/>
      </w:rPr>
    </w:lvl>
    <w:lvl w:ilvl="1">
      <w:numFmt w:val="decimal"/>
      <w:isLgl/>
      <w:lvlText w:val="%1.%2"/>
      <w:lvlJc w:val="left"/>
      <w:pPr>
        <w:tabs>
          <w:tab w:val="num" w:pos="1950"/>
        </w:tabs>
        <w:ind w:left="1950" w:hanging="720"/>
      </w:pPr>
      <w:rPr>
        <w:rFonts w:hint="default"/>
      </w:rPr>
    </w:lvl>
    <w:lvl w:ilvl="2">
      <w:start w:val="1"/>
      <w:numFmt w:val="decimal"/>
      <w:isLgl/>
      <w:lvlText w:val="%1.%2.%3"/>
      <w:lvlJc w:val="left"/>
      <w:pPr>
        <w:tabs>
          <w:tab w:val="num" w:pos="1950"/>
        </w:tabs>
        <w:ind w:left="1950" w:hanging="720"/>
      </w:pPr>
      <w:rPr>
        <w:rFonts w:hint="default"/>
      </w:rPr>
    </w:lvl>
    <w:lvl w:ilvl="3">
      <w:start w:val="1"/>
      <w:numFmt w:val="decimal"/>
      <w:isLgl/>
      <w:lvlText w:val="%1.%2.%3.%4"/>
      <w:lvlJc w:val="left"/>
      <w:pPr>
        <w:tabs>
          <w:tab w:val="num" w:pos="1950"/>
        </w:tabs>
        <w:ind w:left="1950" w:hanging="720"/>
      </w:pPr>
      <w:rPr>
        <w:rFonts w:hint="default"/>
      </w:rPr>
    </w:lvl>
    <w:lvl w:ilvl="4">
      <w:start w:val="1"/>
      <w:numFmt w:val="decimal"/>
      <w:isLgl/>
      <w:lvlText w:val="%1.%2.%3.%4.%5"/>
      <w:lvlJc w:val="left"/>
      <w:pPr>
        <w:tabs>
          <w:tab w:val="num" w:pos="2310"/>
        </w:tabs>
        <w:ind w:left="2310" w:hanging="1080"/>
      </w:pPr>
      <w:rPr>
        <w:rFonts w:hint="default"/>
      </w:rPr>
    </w:lvl>
    <w:lvl w:ilvl="5">
      <w:start w:val="1"/>
      <w:numFmt w:val="decimal"/>
      <w:isLgl/>
      <w:lvlText w:val="%1.%2.%3.%4.%5.%6"/>
      <w:lvlJc w:val="left"/>
      <w:pPr>
        <w:tabs>
          <w:tab w:val="num" w:pos="2310"/>
        </w:tabs>
        <w:ind w:left="2310" w:hanging="1080"/>
      </w:pPr>
      <w:rPr>
        <w:rFonts w:hint="default"/>
      </w:rPr>
    </w:lvl>
    <w:lvl w:ilvl="6">
      <w:start w:val="1"/>
      <w:numFmt w:val="decimal"/>
      <w:isLgl/>
      <w:lvlText w:val="%1.%2.%3.%4.%5.%6.%7"/>
      <w:lvlJc w:val="left"/>
      <w:pPr>
        <w:tabs>
          <w:tab w:val="num" w:pos="2670"/>
        </w:tabs>
        <w:ind w:left="2670" w:hanging="1440"/>
      </w:pPr>
      <w:rPr>
        <w:rFonts w:hint="default"/>
      </w:rPr>
    </w:lvl>
    <w:lvl w:ilvl="7">
      <w:start w:val="1"/>
      <w:numFmt w:val="decimal"/>
      <w:isLgl/>
      <w:lvlText w:val="%1.%2.%3.%4.%5.%6.%7.%8"/>
      <w:lvlJc w:val="left"/>
      <w:pPr>
        <w:tabs>
          <w:tab w:val="num" w:pos="2670"/>
        </w:tabs>
        <w:ind w:left="2670" w:hanging="1440"/>
      </w:pPr>
      <w:rPr>
        <w:rFonts w:hint="default"/>
      </w:rPr>
    </w:lvl>
    <w:lvl w:ilvl="8">
      <w:start w:val="1"/>
      <w:numFmt w:val="decimal"/>
      <w:isLgl/>
      <w:lvlText w:val="%1.%2.%3.%4.%5.%6.%7.%8.%9"/>
      <w:lvlJc w:val="left"/>
      <w:pPr>
        <w:tabs>
          <w:tab w:val="num" w:pos="2670"/>
        </w:tabs>
        <w:ind w:left="2670" w:hanging="1440"/>
      </w:pPr>
      <w:rPr>
        <w:rFonts w:hint="default"/>
      </w:rPr>
    </w:lvl>
  </w:abstractNum>
  <w:abstractNum w:abstractNumId="14" w15:restartNumberingAfterBreak="0">
    <w:nsid w:val="163A6997"/>
    <w:multiLevelType w:val="hybridMultilevel"/>
    <w:tmpl w:val="9A9E4E72"/>
    <w:lvl w:ilvl="0" w:tplc="A532D78C">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1B7F1E25"/>
    <w:multiLevelType w:val="hybridMultilevel"/>
    <w:tmpl w:val="E1120986"/>
    <w:lvl w:ilvl="0" w:tplc="04090015">
      <w:start w:val="1"/>
      <w:numFmt w:val="upp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01B0409">
      <w:start w:val="1"/>
      <w:numFmt w:val="lowerRoman"/>
      <w:lvlText w:val="%3."/>
      <w:lvlJc w:val="right"/>
      <w:pPr>
        <w:tabs>
          <w:tab w:val="num" w:pos="2160"/>
        </w:tabs>
        <w:ind w:left="2160" w:hanging="180"/>
      </w:pPr>
    </w:lvl>
    <w:lvl w:ilvl="3" w:tplc="98706CA6">
      <w:start w:val="1"/>
      <w:numFmt w:val="upperLetter"/>
      <w:lvlText w:val="%4."/>
      <w:lvlJc w:val="left"/>
      <w:pPr>
        <w:ind w:left="288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34C5CDC"/>
    <w:multiLevelType w:val="hybridMultilevel"/>
    <w:tmpl w:val="187C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53585"/>
    <w:multiLevelType w:val="multilevel"/>
    <w:tmpl w:val="FE0EF76C"/>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650"/>
        </w:tabs>
        <w:ind w:left="1650" w:hanging="540"/>
      </w:pPr>
      <w:rPr>
        <w:rFonts w:hint="default"/>
      </w:rPr>
    </w:lvl>
    <w:lvl w:ilvl="2">
      <w:start w:val="1"/>
      <w:numFmt w:val="decimal"/>
      <w:isLgl/>
      <w:lvlText w:val="%1.%2.%3"/>
      <w:lvlJc w:val="left"/>
      <w:pPr>
        <w:tabs>
          <w:tab w:val="num" w:pos="1830"/>
        </w:tabs>
        <w:ind w:left="1830" w:hanging="720"/>
      </w:pPr>
      <w:rPr>
        <w:rFonts w:hint="default"/>
      </w:rPr>
    </w:lvl>
    <w:lvl w:ilvl="3">
      <w:start w:val="1"/>
      <w:numFmt w:val="decimal"/>
      <w:isLgl/>
      <w:lvlText w:val="%1.%2.%3.%4"/>
      <w:lvlJc w:val="left"/>
      <w:pPr>
        <w:tabs>
          <w:tab w:val="num" w:pos="1830"/>
        </w:tabs>
        <w:ind w:left="1830" w:hanging="720"/>
      </w:pPr>
      <w:rPr>
        <w:rFonts w:hint="default"/>
      </w:rPr>
    </w:lvl>
    <w:lvl w:ilvl="4">
      <w:start w:val="1"/>
      <w:numFmt w:val="decimal"/>
      <w:isLgl/>
      <w:lvlText w:val="%1.%2.%3.%4.%5"/>
      <w:lvlJc w:val="left"/>
      <w:pPr>
        <w:tabs>
          <w:tab w:val="num" w:pos="2190"/>
        </w:tabs>
        <w:ind w:left="2190" w:hanging="1080"/>
      </w:pPr>
      <w:rPr>
        <w:rFonts w:hint="default"/>
      </w:rPr>
    </w:lvl>
    <w:lvl w:ilvl="5">
      <w:start w:val="1"/>
      <w:numFmt w:val="decimal"/>
      <w:isLgl/>
      <w:lvlText w:val="%1.%2.%3.%4.%5.%6"/>
      <w:lvlJc w:val="left"/>
      <w:pPr>
        <w:tabs>
          <w:tab w:val="num" w:pos="2190"/>
        </w:tabs>
        <w:ind w:left="2190" w:hanging="1080"/>
      </w:pPr>
      <w:rPr>
        <w:rFonts w:hint="default"/>
      </w:rPr>
    </w:lvl>
    <w:lvl w:ilvl="6">
      <w:start w:val="1"/>
      <w:numFmt w:val="decimal"/>
      <w:isLgl/>
      <w:lvlText w:val="%1.%2.%3.%4.%5.%6.%7"/>
      <w:lvlJc w:val="left"/>
      <w:pPr>
        <w:tabs>
          <w:tab w:val="num" w:pos="2550"/>
        </w:tabs>
        <w:ind w:left="2550" w:hanging="1440"/>
      </w:pPr>
      <w:rPr>
        <w:rFonts w:hint="default"/>
      </w:rPr>
    </w:lvl>
    <w:lvl w:ilvl="7">
      <w:start w:val="1"/>
      <w:numFmt w:val="decimal"/>
      <w:isLgl/>
      <w:lvlText w:val="%1.%2.%3.%4.%5.%6.%7.%8"/>
      <w:lvlJc w:val="left"/>
      <w:pPr>
        <w:tabs>
          <w:tab w:val="num" w:pos="2550"/>
        </w:tabs>
        <w:ind w:left="2550" w:hanging="1440"/>
      </w:pPr>
      <w:rPr>
        <w:rFonts w:hint="default"/>
      </w:rPr>
    </w:lvl>
    <w:lvl w:ilvl="8">
      <w:start w:val="1"/>
      <w:numFmt w:val="decimal"/>
      <w:isLgl/>
      <w:lvlText w:val="%1.%2.%3.%4.%5.%6.%7.%8.%9"/>
      <w:lvlJc w:val="left"/>
      <w:pPr>
        <w:tabs>
          <w:tab w:val="num" w:pos="2550"/>
        </w:tabs>
        <w:ind w:left="2550" w:hanging="1440"/>
      </w:pPr>
      <w:rPr>
        <w:rFonts w:hint="default"/>
      </w:rPr>
    </w:lvl>
  </w:abstractNum>
  <w:abstractNum w:abstractNumId="18" w15:restartNumberingAfterBreak="0">
    <w:nsid w:val="260719C4"/>
    <w:multiLevelType w:val="hybridMultilevel"/>
    <w:tmpl w:val="47FE34E4"/>
    <w:lvl w:ilvl="0" w:tplc="04090001">
      <w:start w:val="1"/>
      <w:numFmt w:val="bullet"/>
      <w:lvlText w:val=""/>
      <w:lvlJc w:val="left"/>
      <w:pPr>
        <w:tabs>
          <w:tab w:val="num" w:pos="1440"/>
        </w:tabs>
        <w:ind w:left="1440" w:hanging="360"/>
      </w:pPr>
      <w:rPr>
        <w:rFonts w:ascii="Symbol" w:hAnsi="Symbol" w:hint="default"/>
      </w:rPr>
    </w:lvl>
    <w:lvl w:ilvl="1" w:tplc="04090015">
      <w:start w:val="1"/>
      <w:numFmt w:val="upperLetter"/>
      <w:lvlText w:val="%2."/>
      <w:lvlJc w:val="left"/>
      <w:pPr>
        <w:tabs>
          <w:tab w:val="num" w:pos="1710"/>
        </w:tabs>
        <w:ind w:left="1710" w:hanging="360"/>
      </w:pPr>
      <w:rPr>
        <w:rFonts w:hint="default"/>
        <w:b w:val="0"/>
      </w:rPr>
    </w:lvl>
    <w:lvl w:ilvl="2" w:tplc="9DE87D12">
      <w:start w:val="1"/>
      <w:numFmt w:val="upperLetter"/>
      <w:lvlText w:val="%3."/>
      <w:lvlJc w:val="left"/>
      <w:pPr>
        <w:tabs>
          <w:tab w:val="num" w:pos="2340"/>
        </w:tabs>
        <w:ind w:left="2340" w:hanging="360"/>
      </w:pPr>
      <w:rPr>
        <w:rFonts w:hint="default"/>
      </w:rPr>
    </w:lvl>
    <w:lvl w:ilvl="3" w:tplc="8B409E60">
      <w:start w:val="4"/>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7E439F"/>
    <w:multiLevelType w:val="hybridMultilevel"/>
    <w:tmpl w:val="A46EB5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921816"/>
    <w:multiLevelType w:val="hybridMultilevel"/>
    <w:tmpl w:val="7146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766A9"/>
    <w:multiLevelType w:val="hybridMultilevel"/>
    <w:tmpl w:val="0D526D22"/>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EC564BD"/>
    <w:multiLevelType w:val="hybridMultilevel"/>
    <w:tmpl w:val="D9B2070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DC2510"/>
    <w:multiLevelType w:val="hybridMultilevel"/>
    <w:tmpl w:val="793EC00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ind w:left="1080" w:hanging="360"/>
      </w:pPr>
      <w:rPr>
        <w:rFonts w:ascii="Courier New" w:hAnsi="Courier New" w:cs="Courier New"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6C40D7"/>
    <w:multiLevelType w:val="hybridMultilevel"/>
    <w:tmpl w:val="9092DBE6"/>
    <w:lvl w:ilvl="0" w:tplc="04090015">
      <w:start w:val="1"/>
      <w:numFmt w:val="upperLetter"/>
      <w:lvlText w:val="%1."/>
      <w:lvlJc w:val="left"/>
      <w:pPr>
        <w:tabs>
          <w:tab w:val="num" w:pos="360"/>
        </w:tabs>
        <w:ind w:left="288" w:hanging="288"/>
      </w:pPr>
      <w:rPr>
        <w:rFonts w:hint="default"/>
      </w:rPr>
    </w:lvl>
    <w:lvl w:ilvl="1" w:tplc="04090001">
      <w:start w:val="1"/>
      <w:numFmt w:val="bullet"/>
      <w:lvlText w:val=""/>
      <w:lvlJc w:val="left"/>
      <w:pPr>
        <w:tabs>
          <w:tab w:val="num" w:pos="2430"/>
        </w:tabs>
        <w:ind w:left="2430" w:hanging="360"/>
      </w:pPr>
      <w:rPr>
        <w:rFonts w:ascii="Symbol" w:hAnsi="Symbol"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5" w15:restartNumberingAfterBreak="0">
    <w:nsid w:val="326D2E1E"/>
    <w:multiLevelType w:val="hybridMultilevel"/>
    <w:tmpl w:val="CDAAA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4FB2CD1"/>
    <w:multiLevelType w:val="hybridMultilevel"/>
    <w:tmpl w:val="324ACB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6325492"/>
    <w:multiLevelType w:val="hybridMultilevel"/>
    <w:tmpl w:val="4B6E1C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731166B"/>
    <w:multiLevelType w:val="hybridMultilevel"/>
    <w:tmpl w:val="D4CA038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7404F8E"/>
    <w:multiLevelType w:val="hybridMultilevel"/>
    <w:tmpl w:val="27345B34"/>
    <w:lvl w:ilvl="0" w:tplc="04090015">
      <w:start w:val="1"/>
      <w:numFmt w:val="upp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0" w15:restartNumberingAfterBreak="0">
    <w:nsid w:val="381A0505"/>
    <w:multiLevelType w:val="hybridMultilevel"/>
    <w:tmpl w:val="7C6CA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B211D0C"/>
    <w:multiLevelType w:val="hybridMultilevel"/>
    <w:tmpl w:val="F5DEE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EE6EA5"/>
    <w:multiLevelType w:val="hybridMultilevel"/>
    <w:tmpl w:val="BB94CB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140979"/>
    <w:multiLevelType w:val="hybridMultilevel"/>
    <w:tmpl w:val="9EF47C94"/>
    <w:lvl w:ilvl="0" w:tplc="04090015">
      <w:start w:val="1"/>
      <w:numFmt w:val="upperLetter"/>
      <w:lvlText w:val="%1."/>
      <w:lvlJc w:val="left"/>
      <w:pPr>
        <w:tabs>
          <w:tab w:val="num" w:pos="720"/>
        </w:tabs>
        <w:ind w:left="720" w:hanging="360"/>
      </w:pPr>
    </w:lvl>
    <w:lvl w:ilvl="1" w:tplc="97448742">
      <w:start w:val="1"/>
      <w:numFmt w:val="lowerLetter"/>
      <w:lvlText w:val="%2."/>
      <w:lvlJc w:val="left"/>
      <w:pPr>
        <w:tabs>
          <w:tab w:val="num" w:pos="1440"/>
        </w:tabs>
        <w:ind w:left="1440" w:hanging="360"/>
      </w:pPr>
      <w:rPr>
        <w:color w:val="auto"/>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44860289"/>
    <w:multiLevelType w:val="multilevel"/>
    <w:tmpl w:val="B5EA5B76"/>
    <w:lvl w:ilvl="0">
      <w:start w:val="1"/>
      <w:numFmt w:val="upperLetter"/>
      <w:lvlText w:val="%1."/>
      <w:lvlJc w:val="left"/>
      <w:pPr>
        <w:tabs>
          <w:tab w:val="num" w:pos="360"/>
        </w:tabs>
        <w:ind w:left="360" w:hanging="360"/>
      </w:pPr>
      <w:rPr>
        <w:rFonts w:hint="default"/>
      </w:rPr>
    </w:lvl>
    <w:lvl w:ilvl="1">
      <w:start w:val="2"/>
      <w:numFmt w:val="decimal"/>
      <w:isLgl/>
      <w:lvlText w:val="%1.%2"/>
      <w:lvlJc w:val="left"/>
      <w:pPr>
        <w:tabs>
          <w:tab w:val="num" w:pos="1830"/>
        </w:tabs>
        <w:ind w:left="1830" w:hanging="720"/>
      </w:pPr>
      <w:rPr>
        <w:rFonts w:hint="default"/>
      </w:rPr>
    </w:lvl>
    <w:lvl w:ilvl="2">
      <w:start w:val="1"/>
      <w:numFmt w:val="decimal"/>
      <w:isLgl/>
      <w:lvlText w:val="%1.%2.%3"/>
      <w:lvlJc w:val="left"/>
      <w:pPr>
        <w:tabs>
          <w:tab w:val="num" w:pos="1830"/>
        </w:tabs>
        <w:ind w:left="1830" w:hanging="720"/>
      </w:pPr>
      <w:rPr>
        <w:rFonts w:hint="default"/>
      </w:rPr>
    </w:lvl>
    <w:lvl w:ilvl="3">
      <w:start w:val="1"/>
      <w:numFmt w:val="decimal"/>
      <w:isLgl/>
      <w:lvlText w:val="%1.%2.%3.%4"/>
      <w:lvlJc w:val="left"/>
      <w:pPr>
        <w:tabs>
          <w:tab w:val="num" w:pos="1830"/>
        </w:tabs>
        <w:ind w:left="1830" w:hanging="720"/>
      </w:pPr>
      <w:rPr>
        <w:rFonts w:hint="default"/>
      </w:rPr>
    </w:lvl>
    <w:lvl w:ilvl="4">
      <w:start w:val="1"/>
      <w:numFmt w:val="decimal"/>
      <w:isLgl/>
      <w:lvlText w:val="%1.%2.%3.%4.%5"/>
      <w:lvlJc w:val="left"/>
      <w:pPr>
        <w:tabs>
          <w:tab w:val="num" w:pos="2190"/>
        </w:tabs>
        <w:ind w:left="2190" w:hanging="1080"/>
      </w:pPr>
      <w:rPr>
        <w:rFonts w:hint="default"/>
      </w:rPr>
    </w:lvl>
    <w:lvl w:ilvl="5">
      <w:start w:val="1"/>
      <w:numFmt w:val="decimal"/>
      <w:isLgl/>
      <w:lvlText w:val="%1.%2.%3.%4.%5.%6"/>
      <w:lvlJc w:val="left"/>
      <w:pPr>
        <w:tabs>
          <w:tab w:val="num" w:pos="2190"/>
        </w:tabs>
        <w:ind w:left="2190" w:hanging="1080"/>
      </w:pPr>
      <w:rPr>
        <w:rFonts w:hint="default"/>
      </w:rPr>
    </w:lvl>
    <w:lvl w:ilvl="6">
      <w:start w:val="1"/>
      <w:numFmt w:val="decimal"/>
      <w:isLgl/>
      <w:lvlText w:val="%1.%2.%3.%4.%5.%6.%7"/>
      <w:lvlJc w:val="left"/>
      <w:pPr>
        <w:tabs>
          <w:tab w:val="num" w:pos="2550"/>
        </w:tabs>
        <w:ind w:left="2550" w:hanging="1440"/>
      </w:pPr>
      <w:rPr>
        <w:rFonts w:hint="default"/>
      </w:rPr>
    </w:lvl>
    <w:lvl w:ilvl="7">
      <w:start w:val="1"/>
      <w:numFmt w:val="decimal"/>
      <w:isLgl/>
      <w:lvlText w:val="%1.%2.%3.%4.%5.%6.%7.%8"/>
      <w:lvlJc w:val="left"/>
      <w:pPr>
        <w:tabs>
          <w:tab w:val="num" w:pos="2550"/>
        </w:tabs>
        <w:ind w:left="2550" w:hanging="1440"/>
      </w:pPr>
      <w:rPr>
        <w:rFonts w:hint="default"/>
      </w:rPr>
    </w:lvl>
    <w:lvl w:ilvl="8">
      <w:start w:val="1"/>
      <w:numFmt w:val="decimal"/>
      <w:isLgl/>
      <w:lvlText w:val="%1.%2.%3.%4.%5.%6.%7.%8.%9"/>
      <w:lvlJc w:val="left"/>
      <w:pPr>
        <w:tabs>
          <w:tab w:val="num" w:pos="2550"/>
        </w:tabs>
        <w:ind w:left="2550" w:hanging="1440"/>
      </w:pPr>
      <w:rPr>
        <w:rFonts w:hint="default"/>
      </w:rPr>
    </w:lvl>
  </w:abstractNum>
  <w:abstractNum w:abstractNumId="35" w15:restartNumberingAfterBreak="0">
    <w:nsid w:val="45D66335"/>
    <w:multiLevelType w:val="hybridMultilevel"/>
    <w:tmpl w:val="5AF03F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334475"/>
    <w:multiLevelType w:val="hybridMultilevel"/>
    <w:tmpl w:val="B31A9D0E"/>
    <w:lvl w:ilvl="0" w:tplc="04090015">
      <w:start w:val="1"/>
      <w:numFmt w:val="upperLetter"/>
      <w:lvlText w:val="%1."/>
      <w:lvlJc w:val="left"/>
      <w:pPr>
        <w:tabs>
          <w:tab w:val="num" w:pos="1710"/>
        </w:tabs>
        <w:ind w:left="1710" w:hanging="360"/>
      </w:pPr>
      <w:rPr>
        <w:rFonts w:hint="default"/>
      </w:rPr>
    </w:lvl>
    <w:lvl w:ilvl="1" w:tplc="BCC67D28">
      <w:start w:val="1"/>
      <w:numFmt w:val="upperRoman"/>
      <w:lvlText w:val="%2."/>
      <w:lvlJc w:val="left"/>
      <w:pPr>
        <w:tabs>
          <w:tab w:val="num" w:pos="2070"/>
        </w:tabs>
        <w:ind w:left="2070" w:hanging="72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7" w15:restartNumberingAfterBreak="0">
    <w:nsid w:val="476648B7"/>
    <w:multiLevelType w:val="hybridMultilevel"/>
    <w:tmpl w:val="DE98F4B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47C22946"/>
    <w:multiLevelType w:val="hybridMultilevel"/>
    <w:tmpl w:val="A13C1FDE"/>
    <w:lvl w:ilvl="0" w:tplc="04090015">
      <w:start w:val="1"/>
      <w:numFmt w:val="upperLetter"/>
      <w:lvlText w:val="%1."/>
      <w:lvlJc w:val="left"/>
      <w:pPr>
        <w:tabs>
          <w:tab w:val="num" w:pos="1440"/>
        </w:tabs>
        <w:ind w:left="1440" w:hanging="360"/>
      </w:pPr>
      <w:rPr>
        <w:rFonts w:hint="default"/>
      </w:rPr>
    </w:lvl>
    <w:lvl w:ilvl="1" w:tplc="04090011">
      <w:start w:val="1"/>
      <w:numFmt w:val="decimal"/>
      <w:lvlText w:val="%2)"/>
      <w:lvlJc w:val="left"/>
      <w:pPr>
        <w:ind w:left="2160" w:hanging="360"/>
      </w:pPr>
    </w:lvl>
    <w:lvl w:ilvl="2" w:tplc="0409001B">
      <w:start w:val="1"/>
      <w:numFmt w:val="lowerRoman"/>
      <w:lvlText w:val="%3."/>
      <w:lvlJc w:val="right"/>
      <w:pPr>
        <w:tabs>
          <w:tab w:val="num" w:pos="2537"/>
        </w:tabs>
        <w:ind w:left="2537" w:hanging="180"/>
      </w:pPr>
    </w:lvl>
    <w:lvl w:ilvl="3" w:tplc="8488B3F4">
      <w:start w:val="8"/>
      <w:numFmt w:val="lowerLetter"/>
      <w:lvlText w:val="%4."/>
      <w:lvlJc w:val="left"/>
      <w:pPr>
        <w:tabs>
          <w:tab w:val="num" w:pos="3257"/>
        </w:tabs>
        <w:ind w:left="3257" w:hanging="360"/>
      </w:pPr>
      <w:rPr>
        <w:rFonts w:hint="default"/>
      </w:r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39" w15:restartNumberingAfterBreak="0">
    <w:nsid w:val="47E27789"/>
    <w:multiLevelType w:val="hybridMultilevel"/>
    <w:tmpl w:val="BC1883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EB4542"/>
    <w:multiLevelType w:val="hybridMultilevel"/>
    <w:tmpl w:val="628C2E10"/>
    <w:lvl w:ilvl="0" w:tplc="04090001">
      <w:start w:val="1"/>
      <w:numFmt w:val="bullet"/>
      <w:lvlText w:val=""/>
      <w:lvlJc w:val="left"/>
      <w:pPr>
        <w:tabs>
          <w:tab w:val="num" w:pos="1803"/>
        </w:tabs>
        <w:ind w:left="1803" w:hanging="360"/>
      </w:pPr>
      <w:rPr>
        <w:rFonts w:ascii="Symbol" w:hAnsi="Symbol" w:hint="default"/>
      </w:rPr>
    </w:lvl>
    <w:lvl w:ilvl="1" w:tplc="04090003" w:tentative="1">
      <w:start w:val="1"/>
      <w:numFmt w:val="bullet"/>
      <w:lvlText w:val="o"/>
      <w:lvlJc w:val="left"/>
      <w:pPr>
        <w:tabs>
          <w:tab w:val="num" w:pos="2523"/>
        </w:tabs>
        <w:ind w:left="2523" w:hanging="360"/>
      </w:pPr>
      <w:rPr>
        <w:rFonts w:ascii="Courier New" w:hAnsi="Courier New" w:cs="Courier New" w:hint="default"/>
      </w:rPr>
    </w:lvl>
    <w:lvl w:ilvl="2" w:tplc="04090005" w:tentative="1">
      <w:start w:val="1"/>
      <w:numFmt w:val="bullet"/>
      <w:lvlText w:val=""/>
      <w:lvlJc w:val="left"/>
      <w:pPr>
        <w:tabs>
          <w:tab w:val="num" w:pos="3243"/>
        </w:tabs>
        <w:ind w:left="3243" w:hanging="360"/>
      </w:pPr>
      <w:rPr>
        <w:rFonts w:ascii="Wingdings" w:hAnsi="Wingdings" w:hint="default"/>
      </w:rPr>
    </w:lvl>
    <w:lvl w:ilvl="3" w:tplc="04090001" w:tentative="1">
      <w:start w:val="1"/>
      <w:numFmt w:val="bullet"/>
      <w:lvlText w:val=""/>
      <w:lvlJc w:val="left"/>
      <w:pPr>
        <w:tabs>
          <w:tab w:val="num" w:pos="3963"/>
        </w:tabs>
        <w:ind w:left="3963" w:hanging="360"/>
      </w:pPr>
      <w:rPr>
        <w:rFonts w:ascii="Symbol" w:hAnsi="Symbol" w:hint="default"/>
      </w:rPr>
    </w:lvl>
    <w:lvl w:ilvl="4" w:tplc="04090003" w:tentative="1">
      <w:start w:val="1"/>
      <w:numFmt w:val="bullet"/>
      <w:lvlText w:val="o"/>
      <w:lvlJc w:val="left"/>
      <w:pPr>
        <w:tabs>
          <w:tab w:val="num" w:pos="4683"/>
        </w:tabs>
        <w:ind w:left="4683" w:hanging="360"/>
      </w:pPr>
      <w:rPr>
        <w:rFonts w:ascii="Courier New" w:hAnsi="Courier New" w:cs="Courier New" w:hint="default"/>
      </w:rPr>
    </w:lvl>
    <w:lvl w:ilvl="5" w:tplc="04090005" w:tentative="1">
      <w:start w:val="1"/>
      <w:numFmt w:val="bullet"/>
      <w:lvlText w:val=""/>
      <w:lvlJc w:val="left"/>
      <w:pPr>
        <w:tabs>
          <w:tab w:val="num" w:pos="5403"/>
        </w:tabs>
        <w:ind w:left="5403" w:hanging="360"/>
      </w:pPr>
      <w:rPr>
        <w:rFonts w:ascii="Wingdings" w:hAnsi="Wingdings" w:hint="default"/>
      </w:rPr>
    </w:lvl>
    <w:lvl w:ilvl="6" w:tplc="04090001" w:tentative="1">
      <w:start w:val="1"/>
      <w:numFmt w:val="bullet"/>
      <w:lvlText w:val=""/>
      <w:lvlJc w:val="left"/>
      <w:pPr>
        <w:tabs>
          <w:tab w:val="num" w:pos="6123"/>
        </w:tabs>
        <w:ind w:left="6123" w:hanging="360"/>
      </w:pPr>
      <w:rPr>
        <w:rFonts w:ascii="Symbol" w:hAnsi="Symbol" w:hint="default"/>
      </w:rPr>
    </w:lvl>
    <w:lvl w:ilvl="7" w:tplc="04090003" w:tentative="1">
      <w:start w:val="1"/>
      <w:numFmt w:val="bullet"/>
      <w:lvlText w:val="o"/>
      <w:lvlJc w:val="left"/>
      <w:pPr>
        <w:tabs>
          <w:tab w:val="num" w:pos="6843"/>
        </w:tabs>
        <w:ind w:left="6843" w:hanging="360"/>
      </w:pPr>
      <w:rPr>
        <w:rFonts w:ascii="Courier New" w:hAnsi="Courier New" w:cs="Courier New" w:hint="default"/>
      </w:rPr>
    </w:lvl>
    <w:lvl w:ilvl="8" w:tplc="04090005" w:tentative="1">
      <w:start w:val="1"/>
      <w:numFmt w:val="bullet"/>
      <w:lvlText w:val=""/>
      <w:lvlJc w:val="left"/>
      <w:pPr>
        <w:tabs>
          <w:tab w:val="num" w:pos="7563"/>
        </w:tabs>
        <w:ind w:left="7563" w:hanging="360"/>
      </w:pPr>
      <w:rPr>
        <w:rFonts w:ascii="Wingdings" w:hAnsi="Wingdings" w:hint="default"/>
      </w:rPr>
    </w:lvl>
  </w:abstractNum>
  <w:abstractNum w:abstractNumId="41" w15:restartNumberingAfterBreak="0">
    <w:nsid w:val="483A229A"/>
    <w:multiLevelType w:val="hybridMultilevel"/>
    <w:tmpl w:val="E710E53C"/>
    <w:lvl w:ilvl="0" w:tplc="04090015">
      <w:start w:val="1"/>
      <w:numFmt w:val="upperLetter"/>
      <w:lvlText w:val="%1."/>
      <w:lvlJc w:val="left"/>
      <w:pPr>
        <w:ind w:left="720" w:hanging="360"/>
      </w:pPr>
      <w:rPr>
        <w:rFonts w:hint="default"/>
      </w:rPr>
    </w:lvl>
    <w:lvl w:ilvl="1" w:tplc="0409001B">
      <w:start w:val="1"/>
      <w:numFmt w:val="lowerRoman"/>
      <w:lvlText w:val="%2."/>
      <w:lvlJc w:val="right"/>
      <w:pPr>
        <w:ind w:left="36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5D4A44"/>
    <w:multiLevelType w:val="hybridMultilevel"/>
    <w:tmpl w:val="AF6AF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B6C414A"/>
    <w:multiLevelType w:val="hybridMultilevel"/>
    <w:tmpl w:val="D67A89C2"/>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012130A"/>
    <w:multiLevelType w:val="hybridMultilevel"/>
    <w:tmpl w:val="10E21EE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5" w15:restartNumberingAfterBreak="0">
    <w:nsid w:val="508F357E"/>
    <w:multiLevelType w:val="hybridMultilevel"/>
    <w:tmpl w:val="AE9C310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6" w15:restartNumberingAfterBreak="0">
    <w:nsid w:val="51352B84"/>
    <w:multiLevelType w:val="hybridMultilevel"/>
    <w:tmpl w:val="8B80404E"/>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544472FD"/>
    <w:multiLevelType w:val="multilevel"/>
    <w:tmpl w:val="159C7156"/>
    <w:lvl w:ilvl="0">
      <w:start w:val="1"/>
      <w:numFmt w:val="upperLetter"/>
      <w:lvlText w:val="%1."/>
      <w:lvlJc w:val="left"/>
      <w:pPr>
        <w:tabs>
          <w:tab w:val="num" w:pos="1500"/>
        </w:tabs>
        <w:ind w:left="1500" w:hanging="360"/>
      </w:pPr>
      <w:rPr>
        <w:rFonts w:hint="default"/>
      </w:rPr>
    </w:lvl>
    <w:lvl w:ilvl="1">
      <w:start w:val="2"/>
      <w:numFmt w:val="decimal"/>
      <w:isLgl/>
      <w:lvlText w:val="%1.%2"/>
      <w:lvlJc w:val="left"/>
      <w:pPr>
        <w:tabs>
          <w:tab w:val="num" w:pos="1830"/>
        </w:tabs>
        <w:ind w:left="1830" w:hanging="720"/>
      </w:pPr>
      <w:rPr>
        <w:rFonts w:hint="default"/>
      </w:rPr>
    </w:lvl>
    <w:lvl w:ilvl="2">
      <w:start w:val="1"/>
      <w:numFmt w:val="decimal"/>
      <w:isLgl/>
      <w:lvlText w:val="%1.%2.%3"/>
      <w:lvlJc w:val="left"/>
      <w:pPr>
        <w:tabs>
          <w:tab w:val="num" w:pos="1830"/>
        </w:tabs>
        <w:ind w:left="1830" w:hanging="720"/>
      </w:pPr>
      <w:rPr>
        <w:rFonts w:hint="default"/>
      </w:rPr>
    </w:lvl>
    <w:lvl w:ilvl="3">
      <w:start w:val="1"/>
      <w:numFmt w:val="decimal"/>
      <w:isLgl/>
      <w:lvlText w:val="%1.%2.%3.%4"/>
      <w:lvlJc w:val="left"/>
      <w:pPr>
        <w:tabs>
          <w:tab w:val="num" w:pos="1830"/>
        </w:tabs>
        <w:ind w:left="1830" w:hanging="720"/>
      </w:pPr>
      <w:rPr>
        <w:rFonts w:hint="default"/>
      </w:rPr>
    </w:lvl>
    <w:lvl w:ilvl="4">
      <w:start w:val="1"/>
      <w:numFmt w:val="decimal"/>
      <w:isLgl/>
      <w:lvlText w:val="%1.%2.%3.%4.%5"/>
      <w:lvlJc w:val="left"/>
      <w:pPr>
        <w:tabs>
          <w:tab w:val="num" w:pos="2190"/>
        </w:tabs>
        <w:ind w:left="2190" w:hanging="1080"/>
      </w:pPr>
      <w:rPr>
        <w:rFonts w:hint="default"/>
      </w:rPr>
    </w:lvl>
    <w:lvl w:ilvl="5">
      <w:start w:val="1"/>
      <w:numFmt w:val="decimal"/>
      <w:isLgl/>
      <w:lvlText w:val="%1.%2.%3.%4.%5.%6"/>
      <w:lvlJc w:val="left"/>
      <w:pPr>
        <w:tabs>
          <w:tab w:val="num" w:pos="2190"/>
        </w:tabs>
        <w:ind w:left="2190" w:hanging="1080"/>
      </w:pPr>
      <w:rPr>
        <w:rFonts w:hint="default"/>
      </w:rPr>
    </w:lvl>
    <w:lvl w:ilvl="6">
      <w:start w:val="1"/>
      <w:numFmt w:val="decimal"/>
      <w:isLgl/>
      <w:lvlText w:val="%1.%2.%3.%4.%5.%6.%7"/>
      <w:lvlJc w:val="left"/>
      <w:pPr>
        <w:tabs>
          <w:tab w:val="num" w:pos="2550"/>
        </w:tabs>
        <w:ind w:left="2550" w:hanging="1440"/>
      </w:pPr>
      <w:rPr>
        <w:rFonts w:hint="default"/>
      </w:rPr>
    </w:lvl>
    <w:lvl w:ilvl="7">
      <w:start w:val="1"/>
      <w:numFmt w:val="decimal"/>
      <w:isLgl/>
      <w:lvlText w:val="%1.%2.%3.%4.%5.%6.%7.%8"/>
      <w:lvlJc w:val="left"/>
      <w:pPr>
        <w:tabs>
          <w:tab w:val="num" w:pos="2550"/>
        </w:tabs>
        <w:ind w:left="2550" w:hanging="1440"/>
      </w:pPr>
      <w:rPr>
        <w:rFonts w:hint="default"/>
      </w:rPr>
    </w:lvl>
    <w:lvl w:ilvl="8">
      <w:start w:val="1"/>
      <w:numFmt w:val="decimal"/>
      <w:isLgl/>
      <w:lvlText w:val="%1.%2.%3.%4.%5.%6.%7.%8.%9"/>
      <w:lvlJc w:val="left"/>
      <w:pPr>
        <w:tabs>
          <w:tab w:val="num" w:pos="2550"/>
        </w:tabs>
        <w:ind w:left="2550" w:hanging="1440"/>
      </w:pPr>
      <w:rPr>
        <w:rFonts w:hint="default"/>
      </w:rPr>
    </w:lvl>
  </w:abstractNum>
  <w:abstractNum w:abstractNumId="48" w15:restartNumberingAfterBreak="0">
    <w:nsid w:val="55CE7566"/>
    <w:multiLevelType w:val="hybridMultilevel"/>
    <w:tmpl w:val="AF46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F55498"/>
    <w:multiLevelType w:val="multilevel"/>
    <w:tmpl w:val="BA84E442"/>
    <w:lvl w:ilvl="0">
      <w:start w:val="1"/>
      <w:numFmt w:val="decimal"/>
      <w:lvlText w:val="%1)"/>
      <w:lvlJc w:val="left"/>
      <w:pPr>
        <w:tabs>
          <w:tab w:val="num" w:pos="1470"/>
        </w:tabs>
        <w:ind w:left="1470" w:hanging="360"/>
      </w:pPr>
      <w:rPr>
        <w:rFonts w:hint="default"/>
      </w:rPr>
    </w:lvl>
    <w:lvl w:ilvl="1">
      <w:start w:val="1"/>
      <w:numFmt w:val="decimal"/>
      <w:isLgl/>
      <w:lvlText w:val="%1.%2"/>
      <w:lvlJc w:val="left"/>
      <w:pPr>
        <w:tabs>
          <w:tab w:val="num" w:pos="1830"/>
        </w:tabs>
        <w:ind w:left="1830" w:hanging="720"/>
      </w:pPr>
      <w:rPr>
        <w:rFonts w:hint="default"/>
      </w:rPr>
    </w:lvl>
    <w:lvl w:ilvl="2">
      <w:start w:val="1"/>
      <w:numFmt w:val="decimal"/>
      <w:isLgl/>
      <w:lvlText w:val="%1.%2.%3"/>
      <w:lvlJc w:val="left"/>
      <w:pPr>
        <w:tabs>
          <w:tab w:val="num" w:pos="1830"/>
        </w:tabs>
        <w:ind w:left="1830" w:hanging="720"/>
      </w:pPr>
      <w:rPr>
        <w:rFonts w:hint="default"/>
      </w:rPr>
    </w:lvl>
    <w:lvl w:ilvl="3">
      <w:start w:val="1"/>
      <w:numFmt w:val="decimal"/>
      <w:isLgl/>
      <w:lvlText w:val="%1.%2.%3.%4"/>
      <w:lvlJc w:val="left"/>
      <w:pPr>
        <w:tabs>
          <w:tab w:val="num" w:pos="1830"/>
        </w:tabs>
        <w:ind w:left="1830" w:hanging="720"/>
      </w:pPr>
      <w:rPr>
        <w:rFonts w:hint="default"/>
      </w:rPr>
    </w:lvl>
    <w:lvl w:ilvl="4">
      <w:start w:val="1"/>
      <w:numFmt w:val="decimal"/>
      <w:isLgl/>
      <w:lvlText w:val="%1.%2.%3.%4.%5"/>
      <w:lvlJc w:val="left"/>
      <w:pPr>
        <w:tabs>
          <w:tab w:val="num" w:pos="2190"/>
        </w:tabs>
        <w:ind w:left="2190" w:hanging="1080"/>
      </w:pPr>
      <w:rPr>
        <w:rFonts w:hint="default"/>
      </w:rPr>
    </w:lvl>
    <w:lvl w:ilvl="5">
      <w:start w:val="1"/>
      <w:numFmt w:val="decimal"/>
      <w:isLgl/>
      <w:lvlText w:val="%1.%2.%3.%4.%5.%6"/>
      <w:lvlJc w:val="left"/>
      <w:pPr>
        <w:tabs>
          <w:tab w:val="num" w:pos="2190"/>
        </w:tabs>
        <w:ind w:left="2190" w:hanging="1080"/>
      </w:pPr>
      <w:rPr>
        <w:rFonts w:hint="default"/>
      </w:rPr>
    </w:lvl>
    <w:lvl w:ilvl="6">
      <w:start w:val="1"/>
      <w:numFmt w:val="decimal"/>
      <w:isLgl/>
      <w:lvlText w:val="%1.%2.%3.%4.%5.%6.%7"/>
      <w:lvlJc w:val="left"/>
      <w:pPr>
        <w:tabs>
          <w:tab w:val="num" w:pos="2550"/>
        </w:tabs>
        <w:ind w:left="2550" w:hanging="1440"/>
      </w:pPr>
      <w:rPr>
        <w:rFonts w:hint="default"/>
      </w:rPr>
    </w:lvl>
    <w:lvl w:ilvl="7">
      <w:start w:val="1"/>
      <w:numFmt w:val="decimal"/>
      <w:isLgl/>
      <w:lvlText w:val="%1.%2.%3.%4.%5.%6.%7.%8"/>
      <w:lvlJc w:val="left"/>
      <w:pPr>
        <w:tabs>
          <w:tab w:val="num" w:pos="2550"/>
        </w:tabs>
        <w:ind w:left="2550" w:hanging="1440"/>
      </w:pPr>
      <w:rPr>
        <w:rFonts w:hint="default"/>
      </w:rPr>
    </w:lvl>
    <w:lvl w:ilvl="8">
      <w:start w:val="1"/>
      <w:numFmt w:val="decimal"/>
      <w:isLgl/>
      <w:lvlText w:val="%1.%2.%3.%4.%5.%6.%7.%8.%9"/>
      <w:lvlJc w:val="left"/>
      <w:pPr>
        <w:tabs>
          <w:tab w:val="num" w:pos="2550"/>
        </w:tabs>
        <w:ind w:left="2550" w:hanging="1440"/>
      </w:pPr>
      <w:rPr>
        <w:rFonts w:hint="default"/>
      </w:rPr>
    </w:lvl>
  </w:abstractNum>
  <w:abstractNum w:abstractNumId="50" w15:restartNumberingAfterBreak="0">
    <w:nsid w:val="55FE29C7"/>
    <w:multiLevelType w:val="hybridMultilevel"/>
    <w:tmpl w:val="13A64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76A399C"/>
    <w:multiLevelType w:val="hybridMultilevel"/>
    <w:tmpl w:val="1C3CA804"/>
    <w:lvl w:ilvl="0" w:tplc="04090011">
      <w:start w:val="1"/>
      <w:numFmt w:val="decimal"/>
      <w:lvlText w:val="%1)"/>
      <w:lvlJc w:val="left"/>
      <w:pPr>
        <w:tabs>
          <w:tab w:val="num" w:pos="2160"/>
        </w:tabs>
        <w:ind w:left="2160" w:hanging="360"/>
      </w:pPr>
      <w:rPr>
        <w:rFonts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15:restartNumberingAfterBreak="0">
    <w:nsid w:val="57DD0C46"/>
    <w:multiLevelType w:val="hybridMultilevel"/>
    <w:tmpl w:val="1160D5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8EC231E"/>
    <w:multiLevelType w:val="hybridMultilevel"/>
    <w:tmpl w:val="1C3CA804"/>
    <w:lvl w:ilvl="0" w:tplc="FFFFFFFF">
      <w:start w:val="1"/>
      <w:numFmt w:val="decimal"/>
      <w:lvlText w:val="%1)"/>
      <w:lvlJc w:val="left"/>
      <w:pPr>
        <w:tabs>
          <w:tab w:val="num" w:pos="1800"/>
        </w:tabs>
        <w:ind w:left="1800" w:hanging="360"/>
      </w:pPr>
      <w:rPr>
        <w:rFonts w:hint="default"/>
        <w:color w:val="auto"/>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15:restartNumberingAfterBreak="0">
    <w:nsid w:val="5B1A437B"/>
    <w:multiLevelType w:val="hybridMultilevel"/>
    <w:tmpl w:val="CF8EF7B6"/>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CB26912"/>
    <w:multiLevelType w:val="hybridMultilevel"/>
    <w:tmpl w:val="BC160F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013636"/>
    <w:multiLevelType w:val="hybridMultilevel"/>
    <w:tmpl w:val="C3A41414"/>
    <w:lvl w:ilvl="0" w:tplc="FFFFFFFF">
      <w:start w:val="1"/>
      <w:numFmt w:val="bullet"/>
      <w:pStyle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EDC64BB"/>
    <w:multiLevelType w:val="hybridMultilevel"/>
    <w:tmpl w:val="70C8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E11662"/>
    <w:multiLevelType w:val="hybridMultilevel"/>
    <w:tmpl w:val="C1904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88752AA"/>
    <w:multiLevelType w:val="hybridMultilevel"/>
    <w:tmpl w:val="0B306A3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CA4847"/>
    <w:multiLevelType w:val="hybridMultilevel"/>
    <w:tmpl w:val="CAB28F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6A2A1E43"/>
    <w:multiLevelType w:val="hybridMultilevel"/>
    <w:tmpl w:val="4A12EE22"/>
    <w:lvl w:ilvl="0" w:tplc="0409000F">
      <w:start w:val="1"/>
      <w:numFmt w:val="decimal"/>
      <w:lvlText w:val="%1."/>
      <w:lvlJc w:val="left"/>
      <w:pPr>
        <w:tabs>
          <w:tab w:val="num" w:pos="1080"/>
        </w:tabs>
        <w:ind w:left="1008" w:hanging="28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A575E58"/>
    <w:multiLevelType w:val="hybridMultilevel"/>
    <w:tmpl w:val="5A76E77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3" w15:restartNumberingAfterBreak="0">
    <w:nsid w:val="6AC250F6"/>
    <w:multiLevelType w:val="hybridMultilevel"/>
    <w:tmpl w:val="B61285C2"/>
    <w:lvl w:ilvl="0" w:tplc="04090011">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6B3111FB"/>
    <w:multiLevelType w:val="hybridMultilevel"/>
    <w:tmpl w:val="4828BAA4"/>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5" w15:restartNumberingAfterBreak="0">
    <w:nsid w:val="6B9C05A1"/>
    <w:multiLevelType w:val="hybridMultilevel"/>
    <w:tmpl w:val="DF38ED16"/>
    <w:lvl w:ilvl="0" w:tplc="4F6C5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C705DFC"/>
    <w:multiLevelType w:val="hybridMultilevel"/>
    <w:tmpl w:val="A91C0EE0"/>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080"/>
        </w:tabs>
        <w:ind w:left="1008" w:hanging="288"/>
      </w:pPr>
      <w:rPr>
        <w:rFonts w:ascii="Symbol" w:hAnsi="Symbol" w:hint="default"/>
      </w:rPr>
    </w:lvl>
    <w:lvl w:ilvl="2" w:tplc="04090003">
      <w:start w:val="1"/>
      <w:numFmt w:val="bullet"/>
      <w:lvlText w:val="o"/>
      <w:lvlJc w:val="left"/>
      <w:pPr>
        <w:tabs>
          <w:tab w:val="num" w:pos="1080"/>
        </w:tabs>
        <w:ind w:left="1080" w:hanging="360"/>
      </w:pPr>
      <w:rPr>
        <w:rFonts w:ascii="Courier New" w:hAnsi="Courier New" w:cs="Courier New" w:hint="default"/>
      </w:rPr>
    </w:lvl>
    <w:lvl w:ilvl="3" w:tplc="04090003">
      <w:start w:val="1"/>
      <w:numFmt w:val="bullet"/>
      <w:lvlText w:val="o"/>
      <w:lvlJc w:val="left"/>
      <w:pPr>
        <w:tabs>
          <w:tab w:val="num" w:pos="2910"/>
        </w:tabs>
        <w:ind w:left="2910" w:hanging="390"/>
      </w:pPr>
      <w:rPr>
        <w:rFonts w:ascii="Courier New" w:hAnsi="Courier New" w:cs="Courier New" w:hint="default"/>
      </w:rPr>
    </w:lvl>
    <w:lvl w:ilvl="4" w:tplc="F0408C14">
      <w:start w:val="1"/>
      <w:numFmt w:val="lowerLetter"/>
      <w:lvlText w:val="%5.)"/>
      <w:lvlJc w:val="left"/>
      <w:pPr>
        <w:tabs>
          <w:tab w:val="num" w:pos="3510"/>
        </w:tabs>
        <w:ind w:left="351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CC353AE"/>
    <w:multiLevelType w:val="hybridMultilevel"/>
    <w:tmpl w:val="B5F29822"/>
    <w:lvl w:ilvl="0" w:tplc="04090015">
      <w:start w:val="1"/>
      <w:numFmt w:val="upperLetter"/>
      <w:lvlText w:val="%1."/>
      <w:lvlJc w:val="left"/>
      <w:pPr>
        <w:tabs>
          <w:tab w:val="num" w:pos="1170"/>
        </w:tabs>
        <w:ind w:left="1170" w:hanging="360"/>
      </w:pPr>
      <w:rPr>
        <w:rFonts w:hint="default"/>
      </w:rPr>
    </w:lvl>
    <w:lvl w:ilvl="1" w:tplc="04090019">
      <w:start w:val="1"/>
      <w:numFmt w:val="lowerLetter"/>
      <w:lvlText w:val="%2."/>
      <w:lvlJc w:val="left"/>
      <w:pPr>
        <w:ind w:left="1530" w:hanging="360"/>
      </w:pPr>
    </w:lvl>
    <w:lvl w:ilvl="2" w:tplc="04090015">
      <w:start w:val="1"/>
      <w:numFmt w:val="upperLetter"/>
      <w:lvlText w:val="%3."/>
      <w:lvlJc w:val="left"/>
      <w:pPr>
        <w:ind w:left="2430" w:hanging="36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 w15:restartNumberingAfterBreak="0">
    <w:nsid w:val="6D076B85"/>
    <w:multiLevelType w:val="hybridMultilevel"/>
    <w:tmpl w:val="5CEAF5F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9" w15:restartNumberingAfterBreak="0">
    <w:nsid w:val="6D2E4E23"/>
    <w:multiLevelType w:val="hybridMultilevel"/>
    <w:tmpl w:val="D4F6618A"/>
    <w:lvl w:ilvl="0" w:tplc="11E4A3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DFB74E6"/>
    <w:multiLevelType w:val="hybridMultilevel"/>
    <w:tmpl w:val="CA3007A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8D6C3F"/>
    <w:multiLevelType w:val="hybridMultilevel"/>
    <w:tmpl w:val="0BF874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072067"/>
    <w:multiLevelType w:val="hybridMultilevel"/>
    <w:tmpl w:val="67C8F4AC"/>
    <w:lvl w:ilvl="0" w:tplc="0409000F">
      <w:start w:val="1"/>
      <w:numFmt w:val="decimal"/>
      <w:lvlText w:val="%1."/>
      <w:lvlJc w:val="left"/>
      <w:pPr>
        <w:tabs>
          <w:tab w:val="num" w:pos="1440"/>
        </w:tabs>
        <w:ind w:left="1440" w:hanging="360"/>
      </w:pPr>
      <w:rPr>
        <w:rFonts w:hint="default"/>
      </w:rPr>
    </w:lvl>
    <w:lvl w:ilvl="1" w:tplc="04090001">
      <w:start w:val="1"/>
      <w:numFmt w:val="bullet"/>
      <w:lvlText w:val=""/>
      <w:lvlJc w:val="left"/>
      <w:pPr>
        <w:tabs>
          <w:tab w:val="num" w:pos="1080"/>
        </w:tabs>
        <w:ind w:left="1008" w:hanging="288"/>
      </w:pPr>
      <w:rPr>
        <w:rFonts w:ascii="Symbol" w:hAnsi="Symbol" w:hint="default"/>
      </w:rPr>
    </w:lvl>
    <w:lvl w:ilvl="2" w:tplc="04090003">
      <w:start w:val="1"/>
      <w:numFmt w:val="bullet"/>
      <w:lvlText w:val="o"/>
      <w:lvlJc w:val="left"/>
      <w:pPr>
        <w:tabs>
          <w:tab w:val="num" w:pos="1080"/>
        </w:tabs>
        <w:ind w:left="1080" w:hanging="360"/>
      </w:pPr>
      <w:rPr>
        <w:rFonts w:ascii="Courier New" w:hAnsi="Courier New" w:cs="Courier New" w:hint="default"/>
      </w:rPr>
    </w:lvl>
    <w:lvl w:ilvl="3" w:tplc="04090003">
      <w:start w:val="1"/>
      <w:numFmt w:val="bullet"/>
      <w:lvlText w:val="o"/>
      <w:lvlJc w:val="left"/>
      <w:pPr>
        <w:tabs>
          <w:tab w:val="num" w:pos="2910"/>
        </w:tabs>
        <w:ind w:left="2910" w:hanging="390"/>
      </w:pPr>
      <w:rPr>
        <w:rFonts w:ascii="Courier New" w:hAnsi="Courier New" w:cs="Courier New" w:hint="default"/>
      </w:rPr>
    </w:lvl>
    <w:lvl w:ilvl="4" w:tplc="F0408C14">
      <w:start w:val="1"/>
      <w:numFmt w:val="lowerLetter"/>
      <w:lvlText w:val="%5.)"/>
      <w:lvlJc w:val="left"/>
      <w:pPr>
        <w:tabs>
          <w:tab w:val="num" w:pos="3510"/>
        </w:tabs>
        <w:ind w:left="351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71094901"/>
    <w:multiLevelType w:val="hybridMultilevel"/>
    <w:tmpl w:val="8F82F1C8"/>
    <w:lvl w:ilvl="0" w:tplc="04090015">
      <w:start w:val="1"/>
      <w:numFmt w:val="upperLetter"/>
      <w:lvlText w:val="%1."/>
      <w:lvlJc w:val="left"/>
      <w:pPr>
        <w:tabs>
          <w:tab w:val="num" w:pos="1440"/>
        </w:tabs>
        <w:ind w:left="1440" w:hanging="360"/>
      </w:pPr>
      <w:rPr>
        <w:rFonts w:hint="default"/>
      </w:rPr>
    </w:lvl>
    <w:lvl w:ilvl="1" w:tplc="04090011">
      <w:start w:val="1"/>
      <w:numFmt w:val="decimal"/>
      <w:lvlText w:val="%2)"/>
      <w:lvlJc w:val="left"/>
      <w:pPr>
        <w:ind w:left="1800" w:hanging="360"/>
      </w:pPr>
    </w:lvl>
    <w:lvl w:ilvl="2" w:tplc="7A6A91AA">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2167E5D"/>
    <w:multiLevelType w:val="multilevel"/>
    <w:tmpl w:val="4ACCC0A0"/>
    <w:lvl w:ilvl="0">
      <w:start w:val="1"/>
      <w:numFmt w:val="upperLetter"/>
      <w:lvlText w:val="%1."/>
      <w:lvlJc w:val="left"/>
      <w:pPr>
        <w:tabs>
          <w:tab w:val="num" w:pos="1110"/>
        </w:tabs>
        <w:ind w:left="1110" w:hanging="390"/>
      </w:pPr>
      <w:rPr>
        <w:rFonts w:hint="default"/>
      </w:rPr>
    </w:lvl>
    <w:lvl w:ilvl="1">
      <w:start w:val="4"/>
      <w:numFmt w:val="decimal"/>
      <w:isLgl/>
      <w:lvlText w:val="%1.%2"/>
      <w:lvlJc w:val="left"/>
      <w:pPr>
        <w:tabs>
          <w:tab w:val="num" w:pos="1980"/>
        </w:tabs>
        <w:ind w:left="1980" w:hanging="360"/>
      </w:pPr>
      <w:rPr>
        <w:rFonts w:hint="default"/>
        <w:b/>
      </w:rPr>
    </w:lvl>
    <w:lvl w:ilvl="2">
      <w:start w:val="1"/>
      <w:numFmt w:val="decimal"/>
      <w:isLgl/>
      <w:lvlText w:val="%1.%2.%3"/>
      <w:lvlJc w:val="left"/>
      <w:pPr>
        <w:tabs>
          <w:tab w:val="num" w:pos="2340"/>
        </w:tabs>
        <w:ind w:left="2340" w:hanging="720"/>
      </w:pPr>
      <w:rPr>
        <w:rFonts w:hint="default"/>
        <w:b/>
      </w:rPr>
    </w:lvl>
    <w:lvl w:ilvl="3">
      <w:start w:val="1"/>
      <w:numFmt w:val="decimal"/>
      <w:isLgl/>
      <w:lvlText w:val="%1.%2.%3.%4"/>
      <w:lvlJc w:val="left"/>
      <w:pPr>
        <w:tabs>
          <w:tab w:val="num" w:pos="2970"/>
        </w:tabs>
        <w:ind w:left="2970" w:hanging="720"/>
      </w:pPr>
      <w:rPr>
        <w:rFonts w:hint="default"/>
        <w:b/>
      </w:rPr>
    </w:lvl>
    <w:lvl w:ilvl="4">
      <w:start w:val="1"/>
      <w:numFmt w:val="decimal"/>
      <w:isLgl/>
      <w:lvlText w:val="%1.%2.%3.%4.%5"/>
      <w:lvlJc w:val="left"/>
      <w:pPr>
        <w:tabs>
          <w:tab w:val="num" w:pos="2700"/>
        </w:tabs>
        <w:ind w:left="2700" w:hanging="1080"/>
      </w:pPr>
      <w:rPr>
        <w:rFonts w:hint="default"/>
        <w:b/>
      </w:rPr>
    </w:lvl>
    <w:lvl w:ilvl="5">
      <w:start w:val="1"/>
      <w:numFmt w:val="decimal"/>
      <w:isLgl/>
      <w:lvlText w:val="%1.%2.%3.%4.%5.%6"/>
      <w:lvlJc w:val="left"/>
      <w:pPr>
        <w:tabs>
          <w:tab w:val="num" w:pos="2700"/>
        </w:tabs>
        <w:ind w:left="2700" w:hanging="1080"/>
      </w:pPr>
      <w:rPr>
        <w:rFonts w:hint="default"/>
        <w:b/>
      </w:rPr>
    </w:lvl>
    <w:lvl w:ilvl="6">
      <w:start w:val="1"/>
      <w:numFmt w:val="decimal"/>
      <w:isLgl/>
      <w:lvlText w:val="%1.%2.%3.%4.%5.%6.%7"/>
      <w:lvlJc w:val="left"/>
      <w:pPr>
        <w:tabs>
          <w:tab w:val="num" w:pos="3060"/>
        </w:tabs>
        <w:ind w:left="3060" w:hanging="1440"/>
      </w:pPr>
      <w:rPr>
        <w:rFonts w:hint="default"/>
        <w:b/>
      </w:rPr>
    </w:lvl>
    <w:lvl w:ilvl="7">
      <w:start w:val="1"/>
      <w:numFmt w:val="decimal"/>
      <w:isLgl/>
      <w:lvlText w:val="%1.%2.%3.%4.%5.%6.%7.%8"/>
      <w:lvlJc w:val="left"/>
      <w:pPr>
        <w:tabs>
          <w:tab w:val="num" w:pos="3060"/>
        </w:tabs>
        <w:ind w:left="3060" w:hanging="1440"/>
      </w:pPr>
      <w:rPr>
        <w:rFonts w:hint="default"/>
        <w:b/>
      </w:rPr>
    </w:lvl>
    <w:lvl w:ilvl="8">
      <w:start w:val="1"/>
      <w:numFmt w:val="decimal"/>
      <w:isLgl/>
      <w:lvlText w:val="%1.%2.%3.%4.%5.%6.%7.%8.%9"/>
      <w:lvlJc w:val="left"/>
      <w:pPr>
        <w:tabs>
          <w:tab w:val="num" w:pos="3060"/>
        </w:tabs>
        <w:ind w:left="3060" w:hanging="1440"/>
      </w:pPr>
      <w:rPr>
        <w:rFonts w:hint="default"/>
        <w:b/>
      </w:rPr>
    </w:lvl>
  </w:abstractNum>
  <w:abstractNum w:abstractNumId="75" w15:restartNumberingAfterBreak="0">
    <w:nsid w:val="743201CB"/>
    <w:multiLevelType w:val="hybridMultilevel"/>
    <w:tmpl w:val="EB5C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89456B"/>
    <w:multiLevelType w:val="hybridMultilevel"/>
    <w:tmpl w:val="97EA67C6"/>
    <w:lvl w:ilvl="0" w:tplc="00010409">
      <w:start w:val="1"/>
      <w:numFmt w:val="bullet"/>
      <w:lvlText w:val=""/>
      <w:lvlJc w:val="left"/>
      <w:pPr>
        <w:tabs>
          <w:tab w:val="num" w:pos="1800"/>
        </w:tabs>
        <w:ind w:left="1800" w:hanging="360"/>
      </w:pPr>
      <w:rPr>
        <w:rFonts w:ascii="Symbol" w:hAnsi="Symbol" w:hint="default"/>
      </w:rPr>
    </w:lvl>
    <w:lvl w:ilvl="1" w:tplc="00190409">
      <w:start w:val="1"/>
      <w:numFmt w:val="lowerLetter"/>
      <w:lvlText w:val="%2."/>
      <w:lvlJc w:val="left"/>
      <w:pPr>
        <w:tabs>
          <w:tab w:val="num" w:pos="2520"/>
        </w:tabs>
        <w:ind w:left="2520" w:hanging="360"/>
      </w:pPr>
    </w:lvl>
    <w:lvl w:ilvl="2" w:tplc="001B0409">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77" w15:restartNumberingAfterBreak="0">
    <w:nsid w:val="79917743"/>
    <w:multiLevelType w:val="hybridMultilevel"/>
    <w:tmpl w:val="1DB88622"/>
    <w:lvl w:ilvl="0" w:tplc="0409000F">
      <w:start w:val="1"/>
      <w:numFmt w:val="decimal"/>
      <w:lvlText w:val="%1."/>
      <w:lvlJc w:val="left"/>
      <w:pPr>
        <w:tabs>
          <w:tab w:val="num" w:pos="1260"/>
        </w:tabs>
        <w:ind w:left="1260" w:hanging="360"/>
      </w:pPr>
      <w:rPr>
        <w:rFonts w:hint="default"/>
      </w:rPr>
    </w:lvl>
    <w:lvl w:ilvl="1" w:tplc="04090011">
      <w:start w:val="1"/>
      <w:numFmt w:val="decimal"/>
      <w:lvlText w:val="%2)"/>
      <w:lvlJc w:val="left"/>
      <w:pPr>
        <w:ind w:left="1800" w:hanging="360"/>
      </w:pPr>
    </w:lvl>
    <w:lvl w:ilvl="2" w:tplc="0FC0A50A">
      <w:start w:val="3"/>
      <w:numFmt w:val="upperLetter"/>
      <w:lvlText w:val="%3."/>
      <w:lvlJc w:val="left"/>
      <w:pPr>
        <w:tabs>
          <w:tab w:val="num" w:pos="2340"/>
        </w:tabs>
        <w:ind w:left="2340" w:hanging="360"/>
      </w:pPr>
      <w:rPr>
        <w:rFonts w:hint="default"/>
      </w:rPr>
    </w:lvl>
    <w:lvl w:ilvl="3" w:tplc="6D585308">
      <w:start w:val="3"/>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CBC0B5A"/>
    <w:multiLevelType w:val="hybridMultilevel"/>
    <w:tmpl w:val="B2AAB136"/>
    <w:lvl w:ilvl="0" w:tplc="E03CDF28">
      <w:start w:val="1"/>
      <w:numFmt w:val="lowerRoman"/>
      <w:lvlText w:val="%1."/>
      <w:lvlJc w:val="right"/>
      <w:pPr>
        <w:tabs>
          <w:tab w:val="num" w:pos="1800"/>
        </w:tabs>
        <w:ind w:left="1728" w:hanging="288"/>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E043E97"/>
    <w:multiLevelType w:val="hybridMultilevel"/>
    <w:tmpl w:val="9B74372A"/>
    <w:lvl w:ilvl="0" w:tplc="04090015">
      <w:start w:val="1"/>
      <w:numFmt w:val="upperLetter"/>
      <w:lvlText w:val="%1."/>
      <w:lvlJc w:val="left"/>
      <w:pPr>
        <w:ind w:left="1170" w:hanging="360"/>
      </w:pPr>
    </w:lvl>
    <w:lvl w:ilvl="1" w:tplc="2F6A5C8C">
      <w:start w:val="15"/>
      <w:numFmt w:val="bullet"/>
      <w:lvlText w:val="•"/>
      <w:lvlJc w:val="left"/>
      <w:pPr>
        <w:ind w:left="1890" w:hanging="360"/>
      </w:pPr>
      <w:rPr>
        <w:rFonts w:ascii="Arial" w:eastAsia="Times New Roman" w:hAnsi="Arial" w:cs="Arial" w:hint="default"/>
      </w:r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476266049">
    <w:abstractNumId w:val="74"/>
  </w:num>
  <w:num w:numId="2" w16cid:durableId="457726493">
    <w:abstractNumId w:val="49"/>
  </w:num>
  <w:num w:numId="3" w16cid:durableId="1650087821">
    <w:abstractNumId w:val="13"/>
  </w:num>
  <w:num w:numId="4" w16cid:durableId="1033265832">
    <w:abstractNumId w:val="34"/>
  </w:num>
  <w:num w:numId="5" w16cid:durableId="458719054">
    <w:abstractNumId w:val="7"/>
  </w:num>
  <w:num w:numId="6" w16cid:durableId="1560823686">
    <w:abstractNumId w:val="12"/>
  </w:num>
  <w:num w:numId="7" w16cid:durableId="883709319">
    <w:abstractNumId w:val="17"/>
  </w:num>
  <w:num w:numId="8" w16cid:durableId="1700282325">
    <w:abstractNumId w:val="47"/>
  </w:num>
  <w:num w:numId="9" w16cid:durableId="1723209770">
    <w:abstractNumId w:val="54"/>
  </w:num>
  <w:num w:numId="10" w16cid:durableId="1385986626">
    <w:abstractNumId w:val="24"/>
  </w:num>
  <w:num w:numId="11" w16cid:durableId="2140567119">
    <w:abstractNumId w:val="38"/>
  </w:num>
  <w:num w:numId="12" w16cid:durableId="698820005">
    <w:abstractNumId w:val="51"/>
  </w:num>
  <w:num w:numId="13" w16cid:durableId="1184594368">
    <w:abstractNumId w:val="77"/>
  </w:num>
  <w:num w:numId="14" w16cid:durableId="1233346265">
    <w:abstractNumId w:val="36"/>
  </w:num>
  <w:num w:numId="15" w16cid:durableId="2046363944">
    <w:abstractNumId w:val="72"/>
  </w:num>
  <w:num w:numId="16" w16cid:durableId="2004551838">
    <w:abstractNumId w:val="78"/>
  </w:num>
  <w:num w:numId="17" w16cid:durableId="1555776288">
    <w:abstractNumId w:val="19"/>
  </w:num>
  <w:num w:numId="18" w16cid:durableId="479493643">
    <w:abstractNumId w:val="0"/>
  </w:num>
  <w:num w:numId="19" w16cid:durableId="152990745">
    <w:abstractNumId w:val="60"/>
  </w:num>
  <w:num w:numId="20" w16cid:durableId="1865055772">
    <w:abstractNumId w:val="62"/>
  </w:num>
  <w:num w:numId="21" w16cid:durableId="1274440357">
    <w:abstractNumId w:val="46"/>
  </w:num>
  <w:num w:numId="22" w16cid:durableId="1160270868">
    <w:abstractNumId w:val="40"/>
  </w:num>
  <w:num w:numId="23" w16cid:durableId="98113559">
    <w:abstractNumId w:val="26"/>
  </w:num>
  <w:num w:numId="24" w16cid:durableId="639379805">
    <w:abstractNumId w:val="27"/>
  </w:num>
  <w:num w:numId="25" w16cid:durableId="636036158">
    <w:abstractNumId w:val="52"/>
  </w:num>
  <w:num w:numId="26" w16cid:durableId="2035761276">
    <w:abstractNumId w:val="20"/>
  </w:num>
  <w:num w:numId="27" w16cid:durableId="1068843697">
    <w:abstractNumId w:val="69"/>
  </w:num>
  <w:num w:numId="28" w16cid:durableId="1802455574">
    <w:abstractNumId w:val="55"/>
  </w:num>
  <w:num w:numId="29" w16cid:durableId="773674518">
    <w:abstractNumId w:val="43"/>
  </w:num>
  <w:num w:numId="30" w16cid:durableId="422649308">
    <w:abstractNumId w:val="41"/>
  </w:num>
  <w:num w:numId="31" w16cid:durableId="360597631">
    <w:abstractNumId w:val="15"/>
  </w:num>
  <w:num w:numId="32" w16cid:durableId="1852138380">
    <w:abstractNumId w:val="76"/>
  </w:num>
  <w:num w:numId="33" w16cid:durableId="1914462877">
    <w:abstractNumId w:val="35"/>
  </w:num>
  <w:num w:numId="34" w16cid:durableId="1245649642">
    <w:abstractNumId w:val="70"/>
  </w:num>
  <w:num w:numId="35" w16cid:durableId="1545556417">
    <w:abstractNumId w:val="23"/>
  </w:num>
  <w:num w:numId="36" w16cid:durableId="758254166">
    <w:abstractNumId w:val="33"/>
  </w:num>
  <w:num w:numId="37" w16cid:durableId="168911031">
    <w:abstractNumId w:val="29"/>
  </w:num>
  <w:num w:numId="38" w16cid:durableId="1156261569">
    <w:abstractNumId w:val="73"/>
  </w:num>
  <w:num w:numId="39" w16cid:durableId="1386561285">
    <w:abstractNumId w:val="64"/>
  </w:num>
  <w:num w:numId="40" w16cid:durableId="1346588444">
    <w:abstractNumId w:val="71"/>
  </w:num>
  <w:num w:numId="41" w16cid:durableId="283456">
    <w:abstractNumId w:val="79"/>
  </w:num>
  <w:num w:numId="42" w16cid:durableId="1716344285">
    <w:abstractNumId w:val="67"/>
  </w:num>
  <w:num w:numId="43" w16cid:durableId="1973561579">
    <w:abstractNumId w:val="25"/>
  </w:num>
  <w:num w:numId="44" w16cid:durableId="2099129989">
    <w:abstractNumId w:val="59"/>
  </w:num>
  <w:num w:numId="45" w16cid:durableId="1453668055">
    <w:abstractNumId w:val="68"/>
  </w:num>
  <w:num w:numId="46" w16cid:durableId="391974393">
    <w:abstractNumId w:val="48"/>
  </w:num>
  <w:num w:numId="47" w16cid:durableId="243729684">
    <w:abstractNumId w:val="30"/>
  </w:num>
  <w:num w:numId="48" w16cid:durableId="737636436">
    <w:abstractNumId w:val="57"/>
  </w:num>
  <w:num w:numId="49" w16cid:durableId="742239">
    <w:abstractNumId w:val="31"/>
  </w:num>
  <w:num w:numId="50" w16cid:durableId="1415319517">
    <w:abstractNumId w:val="56"/>
  </w:num>
  <w:num w:numId="51" w16cid:durableId="1260065402">
    <w:abstractNumId w:val="16"/>
  </w:num>
  <w:num w:numId="52" w16cid:durableId="1540435702">
    <w:abstractNumId w:val="1"/>
  </w:num>
  <w:num w:numId="53" w16cid:durableId="2074623494">
    <w:abstractNumId w:val="18"/>
  </w:num>
  <w:num w:numId="54" w16cid:durableId="1313020203">
    <w:abstractNumId w:val="9"/>
  </w:num>
  <w:num w:numId="55" w16cid:durableId="201214933">
    <w:abstractNumId w:val="21"/>
  </w:num>
  <w:num w:numId="56" w16cid:durableId="289749888">
    <w:abstractNumId w:val="66"/>
  </w:num>
  <w:num w:numId="57" w16cid:durableId="1229610146">
    <w:abstractNumId w:val="5"/>
  </w:num>
  <w:num w:numId="58" w16cid:durableId="190412220">
    <w:abstractNumId w:val="75"/>
  </w:num>
  <w:num w:numId="59" w16cid:durableId="173804571">
    <w:abstractNumId w:val="50"/>
  </w:num>
  <w:num w:numId="60" w16cid:durableId="428821364">
    <w:abstractNumId w:val="58"/>
  </w:num>
  <w:num w:numId="61" w16cid:durableId="1503937716">
    <w:abstractNumId w:val="63"/>
  </w:num>
  <w:num w:numId="62" w16cid:durableId="716666233">
    <w:abstractNumId w:val="28"/>
  </w:num>
  <w:num w:numId="63" w16cid:durableId="2145268458">
    <w:abstractNumId w:val="44"/>
  </w:num>
  <w:num w:numId="64" w16cid:durableId="51471366">
    <w:abstractNumId w:val="61"/>
  </w:num>
  <w:num w:numId="65" w16cid:durableId="742412723">
    <w:abstractNumId w:val="37"/>
  </w:num>
  <w:num w:numId="66" w16cid:durableId="660817238">
    <w:abstractNumId w:val="10"/>
  </w:num>
  <w:num w:numId="67" w16cid:durableId="714280738">
    <w:abstractNumId w:val="39"/>
  </w:num>
  <w:num w:numId="68" w16cid:durableId="1251045806">
    <w:abstractNumId w:val="65"/>
  </w:num>
  <w:num w:numId="69" w16cid:durableId="1376664591">
    <w:abstractNumId w:val="45"/>
  </w:num>
  <w:num w:numId="70" w16cid:durableId="161235867">
    <w:abstractNumId w:val="42"/>
  </w:num>
  <w:num w:numId="71" w16cid:durableId="1877348776">
    <w:abstractNumId w:val="2"/>
  </w:num>
  <w:num w:numId="72" w16cid:durableId="382951602">
    <w:abstractNumId w:val="14"/>
  </w:num>
  <w:num w:numId="73" w16cid:durableId="1505438422">
    <w:abstractNumId w:val="6"/>
  </w:num>
  <w:num w:numId="74" w16cid:durableId="477380271">
    <w:abstractNumId w:val="3"/>
  </w:num>
  <w:num w:numId="75" w16cid:durableId="844126512">
    <w:abstractNumId w:val="11"/>
  </w:num>
  <w:num w:numId="76" w16cid:durableId="1592814362">
    <w:abstractNumId w:val="4"/>
  </w:num>
  <w:num w:numId="77" w16cid:durableId="1877235716">
    <w:abstractNumId w:val="53"/>
  </w:num>
  <w:num w:numId="78" w16cid:durableId="1957134101">
    <w:abstractNumId w:val="22"/>
  </w:num>
  <w:num w:numId="79" w16cid:durableId="1290479134">
    <w:abstractNumId w:val="8"/>
  </w:num>
  <w:num w:numId="80" w16cid:durableId="919683421">
    <w:abstractNumId w:val="3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44"/>
  <w:drawingGridVerticalSpacing w:val="14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563"/>
    <w:rsid w:val="000172C0"/>
    <w:rsid w:val="00022600"/>
    <w:rsid w:val="00022EA0"/>
    <w:rsid w:val="00024C30"/>
    <w:rsid w:val="0002692D"/>
    <w:rsid w:val="00032E80"/>
    <w:rsid w:val="00032F17"/>
    <w:rsid w:val="00033DAA"/>
    <w:rsid w:val="00040F4C"/>
    <w:rsid w:val="00050794"/>
    <w:rsid w:val="000541E1"/>
    <w:rsid w:val="00054824"/>
    <w:rsid w:val="0005548D"/>
    <w:rsid w:val="00061D2F"/>
    <w:rsid w:val="00067A3F"/>
    <w:rsid w:val="00070137"/>
    <w:rsid w:val="000815D9"/>
    <w:rsid w:val="000816E4"/>
    <w:rsid w:val="0008239D"/>
    <w:rsid w:val="000837E9"/>
    <w:rsid w:val="00090033"/>
    <w:rsid w:val="00091D27"/>
    <w:rsid w:val="00092CA2"/>
    <w:rsid w:val="00092F54"/>
    <w:rsid w:val="00093CFD"/>
    <w:rsid w:val="000972C5"/>
    <w:rsid w:val="000A005B"/>
    <w:rsid w:val="000A648C"/>
    <w:rsid w:val="000A6FA4"/>
    <w:rsid w:val="000B0207"/>
    <w:rsid w:val="000B08DE"/>
    <w:rsid w:val="000B0A3D"/>
    <w:rsid w:val="000B27ED"/>
    <w:rsid w:val="000B3A3C"/>
    <w:rsid w:val="000B4AE9"/>
    <w:rsid w:val="000B51F3"/>
    <w:rsid w:val="000B5ADF"/>
    <w:rsid w:val="000C1DF8"/>
    <w:rsid w:val="000C4E4B"/>
    <w:rsid w:val="000C667C"/>
    <w:rsid w:val="000D0075"/>
    <w:rsid w:val="000D0401"/>
    <w:rsid w:val="000D0600"/>
    <w:rsid w:val="000D5009"/>
    <w:rsid w:val="000D5E6F"/>
    <w:rsid w:val="000D6503"/>
    <w:rsid w:val="000D6D11"/>
    <w:rsid w:val="000D7D26"/>
    <w:rsid w:val="000E57C1"/>
    <w:rsid w:val="000E5800"/>
    <w:rsid w:val="000E6168"/>
    <w:rsid w:val="000E63EA"/>
    <w:rsid w:val="000F2D7F"/>
    <w:rsid w:val="000F3A6F"/>
    <w:rsid w:val="001045D1"/>
    <w:rsid w:val="00111EB7"/>
    <w:rsid w:val="00116774"/>
    <w:rsid w:val="00121A03"/>
    <w:rsid w:val="00122B0A"/>
    <w:rsid w:val="001327B9"/>
    <w:rsid w:val="001379FA"/>
    <w:rsid w:val="00137F1A"/>
    <w:rsid w:val="00143F3D"/>
    <w:rsid w:val="001458DA"/>
    <w:rsid w:val="00145A01"/>
    <w:rsid w:val="00147014"/>
    <w:rsid w:val="00151247"/>
    <w:rsid w:val="00152A5B"/>
    <w:rsid w:val="001538C0"/>
    <w:rsid w:val="001550EA"/>
    <w:rsid w:val="00155502"/>
    <w:rsid w:val="00155629"/>
    <w:rsid w:val="00156B4E"/>
    <w:rsid w:val="00157EC5"/>
    <w:rsid w:val="001604AF"/>
    <w:rsid w:val="00165BB1"/>
    <w:rsid w:val="00167442"/>
    <w:rsid w:val="00172363"/>
    <w:rsid w:val="00176377"/>
    <w:rsid w:val="00180D7E"/>
    <w:rsid w:val="00182DC5"/>
    <w:rsid w:val="001834AA"/>
    <w:rsid w:val="00183511"/>
    <w:rsid w:val="00185C8E"/>
    <w:rsid w:val="00186190"/>
    <w:rsid w:val="00191635"/>
    <w:rsid w:val="00193233"/>
    <w:rsid w:val="001955CA"/>
    <w:rsid w:val="00196002"/>
    <w:rsid w:val="00197248"/>
    <w:rsid w:val="001A0CA5"/>
    <w:rsid w:val="001A11F5"/>
    <w:rsid w:val="001B36D0"/>
    <w:rsid w:val="001D31A8"/>
    <w:rsid w:val="001D44F6"/>
    <w:rsid w:val="001E5579"/>
    <w:rsid w:val="001E680C"/>
    <w:rsid w:val="001E78C1"/>
    <w:rsid w:val="001F07C4"/>
    <w:rsid w:val="001F1ECE"/>
    <w:rsid w:val="001F2075"/>
    <w:rsid w:val="001F7684"/>
    <w:rsid w:val="00200FF9"/>
    <w:rsid w:val="00203CD6"/>
    <w:rsid w:val="0020777D"/>
    <w:rsid w:val="00210335"/>
    <w:rsid w:val="00213CBD"/>
    <w:rsid w:val="00223877"/>
    <w:rsid w:val="00223C2B"/>
    <w:rsid w:val="002242A6"/>
    <w:rsid w:val="00224704"/>
    <w:rsid w:val="002431E4"/>
    <w:rsid w:val="00244415"/>
    <w:rsid w:val="00251184"/>
    <w:rsid w:val="002568E0"/>
    <w:rsid w:val="002604E3"/>
    <w:rsid w:val="002608BC"/>
    <w:rsid w:val="00260C66"/>
    <w:rsid w:val="002613B1"/>
    <w:rsid w:val="002629E8"/>
    <w:rsid w:val="00263FB4"/>
    <w:rsid w:val="00271443"/>
    <w:rsid w:val="00280105"/>
    <w:rsid w:val="00291457"/>
    <w:rsid w:val="0029162F"/>
    <w:rsid w:val="00291B65"/>
    <w:rsid w:val="002925A4"/>
    <w:rsid w:val="00294078"/>
    <w:rsid w:val="00296EFA"/>
    <w:rsid w:val="002A3616"/>
    <w:rsid w:val="002B1C47"/>
    <w:rsid w:val="002B2390"/>
    <w:rsid w:val="002B26EF"/>
    <w:rsid w:val="002B360C"/>
    <w:rsid w:val="002B3BC4"/>
    <w:rsid w:val="002C11FF"/>
    <w:rsid w:val="002C248D"/>
    <w:rsid w:val="002C319F"/>
    <w:rsid w:val="002E3E1F"/>
    <w:rsid w:val="002E4CB5"/>
    <w:rsid w:val="002E54E9"/>
    <w:rsid w:val="002E6A78"/>
    <w:rsid w:val="002F15F9"/>
    <w:rsid w:val="002F3918"/>
    <w:rsid w:val="0030008F"/>
    <w:rsid w:val="00301004"/>
    <w:rsid w:val="003026E6"/>
    <w:rsid w:val="00302F1D"/>
    <w:rsid w:val="00303C27"/>
    <w:rsid w:val="00303C3C"/>
    <w:rsid w:val="003042DE"/>
    <w:rsid w:val="00305DD3"/>
    <w:rsid w:val="0031197F"/>
    <w:rsid w:val="0031635A"/>
    <w:rsid w:val="0031796B"/>
    <w:rsid w:val="0032242A"/>
    <w:rsid w:val="00322DD6"/>
    <w:rsid w:val="0032685C"/>
    <w:rsid w:val="00330E21"/>
    <w:rsid w:val="003319E5"/>
    <w:rsid w:val="00335A06"/>
    <w:rsid w:val="00336266"/>
    <w:rsid w:val="003368E9"/>
    <w:rsid w:val="00343CDD"/>
    <w:rsid w:val="00346041"/>
    <w:rsid w:val="00346EDF"/>
    <w:rsid w:val="00347502"/>
    <w:rsid w:val="00352761"/>
    <w:rsid w:val="00363919"/>
    <w:rsid w:val="003642E2"/>
    <w:rsid w:val="0036666F"/>
    <w:rsid w:val="00370273"/>
    <w:rsid w:val="003734D4"/>
    <w:rsid w:val="0037420F"/>
    <w:rsid w:val="0037573F"/>
    <w:rsid w:val="003758A2"/>
    <w:rsid w:val="00375EB9"/>
    <w:rsid w:val="003807B2"/>
    <w:rsid w:val="00381F79"/>
    <w:rsid w:val="00394135"/>
    <w:rsid w:val="00397083"/>
    <w:rsid w:val="003A50CE"/>
    <w:rsid w:val="003A6968"/>
    <w:rsid w:val="003A7E9C"/>
    <w:rsid w:val="003B0E1B"/>
    <w:rsid w:val="003B441D"/>
    <w:rsid w:val="003B7673"/>
    <w:rsid w:val="003B7BAD"/>
    <w:rsid w:val="003C05D8"/>
    <w:rsid w:val="003C1A42"/>
    <w:rsid w:val="003C4532"/>
    <w:rsid w:val="003C624D"/>
    <w:rsid w:val="003C7340"/>
    <w:rsid w:val="003C786E"/>
    <w:rsid w:val="003D201B"/>
    <w:rsid w:val="003D38FA"/>
    <w:rsid w:val="003D4F2D"/>
    <w:rsid w:val="003D6D80"/>
    <w:rsid w:val="003E2224"/>
    <w:rsid w:val="003E70A5"/>
    <w:rsid w:val="004007C8"/>
    <w:rsid w:val="004034AF"/>
    <w:rsid w:val="004054F5"/>
    <w:rsid w:val="00405927"/>
    <w:rsid w:val="00406800"/>
    <w:rsid w:val="004278D3"/>
    <w:rsid w:val="00430EFF"/>
    <w:rsid w:val="004311FD"/>
    <w:rsid w:val="00431EA4"/>
    <w:rsid w:val="00435A09"/>
    <w:rsid w:val="00444DA1"/>
    <w:rsid w:val="0045180C"/>
    <w:rsid w:val="0045222E"/>
    <w:rsid w:val="00454E66"/>
    <w:rsid w:val="004550FA"/>
    <w:rsid w:val="00460420"/>
    <w:rsid w:val="004609CC"/>
    <w:rsid w:val="00461925"/>
    <w:rsid w:val="00462682"/>
    <w:rsid w:val="0046309C"/>
    <w:rsid w:val="0046338E"/>
    <w:rsid w:val="00463A11"/>
    <w:rsid w:val="00470135"/>
    <w:rsid w:val="00471025"/>
    <w:rsid w:val="00471260"/>
    <w:rsid w:val="00472098"/>
    <w:rsid w:val="004728F5"/>
    <w:rsid w:val="00476662"/>
    <w:rsid w:val="004802CE"/>
    <w:rsid w:val="004828ED"/>
    <w:rsid w:val="00485D87"/>
    <w:rsid w:val="00485E2D"/>
    <w:rsid w:val="00485EB7"/>
    <w:rsid w:val="00486B59"/>
    <w:rsid w:val="0049024D"/>
    <w:rsid w:val="00492569"/>
    <w:rsid w:val="00497F15"/>
    <w:rsid w:val="004A136F"/>
    <w:rsid w:val="004A1643"/>
    <w:rsid w:val="004B0CA9"/>
    <w:rsid w:val="004B1916"/>
    <w:rsid w:val="004B5305"/>
    <w:rsid w:val="004B5FB9"/>
    <w:rsid w:val="004B7622"/>
    <w:rsid w:val="004C2231"/>
    <w:rsid w:val="004C2375"/>
    <w:rsid w:val="004C2742"/>
    <w:rsid w:val="004C533B"/>
    <w:rsid w:val="004C73EF"/>
    <w:rsid w:val="004D6FA4"/>
    <w:rsid w:val="004E2608"/>
    <w:rsid w:val="004E2F9A"/>
    <w:rsid w:val="004E4A95"/>
    <w:rsid w:val="004E69C0"/>
    <w:rsid w:val="004E7AF5"/>
    <w:rsid w:val="004F6A17"/>
    <w:rsid w:val="004F6DD9"/>
    <w:rsid w:val="005040F5"/>
    <w:rsid w:val="005042AD"/>
    <w:rsid w:val="00504A66"/>
    <w:rsid w:val="00506CA5"/>
    <w:rsid w:val="00511300"/>
    <w:rsid w:val="005116D8"/>
    <w:rsid w:val="00515308"/>
    <w:rsid w:val="00533B7D"/>
    <w:rsid w:val="00533C5D"/>
    <w:rsid w:val="0053782C"/>
    <w:rsid w:val="005429E9"/>
    <w:rsid w:val="005443F3"/>
    <w:rsid w:val="005444BC"/>
    <w:rsid w:val="00547175"/>
    <w:rsid w:val="00550234"/>
    <w:rsid w:val="00552F3B"/>
    <w:rsid w:val="00555225"/>
    <w:rsid w:val="00555936"/>
    <w:rsid w:val="00560836"/>
    <w:rsid w:val="00560F31"/>
    <w:rsid w:val="005616E5"/>
    <w:rsid w:val="0056421B"/>
    <w:rsid w:val="00565975"/>
    <w:rsid w:val="0057033A"/>
    <w:rsid w:val="00580B97"/>
    <w:rsid w:val="005829F4"/>
    <w:rsid w:val="00583F13"/>
    <w:rsid w:val="005842A2"/>
    <w:rsid w:val="005850F0"/>
    <w:rsid w:val="0058556E"/>
    <w:rsid w:val="00590D42"/>
    <w:rsid w:val="00594A5E"/>
    <w:rsid w:val="005A2545"/>
    <w:rsid w:val="005A5B6D"/>
    <w:rsid w:val="005A5BAB"/>
    <w:rsid w:val="005B6370"/>
    <w:rsid w:val="005B697B"/>
    <w:rsid w:val="005B7271"/>
    <w:rsid w:val="005C4383"/>
    <w:rsid w:val="005C53C5"/>
    <w:rsid w:val="005C6CDF"/>
    <w:rsid w:val="005C6F1F"/>
    <w:rsid w:val="005D0787"/>
    <w:rsid w:val="005E1442"/>
    <w:rsid w:val="005E2242"/>
    <w:rsid w:val="005E3567"/>
    <w:rsid w:val="005F0BFD"/>
    <w:rsid w:val="005F1299"/>
    <w:rsid w:val="005F14F0"/>
    <w:rsid w:val="00615D4B"/>
    <w:rsid w:val="00616E0D"/>
    <w:rsid w:val="00617C7A"/>
    <w:rsid w:val="00622747"/>
    <w:rsid w:val="00625ADF"/>
    <w:rsid w:val="00631587"/>
    <w:rsid w:val="006339E0"/>
    <w:rsid w:val="00637B13"/>
    <w:rsid w:val="006436E0"/>
    <w:rsid w:val="00647DD7"/>
    <w:rsid w:val="00652311"/>
    <w:rsid w:val="00652BBE"/>
    <w:rsid w:val="00653278"/>
    <w:rsid w:val="00654E97"/>
    <w:rsid w:val="00655146"/>
    <w:rsid w:val="00657360"/>
    <w:rsid w:val="006649B6"/>
    <w:rsid w:val="0066671D"/>
    <w:rsid w:val="00667602"/>
    <w:rsid w:val="00680CF9"/>
    <w:rsid w:val="00681A67"/>
    <w:rsid w:val="006836D3"/>
    <w:rsid w:val="006A02B9"/>
    <w:rsid w:val="006A1B8C"/>
    <w:rsid w:val="006A3991"/>
    <w:rsid w:val="006B1B5D"/>
    <w:rsid w:val="006B3F42"/>
    <w:rsid w:val="006B57E7"/>
    <w:rsid w:val="006C42D9"/>
    <w:rsid w:val="006C4A27"/>
    <w:rsid w:val="006C61CF"/>
    <w:rsid w:val="006C6DAF"/>
    <w:rsid w:val="006D2653"/>
    <w:rsid w:val="006D36AC"/>
    <w:rsid w:val="006D3D77"/>
    <w:rsid w:val="006D793A"/>
    <w:rsid w:val="006E2549"/>
    <w:rsid w:val="006E3C8C"/>
    <w:rsid w:val="006F28A4"/>
    <w:rsid w:val="006F45C6"/>
    <w:rsid w:val="006F4793"/>
    <w:rsid w:val="00705F6F"/>
    <w:rsid w:val="00720E69"/>
    <w:rsid w:val="0072405F"/>
    <w:rsid w:val="007249AF"/>
    <w:rsid w:val="00726990"/>
    <w:rsid w:val="00726B9E"/>
    <w:rsid w:val="007277D4"/>
    <w:rsid w:val="00732880"/>
    <w:rsid w:val="00734A8B"/>
    <w:rsid w:val="007357B8"/>
    <w:rsid w:val="00737695"/>
    <w:rsid w:val="00737F88"/>
    <w:rsid w:val="00740D59"/>
    <w:rsid w:val="007415DE"/>
    <w:rsid w:val="007428B7"/>
    <w:rsid w:val="007428B8"/>
    <w:rsid w:val="007435A5"/>
    <w:rsid w:val="007450E6"/>
    <w:rsid w:val="00750441"/>
    <w:rsid w:val="0075186D"/>
    <w:rsid w:val="00754807"/>
    <w:rsid w:val="00754DD8"/>
    <w:rsid w:val="00756F5E"/>
    <w:rsid w:val="0075789D"/>
    <w:rsid w:val="00771D5F"/>
    <w:rsid w:val="00774701"/>
    <w:rsid w:val="00783685"/>
    <w:rsid w:val="00787159"/>
    <w:rsid w:val="00791B5E"/>
    <w:rsid w:val="007A02A1"/>
    <w:rsid w:val="007A22E4"/>
    <w:rsid w:val="007B175A"/>
    <w:rsid w:val="007B4912"/>
    <w:rsid w:val="007C1F67"/>
    <w:rsid w:val="007C361A"/>
    <w:rsid w:val="007E06EE"/>
    <w:rsid w:val="007E283D"/>
    <w:rsid w:val="007E32BE"/>
    <w:rsid w:val="007E3E47"/>
    <w:rsid w:val="007F20F2"/>
    <w:rsid w:val="007F3B52"/>
    <w:rsid w:val="007F40D0"/>
    <w:rsid w:val="007F54EC"/>
    <w:rsid w:val="00800BC2"/>
    <w:rsid w:val="008070C5"/>
    <w:rsid w:val="00807281"/>
    <w:rsid w:val="00812A19"/>
    <w:rsid w:val="00815169"/>
    <w:rsid w:val="008207F3"/>
    <w:rsid w:val="00820C29"/>
    <w:rsid w:val="00822CA7"/>
    <w:rsid w:val="0082436C"/>
    <w:rsid w:val="0083707B"/>
    <w:rsid w:val="00840DF0"/>
    <w:rsid w:val="00846809"/>
    <w:rsid w:val="00850052"/>
    <w:rsid w:val="00850C69"/>
    <w:rsid w:val="00852426"/>
    <w:rsid w:val="008525E8"/>
    <w:rsid w:val="00861260"/>
    <w:rsid w:val="0086229A"/>
    <w:rsid w:val="00862CDB"/>
    <w:rsid w:val="008634D9"/>
    <w:rsid w:val="00863B0F"/>
    <w:rsid w:val="00865583"/>
    <w:rsid w:val="008675A8"/>
    <w:rsid w:val="00870B2D"/>
    <w:rsid w:val="008766E3"/>
    <w:rsid w:val="0088010A"/>
    <w:rsid w:val="00884144"/>
    <w:rsid w:val="00891831"/>
    <w:rsid w:val="008937D9"/>
    <w:rsid w:val="008A789F"/>
    <w:rsid w:val="008B17AE"/>
    <w:rsid w:val="008B37B9"/>
    <w:rsid w:val="008B7CA7"/>
    <w:rsid w:val="008C17B5"/>
    <w:rsid w:val="008C24E7"/>
    <w:rsid w:val="008C26B2"/>
    <w:rsid w:val="008C3663"/>
    <w:rsid w:val="008D0E33"/>
    <w:rsid w:val="008D67AE"/>
    <w:rsid w:val="008E058A"/>
    <w:rsid w:val="008E1C8C"/>
    <w:rsid w:val="008E276E"/>
    <w:rsid w:val="008E2F27"/>
    <w:rsid w:val="008E348F"/>
    <w:rsid w:val="008E56AE"/>
    <w:rsid w:val="008E78A4"/>
    <w:rsid w:val="008F4432"/>
    <w:rsid w:val="008F57FB"/>
    <w:rsid w:val="008F6093"/>
    <w:rsid w:val="00910042"/>
    <w:rsid w:val="00910800"/>
    <w:rsid w:val="009109E5"/>
    <w:rsid w:val="00913341"/>
    <w:rsid w:val="00913A66"/>
    <w:rsid w:val="00916CB8"/>
    <w:rsid w:val="00921C4A"/>
    <w:rsid w:val="00922AAE"/>
    <w:rsid w:val="009258AD"/>
    <w:rsid w:val="00935704"/>
    <w:rsid w:val="00935E1F"/>
    <w:rsid w:val="00936345"/>
    <w:rsid w:val="00936526"/>
    <w:rsid w:val="0094073D"/>
    <w:rsid w:val="00941592"/>
    <w:rsid w:val="0094374A"/>
    <w:rsid w:val="00943BBB"/>
    <w:rsid w:val="00944BC2"/>
    <w:rsid w:val="00952B99"/>
    <w:rsid w:val="00953A07"/>
    <w:rsid w:val="009615FB"/>
    <w:rsid w:val="00965F16"/>
    <w:rsid w:val="00966F57"/>
    <w:rsid w:val="00967AC4"/>
    <w:rsid w:val="00970875"/>
    <w:rsid w:val="00971E87"/>
    <w:rsid w:val="00975291"/>
    <w:rsid w:val="00980553"/>
    <w:rsid w:val="00981635"/>
    <w:rsid w:val="00983FB1"/>
    <w:rsid w:val="0099036B"/>
    <w:rsid w:val="00992C95"/>
    <w:rsid w:val="009B64C6"/>
    <w:rsid w:val="009B6966"/>
    <w:rsid w:val="009B70F2"/>
    <w:rsid w:val="009C0B83"/>
    <w:rsid w:val="009C532E"/>
    <w:rsid w:val="009D2312"/>
    <w:rsid w:val="009D3FF8"/>
    <w:rsid w:val="009D49EA"/>
    <w:rsid w:val="009D4D2D"/>
    <w:rsid w:val="009D6D16"/>
    <w:rsid w:val="009E1408"/>
    <w:rsid w:val="009F0633"/>
    <w:rsid w:val="00A00481"/>
    <w:rsid w:val="00A00C37"/>
    <w:rsid w:val="00A01271"/>
    <w:rsid w:val="00A03D34"/>
    <w:rsid w:val="00A04C18"/>
    <w:rsid w:val="00A06886"/>
    <w:rsid w:val="00A17B57"/>
    <w:rsid w:val="00A21592"/>
    <w:rsid w:val="00A231E9"/>
    <w:rsid w:val="00A255BE"/>
    <w:rsid w:val="00A31B60"/>
    <w:rsid w:val="00A362BF"/>
    <w:rsid w:val="00A415B6"/>
    <w:rsid w:val="00A419CE"/>
    <w:rsid w:val="00A64766"/>
    <w:rsid w:val="00A64877"/>
    <w:rsid w:val="00A64E02"/>
    <w:rsid w:val="00A7099D"/>
    <w:rsid w:val="00A7623A"/>
    <w:rsid w:val="00A82214"/>
    <w:rsid w:val="00A8263D"/>
    <w:rsid w:val="00A82F2E"/>
    <w:rsid w:val="00A831DA"/>
    <w:rsid w:val="00A87721"/>
    <w:rsid w:val="00A910DB"/>
    <w:rsid w:val="00A919CD"/>
    <w:rsid w:val="00A9202D"/>
    <w:rsid w:val="00A92D78"/>
    <w:rsid w:val="00A96AC1"/>
    <w:rsid w:val="00A97154"/>
    <w:rsid w:val="00A97B00"/>
    <w:rsid w:val="00AA0B2E"/>
    <w:rsid w:val="00AA2B33"/>
    <w:rsid w:val="00AA57B3"/>
    <w:rsid w:val="00AA7731"/>
    <w:rsid w:val="00AB20BE"/>
    <w:rsid w:val="00AC1300"/>
    <w:rsid w:val="00AC49D7"/>
    <w:rsid w:val="00AD125A"/>
    <w:rsid w:val="00AD326E"/>
    <w:rsid w:val="00AD3896"/>
    <w:rsid w:val="00AD54D1"/>
    <w:rsid w:val="00AD59A4"/>
    <w:rsid w:val="00AD7927"/>
    <w:rsid w:val="00AF09E2"/>
    <w:rsid w:val="00AF6DEF"/>
    <w:rsid w:val="00B0116E"/>
    <w:rsid w:val="00B034F2"/>
    <w:rsid w:val="00B056A3"/>
    <w:rsid w:val="00B05FF1"/>
    <w:rsid w:val="00B1086E"/>
    <w:rsid w:val="00B11241"/>
    <w:rsid w:val="00B14EB6"/>
    <w:rsid w:val="00B163D0"/>
    <w:rsid w:val="00B16F5C"/>
    <w:rsid w:val="00B177EE"/>
    <w:rsid w:val="00B22475"/>
    <w:rsid w:val="00B25677"/>
    <w:rsid w:val="00B256D3"/>
    <w:rsid w:val="00B30577"/>
    <w:rsid w:val="00B3693A"/>
    <w:rsid w:val="00B4030A"/>
    <w:rsid w:val="00B4114E"/>
    <w:rsid w:val="00B41DC7"/>
    <w:rsid w:val="00B51C09"/>
    <w:rsid w:val="00B53CF5"/>
    <w:rsid w:val="00B55E28"/>
    <w:rsid w:val="00B63577"/>
    <w:rsid w:val="00B70664"/>
    <w:rsid w:val="00B72E3D"/>
    <w:rsid w:val="00B73FC7"/>
    <w:rsid w:val="00B83FF3"/>
    <w:rsid w:val="00B92594"/>
    <w:rsid w:val="00BA078D"/>
    <w:rsid w:val="00BA4B13"/>
    <w:rsid w:val="00BA6F68"/>
    <w:rsid w:val="00BA7337"/>
    <w:rsid w:val="00BA7C3D"/>
    <w:rsid w:val="00BB00E9"/>
    <w:rsid w:val="00BB3BF4"/>
    <w:rsid w:val="00BB40AE"/>
    <w:rsid w:val="00BB4362"/>
    <w:rsid w:val="00BB575F"/>
    <w:rsid w:val="00BC1C28"/>
    <w:rsid w:val="00BC3386"/>
    <w:rsid w:val="00BC34A2"/>
    <w:rsid w:val="00BC5E70"/>
    <w:rsid w:val="00BD114A"/>
    <w:rsid w:val="00BD1F95"/>
    <w:rsid w:val="00BD7A1F"/>
    <w:rsid w:val="00BD7D80"/>
    <w:rsid w:val="00BE04AE"/>
    <w:rsid w:val="00BE2070"/>
    <w:rsid w:val="00BE5103"/>
    <w:rsid w:val="00BE5BF7"/>
    <w:rsid w:val="00BE73FD"/>
    <w:rsid w:val="00BF2160"/>
    <w:rsid w:val="00C033C8"/>
    <w:rsid w:val="00C05EC7"/>
    <w:rsid w:val="00C05EF7"/>
    <w:rsid w:val="00C06396"/>
    <w:rsid w:val="00C0641A"/>
    <w:rsid w:val="00C131C2"/>
    <w:rsid w:val="00C14C5F"/>
    <w:rsid w:val="00C15D60"/>
    <w:rsid w:val="00C214DC"/>
    <w:rsid w:val="00C22D0B"/>
    <w:rsid w:val="00C2433A"/>
    <w:rsid w:val="00C27B7D"/>
    <w:rsid w:val="00C332DD"/>
    <w:rsid w:val="00C3673B"/>
    <w:rsid w:val="00C36AFD"/>
    <w:rsid w:val="00C41825"/>
    <w:rsid w:val="00C44623"/>
    <w:rsid w:val="00C45352"/>
    <w:rsid w:val="00C4605E"/>
    <w:rsid w:val="00C46D80"/>
    <w:rsid w:val="00C56DF4"/>
    <w:rsid w:val="00C60991"/>
    <w:rsid w:val="00C61F26"/>
    <w:rsid w:val="00C66390"/>
    <w:rsid w:val="00C7400F"/>
    <w:rsid w:val="00C740A2"/>
    <w:rsid w:val="00C7505B"/>
    <w:rsid w:val="00C754F5"/>
    <w:rsid w:val="00C836D9"/>
    <w:rsid w:val="00C84AC7"/>
    <w:rsid w:val="00C87F43"/>
    <w:rsid w:val="00C91ADD"/>
    <w:rsid w:val="00CA0F87"/>
    <w:rsid w:val="00CA1956"/>
    <w:rsid w:val="00CA51E0"/>
    <w:rsid w:val="00CB27CB"/>
    <w:rsid w:val="00CB51F7"/>
    <w:rsid w:val="00CC472B"/>
    <w:rsid w:val="00CC4DD2"/>
    <w:rsid w:val="00CC6D3E"/>
    <w:rsid w:val="00CC7F4A"/>
    <w:rsid w:val="00CD186B"/>
    <w:rsid w:val="00CD2969"/>
    <w:rsid w:val="00CD5115"/>
    <w:rsid w:val="00CE2B4F"/>
    <w:rsid w:val="00CE7BF8"/>
    <w:rsid w:val="00CF09A1"/>
    <w:rsid w:val="00CF623E"/>
    <w:rsid w:val="00CF7514"/>
    <w:rsid w:val="00D01E11"/>
    <w:rsid w:val="00D06C10"/>
    <w:rsid w:val="00D07F00"/>
    <w:rsid w:val="00D1118E"/>
    <w:rsid w:val="00D167FD"/>
    <w:rsid w:val="00D21154"/>
    <w:rsid w:val="00D31812"/>
    <w:rsid w:val="00D37B60"/>
    <w:rsid w:val="00D37D33"/>
    <w:rsid w:val="00D40B42"/>
    <w:rsid w:val="00D40FA3"/>
    <w:rsid w:val="00D47231"/>
    <w:rsid w:val="00D47DAB"/>
    <w:rsid w:val="00D557E0"/>
    <w:rsid w:val="00D5774C"/>
    <w:rsid w:val="00D73388"/>
    <w:rsid w:val="00D75058"/>
    <w:rsid w:val="00D75FA4"/>
    <w:rsid w:val="00D80C58"/>
    <w:rsid w:val="00D83563"/>
    <w:rsid w:val="00D866F9"/>
    <w:rsid w:val="00D871A4"/>
    <w:rsid w:val="00D90A81"/>
    <w:rsid w:val="00D90C43"/>
    <w:rsid w:val="00D90EC6"/>
    <w:rsid w:val="00D91B68"/>
    <w:rsid w:val="00D928AB"/>
    <w:rsid w:val="00D93B2D"/>
    <w:rsid w:val="00D93DA6"/>
    <w:rsid w:val="00D940F9"/>
    <w:rsid w:val="00DB17B9"/>
    <w:rsid w:val="00DB3BEE"/>
    <w:rsid w:val="00DB6835"/>
    <w:rsid w:val="00DB7182"/>
    <w:rsid w:val="00DC6E15"/>
    <w:rsid w:val="00DC74AA"/>
    <w:rsid w:val="00DD3DCA"/>
    <w:rsid w:val="00DD4ADC"/>
    <w:rsid w:val="00DD635B"/>
    <w:rsid w:val="00DD7712"/>
    <w:rsid w:val="00DE06A0"/>
    <w:rsid w:val="00DE1D56"/>
    <w:rsid w:val="00DE7CDB"/>
    <w:rsid w:val="00DF079A"/>
    <w:rsid w:val="00DF2553"/>
    <w:rsid w:val="00DF5759"/>
    <w:rsid w:val="00DF6E1A"/>
    <w:rsid w:val="00E0191E"/>
    <w:rsid w:val="00E02101"/>
    <w:rsid w:val="00E05D8D"/>
    <w:rsid w:val="00E12D47"/>
    <w:rsid w:val="00E1586C"/>
    <w:rsid w:val="00E17787"/>
    <w:rsid w:val="00E21D21"/>
    <w:rsid w:val="00E22200"/>
    <w:rsid w:val="00E22F8C"/>
    <w:rsid w:val="00E25373"/>
    <w:rsid w:val="00E254D2"/>
    <w:rsid w:val="00E256FD"/>
    <w:rsid w:val="00E272FB"/>
    <w:rsid w:val="00E341CC"/>
    <w:rsid w:val="00E37FC8"/>
    <w:rsid w:val="00E4035D"/>
    <w:rsid w:val="00E426FD"/>
    <w:rsid w:val="00E42EDA"/>
    <w:rsid w:val="00E476A6"/>
    <w:rsid w:val="00E476ED"/>
    <w:rsid w:val="00E47872"/>
    <w:rsid w:val="00E50F80"/>
    <w:rsid w:val="00E5206C"/>
    <w:rsid w:val="00E54B54"/>
    <w:rsid w:val="00E56F78"/>
    <w:rsid w:val="00E56F84"/>
    <w:rsid w:val="00E61FB3"/>
    <w:rsid w:val="00E64632"/>
    <w:rsid w:val="00E716BB"/>
    <w:rsid w:val="00E757B0"/>
    <w:rsid w:val="00E77043"/>
    <w:rsid w:val="00E8311E"/>
    <w:rsid w:val="00E85507"/>
    <w:rsid w:val="00E9232A"/>
    <w:rsid w:val="00EA00CD"/>
    <w:rsid w:val="00EA09D0"/>
    <w:rsid w:val="00EB10F2"/>
    <w:rsid w:val="00EB1CAF"/>
    <w:rsid w:val="00EB248B"/>
    <w:rsid w:val="00EB2BB1"/>
    <w:rsid w:val="00EB406E"/>
    <w:rsid w:val="00EB7B43"/>
    <w:rsid w:val="00EC0326"/>
    <w:rsid w:val="00EE5103"/>
    <w:rsid w:val="00EF4100"/>
    <w:rsid w:val="00EF5DDB"/>
    <w:rsid w:val="00EF5FA1"/>
    <w:rsid w:val="00F0176E"/>
    <w:rsid w:val="00F03EEC"/>
    <w:rsid w:val="00F07738"/>
    <w:rsid w:val="00F1136D"/>
    <w:rsid w:val="00F13C88"/>
    <w:rsid w:val="00F213D7"/>
    <w:rsid w:val="00F313B3"/>
    <w:rsid w:val="00F3482F"/>
    <w:rsid w:val="00F3519A"/>
    <w:rsid w:val="00F3521F"/>
    <w:rsid w:val="00F418B1"/>
    <w:rsid w:val="00F46F45"/>
    <w:rsid w:val="00F52896"/>
    <w:rsid w:val="00F561A7"/>
    <w:rsid w:val="00F616F3"/>
    <w:rsid w:val="00F631C9"/>
    <w:rsid w:val="00F643D5"/>
    <w:rsid w:val="00F645B2"/>
    <w:rsid w:val="00F64E37"/>
    <w:rsid w:val="00F65745"/>
    <w:rsid w:val="00F70080"/>
    <w:rsid w:val="00F70CA8"/>
    <w:rsid w:val="00F71B8E"/>
    <w:rsid w:val="00F71D14"/>
    <w:rsid w:val="00F722B1"/>
    <w:rsid w:val="00F76EEC"/>
    <w:rsid w:val="00F81B59"/>
    <w:rsid w:val="00F81DE6"/>
    <w:rsid w:val="00F843B3"/>
    <w:rsid w:val="00F86FB4"/>
    <w:rsid w:val="00F93634"/>
    <w:rsid w:val="00F9480A"/>
    <w:rsid w:val="00FA4203"/>
    <w:rsid w:val="00FA5836"/>
    <w:rsid w:val="00FB4447"/>
    <w:rsid w:val="00FB4651"/>
    <w:rsid w:val="00FB54DE"/>
    <w:rsid w:val="00FB66E7"/>
    <w:rsid w:val="00FB76CA"/>
    <w:rsid w:val="00FC4ED0"/>
    <w:rsid w:val="00FC5AFC"/>
    <w:rsid w:val="00FC6081"/>
    <w:rsid w:val="00FD168C"/>
    <w:rsid w:val="00FD24DE"/>
    <w:rsid w:val="00FD2EFB"/>
    <w:rsid w:val="00FD5B70"/>
    <w:rsid w:val="00FD7703"/>
    <w:rsid w:val="00FE3007"/>
    <w:rsid w:val="00FE4126"/>
    <w:rsid w:val="00FE69DB"/>
    <w:rsid w:val="00FE7F79"/>
    <w:rsid w:val="00FF4470"/>
    <w:rsid w:val="1071BE8A"/>
    <w:rsid w:val="1D28D3B6"/>
    <w:rsid w:val="34EFA9BA"/>
    <w:rsid w:val="48680DE8"/>
    <w:rsid w:val="4AFE006F"/>
    <w:rsid w:val="4C19C277"/>
    <w:rsid w:val="6DD09F95"/>
    <w:rsid w:val="7572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B8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C2"/>
    <w:pPr>
      <w:spacing w:after="120" w:line="240" w:lineRule="auto"/>
    </w:pPr>
    <w:rPr>
      <w:rFonts w:ascii="Arial" w:eastAsia="Times New Roman" w:hAnsi="Arial" w:cs="Times New Roman"/>
      <w:color w:val="000000" w:themeColor="text1"/>
      <w:sz w:val="24"/>
      <w:szCs w:val="20"/>
    </w:rPr>
  </w:style>
  <w:style w:type="paragraph" w:styleId="Heading1">
    <w:name w:val="heading 1"/>
    <w:basedOn w:val="Normal"/>
    <w:next w:val="Normal"/>
    <w:link w:val="Heading1Char"/>
    <w:autoRedefine/>
    <w:qFormat/>
    <w:rsid w:val="0053782C"/>
    <w:pPr>
      <w:jc w:val="center"/>
      <w:outlineLvl w:val="0"/>
    </w:pPr>
    <w:rPr>
      <w:sz w:val="56"/>
      <w:szCs w:val="56"/>
    </w:rPr>
  </w:style>
  <w:style w:type="paragraph" w:styleId="Heading2">
    <w:name w:val="heading 2"/>
    <w:basedOn w:val="Normal"/>
    <w:next w:val="Normal"/>
    <w:link w:val="Heading2Char"/>
    <w:unhideWhenUsed/>
    <w:qFormat/>
    <w:rsid w:val="0053782C"/>
    <w:pPr>
      <w:keepNext/>
      <w:keepLines/>
      <w:spacing w:before="240" w:after="240"/>
      <w:outlineLvl w:val="1"/>
    </w:pPr>
    <w:rPr>
      <w:rFonts w:eastAsiaTheme="majorEastAsia" w:cstheme="majorBidi"/>
      <w:b/>
      <w:sz w:val="36"/>
      <w:szCs w:val="26"/>
    </w:rPr>
  </w:style>
  <w:style w:type="paragraph" w:styleId="Heading3">
    <w:name w:val="heading 3"/>
    <w:basedOn w:val="Normal"/>
    <w:next w:val="Normal"/>
    <w:link w:val="Heading3Char"/>
    <w:autoRedefine/>
    <w:unhideWhenUsed/>
    <w:qFormat/>
    <w:rsid w:val="009C532E"/>
    <w:pPr>
      <w:keepNext/>
      <w:keepLines/>
      <w:tabs>
        <w:tab w:val="left" w:pos="432"/>
      </w:tabs>
      <w:spacing w:before="240"/>
      <w:outlineLvl w:val="2"/>
    </w:pPr>
    <w:rPr>
      <w:rFonts w:eastAsiaTheme="majorEastAsia" w:cstheme="majorBidi"/>
      <w:b/>
      <w:sz w:val="32"/>
      <w:szCs w:val="24"/>
    </w:rPr>
  </w:style>
  <w:style w:type="paragraph" w:styleId="Heading4">
    <w:name w:val="heading 4"/>
    <w:basedOn w:val="Normal"/>
    <w:next w:val="Normal"/>
    <w:link w:val="Heading4Char"/>
    <w:unhideWhenUsed/>
    <w:qFormat/>
    <w:rsid w:val="00C740A2"/>
    <w:pPr>
      <w:keepNext/>
      <w:keepLines/>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53782C"/>
    <w:pPr>
      <w:keepNext/>
      <w:keepLines/>
      <w:outlineLvl w:val="4"/>
    </w:pPr>
    <w:rPr>
      <w:rFonts w:eastAsiaTheme="majorEastAsia" w:cstheme="majorBidi"/>
      <w:b/>
    </w:rPr>
  </w:style>
  <w:style w:type="paragraph" w:styleId="Heading6">
    <w:name w:val="heading 6"/>
    <w:basedOn w:val="Normal"/>
    <w:next w:val="Normal"/>
    <w:link w:val="Heading6Char"/>
    <w:autoRedefine/>
    <w:unhideWhenUsed/>
    <w:qFormat/>
    <w:rsid w:val="00944BC2"/>
    <w:pPr>
      <w:keepNext/>
      <w:keepLines/>
      <w:spacing w:before="120"/>
      <w:outlineLvl w:val="5"/>
    </w:pPr>
    <w:rPr>
      <w:rFonts w:eastAsiaTheme="majorEastAsia" w:cs="Arial"/>
      <w:b/>
      <w:color w:val="auto"/>
      <w:szCs w:val="24"/>
    </w:rPr>
  </w:style>
  <w:style w:type="paragraph" w:styleId="Heading7">
    <w:name w:val="heading 7"/>
    <w:basedOn w:val="Normal"/>
    <w:next w:val="Normal"/>
    <w:link w:val="Heading7Char"/>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782C"/>
    <w:rPr>
      <w:rFonts w:ascii="Arial" w:eastAsia="Times New Roman" w:hAnsi="Arial" w:cs="Times New Roman"/>
      <w:color w:val="000000" w:themeColor="text1"/>
      <w:sz w:val="56"/>
      <w:szCs w:val="56"/>
    </w:rPr>
  </w:style>
  <w:style w:type="character" w:customStyle="1" w:styleId="Heading2Char">
    <w:name w:val="Heading 2 Char"/>
    <w:basedOn w:val="DefaultParagraphFont"/>
    <w:link w:val="Heading2"/>
    <w:rsid w:val="0053782C"/>
    <w:rPr>
      <w:rFonts w:ascii="Arial" w:eastAsiaTheme="majorEastAsia" w:hAnsi="Arial" w:cstheme="majorBidi"/>
      <w:b/>
      <w:color w:val="000000" w:themeColor="text1"/>
      <w:sz w:val="36"/>
      <w:szCs w:val="26"/>
    </w:rPr>
  </w:style>
  <w:style w:type="character" w:customStyle="1" w:styleId="Heading3Char">
    <w:name w:val="Heading 3 Char"/>
    <w:basedOn w:val="DefaultParagraphFont"/>
    <w:link w:val="Heading3"/>
    <w:rsid w:val="009C532E"/>
    <w:rPr>
      <w:rFonts w:ascii="Arial" w:eastAsiaTheme="majorEastAsia" w:hAnsi="Arial" w:cstheme="majorBidi"/>
      <w:b/>
      <w:color w:val="000000" w:themeColor="text1"/>
      <w:sz w:val="32"/>
      <w:szCs w:val="24"/>
    </w:rPr>
  </w:style>
  <w:style w:type="character" w:customStyle="1" w:styleId="Heading4Char">
    <w:name w:val="Heading 4 Char"/>
    <w:basedOn w:val="DefaultParagraphFont"/>
    <w:link w:val="Heading4"/>
    <w:rsid w:val="00C740A2"/>
    <w:rPr>
      <w:rFonts w:ascii="Arial" w:eastAsiaTheme="majorEastAsia" w:hAnsi="Arial" w:cstheme="majorBidi"/>
      <w:b/>
      <w:iCs/>
      <w:color w:val="000000" w:themeColor="text1"/>
      <w:sz w:val="28"/>
      <w:szCs w:val="20"/>
    </w:rPr>
  </w:style>
  <w:style w:type="paragraph" w:styleId="Title">
    <w:name w:val="Title"/>
    <w:basedOn w:val="Normal"/>
    <w:next w:val="Normal"/>
    <w:link w:val="TitleChar"/>
    <w:qFormat/>
    <w:rsid w:val="00D83563"/>
    <w:pPr>
      <w:spacing w:before="120" w:after="240"/>
      <w:contextualSpacing/>
      <w:jc w:val="center"/>
      <w:outlineLvl w:val="0"/>
    </w:pPr>
    <w:rPr>
      <w:rFonts w:eastAsiaTheme="majorEastAsia" w:cstheme="majorBidi"/>
      <w:b/>
      <w:spacing w:val="-10"/>
      <w:kern w:val="28"/>
      <w:sz w:val="56"/>
      <w:szCs w:val="56"/>
    </w:rPr>
  </w:style>
  <w:style w:type="character" w:customStyle="1" w:styleId="TitleChar">
    <w:name w:val="Title Char"/>
    <w:basedOn w:val="DefaultParagraphFont"/>
    <w:link w:val="Title"/>
    <w:rsid w:val="00D83563"/>
    <w:rPr>
      <w:rFonts w:ascii="Arial" w:eastAsiaTheme="majorEastAsia" w:hAnsi="Arial" w:cstheme="majorBidi"/>
      <w:b/>
      <w:color w:val="000000" w:themeColor="text1"/>
      <w:spacing w:val="-10"/>
      <w:kern w:val="28"/>
      <w:sz w:val="56"/>
      <w:szCs w:val="56"/>
    </w:rPr>
  </w:style>
  <w:style w:type="character" w:customStyle="1" w:styleId="Heading5Char">
    <w:name w:val="Heading 5 Char"/>
    <w:basedOn w:val="DefaultParagraphFont"/>
    <w:link w:val="Heading5"/>
    <w:uiPriority w:val="9"/>
    <w:rsid w:val="0053782C"/>
    <w:rPr>
      <w:rFonts w:ascii="Arial" w:eastAsiaTheme="majorEastAsia" w:hAnsi="Arial" w:cstheme="majorBidi"/>
      <w:b/>
      <w:color w:val="000000" w:themeColor="text1"/>
      <w:sz w:val="24"/>
      <w:szCs w:val="20"/>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rsid w:val="00944BC2"/>
    <w:rPr>
      <w:rFonts w:ascii="Arial" w:eastAsiaTheme="majorEastAsia" w:hAnsi="Arial" w:cs="Arial"/>
      <w:b/>
      <w:sz w:val="24"/>
      <w:szCs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rsid w:val="00FE3007"/>
    <w:rPr>
      <w:rFonts w:ascii="Arial" w:eastAsiaTheme="majorEastAsia" w:hAnsi="Arial" w:cstheme="majorBidi"/>
      <w:i/>
      <w:iCs/>
      <w:color w:val="1F4D78" w:themeColor="accent1" w:themeShade="7F"/>
      <w:sz w:val="24"/>
    </w:rPr>
  </w:style>
  <w:style w:type="paragraph" w:styleId="Footer">
    <w:name w:val="footer"/>
    <w:basedOn w:val="Normal"/>
    <w:link w:val="FooterChar"/>
    <w:uiPriority w:val="99"/>
    <w:rsid w:val="00D83563"/>
    <w:pPr>
      <w:tabs>
        <w:tab w:val="center" w:pos="4320"/>
        <w:tab w:val="right" w:pos="8640"/>
      </w:tabs>
    </w:pPr>
  </w:style>
  <w:style w:type="character" w:customStyle="1" w:styleId="FooterChar">
    <w:name w:val="Footer Char"/>
    <w:basedOn w:val="DefaultParagraphFont"/>
    <w:link w:val="Footer"/>
    <w:uiPriority w:val="99"/>
    <w:rsid w:val="00D83563"/>
    <w:rPr>
      <w:rFonts w:ascii="Times New Roman" w:eastAsia="Times New Roman" w:hAnsi="Times New Roman" w:cs="Times New Roman"/>
      <w:sz w:val="24"/>
      <w:szCs w:val="20"/>
    </w:rPr>
  </w:style>
  <w:style w:type="paragraph" w:styleId="BodyTextIndent">
    <w:name w:val="Body Text Indent"/>
    <w:basedOn w:val="Normal"/>
    <w:link w:val="BodyTextIndentChar"/>
    <w:rsid w:val="00D83563"/>
    <w:pPr>
      <w:ind w:left="720"/>
    </w:pPr>
    <w:rPr>
      <w:sz w:val="22"/>
    </w:rPr>
  </w:style>
  <w:style w:type="character" w:customStyle="1" w:styleId="BodyTextIndentChar">
    <w:name w:val="Body Text Indent Char"/>
    <w:basedOn w:val="DefaultParagraphFont"/>
    <w:link w:val="BodyTextIndent"/>
    <w:rsid w:val="00D83563"/>
    <w:rPr>
      <w:rFonts w:ascii="Times New Roman" w:eastAsia="Times New Roman" w:hAnsi="Times New Roman" w:cs="Times New Roman"/>
      <w:szCs w:val="20"/>
    </w:rPr>
  </w:style>
  <w:style w:type="paragraph" w:styleId="BodyTextIndent2">
    <w:name w:val="Body Text Indent 2"/>
    <w:basedOn w:val="Normal"/>
    <w:link w:val="BodyTextIndent2Char"/>
    <w:rsid w:val="00D83563"/>
    <w:pPr>
      <w:ind w:firstLine="720"/>
    </w:pPr>
  </w:style>
  <w:style w:type="character" w:customStyle="1" w:styleId="BodyTextIndent2Char">
    <w:name w:val="Body Text Indent 2 Char"/>
    <w:basedOn w:val="DefaultParagraphFont"/>
    <w:link w:val="BodyTextIndent2"/>
    <w:rsid w:val="00D83563"/>
    <w:rPr>
      <w:rFonts w:ascii="Times New Roman" w:eastAsia="Times New Roman" w:hAnsi="Times New Roman" w:cs="Times New Roman"/>
      <w:sz w:val="24"/>
      <w:szCs w:val="20"/>
    </w:rPr>
  </w:style>
  <w:style w:type="paragraph" w:styleId="BodyTextIndent3">
    <w:name w:val="Body Text Indent 3"/>
    <w:basedOn w:val="Normal"/>
    <w:link w:val="BodyTextIndent3Char"/>
    <w:rsid w:val="00D83563"/>
    <w:pPr>
      <w:ind w:left="720" w:firstLine="390"/>
    </w:pPr>
    <w:rPr>
      <w:sz w:val="22"/>
    </w:rPr>
  </w:style>
  <w:style w:type="character" w:customStyle="1" w:styleId="BodyTextIndent3Char">
    <w:name w:val="Body Text Indent 3 Char"/>
    <w:basedOn w:val="DefaultParagraphFont"/>
    <w:link w:val="BodyTextIndent3"/>
    <w:rsid w:val="00D83563"/>
    <w:rPr>
      <w:rFonts w:ascii="Times New Roman" w:eastAsia="Times New Roman" w:hAnsi="Times New Roman" w:cs="Times New Roman"/>
      <w:szCs w:val="20"/>
    </w:rPr>
  </w:style>
  <w:style w:type="paragraph" w:styleId="BodyText">
    <w:name w:val="Body Text"/>
    <w:basedOn w:val="Normal"/>
    <w:link w:val="BodyTextChar"/>
    <w:rsid w:val="00D83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sz w:val="22"/>
    </w:rPr>
  </w:style>
  <w:style w:type="character" w:customStyle="1" w:styleId="BodyTextChar">
    <w:name w:val="Body Text Char"/>
    <w:basedOn w:val="DefaultParagraphFont"/>
    <w:link w:val="BodyText"/>
    <w:rsid w:val="00D83563"/>
    <w:rPr>
      <w:rFonts w:ascii="Times New Roman" w:eastAsia="Times New Roman" w:hAnsi="Times New Roman" w:cs="Times New Roman"/>
      <w:szCs w:val="20"/>
    </w:rPr>
  </w:style>
  <w:style w:type="paragraph" w:styleId="Header">
    <w:name w:val="header"/>
    <w:basedOn w:val="Normal"/>
    <w:link w:val="HeaderChar"/>
    <w:rsid w:val="00D83563"/>
    <w:pPr>
      <w:tabs>
        <w:tab w:val="center" w:pos="4320"/>
        <w:tab w:val="right" w:pos="8640"/>
      </w:tabs>
    </w:pPr>
  </w:style>
  <w:style w:type="character" w:customStyle="1" w:styleId="HeaderChar">
    <w:name w:val="Header Char"/>
    <w:basedOn w:val="DefaultParagraphFont"/>
    <w:link w:val="Header"/>
    <w:rsid w:val="00D83563"/>
    <w:rPr>
      <w:rFonts w:ascii="Times New Roman" w:eastAsia="Times New Roman" w:hAnsi="Times New Roman" w:cs="Times New Roman"/>
      <w:sz w:val="24"/>
      <w:szCs w:val="20"/>
    </w:rPr>
  </w:style>
  <w:style w:type="character" w:styleId="PageNumber">
    <w:name w:val="page number"/>
    <w:basedOn w:val="DefaultParagraphFont"/>
    <w:rsid w:val="00D83563"/>
  </w:style>
  <w:style w:type="paragraph" w:styleId="BalloonText">
    <w:name w:val="Balloon Text"/>
    <w:basedOn w:val="Normal"/>
    <w:link w:val="BalloonTextChar"/>
    <w:semiHidden/>
    <w:rsid w:val="00D83563"/>
    <w:rPr>
      <w:rFonts w:ascii="Tahoma" w:hAnsi="Tahoma" w:cs="Tahoma"/>
      <w:sz w:val="16"/>
      <w:szCs w:val="16"/>
    </w:rPr>
  </w:style>
  <w:style w:type="character" w:customStyle="1" w:styleId="BalloonTextChar">
    <w:name w:val="Balloon Text Char"/>
    <w:basedOn w:val="DefaultParagraphFont"/>
    <w:link w:val="BalloonText"/>
    <w:semiHidden/>
    <w:rsid w:val="00D83563"/>
    <w:rPr>
      <w:rFonts w:ascii="Tahoma" w:eastAsia="Times New Roman" w:hAnsi="Tahoma" w:cs="Tahoma"/>
      <w:sz w:val="16"/>
      <w:szCs w:val="16"/>
    </w:rPr>
  </w:style>
  <w:style w:type="paragraph" w:styleId="List">
    <w:name w:val="List"/>
    <w:basedOn w:val="Normal"/>
    <w:rsid w:val="00D83563"/>
    <w:pPr>
      <w:ind w:left="360" w:hanging="360"/>
    </w:pPr>
  </w:style>
  <w:style w:type="paragraph" w:styleId="List2">
    <w:name w:val="List 2"/>
    <w:basedOn w:val="Normal"/>
    <w:rsid w:val="00D83563"/>
    <w:pPr>
      <w:ind w:left="720" w:hanging="360"/>
    </w:pPr>
  </w:style>
  <w:style w:type="paragraph" w:styleId="List3">
    <w:name w:val="List 3"/>
    <w:basedOn w:val="Normal"/>
    <w:rsid w:val="00D83563"/>
    <w:pPr>
      <w:ind w:left="1080" w:hanging="360"/>
    </w:pPr>
  </w:style>
  <w:style w:type="paragraph" w:styleId="List4">
    <w:name w:val="List 4"/>
    <w:basedOn w:val="Normal"/>
    <w:rsid w:val="00D83563"/>
    <w:pPr>
      <w:ind w:left="1440" w:hanging="360"/>
    </w:pPr>
  </w:style>
  <w:style w:type="paragraph" w:styleId="List5">
    <w:name w:val="List 5"/>
    <w:basedOn w:val="Normal"/>
    <w:rsid w:val="00D83563"/>
    <w:pPr>
      <w:ind w:left="1800" w:hanging="360"/>
    </w:pPr>
  </w:style>
  <w:style w:type="paragraph" w:styleId="ListBullet2">
    <w:name w:val="List Bullet 2"/>
    <w:basedOn w:val="Normal"/>
    <w:rsid w:val="00D83563"/>
    <w:pPr>
      <w:numPr>
        <w:numId w:val="18"/>
      </w:numPr>
    </w:pPr>
  </w:style>
  <w:style w:type="paragraph" w:styleId="ListContinue2">
    <w:name w:val="List Continue 2"/>
    <w:basedOn w:val="Normal"/>
    <w:rsid w:val="00D83563"/>
    <w:pPr>
      <w:ind w:left="720"/>
    </w:pPr>
  </w:style>
  <w:style w:type="paragraph" w:styleId="ListContinue3">
    <w:name w:val="List Continue 3"/>
    <w:basedOn w:val="Normal"/>
    <w:rsid w:val="00D83563"/>
    <w:pPr>
      <w:ind w:left="1080"/>
    </w:pPr>
  </w:style>
  <w:style w:type="paragraph" w:styleId="BodyTextFirstIndent">
    <w:name w:val="Body Text First Indent"/>
    <w:basedOn w:val="BodyText"/>
    <w:link w:val="BodyTextFirstIndentChar"/>
    <w:rsid w:val="00D8356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ind w:firstLine="210"/>
    </w:pPr>
    <w:rPr>
      <w:sz w:val="24"/>
    </w:rPr>
  </w:style>
  <w:style w:type="character" w:customStyle="1" w:styleId="BodyTextFirstIndentChar">
    <w:name w:val="Body Text First Indent Char"/>
    <w:basedOn w:val="BodyTextChar"/>
    <w:link w:val="BodyTextFirstIndent"/>
    <w:rsid w:val="00D83563"/>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D83563"/>
    <w:pPr>
      <w:ind w:left="360" w:firstLine="210"/>
    </w:pPr>
    <w:rPr>
      <w:sz w:val="24"/>
    </w:rPr>
  </w:style>
  <w:style w:type="character" w:customStyle="1" w:styleId="BodyTextFirstIndent2Char">
    <w:name w:val="Body Text First Indent 2 Char"/>
    <w:basedOn w:val="BodyTextIndentChar"/>
    <w:link w:val="BodyTextFirstIndent2"/>
    <w:rsid w:val="00D83563"/>
    <w:rPr>
      <w:rFonts w:ascii="Times New Roman" w:eastAsia="Times New Roman" w:hAnsi="Times New Roman" w:cs="Times New Roman"/>
      <w:sz w:val="24"/>
      <w:szCs w:val="20"/>
    </w:rPr>
  </w:style>
  <w:style w:type="paragraph" w:styleId="NoteHeading">
    <w:name w:val="Note Heading"/>
    <w:basedOn w:val="Normal"/>
    <w:next w:val="Normal"/>
    <w:link w:val="NoteHeadingChar"/>
    <w:rsid w:val="00D83563"/>
  </w:style>
  <w:style w:type="character" w:customStyle="1" w:styleId="NoteHeadingChar">
    <w:name w:val="Note Heading Char"/>
    <w:basedOn w:val="DefaultParagraphFont"/>
    <w:link w:val="NoteHeading"/>
    <w:rsid w:val="00D83563"/>
    <w:rPr>
      <w:rFonts w:ascii="Times New Roman" w:eastAsia="Times New Roman" w:hAnsi="Times New Roman" w:cs="Times New Roman"/>
      <w:sz w:val="24"/>
      <w:szCs w:val="20"/>
    </w:rPr>
  </w:style>
  <w:style w:type="paragraph" w:customStyle="1" w:styleId="Pa0">
    <w:name w:val="Pa0"/>
    <w:basedOn w:val="Normal"/>
    <w:next w:val="Normal"/>
    <w:rsid w:val="00D83563"/>
    <w:pPr>
      <w:autoSpaceDE w:val="0"/>
      <w:autoSpaceDN w:val="0"/>
      <w:adjustRightInd w:val="0"/>
      <w:spacing w:line="241" w:lineRule="atLeast"/>
    </w:pPr>
    <w:rPr>
      <w:rFonts w:ascii="Optima" w:hAnsi="Optima"/>
      <w:szCs w:val="24"/>
    </w:rPr>
  </w:style>
  <w:style w:type="character" w:styleId="CommentReference">
    <w:name w:val="annotation reference"/>
    <w:basedOn w:val="DefaultParagraphFont"/>
    <w:uiPriority w:val="99"/>
    <w:semiHidden/>
    <w:unhideWhenUsed/>
    <w:rsid w:val="00D83563"/>
    <w:rPr>
      <w:sz w:val="16"/>
      <w:szCs w:val="16"/>
    </w:rPr>
  </w:style>
  <w:style w:type="paragraph" w:styleId="CommentText">
    <w:name w:val="annotation text"/>
    <w:basedOn w:val="Normal"/>
    <w:link w:val="CommentTextChar"/>
    <w:uiPriority w:val="99"/>
    <w:unhideWhenUsed/>
    <w:rsid w:val="00D83563"/>
    <w:rPr>
      <w:sz w:val="20"/>
    </w:rPr>
  </w:style>
  <w:style w:type="character" w:customStyle="1" w:styleId="CommentTextChar">
    <w:name w:val="Comment Text Char"/>
    <w:basedOn w:val="DefaultParagraphFont"/>
    <w:link w:val="CommentText"/>
    <w:uiPriority w:val="99"/>
    <w:rsid w:val="00D835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3563"/>
    <w:rPr>
      <w:b/>
      <w:bCs/>
    </w:rPr>
  </w:style>
  <w:style w:type="character" w:customStyle="1" w:styleId="CommentSubjectChar">
    <w:name w:val="Comment Subject Char"/>
    <w:basedOn w:val="CommentTextChar"/>
    <w:link w:val="CommentSubject"/>
    <w:uiPriority w:val="99"/>
    <w:semiHidden/>
    <w:rsid w:val="00D83563"/>
    <w:rPr>
      <w:rFonts w:ascii="Times New Roman" w:eastAsia="Times New Roman" w:hAnsi="Times New Roman" w:cs="Times New Roman"/>
      <w:b/>
      <w:bCs/>
      <w:sz w:val="20"/>
      <w:szCs w:val="20"/>
    </w:rPr>
  </w:style>
  <w:style w:type="paragraph" w:styleId="ListParagraph">
    <w:name w:val="List Paragraph"/>
    <w:basedOn w:val="Normal"/>
    <w:uiPriority w:val="34"/>
    <w:qFormat/>
    <w:rsid w:val="00D83563"/>
    <w:pPr>
      <w:ind w:left="720"/>
      <w:contextualSpacing/>
    </w:pPr>
  </w:style>
  <w:style w:type="character" w:styleId="Hyperlink">
    <w:name w:val="Hyperlink"/>
    <w:basedOn w:val="DefaultParagraphFont"/>
    <w:uiPriority w:val="99"/>
    <w:unhideWhenUsed/>
    <w:rsid w:val="00D83563"/>
    <w:rPr>
      <w:color w:val="0563C1" w:themeColor="hyperlink"/>
      <w:u w:val="single"/>
    </w:rPr>
  </w:style>
  <w:style w:type="character" w:styleId="FollowedHyperlink">
    <w:name w:val="FollowedHyperlink"/>
    <w:basedOn w:val="DefaultParagraphFont"/>
    <w:uiPriority w:val="99"/>
    <w:semiHidden/>
    <w:unhideWhenUsed/>
    <w:rsid w:val="00D83563"/>
    <w:rPr>
      <w:color w:val="954F72" w:themeColor="followedHyperlink"/>
      <w:u w:val="single"/>
    </w:rPr>
  </w:style>
  <w:style w:type="paragraph" w:styleId="TOCHeading">
    <w:name w:val="TOC Heading"/>
    <w:basedOn w:val="Heading1"/>
    <w:next w:val="Normal"/>
    <w:uiPriority w:val="39"/>
    <w:unhideWhenUsed/>
    <w:qFormat/>
    <w:rsid w:val="00D83563"/>
    <w:pPr>
      <w:spacing w:before="480" w:after="0" w:line="276" w:lineRule="auto"/>
      <w:outlineLvl w:val="9"/>
    </w:pPr>
    <w:rPr>
      <w:rFonts w:asciiTheme="majorHAnsi" w:hAnsiTheme="majorHAnsi"/>
      <w:bCs/>
      <w:color w:val="2E74B5" w:themeColor="accent1" w:themeShade="BF"/>
      <w:sz w:val="28"/>
      <w:szCs w:val="28"/>
      <w:lang w:eastAsia="ja-JP"/>
    </w:rPr>
  </w:style>
  <w:style w:type="paragraph" w:styleId="TOC2">
    <w:name w:val="toc 2"/>
    <w:basedOn w:val="Normal"/>
    <w:next w:val="Normal"/>
    <w:autoRedefine/>
    <w:uiPriority w:val="39"/>
    <w:unhideWhenUsed/>
    <w:rsid w:val="004802CE"/>
    <w:pPr>
      <w:tabs>
        <w:tab w:val="left" w:pos="720"/>
        <w:tab w:val="left" w:pos="810"/>
        <w:tab w:val="left" w:pos="900"/>
        <w:tab w:val="right" w:leader="dot" w:pos="9465"/>
      </w:tabs>
      <w:spacing w:after="100"/>
    </w:pPr>
    <w:rPr>
      <w:rFonts w:cs="Arial"/>
      <w:b/>
      <w:noProof/>
    </w:rPr>
  </w:style>
  <w:style w:type="paragraph" w:styleId="TOC1">
    <w:name w:val="toc 1"/>
    <w:basedOn w:val="Normal"/>
    <w:next w:val="Normal"/>
    <w:autoRedefine/>
    <w:uiPriority w:val="39"/>
    <w:unhideWhenUsed/>
    <w:rsid w:val="00D83563"/>
    <w:pPr>
      <w:tabs>
        <w:tab w:val="left" w:pos="630"/>
        <w:tab w:val="right" w:leader="dot" w:pos="9465"/>
      </w:tabs>
      <w:spacing w:after="100"/>
    </w:pPr>
    <w:rPr>
      <w:rFonts w:cs="Arial"/>
      <w:b/>
      <w:noProof/>
    </w:rPr>
  </w:style>
  <w:style w:type="paragraph" w:styleId="FootnoteText">
    <w:name w:val="footnote text"/>
    <w:basedOn w:val="Normal"/>
    <w:link w:val="FootnoteTextChar"/>
    <w:uiPriority w:val="99"/>
    <w:semiHidden/>
    <w:unhideWhenUsed/>
    <w:rsid w:val="00D83563"/>
    <w:rPr>
      <w:sz w:val="20"/>
    </w:rPr>
  </w:style>
  <w:style w:type="character" w:customStyle="1" w:styleId="FootnoteTextChar">
    <w:name w:val="Footnote Text Char"/>
    <w:basedOn w:val="DefaultParagraphFont"/>
    <w:link w:val="FootnoteText"/>
    <w:uiPriority w:val="99"/>
    <w:semiHidden/>
    <w:rsid w:val="00D835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83563"/>
    <w:rPr>
      <w:vertAlign w:val="superscript"/>
    </w:rPr>
  </w:style>
  <w:style w:type="paragraph" w:styleId="EndnoteText">
    <w:name w:val="endnote text"/>
    <w:basedOn w:val="Normal"/>
    <w:link w:val="EndnoteTextChar"/>
    <w:uiPriority w:val="99"/>
    <w:semiHidden/>
    <w:unhideWhenUsed/>
    <w:rsid w:val="00D83563"/>
    <w:rPr>
      <w:sz w:val="20"/>
    </w:rPr>
  </w:style>
  <w:style w:type="character" w:customStyle="1" w:styleId="EndnoteTextChar">
    <w:name w:val="Endnote Text Char"/>
    <w:basedOn w:val="DefaultParagraphFont"/>
    <w:link w:val="EndnoteText"/>
    <w:uiPriority w:val="99"/>
    <w:semiHidden/>
    <w:rsid w:val="00D835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83563"/>
    <w:rPr>
      <w:vertAlign w:val="superscript"/>
    </w:rPr>
  </w:style>
  <w:style w:type="paragraph" w:customStyle="1" w:styleId="bullet">
    <w:name w:val="bullet"/>
    <w:basedOn w:val="Normal"/>
    <w:rsid w:val="00D83563"/>
    <w:pPr>
      <w:numPr>
        <w:numId w:val="50"/>
      </w:numPr>
      <w:tabs>
        <w:tab w:val="clear" w:pos="360"/>
        <w:tab w:val="num" w:pos="1080"/>
      </w:tabs>
      <w:spacing w:after="240"/>
      <w:ind w:left="1080"/>
    </w:pPr>
    <w:rPr>
      <w:szCs w:val="24"/>
    </w:rPr>
  </w:style>
  <w:style w:type="paragraph" w:customStyle="1" w:styleId="Normal0">
    <w:name w:val="Normal+"/>
    <w:basedOn w:val="Normal"/>
    <w:rsid w:val="00D83563"/>
    <w:rPr>
      <w:rFonts w:ascii="Arial Narrow" w:hAnsi="Arial Narrow"/>
      <w:sz w:val="12"/>
    </w:rPr>
  </w:style>
  <w:style w:type="paragraph" w:styleId="Revision">
    <w:name w:val="Revision"/>
    <w:hidden/>
    <w:uiPriority w:val="99"/>
    <w:semiHidden/>
    <w:rsid w:val="00D83563"/>
    <w:pPr>
      <w:spacing w:after="0" w:line="240" w:lineRule="auto"/>
    </w:pPr>
    <w:rPr>
      <w:rFonts w:ascii="Times New Roman" w:eastAsia="Times New Roman" w:hAnsi="Times New Roman" w:cs="Times New Roman"/>
      <w:sz w:val="24"/>
      <w:szCs w:val="20"/>
    </w:rPr>
  </w:style>
  <w:style w:type="paragraph" w:styleId="TOC3">
    <w:name w:val="toc 3"/>
    <w:basedOn w:val="Normal"/>
    <w:next w:val="Normal"/>
    <w:autoRedefine/>
    <w:uiPriority w:val="39"/>
    <w:unhideWhenUsed/>
    <w:rsid w:val="001A11F5"/>
    <w:pPr>
      <w:tabs>
        <w:tab w:val="right" w:leader="dot" w:pos="9465"/>
      </w:tabs>
      <w:spacing w:after="100"/>
      <w:ind w:firstLine="270"/>
    </w:pPr>
    <w:rPr>
      <w:rFonts w:eastAsiaTheme="minorEastAsia" w:cs="Arial"/>
      <w:noProof/>
    </w:rPr>
  </w:style>
  <w:style w:type="character" w:styleId="UnresolvedMention">
    <w:name w:val="Unresolved Mention"/>
    <w:basedOn w:val="DefaultParagraphFont"/>
    <w:uiPriority w:val="99"/>
    <w:semiHidden/>
    <w:unhideWhenUsed/>
    <w:rsid w:val="008F4432"/>
    <w:rPr>
      <w:color w:val="605E5C"/>
      <w:shd w:val="clear" w:color="auto" w:fill="E1DFDD"/>
    </w:rPr>
  </w:style>
  <w:style w:type="table" w:styleId="TableGrid">
    <w:name w:val="Table Grid"/>
    <w:basedOn w:val="TableNormal"/>
    <w:uiPriority w:val="39"/>
    <w:rsid w:val="00774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42D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44261">
      <w:bodyDiv w:val="1"/>
      <w:marLeft w:val="0"/>
      <w:marRight w:val="0"/>
      <w:marTop w:val="0"/>
      <w:marBottom w:val="0"/>
      <w:divBdr>
        <w:top w:val="none" w:sz="0" w:space="0" w:color="auto"/>
        <w:left w:val="none" w:sz="0" w:space="0" w:color="auto"/>
        <w:bottom w:val="none" w:sz="0" w:space="0" w:color="auto"/>
        <w:right w:val="none" w:sz="0" w:space="0" w:color="auto"/>
      </w:divBdr>
    </w:div>
    <w:div w:id="756631538">
      <w:bodyDiv w:val="1"/>
      <w:marLeft w:val="0"/>
      <w:marRight w:val="0"/>
      <w:marTop w:val="0"/>
      <w:marBottom w:val="0"/>
      <w:divBdr>
        <w:top w:val="none" w:sz="0" w:space="0" w:color="auto"/>
        <w:left w:val="none" w:sz="0" w:space="0" w:color="auto"/>
        <w:bottom w:val="none" w:sz="0" w:space="0" w:color="auto"/>
        <w:right w:val="none" w:sz="0" w:space="0" w:color="auto"/>
      </w:divBdr>
    </w:div>
    <w:div w:id="971329562">
      <w:bodyDiv w:val="1"/>
      <w:marLeft w:val="0"/>
      <w:marRight w:val="0"/>
      <w:marTop w:val="0"/>
      <w:marBottom w:val="0"/>
      <w:divBdr>
        <w:top w:val="none" w:sz="0" w:space="0" w:color="auto"/>
        <w:left w:val="none" w:sz="0" w:space="0" w:color="auto"/>
        <w:bottom w:val="none" w:sz="0" w:space="0" w:color="auto"/>
        <w:right w:val="none" w:sz="0" w:space="0" w:color="auto"/>
      </w:divBdr>
    </w:div>
    <w:div w:id="109583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urrent/title-2/subtitle-A/chapter-II/part-200" TargetMode="External"/><Relationship Id="rId18" Type="http://schemas.openxmlformats.org/officeDocument/2006/relationships/hyperlink" Target="https://www.govinfo.gov/content/pkg/COMPS-732/pdf/COMPS-73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asb.org/" TargetMode="External"/><Relationship Id="rId7" Type="http://schemas.openxmlformats.org/officeDocument/2006/relationships/endnotes" Target="endnotes.xml"/><Relationship Id="rId12" Type="http://schemas.openxmlformats.org/officeDocument/2006/relationships/hyperlink" Target="https://www.ecfr.gov/current/title-34/subtitle-A" TargetMode="External"/><Relationship Id="rId17" Type="http://schemas.openxmlformats.org/officeDocument/2006/relationships/hyperlink" Target="https://leginfo.legislature.ca.gov/faces/codes_displayText.xhtml?lawCode=EDC&amp;division=4.&amp;title=2.&amp;part=29.&amp;chapter=4.&amp;article=3" TargetMode="External"/><Relationship Id="rId25" Type="http://schemas.openxmlformats.org/officeDocument/2006/relationships/hyperlink" Target="http://www.cde.ca.gov/fg/ac/sa" TargetMode="External"/><Relationship Id="rId2" Type="http://schemas.openxmlformats.org/officeDocument/2006/relationships/numbering" Target="numbering.xml"/><Relationship Id="rId16" Type="http://schemas.openxmlformats.org/officeDocument/2006/relationships/hyperlink" Target="http://www.gpo.gov/fdsys/pkg/USCODE-2011-title20/html/USCODE-2011-title20-chap28-subchapI-partA-sec1001.htm" TargetMode="External"/><Relationship Id="rId20" Type="http://schemas.openxmlformats.org/officeDocument/2006/relationships/hyperlink" Target="https://fasab.gov/accounting-stand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24/08/29/2024-17239/education-department-general-administrative-regulations-and-related-regulatory-provisions" TargetMode="External"/><Relationship Id="rId24" Type="http://schemas.openxmlformats.org/officeDocument/2006/relationships/hyperlink" Target="https://www.cde.ca.gov/sp/me/mt/funding.asp" TargetMode="External"/><Relationship Id="rId5" Type="http://schemas.openxmlformats.org/officeDocument/2006/relationships/webSettings" Target="webSettings.xml"/><Relationship Id="rId15" Type="http://schemas.openxmlformats.org/officeDocument/2006/relationships/hyperlink" Target="http://www.gpo.gov/fdsys/granule/FR-2004-07-02/04-15121/content-detail.html" TargetMode="External"/><Relationship Id="rId23" Type="http://schemas.openxmlformats.org/officeDocument/2006/relationships/hyperlink" Target="http://www.cde.ca.gov/ta/cr/" TargetMode="External"/><Relationship Id="rId10" Type="http://schemas.openxmlformats.org/officeDocument/2006/relationships/image" Target="media/image3.png"/><Relationship Id="rId19" Type="http://schemas.openxmlformats.org/officeDocument/2006/relationships/hyperlink" Target="http://www2.ed.gov/policy/elsec/leg/esea02/pg122.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info.gov/content/pkg/COMPS-748/pdf/COMPS-748.pdf" TargetMode="External"/><Relationship Id="rId22" Type="http://schemas.openxmlformats.org/officeDocument/2006/relationships/hyperlink" Target="https://www.cde.ca.gov/fg/ac/sa/documents/csam2024complete.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de.ca.gov/fg/aa/co/ca14wguit1leaalloc.asp" TargetMode="External"/><Relationship Id="rId7" Type="http://schemas.openxmlformats.org/officeDocument/2006/relationships/hyperlink" Target="https://www.cde.ca.gov/sp/me/mt/documents/outofstatetravel.pdf" TargetMode="External"/><Relationship Id="rId2" Type="http://schemas.openxmlformats.org/officeDocument/2006/relationships/hyperlink" Target="https://www.cde.ca.gov/ls/ex/dirctservguidance.asp" TargetMode="External"/><Relationship Id="rId1" Type="http://schemas.openxmlformats.org/officeDocument/2006/relationships/hyperlink" Target="http://www.cde.ca.gov/fg/ac/ic/" TargetMode="External"/><Relationship Id="rId6" Type="http://schemas.openxmlformats.org/officeDocument/2006/relationships/hyperlink" Target="https://www.cde.ca.gov/sp/me/mt/documents/allowablecost.docx" TargetMode="External"/><Relationship Id="rId5" Type="http://schemas.openxmlformats.org/officeDocument/2006/relationships/hyperlink" Target="https://www.ecfr.gov/current/title-2/part-200" TargetMode="External"/><Relationship Id="rId4" Type="http://schemas.openxmlformats.org/officeDocument/2006/relationships/hyperlink" Target="https://www2.ed.gov/programs/mep/mepnonregulatoryguidance3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4D02A-DD09-4806-8074-6B0260C4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14561</Words>
  <Characters>81400</Characters>
  <Application>Microsoft Office Word</Application>
  <DocSecurity>0</DocSecurity>
  <Lines>1565</Lines>
  <Paragraphs>834</Paragraphs>
  <ScaleCrop>false</ScaleCrop>
  <HeadingPairs>
    <vt:vector size="2" baseType="variant">
      <vt:variant>
        <vt:lpstr>Title</vt:lpstr>
      </vt:variant>
      <vt:variant>
        <vt:i4>1</vt:i4>
      </vt:variant>
    </vt:vector>
  </HeadingPairs>
  <TitlesOfParts>
    <vt:vector size="1" baseType="lpstr">
      <vt:lpstr>MEP Fiscal Handbook - Migrant (CA Dept of Education)</vt:lpstr>
    </vt:vector>
  </TitlesOfParts>
  <Company/>
  <LinksUpToDate>false</LinksUpToDate>
  <CharactersWithSpaces>95127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MEP Fiscal Handbook - Migrant (CA Dept of Education)</dc:title>
  <dc:subject>Migrant Education Program (MEP) 2025 Fiscal Handbook.</dc:subject>
  <dc:creator/>
  <cp:keywords/>
  <dc:description/>
  <cp:lastModifiedBy/>
  <cp:revision>1</cp:revision>
  <dcterms:created xsi:type="dcterms:W3CDTF">2025-11-13T22:59:00Z</dcterms:created>
  <dcterms:modified xsi:type="dcterms:W3CDTF">2025-11-18T19:27:00Z</dcterms:modified>
</cp:coreProperties>
</file>