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6957" w14:textId="77777777" w:rsidR="007F5F3F" w:rsidRDefault="00B07CCA" w:rsidP="00290C1E">
      <w:pPr>
        <w:pStyle w:val="Heading1"/>
        <w:jc w:val="center"/>
        <w:rPr>
          <w:sz w:val="32"/>
          <w:szCs w:val="28"/>
        </w:rPr>
      </w:pPr>
      <w:r w:rsidRPr="00C34EE7">
        <w:rPr>
          <w:sz w:val="32"/>
          <w:szCs w:val="28"/>
        </w:rPr>
        <w:t xml:space="preserve">Let’s Talk: Oral Health </w:t>
      </w:r>
      <w:r w:rsidR="00E70216" w:rsidRPr="00C34EE7">
        <w:rPr>
          <w:sz w:val="32"/>
          <w:szCs w:val="28"/>
        </w:rPr>
        <w:t>for</w:t>
      </w:r>
      <w:r w:rsidRPr="00C34EE7">
        <w:rPr>
          <w:sz w:val="32"/>
          <w:szCs w:val="28"/>
        </w:rPr>
        <w:t xml:space="preserve"> Kids</w:t>
      </w:r>
    </w:p>
    <w:p w14:paraId="626EFF4D" w14:textId="77777777" w:rsidR="00290C1E" w:rsidRDefault="00290C1E" w:rsidP="00AB40FB">
      <w:pPr>
        <w:jc w:val="center"/>
      </w:pPr>
      <w:r>
        <w:t xml:space="preserve">California Department of Education | </w:t>
      </w:r>
      <w:r w:rsidR="00AB40FB">
        <w:t>The Children’s Partnership</w:t>
      </w:r>
    </w:p>
    <w:p w14:paraId="57451EDD" w14:textId="77777777" w:rsidR="00AB40FB" w:rsidRPr="00AB40FB" w:rsidRDefault="00AB40FB" w:rsidP="00AB40FB">
      <w:pPr>
        <w:jc w:val="center"/>
        <w:rPr>
          <w:i/>
          <w:iCs/>
        </w:rPr>
      </w:pPr>
      <w:r w:rsidRPr="00AB40FB">
        <w:rPr>
          <w:i/>
          <w:iCs/>
        </w:rPr>
        <w:t>September 2018</w:t>
      </w:r>
    </w:p>
    <w:p w14:paraId="11BDE1B9" w14:textId="77777777" w:rsidR="0060374E" w:rsidRDefault="00E51774" w:rsidP="0060374E">
      <w:pPr>
        <w:jc w:val="center"/>
      </w:pPr>
      <w:r>
        <w:rPr>
          <w:noProof/>
        </w:rPr>
        <w:drawing>
          <wp:inline distT="0" distB="0" distL="0" distR="0" wp14:anchorId="014550A0" wp14:editId="5B32CC83">
            <wp:extent cx="2771775" cy="1038225"/>
            <wp:effectExtent l="0" t="0" r="9525" b="9525"/>
            <wp:docPr id="1" name="Picture 1" descr="Image of a 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1775" cy="1038225"/>
                    </a:xfrm>
                    <a:prstGeom prst="rect">
                      <a:avLst/>
                    </a:prstGeom>
                  </pic:spPr>
                </pic:pic>
              </a:graphicData>
            </a:graphic>
          </wp:inline>
        </w:drawing>
      </w:r>
    </w:p>
    <w:p w14:paraId="3C893D17" w14:textId="77777777" w:rsidR="00F262FD" w:rsidRPr="00C34EE7" w:rsidRDefault="00F262FD" w:rsidP="0060374E">
      <w:pPr>
        <w:pStyle w:val="Heading2"/>
        <w:jc w:val="center"/>
        <w:rPr>
          <w:sz w:val="28"/>
          <w:szCs w:val="24"/>
        </w:rPr>
      </w:pPr>
      <w:r w:rsidRPr="00C34EE7">
        <w:rPr>
          <w:sz w:val="28"/>
          <w:szCs w:val="24"/>
        </w:rPr>
        <w:t>Why Oral Health Matters</w:t>
      </w:r>
    </w:p>
    <w:p w14:paraId="77F96EBF" w14:textId="77777777" w:rsidR="00E70216" w:rsidRDefault="00E70216" w:rsidP="0060374E">
      <w:pPr>
        <w:pStyle w:val="ListParagraph"/>
        <w:numPr>
          <w:ilvl w:val="0"/>
          <w:numId w:val="11"/>
        </w:numPr>
        <w:jc w:val="center"/>
        <w:sectPr w:rsidR="00E70216" w:rsidSect="00BB41A4">
          <w:footerReference w:type="default" r:id="rId8"/>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space="720"/>
          <w:docGrid w:linePitch="360"/>
        </w:sectPr>
      </w:pPr>
    </w:p>
    <w:p w14:paraId="371A9BF5" w14:textId="77777777" w:rsidR="00F262FD" w:rsidRDefault="00F262FD" w:rsidP="00335F5B">
      <w:pPr>
        <w:pStyle w:val="ListParagraph"/>
        <w:numPr>
          <w:ilvl w:val="0"/>
          <w:numId w:val="11"/>
        </w:numPr>
        <w:contextualSpacing w:val="0"/>
      </w:pPr>
      <w:r w:rsidRPr="00F262FD">
        <w:t>Oral health problems can make it hard for children to concentrate in school, leading to low grades or even missed school days.</w:t>
      </w:r>
    </w:p>
    <w:p w14:paraId="12DDE88A" w14:textId="77777777" w:rsidR="00E70216" w:rsidRDefault="00F262FD" w:rsidP="00335F5B">
      <w:pPr>
        <w:pStyle w:val="ListParagraph"/>
        <w:numPr>
          <w:ilvl w:val="0"/>
          <w:numId w:val="11"/>
        </w:numPr>
        <w:spacing w:before="240"/>
        <w:contextualSpacing w:val="0"/>
      </w:pPr>
      <w:r w:rsidRPr="00F262FD">
        <w:t>Taking care of your child’s mouth and teeth will help them become a healthy adult.</w:t>
      </w:r>
    </w:p>
    <w:p w14:paraId="662EA423" w14:textId="77777777" w:rsidR="00E70216" w:rsidRDefault="00F262FD" w:rsidP="00E70216">
      <w:pPr>
        <w:pStyle w:val="ListParagraph"/>
        <w:numPr>
          <w:ilvl w:val="0"/>
          <w:numId w:val="11"/>
        </w:numPr>
        <w:contextualSpacing w:val="0"/>
      </w:pPr>
      <w:r w:rsidRPr="00F262FD">
        <w:t>Poor oral health leads to tooth decay, causing pain, infection, and tooth loss.</w:t>
      </w:r>
    </w:p>
    <w:p w14:paraId="265BC0C9" w14:textId="77777777" w:rsidR="00290C1E" w:rsidRDefault="00F262FD" w:rsidP="00290C1E">
      <w:pPr>
        <w:pStyle w:val="ListParagraph"/>
        <w:numPr>
          <w:ilvl w:val="0"/>
          <w:numId w:val="11"/>
        </w:numPr>
        <w:contextualSpacing w:val="0"/>
      </w:pPr>
      <w:r w:rsidRPr="00F262FD">
        <w:t>The pain and discomfort of tooth decay make it hard for children to eat and sleep well.</w:t>
      </w:r>
    </w:p>
    <w:p w14:paraId="28FFB257" w14:textId="77777777" w:rsidR="00E70216" w:rsidRPr="00290C1E" w:rsidRDefault="00F262FD" w:rsidP="00290C1E">
      <w:pPr>
        <w:pStyle w:val="ListParagraph"/>
        <w:numPr>
          <w:ilvl w:val="0"/>
          <w:numId w:val="11"/>
        </w:numPr>
        <w:contextualSpacing w:val="0"/>
        <w:rPr>
          <w:rStyle w:val="Emphasis"/>
          <w:i w:val="0"/>
          <w:iCs w:val="0"/>
        </w:rPr>
        <w:sectPr w:rsidR="00E70216" w:rsidRPr="00290C1E" w:rsidSect="00BB41A4">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num="2" w:space="720"/>
          <w:docGrid w:linePitch="360"/>
        </w:sectPr>
      </w:pPr>
      <w:r w:rsidRPr="00F262FD">
        <w:t>Gum disease affects a child’s blood sugar level and contributes to diabetes.</w:t>
      </w:r>
    </w:p>
    <w:p w14:paraId="74698CD8" w14:textId="77777777" w:rsidR="00B07CCA" w:rsidRPr="00C34EE7" w:rsidRDefault="00B07CCA" w:rsidP="00E861BB">
      <w:pPr>
        <w:pStyle w:val="Heading2"/>
        <w:jc w:val="center"/>
        <w:rPr>
          <w:sz w:val="28"/>
          <w:szCs w:val="24"/>
        </w:rPr>
      </w:pPr>
      <w:r w:rsidRPr="00C34EE7">
        <w:rPr>
          <w:sz w:val="28"/>
          <w:szCs w:val="24"/>
        </w:rPr>
        <w:t>Make sure your child:</w:t>
      </w:r>
    </w:p>
    <w:p w14:paraId="104D2120" w14:textId="77777777" w:rsidR="00BA40D9" w:rsidRDefault="00BA40D9" w:rsidP="00290C1E">
      <w:pPr>
        <w:sectPr w:rsidR="00BA40D9" w:rsidSect="00BB41A4">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space="720"/>
          <w:docGrid w:linePitch="360"/>
        </w:sectPr>
      </w:pPr>
    </w:p>
    <w:p w14:paraId="79FC7667" w14:textId="77777777" w:rsidR="00BA40D9" w:rsidRDefault="00BA40D9" w:rsidP="00E861BB">
      <w:pPr>
        <w:pStyle w:val="ListParagraph"/>
        <w:numPr>
          <w:ilvl w:val="0"/>
          <w:numId w:val="12"/>
        </w:numPr>
        <w:ind w:right="-576"/>
      </w:pPr>
      <w:r>
        <w:t>Brushes his or her teeth for two minutes, two times a day</w:t>
      </w:r>
    </w:p>
    <w:p w14:paraId="65574CF2" w14:textId="77777777" w:rsidR="00E861BB" w:rsidRDefault="00AB40FB" w:rsidP="00AB40FB">
      <w:pPr>
        <w:spacing w:after="120"/>
        <w:ind w:left="720"/>
      </w:pPr>
      <w:r>
        <w:rPr>
          <w:noProof/>
        </w:rPr>
        <w:drawing>
          <wp:inline distT="0" distB="0" distL="0" distR="0" wp14:anchorId="46DC94E2" wp14:editId="1748787F">
            <wp:extent cx="450864" cy="500654"/>
            <wp:effectExtent l="0" t="0" r="6350" b="0"/>
            <wp:docPr id="2" name="Picture 2" descr="Image of a d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739" cy="547153"/>
                    </a:xfrm>
                    <a:prstGeom prst="rect">
                      <a:avLst/>
                    </a:prstGeom>
                  </pic:spPr>
                </pic:pic>
              </a:graphicData>
            </a:graphic>
          </wp:inline>
        </w:drawing>
      </w:r>
      <w:r w:rsidR="00E861BB">
        <w:rPr>
          <w:noProof/>
        </w:rPr>
        <w:drawing>
          <wp:inline distT="0" distB="0" distL="0" distR="0" wp14:anchorId="5243642C" wp14:editId="7E66C31F">
            <wp:extent cx="487587" cy="527050"/>
            <wp:effectExtent l="0" t="0" r="8255" b="6350"/>
            <wp:docPr id="9" name="Picture 9" descr="Image of a timer with the number 2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443" cy="566889"/>
                    </a:xfrm>
                    <a:prstGeom prst="rect">
                      <a:avLst/>
                    </a:prstGeom>
                    <a:noFill/>
                  </pic:spPr>
                </pic:pic>
              </a:graphicData>
            </a:graphic>
          </wp:inline>
        </w:drawing>
      </w:r>
    </w:p>
    <w:p w14:paraId="612FBFBF" w14:textId="77777777" w:rsidR="00BA40D9" w:rsidRDefault="00BA40D9" w:rsidP="00E861BB">
      <w:pPr>
        <w:pStyle w:val="ListParagraph"/>
        <w:numPr>
          <w:ilvl w:val="0"/>
          <w:numId w:val="12"/>
        </w:numPr>
        <w:ind w:left="72"/>
      </w:pPr>
      <w:r>
        <w:t>Visits the dentist twice a year</w:t>
      </w:r>
    </w:p>
    <w:p w14:paraId="7FDBE86F" w14:textId="77777777" w:rsidR="00E861BB" w:rsidRDefault="00E861BB" w:rsidP="00BA40D9">
      <w:pPr>
        <w:sectPr w:rsidR="00E861BB" w:rsidSect="00E861BB">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num="3" w:space="720"/>
          <w:docGrid w:linePitch="360"/>
        </w:sectPr>
      </w:pPr>
    </w:p>
    <w:p w14:paraId="3270F9AA" w14:textId="77777777" w:rsidR="00E861BB" w:rsidRPr="001954D7" w:rsidRDefault="00BA40D9" w:rsidP="00E861BB">
      <w:pPr>
        <w:jc w:val="center"/>
        <w:rPr>
          <w:rStyle w:val="Emphasis"/>
          <w:sz w:val="28"/>
          <w:szCs w:val="24"/>
        </w:rPr>
      </w:pPr>
      <w:r w:rsidRPr="001954D7">
        <w:rPr>
          <w:rStyle w:val="Emphasis"/>
          <w:sz w:val="28"/>
          <w:szCs w:val="24"/>
        </w:rPr>
        <w:t>You can help prevent tooth decay!</w:t>
      </w:r>
    </w:p>
    <w:p w14:paraId="3326B4AB" w14:textId="77777777" w:rsidR="00E861BB" w:rsidRPr="00BA40D9" w:rsidRDefault="00E861BB" w:rsidP="00E861BB">
      <w:pPr>
        <w:jc w:val="center"/>
        <w:rPr>
          <w:i/>
          <w:iCs/>
        </w:rPr>
      </w:pPr>
      <w:r>
        <w:rPr>
          <w:i/>
          <w:iCs/>
          <w:noProof/>
        </w:rPr>
        <w:drawing>
          <wp:inline distT="0" distB="0" distL="0" distR="0" wp14:anchorId="475885FB" wp14:editId="2A18C2A1">
            <wp:extent cx="463550" cy="487680"/>
            <wp:effectExtent l="0" t="0" r="0" b="7620"/>
            <wp:docPr id="8" name="Picture 8" descr="Image of a boy with a tooth 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87680"/>
                    </a:xfrm>
                    <a:prstGeom prst="rect">
                      <a:avLst/>
                    </a:prstGeom>
                    <a:noFill/>
                  </pic:spPr>
                </pic:pic>
              </a:graphicData>
            </a:graphic>
          </wp:inline>
        </w:drawing>
      </w:r>
    </w:p>
    <w:p w14:paraId="6EEDC9A7" w14:textId="77777777" w:rsidR="00E861BB" w:rsidRPr="00E861BB" w:rsidRDefault="00E70216" w:rsidP="00E861BB">
      <w:pPr>
        <w:pStyle w:val="Heading2"/>
        <w:jc w:val="center"/>
        <w:rPr>
          <w:sz w:val="28"/>
          <w:szCs w:val="24"/>
        </w:rPr>
      </w:pPr>
      <w:r w:rsidRPr="00C34EE7">
        <w:rPr>
          <w:sz w:val="28"/>
          <w:szCs w:val="24"/>
        </w:rPr>
        <w:t>Did you know?</w:t>
      </w:r>
    </w:p>
    <w:p w14:paraId="335DFB16" w14:textId="77777777" w:rsidR="00B07CCA" w:rsidRDefault="00B07CCA" w:rsidP="00E70216">
      <w:pPr>
        <w:pStyle w:val="ListParagraph"/>
        <w:numPr>
          <w:ilvl w:val="0"/>
          <w:numId w:val="13"/>
        </w:numPr>
        <w:contextualSpacing w:val="0"/>
      </w:pPr>
      <w:r w:rsidRPr="00B07CCA">
        <w:t>Tooth decay is the most common children’s chronic disease in the U.S.</w:t>
      </w:r>
    </w:p>
    <w:p w14:paraId="377658BA" w14:textId="77777777" w:rsidR="00290C1E" w:rsidRDefault="00B07CCA" w:rsidP="00335F5B">
      <w:pPr>
        <w:pStyle w:val="ListParagraph"/>
        <w:numPr>
          <w:ilvl w:val="0"/>
          <w:numId w:val="13"/>
        </w:numPr>
        <w:spacing w:before="240"/>
        <w:contextualSpacing w:val="0"/>
      </w:pPr>
      <w:r w:rsidRPr="00B07CCA">
        <w:t>Black, Latino, and American Indian/Alaska-Native children are much more likely to suffer from tooth decay and gum disease than White children.</w:t>
      </w:r>
    </w:p>
    <w:p w14:paraId="5236BA53" w14:textId="77777777" w:rsidR="00B07CCA" w:rsidRPr="00C34EE7" w:rsidRDefault="00B07CCA" w:rsidP="00290C1E">
      <w:pPr>
        <w:pStyle w:val="Heading2"/>
        <w:jc w:val="center"/>
        <w:rPr>
          <w:sz w:val="28"/>
          <w:szCs w:val="24"/>
        </w:rPr>
      </w:pPr>
      <w:r w:rsidRPr="00C34EE7">
        <w:rPr>
          <w:sz w:val="28"/>
          <w:szCs w:val="24"/>
        </w:rPr>
        <w:lastRenderedPageBreak/>
        <w:t>Start Early</w:t>
      </w:r>
    </w:p>
    <w:p w14:paraId="1896EB6E" w14:textId="77777777" w:rsidR="00BA40D9" w:rsidRDefault="00BA40D9" w:rsidP="00290C1E">
      <w:pPr>
        <w:pStyle w:val="ListParagraph"/>
        <w:numPr>
          <w:ilvl w:val="0"/>
          <w:numId w:val="14"/>
        </w:numPr>
        <w:jc w:val="center"/>
        <w:sectPr w:rsidR="00BA40D9" w:rsidSect="00D55816">
          <w:type w:val="continuous"/>
          <w:pgSz w:w="12240" w:h="15840"/>
          <w:pgMar w:top="1440" w:right="1440" w:bottom="1440" w:left="1440" w:header="288" w:footer="864" w:gutter="0"/>
          <w:pgBorders w:offsetFrom="page">
            <w:top w:val="classicalWave" w:sz="8" w:space="24" w:color="auto"/>
            <w:left w:val="classicalWave" w:sz="8" w:space="24" w:color="auto"/>
            <w:bottom w:val="classicalWave" w:sz="8" w:space="24" w:color="auto"/>
            <w:right w:val="classicalWave" w:sz="8" w:space="24" w:color="auto"/>
          </w:pgBorders>
          <w:cols w:space="720"/>
          <w:docGrid w:linePitch="360"/>
        </w:sectPr>
      </w:pPr>
    </w:p>
    <w:p w14:paraId="70D2964D" w14:textId="77777777" w:rsidR="00B07CCA" w:rsidRDefault="00B07CCA" w:rsidP="00335F5B">
      <w:pPr>
        <w:pStyle w:val="ListParagraph"/>
        <w:numPr>
          <w:ilvl w:val="0"/>
          <w:numId w:val="14"/>
        </w:numPr>
        <w:contextualSpacing w:val="0"/>
      </w:pPr>
      <w:r w:rsidRPr="00E70216">
        <w:t>Clean your baby’s gums by gently wiping them with a soft clean cloth.</w:t>
      </w:r>
    </w:p>
    <w:p w14:paraId="59DD02C7" w14:textId="77777777" w:rsidR="00BA40D9" w:rsidRDefault="00B07CCA" w:rsidP="00335F5B">
      <w:pPr>
        <w:pStyle w:val="ListParagraph"/>
        <w:numPr>
          <w:ilvl w:val="0"/>
          <w:numId w:val="14"/>
        </w:numPr>
        <w:contextualSpacing w:val="0"/>
      </w:pPr>
      <w:r w:rsidRPr="00E70216">
        <w:t>Visit the dentist once their first tooth appears or by their first birthday – whichever comes first.</w:t>
      </w:r>
    </w:p>
    <w:p w14:paraId="0EC08169" w14:textId="77777777" w:rsidR="00BA40D9" w:rsidRPr="00E70216" w:rsidRDefault="00B07CCA" w:rsidP="00335F5B">
      <w:pPr>
        <w:pStyle w:val="ListParagraph"/>
        <w:numPr>
          <w:ilvl w:val="0"/>
          <w:numId w:val="14"/>
        </w:numPr>
        <w:contextualSpacing w:val="0"/>
      </w:pPr>
      <w:r w:rsidRPr="00E70216">
        <w:t>Once your child has at least two teeth next to one another, teach the basics of flossing.</w:t>
      </w:r>
    </w:p>
    <w:p w14:paraId="0A3148F4" w14:textId="77777777" w:rsidR="00B07CCA" w:rsidRPr="00E70216" w:rsidRDefault="00B07CCA" w:rsidP="00335F5B">
      <w:pPr>
        <w:pStyle w:val="ListParagraph"/>
        <w:numPr>
          <w:ilvl w:val="0"/>
          <w:numId w:val="14"/>
        </w:numPr>
        <w:contextualSpacing w:val="0"/>
      </w:pPr>
      <w:r w:rsidRPr="00E70216">
        <w:t>Children usually need help flossing until they are 8-10 years old.</w:t>
      </w:r>
    </w:p>
    <w:p w14:paraId="1FC867C6" w14:textId="77777777" w:rsidR="00BA40D9" w:rsidRDefault="00B07CCA" w:rsidP="00335F5B">
      <w:pPr>
        <w:pStyle w:val="ListParagraph"/>
        <w:numPr>
          <w:ilvl w:val="0"/>
          <w:numId w:val="14"/>
        </w:numPr>
        <w:contextualSpacing w:val="0"/>
      </w:pPr>
      <w:r w:rsidRPr="00E70216">
        <w:t>Choose a toothpaste for your child that contains fluoride, a naturally occurring mineral that helps protect and strengthen teeth.</w:t>
      </w:r>
    </w:p>
    <w:p w14:paraId="6641D412" w14:textId="77777777" w:rsidR="00D34B1B" w:rsidRDefault="00D34B1B" w:rsidP="00335F5B">
      <w:pPr>
        <w:ind w:left="2160"/>
        <w:sectPr w:rsidR="00D34B1B" w:rsidSect="00AB40FB">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num="2" w:space="720"/>
          <w:docGrid w:linePitch="360"/>
        </w:sectPr>
      </w:pPr>
    </w:p>
    <w:p w14:paraId="067198C6" w14:textId="77777777" w:rsidR="00A63EDC" w:rsidRPr="00C34EE7" w:rsidRDefault="00B07CCA" w:rsidP="00AB40FB">
      <w:pPr>
        <w:pStyle w:val="Heading2"/>
        <w:spacing w:before="480"/>
        <w:jc w:val="center"/>
        <w:rPr>
          <w:sz w:val="28"/>
          <w:szCs w:val="24"/>
        </w:rPr>
        <w:sectPr w:rsidR="00A63EDC" w:rsidRPr="00C34EE7" w:rsidSect="00BB41A4">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space="720"/>
          <w:docGrid w:linePitch="360"/>
        </w:sectPr>
      </w:pPr>
      <w:r w:rsidRPr="00C34EE7">
        <w:rPr>
          <w:sz w:val="28"/>
          <w:szCs w:val="24"/>
        </w:rPr>
        <w:t>Make Healthy Choices</w:t>
      </w:r>
    </w:p>
    <w:p w14:paraId="4EFE9C6D" w14:textId="77777777" w:rsidR="00B07CCA" w:rsidRDefault="00B07CCA" w:rsidP="00E70216">
      <w:pPr>
        <w:pStyle w:val="ListParagraph"/>
        <w:numPr>
          <w:ilvl w:val="0"/>
          <w:numId w:val="15"/>
        </w:numPr>
        <w:contextualSpacing w:val="0"/>
      </w:pPr>
      <w:r w:rsidRPr="00E70216">
        <w:t>What your child eats and drinks affects their oral health.</w:t>
      </w:r>
    </w:p>
    <w:p w14:paraId="18C3D9CA" w14:textId="77777777" w:rsidR="00A63EDC" w:rsidRPr="00E70216" w:rsidRDefault="00B07CCA" w:rsidP="00A63EDC">
      <w:pPr>
        <w:pStyle w:val="ListParagraph"/>
        <w:numPr>
          <w:ilvl w:val="0"/>
          <w:numId w:val="15"/>
        </w:numPr>
        <w:contextualSpacing w:val="0"/>
      </w:pPr>
      <w:r w:rsidRPr="00E70216">
        <w:t>Sugar contributes to tooth decay and about half of children’s sugar intake comes from juice and soda.</w:t>
      </w:r>
    </w:p>
    <w:p w14:paraId="2C86EC35" w14:textId="77777777" w:rsidR="00B07CCA" w:rsidRDefault="00B07CCA" w:rsidP="00E70216">
      <w:pPr>
        <w:pStyle w:val="ListParagraph"/>
        <w:numPr>
          <w:ilvl w:val="0"/>
          <w:numId w:val="15"/>
        </w:numPr>
      </w:pPr>
      <w:r w:rsidRPr="00E70216">
        <w:t>Choosing water or milk instead of sugary drinks like juice and soda can help keep your child’s mouth healthy. If you do give your child juice, try mixing it with water so it is half juice and half water.</w:t>
      </w:r>
    </w:p>
    <w:p w14:paraId="4F206E37" w14:textId="77777777" w:rsidR="00A63EDC" w:rsidRDefault="00A63EDC" w:rsidP="00A63EDC">
      <w:pPr>
        <w:sectPr w:rsidR="00A63EDC" w:rsidSect="00BB41A4">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num="2" w:space="720"/>
          <w:docGrid w:linePitch="360"/>
        </w:sectPr>
      </w:pPr>
    </w:p>
    <w:p w14:paraId="2A312054" w14:textId="77777777" w:rsidR="00B07CCA" w:rsidRDefault="00B07CCA" w:rsidP="00290C1E">
      <w:pPr>
        <w:pStyle w:val="Heading2"/>
        <w:jc w:val="center"/>
        <w:rPr>
          <w:sz w:val="28"/>
          <w:szCs w:val="24"/>
        </w:rPr>
      </w:pPr>
      <w:r w:rsidRPr="00C34EE7">
        <w:rPr>
          <w:sz w:val="28"/>
          <w:szCs w:val="24"/>
        </w:rPr>
        <w:t>Getting Covered</w:t>
      </w:r>
    </w:p>
    <w:p w14:paraId="39B20305" w14:textId="77777777" w:rsidR="00E861BB" w:rsidRPr="00E861BB" w:rsidRDefault="00D34B1B" w:rsidP="00E861BB">
      <w:pPr>
        <w:jc w:val="center"/>
      </w:pPr>
      <w:r>
        <w:rPr>
          <w:noProof/>
        </w:rPr>
        <w:drawing>
          <wp:inline distT="0" distB="0" distL="0" distR="0" wp14:anchorId="12EF692B" wp14:editId="05A23F76">
            <wp:extent cx="463027" cy="468539"/>
            <wp:effectExtent l="0" t="0" r="0" b="8255"/>
            <wp:docPr id="13" name="Picture 13" descr="Image of a purple health cros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519" cy="479156"/>
                    </a:xfrm>
                    <a:prstGeom prst="rect">
                      <a:avLst/>
                    </a:prstGeom>
                  </pic:spPr>
                </pic:pic>
              </a:graphicData>
            </a:graphic>
          </wp:inline>
        </w:drawing>
      </w:r>
    </w:p>
    <w:p w14:paraId="7D2A9BBF" w14:textId="77777777" w:rsidR="00B07CCA" w:rsidRDefault="00B07CCA" w:rsidP="00E70216">
      <w:pPr>
        <w:pStyle w:val="ListParagraph"/>
        <w:numPr>
          <w:ilvl w:val="0"/>
          <w:numId w:val="16"/>
        </w:numPr>
        <w:contextualSpacing w:val="0"/>
      </w:pPr>
      <w:r w:rsidRPr="00B07CCA">
        <w:t>All children, regardless of immigration status, can sign up for Medi-Cal coverage if their family meets income requirements.</w:t>
      </w:r>
    </w:p>
    <w:p w14:paraId="66A5F2C8" w14:textId="77777777" w:rsidR="00A63EDC" w:rsidRDefault="00B07CCA" w:rsidP="00A63EDC">
      <w:pPr>
        <w:pStyle w:val="ListParagraph"/>
        <w:numPr>
          <w:ilvl w:val="0"/>
          <w:numId w:val="16"/>
        </w:numPr>
        <w:contextualSpacing w:val="0"/>
      </w:pPr>
      <w:r>
        <w:t>D</w:t>
      </w:r>
      <w:r w:rsidRPr="00B07CCA">
        <w:t>ental care is included with your child's Medi-Cal or Covered California.</w:t>
      </w:r>
    </w:p>
    <w:p w14:paraId="075FE15D" w14:textId="77777777" w:rsidR="00B07CCA" w:rsidRDefault="00B07CCA" w:rsidP="00E70216">
      <w:pPr>
        <w:pStyle w:val="ListParagraph"/>
        <w:numPr>
          <w:ilvl w:val="0"/>
          <w:numId w:val="16"/>
        </w:numPr>
        <w:contextualSpacing w:val="0"/>
      </w:pPr>
      <w:r>
        <w:t>Many more services are covered including regular check-ups, sealants, fillings, and emergency services.</w:t>
      </w:r>
    </w:p>
    <w:p w14:paraId="0455662F" w14:textId="77777777" w:rsidR="00AB40FB" w:rsidRDefault="00B07CCA" w:rsidP="00AB40FB">
      <w:pPr>
        <w:pStyle w:val="ListParagraph"/>
        <w:numPr>
          <w:ilvl w:val="0"/>
          <w:numId w:val="16"/>
        </w:numPr>
        <w:contextualSpacing w:val="0"/>
      </w:pPr>
      <w:r>
        <w:t>Parents, single adults, and pregnant women may also be eligible for dental benefits through Medi-Cal or Covered California.</w:t>
      </w:r>
    </w:p>
    <w:p w14:paraId="5B3DD1CB" w14:textId="77777777" w:rsidR="00B07CCA" w:rsidRPr="00C34EE7" w:rsidRDefault="00B07CCA" w:rsidP="000D30BD">
      <w:pPr>
        <w:pStyle w:val="Heading2"/>
        <w:jc w:val="center"/>
        <w:rPr>
          <w:sz w:val="28"/>
          <w:szCs w:val="24"/>
        </w:rPr>
      </w:pPr>
      <w:r w:rsidRPr="00C34EE7">
        <w:rPr>
          <w:sz w:val="28"/>
          <w:szCs w:val="24"/>
        </w:rPr>
        <w:t>L</w:t>
      </w:r>
      <w:r w:rsidR="00335F5B">
        <w:rPr>
          <w:sz w:val="28"/>
          <w:szCs w:val="24"/>
        </w:rPr>
        <w:t>earn</w:t>
      </w:r>
      <w:r w:rsidRPr="00C34EE7">
        <w:rPr>
          <w:sz w:val="28"/>
          <w:szCs w:val="24"/>
        </w:rPr>
        <w:t xml:space="preserve"> M</w:t>
      </w:r>
      <w:r w:rsidR="00335F5B">
        <w:rPr>
          <w:sz w:val="28"/>
          <w:szCs w:val="24"/>
        </w:rPr>
        <w:t>ore</w:t>
      </w:r>
      <w:r w:rsidRPr="00C34EE7">
        <w:rPr>
          <w:sz w:val="28"/>
          <w:szCs w:val="24"/>
        </w:rPr>
        <w:t>:</w:t>
      </w:r>
    </w:p>
    <w:p w14:paraId="6DA645D7" w14:textId="77777777" w:rsidR="00B07CCA" w:rsidRDefault="00B07CCA" w:rsidP="00A63EDC">
      <w:pPr>
        <w:pStyle w:val="ListParagraph"/>
        <w:numPr>
          <w:ilvl w:val="0"/>
          <w:numId w:val="17"/>
        </w:numPr>
      </w:pPr>
      <w:r w:rsidRPr="00F175C1">
        <w:rPr>
          <w:b/>
          <w:bCs/>
        </w:rPr>
        <w:t>Medi-Cal or Covered California</w:t>
      </w:r>
      <w:r w:rsidR="00E70216" w:rsidRPr="00F175C1">
        <w:rPr>
          <w:b/>
          <w:bCs/>
        </w:rPr>
        <w:t>:</w:t>
      </w:r>
      <w:r>
        <w:t xml:space="preserve"> 1-800-300-1506</w:t>
      </w:r>
    </w:p>
    <w:p w14:paraId="1ED234EE" w14:textId="77777777" w:rsidR="00A63EDC" w:rsidRPr="00B07CCA" w:rsidRDefault="00B07CCA" w:rsidP="00335F5B">
      <w:pPr>
        <w:pStyle w:val="ListParagraph"/>
        <w:numPr>
          <w:ilvl w:val="0"/>
          <w:numId w:val="17"/>
        </w:numPr>
      </w:pPr>
      <w:r w:rsidRPr="00F175C1">
        <w:rPr>
          <w:b/>
          <w:bCs/>
        </w:rPr>
        <w:t>Medi-Cal Dental Cove</w:t>
      </w:r>
      <w:r w:rsidR="00E70216" w:rsidRPr="00F175C1">
        <w:rPr>
          <w:b/>
          <w:bCs/>
        </w:rPr>
        <w:t>rage (also known as Denti-Cal):</w:t>
      </w:r>
      <w:r w:rsidR="00E70216">
        <w:t xml:space="preserve"> </w:t>
      </w:r>
      <w:r>
        <w:t>1-800-322-6384</w:t>
      </w:r>
    </w:p>
    <w:sectPr w:rsidR="00A63EDC" w:rsidRPr="00B07CCA" w:rsidSect="00BB41A4">
      <w:type w:val="continuous"/>
      <w:pgSz w:w="12240" w:h="15840"/>
      <w:pgMar w:top="1440" w:right="1440" w:bottom="1440" w:left="1440" w:header="720" w:footer="720" w:gutter="0"/>
      <w:pgBorders w:offsetFrom="page">
        <w:top w:val="classicalWave" w:sz="8" w:space="24" w:color="auto"/>
        <w:left w:val="classicalWave" w:sz="8" w:space="24" w:color="auto"/>
        <w:bottom w:val="classicalWave" w:sz="8" w:space="24" w:color="auto"/>
        <w:right w:val="classicalWav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BB3B9" w14:textId="77777777" w:rsidR="002A7642" w:rsidRDefault="002A7642" w:rsidP="00A63EDC">
      <w:pPr>
        <w:spacing w:after="0"/>
      </w:pPr>
      <w:r>
        <w:separator/>
      </w:r>
    </w:p>
  </w:endnote>
  <w:endnote w:type="continuationSeparator" w:id="0">
    <w:p w14:paraId="397232B1" w14:textId="77777777" w:rsidR="002A7642" w:rsidRDefault="002A7642" w:rsidP="00A63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1020" w14:textId="77777777" w:rsidR="00A63EDC" w:rsidRDefault="00000000" w:rsidP="00D55816">
    <w:pPr>
      <w:pStyle w:val="Footer"/>
      <w:jc w:val="right"/>
    </w:pPr>
    <w:sdt>
      <w:sdtPr>
        <w:id w:val="-66108956"/>
        <w:docPartObj>
          <w:docPartGallery w:val="Page Numbers (Bottom of Page)"/>
          <w:docPartUnique/>
        </w:docPartObj>
      </w:sdtPr>
      <w:sdtEndPr>
        <w:rPr>
          <w:noProof/>
        </w:rPr>
      </w:sdtEndPr>
      <w:sdtContent>
        <w:r w:rsidR="00A63EDC">
          <w:fldChar w:fldCharType="begin"/>
        </w:r>
        <w:r w:rsidR="00A63EDC">
          <w:instrText xml:space="preserve"> PAGE   \* MERGEFORMAT </w:instrText>
        </w:r>
        <w:r w:rsidR="00A63EDC">
          <w:fldChar w:fldCharType="separate"/>
        </w:r>
        <w:r w:rsidR="0054111A">
          <w:rPr>
            <w:noProof/>
          </w:rPr>
          <w:t>2</w:t>
        </w:r>
        <w:r w:rsidR="00A63ED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327D" w14:textId="77777777" w:rsidR="002A7642" w:rsidRDefault="002A7642" w:rsidP="00A63EDC">
      <w:pPr>
        <w:spacing w:after="0"/>
      </w:pPr>
      <w:r>
        <w:separator/>
      </w:r>
    </w:p>
  </w:footnote>
  <w:footnote w:type="continuationSeparator" w:id="0">
    <w:p w14:paraId="0579F761" w14:textId="77777777" w:rsidR="002A7642" w:rsidRDefault="002A7642" w:rsidP="00A63E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3C60"/>
    <w:multiLevelType w:val="hybridMultilevel"/>
    <w:tmpl w:val="B9429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33497"/>
    <w:multiLevelType w:val="hybridMultilevel"/>
    <w:tmpl w:val="74A4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650FB"/>
    <w:multiLevelType w:val="hybridMultilevel"/>
    <w:tmpl w:val="D20ED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7C3046"/>
    <w:multiLevelType w:val="hybridMultilevel"/>
    <w:tmpl w:val="4210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D74E82"/>
    <w:multiLevelType w:val="hybridMultilevel"/>
    <w:tmpl w:val="44746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AC1E4B"/>
    <w:multiLevelType w:val="hybridMultilevel"/>
    <w:tmpl w:val="B3D44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784E0C"/>
    <w:multiLevelType w:val="hybridMultilevel"/>
    <w:tmpl w:val="D4F2C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8058048">
    <w:abstractNumId w:val="9"/>
  </w:num>
  <w:num w:numId="2" w16cid:durableId="1818254739">
    <w:abstractNumId w:val="7"/>
  </w:num>
  <w:num w:numId="3" w16cid:durableId="47805211">
    <w:abstractNumId w:val="6"/>
  </w:num>
  <w:num w:numId="4" w16cid:durableId="1328292616">
    <w:abstractNumId w:val="5"/>
  </w:num>
  <w:num w:numId="5" w16cid:durableId="382796676">
    <w:abstractNumId w:val="4"/>
  </w:num>
  <w:num w:numId="6" w16cid:durableId="487210130">
    <w:abstractNumId w:val="8"/>
  </w:num>
  <w:num w:numId="7" w16cid:durableId="53895341">
    <w:abstractNumId w:val="3"/>
  </w:num>
  <w:num w:numId="8" w16cid:durableId="948779209">
    <w:abstractNumId w:val="2"/>
  </w:num>
  <w:num w:numId="9" w16cid:durableId="180046780">
    <w:abstractNumId w:val="1"/>
  </w:num>
  <w:num w:numId="10" w16cid:durableId="1449007964">
    <w:abstractNumId w:val="0"/>
  </w:num>
  <w:num w:numId="11" w16cid:durableId="813303576">
    <w:abstractNumId w:val="16"/>
  </w:num>
  <w:num w:numId="12" w16cid:durableId="105586289">
    <w:abstractNumId w:val="14"/>
  </w:num>
  <w:num w:numId="13" w16cid:durableId="1498229188">
    <w:abstractNumId w:val="13"/>
  </w:num>
  <w:num w:numId="14" w16cid:durableId="1418668645">
    <w:abstractNumId w:val="10"/>
  </w:num>
  <w:num w:numId="15" w16cid:durableId="2116825141">
    <w:abstractNumId w:val="15"/>
  </w:num>
  <w:num w:numId="16" w16cid:durableId="495536067">
    <w:abstractNumId w:val="11"/>
  </w:num>
  <w:num w:numId="17" w16cid:durableId="563951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FD"/>
    <w:rsid w:val="000B67ED"/>
    <w:rsid w:val="000D30BD"/>
    <w:rsid w:val="000F7AF5"/>
    <w:rsid w:val="00161238"/>
    <w:rsid w:val="001954D7"/>
    <w:rsid w:val="001A0CA5"/>
    <w:rsid w:val="00223F78"/>
    <w:rsid w:val="00254AD1"/>
    <w:rsid w:val="00290C1E"/>
    <w:rsid w:val="002979F4"/>
    <w:rsid w:val="002A7642"/>
    <w:rsid w:val="002E4CB5"/>
    <w:rsid w:val="00335F5B"/>
    <w:rsid w:val="00381517"/>
    <w:rsid w:val="00430734"/>
    <w:rsid w:val="00441AAD"/>
    <w:rsid w:val="004D58E8"/>
    <w:rsid w:val="004E7AC1"/>
    <w:rsid w:val="0054111A"/>
    <w:rsid w:val="00581E8C"/>
    <w:rsid w:val="005846CF"/>
    <w:rsid w:val="005C3795"/>
    <w:rsid w:val="005C5B70"/>
    <w:rsid w:val="0060374E"/>
    <w:rsid w:val="0067103A"/>
    <w:rsid w:val="006909A9"/>
    <w:rsid w:val="006B0881"/>
    <w:rsid w:val="007428B8"/>
    <w:rsid w:val="007C6662"/>
    <w:rsid w:val="007E5BF1"/>
    <w:rsid w:val="007E64ED"/>
    <w:rsid w:val="007F5F3F"/>
    <w:rsid w:val="0081256C"/>
    <w:rsid w:val="008E4D20"/>
    <w:rsid w:val="00985C28"/>
    <w:rsid w:val="009B3E8C"/>
    <w:rsid w:val="009C70F5"/>
    <w:rsid w:val="00A63EDC"/>
    <w:rsid w:val="00A848D5"/>
    <w:rsid w:val="00AB40FB"/>
    <w:rsid w:val="00AE0C8E"/>
    <w:rsid w:val="00AF0211"/>
    <w:rsid w:val="00B07CCA"/>
    <w:rsid w:val="00B379B3"/>
    <w:rsid w:val="00BA40D9"/>
    <w:rsid w:val="00BB1847"/>
    <w:rsid w:val="00BB41A4"/>
    <w:rsid w:val="00BC76C9"/>
    <w:rsid w:val="00C11A19"/>
    <w:rsid w:val="00C21731"/>
    <w:rsid w:val="00C34EE7"/>
    <w:rsid w:val="00C82975"/>
    <w:rsid w:val="00CA6E47"/>
    <w:rsid w:val="00CB6664"/>
    <w:rsid w:val="00CC4F46"/>
    <w:rsid w:val="00D15074"/>
    <w:rsid w:val="00D34B1B"/>
    <w:rsid w:val="00D41632"/>
    <w:rsid w:val="00D47DAB"/>
    <w:rsid w:val="00D55816"/>
    <w:rsid w:val="00DA52B3"/>
    <w:rsid w:val="00DC52B0"/>
    <w:rsid w:val="00DC6AE6"/>
    <w:rsid w:val="00DC774C"/>
    <w:rsid w:val="00DF1FD3"/>
    <w:rsid w:val="00E51774"/>
    <w:rsid w:val="00E634EC"/>
    <w:rsid w:val="00E70216"/>
    <w:rsid w:val="00E861BB"/>
    <w:rsid w:val="00E90B6F"/>
    <w:rsid w:val="00EA58D4"/>
    <w:rsid w:val="00F175C1"/>
    <w:rsid w:val="00F262FD"/>
    <w:rsid w:val="00FD3C84"/>
    <w:rsid w:val="00FE30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3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B07CCA"/>
    <w:pPr>
      <w:ind w:left="720"/>
      <w:contextualSpacing/>
    </w:pPr>
  </w:style>
  <w:style w:type="character" w:styleId="Emphasis">
    <w:name w:val="Emphasis"/>
    <w:basedOn w:val="DefaultParagraphFont"/>
    <w:uiPriority w:val="20"/>
    <w:qFormat/>
    <w:rsid w:val="00B07CCA"/>
    <w:rPr>
      <w:i/>
      <w:iCs/>
    </w:rPr>
  </w:style>
  <w:style w:type="paragraph" w:styleId="Header">
    <w:name w:val="header"/>
    <w:basedOn w:val="Normal"/>
    <w:link w:val="HeaderChar"/>
    <w:uiPriority w:val="99"/>
    <w:unhideWhenUsed/>
    <w:rsid w:val="00A63EDC"/>
    <w:pPr>
      <w:tabs>
        <w:tab w:val="center" w:pos="4680"/>
        <w:tab w:val="right" w:pos="9360"/>
      </w:tabs>
      <w:spacing w:after="0"/>
    </w:pPr>
  </w:style>
  <w:style w:type="character" w:customStyle="1" w:styleId="HeaderChar">
    <w:name w:val="Header Char"/>
    <w:basedOn w:val="DefaultParagraphFont"/>
    <w:link w:val="Header"/>
    <w:uiPriority w:val="99"/>
    <w:rsid w:val="00A63EDC"/>
    <w:rPr>
      <w:rFonts w:ascii="Arial" w:hAnsi="Arial"/>
      <w:sz w:val="24"/>
    </w:rPr>
  </w:style>
  <w:style w:type="paragraph" w:styleId="Footer">
    <w:name w:val="footer"/>
    <w:basedOn w:val="Normal"/>
    <w:link w:val="FooterChar"/>
    <w:uiPriority w:val="99"/>
    <w:unhideWhenUsed/>
    <w:rsid w:val="00A63EDC"/>
    <w:pPr>
      <w:tabs>
        <w:tab w:val="center" w:pos="4680"/>
        <w:tab w:val="right" w:pos="9360"/>
      </w:tabs>
      <w:spacing w:after="0"/>
    </w:pPr>
  </w:style>
  <w:style w:type="character" w:customStyle="1" w:styleId="FooterChar">
    <w:name w:val="Footer Char"/>
    <w:basedOn w:val="DefaultParagraphFont"/>
    <w:link w:val="Footer"/>
    <w:uiPriority w:val="99"/>
    <w:rsid w:val="00A63EDC"/>
    <w:rPr>
      <w:rFonts w:ascii="Arial" w:hAnsi="Arial"/>
      <w:sz w:val="24"/>
    </w:rPr>
  </w:style>
  <w:style w:type="character" w:styleId="UnresolvedMention">
    <w:name w:val="Unresolved Mention"/>
    <w:basedOn w:val="DefaultParagraphFont"/>
    <w:uiPriority w:val="99"/>
    <w:semiHidden/>
    <w:unhideWhenUsed/>
    <w:rsid w:val="00335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Flyer - Migrant (CA Dept of Education)</dc:title>
  <dc:subject>This flyer provides families with information regarding oral health.</dc:subject>
  <dc:creator/>
  <cp:keywords/>
  <dc:description/>
  <cp:lastModifiedBy/>
  <cp:revision>1</cp:revision>
  <dcterms:created xsi:type="dcterms:W3CDTF">2024-11-04T20:06:00Z</dcterms:created>
  <dcterms:modified xsi:type="dcterms:W3CDTF">2024-11-04T20:07:00Z</dcterms:modified>
</cp:coreProperties>
</file>