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368D" w14:textId="2800EA4E" w:rsidR="009F0C39" w:rsidRPr="004073FE" w:rsidRDefault="004073FE" w:rsidP="004073FE">
      <w:pPr>
        <w:pStyle w:val="Heading1"/>
        <w:jc w:val="center"/>
        <w:rPr>
          <w:sz w:val="52"/>
          <w:szCs w:val="52"/>
        </w:rPr>
      </w:pPr>
      <w:r>
        <w:rPr>
          <w:sz w:val="52"/>
          <w:szCs w:val="52"/>
        </w:rPr>
        <w:t xml:space="preserve">2026 </w:t>
      </w:r>
      <w:r w:rsidR="009F0C39" w:rsidRPr="004073FE">
        <w:rPr>
          <w:sz w:val="52"/>
          <w:szCs w:val="52"/>
        </w:rPr>
        <w:t>State Service Delivery Plan</w:t>
      </w:r>
    </w:p>
    <w:p w14:paraId="144F8FB3" w14:textId="77777777" w:rsidR="006C4B40" w:rsidRDefault="007626CD" w:rsidP="00B32A6F">
      <w:pPr>
        <w:spacing w:before="1440" w:after="1440"/>
        <w:jc w:val="center"/>
        <w:rPr>
          <w:rFonts w:ascii="Arial" w:hAnsi="Arial" w:cs="Arial"/>
          <w:sz w:val="32"/>
          <w:szCs w:val="32"/>
        </w:rPr>
      </w:pPr>
      <w:r>
        <w:rPr>
          <w:noProof/>
        </w:rPr>
        <w:drawing>
          <wp:inline distT="0" distB="0" distL="0" distR="0" wp14:anchorId="26A61F2B" wp14:editId="4E066AA5">
            <wp:extent cx="3117850" cy="3495675"/>
            <wp:effectExtent l="0" t="0" r="6350" b="9525"/>
            <wp:docPr id="5" name="Picture 3" descr="State of California Migrant Education Program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of California Migrant Education Program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7850" cy="3495675"/>
                    </a:xfrm>
                    <a:prstGeom prst="rect">
                      <a:avLst/>
                    </a:prstGeom>
                    <a:noFill/>
                    <a:ln>
                      <a:noFill/>
                    </a:ln>
                  </pic:spPr>
                </pic:pic>
              </a:graphicData>
            </a:graphic>
          </wp:inline>
        </w:drawing>
      </w:r>
    </w:p>
    <w:p w14:paraId="4B487CA6" w14:textId="77777777" w:rsidR="006C4B40" w:rsidRPr="006C4B40" w:rsidRDefault="006C4B40" w:rsidP="00B32A6F">
      <w:pPr>
        <w:pBdr>
          <w:between w:val="single" w:sz="4" w:space="1" w:color="385623" w:themeColor="accent6" w:themeShade="80"/>
        </w:pBdr>
        <w:shd w:val="clear" w:color="auto" w:fill="2F5496" w:themeFill="accent5" w:themeFillShade="BF"/>
        <w:spacing w:before="120"/>
        <w:jc w:val="right"/>
        <w:rPr>
          <w:rFonts w:ascii="Arial" w:hAnsi="Arial" w:cs="Arial"/>
          <w:color w:val="FFFFFF" w:themeColor="background1"/>
          <w:sz w:val="28"/>
          <w:szCs w:val="28"/>
        </w:rPr>
      </w:pPr>
      <w:r w:rsidRPr="006C4B40">
        <w:rPr>
          <w:rFonts w:ascii="Arial" w:hAnsi="Arial" w:cs="Arial"/>
          <w:color w:val="FFFFFF" w:themeColor="background1"/>
          <w:sz w:val="28"/>
          <w:szCs w:val="28"/>
        </w:rPr>
        <w:t>California Department of Education</w:t>
      </w:r>
    </w:p>
    <w:p w14:paraId="36E2D61B" w14:textId="77777777" w:rsidR="006C4B40" w:rsidRDefault="009F0C39" w:rsidP="00B32A6F">
      <w:pPr>
        <w:pBdr>
          <w:between w:val="single" w:sz="4" w:space="1" w:color="385623" w:themeColor="accent6" w:themeShade="80"/>
        </w:pBdr>
        <w:shd w:val="clear" w:color="auto" w:fill="2F5496" w:themeFill="accent5" w:themeFillShade="BF"/>
        <w:spacing w:before="120"/>
        <w:jc w:val="right"/>
        <w:rPr>
          <w:rFonts w:ascii="Arial" w:hAnsi="Arial" w:cs="Arial"/>
          <w:color w:val="FFFFFF" w:themeColor="background1"/>
          <w:sz w:val="28"/>
          <w:szCs w:val="28"/>
        </w:rPr>
      </w:pPr>
      <w:r w:rsidRPr="006C4B40">
        <w:rPr>
          <w:rFonts w:ascii="Arial" w:hAnsi="Arial" w:cs="Arial"/>
          <w:color w:val="FFFFFF" w:themeColor="background1"/>
          <w:sz w:val="28"/>
          <w:szCs w:val="28"/>
        </w:rPr>
        <w:t>Migrant Education Office</w:t>
      </w:r>
    </w:p>
    <w:p w14:paraId="373C8F91" w14:textId="77777777" w:rsidR="009F0C39" w:rsidRPr="006C4B40" w:rsidRDefault="009F0C39" w:rsidP="00B32A6F">
      <w:pPr>
        <w:pBdr>
          <w:between w:val="single" w:sz="4" w:space="1" w:color="385623" w:themeColor="accent6" w:themeShade="80"/>
        </w:pBdr>
        <w:shd w:val="clear" w:color="auto" w:fill="2F5496" w:themeFill="accent5" w:themeFillShade="BF"/>
        <w:spacing w:before="120"/>
        <w:jc w:val="right"/>
        <w:rPr>
          <w:rFonts w:ascii="Arial" w:hAnsi="Arial" w:cs="Arial"/>
          <w:color w:val="FFFFFF" w:themeColor="background1"/>
          <w:sz w:val="28"/>
          <w:szCs w:val="28"/>
        </w:rPr>
      </w:pPr>
      <w:r w:rsidRPr="006C4B40">
        <w:rPr>
          <w:rFonts w:ascii="Arial" w:hAnsi="Arial" w:cs="Arial"/>
          <w:color w:val="FFFFFF" w:themeColor="background1"/>
          <w:sz w:val="28"/>
          <w:szCs w:val="28"/>
        </w:rPr>
        <w:t>Sacramento, California</w:t>
      </w:r>
    </w:p>
    <w:p w14:paraId="00242781" w14:textId="3669F36E" w:rsidR="009F0C39" w:rsidRPr="006C4B40" w:rsidRDefault="00B32A6F" w:rsidP="00B32A6F">
      <w:pPr>
        <w:pBdr>
          <w:between w:val="single" w:sz="4" w:space="1" w:color="385623" w:themeColor="accent6" w:themeShade="80"/>
        </w:pBdr>
        <w:shd w:val="clear" w:color="auto" w:fill="2F5496" w:themeFill="accent5" w:themeFillShade="BF"/>
        <w:spacing w:before="120"/>
        <w:jc w:val="right"/>
        <w:rPr>
          <w:rFonts w:ascii="Arial" w:hAnsi="Arial" w:cs="Arial"/>
          <w:color w:val="FFFFFF" w:themeColor="background1"/>
          <w:sz w:val="28"/>
          <w:szCs w:val="28"/>
        </w:rPr>
        <w:sectPr w:rsidR="009F0C39" w:rsidRPr="006C4B40" w:rsidSect="001E263E">
          <w:headerReference w:type="default" r:id="rId10"/>
          <w:footerReference w:type="default" r:id="rId11"/>
          <w:footerReference w:type="first" r:id="rId12"/>
          <w:pgSz w:w="12240" w:h="15840"/>
          <w:pgMar w:top="1440" w:right="1440" w:bottom="1440" w:left="1440" w:header="720" w:footer="720" w:gutter="0"/>
          <w:pgNumType w:fmt="lowerRoman"/>
          <w:cols w:space="720"/>
          <w:titlePg/>
          <w:docGrid w:linePitch="360"/>
        </w:sectPr>
      </w:pPr>
      <w:r>
        <w:rPr>
          <w:rFonts w:ascii="Arial" w:hAnsi="Arial" w:cs="Arial"/>
          <w:color w:val="FFFFFF" w:themeColor="background1"/>
          <w:sz w:val="28"/>
          <w:szCs w:val="28"/>
        </w:rPr>
        <w:t>July 2025</w:t>
      </w:r>
    </w:p>
    <w:p w14:paraId="060C3C56" w14:textId="46B365BB" w:rsidR="00072681" w:rsidRPr="005E0053" w:rsidRDefault="00072681" w:rsidP="005E0053">
      <w:pPr>
        <w:pStyle w:val="Heading2"/>
        <w:rPr>
          <w:rFonts w:cs="Arial"/>
        </w:rPr>
      </w:pPr>
      <w:bookmarkStart w:id="0" w:name="_Toc203568827"/>
      <w:r w:rsidRPr="005E0053">
        <w:rPr>
          <w:rFonts w:cs="Arial"/>
        </w:rPr>
        <w:lastRenderedPageBreak/>
        <w:t>Table of Contents</w:t>
      </w:r>
      <w:bookmarkEnd w:id="0"/>
    </w:p>
    <w:p w14:paraId="2D9CFD68" w14:textId="77F575B8" w:rsidR="001362A0" w:rsidRPr="001362A0" w:rsidRDefault="000E47AD">
      <w:pPr>
        <w:pStyle w:val="TOC2"/>
        <w:tabs>
          <w:tab w:val="right" w:leader="dot" w:pos="9350"/>
        </w:tabs>
        <w:rPr>
          <w:rFonts w:ascii="Arial" w:eastAsiaTheme="minorEastAsia" w:hAnsi="Arial" w:cs="Arial"/>
          <w:noProof/>
          <w:kern w:val="2"/>
          <w14:ligatures w14:val="standardContextual"/>
        </w:rPr>
      </w:pPr>
      <w:r w:rsidRPr="00F60CB4">
        <w:rPr>
          <w:rFonts w:ascii="Arial" w:hAnsi="Arial" w:cs="Arial"/>
        </w:rPr>
        <w:fldChar w:fldCharType="begin"/>
      </w:r>
      <w:r w:rsidRPr="00F60CB4">
        <w:rPr>
          <w:rFonts w:ascii="Arial" w:hAnsi="Arial" w:cs="Arial"/>
        </w:rPr>
        <w:instrText xml:space="preserve"> TOC \o "1-3" \h \z \u </w:instrText>
      </w:r>
      <w:r w:rsidRPr="00F60CB4">
        <w:rPr>
          <w:rFonts w:ascii="Arial" w:hAnsi="Arial" w:cs="Arial"/>
        </w:rPr>
        <w:fldChar w:fldCharType="separate"/>
      </w:r>
      <w:hyperlink w:anchor="_Toc203568827" w:history="1">
        <w:r w:rsidR="001362A0" w:rsidRPr="001362A0">
          <w:rPr>
            <w:rStyle w:val="Hyperlink"/>
            <w:rFonts w:ascii="Arial" w:hAnsi="Arial" w:cs="Arial"/>
            <w:noProof/>
          </w:rPr>
          <w:t>Table of Contents</w:t>
        </w:r>
        <w:r w:rsidR="001362A0" w:rsidRPr="001362A0">
          <w:rPr>
            <w:rFonts w:ascii="Arial" w:hAnsi="Arial" w:cs="Arial"/>
            <w:noProof/>
            <w:webHidden/>
          </w:rPr>
          <w:tab/>
        </w:r>
        <w:r w:rsidR="001362A0" w:rsidRPr="001362A0">
          <w:rPr>
            <w:rFonts w:ascii="Arial" w:hAnsi="Arial" w:cs="Arial"/>
            <w:noProof/>
            <w:webHidden/>
          </w:rPr>
          <w:fldChar w:fldCharType="begin"/>
        </w:r>
        <w:r w:rsidR="001362A0" w:rsidRPr="001362A0">
          <w:rPr>
            <w:rFonts w:ascii="Arial" w:hAnsi="Arial" w:cs="Arial"/>
            <w:noProof/>
            <w:webHidden/>
          </w:rPr>
          <w:instrText xml:space="preserve"> PAGEREF _Toc203568827 \h </w:instrText>
        </w:r>
        <w:r w:rsidR="001362A0" w:rsidRPr="001362A0">
          <w:rPr>
            <w:rFonts w:ascii="Arial" w:hAnsi="Arial" w:cs="Arial"/>
            <w:noProof/>
            <w:webHidden/>
          </w:rPr>
        </w:r>
        <w:r w:rsidR="001362A0" w:rsidRPr="001362A0">
          <w:rPr>
            <w:rFonts w:ascii="Arial" w:hAnsi="Arial" w:cs="Arial"/>
            <w:noProof/>
            <w:webHidden/>
          </w:rPr>
          <w:fldChar w:fldCharType="separate"/>
        </w:r>
        <w:r w:rsidR="00D8507E">
          <w:rPr>
            <w:rFonts w:ascii="Arial" w:hAnsi="Arial" w:cs="Arial"/>
            <w:noProof/>
            <w:webHidden/>
          </w:rPr>
          <w:t>1</w:t>
        </w:r>
        <w:r w:rsidR="001362A0" w:rsidRPr="001362A0">
          <w:rPr>
            <w:rFonts w:ascii="Arial" w:hAnsi="Arial" w:cs="Arial"/>
            <w:noProof/>
            <w:webHidden/>
          </w:rPr>
          <w:fldChar w:fldCharType="end"/>
        </w:r>
      </w:hyperlink>
    </w:p>
    <w:p w14:paraId="7AB25120" w14:textId="2B617670"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28" w:history="1">
        <w:r w:rsidRPr="001362A0">
          <w:rPr>
            <w:rStyle w:val="Hyperlink"/>
            <w:rFonts w:ascii="Arial" w:hAnsi="Arial" w:cs="Arial"/>
            <w:noProof/>
          </w:rPr>
          <w:t>List of Figures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_Toc203568828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3</w:t>
        </w:r>
        <w:r w:rsidRPr="001362A0">
          <w:rPr>
            <w:rFonts w:ascii="Arial" w:hAnsi="Arial" w:cs="Arial"/>
            <w:noProof/>
            <w:webHidden/>
          </w:rPr>
          <w:fldChar w:fldCharType="end"/>
        </w:r>
      </w:hyperlink>
    </w:p>
    <w:p w14:paraId="25DF2A5E" w14:textId="2BEA1EB3"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29" w:history="1">
        <w:r w:rsidRPr="001362A0">
          <w:rPr>
            <w:rStyle w:val="Hyperlink"/>
            <w:rFonts w:ascii="Arial" w:hAnsi="Arial" w:cs="Arial"/>
            <w:noProof/>
          </w:rPr>
          <w:t>List of Tables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_Toc203568829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3</w:t>
        </w:r>
        <w:r w:rsidRPr="001362A0">
          <w:rPr>
            <w:rFonts w:ascii="Arial" w:hAnsi="Arial" w:cs="Arial"/>
            <w:noProof/>
            <w:webHidden/>
          </w:rPr>
          <w:fldChar w:fldCharType="end"/>
        </w:r>
      </w:hyperlink>
    </w:p>
    <w:p w14:paraId="7D6927CB" w14:textId="77F0A979"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30" w:history="1">
        <w:r w:rsidRPr="001362A0">
          <w:rPr>
            <w:rStyle w:val="Hyperlink"/>
            <w:rFonts w:ascii="Arial" w:hAnsi="Arial" w:cs="Arial"/>
            <w:noProof/>
          </w:rPr>
          <w:t>Acknowledgments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_Toc203568830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6</w:t>
        </w:r>
        <w:r w:rsidRPr="001362A0">
          <w:rPr>
            <w:rFonts w:ascii="Arial" w:hAnsi="Arial" w:cs="Arial"/>
            <w:noProof/>
            <w:webHidden/>
          </w:rPr>
          <w:fldChar w:fldCharType="end"/>
        </w:r>
      </w:hyperlink>
    </w:p>
    <w:p w14:paraId="46289A2C" w14:textId="51744AFF"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31" w:history="1">
        <w:r w:rsidRPr="001362A0">
          <w:rPr>
            <w:rStyle w:val="Hyperlink"/>
            <w:rFonts w:ascii="Arial" w:hAnsi="Arial" w:cs="Arial"/>
            <w:noProof/>
          </w:rPr>
          <w:t>Executive Summary</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_Toc203568831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8</w:t>
        </w:r>
        <w:r w:rsidRPr="001362A0">
          <w:rPr>
            <w:rFonts w:ascii="Arial" w:hAnsi="Arial" w:cs="Arial"/>
            <w:noProof/>
            <w:webHidden/>
          </w:rPr>
          <w:fldChar w:fldCharType="end"/>
        </w:r>
      </w:hyperlink>
    </w:p>
    <w:p w14:paraId="1EAF548A" w14:textId="509BEA99"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32" w:history="1">
        <w:r w:rsidRPr="001362A0">
          <w:rPr>
            <w:rStyle w:val="Hyperlink"/>
            <w:rFonts w:ascii="Arial" w:hAnsi="Arial" w:cs="Arial"/>
            <w:noProof/>
          </w:rPr>
          <w:t>Section I: Introduction</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_Toc203568832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w:t>
        </w:r>
        <w:r w:rsidRPr="001362A0">
          <w:rPr>
            <w:rFonts w:ascii="Arial" w:hAnsi="Arial" w:cs="Arial"/>
            <w:noProof/>
            <w:webHidden/>
          </w:rPr>
          <w:fldChar w:fldCharType="end"/>
        </w:r>
      </w:hyperlink>
    </w:p>
    <w:p w14:paraId="474B01B5" w14:textId="301D6C00"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33" w:history="1">
        <w:r w:rsidRPr="001362A0">
          <w:rPr>
            <w:rStyle w:val="Hyperlink"/>
            <w:rFonts w:ascii="Arial" w:hAnsi="Arial" w:cs="Arial"/>
            <w:noProof/>
          </w:rPr>
          <w:t>Legislative Mandate</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_Toc203568833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w:t>
        </w:r>
        <w:r w:rsidRPr="001362A0">
          <w:rPr>
            <w:rFonts w:ascii="Arial" w:hAnsi="Arial" w:cs="Arial"/>
            <w:noProof/>
            <w:webHidden/>
          </w:rPr>
          <w:fldChar w:fldCharType="end"/>
        </w:r>
      </w:hyperlink>
    </w:p>
    <w:p w14:paraId="238D52D9" w14:textId="239F8895"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34" w:history="1">
        <w:r w:rsidRPr="001362A0">
          <w:rPr>
            <w:rStyle w:val="Hyperlink"/>
            <w:rFonts w:ascii="Arial" w:hAnsi="Arial" w:cs="Arial"/>
            <w:noProof/>
          </w:rPr>
          <w:t>California’s Migrant Education Program</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_Toc203568834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w:t>
        </w:r>
        <w:r w:rsidRPr="001362A0">
          <w:rPr>
            <w:rFonts w:ascii="Arial" w:hAnsi="Arial" w:cs="Arial"/>
            <w:noProof/>
            <w:webHidden/>
          </w:rPr>
          <w:fldChar w:fldCharType="end"/>
        </w:r>
      </w:hyperlink>
    </w:p>
    <w:p w14:paraId="7FB01D5A" w14:textId="304CD37E"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35" w:history="1">
        <w:r w:rsidRPr="001362A0">
          <w:rPr>
            <w:rStyle w:val="Hyperlink"/>
            <w:rFonts w:ascii="Arial" w:hAnsi="Arial" w:cs="Arial"/>
            <w:noProof/>
          </w:rPr>
          <w:t>Overview of the Comprehensive Needs Assessment and Service Delivery Plan Development Process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_Toc203568835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17</w:t>
        </w:r>
        <w:r w:rsidRPr="001362A0">
          <w:rPr>
            <w:rFonts w:ascii="Arial" w:hAnsi="Arial" w:cs="Arial"/>
            <w:noProof/>
            <w:webHidden/>
          </w:rPr>
          <w:fldChar w:fldCharType="end"/>
        </w:r>
      </w:hyperlink>
    </w:p>
    <w:p w14:paraId="226313B0" w14:textId="44F6F847"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36" w:history="1">
        <w:r w:rsidRPr="001362A0">
          <w:rPr>
            <w:rStyle w:val="Hyperlink"/>
            <w:rFonts w:ascii="Arial" w:hAnsi="Arial" w:cs="Arial"/>
            <w:noProof/>
          </w:rPr>
          <w:t>Section II: Comprehensive Needs Assessment Key Decisions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_Toc203568836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23</w:t>
        </w:r>
        <w:r w:rsidRPr="001362A0">
          <w:rPr>
            <w:rFonts w:ascii="Arial" w:hAnsi="Arial" w:cs="Arial"/>
            <w:noProof/>
            <w:webHidden/>
          </w:rPr>
          <w:fldChar w:fldCharType="end"/>
        </w:r>
      </w:hyperlink>
    </w:p>
    <w:p w14:paraId="4DF70281" w14:textId="326C91BD"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37" w:history="1">
        <w:r w:rsidRPr="001362A0">
          <w:rPr>
            <w:rStyle w:val="Hyperlink"/>
            <w:rFonts w:ascii="Arial" w:hAnsi="Arial" w:cs="Arial"/>
            <w:noProof/>
          </w:rPr>
          <w:t>English Language Arts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_Toc203568837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24</w:t>
        </w:r>
        <w:r w:rsidRPr="001362A0">
          <w:rPr>
            <w:rFonts w:ascii="Arial" w:hAnsi="Arial" w:cs="Arial"/>
            <w:noProof/>
            <w:webHidden/>
          </w:rPr>
          <w:fldChar w:fldCharType="end"/>
        </w:r>
      </w:hyperlink>
    </w:p>
    <w:p w14:paraId="1827F837" w14:textId="3FE144C7"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38" w:history="1">
        <w:r w:rsidRPr="001362A0">
          <w:rPr>
            <w:rStyle w:val="Hyperlink"/>
            <w:rFonts w:ascii="Arial" w:hAnsi="Arial" w:cs="Arial"/>
            <w:noProof/>
          </w:rPr>
          <w:t>Mathematics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_Toc203568838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27</w:t>
        </w:r>
        <w:r w:rsidRPr="001362A0">
          <w:rPr>
            <w:rFonts w:ascii="Arial" w:hAnsi="Arial" w:cs="Arial"/>
            <w:noProof/>
            <w:webHidden/>
          </w:rPr>
          <w:fldChar w:fldCharType="end"/>
        </w:r>
      </w:hyperlink>
    </w:p>
    <w:p w14:paraId="506A184B" w14:textId="5B37BC9E"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39" w:history="1">
        <w:r w:rsidRPr="001362A0">
          <w:rPr>
            <w:rStyle w:val="Hyperlink"/>
            <w:rFonts w:ascii="Arial" w:hAnsi="Arial" w:cs="Arial"/>
            <w:noProof/>
          </w:rPr>
          <w:t>English Language Development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_Toc203568839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30</w:t>
        </w:r>
        <w:r w:rsidRPr="001362A0">
          <w:rPr>
            <w:rFonts w:ascii="Arial" w:hAnsi="Arial" w:cs="Arial"/>
            <w:noProof/>
            <w:webHidden/>
          </w:rPr>
          <w:fldChar w:fldCharType="end"/>
        </w:r>
      </w:hyperlink>
    </w:p>
    <w:p w14:paraId="1132C593" w14:textId="05694996"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0" w:history="1">
        <w:r w:rsidRPr="001362A0">
          <w:rPr>
            <w:rStyle w:val="Hyperlink"/>
            <w:rFonts w:ascii="Arial" w:hAnsi="Arial" w:cs="Arial"/>
            <w:noProof/>
          </w:rPr>
          <w:t>Social and Emotional Learning</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_Toc203568840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32</w:t>
        </w:r>
        <w:r w:rsidRPr="001362A0">
          <w:rPr>
            <w:rFonts w:ascii="Arial" w:hAnsi="Arial" w:cs="Arial"/>
            <w:noProof/>
            <w:webHidden/>
          </w:rPr>
          <w:fldChar w:fldCharType="end"/>
        </w:r>
      </w:hyperlink>
    </w:p>
    <w:p w14:paraId="63D24116" w14:textId="0DDCCF7B"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1" w:history="1">
        <w:r w:rsidRPr="001362A0">
          <w:rPr>
            <w:rStyle w:val="Hyperlink"/>
            <w:rFonts w:ascii="Arial" w:hAnsi="Arial" w:cs="Arial"/>
            <w:noProof/>
          </w:rPr>
          <w:t>High School Outcomes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_Toc203568841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34</w:t>
        </w:r>
        <w:r w:rsidRPr="001362A0">
          <w:rPr>
            <w:rFonts w:ascii="Arial" w:hAnsi="Arial" w:cs="Arial"/>
            <w:noProof/>
            <w:webHidden/>
          </w:rPr>
          <w:fldChar w:fldCharType="end"/>
        </w:r>
      </w:hyperlink>
    </w:p>
    <w:p w14:paraId="1417DB09" w14:textId="44FE9CFF"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2" w:history="1">
        <w:r w:rsidRPr="001362A0">
          <w:rPr>
            <w:rStyle w:val="Hyperlink"/>
            <w:rFonts w:ascii="Arial" w:hAnsi="Arial" w:cs="Arial"/>
            <w:noProof/>
          </w:rPr>
          <w:t>School Readiness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_Toc203568842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36</w:t>
        </w:r>
        <w:r w:rsidRPr="001362A0">
          <w:rPr>
            <w:rFonts w:ascii="Arial" w:hAnsi="Arial" w:cs="Arial"/>
            <w:noProof/>
            <w:webHidden/>
          </w:rPr>
          <w:fldChar w:fldCharType="end"/>
        </w:r>
      </w:hyperlink>
    </w:p>
    <w:p w14:paraId="723AAD47" w14:textId="749903F8"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3" w:history="1">
        <w:r w:rsidRPr="001362A0">
          <w:rPr>
            <w:rStyle w:val="Hyperlink"/>
            <w:rFonts w:ascii="Arial" w:hAnsi="Arial" w:cs="Arial"/>
            <w:noProof/>
          </w:rPr>
          <w:t>Out-of-School Youth</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_Toc203568843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38</w:t>
        </w:r>
        <w:r w:rsidRPr="001362A0">
          <w:rPr>
            <w:rFonts w:ascii="Arial" w:hAnsi="Arial" w:cs="Arial"/>
            <w:noProof/>
            <w:webHidden/>
          </w:rPr>
          <w:fldChar w:fldCharType="end"/>
        </w:r>
      </w:hyperlink>
    </w:p>
    <w:p w14:paraId="501661CC" w14:textId="47DC5F71"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4" w:history="1">
        <w:r w:rsidRPr="001362A0">
          <w:rPr>
            <w:rStyle w:val="Hyperlink"/>
            <w:rFonts w:ascii="Arial" w:hAnsi="Arial" w:cs="Arial"/>
            <w:noProof/>
          </w:rPr>
          <w:t>Health</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_Toc203568844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41</w:t>
        </w:r>
        <w:r w:rsidRPr="001362A0">
          <w:rPr>
            <w:rFonts w:ascii="Arial" w:hAnsi="Arial" w:cs="Arial"/>
            <w:noProof/>
            <w:webHidden/>
          </w:rPr>
          <w:fldChar w:fldCharType="end"/>
        </w:r>
      </w:hyperlink>
    </w:p>
    <w:p w14:paraId="05B2A342" w14:textId="7CD67548"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5" w:history="1">
        <w:r w:rsidRPr="001362A0">
          <w:rPr>
            <w:rStyle w:val="Hyperlink"/>
            <w:rFonts w:ascii="Arial" w:hAnsi="Arial" w:cs="Arial"/>
            <w:noProof/>
          </w:rPr>
          <w:t>Parent and Family Engagement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_Toc203568845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42</w:t>
        </w:r>
        <w:r w:rsidRPr="001362A0">
          <w:rPr>
            <w:rFonts w:ascii="Arial" w:hAnsi="Arial" w:cs="Arial"/>
            <w:noProof/>
            <w:webHidden/>
          </w:rPr>
          <w:fldChar w:fldCharType="end"/>
        </w:r>
      </w:hyperlink>
    </w:p>
    <w:p w14:paraId="312DCDC7" w14:textId="1778AB99"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6" w:history="1">
        <w:r w:rsidRPr="001362A0">
          <w:rPr>
            <w:rStyle w:val="Hyperlink"/>
            <w:rFonts w:ascii="Arial" w:hAnsi="Arial" w:cs="Arial"/>
            <w:noProof/>
          </w:rPr>
          <w:t>Student Engagement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_Toc203568846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44</w:t>
        </w:r>
        <w:r w:rsidRPr="001362A0">
          <w:rPr>
            <w:rFonts w:ascii="Arial" w:hAnsi="Arial" w:cs="Arial"/>
            <w:noProof/>
            <w:webHidden/>
          </w:rPr>
          <w:fldChar w:fldCharType="end"/>
        </w:r>
      </w:hyperlink>
    </w:p>
    <w:p w14:paraId="453C2AFA" w14:textId="24B3A155"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47" w:history="1">
        <w:r w:rsidRPr="001362A0">
          <w:rPr>
            <w:rStyle w:val="Hyperlink"/>
            <w:rFonts w:ascii="Arial" w:hAnsi="Arial" w:cs="Arial"/>
            <w:noProof/>
          </w:rPr>
          <w:t>Section III: General Framework: State Service Delivery Plan</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_Toc203568847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48</w:t>
        </w:r>
        <w:r w:rsidRPr="001362A0">
          <w:rPr>
            <w:rFonts w:ascii="Arial" w:hAnsi="Arial" w:cs="Arial"/>
            <w:noProof/>
            <w:webHidden/>
          </w:rPr>
          <w:fldChar w:fldCharType="end"/>
        </w:r>
      </w:hyperlink>
    </w:p>
    <w:p w14:paraId="304990F0" w14:textId="5EC93B56"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8" w:history="1">
        <w:r w:rsidRPr="001362A0">
          <w:rPr>
            <w:rStyle w:val="Hyperlink"/>
            <w:rFonts w:ascii="Arial" w:hAnsi="Arial" w:cs="Arial"/>
            <w:noProof/>
          </w:rPr>
          <w:t>Service Delivery Strategies, Measurable Program Objectives, and Performance Targets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_Toc203568848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48</w:t>
        </w:r>
        <w:r w:rsidRPr="001362A0">
          <w:rPr>
            <w:rFonts w:ascii="Arial" w:hAnsi="Arial" w:cs="Arial"/>
            <w:noProof/>
            <w:webHidden/>
          </w:rPr>
          <w:fldChar w:fldCharType="end"/>
        </w:r>
      </w:hyperlink>
    </w:p>
    <w:p w14:paraId="114A120B" w14:textId="25AAC1A7"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49" w:history="1">
        <w:r w:rsidRPr="001362A0">
          <w:rPr>
            <w:rStyle w:val="Hyperlink"/>
            <w:rFonts w:ascii="Arial" w:hAnsi="Arial" w:cs="Arial"/>
            <w:noProof/>
          </w:rPr>
          <w:t>English Language Arts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_Toc203568849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51</w:t>
        </w:r>
        <w:r w:rsidRPr="001362A0">
          <w:rPr>
            <w:rFonts w:ascii="Arial" w:hAnsi="Arial" w:cs="Arial"/>
            <w:noProof/>
            <w:webHidden/>
          </w:rPr>
          <w:fldChar w:fldCharType="end"/>
        </w:r>
      </w:hyperlink>
    </w:p>
    <w:p w14:paraId="61A2F514" w14:textId="57900A70"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0" w:history="1">
        <w:r w:rsidRPr="001362A0">
          <w:rPr>
            <w:rStyle w:val="Hyperlink"/>
            <w:rFonts w:ascii="Arial" w:hAnsi="Arial" w:cs="Arial"/>
            <w:noProof/>
          </w:rPr>
          <w:t>Mathematics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_Toc203568850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54</w:t>
        </w:r>
        <w:r w:rsidRPr="001362A0">
          <w:rPr>
            <w:rFonts w:ascii="Arial" w:hAnsi="Arial" w:cs="Arial"/>
            <w:noProof/>
            <w:webHidden/>
          </w:rPr>
          <w:fldChar w:fldCharType="end"/>
        </w:r>
      </w:hyperlink>
    </w:p>
    <w:p w14:paraId="43A0EC3D" w14:textId="2179D3FE"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1" w:history="1">
        <w:r w:rsidRPr="001362A0">
          <w:rPr>
            <w:rStyle w:val="Hyperlink"/>
            <w:rFonts w:ascii="Arial" w:hAnsi="Arial" w:cs="Arial"/>
            <w:noProof/>
          </w:rPr>
          <w:t>English Language Development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_Toc203568851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56</w:t>
        </w:r>
        <w:r w:rsidRPr="001362A0">
          <w:rPr>
            <w:rFonts w:ascii="Arial" w:hAnsi="Arial" w:cs="Arial"/>
            <w:noProof/>
            <w:webHidden/>
          </w:rPr>
          <w:fldChar w:fldCharType="end"/>
        </w:r>
      </w:hyperlink>
    </w:p>
    <w:p w14:paraId="0F93B030" w14:textId="6BD33EB6"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2" w:history="1">
        <w:r w:rsidRPr="001362A0">
          <w:rPr>
            <w:rStyle w:val="Hyperlink"/>
            <w:rFonts w:ascii="Arial" w:hAnsi="Arial" w:cs="Arial"/>
            <w:noProof/>
          </w:rPr>
          <w:t>Social and Emotional Learning</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_Toc203568852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59</w:t>
        </w:r>
        <w:r w:rsidRPr="001362A0">
          <w:rPr>
            <w:rFonts w:ascii="Arial" w:hAnsi="Arial" w:cs="Arial"/>
            <w:noProof/>
            <w:webHidden/>
          </w:rPr>
          <w:fldChar w:fldCharType="end"/>
        </w:r>
      </w:hyperlink>
    </w:p>
    <w:p w14:paraId="2FDAD49D" w14:textId="1EE93AF0"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3" w:history="1">
        <w:r w:rsidRPr="001362A0">
          <w:rPr>
            <w:rStyle w:val="Hyperlink"/>
            <w:rFonts w:ascii="Arial" w:hAnsi="Arial" w:cs="Arial"/>
            <w:noProof/>
          </w:rPr>
          <w:t>High School Outcomes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_Toc203568853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60</w:t>
        </w:r>
        <w:r w:rsidRPr="001362A0">
          <w:rPr>
            <w:rFonts w:ascii="Arial" w:hAnsi="Arial" w:cs="Arial"/>
            <w:noProof/>
            <w:webHidden/>
          </w:rPr>
          <w:fldChar w:fldCharType="end"/>
        </w:r>
      </w:hyperlink>
    </w:p>
    <w:p w14:paraId="791B6732" w14:textId="44D4803B"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4" w:history="1">
        <w:r w:rsidRPr="001362A0">
          <w:rPr>
            <w:rStyle w:val="Hyperlink"/>
            <w:rFonts w:ascii="Arial" w:hAnsi="Arial" w:cs="Arial"/>
            <w:noProof/>
          </w:rPr>
          <w:t>School Readiness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_Toc203568854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64</w:t>
        </w:r>
        <w:r w:rsidRPr="001362A0">
          <w:rPr>
            <w:rFonts w:ascii="Arial" w:hAnsi="Arial" w:cs="Arial"/>
            <w:noProof/>
            <w:webHidden/>
          </w:rPr>
          <w:fldChar w:fldCharType="end"/>
        </w:r>
      </w:hyperlink>
    </w:p>
    <w:p w14:paraId="2B52D30A" w14:textId="4C049841"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5" w:history="1">
        <w:r w:rsidRPr="001362A0">
          <w:rPr>
            <w:rStyle w:val="Hyperlink"/>
            <w:rFonts w:ascii="Arial" w:hAnsi="Arial" w:cs="Arial"/>
            <w:noProof/>
          </w:rPr>
          <w:t>Out-of-School Youth</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_Toc203568855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66</w:t>
        </w:r>
        <w:r w:rsidRPr="001362A0">
          <w:rPr>
            <w:rFonts w:ascii="Arial" w:hAnsi="Arial" w:cs="Arial"/>
            <w:noProof/>
            <w:webHidden/>
          </w:rPr>
          <w:fldChar w:fldCharType="end"/>
        </w:r>
      </w:hyperlink>
    </w:p>
    <w:p w14:paraId="2376F370" w14:textId="4D4312F7"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6" w:history="1">
        <w:r w:rsidRPr="001362A0">
          <w:rPr>
            <w:rStyle w:val="Hyperlink"/>
            <w:rFonts w:ascii="Arial" w:hAnsi="Arial" w:cs="Arial"/>
            <w:noProof/>
          </w:rPr>
          <w:t>Health</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_Toc203568856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69</w:t>
        </w:r>
        <w:r w:rsidRPr="001362A0">
          <w:rPr>
            <w:rFonts w:ascii="Arial" w:hAnsi="Arial" w:cs="Arial"/>
            <w:noProof/>
            <w:webHidden/>
          </w:rPr>
          <w:fldChar w:fldCharType="end"/>
        </w:r>
      </w:hyperlink>
    </w:p>
    <w:p w14:paraId="2565CA22" w14:textId="360E0A3B"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7" w:history="1">
        <w:r w:rsidRPr="001362A0">
          <w:rPr>
            <w:rStyle w:val="Hyperlink"/>
            <w:rFonts w:ascii="Arial" w:hAnsi="Arial" w:cs="Arial"/>
            <w:noProof/>
          </w:rPr>
          <w:t>Parent and Family Engagement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_Toc203568857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71</w:t>
        </w:r>
        <w:r w:rsidRPr="001362A0">
          <w:rPr>
            <w:rFonts w:ascii="Arial" w:hAnsi="Arial" w:cs="Arial"/>
            <w:noProof/>
            <w:webHidden/>
          </w:rPr>
          <w:fldChar w:fldCharType="end"/>
        </w:r>
      </w:hyperlink>
    </w:p>
    <w:p w14:paraId="4D0847E7" w14:textId="27AB195E"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8" w:history="1">
        <w:r w:rsidRPr="001362A0">
          <w:rPr>
            <w:rStyle w:val="Hyperlink"/>
            <w:rFonts w:ascii="Arial" w:hAnsi="Arial" w:cs="Arial"/>
            <w:noProof/>
          </w:rPr>
          <w:t>Student Engagement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_Toc203568858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73</w:t>
        </w:r>
        <w:r w:rsidRPr="001362A0">
          <w:rPr>
            <w:rFonts w:ascii="Arial" w:hAnsi="Arial" w:cs="Arial"/>
            <w:noProof/>
            <w:webHidden/>
          </w:rPr>
          <w:fldChar w:fldCharType="end"/>
        </w:r>
      </w:hyperlink>
    </w:p>
    <w:p w14:paraId="51BB42AE" w14:textId="5D651401"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59" w:history="1">
        <w:r w:rsidRPr="001362A0">
          <w:rPr>
            <w:rStyle w:val="Hyperlink"/>
            <w:rFonts w:ascii="Arial" w:hAnsi="Arial" w:cs="Arial"/>
            <w:noProof/>
          </w:rPr>
          <w:t>Evaluation Plan</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_Toc203568859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74</w:t>
        </w:r>
        <w:r w:rsidRPr="001362A0">
          <w:rPr>
            <w:rFonts w:ascii="Arial" w:hAnsi="Arial" w:cs="Arial"/>
            <w:noProof/>
            <w:webHidden/>
          </w:rPr>
          <w:fldChar w:fldCharType="end"/>
        </w:r>
      </w:hyperlink>
    </w:p>
    <w:p w14:paraId="17F9FE48" w14:textId="704B3DAA"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60" w:history="1">
        <w:r w:rsidRPr="001362A0">
          <w:rPr>
            <w:rStyle w:val="Hyperlink"/>
            <w:rFonts w:ascii="Arial" w:hAnsi="Arial" w:cs="Arial"/>
            <w:noProof/>
          </w:rPr>
          <w:t>Technical Assistance and Monitoring</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_Toc203568860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86</w:t>
        </w:r>
        <w:r w:rsidRPr="001362A0">
          <w:rPr>
            <w:rFonts w:ascii="Arial" w:hAnsi="Arial" w:cs="Arial"/>
            <w:noProof/>
            <w:webHidden/>
          </w:rPr>
          <w:fldChar w:fldCharType="end"/>
        </w:r>
      </w:hyperlink>
    </w:p>
    <w:p w14:paraId="6C9CC74D" w14:textId="560DEA57"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61" w:history="1">
        <w:r w:rsidRPr="001362A0">
          <w:rPr>
            <w:rStyle w:val="Hyperlink"/>
            <w:rFonts w:ascii="Arial" w:hAnsi="Arial" w:cs="Arial"/>
            <w:noProof/>
          </w:rPr>
          <w:t>Additional Considerations for Program Improvement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_Toc203568861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87</w:t>
        </w:r>
        <w:r w:rsidRPr="001362A0">
          <w:rPr>
            <w:rFonts w:ascii="Arial" w:hAnsi="Arial" w:cs="Arial"/>
            <w:noProof/>
            <w:webHidden/>
          </w:rPr>
          <w:fldChar w:fldCharType="end"/>
        </w:r>
      </w:hyperlink>
    </w:p>
    <w:p w14:paraId="5596C92F" w14:textId="1B0F0FCA"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62" w:history="1">
        <w:r w:rsidRPr="001362A0">
          <w:rPr>
            <w:rStyle w:val="Hyperlink"/>
            <w:rFonts w:ascii="Arial" w:hAnsi="Arial" w:cs="Arial"/>
            <w:noProof/>
          </w:rPr>
          <w:t>Recommendations for Further Data Collection and Reporting</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_Toc203568862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87</w:t>
        </w:r>
        <w:r w:rsidRPr="001362A0">
          <w:rPr>
            <w:rFonts w:ascii="Arial" w:hAnsi="Arial" w:cs="Arial"/>
            <w:noProof/>
            <w:webHidden/>
          </w:rPr>
          <w:fldChar w:fldCharType="end"/>
        </w:r>
      </w:hyperlink>
    </w:p>
    <w:p w14:paraId="14B105CA" w14:textId="7BCEA039"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63" w:history="1">
        <w:r w:rsidRPr="001362A0">
          <w:rPr>
            <w:rStyle w:val="Hyperlink"/>
            <w:rFonts w:ascii="Arial" w:hAnsi="Arial" w:cs="Arial"/>
            <w:noProof/>
          </w:rPr>
          <w:t>Section IV: Priority for Services Students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_Toc203568863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92</w:t>
        </w:r>
        <w:r w:rsidRPr="001362A0">
          <w:rPr>
            <w:rFonts w:ascii="Arial" w:hAnsi="Arial" w:cs="Arial"/>
            <w:noProof/>
            <w:webHidden/>
          </w:rPr>
          <w:fldChar w:fldCharType="end"/>
        </w:r>
      </w:hyperlink>
    </w:p>
    <w:p w14:paraId="6637D792" w14:textId="5C7A66CE"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64" w:history="1">
        <w:r w:rsidRPr="001362A0">
          <w:rPr>
            <w:rStyle w:val="Hyperlink"/>
            <w:rFonts w:ascii="Arial" w:hAnsi="Arial" w:cs="Arial"/>
            <w:noProof/>
          </w:rPr>
          <w:t>Section V: Identification and Recruitment Plan</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_Toc203568864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94</w:t>
        </w:r>
        <w:r w:rsidRPr="001362A0">
          <w:rPr>
            <w:rFonts w:ascii="Arial" w:hAnsi="Arial" w:cs="Arial"/>
            <w:noProof/>
            <w:webHidden/>
          </w:rPr>
          <w:fldChar w:fldCharType="end"/>
        </w:r>
      </w:hyperlink>
    </w:p>
    <w:p w14:paraId="0755D6EE" w14:textId="409BDAE6"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65" w:history="1">
        <w:r w:rsidRPr="001362A0">
          <w:rPr>
            <w:rStyle w:val="Hyperlink"/>
            <w:rFonts w:ascii="Arial" w:hAnsi="Arial" w:cs="Arial"/>
            <w:noProof/>
          </w:rPr>
          <w:t>Local and State Training</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_Toc203568865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94</w:t>
        </w:r>
        <w:r w:rsidRPr="001362A0">
          <w:rPr>
            <w:rFonts w:ascii="Arial" w:hAnsi="Arial" w:cs="Arial"/>
            <w:noProof/>
            <w:webHidden/>
          </w:rPr>
          <w:fldChar w:fldCharType="end"/>
        </w:r>
      </w:hyperlink>
    </w:p>
    <w:p w14:paraId="0323289B" w14:textId="57812D37"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66" w:history="1">
        <w:r w:rsidRPr="001362A0">
          <w:rPr>
            <w:rStyle w:val="Hyperlink"/>
            <w:rFonts w:ascii="Arial" w:hAnsi="Arial" w:cs="Arial"/>
            <w:noProof/>
          </w:rPr>
          <w:t>Local Training</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_Toc203568866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95</w:t>
        </w:r>
        <w:r w:rsidRPr="001362A0">
          <w:rPr>
            <w:rFonts w:ascii="Arial" w:hAnsi="Arial" w:cs="Arial"/>
            <w:noProof/>
            <w:webHidden/>
          </w:rPr>
          <w:fldChar w:fldCharType="end"/>
        </w:r>
      </w:hyperlink>
    </w:p>
    <w:p w14:paraId="76D96200" w14:textId="6EACB7AE"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67" w:history="1">
        <w:r w:rsidRPr="001362A0">
          <w:rPr>
            <w:rStyle w:val="Hyperlink"/>
            <w:rFonts w:ascii="Arial" w:hAnsi="Arial" w:cs="Arial"/>
            <w:noProof/>
          </w:rPr>
          <w:t>State Training</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_Toc203568867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95</w:t>
        </w:r>
        <w:r w:rsidRPr="001362A0">
          <w:rPr>
            <w:rFonts w:ascii="Arial" w:hAnsi="Arial" w:cs="Arial"/>
            <w:noProof/>
            <w:webHidden/>
          </w:rPr>
          <w:fldChar w:fldCharType="end"/>
        </w:r>
      </w:hyperlink>
    </w:p>
    <w:p w14:paraId="0C9193D7" w14:textId="3E86BBFD"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68" w:history="1">
        <w:r w:rsidRPr="001362A0">
          <w:rPr>
            <w:rStyle w:val="Hyperlink"/>
            <w:rFonts w:ascii="Arial" w:hAnsi="Arial" w:cs="Arial"/>
            <w:noProof/>
          </w:rPr>
          <w:t>Quality Control: Process for Resolving Eligibility Questions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_Toc203568868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96</w:t>
        </w:r>
        <w:r w:rsidRPr="001362A0">
          <w:rPr>
            <w:rFonts w:ascii="Arial" w:hAnsi="Arial" w:cs="Arial"/>
            <w:noProof/>
            <w:webHidden/>
          </w:rPr>
          <w:fldChar w:fldCharType="end"/>
        </w:r>
      </w:hyperlink>
    </w:p>
    <w:p w14:paraId="47E150A2" w14:textId="4321DE8C"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69" w:history="1">
        <w:r w:rsidRPr="001362A0">
          <w:rPr>
            <w:rStyle w:val="Hyperlink"/>
            <w:rFonts w:ascii="Arial" w:hAnsi="Arial" w:cs="Arial"/>
            <w:noProof/>
          </w:rPr>
          <w:t>Section VI: Parent Involvement Plan</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_Toc203568869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99</w:t>
        </w:r>
        <w:r w:rsidRPr="001362A0">
          <w:rPr>
            <w:rFonts w:ascii="Arial" w:hAnsi="Arial" w:cs="Arial"/>
            <w:noProof/>
            <w:webHidden/>
          </w:rPr>
          <w:fldChar w:fldCharType="end"/>
        </w:r>
      </w:hyperlink>
    </w:p>
    <w:p w14:paraId="29DF332A" w14:textId="5B443374"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70" w:history="1">
        <w:r w:rsidRPr="001362A0">
          <w:rPr>
            <w:rStyle w:val="Hyperlink"/>
            <w:rFonts w:ascii="Arial" w:hAnsi="Arial" w:cs="Arial"/>
            <w:noProof/>
          </w:rPr>
          <w:t>Table 43. State and Local Strategies to Increase Parent and Family Involvement</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_Toc203568870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100</w:t>
        </w:r>
        <w:r w:rsidRPr="001362A0">
          <w:rPr>
            <w:rFonts w:ascii="Arial" w:hAnsi="Arial" w:cs="Arial"/>
            <w:noProof/>
            <w:webHidden/>
          </w:rPr>
          <w:fldChar w:fldCharType="end"/>
        </w:r>
      </w:hyperlink>
    </w:p>
    <w:p w14:paraId="72BAA3B4" w14:textId="206C4B18"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71" w:history="1">
        <w:r w:rsidRPr="001362A0">
          <w:rPr>
            <w:rStyle w:val="Hyperlink"/>
            <w:rFonts w:ascii="Arial" w:hAnsi="Arial" w:cs="Arial"/>
            <w:noProof/>
          </w:rPr>
          <w:t>Section VII: Exchange of Student Records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_Toc203568871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103</w:t>
        </w:r>
        <w:r w:rsidRPr="001362A0">
          <w:rPr>
            <w:rFonts w:ascii="Arial" w:hAnsi="Arial" w:cs="Arial"/>
            <w:noProof/>
            <w:webHidden/>
          </w:rPr>
          <w:fldChar w:fldCharType="end"/>
        </w:r>
      </w:hyperlink>
    </w:p>
    <w:p w14:paraId="7D271B3C" w14:textId="3C457378"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72" w:history="1">
        <w:r w:rsidRPr="001362A0">
          <w:rPr>
            <w:rStyle w:val="Hyperlink"/>
            <w:rFonts w:ascii="Arial" w:hAnsi="Arial" w:cs="Arial"/>
            <w:noProof/>
          </w:rPr>
          <w:t>Section VIII: Migrant Education Program Professional Development Plan</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_Toc203568872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104</w:t>
        </w:r>
        <w:r w:rsidRPr="001362A0">
          <w:rPr>
            <w:rFonts w:ascii="Arial" w:hAnsi="Arial" w:cs="Arial"/>
            <w:noProof/>
            <w:webHidden/>
          </w:rPr>
          <w:fldChar w:fldCharType="end"/>
        </w:r>
      </w:hyperlink>
    </w:p>
    <w:p w14:paraId="604CCDE6" w14:textId="114D2A4A" w:rsidR="001362A0" w:rsidRPr="001362A0" w:rsidRDefault="001362A0">
      <w:pPr>
        <w:pStyle w:val="TOC2"/>
        <w:tabs>
          <w:tab w:val="right" w:leader="dot" w:pos="9350"/>
        </w:tabs>
        <w:rPr>
          <w:rFonts w:ascii="Arial" w:eastAsiaTheme="minorEastAsia" w:hAnsi="Arial" w:cs="Arial"/>
          <w:noProof/>
          <w:kern w:val="2"/>
          <w14:ligatures w14:val="standardContextual"/>
        </w:rPr>
      </w:pPr>
      <w:hyperlink w:anchor="_Toc203568873" w:history="1">
        <w:r w:rsidRPr="001362A0">
          <w:rPr>
            <w:rStyle w:val="Hyperlink"/>
            <w:rFonts w:ascii="Arial" w:hAnsi="Arial" w:cs="Arial"/>
            <w:noProof/>
          </w:rPr>
          <w:t>Section IX: Looking Forward: Next Steps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_Toc203568873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105</w:t>
        </w:r>
        <w:r w:rsidRPr="001362A0">
          <w:rPr>
            <w:rFonts w:ascii="Arial" w:hAnsi="Arial" w:cs="Arial"/>
            <w:noProof/>
            <w:webHidden/>
          </w:rPr>
          <w:fldChar w:fldCharType="end"/>
        </w:r>
      </w:hyperlink>
    </w:p>
    <w:p w14:paraId="7D83C931" w14:textId="44B05627" w:rsidR="001362A0" w:rsidRPr="001362A0" w:rsidRDefault="001362A0">
      <w:pPr>
        <w:pStyle w:val="TOC3"/>
        <w:tabs>
          <w:tab w:val="right" w:leader="dot" w:pos="9350"/>
        </w:tabs>
        <w:rPr>
          <w:rFonts w:ascii="Arial" w:eastAsiaTheme="minorEastAsia" w:hAnsi="Arial" w:cs="Arial"/>
          <w:noProof/>
          <w:kern w:val="2"/>
          <w14:ligatures w14:val="standardContextual"/>
        </w:rPr>
      </w:pPr>
      <w:hyperlink w:anchor="_Toc203568874" w:history="1">
        <w:r w:rsidRPr="001362A0">
          <w:rPr>
            <w:rStyle w:val="Hyperlink"/>
            <w:rFonts w:ascii="Arial" w:hAnsi="Arial" w:cs="Arial"/>
            <w:noProof/>
          </w:rPr>
          <w:t>Communicating the State Service Delivery Plan to Local Projects</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_Toc203568874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105</w:t>
        </w:r>
        <w:r w:rsidRPr="001362A0">
          <w:rPr>
            <w:rFonts w:ascii="Arial" w:hAnsi="Arial" w:cs="Arial"/>
            <w:noProof/>
            <w:webHidden/>
          </w:rPr>
          <w:fldChar w:fldCharType="end"/>
        </w:r>
      </w:hyperlink>
    </w:p>
    <w:p w14:paraId="43CA586F" w14:textId="3A52C642" w:rsidR="001362A0" w:rsidRDefault="001362A0">
      <w:pPr>
        <w:pStyle w:val="TOC2"/>
        <w:tabs>
          <w:tab w:val="right" w:leader="dot" w:pos="9350"/>
        </w:tabs>
        <w:rPr>
          <w:rFonts w:asciiTheme="minorHAnsi" w:eastAsiaTheme="minorEastAsia" w:hAnsiTheme="minorHAnsi" w:cstheme="minorBidi"/>
          <w:noProof/>
          <w:kern w:val="2"/>
          <w14:ligatures w14:val="standardContextual"/>
        </w:rPr>
      </w:pPr>
      <w:hyperlink w:anchor="_Toc203568875" w:history="1">
        <w:r w:rsidRPr="001362A0">
          <w:rPr>
            <w:rStyle w:val="Hyperlink"/>
            <w:rFonts w:ascii="Arial" w:hAnsi="Arial" w:cs="Arial"/>
            <w:noProof/>
          </w:rPr>
          <w:t>Conclusion</w:t>
        </w:r>
        <w:r w:rsidRPr="001362A0">
          <w:rPr>
            <w:rFonts w:ascii="Arial" w:hAnsi="Arial" w:cs="Arial"/>
            <w:noProof/>
            <w:webHidden/>
          </w:rPr>
          <w:tab/>
        </w:r>
        <w:r w:rsidRPr="001362A0">
          <w:rPr>
            <w:rFonts w:ascii="Arial" w:hAnsi="Arial" w:cs="Arial"/>
            <w:noProof/>
            <w:webHidden/>
          </w:rPr>
          <w:fldChar w:fldCharType="begin"/>
        </w:r>
        <w:r w:rsidRPr="001362A0">
          <w:rPr>
            <w:rFonts w:ascii="Arial" w:hAnsi="Arial" w:cs="Arial"/>
            <w:noProof/>
            <w:webHidden/>
          </w:rPr>
          <w:instrText xml:space="preserve"> PAGEREF _Toc203568875 \h </w:instrText>
        </w:r>
        <w:r w:rsidRPr="001362A0">
          <w:rPr>
            <w:rFonts w:ascii="Arial" w:hAnsi="Arial" w:cs="Arial"/>
            <w:noProof/>
            <w:webHidden/>
          </w:rPr>
        </w:r>
        <w:r w:rsidRPr="001362A0">
          <w:rPr>
            <w:rFonts w:ascii="Arial" w:hAnsi="Arial" w:cs="Arial"/>
            <w:noProof/>
            <w:webHidden/>
          </w:rPr>
          <w:fldChar w:fldCharType="separate"/>
        </w:r>
        <w:r w:rsidR="00D8507E">
          <w:rPr>
            <w:rFonts w:ascii="Arial" w:hAnsi="Arial" w:cs="Arial"/>
            <w:noProof/>
            <w:webHidden/>
          </w:rPr>
          <w:t>108</w:t>
        </w:r>
        <w:r w:rsidRPr="001362A0">
          <w:rPr>
            <w:rFonts w:ascii="Arial" w:hAnsi="Arial" w:cs="Arial"/>
            <w:noProof/>
            <w:webHidden/>
          </w:rPr>
          <w:fldChar w:fldCharType="end"/>
        </w:r>
      </w:hyperlink>
    </w:p>
    <w:p w14:paraId="71DB6A85" w14:textId="44AF6913" w:rsidR="00CD11DF" w:rsidRPr="000E47AD" w:rsidRDefault="000E47AD" w:rsidP="002A4978">
      <w:pPr>
        <w:rPr>
          <w:rFonts w:ascii="Arial" w:eastAsia="Times New Roman" w:hAnsi="Arial" w:cs="Arial"/>
          <w:color w:val="2E74B5"/>
        </w:rPr>
      </w:pPr>
      <w:r w:rsidRPr="00F60CB4">
        <w:rPr>
          <w:rFonts w:ascii="Arial" w:hAnsi="Arial" w:cs="Arial"/>
        </w:rPr>
        <w:fldChar w:fldCharType="end"/>
      </w:r>
      <w:r w:rsidR="00CD11DF" w:rsidRPr="000E47AD">
        <w:rPr>
          <w:rFonts w:ascii="Arial" w:hAnsi="Arial" w:cs="Arial"/>
        </w:rPr>
        <w:br w:type="page"/>
      </w:r>
    </w:p>
    <w:p w14:paraId="099252ED" w14:textId="77777777" w:rsidR="00DC5C7D" w:rsidRPr="005E0053" w:rsidRDefault="00DC5C7D" w:rsidP="003F0CBE">
      <w:pPr>
        <w:pStyle w:val="Heading3"/>
      </w:pPr>
      <w:bookmarkStart w:id="1" w:name="_Toc203568828"/>
      <w:r w:rsidRPr="005E0053">
        <w:lastRenderedPageBreak/>
        <w:t>List of Figures</w:t>
      </w:r>
      <w:bookmarkEnd w:id="1"/>
    </w:p>
    <w:p w14:paraId="1A02AF25" w14:textId="4E9F90C6" w:rsidR="005B10F2" w:rsidRPr="005B10F2" w:rsidRDefault="00DC5C7D" w:rsidP="005B10F2">
      <w:pPr>
        <w:pStyle w:val="TableofFigures"/>
        <w:tabs>
          <w:tab w:val="right" w:leader="dot" w:pos="9350"/>
        </w:tabs>
        <w:spacing w:after="120"/>
        <w:rPr>
          <w:rFonts w:asciiTheme="minorHAnsi" w:eastAsiaTheme="minorEastAsia" w:hAnsiTheme="minorHAnsi" w:cstheme="minorBidi"/>
          <w:noProof/>
          <w:kern w:val="2"/>
          <w14:ligatures w14:val="standardContextual"/>
        </w:rPr>
      </w:pPr>
      <w:r w:rsidRPr="00BD1A14">
        <w:rPr>
          <w:rFonts w:cs="Arial"/>
        </w:rPr>
        <w:fldChar w:fldCharType="begin"/>
      </w:r>
      <w:r w:rsidRPr="00BD1A14">
        <w:rPr>
          <w:rFonts w:cs="Arial"/>
        </w:rPr>
        <w:instrText xml:space="preserve"> TOC \h \z \c "Figure" </w:instrText>
      </w:r>
      <w:r w:rsidRPr="00BD1A14">
        <w:rPr>
          <w:rFonts w:cs="Arial"/>
        </w:rPr>
        <w:fldChar w:fldCharType="separate"/>
      </w:r>
      <w:hyperlink w:anchor="_Toc203645052" w:history="1">
        <w:r w:rsidR="005B10F2" w:rsidRPr="005B10F2">
          <w:rPr>
            <w:rStyle w:val="Hyperlink"/>
            <w:rFonts w:cs="Arial"/>
            <w:noProof/>
          </w:rPr>
          <w:t>Figure 1. Structure of the California Migrant Education Program</w:t>
        </w:r>
        <w:r w:rsidR="005B10F2" w:rsidRPr="005B10F2">
          <w:rPr>
            <w:noProof/>
            <w:webHidden/>
          </w:rPr>
          <w:tab/>
        </w:r>
        <w:r w:rsidR="005B10F2" w:rsidRPr="005B10F2">
          <w:rPr>
            <w:noProof/>
            <w:webHidden/>
          </w:rPr>
          <w:fldChar w:fldCharType="begin"/>
        </w:r>
        <w:r w:rsidR="005B10F2" w:rsidRPr="005B10F2">
          <w:rPr>
            <w:noProof/>
            <w:webHidden/>
          </w:rPr>
          <w:instrText xml:space="preserve"> PAGEREF _Toc203645052 \h </w:instrText>
        </w:r>
        <w:r w:rsidR="005B10F2" w:rsidRPr="005B10F2">
          <w:rPr>
            <w:noProof/>
            <w:webHidden/>
          </w:rPr>
        </w:r>
        <w:r w:rsidR="005B10F2" w:rsidRPr="005B10F2">
          <w:rPr>
            <w:noProof/>
            <w:webHidden/>
          </w:rPr>
          <w:fldChar w:fldCharType="separate"/>
        </w:r>
        <w:r w:rsidR="005B10F2" w:rsidRPr="005B10F2">
          <w:rPr>
            <w:noProof/>
            <w:webHidden/>
          </w:rPr>
          <w:t>11</w:t>
        </w:r>
        <w:r w:rsidR="005B10F2" w:rsidRPr="005B10F2">
          <w:rPr>
            <w:noProof/>
            <w:webHidden/>
          </w:rPr>
          <w:fldChar w:fldCharType="end"/>
        </w:r>
      </w:hyperlink>
    </w:p>
    <w:p w14:paraId="7405DEE0" w14:textId="42E9ED1E" w:rsidR="005B10F2" w:rsidRPr="005B10F2" w:rsidRDefault="005B10F2" w:rsidP="005B10F2">
      <w:pPr>
        <w:pStyle w:val="TableofFigures"/>
        <w:tabs>
          <w:tab w:val="right" w:leader="dot" w:pos="9350"/>
        </w:tabs>
        <w:spacing w:after="120"/>
        <w:rPr>
          <w:rFonts w:asciiTheme="minorHAnsi" w:eastAsiaTheme="minorEastAsia" w:hAnsiTheme="minorHAnsi" w:cstheme="minorBidi"/>
          <w:noProof/>
          <w:kern w:val="2"/>
          <w14:ligatures w14:val="standardContextual"/>
        </w:rPr>
      </w:pPr>
      <w:hyperlink w:anchor="_Toc203645053" w:history="1">
        <w:r w:rsidRPr="005B10F2">
          <w:rPr>
            <w:rStyle w:val="Hyperlink"/>
            <w:noProof/>
          </w:rPr>
          <w:t>Figure 2</w:t>
        </w:r>
        <w:r w:rsidRPr="005B10F2">
          <w:rPr>
            <w:rStyle w:val="Hyperlink"/>
            <w:rFonts w:cs="Arial"/>
            <w:iCs/>
            <w:noProof/>
          </w:rPr>
          <w:t>.</w:t>
        </w:r>
        <w:r w:rsidRPr="005B10F2">
          <w:rPr>
            <w:rStyle w:val="Hyperlink"/>
            <w:i/>
            <w:iCs/>
            <w:noProof/>
          </w:rPr>
          <w:t xml:space="preserve"> </w:t>
        </w:r>
        <w:r w:rsidRPr="005B10F2">
          <w:rPr>
            <w:rStyle w:val="Hyperlink"/>
            <w:noProof/>
          </w:rPr>
          <w:t>Number of Migrant Education Program-Eligible Children and Youths, 2017–18 Through 2022–23</w:t>
        </w:r>
        <w:r w:rsidRPr="005B10F2">
          <w:rPr>
            <w:noProof/>
            <w:webHidden/>
          </w:rPr>
          <w:tab/>
        </w:r>
        <w:r w:rsidRPr="005B10F2">
          <w:rPr>
            <w:noProof/>
            <w:webHidden/>
          </w:rPr>
          <w:fldChar w:fldCharType="begin"/>
        </w:r>
        <w:r w:rsidRPr="005B10F2">
          <w:rPr>
            <w:noProof/>
            <w:webHidden/>
          </w:rPr>
          <w:instrText xml:space="preserve"> PAGEREF _Toc203645053 \h </w:instrText>
        </w:r>
        <w:r w:rsidRPr="005B10F2">
          <w:rPr>
            <w:noProof/>
            <w:webHidden/>
          </w:rPr>
        </w:r>
        <w:r w:rsidRPr="005B10F2">
          <w:rPr>
            <w:noProof/>
            <w:webHidden/>
          </w:rPr>
          <w:fldChar w:fldCharType="separate"/>
        </w:r>
        <w:r w:rsidRPr="005B10F2">
          <w:rPr>
            <w:noProof/>
            <w:webHidden/>
          </w:rPr>
          <w:t>12</w:t>
        </w:r>
        <w:r w:rsidRPr="005B10F2">
          <w:rPr>
            <w:noProof/>
            <w:webHidden/>
          </w:rPr>
          <w:fldChar w:fldCharType="end"/>
        </w:r>
      </w:hyperlink>
    </w:p>
    <w:p w14:paraId="20443FAC" w14:textId="12BA41E4" w:rsidR="005B10F2" w:rsidRPr="005B10F2" w:rsidRDefault="005B10F2" w:rsidP="005B10F2">
      <w:pPr>
        <w:pStyle w:val="TableofFigures"/>
        <w:tabs>
          <w:tab w:val="right" w:leader="dot" w:pos="9350"/>
        </w:tabs>
        <w:spacing w:after="120"/>
        <w:rPr>
          <w:rFonts w:asciiTheme="minorHAnsi" w:eastAsiaTheme="minorEastAsia" w:hAnsiTheme="minorHAnsi" w:cstheme="minorBidi"/>
          <w:noProof/>
          <w:kern w:val="2"/>
          <w14:ligatures w14:val="standardContextual"/>
        </w:rPr>
      </w:pPr>
      <w:hyperlink w:anchor="_Toc203645054" w:history="1">
        <w:r w:rsidRPr="005B10F2">
          <w:rPr>
            <w:rStyle w:val="Hyperlink"/>
            <w:noProof/>
          </w:rPr>
          <w:t>Figure 3. Number of Migratory Children Recruited in California, by Originating Location, 2022–23</w:t>
        </w:r>
        <w:r w:rsidRPr="005B10F2">
          <w:rPr>
            <w:noProof/>
            <w:webHidden/>
          </w:rPr>
          <w:tab/>
        </w:r>
        <w:r w:rsidRPr="005B10F2">
          <w:rPr>
            <w:noProof/>
            <w:webHidden/>
          </w:rPr>
          <w:fldChar w:fldCharType="begin"/>
        </w:r>
        <w:r w:rsidRPr="005B10F2">
          <w:rPr>
            <w:noProof/>
            <w:webHidden/>
          </w:rPr>
          <w:instrText xml:space="preserve"> PAGEREF _Toc203645054 \h </w:instrText>
        </w:r>
        <w:r w:rsidRPr="005B10F2">
          <w:rPr>
            <w:noProof/>
            <w:webHidden/>
          </w:rPr>
        </w:r>
        <w:r w:rsidRPr="005B10F2">
          <w:rPr>
            <w:noProof/>
            <w:webHidden/>
          </w:rPr>
          <w:fldChar w:fldCharType="separate"/>
        </w:r>
        <w:r w:rsidRPr="005B10F2">
          <w:rPr>
            <w:noProof/>
            <w:webHidden/>
          </w:rPr>
          <w:t>13</w:t>
        </w:r>
        <w:r w:rsidRPr="005B10F2">
          <w:rPr>
            <w:noProof/>
            <w:webHidden/>
          </w:rPr>
          <w:fldChar w:fldCharType="end"/>
        </w:r>
      </w:hyperlink>
    </w:p>
    <w:p w14:paraId="754B6C8B" w14:textId="23CC0257" w:rsidR="005B10F2" w:rsidRPr="005B10F2" w:rsidRDefault="005B10F2" w:rsidP="005B10F2">
      <w:pPr>
        <w:pStyle w:val="TableofFigures"/>
        <w:tabs>
          <w:tab w:val="right" w:leader="dot" w:pos="9350"/>
        </w:tabs>
        <w:spacing w:after="120"/>
        <w:rPr>
          <w:rFonts w:asciiTheme="minorHAnsi" w:eastAsiaTheme="minorEastAsia" w:hAnsiTheme="minorHAnsi" w:cstheme="minorBidi"/>
          <w:noProof/>
          <w:kern w:val="2"/>
          <w14:ligatures w14:val="standardContextual"/>
        </w:rPr>
      </w:pPr>
      <w:hyperlink w:anchor="_Toc203645055" w:history="1">
        <w:r w:rsidRPr="005B10F2">
          <w:rPr>
            <w:rStyle w:val="Hyperlink"/>
            <w:noProof/>
          </w:rPr>
          <w:t>Figure 4. Migrant Education Program Subgrantee Program Areas</w:t>
        </w:r>
        <w:r w:rsidRPr="005B10F2">
          <w:rPr>
            <w:noProof/>
            <w:webHidden/>
          </w:rPr>
          <w:tab/>
        </w:r>
        <w:r w:rsidRPr="005B10F2">
          <w:rPr>
            <w:noProof/>
            <w:webHidden/>
          </w:rPr>
          <w:fldChar w:fldCharType="begin"/>
        </w:r>
        <w:r w:rsidRPr="005B10F2">
          <w:rPr>
            <w:noProof/>
            <w:webHidden/>
          </w:rPr>
          <w:instrText xml:space="preserve"> PAGEREF _Toc203645055 \h </w:instrText>
        </w:r>
        <w:r w:rsidRPr="005B10F2">
          <w:rPr>
            <w:noProof/>
            <w:webHidden/>
          </w:rPr>
        </w:r>
        <w:r w:rsidRPr="005B10F2">
          <w:rPr>
            <w:noProof/>
            <w:webHidden/>
          </w:rPr>
          <w:fldChar w:fldCharType="separate"/>
        </w:r>
        <w:r w:rsidRPr="005B10F2">
          <w:rPr>
            <w:noProof/>
            <w:webHidden/>
          </w:rPr>
          <w:t>15</w:t>
        </w:r>
        <w:r w:rsidRPr="005B10F2">
          <w:rPr>
            <w:noProof/>
            <w:webHidden/>
          </w:rPr>
          <w:fldChar w:fldCharType="end"/>
        </w:r>
      </w:hyperlink>
    </w:p>
    <w:p w14:paraId="69900023" w14:textId="7E5298F3" w:rsidR="005B10F2" w:rsidRDefault="005B10F2" w:rsidP="005B10F2">
      <w:pPr>
        <w:pStyle w:val="TableofFigures"/>
        <w:tabs>
          <w:tab w:val="right" w:leader="dot" w:pos="9350"/>
        </w:tabs>
        <w:spacing w:after="120"/>
        <w:rPr>
          <w:rFonts w:asciiTheme="minorHAnsi" w:eastAsiaTheme="minorEastAsia" w:hAnsiTheme="minorHAnsi" w:cstheme="minorBidi"/>
          <w:noProof/>
          <w:kern w:val="2"/>
          <w14:ligatures w14:val="standardContextual"/>
        </w:rPr>
      </w:pPr>
      <w:hyperlink w:anchor="_Toc203645056" w:history="1">
        <w:r w:rsidRPr="005B10F2">
          <w:rPr>
            <w:rStyle w:val="Hyperlink"/>
            <w:noProof/>
          </w:rPr>
          <w:t>Figure 5. Process for Developing the Statewide Comprehensive Needs Assessment and Service Delivery Plan</w:t>
        </w:r>
        <w:r w:rsidRPr="005B10F2">
          <w:rPr>
            <w:noProof/>
            <w:webHidden/>
          </w:rPr>
          <w:tab/>
        </w:r>
        <w:r w:rsidRPr="005B10F2">
          <w:rPr>
            <w:noProof/>
            <w:webHidden/>
          </w:rPr>
          <w:fldChar w:fldCharType="begin"/>
        </w:r>
        <w:r w:rsidRPr="005B10F2">
          <w:rPr>
            <w:noProof/>
            <w:webHidden/>
          </w:rPr>
          <w:instrText xml:space="preserve"> PAGEREF _Toc203645056 \h </w:instrText>
        </w:r>
        <w:r w:rsidRPr="005B10F2">
          <w:rPr>
            <w:noProof/>
            <w:webHidden/>
          </w:rPr>
        </w:r>
        <w:r w:rsidRPr="005B10F2">
          <w:rPr>
            <w:noProof/>
            <w:webHidden/>
          </w:rPr>
          <w:fldChar w:fldCharType="separate"/>
        </w:r>
        <w:r w:rsidRPr="005B10F2">
          <w:rPr>
            <w:noProof/>
            <w:webHidden/>
          </w:rPr>
          <w:t>20</w:t>
        </w:r>
        <w:r w:rsidRPr="005B10F2">
          <w:rPr>
            <w:noProof/>
            <w:webHidden/>
          </w:rPr>
          <w:fldChar w:fldCharType="end"/>
        </w:r>
      </w:hyperlink>
    </w:p>
    <w:p w14:paraId="1EA0984D" w14:textId="5462316E" w:rsidR="008C68F6" w:rsidRPr="00BD1A14" w:rsidRDefault="00DC5C7D" w:rsidP="003F0CBE">
      <w:pPr>
        <w:pStyle w:val="Heading3"/>
      </w:pPr>
      <w:r w:rsidRPr="00BD1A14">
        <w:fldChar w:fldCharType="end"/>
      </w:r>
      <w:bookmarkStart w:id="2" w:name="_Toc203568829"/>
      <w:r w:rsidR="008C68F6" w:rsidRPr="00BD1A14">
        <w:t>List of Tables</w:t>
      </w:r>
      <w:bookmarkEnd w:id="2"/>
    </w:p>
    <w:p w14:paraId="6ECC258D" w14:textId="7F3AD1A6" w:rsidR="003F245A" w:rsidRPr="003F245A" w:rsidRDefault="008C68F6" w:rsidP="003F245A">
      <w:pPr>
        <w:pStyle w:val="TableofFigures"/>
        <w:tabs>
          <w:tab w:val="right" w:leader="dot" w:pos="9350"/>
        </w:tabs>
        <w:spacing w:after="120"/>
        <w:rPr>
          <w:rFonts w:eastAsiaTheme="minorEastAsia" w:cs="Arial"/>
          <w:noProof/>
          <w:kern w:val="2"/>
          <w14:ligatures w14:val="standardContextual"/>
        </w:rPr>
      </w:pPr>
      <w:r w:rsidRPr="003F245A">
        <w:rPr>
          <w:rFonts w:cs="Arial"/>
        </w:rPr>
        <w:fldChar w:fldCharType="begin"/>
      </w:r>
      <w:r w:rsidRPr="003F245A">
        <w:rPr>
          <w:rFonts w:cs="Arial"/>
        </w:rPr>
        <w:instrText xml:space="preserve"> TOC \h \z \c "Table" </w:instrText>
      </w:r>
      <w:r w:rsidRPr="003F245A">
        <w:rPr>
          <w:rFonts w:cs="Arial"/>
        </w:rPr>
        <w:fldChar w:fldCharType="separate"/>
      </w:r>
      <w:hyperlink w:anchor="_Toc204755337" w:history="1">
        <w:r w:rsidR="003F245A" w:rsidRPr="003F245A">
          <w:rPr>
            <w:rStyle w:val="Hyperlink"/>
            <w:rFonts w:cs="Arial"/>
            <w:noProof/>
          </w:rPr>
          <w:t>Table 1. Number of Migrant Education Program–Eligible Children and Youths, 2017–18 Through 2022–23</w:t>
        </w:r>
        <w:r w:rsidR="003F245A" w:rsidRPr="003F245A">
          <w:rPr>
            <w:rFonts w:cs="Arial"/>
            <w:noProof/>
            <w:webHidden/>
          </w:rPr>
          <w:tab/>
        </w:r>
        <w:r w:rsidR="003F245A" w:rsidRPr="003F245A">
          <w:rPr>
            <w:rFonts w:cs="Arial"/>
            <w:noProof/>
            <w:webHidden/>
          </w:rPr>
          <w:fldChar w:fldCharType="begin"/>
        </w:r>
        <w:r w:rsidR="003F245A" w:rsidRPr="003F245A">
          <w:rPr>
            <w:rFonts w:cs="Arial"/>
            <w:noProof/>
            <w:webHidden/>
          </w:rPr>
          <w:instrText xml:space="preserve"> PAGEREF _Toc204755337 \h </w:instrText>
        </w:r>
        <w:r w:rsidR="003F245A" w:rsidRPr="003F245A">
          <w:rPr>
            <w:rFonts w:cs="Arial"/>
            <w:noProof/>
            <w:webHidden/>
          </w:rPr>
        </w:r>
        <w:r w:rsidR="003F245A" w:rsidRPr="003F245A">
          <w:rPr>
            <w:rFonts w:cs="Arial"/>
            <w:noProof/>
            <w:webHidden/>
          </w:rPr>
          <w:fldChar w:fldCharType="separate"/>
        </w:r>
        <w:r w:rsidR="003F245A" w:rsidRPr="003F245A">
          <w:rPr>
            <w:rFonts w:cs="Arial"/>
            <w:noProof/>
            <w:webHidden/>
          </w:rPr>
          <w:t>13</w:t>
        </w:r>
        <w:r w:rsidR="003F245A" w:rsidRPr="003F245A">
          <w:rPr>
            <w:rFonts w:cs="Arial"/>
            <w:noProof/>
            <w:webHidden/>
          </w:rPr>
          <w:fldChar w:fldCharType="end"/>
        </w:r>
      </w:hyperlink>
    </w:p>
    <w:p w14:paraId="28C98131" w14:textId="57222B75"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38" w:history="1">
        <w:r w:rsidRPr="003F245A">
          <w:rPr>
            <w:rStyle w:val="Hyperlink"/>
            <w:rFonts w:cs="Arial"/>
            <w:noProof/>
          </w:rPr>
          <w:t>Table 2. Number of Migratory Students Classified as Priority for Service, 2017–18 to 2022–23</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_Toc204755338 \h </w:instrText>
        </w:r>
        <w:r w:rsidRPr="003F245A">
          <w:rPr>
            <w:rFonts w:cs="Arial"/>
            <w:noProof/>
            <w:webHidden/>
          </w:rPr>
        </w:r>
        <w:r w:rsidRPr="003F245A">
          <w:rPr>
            <w:rFonts w:cs="Arial"/>
            <w:noProof/>
            <w:webHidden/>
          </w:rPr>
          <w:fldChar w:fldCharType="separate"/>
        </w:r>
        <w:r w:rsidRPr="003F245A">
          <w:rPr>
            <w:rFonts w:cs="Arial"/>
            <w:noProof/>
            <w:webHidden/>
          </w:rPr>
          <w:t>14</w:t>
        </w:r>
        <w:r w:rsidRPr="003F245A">
          <w:rPr>
            <w:rFonts w:cs="Arial"/>
            <w:noProof/>
            <w:webHidden/>
          </w:rPr>
          <w:fldChar w:fldCharType="end"/>
        </w:r>
      </w:hyperlink>
    </w:p>
    <w:p w14:paraId="556E0F17" w14:textId="33C0566C"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39" w:history="1">
        <w:r w:rsidRPr="003F245A">
          <w:rPr>
            <w:rStyle w:val="Hyperlink"/>
            <w:rFonts w:cs="Arial"/>
            <w:noProof/>
          </w:rPr>
          <w:t>Table 3. Comprehensive Needs Assessment and Service Delivery Plan Project Timeline</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_Toc204755339 \h </w:instrText>
        </w:r>
        <w:r w:rsidRPr="003F245A">
          <w:rPr>
            <w:rFonts w:cs="Arial"/>
            <w:noProof/>
            <w:webHidden/>
          </w:rPr>
        </w:r>
        <w:r w:rsidRPr="003F245A">
          <w:rPr>
            <w:rFonts w:cs="Arial"/>
            <w:noProof/>
            <w:webHidden/>
          </w:rPr>
          <w:fldChar w:fldCharType="separate"/>
        </w:r>
        <w:r w:rsidRPr="003F245A">
          <w:rPr>
            <w:rFonts w:cs="Arial"/>
            <w:noProof/>
            <w:webHidden/>
          </w:rPr>
          <w:t>20</w:t>
        </w:r>
        <w:r w:rsidRPr="003F245A">
          <w:rPr>
            <w:rFonts w:cs="Arial"/>
            <w:noProof/>
            <w:webHidden/>
          </w:rPr>
          <w:fldChar w:fldCharType="end"/>
        </w:r>
      </w:hyperlink>
    </w:p>
    <w:p w14:paraId="7A45BA79" w14:textId="0D097162"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0" w:history="1">
        <w:r w:rsidRPr="003F245A">
          <w:rPr>
            <w:rStyle w:val="Hyperlink"/>
            <w:rFonts w:cs="Arial"/>
            <w:iCs/>
            <w:noProof/>
          </w:rPr>
          <w:t>Table 4. Data Summary, Concern Statement, and Need Statement for Overall English Language Arts Achievement</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_Toc204755340 \h </w:instrText>
        </w:r>
        <w:r w:rsidRPr="003F245A">
          <w:rPr>
            <w:rFonts w:cs="Arial"/>
            <w:noProof/>
            <w:webHidden/>
          </w:rPr>
        </w:r>
        <w:r w:rsidRPr="003F245A">
          <w:rPr>
            <w:rFonts w:cs="Arial"/>
            <w:noProof/>
            <w:webHidden/>
          </w:rPr>
          <w:fldChar w:fldCharType="separate"/>
        </w:r>
        <w:r w:rsidRPr="003F245A">
          <w:rPr>
            <w:rFonts w:cs="Arial"/>
            <w:noProof/>
            <w:webHidden/>
          </w:rPr>
          <w:t>24</w:t>
        </w:r>
        <w:r w:rsidRPr="003F245A">
          <w:rPr>
            <w:rFonts w:cs="Arial"/>
            <w:noProof/>
            <w:webHidden/>
          </w:rPr>
          <w:fldChar w:fldCharType="end"/>
        </w:r>
      </w:hyperlink>
    </w:p>
    <w:p w14:paraId="600F9AFB" w14:textId="0909FB40"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1" w:history="1">
        <w:r w:rsidRPr="003F245A">
          <w:rPr>
            <w:rStyle w:val="Hyperlink"/>
            <w:rFonts w:cs="Arial"/>
            <w:iCs/>
            <w:noProof/>
          </w:rPr>
          <w:t>Table 5. Data Summary, Concern Statement, and Need Statement for Claim 1 - Reading Achievement</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_Toc204755341 \h </w:instrText>
        </w:r>
        <w:r w:rsidRPr="003F245A">
          <w:rPr>
            <w:rFonts w:cs="Arial"/>
            <w:noProof/>
            <w:webHidden/>
          </w:rPr>
        </w:r>
        <w:r w:rsidRPr="003F245A">
          <w:rPr>
            <w:rFonts w:cs="Arial"/>
            <w:noProof/>
            <w:webHidden/>
          </w:rPr>
          <w:fldChar w:fldCharType="separate"/>
        </w:r>
        <w:r w:rsidRPr="003F245A">
          <w:rPr>
            <w:rFonts w:cs="Arial"/>
            <w:noProof/>
            <w:webHidden/>
          </w:rPr>
          <w:t>25</w:t>
        </w:r>
        <w:r w:rsidRPr="003F245A">
          <w:rPr>
            <w:rFonts w:cs="Arial"/>
            <w:noProof/>
            <w:webHidden/>
          </w:rPr>
          <w:fldChar w:fldCharType="end"/>
        </w:r>
      </w:hyperlink>
    </w:p>
    <w:p w14:paraId="51B98618" w14:textId="7EE3D4E9"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2" w:history="1">
        <w:r w:rsidRPr="003F245A">
          <w:rPr>
            <w:rStyle w:val="Hyperlink"/>
            <w:rFonts w:cs="Arial"/>
            <w:iCs/>
            <w:noProof/>
          </w:rPr>
          <w:t>Table 6. Data Summary, Concern Statement, and Need Statement for Claim 2 – Writing</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_Toc204755342 \h </w:instrText>
        </w:r>
        <w:r w:rsidRPr="003F245A">
          <w:rPr>
            <w:rFonts w:cs="Arial"/>
            <w:noProof/>
            <w:webHidden/>
          </w:rPr>
        </w:r>
        <w:r w:rsidRPr="003F245A">
          <w:rPr>
            <w:rFonts w:cs="Arial"/>
            <w:noProof/>
            <w:webHidden/>
          </w:rPr>
          <w:fldChar w:fldCharType="separate"/>
        </w:r>
        <w:r w:rsidRPr="003F245A">
          <w:rPr>
            <w:rFonts w:cs="Arial"/>
            <w:noProof/>
            <w:webHidden/>
          </w:rPr>
          <w:t>26</w:t>
        </w:r>
        <w:r w:rsidRPr="003F245A">
          <w:rPr>
            <w:rFonts w:cs="Arial"/>
            <w:noProof/>
            <w:webHidden/>
          </w:rPr>
          <w:fldChar w:fldCharType="end"/>
        </w:r>
      </w:hyperlink>
    </w:p>
    <w:p w14:paraId="555A2AAC" w14:textId="1660E77B"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3" w:history="1">
        <w:r w:rsidRPr="003F245A">
          <w:rPr>
            <w:rStyle w:val="Hyperlink"/>
            <w:rFonts w:cs="Arial"/>
            <w:iCs/>
            <w:noProof/>
          </w:rPr>
          <w:t>Table 7. Data Summary, Concern Statement, and Need Statement for Overall Mathematics Achievement</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_Toc204755343 \h </w:instrText>
        </w:r>
        <w:r w:rsidRPr="003F245A">
          <w:rPr>
            <w:rFonts w:cs="Arial"/>
            <w:noProof/>
            <w:webHidden/>
          </w:rPr>
        </w:r>
        <w:r w:rsidRPr="003F245A">
          <w:rPr>
            <w:rFonts w:cs="Arial"/>
            <w:noProof/>
            <w:webHidden/>
          </w:rPr>
          <w:fldChar w:fldCharType="separate"/>
        </w:r>
        <w:r w:rsidRPr="003F245A">
          <w:rPr>
            <w:rFonts w:cs="Arial"/>
            <w:noProof/>
            <w:webHidden/>
          </w:rPr>
          <w:t>28</w:t>
        </w:r>
        <w:r w:rsidRPr="003F245A">
          <w:rPr>
            <w:rFonts w:cs="Arial"/>
            <w:noProof/>
            <w:webHidden/>
          </w:rPr>
          <w:fldChar w:fldCharType="end"/>
        </w:r>
      </w:hyperlink>
    </w:p>
    <w:p w14:paraId="7F23EE29" w14:textId="0D02AD8F"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4" w:history="1">
        <w:r w:rsidRPr="003F245A">
          <w:rPr>
            <w:rStyle w:val="Hyperlink"/>
            <w:rFonts w:cs="Arial"/>
            <w:iCs/>
            <w:noProof/>
          </w:rPr>
          <w:t>Table 8. Data Summary, Concern Statement, and Need Statement for Mathematics Claim 1 – Concepts and Procedures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_Toc204755344 \h </w:instrText>
        </w:r>
        <w:r w:rsidRPr="003F245A">
          <w:rPr>
            <w:rFonts w:cs="Arial"/>
            <w:noProof/>
            <w:webHidden/>
          </w:rPr>
        </w:r>
        <w:r w:rsidRPr="003F245A">
          <w:rPr>
            <w:rFonts w:cs="Arial"/>
            <w:noProof/>
            <w:webHidden/>
          </w:rPr>
          <w:fldChar w:fldCharType="separate"/>
        </w:r>
        <w:r w:rsidRPr="003F245A">
          <w:rPr>
            <w:rFonts w:cs="Arial"/>
            <w:noProof/>
            <w:webHidden/>
          </w:rPr>
          <w:t>29</w:t>
        </w:r>
        <w:r w:rsidRPr="003F245A">
          <w:rPr>
            <w:rFonts w:cs="Arial"/>
            <w:noProof/>
            <w:webHidden/>
          </w:rPr>
          <w:fldChar w:fldCharType="end"/>
        </w:r>
      </w:hyperlink>
    </w:p>
    <w:p w14:paraId="20748765" w14:textId="49B7EABA"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5" w:history="1">
        <w:r w:rsidRPr="003F245A">
          <w:rPr>
            <w:rStyle w:val="Hyperlink"/>
            <w:rFonts w:cs="Arial"/>
            <w:iCs/>
            <w:noProof/>
          </w:rPr>
          <w:t>Table 9. Data Summary, Concern Statement, and Need Statement for English Language Proficiency (English Language Proficiency Assessment for California Domain 3 - Reading)</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_Toc204755345 \h </w:instrText>
        </w:r>
        <w:r w:rsidRPr="003F245A">
          <w:rPr>
            <w:rFonts w:cs="Arial"/>
            <w:noProof/>
            <w:webHidden/>
          </w:rPr>
        </w:r>
        <w:r w:rsidRPr="003F245A">
          <w:rPr>
            <w:rFonts w:cs="Arial"/>
            <w:noProof/>
            <w:webHidden/>
          </w:rPr>
          <w:fldChar w:fldCharType="separate"/>
        </w:r>
        <w:r w:rsidRPr="003F245A">
          <w:rPr>
            <w:rFonts w:cs="Arial"/>
            <w:noProof/>
            <w:webHidden/>
          </w:rPr>
          <w:t>30</w:t>
        </w:r>
        <w:r w:rsidRPr="003F245A">
          <w:rPr>
            <w:rFonts w:cs="Arial"/>
            <w:noProof/>
            <w:webHidden/>
          </w:rPr>
          <w:fldChar w:fldCharType="end"/>
        </w:r>
      </w:hyperlink>
    </w:p>
    <w:p w14:paraId="317AE1C5" w14:textId="4657FC5B"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6" w:history="1">
        <w:r w:rsidRPr="003F245A">
          <w:rPr>
            <w:rStyle w:val="Hyperlink"/>
            <w:rFonts w:cs="Arial"/>
            <w:iCs/>
            <w:noProof/>
          </w:rPr>
          <w:t>Table 10. Data Summary, Concern Statement, and Need Statement for English Language Proficiency (English Language Proficiency Assessment for California Overall Proficiency)</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_Toc204755346 \h </w:instrText>
        </w:r>
        <w:r w:rsidRPr="003F245A">
          <w:rPr>
            <w:rFonts w:cs="Arial"/>
            <w:noProof/>
            <w:webHidden/>
          </w:rPr>
        </w:r>
        <w:r w:rsidRPr="003F245A">
          <w:rPr>
            <w:rFonts w:cs="Arial"/>
            <w:noProof/>
            <w:webHidden/>
          </w:rPr>
          <w:fldChar w:fldCharType="separate"/>
        </w:r>
        <w:r w:rsidRPr="003F245A">
          <w:rPr>
            <w:rFonts w:cs="Arial"/>
            <w:noProof/>
            <w:webHidden/>
          </w:rPr>
          <w:t>31</w:t>
        </w:r>
        <w:r w:rsidRPr="003F245A">
          <w:rPr>
            <w:rFonts w:cs="Arial"/>
            <w:noProof/>
            <w:webHidden/>
          </w:rPr>
          <w:fldChar w:fldCharType="end"/>
        </w:r>
      </w:hyperlink>
    </w:p>
    <w:p w14:paraId="5233FF42" w14:textId="167C8F8C"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7" w:history="1">
        <w:r w:rsidRPr="003F245A">
          <w:rPr>
            <w:rStyle w:val="Hyperlink"/>
            <w:rFonts w:cs="Arial"/>
            <w:iCs/>
            <w:noProof/>
          </w:rPr>
          <w:t>Table 11. Data Summary, Concern Statement, and Need Statement for Building Awareness in Social and Emotional Learning</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_Toc204755347 \h </w:instrText>
        </w:r>
        <w:r w:rsidRPr="003F245A">
          <w:rPr>
            <w:rFonts w:cs="Arial"/>
            <w:noProof/>
            <w:webHidden/>
          </w:rPr>
        </w:r>
        <w:r w:rsidRPr="003F245A">
          <w:rPr>
            <w:rFonts w:cs="Arial"/>
            <w:noProof/>
            <w:webHidden/>
          </w:rPr>
          <w:fldChar w:fldCharType="separate"/>
        </w:r>
        <w:r w:rsidRPr="003F245A">
          <w:rPr>
            <w:rFonts w:cs="Arial"/>
            <w:noProof/>
            <w:webHidden/>
          </w:rPr>
          <w:t>32</w:t>
        </w:r>
        <w:r w:rsidRPr="003F245A">
          <w:rPr>
            <w:rFonts w:cs="Arial"/>
            <w:noProof/>
            <w:webHidden/>
          </w:rPr>
          <w:fldChar w:fldCharType="end"/>
        </w:r>
      </w:hyperlink>
    </w:p>
    <w:p w14:paraId="2FD465C3" w14:textId="47F02ABA"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8" w:history="1">
        <w:r w:rsidRPr="003F245A">
          <w:rPr>
            <w:rStyle w:val="Hyperlink"/>
            <w:rFonts w:cs="Arial"/>
            <w:iCs/>
            <w:noProof/>
          </w:rPr>
          <w:t>Table 12. Data Summary, Concern Statement, and Need Statement for Social and Emotional Learning Resource Identification</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_Toc204755348 \h </w:instrText>
        </w:r>
        <w:r w:rsidRPr="003F245A">
          <w:rPr>
            <w:rFonts w:cs="Arial"/>
            <w:noProof/>
            <w:webHidden/>
          </w:rPr>
        </w:r>
        <w:r w:rsidRPr="003F245A">
          <w:rPr>
            <w:rFonts w:cs="Arial"/>
            <w:noProof/>
            <w:webHidden/>
          </w:rPr>
          <w:fldChar w:fldCharType="separate"/>
        </w:r>
        <w:r w:rsidRPr="003F245A">
          <w:rPr>
            <w:rFonts w:cs="Arial"/>
            <w:noProof/>
            <w:webHidden/>
          </w:rPr>
          <w:t>33</w:t>
        </w:r>
        <w:r w:rsidRPr="003F245A">
          <w:rPr>
            <w:rFonts w:cs="Arial"/>
            <w:noProof/>
            <w:webHidden/>
          </w:rPr>
          <w:fldChar w:fldCharType="end"/>
        </w:r>
      </w:hyperlink>
    </w:p>
    <w:p w14:paraId="0250BB11" w14:textId="27777FB8"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49" w:history="1">
        <w:r w:rsidRPr="003F245A">
          <w:rPr>
            <w:rStyle w:val="Hyperlink"/>
            <w:rFonts w:cs="Arial"/>
            <w:iCs/>
            <w:noProof/>
          </w:rPr>
          <w:t>Table 13. Data Summary, Concern Statement, and Need Statement for Meeting University of California/California State University Requirements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_Toc204755349 \h </w:instrText>
        </w:r>
        <w:r w:rsidRPr="003F245A">
          <w:rPr>
            <w:rFonts w:cs="Arial"/>
            <w:noProof/>
            <w:webHidden/>
          </w:rPr>
        </w:r>
        <w:r w:rsidRPr="003F245A">
          <w:rPr>
            <w:rFonts w:cs="Arial"/>
            <w:noProof/>
            <w:webHidden/>
          </w:rPr>
          <w:fldChar w:fldCharType="separate"/>
        </w:r>
        <w:r w:rsidRPr="003F245A">
          <w:rPr>
            <w:rFonts w:cs="Arial"/>
            <w:noProof/>
            <w:webHidden/>
          </w:rPr>
          <w:t>34</w:t>
        </w:r>
        <w:r w:rsidRPr="003F245A">
          <w:rPr>
            <w:rFonts w:cs="Arial"/>
            <w:noProof/>
            <w:webHidden/>
          </w:rPr>
          <w:fldChar w:fldCharType="end"/>
        </w:r>
      </w:hyperlink>
    </w:p>
    <w:p w14:paraId="6E252AC1" w14:textId="6E68AA45"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0" w:history="1">
        <w:r w:rsidRPr="003F245A">
          <w:rPr>
            <w:rStyle w:val="Hyperlink"/>
            <w:rFonts w:cs="Arial"/>
            <w:iCs/>
            <w:noProof/>
          </w:rPr>
          <w:t>Table 14. Data Summary, Concern Statement, and Need Statement for High School Dropout Rate</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_Toc204755350 \h </w:instrText>
        </w:r>
        <w:r w:rsidRPr="003F245A">
          <w:rPr>
            <w:rFonts w:cs="Arial"/>
            <w:noProof/>
            <w:webHidden/>
          </w:rPr>
        </w:r>
        <w:r w:rsidRPr="003F245A">
          <w:rPr>
            <w:rFonts w:cs="Arial"/>
            <w:noProof/>
            <w:webHidden/>
          </w:rPr>
          <w:fldChar w:fldCharType="separate"/>
        </w:r>
        <w:r w:rsidRPr="003F245A">
          <w:rPr>
            <w:rFonts w:cs="Arial"/>
            <w:noProof/>
            <w:webHidden/>
          </w:rPr>
          <w:t>35</w:t>
        </w:r>
        <w:r w:rsidRPr="003F245A">
          <w:rPr>
            <w:rFonts w:cs="Arial"/>
            <w:noProof/>
            <w:webHidden/>
          </w:rPr>
          <w:fldChar w:fldCharType="end"/>
        </w:r>
      </w:hyperlink>
    </w:p>
    <w:p w14:paraId="22E61512" w14:textId="350B9F29"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1" w:history="1">
        <w:r w:rsidRPr="003F245A">
          <w:rPr>
            <w:rStyle w:val="Hyperlink"/>
            <w:rFonts w:cs="Arial"/>
            <w:iCs/>
            <w:noProof/>
          </w:rPr>
          <w:t>Table 15. Data Summary, Concern Statement, and Need Statement for School Readiness: English Language Proficiency</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_Toc204755351 \h </w:instrText>
        </w:r>
        <w:r w:rsidRPr="003F245A">
          <w:rPr>
            <w:rFonts w:cs="Arial"/>
            <w:noProof/>
            <w:webHidden/>
          </w:rPr>
        </w:r>
        <w:r w:rsidRPr="003F245A">
          <w:rPr>
            <w:rFonts w:cs="Arial"/>
            <w:noProof/>
            <w:webHidden/>
          </w:rPr>
          <w:fldChar w:fldCharType="separate"/>
        </w:r>
        <w:r w:rsidRPr="003F245A">
          <w:rPr>
            <w:rFonts w:cs="Arial"/>
            <w:noProof/>
            <w:webHidden/>
          </w:rPr>
          <w:t>36</w:t>
        </w:r>
        <w:r w:rsidRPr="003F245A">
          <w:rPr>
            <w:rFonts w:cs="Arial"/>
            <w:noProof/>
            <w:webHidden/>
          </w:rPr>
          <w:fldChar w:fldCharType="end"/>
        </w:r>
      </w:hyperlink>
    </w:p>
    <w:p w14:paraId="6FC30DC1" w14:textId="1F402FB8"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2" w:history="1">
        <w:r w:rsidRPr="003F245A">
          <w:rPr>
            <w:rStyle w:val="Hyperlink"/>
            <w:rFonts w:cs="Arial"/>
            <w:noProof/>
          </w:rPr>
          <w:t>Table 16. Data Summary, Concern Statement, and Need Statement for School Readiness: English Language Arts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_Toc204755352 \h </w:instrText>
        </w:r>
        <w:r w:rsidRPr="003F245A">
          <w:rPr>
            <w:rFonts w:cs="Arial"/>
            <w:noProof/>
            <w:webHidden/>
          </w:rPr>
        </w:r>
        <w:r w:rsidRPr="003F245A">
          <w:rPr>
            <w:rFonts w:cs="Arial"/>
            <w:noProof/>
            <w:webHidden/>
          </w:rPr>
          <w:fldChar w:fldCharType="separate"/>
        </w:r>
        <w:r w:rsidRPr="003F245A">
          <w:rPr>
            <w:rFonts w:cs="Arial"/>
            <w:noProof/>
            <w:webHidden/>
          </w:rPr>
          <w:t>36</w:t>
        </w:r>
        <w:r w:rsidRPr="003F245A">
          <w:rPr>
            <w:rFonts w:cs="Arial"/>
            <w:noProof/>
            <w:webHidden/>
          </w:rPr>
          <w:fldChar w:fldCharType="end"/>
        </w:r>
      </w:hyperlink>
    </w:p>
    <w:p w14:paraId="28F3AA7D" w14:textId="73E825E9"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3" w:history="1">
        <w:r w:rsidRPr="003F245A">
          <w:rPr>
            <w:rStyle w:val="Hyperlink"/>
            <w:rFonts w:cs="Arial"/>
            <w:iCs/>
            <w:noProof/>
          </w:rPr>
          <w:t>Table 17. Data Summary, Concern Statement, and Need Statement for School Readiness: Mathematics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_Toc204755353 \h </w:instrText>
        </w:r>
        <w:r w:rsidRPr="003F245A">
          <w:rPr>
            <w:rFonts w:cs="Arial"/>
            <w:noProof/>
            <w:webHidden/>
          </w:rPr>
        </w:r>
        <w:r w:rsidRPr="003F245A">
          <w:rPr>
            <w:rFonts w:cs="Arial"/>
            <w:noProof/>
            <w:webHidden/>
          </w:rPr>
          <w:fldChar w:fldCharType="separate"/>
        </w:r>
        <w:r w:rsidRPr="003F245A">
          <w:rPr>
            <w:rFonts w:cs="Arial"/>
            <w:noProof/>
            <w:webHidden/>
          </w:rPr>
          <w:t>37</w:t>
        </w:r>
        <w:r w:rsidRPr="003F245A">
          <w:rPr>
            <w:rFonts w:cs="Arial"/>
            <w:noProof/>
            <w:webHidden/>
          </w:rPr>
          <w:fldChar w:fldCharType="end"/>
        </w:r>
      </w:hyperlink>
    </w:p>
    <w:p w14:paraId="26E03D2D" w14:textId="15E1FCDC"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4" w:history="1">
        <w:r w:rsidRPr="003F245A">
          <w:rPr>
            <w:rStyle w:val="Hyperlink"/>
            <w:rFonts w:cs="Arial"/>
            <w:iCs/>
            <w:noProof/>
          </w:rPr>
          <w:t>Table 18. Data Summary, Concern Statement, and Need Statement for Out-of-School Youths’ Instructional Services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_Toc204755354 \h </w:instrText>
        </w:r>
        <w:r w:rsidRPr="003F245A">
          <w:rPr>
            <w:rFonts w:cs="Arial"/>
            <w:noProof/>
            <w:webHidden/>
          </w:rPr>
        </w:r>
        <w:r w:rsidRPr="003F245A">
          <w:rPr>
            <w:rFonts w:cs="Arial"/>
            <w:noProof/>
            <w:webHidden/>
          </w:rPr>
          <w:fldChar w:fldCharType="separate"/>
        </w:r>
        <w:r w:rsidRPr="003F245A">
          <w:rPr>
            <w:rFonts w:cs="Arial"/>
            <w:noProof/>
            <w:webHidden/>
          </w:rPr>
          <w:t>38</w:t>
        </w:r>
        <w:r w:rsidRPr="003F245A">
          <w:rPr>
            <w:rFonts w:cs="Arial"/>
            <w:noProof/>
            <w:webHidden/>
          </w:rPr>
          <w:fldChar w:fldCharType="end"/>
        </w:r>
      </w:hyperlink>
    </w:p>
    <w:p w14:paraId="0397B0EE" w14:textId="4E78943B"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5" w:history="1">
        <w:r w:rsidRPr="003F245A">
          <w:rPr>
            <w:rStyle w:val="Hyperlink"/>
            <w:rFonts w:cs="Arial"/>
            <w:iCs/>
            <w:noProof/>
          </w:rPr>
          <w:t>Table 19. Data Summary, Concern Statement, and Need Statement for Completion of Out-of-School Youths’ Individual Needs Assessments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_Toc204755355 \h </w:instrText>
        </w:r>
        <w:r w:rsidRPr="003F245A">
          <w:rPr>
            <w:rFonts w:cs="Arial"/>
            <w:noProof/>
            <w:webHidden/>
          </w:rPr>
        </w:r>
        <w:r w:rsidRPr="003F245A">
          <w:rPr>
            <w:rFonts w:cs="Arial"/>
            <w:noProof/>
            <w:webHidden/>
          </w:rPr>
          <w:fldChar w:fldCharType="separate"/>
        </w:r>
        <w:r w:rsidRPr="003F245A">
          <w:rPr>
            <w:rFonts w:cs="Arial"/>
            <w:noProof/>
            <w:webHidden/>
          </w:rPr>
          <w:t>39</w:t>
        </w:r>
        <w:r w:rsidRPr="003F245A">
          <w:rPr>
            <w:rFonts w:cs="Arial"/>
            <w:noProof/>
            <w:webHidden/>
          </w:rPr>
          <w:fldChar w:fldCharType="end"/>
        </w:r>
      </w:hyperlink>
    </w:p>
    <w:p w14:paraId="6D6B5C2C" w14:textId="3923251C"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6" w:history="1">
        <w:r w:rsidRPr="003F245A">
          <w:rPr>
            <w:rStyle w:val="Hyperlink"/>
            <w:rFonts w:cs="Arial"/>
            <w:iCs/>
            <w:noProof/>
          </w:rPr>
          <w:t>Table 20. Data Summary, Concern Statement, and Need Statement for Mental Health Services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_Toc204755356 \h </w:instrText>
        </w:r>
        <w:r w:rsidRPr="003F245A">
          <w:rPr>
            <w:rFonts w:cs="Arial"/>
            <w:noProof/>
            <w:webHidden/>
          </w:rPr>
        </w:r>
        <w:r w:rsidRPr="003F245A">
          <w:rPr>
            <w:rFonts w:cs="Arial"/>
            <w:noProof/>
            <w:webHidden/>
          </w:rPr>
          <w:fldChar w:fldCharType="separate"/>
        </w:r>
        <w:r w:rsidRPr="003F245A">
          <w:rPr>
            <w:rFonts w:cs="Arial"/>
            <w:noProof/>
            <w:webHidden/>
          </w:rPr>
          <w:t>41</w:t>
        </w:r>
        <w:r w:rsidRPr="003F245A">
          <w:rPr>
            <w:rFonts w:cs="Arial"/>
            <w:noProof/>
            <w:webHidden/>
          </w:rPr>
          <w:fldChar w:fldCharType="end"/>
        </w:r>
      </w:hyperlink>
    </w:p>
    <w:p w14:paraId="4ABBE949" w14:textId="611DEE34"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7" w:history="1">
        <w:r w:rsidRPr="003F245A">
          <w:rPr>
            <w:rStyle w:val="Hyperlink"/>
            <w:rFonts w:cs="Arial"/>
            <w:iCs/>
            <w:noProof/>
          </w:rPr>
          <w:t>Table 21. Data Summary, Concern Statement, and Need Statement for Parent and Family Engagement: Capacity Building</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_Toc204755357 \h </w:instrText>
        </w:r>
        <w:r w:rsidRPr="003F245A">
          <w:rPr>
            <w:rFonts w:cs="Arial"/>
            <w:noProof/>
            <w:webHidden/>
          </w:rPr>
        </w:r>
        <w:r w:rsidRPr="003F245A">
          <w:rPr>
            <w:rFonts w:cs="Arial"/>
            <w:noProof/>
            <w:webHidden/>
          </w:rPr>
          <w:fldChar w:fldCharType="separate"/>
        </w:r>
        <w:r w:rsidRPr="003F245A">
          <w:rPr>
            <w:rFonts w:cs="Arial"/>
            <w:noProof/>
            <w:webHidden/>
          </w:rPr>
          <w:t>42</w:t>
        </w:r>
        <w:r w:rsidRPr="003F245A">
          <w:rPr>
            <w:rFonts w:cs="Arial"/>
            <w:noProof/>
            <w:webHidden/>
          </w:rPr>
          <w:fldChar w:fldCharType="end"/>
        </w:r>
      </w:hyperlink>
    </w:p>
    <w:p w14:paraId="25F1858A" w14:textId="70A0224A"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8" w:history="1">
        <w:r w:rsidRPr="003F245A">
          <w:rPr>
            <w:rStyle w:val="Hyperlink"/>
            <w:rFonts w:cs="Arial"/>
            <w:iCs/>
            <w:noProof/>
          </w:rPr>
          <w:t>Table 22. Data Summary, Concern Statement, and Need Statement for Parent and Family Engagement: Battling Information Asymmetry</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_Toc204755358 \h </w:instrText>
        </w:r>
        <w:r w:rsidRPr="003F245A">
          <w:rPr>
            <w:rFonts w:cs="Arial"/>
            <w:noProof/>
            <w:webHidden/>
          </w:rPr>
        </w:r>
        <w:r w:rsidRPr="003F245A">
          <w:rPr>
            <w:rFonts w:cs="Arial"/>
            <w:noProof/>
            <w:webHidden/>
          </w:rPr>
          <w:fldChar w:fldCharType="separate"/>
        </w:r>
        <w:r w:rsidRPr="003F245A">
          <w:rPr>
            <w:rFonts w:cs="Arial"/>
            <w:noProof/>
            <w:webHidden/>
          </w:rPr>
          <w:t>43</w:t>
        </w:r>
        <w:r w:rsidRPr="003F245A">
          <w:rPr>
            <w:rFonts w:cs="Arial"/>
            <w:noProof/>
            <w:webHidden/>
          </w:rPr>
          <w:fldChar w:fldCharType="end"/>
        </w:r>
      </w:hyperlink>
    </w:p>
    <w:p w14:paraId="3D9CC7D0" w14:textId="073816F9"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59" w:history="1">
        <w:r w:rsidRPr="003F245A">
          <w:rPr>
            <w:rStyle w:val="Hyperlink"/>
            <w:rFonts w:cs="Arial"/>
            <w:iCs/>
            <w:noProof/>
          </w:rPr>
          <w:t>Table 23. Data Summary, Concern Statement, and Need Statement for Student Engagement: Elementary Student Participation in English Language Arts Services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_Toc204755359 \h </w:instrText>
        </w:r>
        <w:r w:rsidRPr="003F245A">
          <w:rPr>
            <w:rFonts w:cs="Arial"/>
            <w:noProof/>
            <w:webHidden/>
          </w:rPr>
        </w:r>
        <w:r w:rsidRPr="003F245A">
          <w:rPr>
            <w:rFonts w:cs="Arial"/>
            <w:noProof/>
            <w:webHidden/>
          </w:rPr>
          <w:fldChar w:fldCharType="separate"/>
        </w:r>
        <w:r w:rsidRPr="003F245A">
          <w:rPr>
            <w:rFonts w:cs="Arial"/>
            <w:noProof/>
            <w:webHidden/>
          </w:rPr>
          <w:t>44</w:t>
        </w:r>
        <w:r w:rsidRPr="003F245A">
          <w:rPr>
            <w:rFonts w:cs="Arial"/>
            <w:noProof/>
            <w:webHidden/>
          </w:rPr>
          <w:fldChar w:fldCharType="end"/>
        </w:r>
      </w:hyperlink>
    </w:p>
    <w:p w14:paraId="42AA57BF" w14:textId="658DE593"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0" w:history="1">
        <w:r w:rsidRPr="003F245A">
          <w:rPr>
            <w:rStyle w:val="Hyperlink"/>
            <w:rFonts w:cs="Arial"/>
            <w:iCs/>
            <w:noProof/>
          </w:rPr>
          <w:t>Table 24. Data Summary, Concern Statement, and Need Statement for Student Engagement: High School Student Participation in English Language Arts and Mathematics Services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_Toc204755360 \h </w:instrText>
        </w:r>
        <w:r w:rsidRPr="003F245A">
          <w:rPr>
            <w:rFonts w:cs="Arial"/>
            <w:noProof/>
            <w:webHidden/>
          </w:rPr>
        </w:r>
        <w:r w:rsidRPr="003F245A">
          <w:rPr>
            <w:rFonts w:cs="Arial"/>
            <w:noProof/>
            <w:webHidden/>
          </w:rPr>
          <w:fldChar w:fldCharType="separate"/>
        </w:r>
        <w:r w:rsidRPr="003F245A">
          <w:rPr>
            <w:rFonts w:cs="Arial"/>
            <w:noProof/>
            <w:webHidden/>
          </w:rPr>
          <w:t>45</w:t>
        </w:r>
        <w:r w:rsidRPr="003F245A">
          <w:rPr>
            <w:rFonts w:cs="Arial"/>
            <w:noProof/>
            <w:webHidden/>
          </w:rPr>
          <w:fldChar w:fldCharType="end"/>
        </w:r>
      </w:hyperlink>
    </w:p>
    <w:p w14:paraId="1BF5046B" w14:textId="7DD843BC"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1" w:history="1">
        <w:r w:rsidRPr="003F245A">
          <w:rPr>
            <w:rStyle w:val="Hyperlink"/>
            <w:rFonts w:cs="Arial"/>
            <w:iCs/>
            <w:noProof/>
          </w:rPr>
          <w:t>Table 25. Data Summary, Concern Statement, and Need Statement for Student Engagement: Meaningful Participation in School</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_Toc204755361 \h </w:instrText>
        </w:r>
        <w:r w:rsidRPr="003F245A">
          <w:rPr>
            <w:rFonts w:cs="Arial"/>
            <w:noProof/>
            <w:webHidden/>
          </w:rPr>
        </w:r>
        <w:r w:rsidRPr="003F245A">
          <w:rPr>
            <w:rFonts w:cs="Arial"/>
            <w:noProof/>
            <w:webHidden/>
          </w:rPr>
          <w:fldChar w:fldCharType="separate"/>
        </w:r>
        <w:r w:rsidRPr="003F245A">
          <w:rPr>
            <w:rFonts w:cs="Arial"/>
            <w:noProof/>
            <w:webHidden/>
          </w:rPr>
          <w:t>46</w:t>
        </w:r>
        <w:r w:rsidRPr="003F245A">
          <w:rPr>
            <w:rFonts w:cs="Arial"/>
            <w:noProof/>
            <w:webHidden/>
          </w:rPr>
          <w:fldChar w:fldCharType="end"/>
        </w:r>
      </w:hyperlink>
    </w:p>
    <w:p w14:paraId="21B74208" w14:textId="0A92FAAB"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2" w:history="1">
        <w:r w:rsidRPr="003F245A">
          <w:rPr>
            <w:rStyle w:val="Hyperlink"/>
            <w:rFonts w:cs="Arial"/>
            <w:noProof/>
          </w:rPr>
          <w:t>Table 26. Sample Five-by-Five Grid</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_Toc204755362 \h </w:instrText>
        </w:r>
        <w:r w:rsidRPr="003F245A">
          <w:rPr>
            <w:rFonts w:cs="Arial"/>
            <w:noProof/>
            <w:webHidden/>
          </w:rPr>
        </w:r>
        <w:r w:rsidRPr="003F245A">
          <w:rPr>
            <w:rFonts w:cs="Arial"/>
            <w:noProof/>
            <w:webHidden/>
          </w:rPr>
          <w:fldChar w:fldCharType="separate"/>
        </w:r>
        <w:r w:rsidRPr="003F245A">
          <w:rPr>
            <w:rFonts w:cs="Arial"/>
            <w:noProof/>
            <w:webHidden/>
          </w:rPr>
          <w:t>48</w:t>
        </w:r>
        <w:r w:rsidRPr="003F245A">
          <w:rPr>
            <w:rFonts w:cs="Arial"/>
            <w:noProof/>
            <w:webHidden/>
          </w:rPr>
          <w:fldChar w:fldCharType="end"/>
        </w:r>
      </w:hyperlink>
    </w:p>
    <w:p w14:paraId="0E6CF97C" w14:textId="7DB9377E"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3" w:history="1">
        <w:r w:rsidRPr="003F245A">
          <w:rPr>
            <w:rStyle w:val="Hyperlink"/>
            <w:rFonts w:cs="Arial"/>
            <w:noProof/>
          </w:rPr>
          <w:t>Table 27. Program Evaluation Terms and Definitions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_Toc204755363 \h </w:instrText>
        </w:r>
        <w:r w:rsidRPr="003F245A">
          <w:rPr>
            <w:rFonts w:cs="Arial"/>
            <w:noProof/>
            <w:webHidden/>
          </w:rPr>
        </w:r>
        <w:r w:rsidRPr="003F245A">
          <w:rPr>
            <w:rFonts w:cs="Arial"/>
            <w:noProof/>
            <w:webHidden/>
          </w:rPr>
          <w:fldChar w:fldCharType="separate"/>
        </w:r>
        <w:r w:rsidRPr="003F245A">
          <w:rPr>
            <w:rFonts w:cs="Arial"/>
            <w:noProof/>
            <w:webHidden/>
          </w:rPr>
          <w:t>49</w:t>
        </w:r>
        <w:r w:rsidRPr="003F245A">
          <w:rPr>
            <w:rFonts w:cs="Arial"/>
            <w:noProof/>
            <w:webHidden/>
          </w:rPr>
          <w:fldChar w:fldCharType="end"/>
        </w:r>
      </w:hyperlink>
    </w:p>
    <w:p w14:paraId="05ABD5F4" w14:textId="2E39F44F"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4" w:history="1">
        <w:r w:rsidRPr="003F245A">
          <w:rPr>
            <w:rStyle w:val="Hyperlink"/>
            <w:rFonts w:cs="Arial"/>
            <w:noProof/>
          </w:rPr>
          <w:t>Table 28. Strategies and Measurable Program Objectives Increasing Overall English Language Arts Achievement</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_Toc204755364 \h </w:instrText>
        </w:r>
        <w:r w:rsidRPr="003F245A">
          <w:rPr>
            <w:rFonts w:cs="Arial"/>
            <w:noProof/>
            <w:webHidden/>
          </w:rPr>
        </w:r>
        <w:r w:rsidRPr="003F245A">
          <w:rPr>
            <w:rFonts w:cs="Arial"/>
            <w:noProof/>
            <w:webHidden/>
          </w:rPr>
          <w:fldChar w:fldCharType="separate"/>
        </w:r>
        <w:r w:rsidRPr="003F245A">
          <w:rPr>
            <w:rFonts w:cs="Arial"/>
            <w:noProof/>
            <w:webHidden/>
          </w:rPr>
          <w:t>51</w:t>
        </w:r>
        <w:r w:rsidRPr="003F245A">
          <w:rPr>
            <w:rFonts w:cs="Arial"/>
            <w:noProof/>
            <w:webHidden/>
          </w:rPr>
          <w:fldChar w:fldCharType="end"/>
        </w:r>
      </w:hyperlink>
    </w:p>
    <w:p w14:paraId="2C3BA531" w14:textId="3D9BE6C8"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5" w:history="1">
        <w:r w:rsidRPr="003F245A">
          <w:rPr>
            <w:rStyle w:val="Hyperlink"/>
            <w:rFonts w:cs="Arial"/>
            <w:noProof/>
          </w:rPr>
          <w:t>Table 29. Strategies and Measurable Program Objectives for Increasing Overall Mathematics Achievement</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_Toc204755365 \h </w:instrText>
        </w:r>
        <w:r w:rsidRPr="003F245A">
          <w:rPr>
            <w:rFonts w:cs="Arial"/>
            <w:noProof/>
            <w:webHidden/>
          </w:rPr>
        </w:r>
        <w:r w:rsidRPr="003F245A">
          <w:rPr>
            <w:rFonts w:cs="Arial"/>
            <w:noProof/>
            <w:webHidden/>
          </w:rPr>
          <w:fldChar w:fldCharType="separate"/>
        </w:r>
        <w:r w:rsidRPr="003F245A">
          <w:rPr>
            <w:rFonts w:cs="Arial"/>
            <w:noProof/>
            <w:webHidden/>
          </w:rPr>
          <w:t>54</w:t>
        </w:r>
        <w:r w:rsidRPr="003F245A">
          <w:rPr>
            <w:rFonts w:cs="Arial"/>
            <w:noProof/>
            <w:webHidden/>
          </w:rPr>
          <w:fldChar w:fldCharType="end"/>
        </w:r>
      </w:hyperlink>
    </w:p>
    <w:p w14:paraId="073D2172" w14:textId="63F38C04"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6" w:history="1">
        <w:r w:rsidRPr="003F245A">
          <w:rPr>
            <w:rStyle w:val="Hyperlink"/>
            <w:rFonts w:cs="Arial"/>
            <w:noProof/>
          </w:rPr>
          <w:t>Table 30. Strategies and Measurable Program Objectives for Increasing English Language Proficiency</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_Toc204755366 \h </w:instrText>
        </w:r>
        <w:r w:rsidRPr="003F245A">
          <w:rPr>
            <w:rFonts w:cs="Arial"/>
            <w:noProof/>
            <w:webHidden/>
          </w:rPr>
        </w:r>
        <w:r w:rsidRPr="003F245A">
          <w:rPr>
            <w:rFonts w:cs="Arial"/>
            <w:noProof/>
            <w:webHidden/>
          </w:rPr>
          <w:fldChar w:fldCharType="separate"/>
        </w:r>
        <w:r w:rsidRPr="003F245A">
          <w:rPr>
            <w:rFonts w:cs="Arial"/>
            <w:noProof/>
            <w:webHidden/>
          </w:rPr>
          <w:t>57</w:t>
        </w:r>
        <w:r w:rsidRPr="003F245A">
          <w:rPr>
            <w:rFonts w:cs="Arial"/>
            <w:noProof/>
            <w:webHidden/>
          </w:rPr>
          <w:fldChar w:fldCharType="end"/>
        </w:r>
      </w:hyperlink>
    </w:p>
    <w:p w14:paraId="4F38C152" w14:textId="2E30F8EC"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7" w:history="1">
        <w:r w:rsidRPr="003F245A">
          <w:rPr>
            <w:rStyle w:val="Hyperlink"/>
            <w:rFonts w:cs="Arial"/>
            <w:noProof/>
          </w:rPr>
          <w:t>Table 31. Strategies and Measurable Program Objectives for Increasing Social and Emotional Learning</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_Toc204755367 \h </w:instrText>
        </w:r>
        <w:r w:rsidRPr="003F245A">
          <w:rPr>
            <w:rFonts w:cs="Arial"/>
            <w:noProof/>
            <w:webHidden/>
          </w:rPr>
        </w:r>
        <w:r w:rsidRPr="003F245A">
          <w:rPr>
            <w:rFonts w:cs="Arial"/>
            <w:noProof/>
            <w:webHidden/>
          </w:rPr>
          <w:fldChar w:fldCharType="separate"/>
        </w:r>
        <w:r w:rsidRPr="003F245A">
          <w:rPr>
            <w:rFonts w:cs="Arial"/>
            <w:noProof/>
            <w:webHidden/>
          </w:rPr>
          <w:t>58</w:t>
        </w:r>
        <w:r w:rsidRPr="003F245A">
          <w:rPr>
            <w:rFonts w:cs="Arial"/>
            <w:noProof/>
            <w:webHidden/>
          </w:rPr>
          <w:fldChar w:fldCharType="end"/>
        </w:r>
      </w:hyperlink>
    </w:p>
    <w:p w14:paraId="4F5D3563" w14:textId="16FCB058"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8" w:history="1">
        <w:r w:rsidRPr="003F245A">
          <w:rPr>
            <w:rStyle w:val="Hyperlink"/>
            <w:rFonts w:cs="Arial"/>
            <w:noProof/>
          </w:rPr>
          <w:t>Table 32. Strategies and Measurable Program Objectives for Increasing the Percentage of Migratory High School Students Who Graduate Meeting the University of California/California State University Requirements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_Toc204755368 \h </w:instrText>
        </w:r>
        <w:r w:rsidRPr="003F245A">
          <w:rPr>
            <w:rFonts w:cs="Arial"/>
            <w:noProof/>
            <w:webHidden/>
          </w:rPr>
        </w:r>
        <w:r w:rsidRPr="003F245A">
          <w:rPr>
            <w:rFonts w:cs="Arial"/>
            <w:noProof/>
            <w:webHidden/>
          </w:rPr>
          <w:fldChar w:fldCharType="separate"/>
        </w:r>
        <w:r w:rsidRPr="003F245A">
          <w:rPr>
            <w:rFonts w:cs="Arial"/>
            <w:noProof/>
            <w:webHidden/>
          </w:rPr>
          <w:t>61</w:t>
        </w:r>
        <w:r w:rsidRPr="003F245A">
          <w:rPr>
            <w:rFonts w:cs="Arial"/>
            <w:noProof/>
            <w:webHidden/>
          </w:rPr>
          <w:fldChar w:fldCharType="end"/>
        </w:r>
      </w:hyperlink>
    </w:p>
    <w:p w14:paraId="45D6058F" w14:textId="389E4AC8"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69" w:history="1">
        <w:r w:rsidRPr="003F245A">
          <w:rPr>
            <w:rStyle w:val="Hyperlink"/>
            <w:rFonts w:cs="Arial"/>
            <w:noProof/>
          </w:rPr>
          <w:t>Table 33. Strategies and Measurable Program Objectives for Decreasing the Dropout Rate</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_Toc204755369 \h </w:instrText>
        </w:r>
        <w:r w:rsidRPr="003F245A">
          <w:rPr>
            <w:rFonts w:cs="Arial"/>
            <w:noProof/>
            <w:webHidden/>
          </w:rPr>
        </w:r>
        <w:r w:rsidRPr="003F245A">
          <w:rPr>
            <w:rFonts w:cs="Arial"/>
            <w:noProof/>
            <w:webHidden/>
          </w:rPr>
          <w:fldChar w:fldCharType="separate"/>
        </w:r>
        <w:r w:rsidRPr="003F245A">
          <w:rPr>
            <w:rFonts w:cs="Arial"/>
            <w:noProof/>
            <w:webHidden/>
          </w:rPr>
          <w:t>62</w:t>
        </w:r>
        <w:r w:rsidRPr="003F245A">
          <w:rPr>
            <w:rFonts w:cs="Arial"/>
            <w:noProof/>
            <w:webHidden/>
          </w:rPr>
          <w:fldChar w:fldCharType="end"/>
        </w:r>
      </w:hyperlink>
    </w:p>
    <w:p w14:paraId="3EA01CAF" w14:textId="59D5D40D"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0" w:history="1">
        <w:r w:rsidRPr="003F245A">
          <w:rPr>
            <w:rStyle w:val="Hyperlink"/>
            <w:rFonts w:cs="Arial"/>
            <w:noProof/>
          </w:rPr>
          <w:t>Table 34. Strategies and Measurable Program Objectives for Building School Readiness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_Toc204755370 \h </w:instrText>
        </w:r>
        <w:r w:rsidRPr="003F245A">
          <w:rPr>
            <w:rFonts w:cs="Arial"/>
            <w:noProof/>
            <w:webHidden/>
          </w:rPr>
        </w:r>
        <w:r w:rsidRPr="003F245A">
          <w:rPr>
            <w:rFonts w:cs="Arial"/>
            <w:noProof/>
            <w:webHidden/>
          </w:rPr>
          <w:fldChar w:fldCharType="separate"/>
        </w:r>
        <w:r w:rsidRPr="003F245A">
          <w:rPr>
            <w:rFonts w:cs="Arial"/>
            <w:noProof/>
            <w:webHidden/>
          </w:rPr>
          <w:t>64</w:t>
        </w:r>
        <w:r w:rsidRPr="003F245A">
          <w:rPr>
            <w:rFonts w:cs="Arial"/>
            <w:noProof/>
            <w:webHidden/>
          </w:rPr>
          <w:fldChar w:fldCharType="end"/>
        </w:r>
      </w:hyperlink>
    </w:p>
    <w:p w14:paraId="1F794855" w14:textId="36DE1735"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1" w:history="1">
        <w:r w:rsidRPr="003F245A">
          <w:rPr>
            <w:rStyle w:val="Hyperlink"/>
            <w:rFonts w:cs="Arial"/>
            <w:noProof/>
          </w:rPr>
          <w:t>Table 35. Strategy and Measurable Program Objective for Partnering with Parents to Support Early Learning</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_Toc204755371 \h </w:instrText>
        </w:r>
        <w:r w:rsidRPr="003F245A">
          <w:rPr>
            <w:rFonts w:cs="Arial"/>
            <w:noProof/>
            <w:webHidden/>
          </w:rPr>
        </w:r>
        <w:r w:rsidRPr="003F245A">
          <w:rPr>
            <w:rFonts w:cs="Arial"/>
            <w:noProof/>
            <w:webHidden/>
          </w:rPr>
          <w:fldChar w:fldCharType="separate"/>
        </w:r>
        <w:r w:rsidRPr="003F245A">
          <w:rPr>
            <w:rFonts w:cs="Arial"/>
            <w:noProof/>
            <w:webHidden/>
          </w:rPr>
          <w:t>65</w:t>
        </w:r>
        <w:r w:rsidRPr="003F245A">
          <w:rPr>
            <w:rFonts w:cs="Arial"/>
            <w:noProof/>
            <w:webHidden/>
          </w:rPr>
          <w:fldChar w:fldCharType="end"/>
        </w:r>
      </w:hyperlink>
    </w:p>
    <w:p w14:paraId="0AD8A7CB" w14:textId="38C85EAC"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2" w:history="1">
        <w:r w:rsidRPr="003F245A">
          <w:rPr>
            <w:rStyle w:val="Hyperlink"/>
            <w:rFonts w:cs="Arial"/>
            <w:noProof/>
          </w:rPr>
          <w:t>Table 36. Strategy and Measurable Program Objective for Career and Technical Education</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_Toc204755372 \h </w:instrText>
        </w:r>
        <w:r w:rsidRPr="003F245A">
          <w:rPr>
            <w:rFonts w:cs="Arial"/>
            <w:noProof/>
            <w:webHidden/>
          </w:rPr>
        </w:r>
        <w:r w:rsidRPr="003F245A">
          <w:rPr>
            <w:rFonts w:cs="Arial"/>
            <w:noProof/>
            <w:webHidden/>
          </w:rPr>
          <w:fldChar w:fldCharType="separate"/>
        </w:r>
        <w:r w:rsidRPr="003F245A">
          <w:rPr>
            <w:rFonts w:cs="Arial"/>
            <w:noProof/>
            <w:webHidden/>
          </w:rPr>
          <w:t>67</w:t>
        </w:r>
        <w:r w:rsidRPr="003F245A">
          <w:rPr>
            <w:rFonts w:cs="Arial"/>
            <w:noProof/>
            <w:webHidden/>
          </w:rPr>
          <w:fldChar w:fldCharType="end"/>
        </w:r>
      </w:hyperlink>
    </w:p>
    <w:p w14:paraId="34A9D217" w14:textId="575D0983"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3" w:history="1">
        <w:r w:rsidRPr="003F245A">
          <w:rPr>
            <w:rStyle w:val="Hyperlink"/>
            <w:rFonts w:cs="Arial"/>
            <w:noProof/>
          </w:rPr>
          <w:t>Table 37. Strategies and Measurable Program Objectives for Increasing Out of School Youth Literacy Skills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_Toc204755373 \h </w:instrText>
        </w:r>
        <w:r w:rsidRPr="003F245A">
          <w:rPr>
            <w:rFonts w:cs="Arial"/>
            <w:noProof/>
            <w:webHidden/>
          </w:rPr>
        </w:r>
        <w:r w:rsidRPr="003F245A">
          <w:rPr>
            <w:rFonts w:cs="Arial"/>
            <w:noProof/>
            <w:webHidden/>
          </w:rPr>
          <w:fldChar w:fldCharType="separate"/>
        </w:r>
        <w:r w:rsidRPr="003F245A">
          <w:rPr>
            <w:rFonts w:cs="Arial"/>
            <w:noProof/>
            <w:webHidden/>
          </w:rPr>
          <w:t>67</w:t>
        </w:r>
        <w:r w:rsidRPr="003F245A">
          <w:rPr>
            <w:rFonts w:cs="Arial"/>
            <w:noProof/>
            <w:webHidden/>
          </w:rPr>
          <w:fldChar w:fldCharType="end"/>
        </w:r>
      </w:hyperlink>
    </w:p>
    <w:p w14:paraId="71ED90CC" w14:textId="4A4CA60F"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4" w:history="1">
        <w:r w:rsidRPr="003F245A">
          <w:rPr>
            <w:rStyle w:val="Hyperlink"/>
            <w:rFonts w:cs="Arial"/>
            <w:noProof/>
          </w:rPr>
          <w:t>Table 38. Strategies and Measurable Program Objectives for Increasing Access to Mental Health Services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_Toc204755374 \h </w:instrText>
        </w:r>
        <w:r w:rsidRPr="003F245A">
          <w:rPr>
            <w:rFonts w:cs="Arial"/>
            <w:noProof/>
            <w:webHidden/>
          </w:rPr>
        </w:r>
        <w:r w:rsidRPr="003F245A">
          <w:rPr>
            <w:rFonts w:cs="Arial"/>
            <w:noProof/>
            <w:webHidden/>
          </w:rPr>
          <w:fldChar w:fldCharType="separate"/>
        </w:r>
        <w:r w:rsidRPr="003F245A">
          <w:rPr>
            <w:rFonts w:cs="Arial"/>
            <w:noProof/>
            <w:webHidden/>
          </w:rPr>
          <w:t>69</w:t>
        </w:r>
        <w:r w:rsidRPr="003F245A">
          <w:rPr>
            <w:rFonts w:cs="Arial"/>
            <w:noProof/>
            <w:webHidden/>
          </w:rPr>
          <w:fldChar w:fldCharType="end"/>
        </w:r>
      </w:hyperlink>
    </w:p>
    <w:p w14:paraId="41D8D726" w14:textId="74B2CBCB"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5" w:history="1">
        <w:r w:rsidRPr="003F245A">
          <w:rPr>
            <w:rStyle w:val="Hyperlink"/>
            <w:rFonts w:cs="Arial"/>
            <w:noProof/>
          </w:rPr>
          <w:t>Table 39. Strategies and Measurable Program Objective for Building Awareness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_Toc204755375 \h </w:instrText>
        </w:r>
        <w:r w:rsidRPr="003F245A">
          <w:rPr>
            <w:rFonts w:cs="Arial"/>
            <w:noProof/>
            <w:webHidden/>
          </w:rPr>
        </w:r>
        <w:r w:rsidRPr="003F245A">
          <w:rPr>
            <w:rFonts w:cs="Arial"/>
            <w:noProof/>
            <w:webHidden/>
          </w:rPr>
          <w:fldChar w:fldCharType="separate"/>
        </w:r>
        <w:r w:rsidRPr="003F245A">
          <w:rPr>
            <w:rFonts w:cs="Arial"/>
            <w:noProof/>
            <w:webHidden/>
          </w:rPr>
          <w:t>71</w:t>
        </w:r>
        <w:r w:rsidRPr="003F245A">
          <w:rPr>
            <w:rFonts w:cs="Arial"/>
            <w:noProof/>
            <w:webHidden/>
          </w:rPr>
          <w:fldChar w:fldCharType="end"/>
        </w:r>
      </w:hyperlink>
    </w:p>
    <w:p w14:paraId="36C29C28" w14:textId="7E7E9C06"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6" w:history="1">
        <w:r w:rsidRPr="003F245A">
          <w:rPr>
            <w:rStyle w:val="Hyperlink"/>
            <w:rFonts w:cs="Arial"/>
            <w:noProof/>
          </w:rPr>
          <w:t>Table 40. Strategies and Measurable Program Objectives for Meaningful Participation</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_Toc204755376 \h </w:instrText>
        </w:r>
        <w:r w:rsidRPr="003F245A">
          <w:rPr>
            <w:rFonts w:cs="Arial"/>
            <w:noProof/>
            <w:webHidden/>
          </w:rPr>
        </w:r>
        <w:r w:rsidRPr="003F245A">
          <w:rPr>
            <w:rFonts w:cs="Arial"/>
            <w:noProof/>
            <w:webHidden/>
          </w:rPr>
          <w:fldChar w:fldCharType="separate"/>
        </w:r>
        <w:r w:rsidRPr="003F245A">
          <w:rPr>
            <w:rFonts w:cs="Arial"/>
            <w:noProof/>
            <w:webHidden/>
          </w:rPr>
          <w:t>73</w:t>
        </w:r>
        <w:r w:rsidRPr="003F245A">
          <w:rPr>
            <w:rFonts w:cs="Arial"/>
            <w:noProof/>
            <w:webHidden/>
          </w:rPr>
          <w:fldChar w:fldCharType="end"/>
        </w:r>
      </w:hyperlink>
    </w:p>
    <w:p w14:paraId="62ED6BB8" w14:textId="2E67A559"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7" w:history="1">
        <w:r w:rsidRPr="003F245A">
          <w:rPr>
            <w:rStyle w:val="Hyperlink"/>
            <w:rFonts w:cs="Arial"/>
            <w:noProof/>
          </w:rPr>
          <w:t>Table 41. Sub Questions, Data Sources, Collection Methods, and Indicators for the Performance Targets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_Toc204755377 \h </w:instrText>
        </w:r>
        <w:r w:rsidRPr="003F245A">
          <w:rPr>
            <w:rFonts w:cs="Arial"/>
            <w:noProof/>
            <w:webHidden/>
          </w:rPr>
        </w:r>
        <w:r w:rsidRPr="003F245A">
          <w:rPr>
            <w:rFonts w:cs="Arial"/>
            <w:noProof/>
            <w:webHidden/>
          </w:rPr>
          <w:fldChar w:fldCharType="separate"/>
        </w:r>
        <w:r w:rsidRPr="003F245A">
          <w:rPr>
            <w:rFonts w:cs="Arial"/>
            <w:noProof/>
            <w:webHidden/>
          </w:rPr>
          <w:t>75</w:t>
        </w:r>
        <w:r w:rsidRPr="003F245A">
          <w:rPr>
            <w:rFonts w:cs="Arial"/>
            <w:noProof/>
            <w:webHidden/>
          </w:rPr>
          <w:fldChar w:fldCharType="end"/>
        </w:r>
      </w:hyperlink>
    </w:p>
    <w:p w14:paraId="494A4CBB" w14:textId="61E634D3"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8" w:history="1">
        <w:r w:rsidRPr="003F245A">
          <w:rPr>
            <w:rStyle w:val="Hyperlink"/>
            <w:rFonts w:cs="Arial"/>
            <w:noProof/>
          </w:rPr>
          <w:t>Table 42. Sub Questions, Data Sources, Collection Methods, and Indicators for the Performance Targets for Output-based Focus Areas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_Toc204755378 \h </w:instrText>
        </w:r>
        <w:r w:rsidRPr="003F245A">
          <w:rPr>
            <w:rFonts w:cs="Arial"/>
            <w:noProof/>
            <w:webHidden/>
          </w:rPr>
        </w:r>
        <w:r w:rsidRPr="003F245A">
          <w:rPr>
            <w:rFonts w:cs="Arial"/>
            <w:noProof/>
            <w:webHidden/>
          </w:rPr>
          <w:fldChar w:fldCharType="separate"/>
        </w:r>
        <w:r w:rsidRPr="003F245A">
          <w:rPr>
            <w:rFonts w:cs="Arial"/>
            <w:noProof/>
            <w:webHidden/>
          </w:rPr>
          <w:t>79</w:t>
        </w:r>
        <w:r w:rsidRPr="003F245A">
          <w:rPr>
            <w:rFonts w:cs="Arial"/>
            <w:noProof/>
            <w:webHidden/>
          </w:rPr>
          <w:fldChar w:fldCharType="end"/>
        </w:r>
      </w:hyperlink>
    </w:p>
    <w:p w14:paraId="426E8870" w14:textId="342B6913"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79" w:history="1">
        <w:r w:rsidRPr="003F245A">
          <w:rPr>
            <w:rStyle w:val="Hyperlink"/>
            <w:rFonts w:cs="Arial"/>
            <w:noProof/>
          </w:rPr>
          <w:t>Table 43. State and Local Strategies to Increase Parent and Family Involvement</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_Toc204755379 \h </w:instrText>
        </w:r>
        <w:r w:rsidRPr="003F245A">
          <w:rPr>
            <w:rFonts w:cs="Arial"/>
            <w:noProof/>
            <w:webHidden/>
          </w:rPr>
        </w:r>
        <w:r w:rsidRPr="003F245A">
          <w:rPr>
            <w:rFonts w:cs="Arial"/>
            <w:noProof/>
            <w:webHidden/>
          </w:rPr>
          <w:fldChar w:fldCharType="separate"/>
        </w:r>
        <w:r w:rsidRPr="003F245A">
          <w:rPr>
            <w:rFonts w:cs="Arial"/>
            <w:noProof/>
            <w:webHidden/>
          </w:rPr>
          <w:t>99</w:t>
        </w:r>
        <w:r w:rsidRPr="003F245A">
          <w:rPr>
            <w:rFonts w:cs="Arial"/>
            <w:noProof/>
            <w:webHidden/>
          </w:rPr>
          <w:fldChar w:fldCharType="end"/>
        </w:r>
      </w:hyperlink>
    </w:p>
    <w:p w14:paraId="2574F6BF" w14:textId="1A76AD24"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80" w:history="1">
        <w:r w:rsidRPr="003F245A">
          <w:rPr>
            <w:rStyle w:val="Hyperlink"/>
            <w:rFonts w:cs="Arial"/>
            <w:noProof/>
          </w:rPr>
          <w:t>Table 44. State Service Delivery Plan Communication Plan for Migrant Education Program Directors and Staff</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_Toc204755380 \h </w:instrText>
        </w:r>
        <w:r w:rsidRPr="003F245A">
          <w:rPr>
            <w:rFonts w:cs="Arial"/>
            <w:noProof/>
            <w:webHidden/>
          </w:rPr>
        </w:r>
        <w:r w:rsidRPr="003F245A">
          <w:rPr>
            <w:rFonts w:cs="Arial"/>
            <w:noProof/>
            <w:webHidden/>
          </w:rPr>
          <w:fldChar w:fldCharType="separate"/>
        </w:r>
        <w:r w:rsidRPr="003F245A">
          <w:rPr>
            <w:rFonts w:cs="Arial"/>
            <w:noProof/>
            <w:webHidden/>
          </w:rPr>
          <w:t>104</w:t>
        </w:r>
        <w:r w:rsidRPr="003F245A">
          <w:rPr>
            <w:rFonts w:cs="Arial"/>
            <w:noProof/>
            <w:webHidden/>
          </w:rPr>
          <w:fldChar w:fldCharType="end"/>
        </w:r>
      </w:hyperlink>
    </w:p>
    <w:p w14:paraId="132AD0DC" w14:textId="1C7E5FF9" w:rsidR="003F245A" w:rsidRPr="003F245A" w:rsidRDefault="003F245A" w:rsidP="003F245A">
      <w:pPr>
        <w:pStyle w:val="TableofFigures"/>
        <w:tabs>
          <w:tab w:val="right" w:leader="dot" w:pos="9350"/>
        </w:tabs>
        <w:spacing w:after="120"/>
        <w:rPr>
          <w:rFonts w:eastAsiaTheme="minorEastAsia" w:cs="Arial"/>
          <w:noProof/>
          <w:kern w:val="2"/>
          <w14:ligatures w14:val="standardContextual"/>
        </w:rPr>
      </w:pPr>
      <w:hyperlink w:anchor="_Toc204755381" w:history="1">
        <w:r w:rsidRPr="003F245A">
          <w:rPr>
            <w:rStyle w:val="Hyperlink"/>
            <w:rFonts w:cs="Arial"/>
            <w:noProof/>
          </w:rPr>
          <w:t>Table 45. State Service Delivery Plan Communication Plan for Other Interested Parties</w:t>
        </w:r>
        <w:r w:rsidRPr="003F245A">
          <w:rPr>
            <w:rFonts w:cs="Arial"/>
            <w:noProof/>
            <w:webHidden/>
          </w:rPr>
          <w:tab/>
        </w:r>
        <w:r w:rsidRPr="003F245A">
          <w:rPr>
            <w:rFonts w:cs="Arial"/>
            <w:noProof/>
            <w:webHidden/>
          </w:rPr>
          <w:fldChar w:fldCharType="begin"/>
        </w:r>
        <w:r w:rsidRPr="003F245A">
          <w:rPr>
            <w:rFonts w:cs="Arial"/>
            <w:noProof/>
            <w:webHidden/>
          </w:rPr>
          <w:instrText xml:space="preserve"> PAGEREF _Toc204755381 \h </w:instrText>
        </w:r>
        <w:r w:rsidRPr="003F245A">
          <w:rPr>
            <w:rFonts w:cs="Arial"/>
            <w:noProof/>
            <w:webHidden/>
          </w:rPr>
        </w:r>
        <w:r w:rsidRPr="003F245A">
          <w:rPr>
            <w:rFonts w:cs="Arial"/>
            <w:noProof/>
            <w:webHidden/>
          </w:rPr>
          <w:fldChar w:fldCharType="separate"/>
        </w:r>
        <w:r w:rsidRPr="003F245A">
          <w:rPr>
            <w:rFonts w:cs="Arial"/>
            <w:noProof/>
            <w:webHidden/>
          </w:rPr>
          <w:t>106</w:t>
        </w:r>
        <w:r w:rsidRPr="003F245A">
          <w:rPr>
            <w:rFonts w:cs="Arial"/>
            <w:noProof/>
            <w:webHidden/>
          </w:rPr>
          <w:fldChar w:fldCharType="end"/>
        </w:r>
      </w:hyperlink>
    </w:p>
    <w:p w14:paraId="69C6E5EB" w14:textId="6C9B48BC" w:rsidR="00DC5C7D" w:rsidRPr="0080429C" w:rsidRDefault="008C68F6" w:rsidP="003F245A">
      <w:pPr>
        <w:spacing w:after="120"/>
        <w:rPr>
          <w:noProof/>
        </w:rPr>
      </w:pPr>
      <w:r w:rsidRPr="003F245A">
        <w:rPr>
          <w:rFonts w:ascii="Arial" w:hAnsi="Arial" w:cs="Arial"/>
        </w:rPr>
        <w:fldChar w:fldCharType="end"/>
      </w:r>
    </w:p>
    <w:p w14:paraId="0E6F4549" w14:textId="77777777" w:rsidR="00072681" w:rsidRPr="00113364" w:rsidRDefault="003A33C0" w:rsidP="0080429C">
      <w:pPr>
        <w:pStyle w:val="Heading2"/>
        <w:spacing w:after="120"/>
      </w:pPr>
      <w:r w:rsidRPr="0080429C">
        <w:rPr>
          <w:b w:val="0"/>
        </w:rPr>
        <w:br w:type="page"/>
      </w:r>
      <w:bookmarkStart w:id="3" w:name="_Toc203568830"/>
      <w:r w:rsidR="00072681" w:rsidRPr="00113364">
        <w:lastRenderedPageBreak/>
        <w:t>Acknowledgments</w:t>
      </w:r>
      <w:bookmarkEnd w:id="3"/>
    </w:p>
    <w:p w14:paraId="19558D4C" w14:textId="44F76853" w:rsidR="00FF2A31" w:rsidRPr="00113364" w:rsidRDefault="00FF2A31" w:rsidP="00FF2A31">
      <w:pPr>
        <w:pStyle w:val="BodyText2"/>
        <w:spacing w:after="240"/>
        <w:rPr>
          <w:rFonts w:cs="Arial"/>
          <w:sz w:val="24"/>
          <w:szCs w:val="24"/>
        </w:rPr>
      </w:pPr>
      <w:r w:rsidRPr="00113364">
        <w:rPr>
          <w:rFonts w:cs="Arial"/>
          <w:sz w:val="24"/>
          <w:szCs w:val="24"/>
        </w:rPr>
        <w:t>Preparation for the development of this statewide Service Delivery Plan (SDP) began in July 2023. Many dedicated individuals assisted the California Department of Education (CDE) Migrant Education Office (MEO) at different phases throughout this process.</w:t>
      </w:r>
    </w:p>
    <w:p w14:paraId="021A551C" w14:textId="6FAC5876" w:rsidR="00FF2A31" w:rsidRPr="00113364" w:rsidRDefault="00FF2A31" w:rsidP="00FF2A31">
      <w:pPr>
        <w:spacing w:after="240"/>
        <w:rPr>
          <w:rFonts w:ascii="Arial" w:hAnsi="Arial" w:cs="Arial"/>
        </w:rPr>
      </w:pPr>
      <w:r w:rsidRPr="00113364">
        <w:rPr>
          <w:rFonts w:ascii="Arial" w:hAnsi="Arial" w:cs="Arial"/>
        </w:rPr>
        <w:t>We are indebted to the members of the CDE Management and Data Team for designing, implementing and coordinating the development of the 2025 SDP. Team members included:</w:t>
      </w:r>
    </w:p>
    <w:p w14:paraId="473FC500" w14:textId="77777777" w:rsidR="00FF2A31" w:rsidRPr="00113364" w:rsidRDefault="00FF2A31" w:rsidP="00FF2A31">
      <w:pPr>
        <w:spacing w:after="240"/>
        <w:contextualSpacing/>
        <w:rPr>
          <w:rFonts w:ascii="Arial" w:hAnsi="Arial" w:cs="Arial"/>
        </w:rPr>
      </w:pPr>
      <w:r w:rsidRPr="00113364">
        <w:rPr>
          <w:rFonts w:ascii="Arial" w:hAnsi="Arial" w:cs="Arial"/>
          <w:b/>
        </w:rPr>
        <w:t>Juli Auld,</w:t>
      </w:r>
      <w:r w:rsidRPr="00113364">
        <w:rPr>
          <w:rFonts w:ascii="Arial" w:hAnsi="Arial" w:cs="Arial"/>
        </w:rPr>
        <w:t xml:space="preserve"> Administrator, MEO, CDE</w:t>
      </w:r>
    </w:p>
    <w:p w14:paraId="747562D2" w14:textId="303F87EE" w:rsidR="00FF2A31" w:rsidRPr="00113364" w:rsidRDefault="00FF2A31" w:rsidP="00FF2A31">
      <w:pPr>
        <w:spacing w:after="240"/>
        <w:contextualSpacing/>
        <w:rPr>
          <w:rFonts w:ascii="Arial" w:hAnsi="Arial" w:cs="Arial"/>
        </w:rPr>
      </w:pPr>
      <w:r w:rsidRPr="00113364">
        <w:rPr>
          <w:rFonts w:ascii="Arial" w:hAnsi="Arial" w:cs="Arial"/>
          <w:b/>
        </w:rPr>
        <w:t xml:space="preserve">Melissa Mallory, </w:t>
      </w:r>
      <w:r w:rsidRPr="00113364">
        <w:rPr>
          <w:rFonts w:ascii="Arial" w:hAnsi="Arial" w:cs="Arial"/>
          <w:bCs/>
        </w:rPr>
        <w:t xml:space="preserve">SDP </w:t>
      </w:r>
      <w:r w:rsidRPr="00113364">
        <w:rPr>
          <w:rFonts w:ascii="Arial" w:hAnsi="Arial" w:cs="Arial"/>
        </w:rPr>
        <w:t xml:space="preserve">Project Lead and Principal </w:t>
      </w:r>
      <w:r w:rsidR="00503A00">
        <w:rPr>
          <w:rFonts w:ascii="Arial" w:hAnsi="Arial" w:cs="Arial"/>
        </w:rPr>
        <w:t>Author</w:t>
      </w:r>
      <w:r w:rsidRPr="00113364">
        <w:rPr>
          <w:rFonts w:ascii="Arial" w:hAnsi="Arial" w:cs="Arial"/>
        </w:rPr>
        <w:t>, Education Programs Consultant</w:t>
      </w:r>
      <w:r w:rsidR="007D764C" w:rsidRPr="00113364">
        <w:rPr>
          <w:rFonts w:ascii="Arial" w:hAnsi="Arial" w:cs="Arial"/>
        </w:rPr>
        <w:t xml:space="preserve"> (EPC)</w:t>
      </w:r>
      <w:r w:rsidRPr="00113364">
        <w:rPr>
          <w:rFonts w:ascii="Arial" w:hAnsi="Arial" w:cs="Arial"/>
        </w:rPr>
        <w:t>, MEO, CDE</w:t>
      </w:r>
    </w:p>
    <w:p w14:paraId="565D109E" w14:textId="77777777" w:rsidR="00FF2A31" w:rsidRPr="00113364" w:rsidRDefault="00FF2A31" w:rsidP="009F3A2B">
      <w:pPr>
        <w:spacing w:after="240"/>
        <w:rPr>
          <w:rFonts w:ascii="Arial" w:hAnsi="Arial" w:cs="Arial"/>
        </w:rPr>
      </w:pPr>
      <w:r w:rsidRPr="00113364">
        <w:rPr>
          <w:rFonts w:ascii="Arial" w:hAnsi="Arial" w:cs="Arial"/>
          <w:b/>
        </w:rPr>
        <w:t>Alesha Moreno-Ramirez,</w:t>
      </w:r>
      <w:r w:rsidRPr="00113364">
        <w:rPr>
          <w:rFonts w:ascii="Arial" w:hAnsi="Arial" w:cs="Arial"/>
        </w:rPr>
        <w:t xml:space="preserve"> Director, Multilingual Support Division (MSD), CDE</w:t>
      </w:r>
    </w:p>
    <w:p w14:paraId="58B68047" w14:textId="2C602714" w:rsidR="00FF2A31" w:rsidRPr="00113364" w:rsidRDefault="00FF2A31" w:rsidP="009F3A2B">
      <w:pPr>
        <w:spacing w:after="120"/>
        <w:rPr>
          <w:rFonts w:ascii="Arial" w:hAnsi="Arial" w:cs="Arial"/>
        </w:rPr>
      </w:pPr>
      <w:r w:rsidRPr="00113364">
        <w:rPr>
          <w:rFonts w:ascii="Arial" w:hAnsi="Arial" w:cs="Arial"/>
        </w:rPr>
        <w:t>To ensure the statewide comprehensive needs assessment (CNA) provided meaningful information as a basis for program development for the state SDP, collecting committee input was essential. The CNA SDP Committee utilized small and large group settings to analyze data, develop concerns, and identify migratory student needs. Committee members included:</w:t>
      </w:r>
    </w:p>
    <w:p w14:paraId="6C6406C5" w14:textId="77777777" w:rsidR="00FF2A31" w:rsidRPr="00113364" w:rsidRDefault="00FF2A31" w:rsidP="00FF2A31">
      <w:pPr>
        <w:rPr>
          <w:rFonts w:ascii="Arial" w:hAnsi="Arial" w:cs="Arial"/>
        </w:rPr>
      </w:pPr>
      <w:r w:rsidRPr="00113364">
        <w:rPr>
          <w:rFonts w:ascii="Arial" w:hAnsi="Arial" w:cs="Arial"/>
          <w:b/>
        </w:rPr>
        <w:t>Elisa Ayala,</w:t>
      </w:r>
      <w:r w:rsidRPr="00113364">
        <w:rPr>
          <w:rFonts w:ascii="Arial" w:hAnsi="Arial" w:cs="Arial"/>
        </w:rPr>
        <w:t xml:space="preserve"> Director, Migrant Education Program (MEP) Region 9 San Diego County Office of Education </w:t>
      </w:r>
    </w:p>
    <w:p w14:paraId="5464B1BF" w14:textId="72FFF82E" w:rsidR="00FF2A31" w:rsidRPr="00113364" w:rsidRDefault="00FF2A31" w:rsidP="00FF2A31">
      <w:pPr>
        <w:rPr>
          <w:rFonts w:ascii="Arial" w:hAnsi="Arial" w:cs="Arial"/>
        </w:rPr>
      </w:pPr>
      <w:r w:rsidRPr="00113364">
        <w:rPr>
          <w:rFonts w:ascii="Arial" w:hAnsi="Arial" w:cs="Arial"/>
          <w:b/>
        </w:rPr>
        <w:t>Christian Becerra,</w:t>
      </w:r>
      <w:r w:rsidRPr="00113364">
        <w:rPr>
          <w:rFonts w:ascii="Arial" w:hAnsi="Arial" w:cs="Arial"/>
        </w:rPr>
        <w:t xml:space="preserve"> Program Specialist/former migratory Out-of-School Youth, MEP Region 4 Fresno County Superintendent of Schools (FCSS)</w:t>
      </w:r>
    </w:p>
    <w:p w14:paraId="3603C1BB" w14:textId="60E0ECA7" w:rsidR="00FF2A31" w:rsidRPr="00113364" w:rsidRDefault="00FF2A31" w:rsidP="00FF2A31">
      <w:pPr>
        <w:rPr>
          <w:rFonts w:ascii="Arial" w:hAnsi="Arial" w:cs="Arial"/>
        </w:rPr>
      </w:pPr>
      <w:r w:rsidRPr="00113364">
        <w:rPr>
          <w:rFonts w:ascii="Arial" w:hAnsi="Arial" w:cs="Arial"/>
          <w:b/>
        </w:rPr>
        <w:t>Ruben Castillo,</w:t>
      </w:r>
      <w:r w:rsidRPr="00113364">
        <w:rPr>
          <w:rFonts w:ascii="Arial" w:hAnsi="Arial" w:cs="Arial"/>
        </w:rPr>
        <w:t xml:space="preserve"> Executive Director/former migratory student, MEP Region 4 FCSS</w:t>
      </w:r>
    </w:p>
    <w:p w14:paraId="492BF880" w14:textId="77777777" w:rsidR="00FF2A31" w:rsidRPr="00113364" w:rsidRDefault="00FF2A31" w:rsidP="00FF2A31">
      <w:pPr>
        <w:rPr>
          <w:rFonts w:ascii="Arial" w:hAnsi="Arial" w:cs="Arial"/>
          <w:highlight w:val="yellow"/>
        </w:rPr>
      </w:pPr>
      <w:r w:rsidRPr="00113364">
        <w:rPr>
          <w:rFonts w:ascii="Arial" w:hAnsi="Arial" w:cs="Arial"/>
          <w:b/>
        </w:rPr>
        <w:t>David Cruz Duran,</w:t>
      </w:r>
      <w:r w:rsidRPr="00113364">
        <w:rPr>
          <w:rFonts w:ascii="Arial" w:hAnsi="Arial" w:cs="Arial"/>
        </w:rPr>
        <w:t xml:space="preserve"> Recruiter/former migratory student, MEP Region 23 San Joaquin County Office of Education</w:t>
      </w:r>
    </w:p>
    <w:p w14:paraId="36E930F9" w14:textId="77777777" w:rsidR="00FF2A31" w:rsidRPr="00113364" w:rsidRDefault="00FF2A31" w:rsidP="00FF2A31">
      <w:pPr>
        <w:rPr>
          <w:rFonts w:ascii="Arial" w:hAnsi="Arial" w:cs="Arial"/>
          <w:bCs/>
        </w:rPr>
      </w:pPr>
      <w:r w:rsidRPr="00113364">
        <w:rPr>
          <w:rFonts w:ascii="Arial" w:hAnsi="Arial" w:cs="Arial"/>
          <w:b/>
        </w:rPr>
        <w:t xml:space="preserve">Sandra Espinoza, </w:t>
      </w:r>
      <w:r w:rsidRPr="00113364">
        <w:rPr>
          <w:rFonts w:ascii="Arial" w:hAnsi="Arial" w:cs="Arial"/>
          <w:bCs/>
        </w:rPr>
        <w:t xml:space="preserve">Director, MEP Direct-funded District (DFD) 24, Lindsay Unified School District </w:t>
      </w:r>
    </w:p>
    <w:p w14:paraId="2B089E92" w14:textId="77777777" w:rsidR="00FF2A31" w:rsidRPr="00113364" w:rsidRDefault="00FF2A31" w:rsidP="00FF2A31">
      <w:pPr>
        <w:rPr>
          <w:rFonts w:ascii="Arial" w:hAnsi="Arial" w:cs="Arial"/>
        </w:rPr>
      </w:pPr>
      <w:r w:rsidRPr="00113364">
        <w:rPr>
          <w:rFonts w:ascii="Arial" w:hAnsi="Arial" w:cs="Arial"/>
          <w:b/>
        </w:rPr>
        <w:t>Maria Jose Flockhart,</w:t>
      </w:r>
      <w:r w:rsidRPr="00113364">
        <w:rPr>
          <w:rFonts w:ascii="Arial" w:hAnsi="Arial" w:cs="Arial"/>
        </w:rPr>
        <w:t xml:space="preserve"> Social Worker, MEP Region 9 San Diego County Office of Education</w:t>
      </w:r>
    </w:p>
    <w:p w14:paraId="04B7FFEA" w14:textId="77777777" w:rsidR="00FF2A31" w:rsidRPr="00113364" w:rsidRDefault="00FF2A31" w:rsidP="00FF2A31">
      <w:pPr>
        <w:rPr>
          <w:rFonts w:ascii="Arial" w:hAnsi="Arial" w:cs="Arial"/>
          <w:bCs/>
        </w:rPr>
      </w:pPr>
      <w:r w:rsidRPr="00113364">
        <w:rPr>
          <w:rFonts w:ascii="Arial" w:hAnsi="Arial" w:cs="Arial"/>
          <w:b/>
        </w:rPr>
        <w:t>Deisy Galvan,</w:t>
      </w:r>
      <w:r w:rsidRPr="00113364">
        <w:rPr>
          <w:rFonts w:ascii="Arial" w:hAnsi="Arial" w:cs="Arial"/>
        </w:rPr>
        <w:t xml:space="preserve"> Director, </w:t>
      </w:r>
      <w:r w:rsidRPr="00113364">
        <w:rPr>
          <w:rFonts w:ascii="Arial" w:hAnsi="Arial" w:cs="Arial"/>
          <w:bCs/>
        </w:rPr>
        <w:t xml:space="preserve">MEP DFD 21 </w:t>
      </w:r>
      <w:r w:rsidRPr="00113364">
        <w:rPr>
          <w:rFonts w:ascii="Arial" w:hAnsi="Arial" w:cs="Arial"/>
        </w:rPr>
        <w:t>Bakersfield City School District</w:t>
      </w:r>
      <w:r w:rsidRPr="00113364">
        <w:rPr>
          <w:rFonts w:ascii="Arial" w:hAnsi="Arial" w:cs="Arial"/>
          <w:b/>
        </w:rPr>
        <w:t xml:space="preserve"> </w:t>
      </w:r>
    </w:p>
    <w:p w14:paraId="21E16251" w14:textId="77777777" w:rsidR="00FF2A31" w:rsidRPr="00113364" w:rsidRDefault="00FF2A31" w:rsidP="00FF2A31">
      <w:pPr>
        <w:rPr>
          <w:rFonts w:ascii="Arial" w:hAnsi="Arial" w:cs="Arial"/>
        </w:rPr>
      </w:pPr>
      <w:r w:rsidRPr="00113364">
        <w:rPr>
          <w:rFonts w:ascii="Arial" w:hAnsi="Arial" w:cs="Arial"/>
          <w:b/>
        </w:rPr>
        <w:t>Michelle Manriquez,</w:t>
      </w:r>
      <w:r w:rsidRPr="00113364">
        <w:rPr>
          <w:rFonts w:ascii="Arial" w:hAnsi="Arial" w:cs="Arial"/>
        </w:rPr>
        <w:t xml:space="preserve"> Coordinator, MEP Region 1 Santa Clara County Office of Education</w:t>
      </w:r>
    </w:p>
    <w:p w14:paraId="5E857AA4" w14:textId="77777777" w:rsidR="00FF2A31" w:rsidRPr="00113364" w:rsidRDefault="00FF2A31" w:rsidP="00FF2A31">
      <w:pPr>
        <w:rPr>
          <w:rFonts w:ascii="Arial" w:hAnsi="Arial" w:cs="Arial"/>
        </w:rPr>
      </w:pPr>
      <w:r w:rsidRPr="00113364">
        <w:rPr>
          <w:rFonts w:ascii="Arial" w:hAnsi="Arial" w:cs="Arial"/>
          <w:b/>
        </w:rPr>
        <w:t>Elizabeth Mora,</w:t>
      </w:r>
      <w:r w:rsidRPr="00113364">
        <w:rPr>
          <w:rFonts w:ascii="Arial" w:hAnsi="Arial" w:cs="Arial"/>
        </w:rPr>
        <w:t xml:space="preserve"> Former State Parent Advisory Committee (SPAC) President/MEP parent, MEP Region 2 Butte County Office of Education </w:t>
      </w:r>
    </w:p>
    <w:p w14:paraId="41BECEC7" w14:textId="77777777" w:rsidR="00FF2A31" w:rsidRPr="00113364" w:rsidRDefault="00FF2A31" w:rsidP="00FF2A31">
      <w:pPr>
        <w:rPr>
          <w:rFonts w:ascii="Arial" w:hAnsi="Arial" w:cs="Arial"/>
        </w:rPr>
      </w:pPr>
      <w:r w:rsidRPr="00113364">
        <w:rPr>
          <w:rFonts w:ascii="Arial" w:hAnsi="Arial" w:cs="Arial"/>
          <w:b/>
        </w:rPr>
        <w:t>Sarah Norrbom,</w:t>
      </w:r>
      <w:r w:rsidRPr="00113364">
        <w:rPr>
          <w:rFonts w:ascii="Arial" w:hAnsi="Arial" w:cs="Arial"/>
        </w:rPr>
        <w:t xml:space="preserve"> Director MEP Region 2, Butte County Office of Education</w:t>
      </w:r>
    </w:p>
    <w:p w14:paraId="500F8308" w14:textId="77777777" w:rsidR="00FF2A31" w:rsidRPr="00113364" w:rsidRDefault="00FF2A31" w:rsidP="00FF2A31">
      <w:pPr>
        <w:rPr>
          <w:rFonts w:ascii="Arial" w:hAnsi="Arial" w:cs="Arial"/>
          <w:b/>
        </w:rPr>
      </w:pPr>
      <w:r w:rsidRPr="00113364">
        <w:rPr>
          <w:rFonts w:ascii="Arial" w:hAnsi="Arial" w:cs="Arial"/>
          <w:b/>
        </w:rPr>
        <w:t xml:space="preserve">Maria Ponce, </w:t>
      </w:r>
      <w:r w:rsidRPr="00113364">
        <w:rPr>
          <w:rFonts w:ascii="Arial" w:hAnsi="Arial" w:cs="Arial"/>
        </w:rPr>
        <w:t>Coordinator, MEP Region 7 Riverside County Office of Education</w:t>
      </w:r>
    </w:p>
    <w:p w14:paraId="7E22A278" w14:textId="77777777" w:rsidR="00FF2A31" w:rsidRPr="00113364" w:rsidRDefault="00FF2A31" w:rsidP="00FF2A31">
      <w:pPr>
        <w:rPr>
          <w:rFonts w:ascii="Arial" w:hAnsi="Arial" w:cs="Arial"/>
        </w:rPr>
      </w:pPr>
      <w:r w:rsidRPr="00113364">
        <w:rPr>
          <w:rFonts w:ascii="Arial" w:hAnsi="Arial" w:cs="Arial"/>
          <w:b/>
        </w:rPr>
        <w:t>Kimberly Rosa Briones,</w:t>
      </w:r>
      <w:r w:rsidRPr="00113364">
        <w:rPr>
          <w:rFonts w:ascii="Arial" w:hAnsi="Arial" w:cs="Arial"/>
        </w:rPr>
        <w:t xml:space="preserve"> Teacher,</w:t>
      </w:r>
      <w:r w:rsidRPr="00113364">
        <w:rPr>
          <w:rFonts w:ascii="Arial" w:eastAsia="Times New Roman" w:hAnsi="Arial" w:cs="Arial"/>
          <w:color w:val="000000"/>
          <w:lang w:eastAsia="es-MX"/>
        </w:rPr>
        <w:t xml:space="preserve"> </w:t>
      </w:r>
      <w:r w:rsidRPr="00113364">
        <w:rPr>
          <w:rFonts w:ascii="Arial" w:hAnsi="Arial" w:cs="Arial"/>
        </w:rPr>
        <w:t>Norwalk-La Mirada Unified School District (part of MEP Region 10)</w:t>
      </w:r>
    </w:p>
    <w:p w14:paraId="11BFCA43" w14:textId="77777777" w:rsidR="00FF2A31" w:rsidRPr="00113364" w:rsidRDefault="00FF2A31" w:rsidP="00FF2A31">
      <w:pPr>
        <w:rPr>
          <w:rFonts w:ascii="Arial" w:hAnsi="Arial" w:cs="Arial"/>
        </w:rPr>
      </w:pPr>
      <w:r w:rsidRPr="00113364">
        <w:rPr>
          <w:rFonts w:ascii="Arial" w:hAnsi="Arial" w:cs="Arial"/>
          <w:b/>
        </w:rPr>
        <w:t xml:space="preserve">Brandon </w:t>
      </w:r>
      <w:proofErr w:type="spellStart"/>
      <w:r w:rsidRPr="00113364">
        <w:rPr>
          <w:rFonts w:ascii="Arial" w:hAnsi="Arial" w:cs="Arial"/>
          <w:b/>
        </w:rPr>
        <w:t>Sant’Agata</w:t>
      </w:r>
      <w:proofErr w:type="spellEnd"/>
      <w:r w:rsidRPr="00113364">
        <w:rPr>
          <w:rFonts w:ascii="Arial" w:hAnsi="Arial" w:cs="Arial"/>
          <w:b/>
        </w:rPr>
        <w:t>,</w:t>
      </w:r>
      <w:r w:rsidRPr="00113364">
        <w:rPr>
          <w:rFonts w:ascii="Arial" w:hAnsi="Arial" w:cs="Arial"/>
        </w:rPr>
        <w:t xml:space="preserve"> Program Coordinator, MEP Region 4 FCSS</w:t>
      </w:r>
    </w:p>
    <w:p w14:paraId="05BF18C7" w14:textId="77777777" w:rsidR="00FF2A31" w:rsidRPr="00113364" w:rsidRDefault="00FF2A31" w:rsidP="00FF2A31">
      <w:pPr>
        <w:rPr>
          <w:rFonts w:ascii="Arial" w:hAnsi="Arial" w:cs="Arial"/>
        </w:rPr>
      </w:pPr>
      <w:proofErr w:type="spellStart"/>
      <w:r w:rsidRPr="00113364">
        <w:rPr>
          <w:rFonts w:ascii="Arial" w:hAnsi="Arial" w:cs="Arial"/>
          <w:b/>
        </w:rPr>
        <w:t>Espi</w:t>
      </w:r>
      <w:proofErr w:type="spellEnd"/>
      <w:r w:rsidRPr="00113364">
        <w:rPr>
          <w:rFonts w:ascii="Arial" w:hAnsi="Arial" w:cs="Arial"/>
          <w:b/>
        </w:rPr>
        <w:t xml:space="preserve"> Sandoval,</w:t>
      </w:r>
      <w:r w:rsidRPr="00113364">
        <w:rPr>
          <w:rFonts w:ascii="Arial" w:hAnsi="Arial" w:cs="Arial"/>
        </w:rPr>
        <w:t xml:space="preserve"> Program Specialist, MEP Region 4 FCSS</w:t>
      </w:r>
    </w:p>
    <w:p w14:paraId="0F2632C2" w14:textId="77777777" w:rsidR="00FF2A31" w:rsidRPr="00113364" w:rsidRDefault="00FF2A31" w:rsidP="00FF2A31">
      <w:pPr>
        <w:rPr>
          <w:rFonts w:ascii="Arial" w:hAnsi="Arial" w:cs="Arial"/>
          <w:b/>
        </w:rPr>
      </w:pPr>
      <w:r w:rsidRPr="00113364">
        <w:rPr>
          <w:rFonts w:ascii="Arial" w:hAnsi="Arial" w:cs="Arial"/>
          <w:b/>
        </w:rPr>
        <w:t xml:space="preserve">Jesus Torres, </w:t>
      </w:r>
      <w:r w:rsidRPr="00113364">
        <w:rPr>
          <w:rFonts w:ascii="Arial" w:hAnsi="Arial" w:cs="Arial"/>
          <w:bCs/>
        </w:rPr>
        <w:t>Migrant P</w:t>
      </w:r>
      <w:r w:rsidRPr="00113364">
        <w:rPr>
          <w:rFonts w:ascii="Arial" w:hAnsi="Arial" w:cs="Arial"/>
        </w:rPr>
        <w:t>rogram Specialist/former migratory student, MEP DFD 21</w:t>
      </w:r>
      <w:r w:rsidRPr="00113364">
        <w:rPr>
          <w:rFonts w:ascii="Arial" w:hAnsi="Arial" w:cs="Arial"/>
          <w:b/>
        </w:rPr>
        <w:t xml:space="preserve"> </w:t>
      </w:r>
      <w:r w:rsidRPr="00113364">
        <w:rPr>
          <w:rFonts w:ascii="Arial" w:hAnsi="Arial" w:cs="Arial"/>
        </w:rPr>
        <w:t xml:space="preserve">Bakersfield City School District </w:t>
      </w:r>
    </w:p>
    <w:p w14:paraId="4775F340" w14:textId="77777777" w:rsidR="00FF2A31" w:rsidRPr="00113364" w:rsidRDefault="00FF2A31" w:rsidP="00FF2A31">
      <w:pPr>
        <w:spacing w:after="240"/>
        <w:rPr>
          <w:rFonts w:ascii="Arial" w:hAnsi="Arial" w:cs="Arial"/>
        </w:rPr>
      </w:pPr>
      <w:r w:rsidRPr="00113364">
        <w:rPr>
          <w:rFonts w:ascii="Arial" w:hAnsi="Arial" w:cs="Arial"/>
          <w:b/>
        </w:rPr>
        <w:t>Sarah Yerman,</w:t>
      </w:r>
      <w:r w:rsidRPr="00113364">
        <w:rPr>
          <w:rFonts w:ascii="Arial" w:hAnsi="Arial" w:cs="Arial"/>
        </w:rPr>
        <w:t xml:space="preserve"> Coordinator, MEP Region 2</w:t>
      </w:r>
      <w:r w:rsidRPr="00113364">
        <w:rPr>
          <w:rFonts w:ascii="Arial" w:hAnsi="Arial" w:cs="Arial"/>
          <w:b/>
        </w:rPr>
        <w:t xml:space="preserve"> </w:t>
      </w:r>
      <w:r w:rsidRPr="00113364">
        <w:rPr>
          <w:rFonts w:ascii="Arial" w:hAnsi="Arial" w:cs="Arial"/>
        </w:rPr>
        <w:t>Butte County Office of Education</w:t>
      </w:r>
    </w:p>
    <w:p w14:paraId="1301AFA0" w14:textId="5A18971E" w:rsidR="00FF2A31" w:rsidRPr="00113364" w:rsidRDefault="00FF2A31" w:rsidP="00FF2A31">
      <w:pPr>
        <w:spacing w:after="240"/>
        <w:rPr>
          <w:rFonts w:ascii="Arial" w:hAnsi="Arial" w:cs="Arial"/>
        </w:rPr>
      </w:pPr>
      <w:r w:rsidRPr="00113364">
        <w:rPr>
          <w:rFonts w:ascii="Arial" w:hAnsi="Arial" w:cs="Arial"/>
        </w:rPr>
        <w:lastRenderedPageBreak/>
        <w:t>The SPAC worked as an extension of the CNA SDP Committee to ensure the CDE had meaningful parent participation and consultation on the development of both the CNA and SDP. SPAC participants included:</w:t>
      </w:r>
    </w:p>
    <w:p w14:paraId="42BB4AA4" w14:textId="77777777" w:rsidR="00FF2A31" w:rsidRPr="00113364" w:rsidRDefault="00FF2A31" w:rsidP="00FF2A31">
      <w:pPr>
        <w:rPr>
          <w:rFonts w:ascii="Arial" w:hAnsi="Arial" w:cs="Arial"/>
        </w:rPr>
      </w:pPr>
      <w:bookmarkStart w:id="4" w:name="_Hlk186443021"/>
      <w:r w:rsidRPr="00113364">
        <w:rPr>
          <w:rFonts w:ascii="Arial" w:hAnsi="Arial" w:cs="Arial"/>
          <w:b/>
          <w:bCs/>
        </w:rPr>
        <w:t>Daisy Aguilar</w:t>
      </w:r>
      <w:r w:rsidRPr="00113364">
        <w:rPr>
          <w:rFonts w:ascii="Arial" w:hAnsi="Arial" w:cs="Arial"/>
        </w:rPr>
        <w:t xml:space="preserve">, MEP Region 6 Imperial County Office of Education </w:t>
      </w:r>
    </w:p>
    <w:p w14:paraId="262B544A" w14:textId="77777777" w:rsidR="00FF2A31" w:rsidRPr="00113364" w:rsidRDefault="00FF2A31" w:rsidP="00FF2A31">
      <w:pPr>
        <w:rPr>
          <w:rFonts w:ascii="Arial" w:hAnsi="Arial" w:cs="Arial"/>
        </w:rPr>
      </w:pPr>
      <w:r w:rsidRPr="00113364">
        <w:rPr>
          <w:rFonts w:ascii="Arial" w:hAnsi="Arial" w:cs="Arial"/>
          <w:b/>
          <w:bCs/>
        </w:rPr>
        <w:t>Claudia</w:t>
      </w:r>
      <w:r w:rsidRPr="00113364">
        <w:rPr>
          <w:rFonts w:ascii="Arial" w:hAnsi="Arial" w:cs="Arial"/>
        </w:rPr>
        <w:t xml:space="preserve"> </w:t>
      </w:r>
      <w:r w:rsidRPr="00113364">
        <w:rPr>
          <w:rFonts w:ascii="Arial" w:hAnsi="Arial" w:cs="Arial"/>
          <w:b/>
          <w:bCs/>
        </w:rPr>
        <w:t>Covarrubias</w:t>
      </w:r>
      <w:r w:rsidRPr="00113364">
        <w:rPr>
          <w:rFonts w:ascii="Arial" w:hAnsi="Arial" w:cs="Arial"/>
        </w:rPr>
        <w:t xml:space="preserve">, MEP Region 2, Butte County Office of Education </w:t>
      </w:r>
    </w:p>
    <w:p w14:paraId="674D6522" w14:textId="77777777" w:rsidR="00FF2A31" w:rsidRPr="00113364" w:rsidRDefault="00FF2A31" w:rsidP="00FF2A31">
      <w:pPr>
        <w:rPr>
          <w:rFonts w:ascii="Arial" w:hAnsi="Arial" w:cs="Arial"/>
          <w:b/>
          <w:bCs/>
        </w:rPr>
      </w:pPr>
      <w:r w:rsidRPr="00113364">
        <w:rPr>
          <w:rFonts w:ascii="Arial" w:hAnsi="Arial" w:cs="Arial"/>
          <w:b/>
          <w:bCs/>
        </w:rPr>
        <w:t>Frank Davila</w:t>
      </w:r>
      <w:r w:rsidRPr="00113364">
        <w:rPr>
          <w:rFonts w:ascii="Arial" w:hAnsi="Arial" w:cs="Arial"/>
        </w:rPr>
        <w:t>, MEP Region 5 Kern County Office of Education</w:t>
      </w:r>
      <w:r w:rsidRPr="00113364">
        <w:rPr>
          <w:rFonts w:ascii="Arial" w:hAnsi="Arial" w:cs="Arial"/>
          <w:b/>
          <w:bCs/>
        </w:rPr>
        <w:t xml:space="preserve"> </w:t>
      </w:r>
    </w:p>
    <w:p w14:paraId="1F2DC9C8" w14:textId="77777777" w:rsidR="00FF2A31" w:rsidRPr="00113364" w:rsidRDefault="00FF2A31" w:rsidP="00FF2A31">
      <w:pPr>
        <w:rPr>
          <w:rFonts w:ascii="Arial" w:hAnsi="Arial" w:cs="Arial"/>
          <w:b/>
          <w:bCs/>
        </w:rPr>
      </w:pPr>
      <w:r w:rsidRPr="00113364">
        <w:rPr>
          <w:rFonts w:ascii="Arial" w:hAnsi="Arial" w:cs="Arial"/>
          <w:b/>
          <w:bCs/>
        </w:rPr>
        <w:t>Cintia Flores</w:t>
      </w:r>
      <w:r w:rsidRPr="00113364">
        <w:rPr>
          <w:rFonts w:ascii="Arial" w:hAnsi="Arial" w:cs="Arial"/>
        </w:rPr>
        <w:t>, MEP Region 3 Merced County Office of Education</w:t>
      </w:r>
      <w:r w:rsidRPr="00113364">
        <w:rPr>
          <w:rFonts w:ascii="Arial" w:hAnsi="Arial" w:cs="Arial"/>
          <w:b/>
          <w:bCs/>
        </w:rPr>
        <w:t xml:space="preserve"> </w:t>
      </w:r>
    </w:p>
    <w:p w14:paraId="3AA2BDDF" w14:textId="77777777" w:rsidR="00FF2A31" w:rsidRPr="00113364" w:rsidRDefault="00FF2A31" w:rsidP="00FF2A31">
      <w:pPr>
        <w:rPr>
          <w:rFonts w:ascii="Arial" w:hAnsi="Arial" w:cs="Arial"/>
        </w:rPr>
      </w:pPr>
      <w:r w:rsidRPr="00113364">
        <w:rPr>
          <w:rFonts w:ascii="Arial" w:hAnsi="Arial" w:cs="Arial"/>
          <w:b/>
          <w:bCs/>
        </w:rPr>
        <w:t>Jose Flores</w:t>
      </w:r>
      <w:r w:rsidRPr="00113364">
        <w:rPr>
          <w:rFonts w:ascii="Arial" w:hAnsi="Arial" w:cs="Arial"/>
        </w:rPr>
        <w:t>, MEP Region 16 Monterey County Office of Education</w:t>
      </w:r>
    </w:p>
    <w:p w14:paraId="105AE10B" w14:textId="77777777" w:rsidR="00FF2A31" w:rsidRPr="00113364" w:rsidRDefault="00FF2A31" w:rsidP="00FF2A31">
      <w:pPr>
        <w:rPr>
          <w:rFonts w:ascii="Arial" w:hAnsi="Arial" w:cs="Arial"/>
        </w:rPr>
      </w:pPr>
      <w:r w:rsidRPr="00113364">
        <w:rPr>
          <w:rFonts w:ascii="Arial" w:hAnsi="Arial" w:cs="Arial"/>
          <w:b/>
          <w:bCs/>
        </w:rPr>
        <w:t>Marcelino Franco</w:t>
      </w:r>
      <w:r w:rsidRPr="00113364">
        <w:rPr>
          <w:rFonts w:ascii="Arial" w:hAnsi="Arial" w:cs="Arial"/>
        </w:rPr>
        <w:t>, MEP Region 7 Riverside County Office of Education</w:t>
      </w:r>
    </w:p>
    <w:p w14:paraId="09780BFC" w14:textId="77777777" w:rsidR="00FF2A31" w:rsidRPr="00113364" w:rsidRDefault="00FF2A31" w:rsidP="00FF2A31">
      <w:pPr>
        <w:rPr>
          <w:rFonts w:ascii="Arial" w:hAnsi="Arial" w:cs="Arial"/>
        </w:rPr>
      </w:pPr>
      <w:r w:rsidRPr="00113364">
        <w:rPr>
          <w:rFonts w:ascii="Arial" w:hAnsi="Arial" w:cs="Arial"/>
          <w:b/>
          <w:bCs/>
        </w:rPr>
        <w:t xml:space="preserve">Francisca Galindo, </w:t>
      </w:r>
      <w:r w:rsidRPr="00113364">
        <w:rPr>
          <w:rFonts w:ascii="Arial" w:hAnsi="Arial" w:cs="Arial"/>
        </w:rPr>
        <w:t>MEP Region 1 Santa Clara County Office of Education</w:t>
      </w:r>
    </w:p>
    <w:p w14:paraId="5D7083BC" w14:textId="77777777" w:rsidR="00FF2A31" w:rsidRPr="00113364" w:rsidRDefault="00FF2A31" w:rsidP="00FF2A31">
      <w:pPr>
        <w:rPr>
          <w:rFonts w:ascii="Arial" w:hAnsi="Arial" w:cs="Arial"/>
        </w:rPr>
      </w:pPr>
      <w:r w:rsidRPr="00113364">
        <w:rPr>
          <w:rFonts w:ascii="Arial" w:hAnsi="Arial" w:cs="Arial"/>
          <w:b/>
          <w:bCs/>
        </w:rPr>
        <w:t>Gabriela Gomez</w:t>
      </w:r>
      <w:r w:rsidRPr="00113364">
        <w:rPr>
          <w:rFonts w:ascii="Arial" w:hAnsi="Arial" w:cs="Arial"/>
        </w:rPr>
        <w:t>, MEP Region 9 San Diego County Office of Education</w:t>
      </w:r>
    </w:p>
    <w:p w14:paraId="407A9E2F" w14:textId="77777777" w:rsidR="00FF2A31" w:rsidRPr="00113364" w:rsidRDefault="00FF2A31" w:rsidP="00FF2A31">
      <w:pPr>
        <w:rPr>
          <w:rFonts w:ascii="Arial" w:hAnsi="Arial" w:cs="Arial"/>
        </w:rPr>
      </w:pPr>
      <w:r w:rsidRPr="00113364">
        <w:rPr>
          <w:rFonts w:ascii="Arial" w:hAnsi="Arial" w:cs="Arial"/>
          <w:b/>
          <w:bCs/>
        </w:rPr>
        <w:t>Rafael Guillen</w:t>
      </w:r>
      <w:r w:rsidRPr="00113364">
        <w:rPr>
          <w:rFonts w:ascii="Arial" w:hAnsi="Arial" w:cs="Arial"/>
        </w:rPr>
        <w:t xml:space="preserve">, MEP Region 17 Ventura County Office of Education </w:t>
      </w:r>
    </w:p>
    <w:p w14:paraId="3B135794" w14:textId="77777777" w:rsidR="00FF2A31" w:rsidRPr="00113364" w:rsidRDefault="00FF2A31" w:rsidP="00FF2A31">
      <w:pPr>
        <w:rPr>
          <w:rFonts w:ascii="Arial" w:hAnsi="Arial" w:cs="Arial"/>
        </w:rPr>
      </w:pPr>
      <w:r w:rsidRPr="00113364">
        <w:rPr>
          <w:rFonts w:ascii="Arial" w:hAnsi="Arial" w:cs="Arial"/>
          <w:b/>
          <w:bCs/>
        </w:rPr>
        <w:t>Hugo Medez Rosales</w:t>
      </w:r>
      <w:r w:rsidRPr="00113364">
        <w:rPr>
          <w:rFonts w:ascii="Arial" w:hAnsi="Arial" w:cs="Arial"/>
        </w:rPr>
        <w:t>, MEP Region 8 Tulare County Office of Education</w:t>
      </w:r>
    </w:p>
    <w:p w14:paraId="70138ED2" w14:textId="77777777" w:rsidR="00FF2A31" w:rsidRPr="00113364" w:rsidRDefault="00FF2A31" w:rsidP="00FF2A31">
      <w:pPr>
        <w:rPr>
          <w:rFonts w:ascii="Arial" w:hAnsi="Arial" w:cs="Arial"/>
        </w:rPr>
      </w:pPr>
      <w:r w:rsidRPr="00113364">
        <w:rPr>
          <w:rFonts w:ascii="Arial" w:hAnsi="Arial" w:cs="Arial"/>
          <w:b/>
          <w:bCs/>
        </w:rPr>
        <w:t>Areli Mendoza</w:t>
      </w:r>
      <w:r w:rsidRPr="00113364">
        <w:rPr>
          <w:rFonts w:ascii="Arial" w:hAnsi="Arial" w:cs="Arial"/>
        </w:rPr>
        <w:t>, MEP Region 10 Los Angeles County Office of Education</w:t>
      </w:r>
    </w:p>
    <w:p w14:paraId="395B0820" w14:textId="77777777" w:rsidR="00FF2A31" w:rsidRPr="00113364" w:rsidRDefault="00FF2A31" w:rsidP="00FF2A31">
      <w:pPr>
        <w:rPr>
          <w:rFonts w:ascii="Arial" w:hAnsi="Arial" w:cs="Arial"/>
        </w:rPr>
      </w:pPr>
      <w:r w:rsidRPr="00113364">
        <w:rPr>
          <w:rFonts w:ascii="Arial" w:hAnsi="Arial" w:cs="Arial"/>
          <w:b/>
          <w:bCs/>
        </w:rPr>
        <w:t>Javier Morales</w:t>
      </w:r>
      <w:r w:rsidRPr="00113364">
        <w:rPr>
          <w:rFonts w:ascii="Arial" w:hAnsi="Arial" w:cs="Arial"/>
        </w:rPr>
        <w:t xml:space="preserve">, MEP Region 14 Delano Unified School District </w:t>
      </w:r>
    </w:p>
    <w:p w14:paraId="74537496" w14:textId="77777777" w:rsidR="00FF2A31" w:rsidRPr="00113364" w:rsidRDefault="00FF2A31" w:rsidP="00FF2A31">
      <w:pPr>
        <w:rPr>
          <w:rFonts w:ascii="Arial" w:hAnsi="Arial" w:cs="Arial"/>
          <w:b/>
          <w:bCs/>
        </w:rPr>
      </w:pPr>
      <w:r w:rsidRPr="00113364">
        <w:rPr>
          <w:rFonts w:ascii="Arial" w:hAnsi="Arial" w:cs="Arial"/>
          <w:b/>
          <w:bCs/>
        </w:rPr>
        <w:t>Bertha Sierra</w:t>
      </w:r>
      <w:r w:rsidRPr="00113364">
        <w:rPr>
          <w:rFonts w:ascii="Arial" w:hAnsi="Arial" w:cs="Arial"/>
        </w:rPr>
        <w:t>, MEP Region 23 San Joaquin County Office of Education</w:t>
      </w:r>
      <w:r w:rsidRPr="00113364">
        <w:rPr>
          <w:rFonts w:ascii="Arial" w:hAnsi="Arial" w:cs="Arial"/>
          <w:b/>
          <w:bCs/>
        </w:rPr>
        <w:t xml:space="preserve"> </w:t>
      </w:r>
    </w:p>
    <w:p w14:paraId="40AC8AD7" w14:textId="77777777" w:rsidR="00FF2A31" w:rsidRPr="00113364" w:rsidRDefault="00FF2A31" w:rsidP="00FF2A31">
      <w:pPr>
        <w:rPr>
          <w:rFonts w:ascii="Arial" w:hAnsi="Arial" w:cs="Arial"/>
        </w:rPr>
      </w:pPr>
      <w:r w:rsidRPr="00113364">
        <w:rPr>
          <w:rFonts w:ascii="Arial" w:hAnsi="Arial" w:cs="Arial"/>
          <w:b/>
          <w:bCs/>
        </w:rPr>
        <w:t>Isaura Varela</w:t>
      </w:r>
      <w:r w:rsidRPr="00113364">
        <w:rPr>
          <w:rFonts w:ascii="Arial" w:hAnsi="Arial" w:cs="Arial"/>
        </w:rPr>
        <w:t xml:space="preserve">, MEP Region 4 FCSS </w:t>
      </w:r>
    </w:p>
    <w:p w14:paraId="365726C2" w14:textId="77777777" w:rsidR="00FF2A31" w:rsidRPr="00113364" w:rsidRDefault="00FF2A31" w:rsidP="00FF2A31">
      <w:pPr>
        <w:rPr>
          <w:rFonts w:ascii="Arial" w:hAnsi="Arial" w:cs="Arial"/>
        </w:rPr>
      </w:pPr>
      <w:r w:rsidRPr="00113364">
        <w:rPr>
          <w:rFonts w:ascii="Arial" w:hAnsi="Arial" w:cs="Arial"/>
          <w:b/>
          <w:bCs/>
        </w:rPr>
        <w:t>Gildardo Flores</w:t>
      </w:r>
      <w:r w:rsidRPr="00113364">
        <w:rPr>
          <w:rFonts w:ascii="Arial" w:hAnsi="Arial" w:cs="Arial"/>
        </w:rPr>
        <w:t>, MEP DFD 19 Lost Hills Union School District</w:t>
      </w:r>
    </w:p>
    <w:p w14:paraId="4876B359" w14:textId="77777777" w:rsidR="00FF2A31" w:rsidRPr="00B63CDC" w:rsidRDefault="00FF2A31" w:rsidP="00FF2A31">
      <w:pPr>
        <w:rPr>
          <w:rFonts w:ascii="Arial" w:hAnsi="Arial" w:cs="Arial"/>
          <w:lang w:val="es-MX"/>
        </w:rPr>
      </w:pPr>
      <w:r w:rsidRPr="00B63CDC">
        <w:rPr>
          <w:rFonts w:ascii="Arial" w:hAnsi="Arial" w:cs="Arial"/>
          <w:b/>
          <w:bCs/>
          <w:lang w:val="es-MX"/>
        </w:rPr>
        <w:t>Jacinta Velasco</w:t>
      </w:r>
      <w:r w:rsidRPr="00B63CDC">
        <w:rPr>
          <w:rFonts w:ascii="Arial" w:hAnsi="Arial" w:cs="Arial"/>
          <w:lang w:val="es-MX"/>
        </w:rPr>
        <w:t xml:space="preserve">, MEP DFD 22 Santa Maria-Bonita School </w:t>
      </w:r>
      <w:proofErr w:type="spellStart"/>
      <w:r w:rsidRPr="00B63CDC">
        <w:rPr>
          <w:rFonts w:ascii="Arial" w:hAnsi="Arial" w:cs="Arial"/>
          <w:lang w:val="es-MX"/>
        </w:rPr>
        <w:t>District</w:t>
      </w:r>
      <w:proofErr w:type="spellEnd"/>
    </w:p>
    <w:p w14:paraId="0CCB3321" w14:textId="77777777" w:rsidR="00FF2A31" w:rsidRPr="00113364" w:rsidRDefault="00FF2A31" w:rsidP="00FF2A31">
      <w:pPr>
        <w:spacing w:after="240"/>
        <w:rPr>
          <w:rFonts w:ascii="Arial" w:hAnsi="Arial" w:cs="Arial"/>
        </w:rPr>
      </w:pPr>
      <w:r w:rsidRPr="00113364">
        <w:rPr>
          <w:rFonts w:ascii="Arial" w:hAnsi="Arial" w:cs="Arial"/>
          <w:b/>
          <w:bCs/>
        </w:rPr>
        <w:t>Lus Enriquez Villalva,</w:t>
      </w:r>
      <w:r w:rsidRPr="00113364">
        <w:rPr>
          <w:rFonts w:ascii="Arial" w:hAnsi="Arial" w:cs="Arial"/>
        </w:rPr>
        <w:t xml:space="preserve"> MEP Region 18, San Luis Obispo, County Office of Education</w:t>
      </w:r>
      <w:r w:rsidRPr="00113364">
        <w:rPr>
          <w:rFonts w:ascii="Arial" w:hAnsi="Arial" w:cs="Arial"/>
          <w:b/>
          <w:bCs/>
        </w:rPr>
        <w:t xml:space="preserve"> </w:t>
      </w:r>
    </w:p>
    <w:bookmarkEnd w:id="4"/>
    <w:p w14:paraId="6A752BA3" w14:textId="3D159708" w:rsidR="00FF2A31" w:rsidRPr="00113364" w:rsidRDefault="00FF2A31" w:rsidP="00FF2A31">
      <w:pPr>
        <w:spacing w:after="240"/>
        <w:rPr>
          <w:rFonts w:ascii="Arial" w:hAnsi="Arial" w:cs="Arial"/>
        </w:rPr>
      </w:pPr>
      <w:r w:rsidRPr="00113364">
        <w:rPr>
          <w:rFonts w:ascii="Arial" w:hAnsi="Arial" w:cs="Arial"/>
        </w:rPr>
        <w:t>The CDE also extended our gratitude to the facilitation team for guiding the</w:t>
      </w:r>
      <w:r w:rsidR="007F31F9" w:rsidRPr="00113364">
        <w:rPr>
          <w:rFonts w:ascii="Arial" w:hAnsi="Arial" w:cs="Arial"/>
        </w:rPr>
        <w:t xml:space="preserve"> CNA SDP Committee through the process of finalizing the SDP</w:t>
      </w:r>
      <w:r w:rsidRPr="00113364">
        <w:rPr>
          <w:rFonts w:ascii="Arial" w:hAnsi="Arial" w:cs="Arial"/>
        </w:rPr>
        <w:t>:</w:t>
      </w:r>
    </w:p>
    <w:p w14:paraId="2C180454" w14:textId="77777777" w:rsidR="00FF2A31" w:rsidRPr="00113364" w:rsidRDefault="00FF2A31" w:rsidP="00FF2A31">
      <w:pPr>
        <w:rPr>
          <w:rFonts w:ascii="Arial" w:hAnsi="Arial" w:cs="Arial"/>
        </w:rPr>
      </w:pPr>
      <w:r w:rsidRPr="00113364">
        <w:rPr>
          <w:rFonts w:ascii="Arial" w:hAnsi="Arial" w:cs="Arial"/>
          <w:b/>
        </w:rPr>
        <w:t>Juli Auld,</w:t>
      </w:r>
      <w:r w:rsidRPr="00113364">
        <w:rPr>
          <w:rFonts w:ascii="Arial" w:hAnsi="Arial" w:cs="Arial"/>
        </w:rPr>
        <w:t xml:space="preserve"> Administrator, MEO, CDE</w:t>
      </w:r>
    </w:p>
    <w:p w14:paraId="58583BCA" w14:textId="6F20EC4E" w:rsidR="00FF2A31" w:rsidRPr="00113364" w:rsidRDefault="00FF2A31" w:rsidP="00FF2A31">
      <w:pPr>
        <w:rPr>
          <w:rFonts w:ascii="Arial" w:hAnsi="Arial" w:cs="Arial"/>
        </w:rPr>
      </w:pPr>
      <w:r w:rsidRPr="00113364">
        <w:rPr>
          <w:rFonts w:ascii="Arial" w:hAnsi="Arial" w:cs="Arial"/>
          <w:b/>
        </w:rPr>
        <w:t>Melissa Mallory,</w:t>
      </w:r>
      <w:r w:rsidRPr="00113364">
        <w:rPr>
          <w:rFonts w:ascii="Arial" w:hAnsi="Arial" w:cs="Arial"/>
        </w:rPr>
        <w:t xml:space="preserve"> </w:t>
      </w:r>
      <w:r w:rsidR="007D764C" w:rsidRPr="00113364">
        <w:rPr>
          <w:rFonts w:ascii="Arial" w:hAnsi="Arial" w:cs="Arial"/>
        </w:rPr>
        <w:t>EPC</w:t>
      </w:r>
      <w:r w:rsidRPr="00113364">
        <w:rPr>
          <w:rFonts w:ascii="Arial" w:hAnsi="Arial" w:cs="Arial"/>
        </w:rPr>
        <w:t>, MEO, CDE</w:t>
      </w:r>
    </w:p>
    <w:p w14:paraId="4BFAA334" w14:textId="6BB2FD86" w:rsidR="00FF2A31" w:rsidRPr="00113364" w:rsidRDefault="00FF2A31" w:rsidP="00FF2A31">
      <w:pPr>
        <w:rPr>
          <w:rFonts w:ascii="Arial" w:hAnsi="Arial" w:cs="Arial"/>
        </w:rPr>
      </w:pPr>
      <w:r w:rsidRPr="00113364">
        <w:rPr>
          <w:rFonts w:ascii="Arial" w:hAnsi="Arial" w:cs="Arial"/>
          <w:b/>
          <w:bCs/>
        </w:rPr>
        <w:t>Monica Nepomuceno</w:t>
      </w:r>
      <w:r w:rsidRPr="00113364">
        <w:rPr>
          <w:rFonts w:ascii="Arial" w:hAnsi="Arial" w:cs="Arial"/>
        </w:rPr>
        <w:t>, E</w:t>
      </w:r>
      <w:r w:rsidR="007D764C" w:rsidRPr="00113364">
        <w:rPr>
          <w:rFonts w:ascii="Arial" w:hAnsi="Arial" w:cs="Arial"/>
        </w:rPr>
        <w:t>PC</w:t>
      </w:r>
      <w:r w:rsidRPr="00113364">
        <w:rPr>
          <w:rFonts w:ascii="Arial" w:hAnsi="Arial" w:cs="Arial"/>
        </w:rPr>
        <w:t>, MEO, CDE</w:t>
      </w:r>
    </w:p>
    <w:p w14:paraId="72A6E98D" w14:textId="655848B2" w:rsidR="00FF2A31" w:rsidRPr="00113364" w:rsidRDefault="00FF2A31" w:rsidP="00FF2A31">
      <w:pPr>
        <w:rPr>
          <w:rFonts w:ascii="Arial" w:hAnsi="Arial" w:cs="Arial"/>
        </w:rPr>
      </w:pPr>
      <w:r w:rsidRPr="00113364">
        <w:rPr>
          <w:rFonts w:ascii="Arial" w:hAnsi="Arial" w:cs="Arial"/>
          <w:b/>
        </w:rPr>
        <w:t>Emily Smith,</w:t>
      </w:r>
      <w:r w:rsidRPr="00113364">
        <w:rPr>
          <w:rFonts w:ascii="Arial" w:hAnsi="Arial" w:cs="Arial"/>
        </w:rPr>
        <w:t xml:space="preserve"> E</w:t>
      </w:r>
      <w:r w:rsidR="007D764C" w:rsidRPr="00113364">
        <w:rPr>
          <w:rFonts w:ascii="Arial" w:hAnsi="Arial" w:cs="Arial"/>
        </w:rPr>
        <w:t>PC</w:t>
      </w:r>
      <w:r w:rsidRPr="00113364">
        <w:rPr>
          <w:rFonts w:ascii="Arial" w:hAnsi="Arial" w:cs="Arial"/>
        </w:rPr>
        <w:t>, MEO, CDE</w:t>
      </w:r>
    </w:p>
    <w:p w14:paraId="085AA995" w14:textId="77777777" w:rsidR="00FF2A31" w:rsidRPr="00113364" w:rsidRDefault="00FF2A31" w:rsidP="00FF2A31">
      <w:pPr>
        <w:spacing w:after="240"/>
        <w:rPr>
          <w:rFonts w:ascii="Arial" w:hAnsi="Arial" w:cs="Arial"/>
        </w:rPr>
      </w:pPr>
      <w:r w:rsidRPr="00113364">
        <w:rPr>
          <w:rFonts w:ascii="Arial" w:hAnsi="Arial" w:cs="Arial"/>
          <w:b/>
        </w:rPr>
        <w:t>Loan Tran,</w:t>
      </w:r>
      <w:r w:rsidRPr="00113364">
        <w:rPr>
          <w:rFonts w:ascii="Arial" w:hAnsi="Arial" w:cs="Arial"/>
        </w:rPr>
        <w:t xml:space="preserve"> Education Research and Evaluation Consultant, MEO, CDE</w:t>
      </w:r>
    </w:p>
    <w:p w14:paraId="67E20865" w14:textId="6185AA1A" w:rsidR="00FF2A31" w:rsidRPr="00113364" w:rsidRDefault="00FF2A31" w:rsidP="00FF2A31">
      <w:pPr>
        <w:spacing w:after="240"/>
        <w:rPr>
          <w:rFonts w:ascii="Arial" w:hAnsi="Arial" w:cs="Arial"/>
        </w:rPr>
      </w:pPr>
      <w:r w:rsidRPr="00113364">
        <w:rPr>
          <w:rFonts w:ascii="Arial" w:hAnsi="Arial" w:cs="Arial"/>
        </w:rPr>
        <w:t xml:space="preserve">Finally, special appreciation is due to CDE colleagues who assisted in various ways with </w:t>
      </w:r>
      <w:proofErr w:type="gramStart"/>
      <w:r w:rsidRPr="00113364">
        <w:rPr>
          <w:rFonts w:ascii="Arial" w:hAnsi="Arial" w:cs="Arial"/>
        </w:rPr>
        <w:t xml:space="preserve">the </w:t>
      </w:r>
      <w:r w:rsidR="007F31F9" w:rsidRPr="00113364">
        <w:rPr>
          <w:rFonts w:ascii="Arial" w:hAnsi="Arial" w:cs="Arial"/>
        </w:rPr>
        <w:t>SDP</w:t>
      </w:r>
      <w:proofErr w:type="gramEnd"/>
      <w:r w:rsidRPr="00113364">
        <w:rPr>
          <w:rFonts w:ascii="Arial" w:hAnsi="Arial" w:cs="Arial"/>
        </w:rPr>
        <w:t xml:space="preserve"> development:</w:t>
      </w:r>
    </w:p>
    <w:p w14:paraId="0A07828A" w14:textId="46C5517F" w:rsidR="00FF2A31" w:rsidRPr="00113364" w:rsidRDefault="00FF2A31" w:rsidP="00FF2A31">
      <w:pPr>
        <w:rPr>
          <w:rFonts w:ascii="Arial" w:hAnsi="Arial" w:cs="Arial"/>
          <w:b/>
        </w:rPr>
      </w:pPr>
      <w:r w:rsidRPr="00113364">
        <w:rPr>
          <w:rFonts w:ascii="Arial" w:hAnsi="Arial" w:cs="Arial"/>
          <w:b/>
        </w:rPr>
        <w:t xml:space="preserve">Kyla Asbell, </w:t>
      </w:r>
      <w:r w:rsidRPr="00113364">
        <w:rPr>
          <w:rFonts w:ascii="Arial" w:hAnsi="Arial" w:cs="Arial"/>
        </w:rPr>
        <w:t>Analyst</w:t>
      </w:r>
      <w:r w:rsidR="00543846">
        <w:rPr>
          <w:rFonts w:ascii="Arial" w:hAnsi="Arial" w:cs="Arial"/>
        </w:rPr>
        <w:t xml:space="preserve"> II</w:t>
      </w:r>
      <w:r w:rsidRPr="00113364">
        <w:rPr>
          <w:rFonts w:ascii="Arial" w:hAnsi="Arial" w:cs="Arial"/>
        </w:rPr>
        <w:t>, Division Support Office (DSO), CDE</w:t>
      </w:r>
    </w:p>
    <w:p w14:paraId="5D279DB5" w14:textId="19614612" w:rsidR="00FF2A31" w:rsidRPr="00B63CDC" w:rsidRDefault="00FF2A31" w:rsidP="00FF2A31">
      <w:pPr>
        <w:rPr>
          <w:rFonts w:ascii="Arial" w:hAnsi="Arial" w:cs="Arial"/>
          <w:lang w:val="es-MX"/>
        </w:rPr>
      </w:pPr>
      <w:r w:rsidRPr="00B63CDC">
        <w:rPr>
          <w:rFonts w:ascii="Arial" w:hAnsi="Arial" w:cs="Arial"/>
          <w:b/>
          <w:lang w:val="es-MX"/>
        </w:rPr>
        <w:t>Natalie Boyer,</w:t>
      </w:r>
      <w:r w:rsidRPr="00B63CDC">
        <w:rPr>
          <w:rFonts w:ascii="Arial" w:hAnsi="Arial" w:cs="Arial"/>
          <w:lang w:val="es-MX"/>
        </w:rPr>
        <w:t xml:space="preserve"> </w:t>
      </w:r>
      <w:r w:rsidR="00E671CF" w:rsidRPr="00113364">
        <w:rPr>
          <w:rFonts w:ascii="Arial" w:hAnsi="Arial" w:cs="Arial"/>
        </w:rPr>
        <w:t>Analyst</w:t>
      </w:r>
      <w:r w:rsidR="00E671CF">
        <w:rPr>
          <w:rFonts w:ascii="Arial" w:hAnsi="Arial" w:cs="Arial"/>
        </w:rPr>
        <w:t xml:space="preserve"> II</w:t>
      </w:r>
      <w:r w:rsidRPr="00B63CDC">
        <w:rPr>
          <w:rFonts w:ascii="Arial" w:hAnsi="Arial" w:cs="Arial"/>
          <w:lang w:val="es-MX"/>
        </w:rPr>
        <w:t>, DSO, CDE</w:t>
      </w:r>
    </w:p>
    <w:p w14:paraId="53D9FDB9" w14:textId="23E768DA" w:rsidR="00FF2A31" w:rsidRPr="00B63CDC" w:rsidRDefault="00FF2A31" w:rsidP="00FF2A31">
      <w:pPr>
        <w:rPr>
          <w:rFonts w:ascii="Arial" w:hAnsi="Arial" w:cs="Arial"/>
          <w:lang w:val="es-MX"/>
        </w:rPr>
      </w:pPr>
      <w:r w:rsidRPr="00B63CDC">
        <w:rPr>
          <w:rFonts w:ascii="Arial" w:hAnsi="Arial" w:cs="Arial"/>
          <w:b/>
          <w:lang w:val="es-MX"/>
        </w:rPr>
        <w:t xml:space="preserve">Jamie Contreras, </w:t>
      </w:r>
      <w:r w:rsidRPr="00B63CDC">
        <w:rPr>
          <w:rFonts w:ascii="Arial" w:hAnsi="Arial" w:cs="Arial"/>
          <w:lang w:val="es-MX"/>
        </w:rPr>
        <w:t>E</w:t>
      </w:r>
      <w:r w:rsidR="007D764C" w:rsidRPr="00B63CDC">
        <w:rPr>
          <w:rFonts w:ascii="Arial" w:hAnsi="Arial" w:cs="Arial"/>
          <w:lang w:val="es-MX"/>
        </w:rPr>
        <w:t>PC</w:t>
      </w:r>
      <w:r w:rsidRPr="00B63CDC">
        <w:rPr>
          <w:rFonts w:ascii="Arial" w:hAnsi="Arial" w:cs="Arial"/>
          <w:lang w:val="es-MX"/>
        </w:rPr>
        <w:t>, MEO, CDE</w:t>
      </w:r>
    </w:p>
    <w:p w14:paraId="6CE77B4B" w14:textId="4A51FF69" w:rsidR="00FF2A31" w:rsidRPr="00113364" w:rsidRDefault="00FF2A31" w:rsidP="00FF2A31">
      <w:pPr>
        <w:rPr>
          <w:rFonts w:ascii="Arial" w:hAnsi="Arial" w:cs="Arial"/>
        </w:rPr>
      </w:pPr>
      <w:r w:rsidRPr="00113364">
        <w:rPr>
          <w:rFonts w:ascii="Arial" w:hAnsi="Arial" w:cs="Arial"/>
          <w:b/>
        </w:rPr>
        <w:t>Jennifer Cordova,</w:t>
      </w:r>
      <w:r w:rsidRPr="00113364">
        <w:rPr>
          <w:rFonts w:ascii="Arial" w:hAnsi="Arial" w:cs="Arial"/>
        </w:rPr>
        <w:t xml:space="preserve"> A</w:t>
      </w:r>
      <w:r w:rsidR="00543846">
        <w:rPr>
          <w:rFonts w:ascii="Arial" w:hAnsi="Arial" w:cs="Arial"/>
        </w:rPr>
        <w:t>nalyst II</w:t>
      </w:r>
      <w:r w:rsidRPr="00113364">
        <w:rPr>
          <w:rFonts w:ascii="Arial" w:hAnsi="Arial" w:cs="Arial"/>
        </w:rPr>
        <w:t>, MSD, CDE</w:t>
      </w:r>
    </w:p>
    <w:p w14:paraId="7894F27C" w14:textId="0FB804CD" w:rsidR="00163342" w:rsidRPr="00113364" w:rsidRDefault="00163342" w:rsidP="00FF2A31">
      <w:pPr>
        <w:rPr>
          <w:rFonts w:ascii="Arial" w:hAnsi="Arial" w:cs="Arial"/>
        </w:rPr>
      </w:pPr>
      <w:r w:rsidRPr="00113364">
        <w:rPr>
          <w:rFonts w:ascii="Arial" w:hAnsi="Arial" w:cs="Arial"/>
          <w:b/>
          <w:bCs/>
        </w:rPr>
        <w:t>Lorrie Kelling</w:t>
      </w:r>
      <w:r w:rsidRPr="00113364">
        <w:rPr>
          <w:rFonts w:ascii="Arial" w:hAnsi="Arial" w:cs="Arial"/>
        </w:rPr>
        <w:t>, E</w:t>
      </w:r>
      <w:r w:rsidR="007D764C" w:rsidRPr="00113364">
        <w:rPr>
          <w:rFonts w:ascii="Arial" w:hAnsi="Arial" w:cs="Arial"/>
        </w:rPr>
        <w:t>PC</w:t>
      </w:r>
      <w:r w:rsidRPr="00113364">
        <w:rPr>
          <w:rFonts w:ascii="Arial" w:hAnsi="Arial" w:cs="Arial"/>
        </w:rPr>
        <w:t>, Language Policy &amp; Leadership, CDE</w:t>
      </w:r>
    </w:p>
    <w:p w14:paraId="0771EB54" w14:textId="72366186" w:rsidR="00FF2A31" w:rsidRPr="00B63CDC" w:rsidRDefault="00FF2A31" w:rsidP="00FF2A31">
      <w:pPr>
        <w:rPr>
          <w:rFonts w:ascii="Arial" w:hAnsi="Arial" w:cs="Arial"/>
          <w:lang w:val="es-MX"/>
        </w:rPr>
      </w:pPr>
      <w:r w:rsidRPr="00B63CDC">
        <w:rPr>
          <w:rFonts w:ascii="Arial" w:hAnsi="Arial" w:cs="Arial"/>
          <w:b/>
          <w:lang w:val="es-MX"/>
        </w:rPr>
        <w:t>Alejandro Leguizamo,</w:t>
      </w:r>
      <w:r w:rsidRPr="00B63CDC">
        <w:rPr>
          <w:rFonts w:ascii="Arial" w:hAnsi="Arial" w:cs="Arial"/>
          <w:lang w:val="es-MX"/>
        </w:rPr>
        <w:t xml:space="preserve"> E</w:t>
      </w:r>
      <w:r w:rsidR="0067682A" w:rsidRPr="00B63CDC">
        <w:rPr>
          <w:rFonts w:ascii="Arial" w:hAnsi="Arial" w:cs="Arial"/>
          <w:lang w:val="es-MX"/>
        </w:rPr>
        <w:t>PC</w:t>
      </w:r>
      <w:r w:rsidRPr="00B63CDC">
        <w:rPr>
          <w:rFonts w:ascii="Arial" w:hAnsi="Arial" w:cs="Arial"/>
          <w:lang w:val="es-MX"/>
        </w:rPr>
        <w:t>, MEO, CDE</w:t>
      </w:r>
    </w:p>
    <w:p w14:paraId="385DAB64" w14:textId="3E2F3715" w:rsidR="00FF2A31" w:rsidRPr="00B63CDC" w:rsidRDefault="00FF2A31" w:rsidP="00FF2A31">
      <w:pPr>
        <w:rPr>
          <w:rFonts w:ascii="Arial" w:hAnsi="Arial" w:cs="Arial"/>
          <w:b/>
          <w:lang w:val="es-MX"/>
        </w:rPr>
      </w:pPr>
      <w:r w:rsidRPr="00B63CDC">
        <w:rPr>
          <w:rFonts w:ascii="Arial" w:hAnsi="Arial" w:cs="Arial"/>
          <w:b/>
          <w:lang w:val="es-MX"/>
        </w:rPr>
        <w:t>Cristopher Martinez,</w:t>
      </w:r>
      <w:r w:rsidRPr="00B63CDC">
        <w:rPr>
          <w:rFonts w:ascii="Arial" w:hAnsi="Arial" w:cs="Arial"/>
          <w:lang w:val="es-MX"/>
        </w:rPr>
        <w:t xml:space="preserve"> </w:t>
      </w:r>
      <w:r w:rsidR="00E671CF" w:rsidRPr="00113364">
        <w:rPr>
          <w:rFonts w:ascii="Arial" w:hAnsi="Arial" w:cs="Arial"/>
        </w:rPr>
        <w:t>Analyst</w:t>
      </w:r>
      <w:r w:rsidR="00E671CF">
        <w:rPr>
          <w:rFonts w:ascii="Arial" w:hAnsi="Arial" w:cs="Arial"/>
        </w:rPr>
        <w:t xml:space="preserve"> II</w:t>
      </w:r>
      <w:r w:rsidRPr="00B63CDC">
        <w:rPr>
          <w:rFonts w:ascii="Arial" w:hAnsi="Arial" w:cs="Arial"/>
          <w:lang w:val="es-MX"/>
        </w:rPr>
        <w:t>, MEO, CDE</w:t>
      </w:r>
      <w:r w:rsidRPr="00B63CDC">
        <w:rPr>
          <w:rFonts w:ascii="Arial" w:hAnsi="Arial" w:cs="Arial"/>
          <w:b/>
          <w:lang w:val="es-MX"/>
        </w:rPr>
        <w:t xml:space="preserve"> </w:t>
      </w:r>
    </w:p>
    <w:p w14:paraId="7C84E5CE" w14:textId="7AC46626" w:rsidR="00FF2A31" w:rsidRPr="00B63CDC" w:rsidRDefault="00FF2A31" w:rsidP="00FF2A31">
      <w:pPr>
        <w:rPr>
          <w:rFonts w:ascii="Arial" w:hAnsi="Arial" w:cs="Arial"/>
          <w:lang w:val="es-MX"/>
        </w:rPr>
      </w:pPr>
      <w:r w:rsidRPr="00B63CDC">
        <w:rPr>
          <w:rFonts w:ascii="Arial" w:hAnsi="Arial" w:cs="Arial"/>
          <w:b/>
          <w:lang w:val="es-MX"/>
        </w:rPr>
        <w:t>Lizette Rocha,</w:t>
      </w:r>
      <w:r w:rsidRPr="00B63CDC">
        <w:rPr>
          <w:rFonts w:ascii="Arial" w:hAnsi="Arial" w:cs="Arial"/>
          <w:lang w:val="es-MX"/>
        </w:rPr>
        <w:t xml:space="preserve"> E</w:t>
      </w:r>
      <w:r w:rsidR="007D764C" w:rsidRPr="00B63CDC">
        <w:rPr>
          <w:rFonts w:ascii="Arial" w:hAnsi="Arial" w:cs="Arial"/>
          <w:lang w:val="es-MX"/>
        </w:rPr>
        <w:t>PC</w:t>
      </w:r>
      <w:r w:rsidRPr="00B63CDC">
        <w:rPr>
          <w:rFonts w:ascii="Arial" w:hAnsi="Arial" w:cs="Arial"/>
          <w:lang w:val="es-MX"/>
        </w:rPr>
        <w:t>, MEO, CDE</w:t>
      </w:r>
    </w:p>
    <w:p w14:paraId="36EBFF20" w14:textId="61C7CBF6" w:rsidR="00FF2A31" w:rsidRPr="00B63CDC" w:rsidRDefault="00FF2A31" w:rsidP="00CD722E">
      <w:pPr>
        <w:spacing w:after="240"/>
        <w:rPr>
          <w:rFonts w:ascii="Arial" w:hAnsi="Arial" w:cs="Arial"/>
          <w:bCs/>
          <w:lang w:val="es-MX"/>
        </w:rPr>
      </w:pPr>
      <w:r w:rsidRPr="00B63CDC">
        <w:rPr>
          <w:rFonts w:ascii="Arial" w:hAnsi="Arial" w:cs="Arial"/>
          <w:b/>
          <w:lang w:val="es-MX"/>
        </w:rPr>
        <w:t xml:space="preserve">Teresa Palomino, </w:t>
      </w:r>
      <w:r w:rsidRPr="00B63CDC">
        <w:rPr>
          <w:rFonts w:ascii="Arial" w:hAnsi="Arial" w:cs="Arial"/>
          <w:bCs/>
          <w:lang w:val="es-MX"/>
        </w:rPr>
        <w:t>E</w:t>
      </w:r>
      <w:r w:rsidR="007D764C" w:rsidRPr="00B63CDC">
        <w:rPr>
          <w:rFonts w:ascii="Arial" w:hAnsi="Arial" w:cs="Arial"/>
          <w:bCs/>
          <w:lang w:val="es-MX"/>
        </w:rPr>
        <w:t>PC</w:t>
      </w:r>
      <w:r w:rsidRPr="00B63CDC">
        <w:rPr>
          <w:rFonts w:ascii="Arial" w:hAnsi="Arial" w:cs="Arial"/>
          <w:bCs/>
          <w:lang w:val="es-MX"/>
        </w:rPr>
        <w:t>, MEO, CDE</w:t>
      </w:r>
    </w:p>
    <w:p w14:paraId="07FE248B" w14:textId="77777777" w:rsidR="00613489" w:rsidRPr="00113364" w:rsidRDefault="00613489" w:rsidP="00613489">
      <w:pPr>
        <w:spacing w:after="240"/>
        <w:rPr>
          <w:rFonts w:ascii="Arial" w:hAnsi="Arial" w:cs="Arial"/>
        </w:rPr>
      </w:pPr>
      <w:r w:rsidRPr="00113364">
        <w:rPr>
          <w:rFonts w:ascii="Arial" w:hAnsi="Arial" w:cs="Arial"/>
        </w:rPr>
        <w:t>Thank you to all these individuals for their vital contributions to this project and report.</w:t>
      </w:r>
    </w:p>
    <w:p w14:paraId="47CEA02F" w14:textId="77777777" w:rsidR="00072681" w:rsidRPr="00113364" w:rsidRDefault="00072681" w:rsidP="00365F31">
      <w:pPr>
        <w:pStyle w:val="Heading2"/>
      </w:pPr>
      <w:bookmarkStart w:id="5" w:name="_Toc203568831"/>
      <w:r w:rsidRPr="00113364">
        <w:lastRenderedPageBreak/>
        <w:t>Executive Summary</w:t>
      </w:r>
      <w:bookmarkEnd w:id="5"/>
    </w:p>
    <w:p w14:paraId="5CE3F5A0" w14:textId="65776D09" w:rsidR="00072681" w:rsidRPr="00113364" w:rsidRDefault="00293E5D" w:rsidP="00072681">
      <w:pPr>
        <w:rPr>
          <w:rFonts w:ascii="Arial" w:hAnsi="Arial" w:cs="Arial"/>
        </w:rPr>
      </w:pPr>
      <w:r w:rsidRPr="00113364">
        <w:rPr>
          <w:rFonts w:ascii="Arial" w:hAnsi="Arial" w:cs="Arial"/>
        </w:rPr>
        <w:t xml:space="preserve">California’s </w:t>
      </w:r>
      <w:r w:rsidR="00CD0DC3" w:rsidRPr="00113364">
        <w:rPr>
          <w:rFonts w:ascii="Arial" w:hAnsi="Arial" w:cs="Arial"/>
        </w:rPr>
        <w:t>SDP</w:t>
      </w:r>
      <w:r w:rsidRPr="00113364">
        <w:rPr>
          <w:rFonts w:ascii="Arial" w:hAnsi="Arial" w:cs="Arial"/>
        </w:rPr>
        <w:t xml:space="preserve"> serves as a guiding document in the implementation of Title I, Part C services for migratory children as required under Section 1306 of </w:t>
      </w:r>
      <w:proofErr w:type="gramStart"/>
      <w:r w:rsidRPr="00113364">
        <w:rPr>
          <w:rFonts w:ascii="Arial" w:hAnsi="Arial" w:cs="Arial"/>
        </w:rPr>
        <w:t>the Every</w:t>
      </w:r>
      <w:proofErr w:type="gramEnd"/>
      <w:r w:rsidRPr="00113364">
        <w:rPr>
          <w:rFonts w:ascii="Arial" w:hAnsi="Arial" w:cs="Arial"/>
        </w:rPr>
        <w:t xml:space="preserve"> S</w:t>
      </w:r>
      <w:r w:rsidR="005D0E9C" w:rsidRPr="00113364">
        <w:rPr>
          <w:rFonts w:ascii="Arial" w:hAnsi="Arial" w:cs="Arial"/>
        </w:rPr>
        <w:t xml:space="preserve">tudent Succeeds Act. This </w:t>
      </w:r>
      <w:r w:rsidR="00610248" w:rsidRPr="00113364">
        <w:rPr>
          <w:rFonts w:ascii="Arial" w:hAnsi="Arial" w:cs="Arial"/>
        </w:rPr>
        <w:t>five</w:t>
      </w:r>
      <w:r w:rsidR="005D0E9C" w:rsidRPr="00113364">
        <w:rPr>
          <w:rFonts w:ascii="Arial" w:hAnsi="Arial" w:cs="Arial"/>
        </w:rPr>
        <w:t>-</w:t>
      </w:r>
      <w:r w:rsidRPr="00113364">
        <w:rPr>
          <w:rFonts w:ascii="Arial" w:hAnsi="Arial" w:cs="Arial"/>
        </w:rPr>
        <w:t>year plan will be implemented starting in the 20</w:t>
      </w:r>
      <w:r w:rsidR="00926E27" w:rsidRPr="00113364">
        <w:rPr>
          <w:rFonts w:ascii="Arial" w:hAnsi="Arial" w:cs="Arial"/>
        </w:rPr>
        <w:t>26</w:t>
      </w:r>
      <w:r w:rsidRPr="00113364">
        <w:rPr>
          <w:rFonts w:ascii="Arial" w:hAnsi="Arial" w:cs="Arial"/>
        </w:rPr>
        <w:t>–</w:t>
      </w:r>
      <w:r w:rsidR="00926E27" w:rsidRPr="00113364">
        <w:rPr>
          <w:rFonts w:ascii="Arial" w:hAnsi="Arial" w:cs="Arial"/>
        </w:rPr>
        <w:t>27</w:t>
      </w:r>
      <w:r w:rsidRPr="00113364">
        <w:rPr>
          <w:rFonts w:ascii="Arial" w:hAnsi="Arial" w:cs="Arial"/>
        </w:rPr>
        <w:t xml:space="preserve"> school </w:t>
      </w:r>
      <w:r w:rsidR="007B3EC5" w:rsidRPr="00113364">
        <w:rPr>
          <w:rFonts w:ascii="Arial" w:hAnsi="Arial" w:cs="Arial"/>
        </w:rPr>
        <w:t>year and run through the 20</w:t>
      </w:r>
      <w:r w:rsidR="00926E27" w:rsidRPr="00113364">
        <w:rPr>
          <w:rFonts w:ascii="Arial" w:hAnsi="Arial" w:cs="Arial"/>
        </w:rPr>
        <w:t>3</w:t>
      </w:r>
      <w:r w:rsidR="00D0399E" w:rsidRPr="00113364">
        <w:rPr>
          <w:rFonts w:ascii="Arial" w:hAnsi="Arial" w:cs="Arial"/>
        </w:rPr>
        <w:t>0</w:t>
      </w:r>
      <w:r w:rsidR="007B3EC5" w:rsidRPr="00113364">
        <w:rPr>
          <w:rFonts w:ascii="Arial" w:hAnsi="Arial" w:cs="Arial"/>
        </w:rPr>
        <w:t>–</w:t>
      </w:r>
      <w:r w:rsidR="00926E27" w:rsidRPr="00113364">
        <w:rPr>
          <w:rFonts w:ascii="Arial" w:hAnsi="Arial" w:cs="Arial"/>
        </w:rPr>
        <w:t>3</w:t>
      </w:r>
      <w:r w:rsidR="00D0399E" w:rsidRPr="00113364">
        <w:rPr>
          <w:rFonts w:ascii="Arial" w:hAnsi="Arial" w:cs="Arial"/>
        </w:rPr>
        <w:t>1</w:t>
      </w:r>
      <w:r w:rsidRPr="00113364">
        <w:rPr>
          <w:rFonts w:ascii="Arial" w:hAnsi="Arial" w:cs="Arial"/>
        </w:rPr>
        <w:t xml:space="preserve"> school year.</w:t>
      </w:r>
    </w:p>
    <w:p w14:paraId="3052F110" w14:textId="1B808159" w:rsidR="00247E94" w:rsidRPr="00113364" w:rsidRDefault="00293E5D" w:rsidP="00EC06D4">
      <w:pPr>
        <w:spacing w:before="240"/>
        <w:rPr>
          <w:rFonts w:ascii="Arial" w:hAnsi="Arial" w:cs="Arial"/>
        </w:rPr>
      </w:pPr>
      <w:r w:rsidRPr="00113364">
        <w:rPr>
          <w:rFonts w:ascii="Arial" w:hAnsi="Arial" w:cs="Arial"/>
        </w:rPr>
        <w:t>In 20</w:t>
      </w:r>
      <w:r w:rsidR="00926E27" w:rsidRPr="00113364">
        <w:rPr>
          <w:rFonts w:ascii="Arial" w:hAnsi="Arial" w:cs="Arial"/>
        </w:rPr>
        <w:t>24</w:t>
      </w:r>
      <w:r w:rsidRPr="00113364">
        <w:rPr>
          <w:rFonts w:ascii="Arial" w:hAnsi="Arial" w:cs="Arial"/>
        </w:rPr>
        <w:t>–</w:t>
      </w:r>
      <w:r w:rsidR="00926E27" w:rsidRPr="00113364">
        <w:rPr>
          <w:rFonts w:ascii="Arial" w:hAnsi="Arial" w:cs="Arial"/>
        </w:rPr>
        <w:t>25</w:t>
      </w:r>
      <w:r w:rsidRPr="00113364">
        <w:rPr>
          <w:rFonts w:ascii="Arial" w:hAnsi="Arial" w:cs="Arial"/>
        </w:rPr>
        <w:t xml:space="preserve">, </w:t>
      </w:r>
      <w:r w:rsidR="00247E94" w:rsidRPr="00113364">
        <w:rPr>
          <w:rFonts w:ascii="Arial" w:hAnsi="Arial" w:cs="Arial"/>
        </w:rPr>
        <w:t>the C</w:t>
      </w:r>
      <w:r w:rsidR="00CD0DC3" w:rsidRPr="00113364">
        <w:rPr>
          <w:rFonts w:ascii="Arial" w:hAnsi="Arial" w:cs="Arial"/>
        </w:rPr>
        <w:t>DE</w:t>
      </w:r>
      <w:r w:rsidR="00FB60EA" w:rsidRPr="00113364">
        <w:rPr>
          <w:rFonts w:ascii="Arial" w:hAnsi="Arial" w:cs="Arial"/>
        </w:rPr>
        <w:t xml:space="preserve"> </w:t>
      </w:r>
      <w:r w:rsidRPr="00113364">
        <w:rPr>
          <w:rFonts w:ascii="Arial" w:hAnsi="Arial" w:cs="Arial"/>
        </w:rPr>
        <w:t>began the process for developing this comprehensive plan for how M</w:t>
      </w:r>
      <w:r w:rsidR="00CD0DC3" w:rsidRPr="00113364">
        <w:rPr>
          <w:rFonts w:ascii="Arial" w:hAnsi="Arial" w:cs="Arial"/>
        </w:rPr>
        <w:t>EP</w:t>
      </w:r>
      <w:r w:rsidRPr="00113364">
        <w:rPr>
          <w:rFonts w:ascii="Arial" w:hAnsi="Arial" w:cs="Arial"/>
        </w:rPr>
        <w:t xml:space="preserve"> services are delivered </w:t>
      </w:r>
      <w:r w:rsidR="00247E94" w:rsidRPr="00113364">
        <w:rPr>
          <w:rFonts w:ascii="Arial" w:hAnsi="Arial" w:cs="Arial"/>
        </w:rPr>
        <w:t xml:space="preserve">throughout the </w:t>
      </w:r>
      <w:r w:rsidR="00C9094A" w:rsidRPr="00113364">
        <w:rPr>
          <w:rFonts w:ascii="Arial" w:hAnsi="Arial" w:cs="Arial"/>
        </w:rPr>
        <w:t>s</w:t>
      </w:r>
      <w:r w:rsidR="00247E94" w:rsidRPr="00113364">
        <w:rPr>
          <w:rFonts w:ascii="Arial" w:hAnsi="Arial" w:cs="Arial"/>
        </w:rPr>
        <w:t xml:space="preserve">tate </w:t>
      </w:r>
      <w:proofErr w:type="gramStart"/>
      <w:r w:rsidRPr="00113364">
        <w:rPr>
          <w:rFonts w:ascii="Arial" w:hAnsi="Arial" w:cs="Arial"/>
        </w:rPr>
        <w:t>in order to</w:t>
      </w:r>
      <w:proofErr w:type="gramEnd"/>
      <w:r w:rsidRPr="00113364">
        <w:rPr>
          <w:rFonts w:ascii="Arial" w:hAnsi="Arial" w:cs="Arial"/>
        </w:rPr>
        <w:t xml:space="preserve"> mee</w:t>
      </w:r>
      <w:r w:rsidR="00247E94" w:rsidRPr="00113364">
        <w:rPr>
          <w:rFonts w:ascii="Arial" w:hAnsi="Arial" w:cs="Arial"/>
        </w:rPr>
        <w:t xml:space="preserve">t the unique needs of migratory children. A series of </w:t>
      </w:r>
      <w:r w:rsidR="00926E27" w:rsidRPr="00113364">
        <w:rPr>
          <w:rFonts w:ascii="Arial" w:hAnsi="Arial" w:cs="Arial"/>
        </w:rPr>
        <w:t xml:space="preserve">CNA </w:t>
      </w:r>
      <w:r w:rsidR="00B81939" w:rsidRPr="00113364">
        <w:rPr>
          <w:rFonts w:ascii="Arial" w:hAnsi="Arial" w:cs="Arial"/>
        </w:rPr>
        <w:t xml:space="preserve">SDP Committee </w:t>
      </w:r>
      <w:r w:rsidR="00247E94" w:rsidRPr="00113364">
        <w:rPr>
          <w:rFonts w:ascii="Arial" w:hAnsi="Arial" w:cs="Arial"/>
        </w:rPr>
        <w:t xml:space="preserve">meetings allowed </w:t>
      </w:r>
      <w:r w:rsidR="00B81939" w:rsidRPr="00113364">
        <w:rPr>
          <w:rFonts w:ascii="Arial" w:hAnsi="Arial" w:cs="Arial"/>
        </w:rPr>
        <w:t>interested parties</w:t>
      </w:r>
      <w:r w:rsidR="00247E94" w:rsidRPr="00113364">
        <w:rPr>
          <w:rFonts w:ascii="Arial" w:hAnsi="Arial" w:cs="Arial"/>
        </w:rPr>
        <w:t xml:space="preserve">, including migratory parents, </w:t>
      </w:r>
      <w:r w:rsidR="0059465A" w:rsidRPr="00113364">
        <w:rPr>
          <w:rFonts w:ascii="Arial" w:hAnsi="Arial" w:cs="Arial"/>
        </w:rPr>
        <w:t>to examine</w:t>
      </w:r>
      <w:r w:rsidR="00247E94" w:rsidRPr="00113364">
        <w:rPr>
          <w:rFonts w:ascii="Arial" w:hAnsi="Arial" w:cs="Arial"/>
        </w:rPr>
        <w:t xml:space="preserve"> both student achievement and programmatic data. In reviewing the data, </w:t>
      </w:r>
      <w:r w:rsidR="00B81939" w:rsidRPr="00113364">
        <w:rPr>
          <w:rFonts w:ascii="Arial" w:hAnsi="Arial" w:cs="Arial"/>
        </w:rPr>
        <w:t xml:space="preserve">committee members </w:t>
      </w:r>
      <w:r w:rsidR="00247E94" w:rsidRPr="00113364">
        <w:rPr>
          <w:rFonts w:ascii="Arial" w:hAnsi="Arial" w:cs="Arial"/>
        </w:rPr>
        <w:t>identified and prioritized migratory students’ needs and selected preli</w:t>
      </w:r>
      <w:r w:rsidR="00DC1BE4" w:rsidRPr="00113364">
        <w:rPr>
          <w:rFonts w:ascii="Arial" w:hAnsi="Arial" w:cs="Arial"/>
        </w:rPr>
        <w:t>minary strategies to address tho</w:t>
      </w:r>
      <w:r w:rsidR="00247E94" w:rsidRPr="00113364">
        <w:rPr>
          <w:rFonts w:ascii="Arial" w:hAnsi="Arial" w:cs="Arial"/>
        </w:rPr>
        <w:t xml:space="preserve">se needs. In total, the committee prioritized </w:t>
      </w:r>
      <w:r w:rsidR="00C9094A" w:rsidRPr="00113364">
        <w:rPr>
          <w:rFonts w:ascii="Arial" w:hAnsi="Arial" w:cs="Arial"/>
        </w:rPr>
        <w:t xml:space="preserve">more than </w:t>
      </w:r>
      <w:r w:rsidR="00247E94" w:rsidRPr="00113364">
        <w:rPr>
          <w:rFonts w:ascii="Arial" w:hAnsi="Arial" w:cs="Arial"/>
        </w:rPr>
        <w:t>2</w:t>
      </w:r>
      <w:r w:rsidR="00A955C9">
        <w:rPr>
          <w:rFonts w:ascii="Arial" w:hAnsi="Arial" w:cs="Arial"/>
        </w:rPr>
        <w:t>1</w:t>
      </w:r>
      <w:r w:rsidR="00247E94" w:rsidRPr="00113364">
        <w:rPr>
          <w:rFonts w:ascii="Arial" w:hAnsi="Arial" w:cs="Arial"/>
        </w:rPr>
        <w:t xml:space="preserve"> </w:t>
      </w:r>
      <w:r w:rsidR="00A955C9">
        <w:rPr>
          <w:rFonts w:ascii="Arial" w:hAnsi="Arial" w:cs="Arial"/>
        </w:rPr>
        <w:t>strategies to address migratory children and youths’ needs</w:t>
      </w:r>
      <w:r w:rsidR="00D5555A" w:rsidRPr="00113364">
        <w:rPr>
          <w:rFonts w:ascii="Arial" w:hAnsi="Arial" w:cs="Arial"/>
        </w:rPr>
        <w:t xml:space="preserve"> over the following </w:t>
      </w:r>
      <w:r w:rsidR="00926E27" w:rsidRPr="00113364">
        <w:rPr>
          <w:rFonts w:ascii="Arial" w:hAnsi="Arial" w:cs="Arial"/>
        </w:rPr>
        <w:t>ten</w:t>
      </w:r>
      <w:r w:rsidR="00DC1BE4" w:rsidRPr="00113364">
        <w:rPr>
          <w:rFonts w:ascii="Arial" w:hAnsi="Arial" w:cs="Arial"/>
        </w:rPr>
        <w:t xml:space="preserve"> </w:t>
      </w:r>
      <w:r w:rsidR="00D5555A" w:rsidRPr="00113364">
        <w:rPr>
          <w:rFonts w:ascii="Arial" w:hAnsi="Arial" w:cs="Arial"/>
        </w:rPr>
        <w:t>focus areas</w:t>
      </w:r>
      <w:r w:rsidR="00247E94" w:rsidRPr="00113364">
        <w:rPr>
          <w:rFonts w:ascii="Arial" w:hAnsi="Arial" w:cs="Arial"/>
        </w:rPr>
        <w:t>:</w:t>
      </w:r>
    </w:p>
    <w:p w14:paraId="78F6C8E7" w14:textId="77777777" w:rsidR="00247E94" w:rsidRPr="00113364" w:rsidRDefault="00247E94">
      <w:pPr>
        <w:pStyle w:val="ListParagraph"/>
        <w:numPr>
          <w:ilvl w:val="0"/>
          <w:numId w:val="42"/>
        </w:numPr>
        <w:spacing w:before="240"/>
        <w:contextualSpacing w:val="0"/>
        <w:rPr>
          <w:rFonts w:ascii="Arial" w:hAnsi="Arial" w:cs="Arial"/>
        </w:rPr>
      </w:pPr>
      <w:r w:rsidRPr="00113364">
        <w:rPr>
          <w:rFonts w:ascii="Arial" w:hAnsi="Arial" w:cs="Arial"/>
        </w:rPr>
        <w:t>English Language Arts</w:t>
      </w:r>
    </w:p>
    <w:p w14:paraId="2E863ACF" w14:textId="77777777" w:rsidR="00247E94" w:rsidRPr="00113364" w:rsidRDefault="00247E94">
      <w:pPr>
        <w:pStyle w:val="ListParagraph"/>
        <w:numPr>
          <w:ilvl w:val="0"/>
          <w:numId w:val="42"/>
        </w:numPr>
        <w:rPr>
          <w:rFonts w:ascii="Arial" w:hAnsi="Arial" w:cs="Arial"/>
        </w:rPr>
      </w:pPr>
      <w:r w:rsidRPr="00113364">
        <w:rPr>
          <w:rFonts w:ascii="Arial" w:hAnsi="Arial" w:cs="Arial"/>
        </w:rPr>
        <w:t>Mathematics</w:t>
      </w:r>
    </w:p>
    <w:p w14:paraId="6E8AD876" w14:textId="77777777" w:rsidR="00247E94" w:rsidRDefault="00247E94">
      <w:pPr>
        <w:pStyle w:val="ListParagraph"/>
        <w:numPr>
          <w:ilvl w:val="0"/>
          <w:numId w:val="42"/>
        </w:numPr>
        <w:rPr>
          <w:rFonts w:ascii="Arial" w:hAnsi="Arial" w:cs="Arial"/>
        </w:rPr>
      </w:pPr>
      <w:r w:rsidRPr="00113364">
        <w:rPr>
          <w:rFonts w:ascii="Arial" w:hAnsi="Arial" w:cs="Arial"/>
        </w:rPr>
        <w:t>English Language Development</w:t>
      </w:r>
    </w:p>
    <w:p w14:paraId="2D003EB3" w14:textId="7D7226E0" w:rsidR="00A955C9" w:rsidRPr="00113364" w:rsidRDefault="00A955C9">
      <w:pPr>
        <w:pStyle w:val="ListParagraph"/>
        <w:numPr>
          <w:ilvl w:val="0"/>
          <w:numId w:val="42"/>
        </w:numPr>
        <w:rPr>
          <w:rFonts w:ascii="Arial" w:hAnsi="Arial" w:cs="Arial"/>
        </w:rPr>
      </w:pPr>
      <w:r w:rsidRPr="00113364">
        <w:rPr>
          <w:rFonts w:ascii="Arial" w:hAnsi="Arial" w:cs="Arial"/>
        </w:rPr>
        <w:t>Social and Emotional Learning</w:t>
      </w:r>
    </w:p>
    <w:p w14:paraId="5F9F08B9" w14:textId="77777777" w:rsidR="00247E94" w:rsidRPr="00113364" w:rsidRDefault="00247E94">
      <w:pPr>
        <w:pStyle w:val="ListParagraph"/>
        <w:numPr>
          <w:ilvl w:val="0"/>
          <w:numId w:val="42"/>
        </w:numPr>
        <w:rPr>
          <w:rFonts w:ascii="Arial" w:hAnsi="Arial" w:cs="Arial"/>
        </w:rPr>
      </w:pPr>
      <w:r w:rsidRPr="00113364">
        <w:rPr>
          <w:rFonts w:ascii="Arial" w:hAnsi="Arial" w:cs="Arial"/>
        </w:rPr>
        <w:t>High School Graduation/Dropout Prevention</w:t>
      </w:r>
    </w:p>
    <w:p w14:paraId="731E83BC" w14:textId="77777777" w:rsidR="00247E94" w:rsidRPr="00113364" w:rsidRDefault="00247E94">
      <w:pPr>
        <w:pStyle w:val="ListParagraph"/>
        <w:numPr>
          <w:ilvl w:val="0"/>
          <w:numId w:val="42"/>
        </w:numPr>
        <w:rPr>
          <w:rFonts w:ascii="Arial" w:hAnsi="Arial" w:cs="Arial"/>
        </w:rPr>
      </w:pPr>
      <w:r w:rsidRPr="00113364">
        <w:rPr>
          <w:rFonts w:ascii="Arial" w:hAnsi="Arial" w:cs="Arial"/>
        </w:rPr>
        <w:t>School Readiness</w:t>
      </w:r>
    </w:p>
    <w:p w14:paraId="74B0BE07" w14:textId="77777777" w:rsidR="00247E94" w:rsidRPr="00113364" w:rsidRDefault="007B3EC5">
      <w:pPr>
        <w:pStyle w:val="ListParagraph"/>
        <w:numPr>
          <w:ilvl w:val="0"/>
          <w:numId w:val="42"/>
        </w:numPr>
        <w:rPr>
          <w:rFonts w:ascii="Arial" w:hAnsi="Arial" w:cs="Arial"/>
        </w:rPr>
      </w:pPr>
      <w:r w:rsidRPr="00113364">
        <w:rPr>
          <w:rFonts w:ascii="Arial" w:hAnsi="Arial" w:cs="Arial"/>
        </w:rPr>
        <w:t>Out-of-</w:t>
      </w:r>
      <w:r w:rsidR="00247E94" w:rsidRPr="00113364">
        <w:rPr>
          <w:rFonts w:ascii="Arial" w:hAnsi="Arial" w:cs="Arial"/>
        </w:rPr>
        <w:t>School</w:t>
      </w:r>
      <w:r w:rsidRPr="00113364">
        <w:rPr>
          <w:rFonts w:ascii="Arial" w:hAnsi="Arial" w:cs="Arial"/>
        </w:rPr>
        <w:t xml:space="preserve"> </w:t>
      </w:r>
      <w:r w:rsidR="00247E94" w:rsidRPr="00113364">
        <w:rPr>
          <w:rFonts w:ascii="Arial" w:hAnsi="Arial" w:cs="Arial"/>
        </w:rPr>
        <w:t>Youth</w:t>
      </w:r>
    </w:p>
    <w:p w14:paraId="3B7700C3" w14:textId="77777777" w:rsidR="00247E94" w:rsidRPr="00113364" w:rsidRDefault="00247E94">
      <w:pPr>
        <w:pStyle w:val="ListParagraph"/>
        <w:numPr>
          <w:ilvl w:val="0"/>
          <w:numId w:val="42"/>
        </w:numPr>
        <w:rPr>
          <w:rFonts w:ascii="Arial" w:hAnsi="Arial" w:cs="Arial"/>
        </w:rPr>
      </w:pPr>
      <w:r w:rsidRPr="00113364">
        <w:rPr>
          <w:rFonts w:ascii="Arial" w:hAnsi="Arial" w:cs="Arial"/>
        </w:rPr>
        <w:t>Health</w:t>
      </w:r>
    </w:p>
    <w:p w14:paraId="5F651A2C" w14:textId="77777777" w:rsidR="00247E94" w:rsidRPr="00113364" w:rsidRDefault="00247E94">
      <w:pPr>
        <w:pStyle w:val="ListParagraph"/>
        <w:numPr>
          <w:ilvl w:val="0"/>
          <w:numId w:val="42"/>
        </w:numPr>
        <w:rPr>
          <w:rFonts w:ascii="Arial" w:hAnsi="Arial" w:cs="Arial"/>
        </w:rPr>
      </w:pPr>
      <w:r w:rsidRPr="00113364">
        <w:rPr>
          <w:rFonts w:ascii="Arial" w:hAnsi="Arial" w:cs="Arial"/>
        </w:rPr>
        <w:t>Parent and Family Engagement</w:t>
      </w:r>
    </w:p>
    <w:p w14:paraId="40874A2D" w14:textId="1F4A5504" w:rsidR="00926E27" w:rsidRPr="00A955C9" w:rsidRDefault="00A955C9" w:rsidP="00A955C9">
      <w:pPr>
        <w:pStyle w:val="ListParagraph"/>
        <w:numPr>
          <w:ilvl w:val="0"/>
          <w:numId w:val="42"/>
        </w:numPr>
        <w:rPr>
          <w:rFonts w:ascii="Arial" w:hAnsi="Arial" w:cs="Arial"/>
        </w:rPr>
      </w:pPr>
      <w:r>
        <w:rPr>
          <w:rFonts w:ascii="Arial" w:hAnsi="Arial" w:cs="Arial"/>
        </w:rPr>
        <w:t xml:space="preserve"> </w:t>
      </w:r>
      <w:r w:rsidR="00247E94" w:rsidRPr="00113364">
        <w:rPr>
          <w:rFonts w:ascii="Arial" w:hAnsi="Arial" w:cs="Arial"/>
        </w:rPr>
        <w:t>Student Engagement</w:t>
      </w:r>
    </w:p>
    <w:p w14:paraId="00F7DD48" w14:textId="337DC253" w:rsidR="00072681" w:rsidRPr="00113364" w:rsidRDefault="009D09F0" w:rsidP="00EC06D4">
      <w:pPr>
        <w:spacing w:before="240"/>
        <w:rPr>
          <w:rFonts w:ascii="Arial" w:hAnsi="Arial" w:cs="Arial"/>
        </w:rPr>
      </w:pPr>
      <w:r w:rsidRPr="00113364">
        <w:rPr>
          <w:rFonts w:ascii="Arial" w:hAnsi="Arial" w:cs="Arial"/>
        </w:rPr>
        <w:t>T</w:t>
      </w:r>
      <w:r w:rsidR="00247E94" w:rsidRPr="00113364">
        <w:rPr>
          <w:rFonts w:ascii="Arial" w:hAnsi="Arial" w:cs="Arial"/>
        </w:rPr>
        <w:t xml:space="preserve">he </w:t>
      </w:r>
      <w:r w:rsidRPr="00113364">
        <w:rPr>
          <w:rFonts w:ascii="Arial" w:hAnsi="Arial" w:cs="Arial"/>
        </w:rPr>
        <w:t xml:space="preserve">high </w:t>
      </w:r>
      <w:r w:rsidR="00247E94" w:rsidRPr="00113364">
        <w:rPr>
          <w:rFonts w:ascii="Arial" w:hAnsi="Arial" w:cs="Arial"/>
        </w:rPr>
        <w:t>number of</w:t>
      </w:r>
      <w:r w:rsidRPr="00113364">
        <w:rPr>
          <w:rFonts w:ascii="Arial" w:hAnsi="Arial" w:cs="Arial"/>
        </w:rPr>
        <w:t xml:space="preserve"> migratory </w:t>
      </w:r>
      <w:proofErr w:type="gramStart"/>
      <w:r w:rsidRPr="00113364">
        <w:rPr>
          <w:rFonts w:ascii="Arial" w:hAnsi="Arial" w:cs="Arial"/>
        </w:rPr>
        <w:t>student</w:t>
      </w:r>
      <w:r w:rsidR="00247E94" w:rsidRPr="00113364">
        <w:rPr>
          <w:rFonts w:ascii="Arial" w:hAnsi="Arial" w:cs="Arial"/>
        </w:rPr>
        <w:t xml:space="preserve"> needs</w:t>
      </w:r>
      <w:proofErr w:type="gramEnd"/>
      <w:r w:rsidRPr="00113364">
        <w:rPr>
          <w:rFonts w:ascii="Arial" w:hAnsi="Arial" w:cs="Arial"/>
        </w:rPr>
        <w:t xml:space="preserve"> identified by </w:t>
      </w:r>
      <w:r w:rsidR="00B81939" w:rsidRPr="00113364">
        <w:rPr>
          <w:rFonts w:ascii="Arial" w:hAnsi="Arial" w:cs="Arial"/>
        </w:rPr>
        <w:t xml:space="preserve">the committee </w:t>
      </w:r>
      <w:r w:rsidRPr="00113364">
        <w:rPr>
          <w:rFonts w:ascii="Arial" w:hAnsi="Arial" w:cs="Arial"/>
        </w:rPr>
        <w:t xml:space="preserve">required further prioritization by </w:t>
      </w:r>
      <w:r w:rsidR="007B3EC5" w:rsidRPr="00113364">
        <w:rPr>
          <w:rFonts w:ascii="Arial" w:hAnsi="Arial" w:cs="Arial"/>
        </w:rPr>
        <w:t xml:space="preserve">the </w:t>
      </w:r>
      <w:r w:rsidR="00C9094A" w:rsidRPr="00113364">
        <w:rPr>
          <w:rFonts w:ascii="Arial" w:hAnsi="Arial" w:cs="Arial"/>
        </w:rPr>
        <w:t>C</w:t>
      </w:r>
      <w:r w:rsidR="00CD0DC3" w:rsidRPr="00113364">
        <w:rPr>
          <w:rFonts w:ascii="Arial" w:hAnsi="Arial" w:cs="Arial"/>
        </w:rPr>
        <w:t>DE</w:t>
      </w:r>
      <w:r w:rsidR="00C9094A" w:rsidRPr="00113364">
        <w:rPr>
          <w:rFonts w:ascii="Arial" w:hAnsi="Arial" w:cs="Arial"/>
        </w:rPr>
        <w:t xml:space="preserve"> </w:t>
      </w:r>
      <w:r w:rsidR="00247E94" w:rsidRPr="00113364">
        <w:rPr>
          <w:rFonts w:ascii="Arial" w:hAnsi="Arial" w:cs="Arial"/>
        </w:rPr>
        <w:t xml:space="preserve">and </w:t>
      </w:r>
      <w:r w:rsidR="00B81939" w:rsidRPr="00113364">
        <w:rPr>
          <w:rFonts w:ascii="Arial" w:hAnsi="Arial" w:cs="Arial"/>
        </w:rPr>
        <w:t>committee members</w:t>
      </w:r>
      <w:r w:rsidRPr="00113364">
        <w:rPr>
          <w:rFonts w:ascii="Arial" w:hAnsi="Arial" w:cs="Arial"/>
        </w:rPr>
        <w:t>.</w:t>
      </w:r>
      <w:r w:rsidR="00247E94" w:rsidRPr="00113364">
        <w:rPr>
          <w:rFonts w:ascii="Arial" w:hAnsi="Arial" w:cs="Arial"/>
        </w:rPr>
        <w:t xml:space="preserve"> </w:t>
      </w:r>
      <w:r w:rsidR="00CD0DC3" w:rsidRPr="00113364">
        <w:rPr>
          <w:rFonts w:ascii="Arial" w:hAnsi="Arial" w:cs="Arial"/>
        </w:rPr>
        <w:t xml:space="preserve">Section II of </w:t>
      </w:r>
      <w:r w:rsidR="008F71BC" w:rsidRPr="00113364">
        <w:rPr>
          <w:rFonts w:ascii="Arial" w:hAnsi="Arial" w:cs="Arial"/>
        </w:rPr>
        <w:t>California’s</w:t>
      </w:r>
      <w:r w:rsidR="00301A34" w:rsidRPr="00113364">
        <w:rPr>
          <w:rFonts w:ascii="Arial" w:hAnsi="Arial" w:cs="Arial"/>
        </w:rPr>
        <w:t xml:space="preserve"> </w:t>
      </w:r>
      <w:r w:rsidR="008F71BC" w:rsidRPr="00113364">
        <w:rPr>
          <w:rFonts w:ascii="Arial" w:hAnsi="Arial" w:cs="Arial"/>
        </w:rPr>
        <w:t>SDP</w:t>
      </w:r>
      <w:r w:rsidR="00301A34" w:rsidRPr="00113364">
        <w:rPr>
          <w:rFonts w:ascii="Arial" w:hAnsi="Arial" w:cs="Arial"/>
        </w:rPr>
        <w:t xml:space="preserve"> identifies </w:t>
      </w:r>
      <w:r w:rsidR="00454315" w:rsidRPr="00113364">
        <w:rPr>
          <w:rFonts w:ascii="Arial" w:hAnsi="Arial" w:cs="Arial"/>
        </w:rPr>
        <w:t>California’s</w:t>
      </w:r>
      <w:r w:rsidR="00301A34" w:rsidRPr="00113364">
        <w:rPr>
          <w:rFonts w:ascii="Arial" w:hAnsi="Arial" w:cs="Arial"/>
        </w:rPr>
        <w:t xml:space="preserve"> priority needs </w:t>
      </w:r>
      <w:r w:rsidR="00454315" w:rsidRPr="00113364">
        <w:rPr>
          <w:rFonts w:ascii="Arial" w:hAnsi="Arial" w:cs="Arial"/>
        </w:rPr>
        <w:t>while Section III outlines</w:t>
      </w:r>
      <w:r w:rsidR="00301A34" w:rsidRPr="00113364">
        <w:rPr>
          <w:rFonts w:ascii="Arial" w:hAnsi="Arial" w:cs="Arial"/>
        </w:rPr>
        <w:t xml:space="preserve"> strategies to address each need</w:t>
      </w:r>
      <w:r w:rsidR="004A716F" w:rsidRPr="00113364">
        <w:rPr>
          <w:rFonts w:ascii="Arial" w:hAnsi="Arial" w:cs="Arial"/>
        </w:rPr>
        <w:t xml:space="preserve">. Each strategy </w:t>
      </w:r>
      <w:r w:rsidR="00163342" w:rsidRPr="00113364">
        <w:rPr>
          <w:rFonts w:ascii="Arial" w:hAnsi="Arial" w:cs="Arial"/>
        </w:rPr>
        <w:t>outlined</w:t>
      </w:r>
      <w:r w:rsidR="004A716F" w:rsidRPr="00113364">
        <w:rPr>
          <w:rFonts w:ascii="Arial" w:hAnsi="Arial" w:cs="Arial"/>
        </w:rPr>
        <w:t xml:space="preserve"> in the SDP includes a corresponding measurable program objective </w:t>
      </w:r>
      <w:r w:rsidR="00A87CB1" w:rsidRPr="00113364">
        <w:rPr>
          <w:rFonts w:ascii="Arial" w:hAnsi="Arial" w:cs="Arial"/>
        </w:rPr>
        <w:t xml:space="preserve">(MPO) </w:t>
      </w:r>
      <w:r w:rsidR="004A716F" w:rsidRPr="00113364">
        <w:rPr>
          <w:rFonts w:ascii="Arial" w:hAnsi="Arial" w:cs="Arial"/>
        </w:rPr>
        <w:t xml:space="preserve">to evaluate the strategies’ annual implementation. In addition, every focus area has an end-of-project goal called </w:t>
      </w:r>
      <w:r w:rsidR="00A87CB1" w:rsidRPr="00113364">
        <w:rPr>
          <w:rFonts w:ascii="Arial" w:hAnsi="Arial" w:cs="Arial"/>
        </w:rPr>
        <w:t xml:space="preserve">a performance target. If the MEP </w:t>
      </w:r>
      <w:proofErr w:type="gramStart"/>
      <w:r w:rsidR="00A87CB1" w:rsidRPr="00113364">
        <w:rPr>
          <w:rFonts w:ascii="Arial" w:hAnsi="Arial" w:cs="Arial"/>
        </w:rPr>
        <w:t>is able to</w:t>
      </w:r>
      <w:proofErr w:type="gramEnd"/>
      <w:r w:rsidR="00A87CB1" w:rsidRPr="00113364">
        <w:rPr>
          <w:rFonts w:ascii="Arial" w:hAnsi="Arial" w:cs="Arial"/>
        </w:rPr>
        <w:t xml:space="preserve"> meet the goals set in each MPO</w:t>
      </w:r>
      <w:r w:rsidR="00FB60EA" w:rsidRPr="00113364">
        <w:rPr>
          <w:rFonts w:ascii="Arial" w:hAnsi="Arial" w:cs="Arial"/>
        </w:rPr>
        <w:t xml:space="preserve"> for each focus area, the CDE expects to see </w:t>
      </w:r>
      <w:r w:rsidR="0067682A" w:rsidRPr="00113364">
        <w:rPr>
          <w:rFonts w:ascii="Arial" w:hAnsi="Arial" w:cs="Arial"/>
        </w:rPr>
        <w:t>progress towards</w:t>
      </w:r>
      <w:r w:rsidR="00FB60EA" w:rsidRPr="00113364">
        <w:rPr>
          <w:rFonts w:ascii="Arial" w:hAnsi="Arial" w:cs="Arial"/>
        </w:rPr>
        <w:t xml:space="preserve"> the performance targets.</w:t>
      </w:r>
      <w:r w:rsidR="00CD0DC3" w:rsidRPr="00113364">
        <w:rPr>
          <w:rFonts w:ascii="Arial" w:hAnsi="Arial" w:cs="Arial"/>
        </w:rPr>
        <w:t xml:space="preserve"> Section III of this document identifies all SDP strategies, MPOs, and performance targets for the ten focus areas.</w:t>
      </w:r>
    </w:p>
    <w:p w14:paraId="3FF0B1A7" w14:textId="0BF32E4D" w:rsidR="009D09F0" w:rsidRPr="00113364" w:rsidRDefault="0059465A" w:rsidP="00EC06D4">
      <w:pPr>
        <w:spacing w:before="240"/>
        <w:rPr>
          <w:rFonts w:ascii="Arial" w:hAnsi="Arial" w:cs="Arial"/>
        </w:rPr>
      </w:pPr>
      <w:r w:rsidRPr="00113364">
        <w:rPr>
          <w:rFonts w:ascii="Arial" w:hAnsi="Arial" w:cs="Arial"/>
        </w:rPr>
        <w:t xml:space="preserve">To evaluate program effectiveness, the </w:t>
      </w:r>
      <w:r w:rsidR="00C9094A" w:rsidRPr="00113364">
        <w:rPr>
          <w:rFonts w:ascii="Arial" w:hAnsi="Arial" w:cs="Arial"/>
        </w:rPr>
        <w:t>C</w:t>
      </w:r>
      <w:r w:rsidR="00FB60EA" w:rsidRPr="00113364">
        <w:rPr>
          <w:rFonts w:ascii="Arial" w:hAnsi="Arial" w:cs="Arial"/>
        </w:rPr>
        <w:t>DE</w:t>
      </w:r>
      <w:r w:rsidR="00C9094A" w:rsidRPr="00113364">
        <w:rPr>
          <w:rFonts w:ascii="Arial" w:hAnsi="Arial" w:cs="Arial"/>
        </w:rPr>
        <w:t xml:space="preserve"> </w:t>
      </w:r>
      <w:r w:rsidRPr="00113364">
        <w:rPr>
          <w:rFonts w:ascii="Arial" w:hAnsi="Arial" w:cs="Arial"/>
        </w:rPr>
        <w:t xml:space="preserve">will employ a two-pronged approach: 1) </w:t>
      </w:r>
      <w:r w:rsidR="00A87CB1" w:rsidRPr="00113364">
        <w:rPr>
          <w:rFonts w:ascii="Arial" w:hAnsi="Arial" w:cs="Arial"/>
        </w:rPr>
        <w:t>develop</w:t>
      </w:r>
      <w:r w:rsidR="00D5555A" w:rsidRPr="00113364">
        <w:rPr>
          <w:rFonts w:ascii="Arial" w:hAnsi="Arial" w:cs="Arial"/>
        </w:rPr>
        <w:t xml:space="preserve"> annual</w:t>
      </w:r>
      <w:r w:rsidRPr="00113364">
        <w:rPr>
          <w:rFonts w:ascii="Arial" w:hAnsi="Arial" w:cs="Arial"/>
        </w:rPr>
        <w:t xml:space="preserve"> </w:t>
      </w:r>
      <w:r w:rsidR="007B3EC5" w:rsidRPr="00113364">
        <w:rPr>
          <w:rFonts w:ascii="Arial" w:hAnsi="Arial" w:cs="Arial"/>
        </w:rPr>
        <w:t>progress reports</w:t>
      </w:r>
      <w:r w:rsidR="00A87CB1" w:rsidRPr="00113364">
        <w:rPr>
          <w:rFonts w:ascii="Arial" w:hAnsi="Arial" w:cs="Arial"/>
        </w:rPr>
        <w:t xml:space="preserve"> for individual MEP subgrantees</w:t>
      </w:r>
      <w:r w:rsidR="008F71BC" w:rsidRPr="00113364">
        <w:rPr>
          <w:rFonts w:ascii="Arial" w:hAnsi="Arial" w:cs="Arial"/>
        </w:rPr>
        <w:t xml:space="preserve"> </w:t>
      </w:r>
      <w:r w:rsidR="00A87CB1" w:rsidRPr="00113364">
        <w:rPr>
          <w:rFonts w:ascii="Arial" w:hAnsi="Arial" w:cs="Arial"/>
        </w:rPr>
        <w:t xml:space="preserve">as well as a statewide report, and </w:t>
      </w:r>
      <w:r w:rsidRPr="00113364">
        <w:rPr>
          <w:rFonts w:ascii="Arial" w:hAnsi="Arial" w:cs="Arial"/>
        </w:rPr>
        <w:t xml:space="preserve">2) </w:t>
      </w:r>
      <w:r w:rsidR="00FB60EA" w:rsidRPr="00113364">
        <w:rPr>
          <w:rFonts w:ascii="Arial" w:hAnsi="Arial" w:cs="Arial"/>
        </w:rPr>
        <w:t>solicit an independent evaluator to analyze California’s SDP implementation and program effectiveness</w:t>
      </w:r>
      <w:r w:rsidRPr="00113364">
        <w:rPr>
          <w:rFonts w:ascii="Arial" w:hAnsi="Arial" w:cs="Arial"/>
        </w:rPr>
        <w:t>. The</w:t>
      </w:r>
      <w:r w:rsidR="00FB60EA" w:rsidRPr="00113364">
        <w:rPr>
          <w:rFonts w:ascii="Arial" w:hAnsi="Arial" w:cs="Arial"/>
        </w:rPr>
        <w:t xml:space="preserve"> individual</w:t>
      </w:r>
      <w:r w:rsidRPr="00113364">
        <w:rPr>
          <w:rFonts w:ascii="Arial" w:hAnsi="Arial" w:cs="Arial"/>
        </w:rPr>
        <w:t xml:space="preserve"> annual progress reports </w:t>
      </w:r>
      <w:r w:rsidR="00FB60EA" w:rsidRPr="00113364">
        <w:rPr>
          <w:rFonts w:ascii="Arial" w:hAnsi="Arial" w:cs="Arial"/>
        </w:rPr>
        <w:t>will support the CDE’s</w:t>
      </w:r>
      <w:r w:rsidRPr="00113364">
        <w:rPr>
          <w:rFonts w:ascii="Arial" w:hAnsi="Arial" w:cs="Arial"/>
        </w:rPr>
        <w:t xml:space="preserve"> continuous program improvement</w:t>
      </w:r>
      <w:r w:rsidR="0034198A" w:rsidRPr="00113364">
        <w:rPr>
          <w:rFonts w:ascii="Arial" w:hAnsi="Arial" w:cs="Arial"/>
        </w:rPr>
        <w:t xml:space="preserve"> </w:t>
      </w:r>
      <w:r w:rsidR="0032148E" w:rsidRPr="00113364">
        <w:rPr>
          <w:rFonts w:ascii="Arial" w:hAnsi="Arial" w:cs="Arial"/>
        </w:rPr>
        <w:t>“</w:t>
      </w:r>
      <w:r w:rsidR="0034198A" w:rsidRPr="00113364">
        <w:rPr>
          <w:rFonts w:ascii="Arial" w:hAnsi="Arial" w:cs="Arial"/>
        </w:rPr>
        <w:t>Plan-Do-Study-Act</w:t>
      </w:r>
      <w:r w:rsidR="0032148E" w:rsidRPr="00113364">
        <w:rPr>
          <w:rFonts w:ascii="Arial" w:hAnsi="Arial" w:cs="Arial"/>
        </w:rPr>
        <w:t>”</w:t>
      </w:r>
      <w:r w:rsidR="0034198A" w:rsidRPr="00113364">
        <w:rPr>
          <w:rFonts w:ascii="Arial" w:hAnsi="Arial" w:cs="Arial"/>
        </w:rPr>
        <w:t xml:space="preserve"> cycles working towards enhancing California’s ability to meet a greater number of migratory </w:t>
      </w:r>
      <w:r w:rsidR="0034198A" w:rsidRPr="00113364">
        <w:rPr>
          <w:rFonts w:ascii="Arial" w:hAnsi="Arial" w:cs="Arial"/>
        </w:rPr>
        <w:lastRenderedPageBreak/>
        <w:t>students’ needs.</w:t>
      </w:r>
      <w:r w:rsidR="00887EFA" w:rsidRPr="00113364">
        <w:rPr>
          <w:rStyle w:val="FootnoteReference"/>
          <w:rFonts w:ascii="Arial" w:hAnsi="Arial" w:cs="Arial"/>
        </w:rPr>
        <w:footnoteReference w:id="1"/>
      </w:r>
      <w:r w:rsidRPr="00113364">
        <w:rPr>
          <w:rFonts w:ascii="Arial" w:hAnsi="Arial" w:cs="Arial"/>
        </w:rPr>
        <w:t xml:space="preserve"> </w:t>
      </w:r>
      <w:r w:rsidR="00D0399E" w:rsidRPr="00113364">
        <w:rPr>
          <w:rFonts w:ascii="Arial" w:hAnsi="Arial" w:cs="Arial"/>
        </w:rPr>
        <w:t>Th</w:t>
      </w:r>
      <w:r w:rsidRPr="00113364">
        <w:rPr>
          <w:rFonts w:ascii="Arial" w:hAnsi="Arial" w:cs="Arial"/>
        </w:rPr>
        <w:t xml:space="preserve">e final </w:t>
      </w:r>
      <w:r w:rsidR="0034198A" w:rsidRPr="00113364">
        <w:rPr>
          <w:rFonts w:ascii="Arial" w:hAnsi="Arial" w:cs="Arial"/>
        </w:rPr>
        <w:t>evaluation</w:t>
      </w:r>
      <w:r w:rsidRPr="00113364">
        <w:rPr>
          <w:rFonts w:ascii="Arial" w:hAnsi="Arial" w:cs="Arial"/>
        </w:rPr>
        <w:t xml:space="preserve"> will </w:t>
      </w:r>
      <w:r w:rsidR="0034198A" w:rsidRPr="00113364">
        <w:rPr>
          <w:rFonts w:ascii="Arial" w:hAnsi="Arial" w:cs="Arial"/>
        </w:rPr>
        <w:t>provid</w:t>
      </w:r>
      <w:r w:rsidR="008C078B" w:rsidRPr="00113364">
        <w:rPr>
          <w:rFonts w:ascii="Arial" w:hAnsi="Arial" w:cs="Arial"/>
        </w:rPr>
        <w:t>e</w:t>
      </w:r>
      <w:r w:rsidR="0034198A" w:rsidRPr="00113364">
        <w:rPr>
          <w:rFonts w:ascii="Arial" w:hAnsi="Arial" w:cs="Arial"/>
        </w:rPr>
        <w:t xml:space="preserve"> recommendations for the next iteration of the SDP in addition to </w:t>
      </w:r>
      <w:r w:rsidRPr="00113364">
        <w:rPr>
          <w:rFonts w:ascii="Arial" w:hAnsi="Arial" w:cs="Arial"/>
        </w:rPr>
        <w:t>detail</w:t>
      </w:r>
      <w:r w:rsidR="0034198A" w:rsidRPr="00113364">
        <w:rPr>
          <w:rFonts w:ascii="Arial" w:hAnsi="Arial" w:cs="Arial"/>
        </w:rPr>
        <w:t>ing</w:t>
      </w:r>
      <w:r w:rsidRPr="00113364">
        <w:rPr>
          <w:rFonts w:ascii="Arial" w:hAnsi="Arial" w:cs="Arial"/>
        </w:rPr>
        <w:t xml:space="preserve"> the statewide progress on meeting the </w:t>
      </w:r>
      <w:r w:rsidR="0034198A" w:rsidRPr="00113364">
        <w:rPr>
          <w:rFonts w:ascii="Arial" w:hAnsi="Arial" w:cs="Arial"/>
        </w:rPr>
        <w:t xml:space="preserve">MPOs and </w:t>
      </w:r>
      <w:r w:rsidRPr="00113364">
        <w:rPr>
          <w:rFonts w:ascii="Arial" w:hAnsi="Arial" w:cs="Arial"/>
        </w:rPr>
        <w:t xml:space="preserve">performance targets set by the </w:t>
      </w:r>
      <w:r w:rsidR="0034198A" w:rsidRPr="00113364">
        <w:rPr>
          <w:rFonts w:ascii="Arial" w:hAnsi="Arial" w:cs="Arial"/>
        </w:rPr>
        <w:t xml:space="preserve">CNA SDP Committee and CDE. </w:t>
      </w:r>
    </w:p>
    <w:p w14:paraId="0FDC2ABD" w14:textId="299ECE62" w:rsidR="005E0053" w:rsidRPr="00113364" w:rsidRDefault="00DC1BE4" w:rsidP="00EC06D4">
      <w:pPr>
        <w:spacing w:before="240"/>
        <w:rPr>
          <w:rFonts w:ascii="Arial" w:hAnsi="Arial" w:cs="Arial"/>
        </w:rPr>
      </w:pPr>
      <w:r w:rsidRPr="00113364">
        <w:rPr>
          <w:rFonts w:ascii="Arial" w:hAnsi="Arial" w:cs="Arial"/>
        </w:rPr>
        <w:t xml:space="preserve">Beginning in </w:t>
      </w:r>
      <w:r w:rsidR="004A716F" w:rsidRPr="00113364">
        <w:rPr>
          <w:rFonts w:ascii="Arial" w:hAnsi="Arial" w:cs="Arial"/>
        </w:rPr>
        <w:t>the 2025–26 grant year</w:t>
      </w:r>
      <w:r w:rsidR="009D09F0" w:rsidRPr="00113364">
        <w:rPr>
          <w:rFonts w:ascii="Arial" w:hAnsi="Arial" w:cs="Arial"/>
        </w:rPr>
        <w:t xml:space="preserve">, </w:t>
      </w:r>
      <w:r w:rsidR="009B4EF7" w:rsidRPr="00113364">
        <w:rPr>
          <w:rFonts w:ascii="Arial" w:hAnsi="Arial" w:cs="Arial"/>
        </w:rPr>
        <w:t>CDE</w:t>
      </w:r>
      <w:r w:rsidRPr="00113364">
        <w:rPr>
          <w:rFonts w:ascii="Arial" w:hAnsi="Arial" w:cs="Arial"/>
        </w:rPr>
        <w:t xml:space="preserve"> </w:t>
      </w:r>
      <w:r w:rsidR="009D09F0" w:rsidRPr="00113364">
        <w:rPr>
          <w:rFonts w:ascii="Arial" w:hAnsi="Arial" w:cs="Arial"/>
        </w:rPr>
        <w:t xml:space="preserve">will implement a series of local trainings </w:t>
      </w:r>
      <w:proofErr w:type="gramStart"/>
      <w:r w:rsidR="009D09F0" w:rsidRPr="00113364">
        <w:rPr>
          <w:rFonts w:ascii="Arial" w:hAnsi="Arial" w:cs="Arial"/>
        </w:rPr>
        <w:t>in order to</w:t>
      </w:r>
      <w:proofErr w:type="gramEnd"/>
      <w:r w:rsidR="009D09F0" w:rsidRPr="00113364">
        <w:rPr>
          <w:rFonts w:ascii="Arial" w:hAnsi="Arial" w:cs="Arial"/>
        </w:rPr>
        <w:t xml:space="preserve"> support subgrantees</w:t>
      </w:r>
      <w:r w:rsidR="0034198A" w:rsidRPr="00113364">
        <w:rPr>
          <w:rFonts w:ascii="Arial" w:hAnsi="Arial" w:cs="Arial"/>
        </w:rPr>
        <w:t>’ implementation of the new SDP for 2026–27.</w:t>
      </w:r>
      <w:r w:rsidR="009D09F0" w:rsidRPr="00113364">
        <w:rPr>
          <w:rFonts w:ascii="Arial" w:hAnsi="Arial" w:cs="Arial"/>
        </w:rPr>
        <w:t xml:space="preserve"> These </w:t>
      </w:r>
      <w:proofErr w:type="gramStart"/>
      <w:r w:rsidR="009D09F0" w:rsidRPr="00113364">
        <w:rPr>
          <w:rFonts w:ascii="Arial" w:hAnsi="Arial" w:cs="Arial"/>
        </w:rPr>
        <w:t>trainings</w:t>
      </w:r>
      <w:proofErr w:type="gramEnd"/>
      <w:r w:rsidR="009D09F0" w:rsidRPr="00113364">
        <w:rPr>
          <w:rFonts w:ascii="Arial" w:hAnsi="Arial" w:cs="Arial"/>
        </w:rPr>
        <w:t xml:space="preserve"> will provide direct support in aligning current local services to the </w:t>
      </w:r>
      <w:r w:rsidR="0034198A" w:rsidRPr="00113364">
        <w:rPr>
          <w:rFonts w:ascii="Arial" w:hAnsi="Arial" w:cs="Arial"/>
        </w:rPr>
        <w:t>s</w:t>
      </w:r>
      <w:r w:rsidR="009D09F0" w:rsidRPr="00113364">
        <w:rPr>
          <w:rFonts w:ascii="Arial" w:hAnsi="Arial" w:cs="Arial"/>
        </w:rPr>
        <w:t>tate S</w:t>
      </w:r>
      <w:r w:rsidR="0034198A" w:rsidRPr="00113364">
        <w:rPr>
          <w:rFonts w:ascii="Arial" w:hAnsi="Arial" w:cs="Arial"/>
        </w:rPr>
        <w:t>DP</w:t>
      </w:r>
      <w:r w:rsidR="009D09F0" w:rsidRPr="00113364">
        <w:rPr>
          <w:rFonts w:ascii="Arial" w:hAnsi="Arial" w:cs="Arial"/>
        </w:rPr>
        <w:t xml:space="preserve">. </w:t>
      </w:r>
    </w:p>
    <w:p w14:paraId="0C605627" w14:textId="77777777" w:rsidR="005E0053" w:rsidRPr="00113364" w:rsidRDefault="005E0053">
      <w:pPr>
        <w:spacing w:after="160" w:line="259" w:lineRule="auto"/>
        <w:rPr>
          <w:rFonts w:ascii="Arial" w:hAnsi="Arial" w:cs="Arial"/>
        </w:rPr>
      </w:pPr>
      <w:r w:rsidRPr="00113364">
        <w:rPr>
          <w:rFonts w:ascii="Arial" w:hAnsi="Arial" w:cs="Arial"/>
        </w:rPr>
        <w:br w:type="page"/>
      </w:r>
    </w:p>
    <w:p w14:paraId="66D5C033" w14:textId="77777777" w:rsidR="00072681" w:rsidRPr="00113364" w:rsidRDefault="00293E5D" w:rsidP="00365F31">
      <w:pPr>
        <w:pStyle w:val="Heading2"/>
      </w:pPr>
      <w:bookmarkStart w:id="6" w:name="_Toc203568832"/>
      <w:r w:rsidRPr="00113364">
        <w:lastRenderedPageBreak/>
        <w:t xml:space="preserve">Section I: </w:t>
      </w:r>
      <w:r w:rsidR="004F6691" w:rsidRPr="00113364">
        <w:t>Introduction</w:t>
      </w:r>
      <w:bookmarkEnd w:id="6"/>
    </w:p>
    <w:p w14:paraId="313B60E9" w14:textId="34A92B90" w:rsidR="00431C79" w:rsidRPr="00113364" w:rsidRDefault="00661064" w:rsidP="00365F31">
      <w:pPr>
        <w:spacing w:after="240"/>
        <w:contextualSpacing/>
        <w:rPr>
          <w:rFonts w:ascii="Arial" w:hAnsi="Arial" w:cs="Arial"/>
        </w:rPr>
      </w:pPr>
      <w:r w:rsidRPr="00113364">
        <w:rPr>
          <w:rFonts w:ascii="Arial" w:hAnsi="Arial" w:cs="Arial"/>
        </w:rPr>
        <w:t>One of the primary objectives of t</w:t>
      </w:r>
      <w:r w:rsidR="00431C79" w:rsidRPr="00113364">
        <w:rPr>
          <w:rFonts w:ascii="Arial" w:hAnsi="Arial" w:cs="Arial"/>
        </w:rPr>
        <w:t>he</w:t>
      </w:r>
      <w:r w:rsidR="009F75BA" w:rsidRPr="00113364">
        <w:rPr>
          <w:rFonts w:ascii="Arial" w:hAnsi="Arial" w:cs="Arial"/>
        </w:rPr>
        <w:t xml:space="preserve"> CDE</w:t>
      </w:r>
      <w:r w:rsidR="0035681B" w:rsidRPr="00113364">
        <w:rPr>
          <w:rFonts w:ascii="Arial" w:hAnsi="Arial" w:cs="Arial"/>
        </w:rPr>
        <w:t xml:space="preserve"> </w:t>
      </w:r>
      <w:r w:rsidRPr="00113364">
        <w:rPr>
          <w:rFonts w:ascii="Arial" w:hAnsi="Arial" w:cs="Arial"/>
        </w:rPr>
        <w:t xml:space="preserve">is the implementation of </w:t>
      </w:r>
      <w:r w:rsidR="005D0E9C" w:rsidRPr="00113364">
        <w:rPr>
          <w:rFonts w:ascii="Arial" w:hAnsi="Arial" w:cs="Arial"/>
        </w:rPr>
        <w:t>high-</w:t>
      </w:r>
      <w:r w:rsidR="00C9094A" w:rsidRPr="00113364">
        <w:rPr>
          <w:rFonts w:ascii="Arial" w:hAnsi="Arial" w:cs="Arial"/>
        </w:rPr>
        <w:t>quality</w:t>
      </w:r>
      <w:r w:rsidR="005D0E9C" w:rsidRPr="00113364">
        <w:rPr>
          <w:rFonts w:ascii="Arial" w:hAnsi="Arial" w:cs="Arial"/>
        </w:rPr>
        <w:t xml:space="preserve"> </w:t>
      </w:r>
      <w:r w:rsidR="0035681B" w:rsidRPr="00113364">
        <w:rPr>
          <w:rFonts w:ascii="Arial" w:hAnsi="Arial" w:cs="Arial"/>
        </w:rPr>
        <w:t xml:space="preserve">effective </w:t>
      </w:r>
      <w:r w:rsidRPr="00113364">
        <w:rPr>
          <w:rFonts w:ascii="Arial" w:hAnsi="Arial" w:cs="Arial"/>
        </w:rPr>
        <w:t>programs</w:t>
      </w:r>
      <w:r w:rsidR="004C691F" w:rsidRPr="00113364">
        <w:rPr>
          <w:rFonts w:ascii="Arial" w:hAnsi="Arial" w:cs="Arial"/>
        </w:rPr>
        <w:t xml:space="preserve"> and services for migratory children age</w:t>
      </w:r>
      <w:r w:rsidR="00606032" w:rsidRPr="00113364">
        <w:rPr>
          <w:rFonts w:ascii="Arial" w:hAnsi="Arial" w:cs="Arial"/>
        </w:rPr>
        <w:t>d three through twenty-one</w:t>
      </w:r>
      <w:r w:rsidR="00A018BE" w:rsidRPr="00113364">
        <w:rPr>
          <w:rFonts w:ascii="Arial" w:hAnsi="Arial" w:cs="Arial"/>
        </w:rPr>
        <w:t xml:space="preserve"> </w:t>
      </w:r>
      <w:r w:rsidR="004C691F" w:rsidRPr="00113364">
        <w:rPr>
          <w:rFonts w:ascii="Arial" w:hAnsi="Arial" w:cs="Arial"/>
        </w:rPr>
        <w:t>throughout California.</w:t>
      </w:r>
      <w:r w:rsidR="001A3300" w:rsidRPr="00113364">
        <w:rPr>
          <w:rFonts w:ascii="Arial" w:hAnsi="Arial" w:cs="Arial"/>
        </w:rPr>
        <w:t xml:space="preserve"> </w:t>
      </w:r>
      <w:r w:rsidR="00CD0DC3" w:rsidRPr="00113364">
        <w:rPr>
          <w:rFonts w:ascii="Arial" w:hAnsi="Arial" w:cs="Arial"/>
        </w:rPr>
        <w:t>Ensuring</w:t>
      </w:r>
      <w:r w:rsidR="001A3300" w:rsidRPr="00113364">
        <w:rPr>
          <w:rFonts w:ascii="Arial" w:hAnsi="Arial" w:cs="Arial"/>
        </w:rPr>
        <w:t xml:space="preserve"> that </w:t>
      </w:r>
      <w:r w:rsidR="00CD0DC3" w:rsidRPr="00113364">
        <w:rPr>
          <w:rFonts w:ascii="Arial" w:hAnsi="Arial" w:cs="Arial"/>
        </w:rPr>
        <w:t xml:space="preserve">the </w:t>
      </w:r>
      <w:r w:rsidR="001A3300" w:rsidRPr="00113364">
        <w:rPr>
          <w:rFonts w:ascii="Arial" w:hAnsi="Arial" w:cs="Arial"/>
        </w:rPr>
        <w:t xml:space="preserve">program and services meet the needs of migratory children and their families, </w:t>
      </w:r>
      <w:r w:rsidR="009F7A7C" w:rsidRPr="00113364">
        <w:rPr>
          <w:rFonts w:ascii="Arial" w:hAnsi="Arial" w:cs="Arial"/>
        </w:rPr>
        <w:t>the CDE routinely assesses the needs of migratory children and parents/guardians</w:t>
      </w:r>
      <w:r w:rsidR="00B35B88" w:rsidRPr="00113364">
        <w:rPr>
          <w:rFonts w:ascii="Arial" w:hAnsi="Arial" w:cs="Arial"/>
        </w:rPr>
        <w:t xml:space="preserve"> throug</w:t>
      </w:r>
      <w:r w:rsidR="009F75BA" w:rsidRPr="00113364">
        <w:rPr>
          <w:rFonts w:ascii="Arial" w:hAnsi="Arial" w:cs="Arial"/>
        </w:rPr>
        <w:t>h</w:t>
      </w:r>
      <w:r w:rsidR="00B35B88" w:rsidRPr="00113364">
        <w:rPr>
          <w:rFonts w:ascii="Arial" w:hAnsi="Arial" w:cs="Arial"/>
        </w:rPr>
        <w:t xml:space="preserve"> local and statewide </w:t>
      </w:r>
      <w:r w:rsidR="009F75BA" w:rsidRPr="00113364">
        <w:rPr>
          <w:rFonts w:ascii="Arial" w:hAnsi="Arial" w:cs="Arial"/>
        </w:rPr>
        <w:t>need assessments</w:t>
      </w:r>
      <w:r w:rsidR="00BE54BB" w:rsidRPr="00113364">
        <w:rPr>
          <w:rFonts w:ascii="Arial" w:hAnsi="Arial" w:cs="Arial"/>
        </w:rPr>
        <w:t xml:space="preserve">. </w:t>
      </w:r>
      <w:proofErr w:type="gramStart"/>
      <w:r w:rsidR="00A018BE" w:rsidRPr="00113364">
        <w:rPr>
          <w:rFonts w:ascii="Arial" w:hAnsi="Arial" w:cs="Arial"/>
        </w:rPr>
        <w:t>On the basis of</w:t>
      </w:r>
      <w:proofErr w:type="gramEnd"/>
      <w:r w:rsidR="00A018BE" w:rsidRPr="00113364">
        <w:rPr>
          <w:rFonts w:ascii="Arial" w:hAnsi="Arial" w:cs="Arial"/>
        </w:rPr>
        <w:t xml:space="preserve"> </w:t>
      </w:r>
      <w:r w:rsidR="00B35B88" w:rsidRPr="00113364">
        <w:rPr>
          <w:rFonts w:ascii="Arial" w:hAnsi="Arial" w:cs="Arial"/>
        </w:rPr>
        <w:t xml:space="preserve">the needs </w:t>
      </w:r>
      <w:r w:rsidR="009F75BA" w:rsidRPr="00113364">
        <w:rPr>
          <w:rFonts w:ascii="Arial" w:hAnsi="Arial" w:cs="Arial"/>
        </w:rPr>
        <w:t>prioritized</w:t>
      </w:r>
      <w:r w:rsidR="005F2AE7" w:rsidRPr="00113364">
        <w:rPr>
          <w:rFonts w:ascii="Arial" w:hAnsi="Arial" w:cs="Arial"/>
        </w:rPr>
        <w:t xml:space="preserve"> in the statewide CNA, the SDP</w:t>
      </w:r>
      <w:r w:rsidR="00232497" w:rsidRPr="00113364">
        <w:rPr>
          <w:rFonts w:ascii="Arial" w:hAnsi="Arial" w:cs="Arial"/>
        </w:rPr>
        <w:t xml:space="preserve"> outlines California’s plan to deliver and evaluate M</w:t>
      </w:r>
      <w:r w:rsidR="00A329B5" w:rsidRPr="00113364">
        <w:rPr>
          <w:rFonts w:ascii="Arial" w:hAnsi="Arial" w:cs="Arial"/>
        </w:rPr>
        <w:t>EP-</w:t>
      </w:r>
      <w:r w:rsidR="00232497" w:rsidRPr="00113364">
        <w:rPr>
          <w:rFonts w:ascii="Arial" w:hAnsi="Arial" w:cs="Arial"/>
        </w:rPr>
        <w:t>f</w:t>
      </w:r>
      <w:r w:rsidR="007B3EC5" w:rsidRPr="00113364">
        <w:rPr>
          <w:rFonts w:ascii="Arial" w:hAnsi="Arial" w:cs="Arial"/>
        </w:rPr>
        <w:t>unded services and activities for</w:t>
      </w:r>
      <w:r w:rsidR="00232497" w:rsidRPr="00113364">
        <w:rPr>
          <w:rFonts w:ascii="Arial" w:hAnsi="Arial" w:cs="Arial"/>
        </w:rPr>
        <w:t xml:space="preserve"> migratory children and their families. </w:t>
      </w:r>
    </w:p>
    <w:p w14:paraId="4E019233" w14:textId="77777777" w:rsidR="004F6691" w:rsidRPr="00113364" w:rsidRDefault="004F6691" w:rsidP="003F0CBE">
      <w:pPr>
        <w:pStyle w:val="Heading3"/>
      </w:pPr>
      <w:bookmarkStart w:id="7" w:name="_Toc203568833"/>
      <w:r w:rsidRPr="00113364">
        <w:t>Legislative Mandate</w:t>
      </w:r>
      <w:bookmarkEnd w:id="7"/>
    </w:p>
    <w:p w14:paraId="2D529A47" w14:textId="7D01F507" w:rsidR="002B011D" w:rsidRPr="00113364" w:rsidRDefault="003541F1" w:rsidP="003F0CBE">
      <w:pPr>
        <w:pStyle w:val="Default"/>
        <w:spacing w:after="240"/>
        <w:rPr>
          <w:rFonts w:ascii="Arial" w:hAnsi="Arial" w:cs="Arial"/>
        </w:rPr>
      </w:pPr>
      <w:r w:rsidRPr="00113364">
        <w:rPr>
          <w:rFonts w:ascii="Arial" w:hAnsi="Arial" w:cs="Arial"/>
        </w:rPr>
        <w:t>As noted by the</w:t>
      </w:r>
      <w:r w:rsidR="0035681B" w:rsidRPr="00113364">
        <w:rPr>
          <w:rFonts w:ascii="Arial" w:hAnsi="Arial" w:cs="Arial"/>
        </w:rPr>
        <w:t xml:space="preserve"> federal</w:t>
      </w:r>
      <w:r w:rsidRPr="00113364">
        <w:rPr>
          <w:rFonts w:ascii="Arial" w:hAnsi="Arial" w:cs="Arial"/>
        </w:rPr>
        <w:t xml:space="preserve"> Office of Migrant Education</w:t>
      </w:r>
      <w:r w:rsidR="00B32E36" w:rsidRPr="00113364">
        <w:rPr>
          <w:rFonts w:ascii="Arial" w:hAnsi="Arial" w:cs="Arial"/>
        </w:rPr>
        <w:t xml:space="preserve"> </w:t>
      </w:r>
      <w:r w:rsidR="007036FF" w:rsidRPr="00113364">
        <w:rPr>
          <w:rFonts w:ascii="Arial" w:hAnsi="Arial" w:cs="Arial"/>
        </w:rPr>
        <w:t xml:space="preserve">(OME) </w:t>
      </w:r>
      <w:r w:rsidR="00B32E36" w:rsidRPr="00113364">
        <w:rPr>
          <w:rFonts w:ascii="Arial" w:hAnsi="Arial" w:cs="Arial"/>
        </w:rPr>
        <w:t xml:space="preserve">in the </w:t>
      </w:r>
      <w:r w:rsidR="00833FB8" w:rsidRPr="00113364">
        <w:rPr>
          <w:rFonts w:ascii="Arial" w:hAnsi="Arial" w:cs="Arial"/>
          <w:i/>
        </w:rPr>
        <w:t>Migrant Education</w:t>
      </w:r>
      <w:r w:rsidR="00833FB8" w:rsidRPr="00113364">
        <w:rPr>
          <w:rFonts w:ascii="Arial" w:hAnsi="Arial" w:cs="Arial"/>
        </w:rPr>
        <w:t xml:space="preserve"> </w:t>
      </w:r>
      <w:r w:rsidR="00B32E36" w:rsidRPr="00113364">
        <w:rPr>
          <w:rFonts w:ascii="Arial" w:hAnsi="Arial" w:cs="Arial"/>
          <w:i/>
        </w:rPr>
        <w:t>Service Delivery Plan Toolkit</w:t>
      </w:r>
      <w:r w:rsidR="00740CB9" w:rsidRPr="00113364">
        <w:rPr>
          <w:rFonts w:ascii="Arial" w:hAnsi="Arial" w:cs="Arial"/>
          <w:i/>
        </w:rPr>
        <w:t xml:space="preserve"> </w:t>
      </w:r>
      <w:r w:rsidR="00740CB9" w:rsidRPr="00113364">
        <w:rPr>
          <w:rFonts w:ascii="Arial" w:hAnsi="Arial" w:cs="Arial"/>
        </w:rPr>
        <w:t>(Toolkit)</w:t>
      </w:r>
      <w:r w:rsidR="00833FB8" w:rsidRPr="00113364">
        <w:rPr>
          <w:rStyle w:val="FootnoteReference"/>
          <w:rFonts w:ascii="Arial" w:hAnsi="Arial" w:cs="Arial"/>
          <w:i/>
        </w:rPr>
        <w:footnoteReference w:id="2"/>
      </w:r>
      <w:r w:rsidRPr="00113364">
        <w:rPr>
          <w:rFonts w:ascii="Arial" w:hAnsi="Arial" w:cs="Arial"/>
        </w:rPr>
        <w:t xml:space="preserve">, three main documents </w:t>
      </w:r>
      <w:r w:rsidR="0035681B" w:rsidRPr="00113364">
        <w:rPr>
          <w:rFonts w:ascii="Arial" w:hAnsi="Arial" w:cs="Arial"/>
        </w:rPr>
        <w:t>direct</w:t>
      </w:r>
      <w:r w:rsidRPr="00113364">
        <w:rPr>
          <w:rFonts w:ascii="Arial" w:hAnsi="Arial" w:cs="Arial"/>
        </w:rPr>
        <w:t xml:space="preserve"> and guide </w:t>
      </w:r>
      <w:r w:rsidR="00DF249E">
        <w:rPr>
          <w:rFonts w:ascii="Arial" w:hAnsi="Arial" w:cs="Arial"/>
        </w:rPr>
        <w:t>M</w:t>
      </w:r>
      <w:r w:rsidRPr="00113364">
        <w:rPr>
          <w:rFonts w:ascii="Arial" w:hAnsi="Arial" w:cs="Arial"/>
        </w:rPr>
        <w:t xml:space="preserve">igrant </w:t>
      </w:r>
      <w:r w:rsidR="00DF249E">
        <w:rPr>
          <w:rFonts w:ascii="Arial" w:hAnsi="Arial" w:cs="Arial"/>
        </w:rPr>
        <w:t>E</w:t>
      </w:r>
      <w:r w:rsidRPr="00113364">
        <w:rPr>
          <w:rFonts w:ascii="Arial" w:hAnsi="Arial" w:cs="Arial"/>
        </w:rPr>
        <w:t xml:space="preserve">ducation </w:t>
      </w:r>
      <w:r w:rsidR="00DF249E">
        <w:rPr>
          <w:rFonts w:ascii="Arial" w:hAnsi="Arial" w:cs="Arial"/>
        </w:rPr>
        <w:t>P</w:t>
      </w:r>
      <w:r w:rsidRPr="00113364">
        <w:rPr>
          <w:rFonts w:ascii="Arial" w:hAnsi="Arial" w:cs="Arial"/>
        </w:rPr>
        <w:t xml:space="preserve">rograms and their service delivery: 1) </w:t>
      </w:r>
      <w:r w:rsidR="00D1549C" w:rsidRPr="00113364">
        <w:rPr>
          <w:rFonts w:ascii="Arial" w:hAnsi="Arial" w:cs="Arial"/>
        </w:rPr>
        <w:t>t</w:t>
      </w:r>
      <w:r w:rsidR="00932254" w:rsidRPr="00113364">
        <w:rPr>
          <w:rFonts w:ascii="Arial" w:hAnsi="Arial" w:cs="Arial"/>
        </w:rPr>
        <w:t>he Elementary and Secondary Education Act (ESEA)</w:t>
      </w:r>
      <w:r w:rsidR="00426A8B" w:rsidRPr="00113364">
        <w:rPr>
          <w:rFonts w:ascii="Arial" w:hAnsi="Arial" w:cs="Arial"/>
        </w:rPr>
        <w:t xml:space="preserve"> as reauthorized by the Every Student Succeeds Act (ESSA)</w:t>
      </w:r>
      <w:r w:rsidR="00932254" w:rsidRPr="00113364">
        <w:rPr>
          <w:rFonts w:ascii="Arial" w:hAnsi="Arial" w:cs="Arial"/>
        </w:rPr>
        <w:t xml:space="preserve">, </w:t>
      </w:r>
      <w:r w:rsidRPr="00113364">
        <w:rPr>
          <w:rFonts w:ascii="Arial" w:hAnsi="Arial" w:cs="Arial"/>
        </w:rPr>
        <w:t xml:space="preserve">2) </w:t>
      </w:r>
      <w:r w:rsidR="00B460CA" w:rsidRPr="00113364">
        <w:rPr>
          <w:rFonts w:ascii="Arial" w:hAnsi="Arial" w:cs="Arial"/>
        </w:rPr>
        <w:t xml:space="preserve">the </w:t>
      </w:r>
      <w:r w:rsidR="00932254" w:rsidRPr="00113364">
        <w:rPr>
          <w:rFonts w:ascii="Arial" w:hAnsi="Arial" w:cs="Arial"/>
          <w:i/>
          <w:iCs/>
        </w:rPr>
        <w:t>Code of Federal Regulations</w:t>
      </w:r>
      <w:r w:rsidR="00052462">
        <w:rPr>
          <w:rFonts w:ascii="Arial" w:hAnsi="Arial" w:cs="Arial"/>
        </w:rPr>
        <w:t xml:space="preserve"> (</w:t>
      </w:r>
      <w:r w:rsidR="00052462">
        <w:rPr>
          <w:rFonts w:ascii="Arial" w:hAnsi="Arial" w:cs="Arial"/>
          <w:i/>
          <w:iCs/>
        </w:rPr>
        <w:t>CFR</w:t>
      </w:r>
      <w:r w:rsidR="00052462">
        <w:rPr>
          <w:rFonts w:ascii="Arial" w:hAnsi="Arial" w:cs="Arial"/>
        </w:rPr>
        <w:t>)</w:t>
      </w:r>
      <w:r w:rsidR="00932254" w:rsidRPr="00113364">
        <w:rPr>
          <w:rFonts w:ascii="Arial" w:hAnsi="Arial" w:cs="Arial"/>
          <w:i/>
          <w:iCs/>
        </w:rPr>
        <w:t>,</w:t>
      </w:r>
      <w:r w:rsidR="00932254" w:rsidRPr="00113364">
        <w:rPr>
          <w:rFonts w:ascii="Arial" w:hAnsi="Arial" w:cs="Arial"/>
        </w:rPr>
        <w:t xml:space="preserve"> </w:t>
      </w:r>
      <w:r w:rsidRPr="00113364">
        <w:rPr>
          <w:rFonts w:ascii="Arial" w:hAnsi="Arial" w:cs="Arial"/>
        </w:rPr>
        <w:t xml:space="preserve">and 3) </w:t>
      </w:r>
      <w:r w:rsidR="00B460CA" w:rsidRPr="00113364">
        <w:rPr>
          <w:rFonts w:ascii="Arial" w:hAnsi="Arial" w:cs="Arial"/>
        </w:rPr>
        <w:t xml:space="preserve">the </w:t>
      </w:r>
      <w:r w:rsidRPr="00113364">
        <w:rPr>
          <w:rFonts w:ascii="Arial" w:hAnsi="Arial" w:cs="Arial"/>
        </w:rPr>
        <w:t xml:space="preserve">Non-Regulatory Guidance. </w:t>
      </w:r>
      <w:r w:rsidR="00592524" w:rsidRPr="00113364">
        <w:rPr>
          <w:rFonts w:ascii="Arial" w:hAnsi="Arial" w:cs="Arial"/>
        </w:rPr>
        <w:t xml:space="preserve">All three of </w:t>
      </w:r>
      <w:r w:rsidR="009E3484" w:rsidRPr="00113364">
        <w:rPr>
          <w:rFonts w:ascii="Arial" w:hAnsi="Arial" w:cs="Arial"/>
        </w:rPr>
        <w:t xml:space="preserve">these documents </w:t>
      </w:r>
      <w:r w:rsidR="00004EC0" w:rsidRPr="00113364">
        <w:rPr>
          <w:rFonts w:ascii="Arial" w:hAnsi="Arial" w:cs="Arial"/>
        </w:rPr>
        <w:t xml:space="preserve">require each State </w:t>
      </w:r>
      <w:r w:rsidR="00BF6403" w:rsidRPr="00113364">
        <w:rPr>
          <w:rFonts w:ascii="Arial" w:hAnsi="Arial" w:cs="Arial"/>
        </w:rPr>
        <w:t>Education Agency (SEA)</w:t>
      </w:r>
      <w:r w:rsidR="00004EC0" w:rsidRPr="00113364">
        <w:rPr>
          <w:rFonts w:ascii="Arial" w:hAnsi="Arial" w:cs="Arial"/>
        </w:rPr>
        <w:t xml:space="preserve"> receiving Title I, Part C</w:t>
      </w:r>
      <w:r w:rsidR="00E14EC0" w:rsidRPr="00113364">
        <w:rPr>
          <w:rFonts w:ascii="Arial" w:hAnsi="Arial" w:cs="Arial"/>
        </w:rPr>
        <w:t>,</w:t>
      </w:r>
      <w:r w:rsidR="00004EC0" w:rsidRPr="00113364">
        <w:rPr>
          <w:rFonts w:ascii="Arial" w:hAnsi="Arial" w:cs="Arial"/>
        </w:rPr>
        <w:t xml:space="preserve"> federal funds to ensure that the state</w:t>
      </w:r>
      <w:r w:rsidRPr="00113364">
        <w:rPr>
          <w:rFonts w:ascii="Arial" w:hAnsi="Arial" w:cs="Arial"/>
        </w:rPr>
        <w:t xml:space="preserve"> and local operating agencies</w:t>
      </w:r>
      <w:r w:rsidR="00004EC0" w:rsidRPr="00113364">
        <w:rPr>
          <w:rFonts w:ascii="Arial" w:hAnsi="Arial" w:cs="Arial"/>
        </w:rPr>
        <w:t xml:space="preserve"> identify and address the unique educational needs of migratory children through the development of a statewide </w:t>
      </w:r>
      <w:r w:rsidR="004D6F02" w:rsidRPr="00113364">
        <w:rPr>
          <w:rFonts w:ascii="Arial" w:hAnsi="Arial" w:cs="Arial"/>
        </w:rPr>
        <w:t>CNA</w:t>
      </w:r>
      <w:r w:rsidR="00004EC0" w:rsidRPr="00113364">
        <w:rPr>
          <w:rFonts w:ascii="Arial" w:hAnsi="Arial" w:cs="Arial"/>
        </w:rPr>
        <w:t xml:space="preserve"> and </w:t>
      </w:r>
      <w:r w:rsidR="00DC6EC3" w:rsidRPr="00113364">
        <w:rPr>
          <w:rFonts w:ascii="Arial" w:hAnsi="Arial" w:cs="Arial"/>
        </w:rPr>
        <w:t xml:space="preserve">create a plan </w:t>
      </w:r>
      <w:r w:rsidR="00A329B5" w:rsidRPr="00113364">
        <w:rPr>
          <w:rFonts w:ascii="Arial" w:hAnsi="Arial" w:cs="Arial"/>
        </w:rPr>
        <w:t xml:space="preserve">with </w:t>
      </w:r>
      <w:r w:rsidR="00DC6EC3" w:rsidRPr="00113364">
        <w:rPr>
          <w:rFonts w:ascii="Arial" w:hAnsi="Arial" w:cs="Arial"/>
        </w:rPr>
        <w:t xml:space="preserve">a set of strategies to address those needs documented in the </w:t>
      </w:r>
      <w:r w:rsidR="004D6F02" w:rsidRPr="00113364">
        <w:rPr>
          <w:rFonts w:ascii="Arial" w:hAnsi="Arial" w:cs="Arial"/>
        </w:rPr>
        <w:t>SDP</w:t>
      </w:r>
      <w:r w:rsidR="00004EC0" w:rsidRPr="00113364">
        <w:rPr>
          <w:rFonts w:ascii="Arial" w:hAnsi="Arial" w:cs="Arial"/>
        </w:rPr>
        <w:t xml:space="preserve">. </w:t>
      </w:r>
      <w:r w:rsidR="00A55869" w:rsidRPr="00113364">
        <w:rPr>
          <w:rFonts w:ascii="Arial" w:hAnsi="Arial" w:cs="Arial"/>
        </w:rPr>
        <w:t xml:space="preserve">The ESEA provides the statutory authority for the </w:t>
      </w:r>
      <w:r w:rsidR="00DC6EC3" w:rsidRPr="00113364">
        <w:rPr>
          <w:rFonts w:ascii="Arial" w:hAnsi="Arial" w:cs="Arial"/>
        </w:rPr>
        <w:t>MEP</w:t>
      </w:r>
      <w:r w:rsidR="00761A04" w:rsidRPr="00113364">
        <w:rPr>
          <w:rFonts w:ascii="Arial" w:hAnsi="Arial" w:cs="Arial"/>
        </w:rPr>
        <w:t>,</w:t>
      </w:r>
      <w:r w:rsidR="00A55869" w:rsidRPr="00113364">
        <w:rPr>
          <w:rFonts w:ascii="Arial" w:hAnsi="Arial" w:cs="Arial"/>
        </w:rPr>
        <w:t xml:space="preserve"> while the </w:t>
      </w:r>
      <w:r w:rsidR="00C91878" w:rsidRPr="00113364">
        <w:rPr>
          <w:rFonts w:ascii="Arial" w:hAnsi="Arial" w:cs="Arial"/>
          <w:i/>
          <w:iCs/>
        </w:rPr>
        <w:t>C</w:t>
      </w:r>
      <w:r w:rsidR="00052462">
        <w:rPr>
          <w:rFonts w:ascii="Arial" w:hAnsi="Arial" w:cs="Arial"/>
          <w:i/>
          <w:iCs/>
        </w:rPr>
        <w:t>FR</w:t>
      </w:r>
      <w:r w:rsidR="00C91878" w:rsidRPr="00113364">
        <w:rPr>
          <w:rFonts w:ascii="Arial" w:hAnsi="Arial" w:cs="Arial"/>
        </w:rPr>
        <w:t xml:space="preserve"> (Title 34, Sec</w:t>
      </w:r>
      <w:r w:rsidR="00A77A29" w:rsidRPr="00113364">
        <w:rPr>
          <w:rFonts w:ascii="Arial" w:hAnsi="Arial" w:cs="Arial"/>
        </w:rPr>
        <w:t>tion</w:t>
      </w:r>
      <w:r w:rsidR="00C91878" w:rsidRPr="00113364">
        <w:rPr>
          <w:rFonts w:ascii="Arial" w:hAnsi="Arial" w:cs="Arial"/>
        </w:rPr>
        <w:t xml:space="preserve"> 200.83)</w:t>
      </w:r>
      <w:r w:rsidR="00B460CA" w:rsidRPr="00113364">
        <w:rPr>
          <w:rFonts w:ascii="Arial" w:hAnsi="Arial" w:cs="Arial"/>
        </w:rPr>
        <w:t xml:space="preserve"> and the Non-Regulatory Guidance for Title I, Part C</w:t>
      </w:r>
      <w:r w:rsidR="00761A04" w:rsidRPr="00113364">
        <w:rPr>
          <w:rFonts w:ascii="Arial" w:hAnsi="Arial" w:cs="Arial"/>
        </w:rPr>
        <w:t>,</w:t>
      </w:r>
      <w:r w:rsidR="00B460CA" w:rsidRPr="00113364">
        <w:rPr>
          <w:rFonts w:ascii="Arial" w:hAnsi="Arial" w:cs="Arial"/>
        </w:rPr>
        <w:t xml:space="preserve"> of ESEA</w:t>
      </w:r>
      <w:r w:rsidR="004D6F02" w:rsidRPr="00113364">
        <w:rPr>
          <w:rFonts w:ascii="Arial" w:hAnsi="Arial" w:cs="Arial"/>
        </w:rPr>
        <w:t>,</w:t>
      </w:r>
      <w:r w:rsidR="00B460CA" w:rsidRPr="00113364">
        <w:rPr>
          <w:rFonts w:ascii="Arial" w:hAnsi="Arial" w:cs="Arial"/>
        </w:rPr>
        <w:t xml:space="preserve"> identify specific components that must be included in the SDP and </w:t>
      </w:r>
      <w:proofErr w:type="gramStart"/>
      <w:r w:rsidR="00C91878" w:rsidRPr="00113364">
        <w:rPr>
          <w:rFonts w:ascii="Arial" w:hAnsi="Arial" w:cs="Arial"/>
        </w:rPr>
        <w:t>require</w:t>
      </w:r>
      <w:r w:rsidR="00761A04" w:rsidRPr="00113364">
        <w:rPr>
          <w:rFonts w:ascii="Arial" w:hAnsi="Arial" w:cs="Arial"/>
        </w:rPr>
        <w:t>s</w:t>
      </w:r>
      <w:proofErr w:type="gramEnd"/>
      <w:r w:rsidR="00C91878" w:rsidRPr="00113364">
        <w:rPr>
          <w:rFonts w:ascii="Arial" w:hAnsi="Arial" w:cs="Arial"/>
        </w:rPr>
        <w:t xml:space="preserve"> the SEA to evaluate the effectiveness of their SDP.</w:t>
      </w:r>
      <w:r w:rsidR="00A55869" w:rsidRPr="00113364">
        <w:rPr>
          <w:rFonts w:ascii="Arial" w:hAnsi="Arial" w:cs="Arial"/>
        </w:rPr>
        <w:t xml:space="preserve"> </w:t>
      </w:r>
      <w:r w:rsidR="00DC6EC3" w:rsidRPr="00113364">
        <w:rPr>
          <w:rFonts w:ascii="Arial" w:hAnsi="Arial" w:cs="Arial"/>
        </w:rPr>
        <w:t>Using a collaborative process incorporating MEP staff and parents with various areas of expertise</w:t>
      </w:r>
      <w:r w:rsidR="00A55869" w:rsidRPr="00113364">
        <w:rPr>
          <w:rFonts w:ascii="Arial" w:hAnsi="Arial" w:cs="Arial"/>
        </w:rPr>
        <w:t xml:space="preserve">, the CDE identified the unique educational needs of migratory children via the statewide CNA and developed the SDP to </w:t>
      </w:r>
      <w:r w:rsidR="00DC6EC3" w:rsidRPr="00113364">
        <w:rPr>
          <w:rFonts w:ascii="Arial" w:hAnsi="Arial" w:cs="Arial"/>
        </w:rPr>
        <w:t>outline</w:t>
      </w:r>
      <w:r w:rsidR="00A55869" w:rsidRPr="00113364">
        <w:rPr>
          <w:rFonts w:ascii="Arial" w:hAnsi="Arial" w:cs="Arial"/>
        </w:rPr>
        <w:t xml:space="preserve"> guidance to local MEPs in addressing those need</w:t>
      </w:r>
      <w:r w:rsidR="00DC6EC3" w:rsidRPr="00113364">
        <w:rPr>
          <w:rFonts w:ascii="Arial" w:hAnsi="Arial" w:cs="Arial"/>
        </w:rPr>
        <w:t>s</w:t>
      </w:r>
      <w:r w:rsidR="00A55869" w:rsidRPr="00113364">
        <w:rPr>
          <w:rFonts w:ascii="Arial" w:hAnsi="Arial" w:cs="Arial"/>
        </w:rPr>
        <w:t xml:space="preserve">. </w:t>
      </w:r>
    </w:p>
    <w:p w14:paraId="54F550E9" w14:textId="3B7465B7" w:rsidR="004F6691" w:rsidRPr="003F0CBE" w:rsidRDefault="004F6691" w:rsidP="003F0CBE">
      <w:pPr>
        <w:pStyle w:val="Heading3"/>
      </w:pPr>
      <w:bookmarkStart w:id="8" w:name="_Toc203568834"/>
      <w:r w:rsidRPr="003F0CBE">
        <w:t xml:space="preserve">California’s </w:t>
      </w:r>
      <w:r w:rsidR="000728C2" w:rsidRPr="003F0CBE">
        <w:t>Migrant Education Program</w:t>
      </w:r>
      <w:bookmarkEnd w:id="8"/>
    </w:p>
    <w:p w14:paraId="622DE08C" w14:textId="4A2FCDC2" w:rsidR="00A25EF0" w:rsidRPr="00113364" w:rsidRDefault="00A66225" w:rsidP="00A25EF0">
      <w:pPr>
        <w:contextualSpacing/>
        <w:rPr>
          <w:rFonts w:ascii="Arial" w:hAnsi="Arial" w:cs="Arial"/>
          <w:color w:val="000000"/>
        </w:rPr>
      </w:pPr>
      <w:r w:rsidRPr="00113364">
        <w:rPr>
          <w:rFonts w:ascii="Arial" w:hAnsi="Arial" w:cs="Arial"/>
        </w:rPr>
        <w:t>Federally funded, the MEP is designed to support high-quality supplemental, comprehensive educational programs for migra</w:t>
      </w:r>
      <w:r w:rsidR="00576D3E">
        <w:rPr>
          <w:rFonts w:ascii="Arial" w:hAnsi="Arial" w:cs="Arial"/>
        </w:rPr>
        <w:t>tory</w:t>
      </w:r>
      <w:r w:rsidRPr="00113364">
        <w:rPr>
          <w:rFonts w:ascii="Arial" w:hAnsi="Arial" w:cs="Arial"/>
        </w:rPr>
        <w:t xml:space="preserve"> children to help reduce educational disruption and other problems that result from repeated moves. The most recent data for the MEP from 2022–23 shows</w:t>
      </w:r>
      <w:r w:rsidRPr="00113364">
        <w:rPr>
          <w:rFonts w:ascii="Arial" w:hAnsi="Arial" w:cs="Arial"/>
          <w:color w:val="000000"/>
        </w:rPr>
        <w:t xml:space="preserve"> there were over 74,655 (ages zero through twenty-one) </w:t>
      </w:r>
      <w:r w:rsidRPr="00113364">
        <w:rPr>
          <w:rFonts w:ascii="Arial" w:hAnsi="Arial" w:cs="Arial"/>
        </w:rPr>
        <w:t xml:space="preserve">migratory children, including prekindergarten and Out-of-School Youth (OSY) statewide. </w:t>
      </w:r>
    </w:p>
    <w:p w14:paraId="150C35E6" w14:textId="77777777" w:rsidR="00FD581D" w:rsidRPr="00113364" w:rsidRDefault="00FD581D" w:rsidP="00E30F49">
      <w:pPr>
        <w:pStyle w:val="Heading4"/>
        <w:rPr>
          <w:i/>
        </w:rPr>
      </w:pPr>
      <w:r w:rsidRPr="00113364">
        <w:t xml:space="preserve">Structure of the State Program </w:t>
      </w:r>
    </w:p>
    <w:p w14:paraId="107C86A2" w14:textId="75F35518" w:rsidR="008C68F6" w:rsidRPr="00113364" w:rsidRDefault="00FD581D" w:rsidP="00A25EF0">
      <w:pPr>
        <w:contextualSpacing/>
        <w:rPr>
          <w:rFonts w:ascii="Arial" w:hAnsi="Arial" w:cs="Arial"/>
        </w:rPr>
      </w:pPr>
      <w:bookmarkStart w:id="9" w:name="_Hlk191381658"/>
      <w:r w:rsidRPr="00113364">
        <w:rPr>
          <w:rFonts w:ascii="Arial" w:hAnsi="Arial" w:cs="Arial"/>
        </w:rPr>
        <w:t xml:space="preserve">The California MEP is </w:t>
      </w:r>
      <w:r w:rsidR="00833FB8" w:rsidRPr="00113364">
        <w:rPr>
          <w:rFonts w:ascii="Arial" w:hAnsi="Arial" w:cs="Arial"/>
        </w:rPr>
        <w:t xml:space="preserve">primarily </w:t>
      </w:r>
      <w:r w:rsidRPr="00113364">
        <w:rPr>
          <w:rFonts w:ascii="Arial" w:hAnsi="Arial" w:cs="Arial"/>
        </w:rPr>
        <w:t xml:space="preserve">operated </w:t>
      </w:r>
      <w:r w:rsidR="00615FDA" w:rsidRPr="00113364">
        <w:rPr>
          <w:rFonts w:ascii="Arial" w:hAnsi="Arial" w:cs="Arial"/>
        </w:rPr>
        <w:t>using</w:t>
      </w:r>
      <w:r w:rsidRPr="00113364">
        <w:rPr>
          <w:rFonts w:ascii="Arial" w:hAnsi="Arial" w:cs="Arial"/>
        </w:rPr>
        <w:t xml:space="preserve"> a regional structure</w:t>
      </w:r>
      <w:r w:rsidR="00833FB8" w:rsidRPr="00113364">
        <w:rPr>
          <w:rFonts w:ascii="Arial" w:hAnsi="Arial" w:cs="Arial"/>
        </w:rPr>
        <w:t xml:space="preserve"> </w:t>
      </w:r>
      <w:r w:rsidR="00615FDA" w:rsidRPr="00113364">
        <w:rPr>
          <w:rFonts w:ascii="Arial" w:hAnsi="Arial" w:cs="Arial"/>
        </w:rPr>
        <w:t xml:space="preserve">of </w:t>
      </w:r>
      <w:r w:rsidRPr="00113364">
        <w:rPr>
          <w:rFonts w:ascii="Arial" w:hAnsi="Arial" w:cs="Arial"/>
        </w:rPr>
        <w:t xml:space="preserve">15 multidistrict regional subgrantees and </w:t>
      </w:r>
      <w:r w:rsidR="00C44A6B" w:rsidRPr="00113364">
        <w:rPr>
          <w:rFonts w:ascii="Arial" w:hAnsi="Arial" w:cs="Arial"/>
        </w:rPr>
        <w:t>five</w:t>
      </w:r>
      <w:r w:rsidRPr="00113364">
        <w:rPr>
          <w:rFonts w:ascii="Arial" w:hAnsi="Arial" w:cs="Arial"/>
        </w:rPr>
        <w:t xml:space="preserve"> direct-funded single-district subgrantees. Under the direct supervision of the 15 regional subgrantees are approximately </w:t>
      </w:r>
      <w:r w:rsidR="000B3FF4" w:rsidRPr="00113364">
        <w:rPr>
          <w:rFonts w:ascii="Arial" w:hAnsi="Arial" w:cs="Arial"/>
        </w:rPr>
        <w:t>1</w:t>
      </w:r>
      <w:r w:rsidR="00E21E47" w:rsidRPr="00113364">
        <w:rPr>
          <w:rFonts w:ascii="Arial" w:hAnsi="Arial" w:cs="Arial"/>
        </w:rPr>
        <w:t>01</w:t>
      </w:r>
      <w:r w:rsidRPr="00113364">
        <w:rPr>
          <w:rFonts w:ascii="Arial" w:hAnsi="Arial" w:cs="Arial"/>
        </w:rPr>
        <w:t xml:space="preserve"> school districts</w:t>
      </w:r>
      <w:r w:rsidR="00833FB8" w:rsidRPr="00113364">
        <w:rPr>
          <w:rFonts w:ascii="Arial" w:hAnsi="Arial" w:cs="Arial"/>
        </w:rPr>
        <w:t xml:space="preserve"> </w:t>
      </w:r>
      <w:r w:rsidRPr="00113364">
        <w:rPr>
          <w:rFonts w:ascii="Arial" w:hAnsi="Arial" w:cs="Arial"/>
        </w:rPr>
        <w:t xml:space="preserve">that </w:t>
      </w:r>
      <w:r w:rsidRPr="00113364">
        <w:rPr>
          <w:rFonts w:ascii="Arial" w:hAnsi="Arial" w:cs="Arial"/>
        </w:rPr>
        <w:lastRenderedPageBreak/>
        <w:t>have either a District Service Agreement or a Memorandum of Understanding</w:t>
      </w:r>
      <w:r w:rsidR="00C07D60" w:rsidRPr="00113364">
        <w:rPr>
          <w:rFonts w:ascii="Arial" w:hAnsi="Arial" w:cs="Arial"/>
        </w:rPr>
        <w:t>. Migratory students at over 600 local education agencies are served by the California MEP</w:t>
      </w:r>
      <w:r w:rsidRPr="00113364">
        <w:rPr>
          <w:rFonts w:ascii="Arial" w:hAnsi="Arial" w:cs="Arial"/>
        </w:rPr>
        <w:t xml:space="preserve"> </w:t>
      </w:r>
      <w:bookmarkEnd w:id="9"/>
      <w:r w:rsidR="008C68F6" w:rsidRPr="00113364">
        <w:rPr>
          <w:rFonts w:ascii="Arial" w:hAnsi="Arial" w:cs="Arial"/>
        </w:rPr>
        <w:t xml:space="preserve">(see </w:t>
      </w:r>
      <w:r w:rsidR="00895785" w:rsidRPr="00113364">
        <w:rPr>
          <w:rFonts w:ascii="Arial" w:hAnsi="Arial" w:cs="Arial"/>
        </w:rPr>
        <w:t>f</w:t>
      </w:r>
      <w:r w:rsidR="008C68F6" w:rsidRPr="00113364">
        <w:rPr>
          <w:rFonts w:ascii="Arial" w:hAnsi="Arial" w:cs="Arial"/>
        </w:rPr>
        <w:t>ig</w:t>
      </w:r>
      <w:r w:rsidR="002038DE">
        <w:rPr>
          <w:rFonts w:ascii="Arial" w:hAnsi="Arial" w:cs="Arial"/>
        </w:rPr>
        <w:t>.</w:t>
      </w:r>
      <w:r w:rsidR="008C68F6" w:rsidRPr="00113364">
        <w:rPr>
          <w:rFonts w:ascii="Arial" w:hAnsi="Arial" w:cs="Arial"/>
        </w:rPr>
        <w:t xml:space="preserve"> 1 below)</w:t>
      </w:r>
      <w:r w:rsidRPr="00113364">
        <w:rPr>
          <w:rFonts w:ascii="Arial" w:hAnsi="Arial" w:cs="Arial"/>
        </w:rPr>
        <w:t>.</w:t>
      </w:r>
    </w:p>
    <w:p w14:paraId="1445B2AC" w14:textId="1566D49E" w:rsidR="00424E1D" w:rsidRPr="00E671CF" w:rsidRDefault="008C68F6" w:rsidP="00E671CF">
      <w:pPr>
        <w:pStyle w:val="Heading5"/>
        <w:rPr>
          <w:b/>
          <w:bCs/>
          <w:i w:val="0"/>
          <w:iCs/>
          <w:sz w:val="24"/>
        </w:rPr>
      </w:pPr>
      <w:bookmarkStart w:id="10" w:name="_Toc203645052"/>
      <w:r w:rsidRPr="00E671CF">
        <w:rPr>
          <w:b/>
          <w:bCs/>
          <w:i w:val="0"/>
          <w:iCs/>
          <w:sz w:val="24"/>
        </w:rPr>
        <w:t xml:space="preserve">Figure </w:t>
      </w:r>
      <w:r w:rsidR="00791A0A" w:rsidRPr="00E671CF">
        <w:rPr>
          <w:b/>
          <w:bCs/>
          <w:i w:val="0"/>
          <w:iCs/>
          <w:sz w:val="24"/>
        </w:rPr>
        <w:fldChar w:fldCharType="begin"/>
      </w:r>
      <w:r w:rsidR="00791A0A" w:rsidRPr="00E671CF">
        <w:rPr>
          <w:b/>
          <w:bCs/>
          <w:i w:val="0"/>
          <w:iCs/>
          <w:sz w:val="24"/>
        </w:rPr>
        <w:instrText xml:space="preserve"> SEQ Figure \* ARABIC </w:instrText>
      </w:r>
      <w:r w:rsidR="00791A0A" w:rsidRPr="00E671CF">
        <w:rPr>
          <w:b/>
          <w:bCs/>
          <w:i w:val="0"/>
          <w:iCs/>
          <w:sz w:val="24"/>
        </w:rPr>
        <w:fldChar w:fldCharType="separate"/>
      </w:r>
      <w:r w:rsidR="00C3523A" w:rsidRPr="00E671CF">
        <w:rPr>
          <w:b/>
          <w:bCs/>
          <w:i w:val="0"/>
          <w:iCs/>
          <w:noProof/>
          <w:sz w:val="24"/>
        </w:rPr>
        <w:t>1</w:t>
      </w:r>
      <w:r w:rsidR="00791A0A" w:rsidRPr="00E671CF">
        <w:rPr>
          <w:b/>
          <w:bCs/>
          <w:i w:val="0"/>
          <w:iCs/>
          <w:noProof/>
          <w:sz w:val="24"/>
        </w:rPr>
        <w:fldChar w:fldCharType="end"/>
      </w:r>
      <w:r w:rsidRPr="00E671CF">
        <w:rPr>
          <w:b/>
          <w:bCs/>
          <w:i w:val="0"/>
          <w:iCs/>
          <w:sz w:val="24"/>
        </w:rPr>
        <w:t>. Structure of t</w:t>
      </w:r>
      <w:r w:rsidR="00424E1D" w:rsidRPr="00E671CF">
        <w:rPr>
          <w:b/>
          <w:bCs/>
          <w:i w:val="0"/>
          <w:iCs/>
          <w:sz w:val="24"/>
        </w:rPr>
        <w:t xml:space="preserve">he California Migrant Education </w:t>
      </w:r>
      <w:r w:rsidRPr="00E671CF">
        <w:rPr>
          <w:b/>
          <w:bCs/>
          <w:i w:val="0"/>
          <w:iCs/>
          <w:sz w:val="24"/>
        </w:rPr>
        <w:t>Program</w:t>
      </w:r>
      <w:bookmarkEnd w:id="10"/>
    </w:p>
    <w:p w14:paraId="50E41E57" w14:textId="00DAECD3" w:rsidR="00424E1D" w:rsidRPr="00113364" w:rsidRDefault="008D50AC" w:rsidP="008D50AC">
      <w:pPr>
        <w:spacing w:before="240" w:after="240"/>
      </w:pPr>
      <w:r w:rsidRPr="00113364">
        <w:rPr>
          <w:rFonts w:ascii="Arial" w:hAnsi="Arial" w:cs="Arial"/>
          <w:b/>
          <w:bCs/>
          <w:noProof/>
          <w:shd w:val="clear" w:color="auto" w:fill="FFFFFF" w:themeFill="background1"/>
        </w:rPr>
        <w:drawing>
          <wp:inline distT="0" distB="0" distL="0" distR="0" wp14:anchorId="61FD6052" wp14:editId="12903154">
            <wp:extent cx="5724525" cy="1828800"/>
            <wp:effectExtent l="0" t="0" r="9525" b="19050"/>
            <wp:docPr id="903082712" name="Diagram 1" descr="Figure 1 is described in the paragraph before. It is the structure of the CA Migrant Education Pro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A6CCFBD" w14:textId="77777777" w:rsidR="00C83239" w:rsidRPr="00E671CF" w:rsidRDefault="00C83239" w:rsidP="00E671CF">
      <w:pPr>
        <w:pStyle w:val="Heading4"/>
        <w:rPr>
          <w:rStyle w:val="Heading5Char"/>
          <w:i w:val="0"/>
        </w:rPr>
      </w:pPr>
      <w:r w:rsidRPr="00E671CF">
        <w:rPr>
          <w:rStyle w:val="Heading5Char"/>
          <w:rFonts w:eastAsia="Calibri"/>
          <w:i w:val="0"/>
        </w:rPr>
        <w:t>Characteristics of California’</w:t>
      </w:r>
      <w:r w:rsidR="000C6D1F" w:rsidRPr="00E671CF">
        <w:rPr>
          <w:rStyle w:val="Heading5Char"/>
          <w:rFonts w:eastAsia="Calibri"/>
          <w:i w:val="0"/>
        </w:rPr>
        <w:t>s Migra</w:t>
      </w:r>
      <w:r w:rsidRPr="00E671CF">
        <w:rPr>
          <w:rStyle w:val="Heading5Char"/>
          <w:rFonts w:eastAsia="Calibri"/>
          <w:i w:val="0"/>
        </w:rPr>
        <w:t>t</w:t>
      </w:r>
      <w:r w:rsidR="000C6D1F" w:rsidRPr="00E671CF">
        <w:rPr>
          <w:rStyle w:val="Heading5Char"/>
          <w:rFonts w:eastAsia="Calibri"/>
          <w:i w:val="0"/>
        </w:rPr>
        <w:t>ory</w:t>
      </w:r>
      <w:r w:rsidRPr="00E671CF">
        <w:rPr>
          <w:rStyle w:val="Heading5Char"/>
          <w:rFonts w:eastAsia="Calibri"/>
          <w:i w:val="0"/>
        </w:rPr>
        <w:t xml:space="preserve"> Population</w:t>
      </w:r>
    </w:p>
    <w:p w14:paraId="1E4E8382" w14:textId="3F525ECF" w:rsidR="00641790" w:rsidRPr="00113364" w:rsidRDefault="00641790" w:rsidP="00641790">
      <w:pPr>
        <w:pStyle w:val="NormalWeb"/>
        <w:spacing w:before="0" w:beforeAutospacing="0" w:after="240" w:afterAutospacing="0"/>
        <w:rPr>
          <w:rFonts w:ascii="Arial" w:hAnsi="Arial" w:cs="Arial"/>
        </w:rPr>
      </w:pPr>
      <w:r w:rsidRPr="00113364">
        <w:rPr>
          <w:rFonts w:ascii="Arial" w:hAnsi="Arial" w:cs="Arial"/>
        </w:rPr>
        <w:t xml:space="preserve">To meet federal reporting requirements and to focus continuous improvement efforts, the California MEP built the Migrant Student Information Network (MSIN). </w:t>
      </w:r>
      <w:proofErr w:type="gramStart"/>
      <w:r w:rsidRPr="00113364">
        <w:rPr>
          <w:rFonts w:ascii="Arial" w:hAnsi="Arial" w:cs="Arial"/>
        </w:rPr>
        <w:t>The MSIN</w:t>
      </w:r>
      <w:proofErr w:type="gramEnd"/>
      <w:r w:rsidRPr="00113364">
        <w:rPr>
          <w:rFonts w:ascii="Arial" w:hAnsi="Arial" w:cs="Arial"/>
        </w:rPr>
        <w:t xml:space="preserve"> is a </w:t>
      </w:r>
      <w:r w:rsidR="00576D3E">
        <w:rPr>
          <w:rFonts w:ascii="Arial" w:hAnsi="Arial" w:cs="Arial"/>
        </w:rPr>
        <w:t>statewide</w:t>
      </w:r>
      <w:r w:rsidRPr="00113364">
        <w:rPr>
          <w:rFonts w:ascii="Arial" w:hAnsi="Arial" w:cs="Arial"/>
        </w:rPr>
        <w:t xml:space="preserve"> student information system for California’s migratory child and youth population.</w:t>
      </w:r>
    </w:p>
    <w:p w14:paraId="7794CE91" w14:textId="709042DA" w:rsidR="00103B6A" w:rsidRPr="00113364" w:rsidRDefault="00641790" w:rsidP="00103B6A">
      <w:pPr>
        <w:spacing w:after="240"/>
        <w:rPr>
          <w:rFonts w:ascii="Arial" w:hAnsi="Arial" w:cs="Arial"/>
        </w:rPr>
      </w:pPr>
      <w:bookmarkStart w:id="11" w:name="_Hlk191381779"/>
      <w:r w:rsidRPr="00113364">
        <w:rPr>
          <w:rFonts w:ascii="Arial" w:hAnsi="Arial" w:cs="Arial"/>
        </w:rPr>
        <w:t>California continues to have the largest migratory student population, as it lead</w:t>
      </w:r>
      <w:r w:rsidR="00615FDA" w:rsidRPr="00113364">
        <w:rPr>
          <w:rFonts w:ascii="Arial" w:hAnsi="Arial" w:cs="Arial"/>
        </w:rPr>
        <w:t>s</w:t>
      </w:r>
      <w:r w:rsidRPr="00113364">
        <w:rPr>
          <w:rFonts w:ascii="Arial" w:hAnsi="Arial" w:cs="Arial"/>
        </w:rPr>
        <w:t xml:space="preserve"> </w:t>
      </w:r>
      <w:r w:rsidR="00615FDA" w:rsidRPr="00113364">
        <w:rPr>
          <w:rFonts w:ascii="Arial" w:hAnsi="Arial" w:cs="Arial"/>
        </w:rPr>
        <w:t xml:space="preserve">the country </w:t>
      </w:r>
      <w:r w:rsidRPr="00113364">
        <w:rPr>
          <w:rFonts w:ascii="Arial" w:hAnsi="Arial" w:cs="Arial"/>
        </w:rPr>
        <w:t>in cash farm receipts.</w:t>
      </w:r>
      <w:r w:rsidRPr="00113364">
        <w:rPr>
          <w:rStyle w:val="FootnoteReference"/>
          <w:rFonts w:ascii="Arial" w:hAnsi="Arial" w:cs="Arial"/>
        </w:rPr>
        <w:footnoteReference w:id="3"/>
      </w:r>
      <w:r w:rsidRPr="00113364">
        <w:rPr>
          <w:rFonts w:ascii="Arial" w:hAnsi="Arial" w:cs="Arial"/>
        </w:rPr>
        <w:t xml:space="preserve"> California provides </w:t>
      </w:r>
      <w:r w:rsidR="00615FDA" w:rsidRPr="00113364">
        <w:rPr>
          <w:rFonts w:ascii="Arial" w:hAnsi="Arial" w:cs="Arial"/>
        </w:rPr>
        <w:t xml:space="preserve">more than </w:t>
      </w:r>
      <w:r w:rsidRPr="00113364">
        <w:rPr>
          <w:rFonts w:ascii="Arial" w:hAnsi="Arial" w:cs="Arial"/>
        </w:rPr>
        <w:t xml:space="preserve">a third of the country’s vegetables and approximately three quarters of the United States’ fruits and nuts. The California Department of Food </w:t>
      </w:r>
      <w:r w:rsidR="00615FDA" w:rsidRPr="00113364">
        <w:rPr>
          <w:rFonts w:ascii="Arial" w:hAnsi="Arial" w:cs="Arial"/>
        </w:rPr>
        <w:t>and</w:t>
      </w:r>
      <w:r w:rsidRPr="00113364">
        <w:rPr>
          <w:rFonts w:ascii="Arial" w:hAnsi="Arial" w:cs="Arial"/>
        </w:rPr>
        <w:t xml:space="preserve"> Agriculture notes that California’s leading top ten exports in 2022, by value, were dairy products, grapes, cattle and calves, almonds, lettuce, strawberries, pistachios, broilers, tomatoes, and carrots. </w:t>
      </w:r>
      <w:r w:rsidR="00A854D6" w:rsidRPr="00113364">
        <w:rPr>
          <w:rFonts w:ascii="Arial" w:hAnsi="Arial" w:cs="Arial"/>
        </w:rPr>
        <w:t>Because of</w:t>
      </w:r>
      <w:r w:rsidRPr="00113364">
        <w:rPr>
          <w:rFonts w:ascii="Arial" w:hAnsi="Arial" w:cs="Arial"/>
        </w:rPr>
        <w:t xml:space="preserve"> the high need for agricultural labor, the state’s migratory population is more than twice that of Washington, which is home to the second largest migratory population in the country. </w:t>
      </w:r>
      <w:r w:rsidR="00081F0A">
        <w:rPr>
          <w:rFonts w:ascii="Arial" w:hAnsi="Arial" w:cs="Arial"/>
        </w:rPr>
        <w:t xml:space="preserve"> </w:t>
      </w:r>
      <w:r w:rsidRPr="00113364">
        <w:rPr>
          <w:rFonts w:ascii="Arial" w:hAnsi="Arial" w:cs="Arial"/>
        </w:rPr>
        <w:t>In 2022–23, the U.S. Department of Education (ED) reported a total of 260,710 eligible migratory children and youth of which 75,647</w:t>
      </w:r>
      <w:r w:rsidRPr="00113364">
        <w:rPr>
          <w:rStyle w:val="FootnoteReference"/>
          <w:rFonts w:ascii="Arial" w:hAnsi="Arial" w:cs="Arial"/>
        </w:rPr>
        <w:footnoteReference w:id="4"/>
      </w:r>
      <w:r w:rsidRPr="00113364">
        <w:rPr>
          <w:rFonts w:ascii="Arial" w:hAnsi="Arial" w:cs="Arial"/>
        </w:rPr>
        <w:t xml:space="preserve"> migratory children eligible for services resided in California (29 percent of the national total).</w:t>
      </w:r>
      <w:bookmarkEnd w:id="11"/>
      <w:r w:rsidRPr="00113364">
        <w:rPr>
          <w:rFonts w:ascii="Arial" w:hAnsi="Arial" w:cs="Arial"/>
        </w:rPr>
        <w:t xml:space="preserve"> The second largest migratory population resided in Washington with 29,619 migratory children eligible for services</w:t>
      </w:r>
      <w:r w:rsidR="00103B6A" w:rsidRPr="00113364">
        <w:rPr>
          <w:rFonts w:ascii="Arial" w:hAnsi="Arial" w:cs="Arial"/>
        </w:rPr>
        <w:t xml:space="preserve"> (11 percent of the national total). Although the last two performance periods showed </w:t>
      </w:r>
      <w:r w:rsidR="00103B6A" w:rsidRPr="00113364">
        <w:rPr>
          <w:rFonts w:ascii="Arial" w:hAnsi="Arial" w:cs="Arial"/>
        </w:rPr>
        <w:lastRenderedPageBreak/>
        <w:t xml:space="preserve">slight increases, California’s migratory population has been on the decline since </w:t>
      </w:r>
      <w:r w:rsidR="009B7DFD">
        <w:rPr>
          <w:rFonts w:ascii="Arial" w:hAnsi="Arial" w:cs="Arial"/>
        </w:rPr>
        <w:t xml:space="preserve">   </w:t>
      </w:r>
      <w:r w:rsidR="00103B6A" w:rsidRPr="00113364">
        <w:rPr>
          <w:rFonts w:ascii="Arial" w:hAnsi="Arial" w:cs="Arial"/>
        </w:rPr>
        <w:t xml:space="preserve">2014–15, </w:t>
      </w:r>
      <w:proofErr w:type="gramStart"/>
      <w:r w:rsidR="00103B6A" w:rsidRPr="00113364">
        <w:rPr>
          <w:rFonts w:ascii="Arial" w:hAnsi="Arial" w:cs="Arial"/>
        </w:rPr>
        <w:t>similar to</w:t>
      </w:r>
      <w:proofErr w:type="gramEnd"/>
      <w:r w:rsidR="00103B6A" w:rsidRPr="00113364">
        <w:rPr>
          <w:rFonts w:ascii="Arial" w:hAnsi="Arial" w:cs="Arial"/>
        </w:rPr>
        <w:t xml:space="preserve"> other Title I, Part C funded programs. </w:t>
      </w:r>
    </w:p>
    <w:p w14:paraId="22C57EF9" w14:textId="35DE78E9" w:rsidR="00103B6A" w:rsidRPr="00113364" w:rsidRDefault="00103B6A" w:rsidP="00103B6A">
      <w:pPr>
        <w:spacing w:after="240"/>
        <w:rPr>
          <w:rFonts w:ascii="Arial" w:hAnsi="Arial" w:cs="Arial"/>
        </w:rPr>
      </w:pPr>
      <w:r w:rsidRPr="00113364">
        <w:rPr>
          <w:rFonts w:ascii="Arial" w:hAnsi="Arial" w:cs="Arial"/>
        </w:rPr>
        <w:t xml:space="preserve">While California’s migratory population remains the largest in the nation, California’s MSIN migratory child count decreased to 74,655 in 2022–23, a decrease of nearly 12 percent compared to the numbers identified in 2017–18; however, there was a slight increase between </w:t>
      </w:r>
      <w:r w:rsidR="00BD1A14">
        <w:rPr>
          <w:rFonts w:ascii="Arial" w:hAnsi="Arial" w:cs="Arial"/>
        </w:rPr>
        <w:t xml:space="preserve">2020–21 to </w:t>
      </w:r>
      <w:r w:rsidRPr="00113364">
        <w:rPr>
          <w:rFonts w:ascii="Arial" w:hAnsi="Arial" w:cs="Arial"/>
        </w:rPr>
        <w:t>2021–22 and</w:t>
      </w:r>
      <w:r w:rsidR="00BD1A14">
        <w:rPr>
          <w:rFonts w:ascii="Arial" w:hAnsi="Arial" w:cs="Arial"/>
        </w:rPr>
        <w:t xml:space="preserve"> again in</w:t>
      </w:r>
      <w:r w:rsidRPr="00113364">
        <w:rPr>
          <w:rFonts w:ascii="Arial" w:hAnsi="Arial" w:cs="Arial"/>
        </w:rPr>
        <w:t xml:space="preserve"> 2022–23 of about 1,000 children and youths. When reviewing specific age spans for 2022–23, we see increases in preschool aged children, high school youth between the ages of </w:t>
      </w:r>
      <w:r w:rsidR="00023F6E" w:rsidRPr="00113364">
        <w:rPr>
          <w:rFonts w:ascii="Arial" w:hAnsi="Arial" w:cs="Arial"/>
        </w:rPr>
        <w:t>sixteen</w:t>
      </w:r>
      <w:r w:rsidRPr="00113364">
        <w:rPr>
          <w:rFonts w:ascii="Arial" w:hAnsi="Arial" w:cs="Arial"/>
        </w:rPr>
        <w:t xml:space="preserve"> and </w:t>
      </w:r>
      <w:r w:rsidR="00023F6E" w:rsidRPr="00113364">
        <w:rPr>
          <w:rFonts w:ascii="Arial" w:hAnsi="Arial" w:cs="Arial"/>
        </w:rPr>
        <w:t>eighteen</w:t>
      </w:r>
      <w:r w:rsidRPr="00113364">
        <w:rPr>
          <w:rFonts w:ascii="Arial" w:hAnsi="Arial" w:cs="Arial"/>
        </w:rPr>
        <w:t xml:space="preserve"> years and OSY ages </w:t>
      </w:r>
      <w:r w:rsidR="00023F6E" w:rsidRPr="00113364">
        <w:rPr>
          <w:rFonts w:ascii="Arial" w:hAnsi="Arial" w:cs="Arial"/>
        </w:rPr>
        <w:t>nineteen</w:t>
      </w:r>
      <w:r w:rsidRPr="00113364">
        <w:rPr>
          <w:rFonts w:ascii="Arial" w:hAnsi="Arial" w:cs="Arial"/>
        </w:rPr>
        <w:t xml:space="preserve"> to </w:t>
      </w:r>
      <w:r w:rsidR="00023F6E" w:rsidRPr="00113364">
        <w:rPr>
          <w:rFonts w:ascii="Arial" w:hAnsi="Arial" w:cs="Arial"/>
        </w:rPr>
        <w:t>twenty-one</w:t>
      </w:r>
      <w:r w:rsidRPr="00113364">
        <w:rPr>
          <w:rFonts w:ascii="Arial" w:hAnsi="Arial" w:cs="Arial"/>
        </w:rPr>
        <w:t xml:space="preserve"> years old. Decreases in the number of students for ages six through </w:t>
      </w:r>
      <w:r w:rsidR="00023F6E" w:rsidRPr="00113364">
        <w:rPr>
          <w:rFonts w:ascii="Arial" w:hAnsi="Arial" w:cs="Arial"/>
        </w:rPr>
        <w:t>fifteen</w:t>
      </w:r>
      <w:r w:rsidRPr="00113364">
        <w:rPr>
          <w:rFonts w:ascii="Arial" w:hAnsi="Arial" w:cs="Arial"/>
        </w:rPr>
        <w:t xml:space="preserve"> occurred in 2022–23 although the data </w:t>
      </w:r>
      <w:r w:rsidR="00810DB5" w:rsidRPr="00113364">
        <w:rPr>
          <w:rFonts w:ascii="Arial" w:hAnsi="Arial" w:cs="Arial"/>
        </w:rPr>
        <w:t xml:space="preserve">show </w:t>
      </w:r>
      <w:r w:rsidRPr="00113364">
        <w:rPr>
          <w:rFonts w:ascii="Arial" w:hAnsi="Arial" w:cs="Arial"/>
        </w:rPr>
        <w:t xml:space="preserve">that decreases were minimal. </w:t>
      </w:r>
      <w:r w:rsidR="00023F6E" w:rsidRPr="00113364">
        <w:rPr>
          <w:rFonts w:ascii="Arial" w:hAnsi="Arial" w:cs="Arial"/>
        </w:rPr>
        <w:t>Figure 2</w:t>
      </w:r>
      <w:r w:rsidRPr="00113364">
        <w:rPr>
          <w:rFonts w:ascii="Arial" w:hAnsi="Arial" w:cs="Arial"/>
        </w:rPr>
        <w:t xml:space="preserve"> shows the trend</w:t>
      </w:r>
      <w:r w:rsidR="00810DB5" w:rsidRPr="00113364">
        <w:rPr>
          <w:rFonts w:ascii="Arial" w:hAnsi="Arial" w:cs="Arial"/>
        </w:rPr>
        <w:t>s</w:t>
      </w:r>
      <w:r w:rsidRPr="00113364">
        <w:rPr>
          <w:rFonts w:ascii="Arial" w:hAnsi="Arial" w:cs="Arial"/>
        </w:rPr>
        <w:t xml:space="preserve"> in </w:t>
      </w:r>
      <w:r w:rsidR="00810DB5" w:rsidRPr="00113364">
        <w:rPr>
          <w:rFonts w:ascii="Arial" w:hAnsi="Arial" w:cs="Arial"/>
        </w:rPr>
        <w:t xml:space="preserve">the state’s </w:t>
      </w:r>
      <w:r w:rsidRPr="00113364">
        <w:rPr>
          <w:rFonts w:ascii="Arial" w:hAnsi="Arial" w:cs="Arial"/>
        </w:rPr>
        <w:t xml:space="preserve">migratory children population size between 2017–18 and 2022–23. </w:t>
      </w:r>
    </w:p>
    <w:p w14:paraId="2F033766" w14:textId="7C01A734" w:rsidR="00641790" w:rsidRPr="00E671CF" w:rsidRDefault="00A324FB" w:rsidP="00E671CF">
      <w:pPr>
        <w:pStyle w:val="Heading5"/>
        <w:rPr>
          <w:b/>
          <w:bCs/>
          <w:i w:val="0"/>
          <w:iCs/>
          <w:sz w:val="24"/>
        </w:rPr>
      </w:pPr>
      <w:bookmarkStart w:id="12" w:name="_Toc203645053"/>
      <w:r w:rsidRPr="00E671CF">
        <w:rPr>
          <w:b/>
          <w:bCs/>
          <w:i w:val="0"/>
          <w:iCs/>
          <w:sz w:val="24"/>
        </w:rPr>
        <w:t xml:space="preserve">Figure </w:t>
      </w:r>
      <w:r w:rsidR="00C3523A" w:rsidRPr="00E671CF">
        <w:rPr>
          <w:b/>
          <w:bCs/>
          <w:i w:val="0"/>
          <w:iCs/>
          <w:sz w:val="24"/>
        </w:rPr>
        <w:fldChar w:fldCharType="begin"/>
      </w:r>
      <w:r w:rsidR="00C3523A" w:rsidRPr="00E671CF">
        <w:rPr>
          <w:b/>
          <w:bCs/>
          <w:i w:val="0"/>
          <w:iCs/>
          <w:sz w:val="24"/>
        </w:rPr>
        <w:instrText xml:space="preserve"> SEQ Figure \* ARABIC </w:instrText>
      </w:r>
      <w:r w:rsidR="00C3523A" w:rsidRPr="00E671CF">
        <w:rPr>
          <w:b/>
          <w:bCs/>
          <w:i w:val="0"/>
          <w:iCs/>
          <w:sz w:val="24"/>
        </w:rPr>
        <w:fldChar w:fldCharType="separate"/>
      </w:r>
      <w:r w:rsidR="00C3523A" w:rsidRPr="00E671CF">
        <w:rPr>
          <w:b/>
          <w:bCs/>
          <w:i w:val="0"/>
          <w:iCs/>
          <w:noProof/>
          <w:sz w:val="24"/>
        </w:rPr>
        <w:t>2</w:t>
      </w:r>
      <w:r w:rsidR="00C3523A" w:rsidRPr="00E671CF">
        <w:rPr>
          <w:b/>
          <w:bCs/>
          <w:i w:val="0"/>
          <w:iCs/>
          <w:noProof/>
          <w:sz w:val="24"/>
        </w:rPr>
        <w:fldChar w:fldCharType="end"/>
      </w:r>
      <w:r w:rsidRPr="00E671CF">
        <w:rPr>
          <w:rStyle w:val="Heading5Char"/>
          <w:rFonts w:eastAsia="Calibri" w:cs="Arial"/>
          <w:b/>
          <w:bCs/>
          <w:i/>
          <w:iCs/>
          <w:color w:val="1F3864" w:themeColor="accent5" w:themeShade="80"/>
          <w:sz w:val="24"/>
        </w:rPr>
        <w:t>.</w:t>
      </w:r>
      <w:r w:rsidRPr="00E671CF">
        <w:rPr>
          <w:b/>
          <w:bCs/>
          <w:i w:val="0"/>
          <w:iCs/>
          <w:sz w:val="24"/>
        </w:rPr>
        <w:t xml:space="preserve"> Number of Migrant Education Program-Eligible Children and Youths, 2017–18 Through 2022–23</w:t>
      </w:r>
      <w:bookmarkEnd w:id="12"/>
    </w:p>
    <w:p w14:paraId="297113EE" w14:textId="77777777" w:rsidR="00641790" w:rsidRPr="00113364" w:rsidRDefault="00641790" w:rsidP="00641790">
      <w:pPr>
        <w:pStyle w:val="FigureCaption"/>
        <w:rPr>
          <w:sz w:val="24"/>
          <w:szCs w:val="24"/>
        </w:rPr>
      </w:pPr>
      <w:r w:rsidRPr="00113364">
        <w:rPr>
          <w:noProof/>
          <w:sz w:val="24"/>
          <w:szCs w:val="24"/>
          <w:lang w:eastAsia="en-US"/>
        </w:rPr>
        <w:drawing>
          <wp:inline distT="0" distB="0" distL="0" distR="0" wp14:anchorId="5E0A0F06" wp14:editId="3EC279D8">
            <wp:extent cx="5211472" cy="2738637"/>
            <wp:effectExtent l="0" t="0" r="8255" b="5080"/>
            <wp:docPr id="990813816" name="Picture 9" descr="Lollipop chart showing the number of MEP-eligible children and youths in 2017–18 through 2022–23. Table 1 below shows the data from Figure 2 in tabl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13816" name="Picture 9" descr="Lollipop chart showing the number of MEP-eligible children and youths in 2017–18 through 2022–23. Table 1 below shows the data from Figure 2 in table format."/>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315324" cy="2793211"/>
                    </a:xfrm>
                    <a:prstGeom prst="rect">
                      <a:avLst/>
                    </a:prstGeom>
                    <a:noFill/>
                    <a:ln>
                      <a:noFill/>
                    </a:ln>
                  </pic:spPr>
                </pic:pic>
              </a:graphicData>
            </a:graphic>
          </wp:inline>
        </w:drawing>
      </w:r>
    </w:p>
    <w:p w14:paraId="72165D10" w14:textId="77777777" w:rsidR="00641790" w:rsidRPr="00113364" w:rsidRDefault="00641790" w:rsidP="00C46CA6">
      <w:pPr>
        <w:pStyle w:val="TableorFiguresNotesSources"/>
        <w:spacing w:after="240" w:line="240" w:lineRule="auto"/>
        <w:rPr>
          <w:color w:val="auto"/>
        </w:rPr>
      </w:pPr>
      <w:r w:rsidRPr="00113364">
        <w:rPr>
          <w:color w:val="auto"/>
        </w:rPr>
        <w:t xml:space="preserve">Source: The </w:t>
      </w:r>
      <w:bookmarkStart w:id="13" w:name="_Hlk158743482"/>
      <w:r w:rsidRPr="00113364">
        <w:rPr>
          <w:color w:val="auto"/>
        </w:rPr>
        <w:t>MSIN Databases for the MEP</w:t>
      </w:r>
      <w:bookmarkEnd w:id="13"/>
      <w:r w:rsidRPr="00113364">
        <w:rPr>
          <w:color w:val="auto"/>
        </w:rPr>
        <w:t>, 2017–18 through 2022–23.</w:t>
      </w:r>
    </w:p>
    <w:p w14:paraId="0365580C" w14:textId="77777777" w:rsidR="00C46CA6" w:rsidRPr="00113364" w:rsidRDefault="00C46CA6">
      <w:pPr>
        <w:rPr>
          <w:rFonts w:ascii="Arial" w:eastAsia="Times New Roman" w:hAnsi="Arial" w:cs="Arial"/>
          <w:b/>
          <w:lang w:eastAsia="zh-CN"/>
        </w:rPr>
      </w:pPr>
      <w:r w:rsidRPr="00113364">
        <w:br w:type="page"/>
      </w:r>
    </w:p>
    <w:p w14:paraId="5703F3F8" w14:textId="0C672B1D" w:rsidR="00A324FB" w:rsidRPr="00113364" w:rsidRDefault="00C46CA6" w:rsidP="00E30F49">
      <w:pPr>
        <w:pStyle w:val="Heading6"/>
        <w:rPr>
          <w:color w:val="1F3864" w:themeColor="accent5" w:themeShade="80"/>
        </w:rPr>
      </w:pPr>
      <w:bookmarkStart w:id="14" w:name="_Toc204755337"/>
      <w:r w:rsidRPr="00113364">
        <w:lastRenderedPageBreak/>
        <w:t xml:space="preserve">Table </w:t>
      </w:r>
      <w:fldSimple w:instr=" SEQ Table \* ARABIC ">
        <w:r w:rsidR="001362A0">
          <w:rPr>
            <w:noProof/>
          </w:rPr>
          <w:t>1</w:t>
        </w:r>
      </w:fldSimple>
      <w:r w:rsidRPr="00113364">
        <w:t>. Number of Migrant Education Program–Eligible Children and Youths, 2017–18 Through 2022–23</w:t>
      </w:r>
      <w:bookmarkEnd w:id="14"/>
    </w:p>
    <w:tbl>
      <w:tblPr>
        <w:tblStyle w:val="ListTable3-Accent5"/>
        <w:tblW w:w="9216" w:type="dxa"/>
        <w:tblLayout w:type="fixed"/>
        <w:tblCellMar>
          <w:right w:w="108" w:type="dxa"/>
        </w:tblCellMar>
        <w:tblLook w:val="04A0" w:firstRow="1" w:lastRow="0" w:firstColumn="1" w:lastColumn="0" w:noHBand="0" w:noVBand="1"/>
        <w:tblDescription w:val="Number of Migrant Education Program Eligible Children and Youths, 2017-18 through 2022-23."/>
      </w:tblPr>
      <w:tblGrid>
        <w:gridCol w:w="1872"/>
        <w:gridCol w:w="1224"/>
        <w:gridCol w:w="1224"/>
        <w:gridCol w:w="1224"/>
        <w:gridCol w:w="1224"/>
        <w:gridCol w:w="1224"/>
        <w:gridCol w:w="1224"/>
      </w:tblGrid>
      <w:tr w:rsidR="00641790" w:rsidRPr="00113364" w14:paraId="50B3AEF2" w14:textId="77777777" w:rsidTr="00EB4984">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1872" w:type="dxa"/>
            <w:noWrap/>
            <w:hideMark/>
          </w:tcPr>
          <w:p w14:paraId="2DD70E1B" w14:textId="77777777" w:rsidR="00641790" w:rsidRPr="00113364" w:rsidRDefault="00641790" w:rsidP="00EB4984">
            <w:pPr>
              <w:pStyle w:val="TableHeaderRow"/>
              <w:rPr>
                <w:lang w:val="en-US"/>
              </w:rPr>
            </w:pPr>
            <w:r w:rsidRPr="00113364">
              <w:rPr>
                <w:lang w:val="en-US"/>
              </w:rPr>
              <w:t>Performance Period</w:t>
            </w:r>
          </w:p>
        </w:tc>
        <w:tc>
          <w:tcPr>
            <w:tcW w:w="1224" w:type="dxa"/>
            <w:hideMark/>
          </w:tcPr>
          <w:p w14:paraId="2E44F594" w14:textId="77777777" w:rsidR="00641790" w:rsidRPr="00113364" w:rsidRDefault="00641790" w:rsidP="00EB4984">
            <w:pPr>
              <w:pStyle w:val="TableHeaderRow"/>
              <w:cnfStyle w:val="100000000000" w:firstRow="1" w:lastRow="0" w:firstColumn="0" w:lastColumn="0" w:oddVBand="0" w:evenVBand="0" w:oddHBand="0" w:evenHBand="0" w:firstRowFirstColumn="0" w:firstRowLastColumn="0" w:lastRowFirstColumn="0" w:lastRowLastColumn="0"/>
              <w:rPr>
                <w:lang w:val="en-US"/>
              </w:rPr>
            </w:pPr>
            <w:r w:rsidRPr="00113364">
              <w:rPr>
                <w:lang w:val="en-US"/>
              </w:rPr>
              <w:t>2017–18</w:t>
            </w:r>
          </w:p>
        </w:tc>
        <w:tc>
          <w:tcPr>
            <w:tcW w:w="1224" w:type="dxa"/>
            <w:hideMark/>
          </w:tcPr>
          <w:p w14:paraId="268E0B74" w14:textId="77777777" w:rsidR="00641790" w:rsidRPr="00113364" w:rsidRDefault="00641790" w:rsidP="00EB4984">
            <w:pPr>
              <w:pStyle w:val="TableHeaderRow"/>
              <w:cnfStyle w:val="100000000000" w:firstRow="1" w:lastRow="0" w:firstColumn="0" w:lastColumn="0" w:oddVBand="0" w:evenVBand="0" w:oddHBand="0" w:evenHBand="0" w:firstRowFirstColumn="0" w:firstRowLastColumn="0" w:lastRowFirstColumn="0" w:lastRowLastColumn="0"/>
              <w:rPr>
                <w:lang w:val="en-US"/>
              </w:rPr>
            </w:pPr>
            <w:r w:rsidRPr="00113364">
              <w:rPr>
                <w:lang w:val="en-US"/>
              </w:rPr>
              <w:t>2018–19</w:t>
            </w:r>
          </w:p>
        </w:tc>
        <w:tc>
          <w:tcPr>
            <w:tcW w:w="1224" w:type="dxa"/>
            <w:hideMark/>
          </w:tcPr>
          <w:p w14:paraId="325A2F11" w14:textId="77777777" w:rsidR="00641790" w:rsidRPr="00113364" w:rsidRDefault="00641790" w:rsidP="00EB4984">
            <w:pPr>
              <w:pStyle w:val="TableHeaderRow"/>
              <w:cnfStyle w:val="100000000000" w:firstRow="1" w:lastRow="0" w:firstColumn="0" w:lastColumn="0" w:oddVBand="0" w:evenVBand="0" w:oddHBand="0" w:evenHBand="0" w:firstRowFirstColumn="0" w:firstRowLastColumn="0" w:lastRowFirstColumn="0" w:lastRowLastColumn="0"/>
              <w:rPr>
                <w:lang w:val="en-US"/>
              </w:rPr>
            </w:pPr>
            <w:r w:rsidRPr="00113364">
              <w:rPr>
                <w:lang w:val="en-US"/>
              </w:rPr>
              <w:t>2019–20</w:t>
            </w:r>
          </w:p>
        </w:tc>
        <w:tc>
          <w:tcPr>
            <w:tcW w:w="1224" w:type="dxa"/>
            <w:hideMark/>
          </w:tcPr>
          <w:p w14:paraId="48CC756B" w14:textId="77777777" w:rsidR="00641790" w:rsidRPr="00113364" w:rsidRDefault="00641790" w:rsidP="00EB4984">
            <w:pPr>
              <w:pStyle w:val="TableHeaderRow"/>
              <w:cnfStyle w:val="100000000000" w:firstRow="1" w:lastRow="0" w:firstColumn="0" w:lastColumn="0" w:oddVBand="0" w:evenVBand="0" w:oddHBand="0" w:evenHBand="0" w:firstRowFirstColumn="0" w:firstRowLastColumn="0" w:lastRowFirstColumn="0" w:lastRowLastColumn="0"/>
              <w:rPr>
                <w:lang w:val="en-US"/>
              </w:rPr>
            </w:pPr>
            <w:r w:rsidRPr="00113364">
              <w:rPr>
                <w:lang w:val="en-US"/>
              </w:rPr>
              <w:t>2020–21</w:t>
            </w:r>
          </w:p>
        </w:tc>
        <w:tc>
          <w:tcPr>
            <w:tcW w:w="1224" w:type="dxa"/>
            <w:hideMark/>
          </w:tcPr>
          <w:p w14:paraId="66C16655" w14:textId="77777777" w:rsidR="00641790" w:rsidRPr="00113364" w:rsidRDefault="00641790" w:rsidP="00EB4984">
            <w:pPr>
              <w:pStyle w:val="TableHeaderRow"/>
              <w:cnfStyle w:val="100000000000" w:firstRow="1" w:lastRow="0" w:firstColumn="0" w:lastColumn="0" w:oddVBand="0" w:evenVBand="0" w:oddHBand="0" w:evenHBand="0" w:firstRowFirstColumn="0" w:firstRowLastColumn="0" w:lastRowFirstColumn="0" w:lastRowLastColumn="0"/>
              <w:rPr>
                <w:lang w:val="en-US"/>
              </w:rPr>
            </w:pPr>
            <w:r w:rsidRPr="00113364">
              <w:rPr>
                <w:lang w:val="en-US"/>
              </w:rPr>
              <w:t xml:space="preserve">2021–22 </w:t>
            </w:r>
          </w:p>
        </w:tc>
        <w:tc>
          <w:tcPr>
            <w:tcW w:w="1224" w:type="dxa"/>
          </w:tcPr>
          <w:p w14:paraId="247FAA44" w14:textId="77777777" w:rsidR="00641790" w:rsidRPr="00113364" w:rsidRDefault="00641790" w:rsidP="00EB4984">
            <w:pPr>
              <w:pStyle w:val="TableHeaderRow"/>
              <w:cnfStyle w:val="100000000000" w:firstRow="1" w:lastRow="0" w:firstColumn="0" w:lastColumn="0" w:oddVBand="0" w:evenVBand="0" w:oddHBand="0" w:evenHBand="0" w:firstRowFirstColumn="0" w:firstRowLastColumn="0" w:lastRowFirstColumn="0" w:lastRowLastColumn="0"/>
              <w:rPr>
                <w:lang w:val="en-US"/>
              </w:rPr>
            </w:pPr>
            <w:r w:rsidRPr="00113364">
              <w:rPr>
                <w:lang w:val="en-US"/>
              </w:rPr>
              <w:t>2022–23</w:t>
            </w:r>
          </w:p>
        </w:tc>
      </w:tr>
      <w:tr w:rsidR="00641790" w:rsidRPr="00113364" w14:paraId="2BF68798" w14:textId="77777777" w:rsidTr="00EB4984">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872" w:type="dxa"/>
            <w:shd w:val="clear" w:color="auto" w:fill="BDD6EE" w:themeFill="accent1" w:themeFillTint="66"/>
            <w:noWrap/>
            <w:hideMark/>
          </w:tcPr>
          <w:p w14:paraId="184B5541" w14:textId="77777777" w:rsidR="00641790" w:rsidRPr="00113364" w:rsidRDefault="00641790" w:rsidP="00EB4984">
            <w:pPr>
              <w:pStyle w:val="TableCategoryText"/>
              <w:rPr>
                <w:lang w:val="en-US"/>
              </w:rPr>
            </w:pPr>
            <w:r w:rsidRPr="00113364">
              <w:rPr>
                <w:lang w:val="en-US"/>
              </w:rPr>
              <w:t>Number of MEP-eligible children and youths</w:t>
            </w:r>
          </w:p>
        </w:tc>
        <w:tc>
          <w:tcPr>
            <w:tcW w:w="1224" w:type="dxa"/>
            <w:shd w:val="clear" w:color="auto" w:fill="D9E2F3" w:themeFill="accent5" w:themeFillTint="33"/>
            <w:hideMark/>
          </w:tcPr>
          <w:p w14:paraId="1D126233" w14:textId="77777777" w:rsidR="00641790" w:rsidRPr="00113364" w:rsidRDefault="00641790" w:rsidP="00EB4984">
            <w:pPr>
              <w:pStyle w:val="TableBodyText"/>
              <w:cnfStyle w:val="000000100000" w:firstRow="0" w:lastRow="0" w:firstColumn="0" w:lastColumn="0" w:oddVBand="0" w:evenVBand="0" w:oddHBand="1" w:evenHBand="0" w:firstRowFirstColumn="0" w:firstRowLastColumn="0" w:lastRowFirstColumn="0" w:lastRowLastColumn="0"/>
              <w:rPr>
                <w:lang w:val="en-US"/>
              </w:rPr>
            </w:pPr>
            <w:r w:rsidRPr="003E4D7A">
              <w:rPr>
                <w:color w:val="auto"/>
                <w:lang w:val="en-US"/>
              </w:rPr>
              <w:t>85,198</w:t>
            </w:r>
          </w:p>
        </w:tc>
        <w:tc>
          <w:tcPr>
            <w:tcW w:w="1224" w:type="dxa"/>
            <w:shd w:val="clear" w:color="auto" w:fill="D9E2F3" w:themeFill="accent5" w:themeFillTint="33"/>
            <w:hideMark/>
          </w:tcPr>
          <w:p w14:paraId="654E1238" w14:textId="77777777" w:rsidR="00641790" w:rsidRPr="00113364" w:rsidRDefault="00641790" w:rsidP="00EB4984">
            <w:pPr>
              <w:pStyle w:val="TableBodyText"/>
              <w:cnfStyle w:val="000000100000" w:firstRow="0" w:lastRow="0" w:firstColumn="0" w:lastColumn="0" w:oddVBand="0" w:evenVBand="0" w:oddHBand="1" w:evenHBand="0" w:firstRowFirstColumn="0" w:firstRowLastColumn="0" w:lastRowFirstColumn="0" w:lastRowLastColumn="0"/>
              <w:rPr>
                <w:lang w:val="en-US"/>
              </w:rPr>
            </w:pPr>
            <w:r w:rsidRPr="003E4D7A">
              <w:rPr>
                <w:color w:val="auto"/>
                <w:lang w:val="en-US"/>
              </w:rPr>
              <w:t>82,171</w:t>
            </w:r>
          </w:p>
        </w:tc>
        <w:tc>
          <w:tcPr>
            <w:tcW w:w="1224" w:type="dxa"/>
            <w:shd w:val="clear" w:color="auto" w:fill="D9E2F3" w:themeFill="accent5" w:themeFillTint="33"/>
            <w:hideMark/>
          </w:tcPr>
          <w:p w14:paraId="7F1DEA6C" w14:textId="77777777" w:rsidR="00641790" w:rsidRPr="00113364" w:rsidRDefault="00641790" w:rsidP="00EB4984">
            <w:pPr>
              <w:pStyle w:val="TableBodyText"/>
              <w:cnfStyle w:val="000000100000" w:firstRow="0" w:lastRow="0" w:firstColumn="0" w:lastColumn="0" w:oddVBand="0" w:evenVBand="0" w:oddHBand="1" w:evenHBand="0" w:firstRowFirstColumn="0" w:firstRowLastColumn="0" w:lastRowFirstColumn="0" w:lastRowLastColumn="0"/>
              <w:rPr>
                <w:lang w:val="en-US"/>
              </w:rPr>
            </w:pPr>
            <w:r w:rsidRPr="003E4D7A">
              <w:rPr>
                <w:color w:val="auto"/>
                <w:lang w:val="en-US"/>
              </w:rPr>
              <w:t>75,631</w:t>
            </w:r>
          </w:p>
        </w:tc>
        <w:tc>
          <w:tcPr>
            <w:tcW w:w="1224" w:type="dxa"/>
            <w:shd w:val="clear" w:color="auto" w:fill="D9E2F3" w:themeFill="accent5" w:themeFillTint="33"/>
            <w:hideMark/>
          </w:tcPr>
          <w:p w14:paraId="39B729A5" w14:textId="77777777" w:rsidR="00641790" w:rsidRPr="00113364" w:rsidRDefault="00641790" w:rsidP="00EB4984">
            <w:pPr>
              <w:pStyle w:val="TableBodyText"/>
              <w:cnfStyle w:val="000000100000" w:firstRow="0" w:lastRow="0" w:firstColumn="0" w:lastColumn="0" w:oddVBand="0" w:evenVBand="0" w:oddHBand="1" w:evenHBand="0" w:firstRowFirstColumn="0" w:firstRowLastColumn="0" w:lastRowFirstColumn="0" w:lastRowLastColumn="0"/>
              <w:rPr>
                <w:lang w:val="en-US"/>
              </w:rPr>
            </w:pPr>
            <w:r w:rsidRPr="003E4D7A">
              <w:rPr>
                <w:color w:val="auto"/>
                <w:lang w:val="en-US"/>
              </w:rPr>
              <w:t>73,078</w:t>
            </w:r>
          </w:p>
        </w:tc>
        <w:tc>
          <w:tcPr>
            <w:tcW w:w="1224" w:type="dxa"/>
            <w:shd w:val="clear" w:color="auto" w:fill="D9E2F3" w:themeFill="accent5" w:themeFillTint="33"/>
            <w:hideMark/>
          </w:tcPr>
          <w:p w14:paraId="42C574E2" w14:textId="77777777" w:rsidR="00641790" w:rsidRPr="00113364" w:rsidRDefault="00641790" w:rsidP="00EB4984">
            <w:pPr>
              <w:pStyle w:val="TableBodyText"/>
              <w:cnfStyle w:val="000000100000" w:firstRow="0" w:lastRow="0" w:firstColumn="0" w:lastColumn="0" w:oddVBand="0" w:evenVBand="0" w:oddHBand="1" w:evenHBand="0" w:firstRowFirstColumn="0" w:firstRowLastColumn="0" w:lastRowFirstColumn="0" w:lastRowLastColumn="0"/>
              <w:rPr>
                <w:lang w:val="en-US"/>
              </w:rPr>
            </w:pPr>
            <w:r w:rsidRPr="003E4D7A">
              <w:rPr>
                <w:color w:val="auto"/>
                <w:lang w:val="en-US"/>
              </w:rPr>
              <w:t>73,698</w:t>
            </w:r>
          </w:p>
        </w:tc>
        <w:tc>
          <w:tcPr>
            <w:tcW w:w="1224" w:type="dxa"/>
            <w:shd w:val="clear" w:color="auto" w:fill="D9E2F3" w:themeFill="accent5" w:themeFillTint="33"/>
          </w:tcPr>
          <w:p w14:paraId="2C21E90E" w14:textId="77777777" w:rsidR="00641790" w:rsidRPr="00113364" w:rsidRDefault="00641790" w:rsidP="00EB4984">
            <w:pPr>
              <w:pStyle w:val="TableBodyText"/>
              <w:cnfStyle w:val="000000100000" w:firstRow="0" w:lastRow="0" w:firstColumn="0" w:lastColumn="0" w:oddVBand="0" w:evenVBand="0" w:oddHBand="1" w:evenHBand="0" w:firstRowFirstColumn="0" w:firstRowLastColumn="0" w:lastRowFirstColumn="0" w:lastRowLastColumn="0"/>
              <w:rPr>
                <w:lang w:val="en-US"/>
              </w:rPr>
            </w:pPr>
            <w:r w:rsidRPr="003E4D7A">
              <w:rPr>
                <w:color w:val="auto"/>
                <w:lang w:val="en-US"/>
              </w:rPr>
              <w:t>74,655</w:t>
            </w:r>
          </w:p>
        </w:tc>
      </w:tr>
    </w:tbl>
    <w:p w14:paraId="2BBC8CF7" w14:textId="77777777" w:rsidR="00641790" w:rsidRPr="00113364" w:rsidRDefault="00641790" w:rsidP="00641790">
      <w:pPr>
        <w:pStyle w:val="TableorFiguresNotesSources"/>
        <w:rPr>
          <w:color w:val="auto"/>
          <w:szCs w:val="24"/>
        </w:rPr>
      </w:pPr>
      <w:r w:rsidRPr="00113364">
        <w:rPr>
          <w:color w:val="auto"/>
          <w:szCs w:val="24"/>
        </w:rPr>
        <w:t>Source: The MSIN Databases for the MEP, 2017–18 through 2022–23.</w:t>
      </w:r>
    </w:p>
    <w:p w14:paraId="48F34AC5" w14:textId="77777777" w:rsidR="004073FE" w:rsidRDefault="00C83239" w:rsidP="00CB2C23">
      <w:pPr>
        <w:pStyle w:val="NormalWeb"/>
        <w:spacing w:before="240" w:beforeAutospacing="0" w:after="0" w:afterAutospacing="0"/>
        <w:rPr>
          <w:rFonts w:ascii="Arial" w:hAnsi="Arial" w:cs="Arial"/>
        </w:rPr>
        <w:sectPr w:rsidR="004073FE" w:rsidSect="004073FE">
          <w:headerReference w:type="first" r:id="rId19"/>
          <w:footerReference w:type="first" r:id="rId20"/>
          <w:pgSz w:w="12240" w:h="15840"/>
          <w:pgMar w:top="1440" w:right="1440" w:bottom="1440" w:left="1440" w:header="720" w:footer="720" w:gutter="0"/>
          <w:pgNumType w:start="1"/>
          <w:cols w:space="720"/>
          <w:titlePg/>
          <w:docGrid w:linePitch="360"/>
        </w:sectPr>
      </w:pPr>
      <w:r w:rsidRPr="00113364">
        <w:rPr>
          <w:rFonts w:ascii="Arial" w:hAnsi="Arial" w:cs="Arial"/>
        </w:rPr>
        <w:t xml:space="preserve">The California MEP recruits migratory students who primarily </w:t>
      </w:r>
      <w:r w:rsidR="00211962" w:rsidRPr="00113364">
        <w:rPr>
          <w:rFonts w:ascii="Arial" w:hAnsi="Arial" w:cs="Arial"/>
        </w:rPr>
        <w:t>migrate within California as well as</w:t>
      </w:r>
      <w:r w:rsidRPr="00113364">
        <w:rPr>
          <w:rFonts w:ascii="Arial" w:hAnsi="Arial" w:cs="Arial"/>
        </w:rPr>
        <w:t xml:space="preserve"> Mexico and several states within the U</w:t>
      </w:r>
      <w:r w:rsidR="00C00ED9" w:rsidRPr="00113364">
        <w:rPr>
          <w:rFonts w:ascii="Arial" w:hAnsi="Arial" w:cs="Arial"/>
        </w:rPr>
        <w:t xml:space="preserve">nited </w:t>
      </w:r>
      <w:r w:rsidRPr="00113364">
        <w:rPr>
          <w:rFonts w:ascii="Arial" w:hAnsi="Arial" w:cs="Arial"/>
        </w:rPr>
        <w:t>S</w:t>
      </w:r>
      <w:r w:rsidR="00C00ED9" w:rsidRPr="00113364">
        <w:rPr>
          <w:rFonts w:ascii="Arial" w:hAnsi="Arial" w:cs="Arial"/>
        </w:rPr>
        <w:t>tates</w:t>
      </w:r>
      <w:r w:rsidRPr="00113364">
        <w:rPr>
          <w:rFonts w:ascii="Arial" w:hAnsi="Arial" w:cs="Arial"/>
        </w:rPr>
        <w:t>. Most of California’s migratory children make intrastate qualifying moves. In 20</w:t>
      </w:r>
      <w:r w:rsidR="00920D99" w:rsidRPr="00113364">
        <w:rPr>
          <w:rFonts w:ascii="Arial" w:hAnsi="Arial" w:cs="Arial"/>
        </w:rPr>
        <w:t>22</w:t>
      </w:r>
      <w:r w:rsidRPr="00113364">
        <w:rPr>
          <w:rFonts w:ascii="Arial" w:hAnsi="Arial" w:cs="Arial"/>
        </w:rPr>
        <w:t>–</w:t>
      </w:r>
      <w:r w:rsidR="00920D99" w:rsidRPr="00113364">
        <w:rPr>
          <w:rFonts w:ascii="Arial" w:hAnsi="Arial" w:cs="Arial"/>
        </w:rPr>
        <w:t>23</w:t>
      </w:r>
      <w:r w:rsidRPr="00113364">
        <w:rPr>
          <w:rFonts w:ascii="Arial" w:hAnsi="Arial" w:cs="Arial"/>
        </w:rPr>
        <w:t xml:space="preserve">, California recruited </w:t>
      </w:r>
      <w:r w:rsidR="00920D99" w:rsidRPr="00113364">
        <w:rPr>
          <w:rFonts w:ascii="Arial" w:hAnsi="Arial" w:cs="Arial"/>
        </w:rPr>
        <w:t>20,022</w:t>
      </w:r>
      <w:r w:rsidRPr="00113364">
        <w:rPr>
          <w:rFonts w:ascii="Arial" w:hAnsi="Arial" w:cs="Arial"/>
        </w:rPr>
        <w:t xml:space="preserve"> migratory children who made a qualifying move </w:t>
      </w:r>
      <w:r w:rsidR="006C5768" w:rsidRPr="00113364">
        <w:rPr>
          <w:rFonts w:ascii="Arial" w:hAnsi="Arial" w:cs="Arial"/>
        </w:rPr>
        <w:t xml:space="preserve">within California. </w:t>
      </w:r>
      <w:r w:rsidR="00920D99" w:rsidRPr="00113364">
        <w:rPr>
          <w:rFonts w:ascii="Arial" w:hAnsi="Arial" w:cs="Arial"/>
        </w:rPr>
        <w:t>A</w:t>
      </w:r>
      <w:r w:rsidR="00D0399E" w:rsidRPr="00113364">
        <w:rPr>
          <w:rFonts w:ascii="Arial" w:hAnsi="Arial" w:cs="Arial"/>
        </w:rPr>
        <w:t>pproximately</w:t>
      </w:r>
      <w:r w:rsidRPr="00113364">
        <w:rPr>
          <w:rFonts w:ascii="Arial" w:hAnsi="Arial" w:cs="Arial"/>
        </w:rPr>
        <w:t xml:space="preserve"> </w:t>
      </w:r>
      <w:r w:rsidR="00920D99" w:rsidRPr="00113364">
        <w:rPr>
          <w:rFonts w:ascii="Arial" w:hAnsi="Arial" w:cs="Arial"/>
        </w:rPr>
        <w:t>10,346</w:t>
      </w:r>
      <w:r w:rsidRPr="00113364">
        <w:rPr>
          <w:rFonts w:ascii="Arial" w:hAnsi="Arial" w:cs="Arial"/>
        </w:rPr>
        <w:t xml:space="preserve"> migratory children made a qualifying move from Mexico. Washington, Oregon, Arizona</w:t>
      </w:r>
      <w:r w:rsidR="00C00ED9" w:rsidRPr="00113364">
        <w:rPr>
          <w:rFonts w:ascii="Arial" w:hAnsi="Arial" w:cs="Arial"/>
        </w:rPr>
        <w:t>,</w:t>
      </w:r>
      <w:r w:rsidRPr="00113364">
        <w:rPr>
          <w:rFonts w:ascii="Arial" w:hAnsi="Arial" w:cs="Arial"/>
        </w:rPr>
        <w:t xml:space="preserve"> </w:t>
      </w:r>
      <w:r w:rsidR="00CE69C8" w:rsidRPr="00113364">
        <w:rPr>
          <w:rFonts w:ascii="Arial" w:hAnsi="Arial" w:cs="Arial"/>
        </w:rPr>
        <w:t xml:space="preserve">and Texas </w:t>
      </w:r>
      <w:r w:rsidR="00D0399E" w:rsidRPr="00113364">
        <w:rPr>
          <w:rFonts w:ascii="Arial" w:hAnsi="Arial" w:cs="Arial"/>
        </w:rPr>
        <w:t>also</w:t>
      </w:r>
      <w:r w:rsidRPr="00113364">
        <w:rPr>
          <w:rFonts w:ascii="Arial" w:hAnsi="Arial" w:cs="Arial"/>
        </w:rPr>
        <w:t xml:space="preserve"> share a </w:t>
      </w:r>
      <w:r w:rsidR="00C00ED9" w:rsidRPr="00113364">
        <w:rPr>
          <w:rFonts w:ascii="Arial" w:hAnsi="Arial" w:cs="Arial"/>
        </w:rPr>
        <w:t>significant</w:t>
      </w:r>
      <w:r w:rsidRPr="00113364">
        <w:rPr>
          <w:rFonts w:ascii="Arial" w:hAnsi="Arial" w:cs="Arial"/>
        </w:rPr>
        <w:t xml:space="preserve"> number of migratory children with California</w:t>
      </w:r>
      <w:r w:rsidR="00920D99" w:rsidRPr="00113364">
        <w:rPr>
          <w:rFonts w:ascii="Arial" w:hAnsi="Arial" w:cs="Arial"/>
        </w:rPr>
        <w:t xml:space="preserve"> as seen below</w:t>
      </w:r>
      <w:r w:rsidRPr="00113364">
        <w:rPr>
          <w:rFonts w:ascii="Arial" w:hAnsi="Arial" w:cs="Arial"/>
        </w:rPr>
        <w:t xml:space="preserve">. Figure </w:t>
      </w:r>
      <w:r w:rsidR="00920D99" w:rsidRPr="00113364">
        <w:rPr>
          <w:rFonts w:ascii="Arial" w:hAnsi="Arial" w:cs="Arial"/>
        </w:rPr>
        <w:t>3</w:t>
      </w:r>
      <w:r w:rsidRPr="00113364">
        <w:rPr>
          <w:rFonts w:ascii="Arial" w:hAnsi="Arial" w:cs="Arial"/>
        </w:rPr>
        <w:t xml:space="preserve"> shows the number of children recruited in California by </w:t>
      </w:r>
      <w:r w:rsidR="008B0842" w:rsidRPr="00113364">
        <w:rPr>
          <w:rFonts w:ascii="Arial" w:hAnsi="Arial" w:cs="Arial"/>
        </w:rPr>
        <w:t xml:space="preserve">their </w:t>
      </w:r>
      <w:r w:rsidRPr="00113364">
        <w:rPr>
          <w:rFonts w:ascii="Arial" w:hAnsi="Arial" w:cs="Arial"/>
        </w:rPr>
        <w:t xml:space="preserve">originating location. </w:t>
      </w:r>
    </w:p>
    <w:p w14:paraId="4817DFEB" w14:textId="6747CFDE" w:rsidR="00C83239" w:rsidRPr="00113364" w:rsidRDefault="00C83239" w:rsidP="00CB2C23">
      <w:pPr>
        <w:pStyle w:val="NormalWeb"/>
        <w:spacing w:before="240" w:beforeAutospacing="0" w:after="0" w:afterAutospacing="0"/>
        <w:rPr>
          <w:rFonts w:ascii="Arial" w:hAnsi="Arial" w:cs="Arial"/>
        </w:rPr>
      </w:pPr>
    </w:p>
    <w:p w14:paraId="56F619C1" w14:textId="74DC527A" w:rsidR="00C83239" w:rsidRPr="00113364" w:rsidRDefault="00895785" w:rsidP="004073FE">
      <w:pPr>
        <w:pStyle w:val="Heading6"/>
        <w:ind w:left="360"/>
      </w:pPr>
      <w:bookmarkStart w:id="15" w:name="_Toc203645054"/>
      <w:r w:rsidRPr="00113364">
        <w:t xml:space="preserve">Figure </w:t>
      </w:r>
      <w:fldSimple w:instr=" SEQ Figure \* ARABIC ">
        <w:r w:rsidR="00C3523A">
          <w:rPr>
            <w:noProof/>
          </w:rPr>
          <w:t>3</w:t>
        </w:r>
      </w:fldSimple>
      <w:r w:rsidRPr="00113364">
        <w:t>. Number of Migratory Children Recruited in California, by Originating Location, 20</w:t>
      </w:r>
      <w:r w:rsidR="00896144" w:rsidRPr="00113364">
        <w:t>22–23</w:t>
      </w:r>
      <w:bookmarkEnd w:id="15"/>
      <w:r w:rsidR="00896144" w:rsidRPr="00113364">
        <w:t xml:space="preserve"> </w:t>
      </w:r>
    </w:p>
    <w:p w14:paraId="663CD607" w14:textId="4E16EE80" w:rsidR="0022681D" w:rsidRPr="00113364" w:rsidRDefault="00920D99" w:rsidP="004073FE">
      <w:pPr>
        <w:ind w:left="-720"/>
        <w:rPr>
          <w:highlight w:val="yellow"/>
        </w:rPr>
      </w:pPr>
      <w:r w:rsidRPr="00113364">
        <w:rPr>
          <w:noProof/>
        </w:rPr>
        <w:drawing>
          <wp:inline distT="0" distB="0" distL="0" distR="0" wp14:anchorId="5359C5E4" wp14:editId="77EEC03B">
            <wp:extent cx="9156905" cy="4076700"/>
            <wp:effectExtent l="19050" t="19050" r="25400" b="19050"/>
            <wp:docPr id="1543462500" name="Picture 1" descr="Number of Migratory Children Recruited in California, by Originating Location, description is in the note directly below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62500" name="Picture 1" descr="Number of Migratory Children Recruited in California, by Originating Location, description is in the note directly below the figure."/>
                    <pic:cNvPicPr/>
                  </pic:nvPicPr>
                  <pic:blipFill rotWithShape="1">
                    <a:blip r:embed="rId21"/>
                    <a:srcRect l="669" t="1559" r="1184"/>
                    <a:stretch/>
                  </pic:blipFill>
                  <pic:spPr bwMode="auto">
                    <a:xfrm>
                      <a:off x="0" y="0"/>
                      <a:ext cx="9205420" cy="4098299"/>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8059DAE" w14:textId="77777777" w:rsidR="005820C9" w:rsidRDefault="005820C9" w:rsidP="005820C9">
      <w:pPr>
        <w:pStyle w:val="NormalWeb"/>
        <w:spacing w:before="0" w:beforeAutospacing="0" w:after="0" w:afterAutospacing="0"/>
        <w:rPr>
          <w:rFonts w:ascii="Arial" w:hAnsi="Arial" w:cs="Arial"/>
        </w:rPr>
      </w:pPr>
      <w:r>
        <w:rPr>
          <w:rFonts w:ascii="Arial" w:hAnsi="Arial" w:cs="Arial"/>
        </w:rPr>
        <w:t xml:space="preserve">Note: </w:t>
      </w:r>
      <w:r w:rsidRPr="005820C9">
        <w:rPr>
          <w:rFonts w:ascii="Arial" w:hAnsi="Arial" w:cs="Arial"/>
        </w:rPr>
        <w:t xml:space="preserve">Number of Migratory Children Recruited in </w:t>
      </w:r>
      <w:r>
        <w:rPr>
          <w:rFonts w:ascii="Arial" w:hAnsi="Arial" w:cs="Arial"/>
        </w:rPr>
        <w:t>California</w:t>
      </w:r>
      <w:r w:rsidRPr="005820C9">
        <w:rPr>
          <w:rFonts w:ascii="Arial" w:hAnsi="Arial" w:cs="Arial"/>
        </w:rPr>
        <w:t xml:space="preserve">, by Originating Location, 2022–23: </w:t>
      </w:r>
      <w:r>
        <w:rPr>
          <w:rFonts w:ascii="Arial" w:hAnsi="Arial" w:cs="Arial"/>
        </w:rPr>
        <w:t>California</w:t>
      </w:r>
      <w:r w:rsidRPr="005820C9">
        <w:rPr>
          <w:rFonts w:ascii="Arial" w:hAnsi="Arial" w:cs="Arial"/>
        </w:rPr>
        <w:t xml:space="preserve"> 22,022, Mexico 10,346, Oregon 2,014, Washington 1,450, Arizona 1,113, Texas 325, </w:t>
      </w:r>
      <w:r>
        <w:rPr>
          <w:rFonts w:ascii="Arial" w:hAnsi="Arial" w:cs="Arial"/>
        </w:rPr>
        <w:t>Guatemala 259, Central America (excluding Guatemala), South America 205, Other U.S. States 877, O</w:t>
      </w:r>
      <w:r w:rsidRPr="005820C9">
        <w:rPr>
          <w:rFonts w:ascii="Arial" w:hAnsi="Arial" w:cs="Arial"/>
        </w:rPr>
        <w:t>ther</w:t>
      </w:r>
      <w:r>
        <w:rPr>
          <w:rFonts w:ascii="Arial" w:hAnsi="Arial" w:cs="Arial"/>
        </w:rPr>
        <w:t xml:space="preserve"> Countries (excluding Central &amp; South America)</w:t>
      </w:r>
      <w:r w:rsidRPr="005820C9">
        <w:rPr>
          <w:rFonts w:ascii="Arial" w:hAnsi="Arial" w:cs="Arial"/>
        </w:rPr>
        <w:t xml:space="preserve"> </w:t>
      </w:r>
      <w:r>
        <w:rPr>
          <w:rFonts w:ascii="Arial" w:hAnsi="Arial" w:cs="Arial"/>
        </w:rPr>
        <w:t>27</w:t>
      </w:r>
    </w:p>
    <w:p w14:paraId="4C9AE52E" w14:textId="26B5658D" w:rsidR="00C83239" w:rsidRPr="00113364" w:rsidRDefault="00C83239" w:rsidP="00895785">
      <w:pPr>
        <w:pStyle w:val="NormalWeb"/>
        <w:spacing w:before="120" w:beforeAutospacing="0" w:after="0" w:afterAutospacing="0"/>
        <w:rPr>
          <w:rFonts w:ascii="Arial" w:hAnsi="Arial" w:cs="Arial"/>
        </w:rPr>
      </w:pPr>
      <w:r w:rsidRPr="00113364">
        <w:rPr>
          <w:rFonts w:ascii="Arial" w:hAnsi="Arial" w:cs="Arial"/>
        </w:rPr>
        <w:t xml:space="preserve">Source: </w:t>
      </w:r>
      <w:r w:rsidR="00B2330D" w:rsidRPr="00113364">
        <w:rPr>
          <w:rFonts w:ascii="Arial" w:hAnsi="Arial" w:cs="Arial"/>
        </w:rPr>
        <w:t>MSIN</w:t>
      </w:r>
      <w:r w:rsidRPr="00113364">
        <w:rPr>
          <w:rFonts w:ascii="Arial" w:hAnsi="Arial" w:cs="Arial"/>
        </w:rPr>
        <w:t xml:space="preserve"> Databases for the MEP, 20</w:t>
      </w:r>
      <w:r w:rsidR="004643B1" w:rsidRPr="00113364">
        <w:rPr>
          <w:rFonts w:ascii="Arial" w:hAnsi="Arial" w:cs="Arial"/>
        </w:rPr>
        <w:t>22</w:t>
      </w:r>
      <w:r w:rsidRPr="00113364">
        <w:rPr>
          <w:rFonts w:ascii="Arial" w:hAnsi="Arial" w:cs="Arial"/>
        </w:rPr>
        <w:t>–</w:t>
      </w:r>
      <w:r w:rsidR="004643B1" w:rsidRPr="00113364">
        <w:rPr>
          <w:rFonts w:ascii="Arial" w:hAnsi="Arial" w:cs="Arial"/>
        </w:rPr>
        <w:t>23</w:t>
      </w:r>
      <w:r w:rsidRPr="00113364">
        <w:rPr>
          <w:rFonts w:ascii="Arial" w:hAnsi="Arial" w:cs="Arial"/>
        </w:rPr>
        <w:t xml:space="preserve">. </w:t>
      </w:r>
    </w:p>
    <w:p w14:paraId="38883053" w14:textId="77777777" w:rsidR="004073FE" w:rsidRDefault="004073FE" w:rsidP="00C46CA6">
      <w:pPr>
        <w:pStyle w:val="NormalWeb"/>
        <w:spacing w:before="120" w:beforeAutospacing="0" w:after="240" w:afterAutospacing="0"/>
        <w:rPr>
          <w:rFonts w:ascii="Arial" w:hAnsi="Arial" w:cs="Arial"/>
        </w:rPr>
        <w:sectPr w:rsidR="004073FE" w:rsidSect="004073FE">
          <w:pgSz w:w="15840" w:h="12240" w:orient="landscape"/>
          <w:pgMar w:top="1440" w:right="1440" w:bottom="1440" w:left="1440" w:header="720" w:footer="720" w:gutter="0"/>
          <w:cols w:space="720"/>
          <w:titlePg/>
          <w:docGrid w:linePitch="360"/>
        </w:sectPr>
      </w:pPr>
    </w:p>
    <w:p w14:paraId="54BB6D95" w14:textId="77777777" w:rsidR="00C46CA6" w:rsidRPr="00113364" w:rsidRDefault="00C46CA6" w:rsidP="00C46CA6">
      <w:pPr>
        <w:pStyle w:val="NormalWeb"/>
        <w:spacing w:before="120" w:beforeAutospacing="0" w:after="240" w:afterAutospacing="0"/>
        <w:rPr>
          <w:rFonts w:ascii="Arial" w:hAnsi="Arial" w:cs="Arial"/>
        </w:rPr>
      </w:pPr>
      <w:r w:rsidRPr="00113364">
        <w:rPr>
          <w:rFonts w:ascii="Arial" w:hAnsi="Arial" w:cs="Arial"/>
        </w:rPr>
        <w:lastRenderedPageBreak/>
        <w:t xml:space="preserve">Migratory students who made a qualifying move within the previous year and who are failing, or most at risk of failing, to meet the state’s challenging academic standards, or who have dropped out of school, are classified as priority-for-service (PFS). Local MEPs have the responsibility to ensure that these students are prioritized for MEP services. In 2022–23, the California MEP had a total of 10,564 PFS students, which is an increase of 81 students from 2017–18. Table 2 identifies the number of eligible migratory students classified as PFS for the years 2017–18 through 2022–23. </w:t>
      </w:r>
    </w:p>
    <w:p w14:paraId="3567D01C" w14:textId="75398DDD" w:rsidR="00C46CA6" w:rsidRPr="00113364" w:rsidRDefault="001362A0" w:rsidP="00A366B5">
      <w:pPr>
        <w:pStyle w:val="Heading6"/>
      </w:pPr>
      <w:bookmarkStart w:id="16" w:name="_Toc204755338"/>
      <w:r>
        <w:t xml:space="preserve">Table </w:t>
      </w:r>
      <w:fldSimple w:instr=" SEQ Table \* ARABIC ">
        <w:r>
          <w:rPr>
            <w:noProof/>
          </w:rPr>
          <w:t>2</w:t>
        </w:r>
      </w:fldSimple>
      <w:r w:rsidRPr="00113364">
        <w:t>. Number of Migratory Studen</w:t>
      </w:r>
      <w:r>
        <w:t>ts</w:t>
      </w:r>
      <w:r w:rsidRPr="00113364">
        <w:t xml:space="preserve"> Classified as Priority for Service, 2017–18 to 2022–23</w:t>
      </w:r>
      <w:bookmarkEnd w:id="16"/>
    </w:p>
    <w:tbl>
      <w:tblPr>
        <w:tblStyle w:val="GridTable1Light"/>
        <w:tblW w:w="0" w:type="auto"/>
        <w:tblLook w:val="0420" w:firstRow="1" w:lastRow="0" w:firstColumn="0" w:lastColumn="0" w:noHBand="0" w:noVBand="1"/>
        <w:tblDescription w:val="Table of the number of migratory students classified as Priority for Service from 2017-18 to 2022-23."/>
      </w:tblPr>
      <w:tblGrid>
        <w:gridCol w:w="1684"/>
        <w:gridCol w:w="1280"/>
        <w:gridCol w:w="1268"/>
        <w:gridCol w:w="1269"/>
        <w:gridCol w:w="1283"/>
        <w:gridCol w:w="1283"/>
        <w:gridCol w:w="1283"/>
      </w:tblGrid>
      <w:tr w:rsidR="00C46CA6" w:rsidRPr="00113364" w14:paraId="64ADA9BA" w14:textId="77777777" w:rsidTr="005820C9">
        <w:trPr>
          <w:cnfStyle w:val="100000000000" w:firstRow="1" w:lastRow="0" w:firstColumn="0" w:lastColumn="0" w:oddVBand="0" w:evenVBand="0" w:oddHBand="0" w:evenHBand="0" w:firstRowFirstColumn="0" w:firstRowLastColumn="0" w:lastRowFirstColumn="0" w:lastRowLastColumn="0"/>
          <w:cantSplit/>
          <w:trHeight w:val="557"/>
          <w:tblHeader/>
        </w:trPr>
        <w:tc>
          <w:tcPr>
            <w:tcW w:w="1170" w:type="dxa"/>
            <w:shd w:val="clear" w:color="auto" w:fill="1F4E79" w:themeFill="accent1" w:themeFillShade="80"/>
          </w:tcPr>
          <w:p w14:paraId="6AA799FC" w14:textId="77777777" w:rsidR="00C46CA6" w:rsidRPr="00113364" w:rsidRDefault="00C46CA6" w:rsidP="00EB4984">
            <w:pPr>
              <w:pStyle w:val="NormalWeb"/>
              <w:spacing w:before="0" w:beforeAutospacing="0" w:after="0" w:afterAutospacing="0"/>
              <w:jc w:val="center"/>
              <w:rPr>
                <w:rFonts w:ascii="Arial" w:hAnsi="Arial" w:cs="Arial"/>
                <w:color w:val="FFFFFF" w:themeColor="background1"/>
              </w:rPr>
            </w:pPr>
            <w:r w:rsidRPr="00113364">
              <w:rPr>
                <w:rFonts w:ascii="Arial" w:hAnsi="Arial" w:cs="Arial"/>
                <w:color w:val="FFFFFF" w:themeColor="background1"/>
              </w:rPr>
              <w:t>Performance Period</w:t>
            </w:r>
          </w:p>
        </w:tc>
        <w:tc>
          <w:tcPr>
            <w:tcW w:w="1362" w:type="dxa"/>
            <w:shd w:val="clear" w:color="auto" w:fill="1F4E79" w:themeFill="accent1" w:themeFillShade="80"/>
          </w:tcPr>
          <w:p w14:paraId="3ACB5441" w14:textId="77777777" w:rsidR="00C46CA6" w:rsidRPr="00113364" w:rsidRDefault="00C46CA6" w:rsidP="00EB4984">
            <w:pPr>
              <w:pStyle w:val="NormalWeb"/>
              <w:spacing w:before="0" w:beforeAutospacing="0" w:after="240" w:afterAutospacing="0"/>
              <w:jc w:val="center"/>
              <w:rPr>
                <w:rFonts w:ascii="Arial" w:hAnsi="Arial" w:cs="Arial"/>
                <w:bCs w:val="0"/>
                <w:color w:val="FFFFFF" w:themeColor="background1"/>
              </w:rPr>
            </w:pPr>
            <w:r w:rsidRPr="00113364">
              <w:rPr>
                <w:rFonts w:ascii="Arial" w:hAnsi="Arial" w:cs="Arial"/>
                <w:b w:val="0"/>
                <w:bCs w:val="0"/>
                <w:color w:val="FFFFFF" w:themeColor="background1"/>
              </w:rPr>
              <w:t>2017–18</w:t>
            </w:r>
          </w:p>
        </w:tc>
        <w:tc>
          <w:tcPr>
            <w:tcW w:w="1363" w:type="dxa"/>
            <w:shd w:val="clear" w:color="auto" w:fill="1F4E79" w:themeFill="accent1" w:themeFillShade="80"/>
          </w:tcPr>
          <w:p w14:paraId="256C172F" w14:textId="77777777" w:rsidR="00C46CA6" w:rsidRPr="00113364" w:rsidRDefault="00C46CA6" w:rsidP="00EB4984">
            <w:pPr>
              <w:pStyle w:val="NormalWeb"/>
              <w:spacing w:before="0" w:beforeAutospacing="0" w:after="240" w:afterAutospacing="0"/>
              <w:jc w:val="center"/>
              <w:rPr>
                <w:rFonts w:ascii="Arial" w:hAnsi="Arial" w:cs="Arial"/>
                <w:bCs w:val="0"/>
                <w:color w:val="FFFFFF" w:themeColor="background1"/>
              </w:rPr>
            </w:pPr>
            <w:r w:rsidRPr="00113364">
              <w:rPr>
                <w:rFonts w:ascii="Arial" w:hAnsi="Arial" w:cs="Arial"/>
                <w:b w:val="0"/>
                <w:bCs w:val="0"/>
                <w:color w:val="FFFFFF" w:themeColor="background1"/>
              </w:rPr>
              <w:t>2018–19</w:t>
            </w:r>
          </w:p>
        </w:tc>
        <w:tc>
          <w:tcPr>
            <w:tcW w:w="1363" w:type="dxa"/>
            <w:shd w:val="clear" w:color="auto" w:fill="1F4E79" w:themeFill="accent1" w:themeFillShade="80"/>
          </w:tcPr>
          <w:p w14:paraId="3EC22A2F" w14:textId="77777777" w:rsidR="00C46CA6" w:rsidRPr="00113364" w:rsidRDefault="00C46CA6" w:rsidP="00EB4984">
            <w:pPr>
              <w:pStyle w:val="NormalWeb"/>
              <w:spacing w:before="0" w:beforeAutospacing="0" w:after="240" w:afterAutospacing="0"/>
              <w:jc w:val="center"/>
              <w:rPr>
                <w:rFonts w:ascii="Arial" w:hAnsi="Arial" w:cs="Arial"/>
                <w:bCs w:val="0"/>
                <w:color w:val="FFFFFF" w:themeColor="background1"/>
              </w:rPr>
            </w:pPr>
            <w:r w:rsidRPr="00113364">
              <w:rPr>
                <w:rFonts w:ascii="Arial" w:hAnsi="Arial" w:cs="Arial"/>
                <w:b w:val="0"/>
                <w:bCs w:val="0"/>
                <w:color w:val="FFFFFF" w:themeColor="background1"/>
              </w:rPr>
              <w:t>2019–20</w:t>
            </w:r>
          </w:p>
        </w:tc>
        <w:tc>
          <w:tcPr>
            <w:tcW w:w="1364" w:type="dxa"/>
            <w:shd w:val="clear" w:color="auto" w:fill="1F4E79" w:themeFill="accent1" w:themeFillShade="80"/>
          </w:tcPr>
          <w:p w14:paraId="39D92B2F" w14:textId="77777777" w:rsidR="00C46CA6" w:rsidRPr="00113364" w:rsidRDefault="00C46CA6" w:rsidP="00EB4984">
            <w:pPr>
              <w:pStyle w:val="NormalWeb"/>
              <w:spacing w:before="0" w:beforeAutospacing="0" w:after="240" w:afterAutospacing="0"/>
              <w:jc w:val="center"/>
              <w:rPr>
                <w:rFonts w:ascii="Arial" w:hAnsi="Arial" w:cs="Arial"/>
                <w:bCs w:val="0"/>
                <w:color w:val="FFFFFF" w:themeColor="background1"/>
              </w:rPr>
            </w:pPr>
            <w:r w:rsidRPr="00113364">
              <w:rPr>
                <w:rFonts w:ascii="Arial" w:hAnsi="Arial" w:cs="Arial"/>
                <w:b w:val="0"/>
                <w:bCs w:val="0"/>
                <w:color w:val="FFFFFF" w:themeColor="background1"/>
              </w:rPr>
              <w:t>2020–21</w:t>
            </w:r>
          </w:p>
        </w:tc>
        <w:tc>
          <w:tcPr>
            <w:tcW w:w="1364" w:type="dxa"/>
            <w:shd w:val="clear" w:color="auto" w:fill="1F4E79" w:themeFill="accent1" w:themeFillShade="80"/>
          </w:tcPr>
          <w:p w14:paraId="5B5A894F" w14:textId="77777777" w:rsidR="00C46CA6" w:rsidRPr="00113364" w:rsidRDefault="00C46CA6" w:rsidP="00EB4984">
            <w:pPr>
              <w:pStyle w:val="NormalWeb"/>
              <w:spacing w:before="0" w:beforeAutospacing="0" w:after="240" w:afterAutospacing="0"/>
              <w:jc w:val="center"/>
              <w:rPr>
                <w:rFonts w:ascii="Arial" w:hAnsi="Arial" w:cs="Arial"/>
                <w:bCs w:val="0"/>
                <w:color w:val="FFFFFF" w:themeColor="background1"/>
              </w:rPr>
            </w:pPr>
            <w:r w:rsidRPr="00113364">
              <w:rPr>
                <w:rFonts w:ascii="Arial" w:hAnsi="Arial" w:cs="Arial"/>
                <w:b w:val="0"/>
                <w:bCs w:val="0"/>
                <w:color w:val="FFFFFF" w:themeColor="background1"/>
              </w:rPr>
              <w:t>2021–22</w:t>
            </w:r>
          </w:p>
        </w:tc>
        <w:tc>
          <w:tcPr>
            <w:tcW w:w="1364" w:type="dxa"/>
            <w:shd w:val="clear" w:color="auto" w:fill="1F4E79" w:themeFill="accent1" w:themeFillShade="80"/>
          </w:tcPr>
          <w:p w14:paraId="3B52705E" w14:textId="77777777" w:rsidR="00C46CA6" w:rsidRPr="00113364" w:rsidRDefault="00C46CA6" w:rsidP="00EB4984">
            <w:pPr>
              <w:pStyle w:val="NormalWeb"/>
              <w:spacing w:before="0" w:beforeAutospacing="0" w:after="240" w:afterAutospacing="0"/>
              <w:jc w:val="center"/>
              <w:rPr>
                <w:rFonts w:ascii="Arial" w:hAnsi="Arial" w:cs="Arial"/>
                <w:color w:val="FFFFFF" w:themeColor="background1"/>
              </w:rPr>
            </w:pPr>
            <w:r w:rsidRPr="00113364">
              <w:rPr>
                <w:rFonts w:ascii="Arial" w:hAnsi="Arial" w:cs="Arial"/>
                <w:b w:val="0"/>
                <w:bCs w:val="0"/>
                <w:color w:val="FFFFFF" w:themeColor="background1"/>
              </w:rPr>
              <w:t>2022–23</w:t>
            </w:r>
          </w:p>
        </w:tc>
      </w:tr>
      <w:tr w:rsidR="00C46CA6" w:rsidRPr="00113364" w14:paraId="27C1CF2A" w14:textId="77777777" w:rsidTr="005820C9">
        <w:trPr>
          <w:cantSplit/>
        </w:trPr>
        <w:tc>
          <w:tcPr>
            <w:tcW w:w="1170" w:type="dxa"/>
            <w:shd w:val="clear" w:color="auto" w:fill="BDD6EE" w:themeFill="accent1" w:themeFillTint="66"/>
          </w:tcPr>
          <w:p w14:paraId="75552DC4" w14:textId="4C1FE011" w:rsidR="00C46CA6" w:rsidRPr="00113364" w:rsidRDefault="00C46CA6" w:rsidP="00EB4984">
            <w:pPr>
              <w:pStyle w:val="NormalWeb"/>
              <w:spacing w:before="0" w:beforeAutospacing="0" w:after="0" w:afterAutospacing="0"/>
              <w:jc w:val="center"/>
              <w:rPr>
                <w:rFonts w:ascii="Arial" w:hAnsi="Arial" w:cs="Arial"/>
                <w:bCs/>
              </w:rPr>
            </w:pPr>
            <w:r w:rsidRPr="00113364">
              <w:rPr>
                <w:rFonts w:ascii="Arial" w:hAnsi="Arial" w:cs="Arial"/>
                <w:bCs/>
              </w:rPr>
              <w:t xml:space="preserve">Total Number of PFS </w:t>
            </w:r>
            <w:r w:rsidR="00CB7EEF">
              <w:rPr>
                <w:rFonts w:ascii="Arial" w:hAnsi="Arial" w:cs="Arial"/>
                <w:bCs/>
              </w:rPr>
              <w:t>S</w:t>
            </w:r>
            <w:r w:rsidRPr="00113364">
              <w:rPr>
                <w:rFonts w:ascii="Arial" w:hAnsi="Arial" w:cs="Arial"/>
                <w:bCs/>
              </w:rPr>
              <w:t>tudents</w:t>
            </w:r>
          </w:p>
        </w:tc>
        <w:tc>
          <w:tcPr>
            <w:tcW w:w="1362" w:type="dxa"/>
            <w:shd w:val="clear" w:color="auto" w:fill="D9E2F3" w:themeFill="accent5" w:themeFillTint="33"/>
          </w:tcPr>
          <w:p w14:paraId="5FC9B94E" w14:textId="77777777" w:rsidR="00C46CA6" w:rsidRPr="00113364" w:rsidRDefault="00C46CA6" w:rsidP="00EB4984">
            <w:pPr>
              <w:pStyle w:val="NormalWeb"/>
              <w:spacing w:before="0" w:beforeAutospacing="0" w:after="240" w:afterAutospacing="0"/>
              <w:jc w:val="center"/>
              <w:rPr>
                <w:rFonts w:ascii="Arial" w:hAnsi="Arial" w:cs="Arial"/>
                <w:bCs/>
              </w:rPr>
            </w:pPr>
            <w:r w:rsidRPr="00113364">
              <w:rPr>
                <w:rFonts w:ascii="Arial" w:hAnsi="Arial" w:cs="Arial"/>
                <w:bCs/>
              </w:rPr>
              <w:t>10,483</w:t>
            </w:r>
          </w:p>
        </w:tc>
        <w:tc>
          <w:tcPr>
            <w:tcW w:w="1363" w:type="dxa"/>
            <w:shd w:val="clear" w:color="auto" w:fill="D9E2F3" w:themeFill="accent5" w:themeFillTint="33"/>
          </w:tcPr>
          <w:p w14:paraId="58D6BDFA" w14:textId="77777777" w:rsidR="00C46CA6" w:rsidRPr="00113364" w:rsidRDefault="00C46CA6" w:rsidP="00EB4984">
            <w:pPr>
              <w:pStyle w:val="NormalWeb"/>
              <w:spacing w:before="0" w:beforeAutospacing="0" w:after="240" w:afterAutospacing="0"/>
              <w:jc w:val="center"/>
              <w:rPr>
                <w:rFonts w:ascii="Arial" w:hAnsi="Arial" w:cs="Arial"/>
              </w:rPr>
            </w:pPr>
            <w:r w:rsidRPr="00113364">
              <w:rPr>
                <w:rFonts w:ascii="Arial" w:hAnsi="Arial" w:cs="Arial"/>
              </w:rPr>
              <w:t>9,218</w:t>
            </w:r>
          </w:p>
        </w:tc>
        <w:tc>
          <w:tcPr>
            <w:tcW w:w="1363" w:type="dxa"/>
            <w:shd w:val="clear" w:color="auto" w:fill="D9E2F3" w:themeFill="accent5" w:themeFillTint="33"/>
          </w:tcPr>
          <w:p w14:paraId="4142F517" w14:textId="77777777" w:rsidR="00C46CA6" w:rsidRPr="00113364" w:rsidRDefault="00C46CA6" w:rsidP="00EB4984">
            <w:pPr>
              <w:pStyle w:val="NormalWeb"/>
              <w:spacing w:before="0" w:beforeAutospacing="0" w:after="240" w:afterAutospacing="0"/>
              <w:jc w:val="center"/>
              <w:rPr>
                <w:rFonts w:ascii="Arial" w:hAnsi="Arial" w:cs="Arial"/>
              </w:rPr>
            </w:pPr>
            <w:r w:rsidRPr="00113364">
              <w:rPr>
                <w:rFonts w:ascii="Arial" w:hAnsi="Arial" w:cs="Arial"/>
              </w:rPr>
              <w:t>7,713</w:t>
            </w:r>
          </w:p>
        </w:tc>
        <w:tc>
          <w:tcPr>
            <w:tcW w:w="1364" w:type="dxa"/>
            <w:shd w:val="clear" w:color="auto" w:fill="D9E2F3" w:themeFill="accent5" w:themeFillTint="33"/>
          </w:tcPr>
          <w:p w14:paraId="40C141F5" w14:textId="77777777" w:rsidR="00C46CA6" w:rsidRPr="00113364" w:rsidRDefault="00C46CA6" w:rsidP="00EB4984">
            <w:pPr>
              <w:pStyle w:val="NormalWeb"/>
              <w:spacing w:before="0" w:beforeAutospacing="0" w:after="240" w:afterAutospacing="0"/>
              <w:jc w:val="center"/>
              <w:rPr>
                <w:rFonts w:ascii="Arial" w:hAnsi="Arial" w:cs="Arial"/>
              </w:rPr>
            </w:pPr>
            <w:r w:rsidRPr="00113364">
              <w:rPr>
                <w:rFonts w:ascii="Arial" w:hAnsi="Arial" w:cs="Arial"/>
              </w:rPr>
              <w:t>10,870</w:t>
            </w:r>
          </w:p>
        </w:tc>
        <w:tc>
          <w:tcPr>
            <w:tcW w:w="1364" w:type="dxa"/>
            <w:shd w:val="clear" w:color="auto" w:fill="D9E2F3" w:themeFill="accent5" w:themeFillTint="33"/>
          </w:tcPr>
          <w:p w14:paraId="510C1C3C" w14:textId="77777777" w:rsidR="00C46CA6" w:rsidRPr="00113364" w:rsidRDefault="00C46CA6" w:rsidP="00EB4984">
            <w:pPr>
              <w:pStyle w:val="NormalWeb"/>
              <w:spacing w:before="0" w:beforeAutospacing="0" w:after="240" w:afterAutospacing="0"/>
              <w:jc w:val="center"/>
              <w:rPr>
                <w:rFonts w:ascii="Arial" w:hAnsi="Arial" w:cs="Arial"/>
              </w:rPr>
            </w:pPr>
            <w:r w:rsidRPr="00113364">
              <w:rPr>
                <w:rFonts w:ascii="Arial" w:hAnsi="Arial" w:cs="Arial"/>
              </w:rPr>
              <w:t>10,320</w:t>
            </w:r>
          </w:p>
        </w:tc>
        <w:tc>
          <w:tcPr>
            <w:tcW w:w="1364" w:type="dxa"/>
            <w:shd w:val="clear" w:color="auto" w:fill="D9E2F3" w:themeFill="accent5" w:themeFillTint="33"/>
          </w:tcPr>
          <w:p w14:paraId="58A40788" w14:textId="77777777" w:rsidR="00C46CA6" w:rsidRPr="00113364" w:rsidRDefault="00C46CA6" w:rsidP="00EB4984">
            <w:pPr>
              <w:pStyle w:val="NormalWeb"/>
              <w:spacing w:before="0" w:beforeAutospacing="0" w:after="240" w:afterAutospacing="0"/>
              <w:jc w:val="center"/>
              <w:rPr>
                <w:rFonts w:ascii="Arial" w:hAnsi="Arial" w:cs="Arial"/>
              </w:rPr>
            </w:pPr>
            <w:r w:rsidRPr="00113364">
              <w:rPr>
                <w:rFonts w:ascii="Arial" w:hAnsi="Arial" w:cs="Arial"/>
              </w:rPr>
              <w:t>10,564</w:t>
            </w:r>
          </w:p>
        </w:tc>
      </w:tr>
    </w:tbl>
    <w:p w14:paraId="5135412B" w14:textId="172E9199" w:rsidR="00C46CA6" w:rsidRPr="00113364" w:rsidRDefault="00C46CA6" w:rsidP="00C46CA6">
      <w:pPr>
        <w:pStyle w:val="NormalWeb"/>
        <w:spacing w:before="240" w:beforeAutospacing="0" w:after="240" w:afterAutospacing="0"/>
        <w:rPr>
          <w:rFonts w:ascii="Arial" w:hAnsi="Arial" w:cs="Arial"/>
        </w:rPr>
      </w:pPr>
      <w:r w:rsidRPr="00113364">
        <w:rPr>
          <w:rFonts w:ascii="Arial" w:hAnsi="Arial" w:cs="Arial"/>
        </w:rPr>
        <w:t>Source: E</w:t>
      </w:r>
      <w:r w:rsidR="00052462">
        <w:rPr>
          <w:rFonts w:ascii="Arial" w:hAnsi="Arial" w:cs="Arial"/>
        </w:rPr>
        <w:t>D</w:t>
      </w:r>
      <w:r w:rsidRPr="00113364">
        <w:rPr>
          <w:rFonts w:ascii="Arial" w:hAnsi="Arial" w:cs="Arial"/>
        </w:rPr>
        <w:t xml:space="preserve"> Data Express, 2017–18 to 2022–23 performance periods. </w:t>
      </w:r>
    </w:p>
    <w:p w14:paraId="53B115E7" w14:textId="77777777" w:rsidR="00FD581D" w:rsidRPr="002038DE" w:rsidRDefault="00FD581D" w:rsidP="00E30F49">
      <w:pPr>
        <w:pStyle w:val="Heading5"/>
        <w:rPr>
          <w:i w:val="0"/>
          <w:iCs/>
        </w:rPr>
      </w:pPr>
      <w:r w:rsidRPr="002038DE">
        <w:rPr>
          <w:i w:val="0"/>
          <w:iCs/>
        </w:rPr>
        <w:t>California Migrant Education Office</w:t>
      </w:r>
    </w:p>
    <w:p w14:paraId="4BA211A3" w14:textId="6AB93DC2" w:rsidR="00FD581D" w:rsidRPr="00113364" w:rsidRDefault="00A25EF0" w:rsidP="00E30F49">
      <w:pPr>
        <w:spacing w:after="240"/>
        <w:rPr>
          <w:rFonts w:ascii="Arial" w:hAnsi="Arial" w:cs="Arial"/>
        </w:rPr>
      </w:pPr>
      <w:r w:rsidRPr="00113364">
        <w:rPr>
          <w:rFonts w:ascii="Arial" w:hAnsi="Arial" w:cs="Arial"/>
        </w:rPr>
        <w:t>As noted above, t</w:t>
      </w:r>
      <w:r w:rsidR="00FD581D" w:rsidRPr="00113364">
        <w:rPr>
          <w:rFonts w:ascii="Arial" w:hAnsi="Arial" w:cs="Arial"/>
        </w:rPr>
        <w:t xml:space="preserve">he </w:t>
      </w:r>
      <w:r w:rsidR="00601557" w:rsidRPr="00113364">
        <w:rPr>
          <w:rFonts w:ascii="Arial" w:hAnsi="Arial" w:cs="Arial"/>
        </w:rPr>
        <w:t>CDE</w:t>
      </w:r>
      <w:r w:rsidR="00FD581D" w:rsidRPr="00113364">
        <w:rPr>
          <w:rFonts w:ascii="Arial" w:hAnsi="Arial" w:cs="Arial"/>
        </w:rPr>
        <w:t xml:space="preserve"> </w:t>
      </w:r>
      <w:r w:rsidR="007A4B1E" w:rsidRPr="00113364">
        <w:rPr>
          <w:rFonts w:ascii="Arial" w:hAnsi="Arial" w:cs="Arial"/>
        </w:rPr>
        <w:t>subgrants funds to</w:t>
      </w:r>
      <w:r w:rsidR="00FD581D" w:rsidRPr="00113364">
        <w:rPr>
          <w:rFonts w:ascii="Arial" w:hAnsi="Arial" w:cs="Arial"/>
        </w:rPr>
        <w:t xml:space="preserve"> 20 </w:t>
      </w:r>
      <w:r w:rsidR="007A4B1E" w:rsidRPr="00113364">
        <w:rPr>
          <w:rFonts w:ascii="Arial" w:hAnsi="Arial" w:cs="Arial"/>
        </w:rPr>
        <w:t>local education</w:t>
      </w:r>
      <w:r w:rsidR="00C00ED9" w:rsidRPr="00113364">
        <w:rPr>
          <w:rFonts w:ascii="Arial" w:hAnsi="Arial" w:cs="Arial"/>
        </w:rPr>
        <w:t>al</w:t>
      </w:r>
      <w:r w:rsidR="007A4B1E" w:rsidRPr="00113364">
        <w:rPr>
          <w:rFonts w:ascii="Arial" w:hAnsi="Arial" w:cs="Arial"/>
        </w:rPr>
        <w:t xml:space="preserve"> agencies</w:t>
      </w:r>
      <w:r w:rsidR="00601557" w:rsidRPr="00113364">
        <w:rPr>
          <w:rFonts w:ascii="Arial" w:hAnsi="Arial" w:cs="Arial"/>
        </w:rPr>
        <w:t xml:space="preserve"> (</w:t>
      </w:r>
      <w:r w:rsidR="00103B6A" w:rsidRPr="00113364">
        <w:rPr>
          <w:rFonts w:ascii="Arial" w:hAnsi="Arial" w:cs="Arial"/>
        </w:rPr>
        <w:t>f</w:t>
      </w:r>
      <w:r w:rsidR="00601557" w:rsidRPr="00113364">
        <w:rPr>
          <w:rFonts w:ascii="Arial" w:hAnsi="Arial" w:cs="Arial"/>
        </w:rPr>
        <w:t>ig</w:t>
      </w:r>
      <w:r w:rsidR="00DF249E">
        <w:rPr>
          <w:rFonts w:ascii="Arial" w:hAnsi="Arial" w:cs="Arial"/>
        </w:rPr>
        <w:t>.</w:t>
      </w:r>
      <w:r w:rsidR="00601557" w:rsidRPr="00113364">
        <w:rPr>
          <w:rFonts w:ascii="Arial" w:hAnsi="Arial" w:cs="Arial"/>
        </w:rPr>
        <w:t xml:space="preserve"> 4</w:t>
      </w:r>
      <w:r w:rsidR="008C68F6" w:rsidRPr="00113364">
        <w:rPr>
          <w:rFonts w:ascii="Arial" w:hAnsi="Arial" w:cs="Arial"/>
        </w:rPr>
        <w:t xml:space="preserve"> identifies the locations of each of the 20 subgrantee program areas)</w:t>
      </w:r>
      <w:r w:rsidR="00FD581D" w:rsidRPr="00113364">
        <w:rPr>
          <w:rFonts w:ascii="Arial" w:hAnsi="Arial" w:cs="Arial"/>
        </w:rPr>
        <w:t xml:space="preserve">. The </w:t>
      </w:r>
      <w:r w:rsidR="00601557" w:rsidRPr="00113364">
        <w:rPr>
          <w:rFonts w:ascii="Arial" w:hAnsi="Arial" w:cs="Arial"/>
        </w:rPr>
        <w:t>CDE</w:t>
      </w:r>
      <w:r w:rsidR="00FD581D" w:rsidRPr="00113364">
        <w:rPr>
          <w:rFonts w:ascii="Arial" w:hAnsi="Arial" w:cs="Arial"/>
        </w:rPr>
        <w:t xml:space="preserve"> annually reviews the grant applications and allocates </w:t>
      </w:r>
      <w:r w:rsidR="00591AA6" w:rsidRPr="00113364">
        <w:rPr>
          <w:rFonts w:ascii="Arial" w:hAnsi="Arial" w:cs="Arial"/>
        </w:rPr>
        <w:t>a minimum of 85</w:t>
      </w:r>
      <w:r w:rsidR="007A4B1E" w:rsidRPr="00113364">
        <w:rPr>
          <w:rFonts w:ascii="Arial" w:hAnsi="Arial" w:cs="Arial"/>
        </w:rPr>
        <w:t xml:space="preserve"> </w:t>
      </w:r>
      <w:r w:rsidR="00C00ED9" w:rsidRPr="00113364">
        <w:rPr>
          <w:rFonts w:ascii="Arial" w:hAnsi="Arial" w:cs="Arial"/>
        </w:rPr>
        <w:t>percent</w:t>
      </w:r>
      <w:r w:rsidR="007A4B1E" w:rsidRPr="00113364">
        <w:rPr>
          <w:rFonts w:ascii="Arial" w:hAnsi="Arial" w:cs="Arial"/>
        </w:rPr>
        <w:t xml:space="preserve"> of funds</w:t>
      </w:r>
      <w:r w:rsidR="00FD581D" w:rsidRPr="00113364">
        <w:rPr>
          <w:rFonts w:ascii="Arial" w:hAnsi="Arial" w:cs="Arial"/>
        </w:rPr>
        <w:t xml:space="preserve"> to su</w:t>
      </w:r>
      <w:r w:rsidR="00C00ED9" w:rsidRPr="00113364">
        <w:rPr>
          <w:rFonts w:ascii="Arial" w:hAnsi="Arial" w:cs="Arial"/>
        </w:rPr>
        <w:t>bgrantees. To further monitor</w:t>
      </w:r>
      <w:r w:rsidR="00FD581D" w:rsidRPr="00113364">
        <w:rPr>
          <w:rFonts w:ascii="Arial" w:hAnsi="Arial" w:cs="Arial"/>
        </w:rPr>
        <w:t xml:space="preserve"> the local grant utilization, the </w:t>
      </w:r>
      <w:r w:rsidR="007A4B1E" w:rsidRPr="00113364">
        <w:rPr>
          <w:rFonts w:ascii="Arial" w:hAnsi="Arial" w:cs="Arial"/>
        </w:rPr>
        <w:t>CDE</w:t>
      </w:r>
      <w:r w:rsidR="00FD581D" w:rsidRPr="00113364">
        <w:rPr>
          <w:rFonts w:ascii="Arial" w:hAnsi="Arial" w:cs="Arial"/>
        </w:rPr>
        <w:t xml:space="preserve"> conducts </w:t>
      </w:r>
      <w:r w:rsidR="007A4B1E" w:rsidRPr="00113364">
        <w:rPr>
          <w:rFonts w:ascii="Arial" w:hAnsi="Arial" w:cs="Arial"/>
        </w:rPr>
        <w:t xml:space="preserve">Federal Program Monitoring visits, </w:t>
      </w:r>
      <w:r w:rsidR="00FD581D" w:rsidRPr="00113364">
        <w:rPr>
          <w:rFonts w:ascii="Arial" w:hAnsi="Arial" w:cs="Arial"/>
        </w:rPr>
        <w:t>quarterly budget</w:t>
      </w:r>
      <w:r w:rsidR="00575476">
        <w:rPr>
          <w:rFonts w:ascii="Arial" w:hAnsi="Arial" w:cs="Arial"/>
        </w:rPr>
        <w:t xml:space="preserve"> and</w:t>
      </w:r>
      <w:r w:rsidR="00FD581D" w:rsidRPr="00113364">
        <w:rPr>
          <w:rFonts w:ascii="Arial" w:hAnsi="Arial" w:cs="Arial"/>
        </w:rPr>
        <w:t xml:space="preserve"> expenditure reviews</w:t>
      </w:r>
      <w:r w:rsidR="00C00ED9" w:rsidRPr="00113364">
        <w:rPr>
          <w:rFonts w:ascii="Arial" w:hAnsi="Arial" w:cs="Arial"/>
        </w:rPr>
        <w:t>,</w:t>
      </w:r>
      <w:r w:rsidR="00FD581D" w:rsidRPr="00113364">
        <w:rPr>
          <w:rFonts w:ascii="Arial" w:hAnsi="Arial" w:cs="Arial"/>
        </w:rPr>
        <w:t xml:space="preserve"> and works</w:t>
      </w:r>
      <w:r w:rsidR="007A4B1E" w:rsidRPr="00113364">
        <w:rPr>
          <w:rFonts w:ascii="Arial" w:hAnsi="Arial" w:cs="Arial"/>
        </w:rPr>
        <w:t xml:space="preserve"> closely</w:t>
      </w:r>
      <w:r w:rsidR="00FD581D" w:rsidRPr="00113364">
        <w:rPr>
          <w:rFonts w:ascii="Arial" w:hAnsi="Arial" w:cs="Arial"/>
        </w:rPr>
        <w:t xml:space="preserve"> with subgrantees to reduce administrative costs. </w:t>
      </w:r>
    </w:p>
    <w:p w14:paraId="238B8870" w14:textId="0777651D" w:rsidR="00FD581D" w:rsidRPr="00113364" w:rsidRDefault="00FD581D" w:rsidP="00CB2C23">
      <w:pPr>
        <w:spacing w:before="240"/>
        <w:rPr>
          <w:rFonts w:ascii="Arial" w:hAnsi="Arial" w:cs="Arial"/>
        </w:rPr>
      </w:pPr>
      <w:r w:rsidRPr="00113364">
        <w:rPr>
          <w:rFonts w:ascii="Arial" w:hAnsi="Arial" w:cs="Arial"/>
        </w:rPr>
        <w:t xml:space="preserve">In addition to the grant review and monitoring responsibilities, the </w:t>
      </w:r>
      <w:r w:rsidR="007A4B1E" w:rsidRPr="00113364">
        <w:rPr>
          <w:rFonts w:ascii="Arial" w:hAnsi="Arial" w:cs="Arial"/>
        </w:rPr>
        <w:t>CDE</w:t>
      </w:r>
      <w:r w:rsidRPr="00113364">
        <w:rPr>
          <w:rFonts w:ascii="Arial" w:hAnsi="Arial" w:cs="Arial"/>
        </w:rPr>
        <w:t xml:space="preserve"> </w:t>
      </w:r>
      <w:r w:rsidR="000463AC" w:rsidRPr="00113364">
        <w:rPr>
          <w:rFonts w:ascii="Arial" w:hAnsi="Arial" w:cs="Arial"/>
        </w:rPr>
        <w:t xml:space="preserve">administers </w:t>
      </w:r>
      <w:r w:rsidRPr="00113364">
        <w:rPr>
          <w:rFonts w:ascii="Arial" w:hAnsi="Arial" w:cs="Arial"/>
        </w:rPr>
        <w:t>California</w:t>
      </w:r>
      <w:r w:rsidR="00C90B74" w:rsidRPr="00113364">
        <w:rPr>
          <w:rFonts w:ascii="Arial" w:hAnsi="Arial" w:cs="Arial"/>
        </w:rPr>
        <w:t>’s</w:t>
      </w:r>
      <w:r w:rsidRPr="00113364">
        <w:rPr>
          <w:rFonts w:ascii="Arial" w:hAnsi="Arial" w:cs="Arial"/>
        </w:rPr>
        <w:t xml:space="preserve"> MSIN</w:t>
      </w:r>
      <w:r w:rsidR="00C90B74" w:rsidRPr="00113364">
        <w:rPr>
          <w:rFonts w:ascii="Arial" w:hAnsi="Arial" w:cs="Arial"/>
        </w:rPr>
        <w:t>; the state’s migratory student data system that is</w:t>
      </w:r>
      <w:r w:rsidR="00D0399E" w:rsidRPr="00113364">
        <w:rPr>
          <w:rFonts w:ascii="Arial" w:hAnsi="Arial" w:cs="Arial"/>
        </w:rPr>
        <w:t xml:space="preserve"> </w:t>
      </w:r>
      <w:r w:rsidRPr="00113364">
        <w:rPr>
          <w:rFonts w:ascii="Arial" w:hAnsi="Arial" w:cs="Arial"/>
        </w:rPr>
        <w:t>separate from the California Longitudinal Pupil Achievement Data System (CALPADS)</w:t>
      </w:r>
      <w:r w:rsidR="007A4B1E" w:rsidRPr="00113364">
        <w:rPr>
          <w:rStyle w:val="FootnoteReference"/>
          <w:rFonts w:ascii="Arial" w:hAnsi="Arial" w:cs="Arial"/>
        </w:rPr>
        <w:footnoteReference w:id="5"/>
      </w:r>
      <w:r w:rsidRPr="00113364">
        <w:rPr>
          <w:rFonts w:ascii="Arial" w:hAnsi="Arial" w:cs="Arial"/>
        </w:rPr>
        <w:t xml:space="preserve">. The MSIN </w:t>
      </w:r>
      <w:r w:rsidR="00C90B74" w:rsidRPr="00113364">
        <w:rPr>
          <w:rFonts w:ascii="Arial" w:hAnsi="Arial" w:cs="Arial"/>
        </w:rPr>
        <w:t xml:space="preserve">system contains </w:t>
      </w:r>
      <w:r w:rsidR="007A4B1E" w:rsidRPr="00113364">
        <w:rPr>
          <w:rFonts w:ascii="Arial" w:hAnsi="Arial" w:cs="Arial"/>
        </w:rPr>
        <w:t xml:space="preserve">all federally required data elements </w:t>
      </w:r>
      <w:r w:rsidR="00C90B74" w:rsidRPr="00113364">
        <w:rPr>
          <w:rFonts w:ascii="Arial" w:hAnsi="Arial" w:cs="Arial"/>
        </w:rPr>
        <w:t xml:space="preserve">from which staff can </w:t>
      </w:r>
      <w:r w:rsidR="007A4B1E" w:rsidRPr="00113364">
        <w:rPr>
          <w:rFonts w:ascii="Arial" w:hAnsi="Arial" w:cs="Arial"/>
        </w:rPr>
        <w:t>generate</w:t>
      </w:r>
      <w:r w:rsidRPr="00113364">
        <w:rPr>
          <w:rFonts w:ascii="Arial" w:hAnsi="Arial" w:cs="Arial"/>
        </w:rPr>
        <w:t xml:space="preserve"> data reports </w:t>
      </w:r>
      <w:r w:rsidR="00C90B74" w:rsidRPr="00113364">
        <w:rPr>
          <w:rFonts w:ascii="Arial" w:hAnsi="Arial" w:cs="Arial"/>
        </w:rPr>
        <w:t xml:space="preserve">to support </w:t>
      </w:r>
      <w:r w:rsidRPr="00113364">
        <w:rPr>
          <w:rFonts w:ascii="Arial" w:hAnsi="Arial" w:cs="Arial"/>
        </w:rPr>
        <w:t xml:space="preserve">state and local migrant program development and evaluation. It </w:t>
      </w:r>
      <w:r w:rsidR="00C90B74" w:rsidRPr="00113364">
        <w:rPr>
          <w:rFonts w:ascii="Arial" w:hAnsi="Arial" w:cs="Arial"/>
        </w:rPr>
        <w:t>allows staff to track</w:t>
      </w:r>
      <w:r w:rsidRPr="00113364">
        <w:rPr>
          <w:rFonts w:ascii="Arial" w:hAnsi="Arial" w:cs="Arial"/>
        </w:rPr>
        <w:t xml:space="preserve"> </w:t>
      </w:r>
      <w:r w:rsidR="007A4B1E" w:rsidRPr="00113364">
        <w:rPr>
          <w:rFonts w:ascii="Arial" w:hAnsi="Arial" w:cs="Arial"/>
        </w:rPr>
        <w:t>migratory</w:t>
      </w:r>
      <w:r w:rsidRPr="00113364">
        <w:rPr>
          <w:rFonts w:ascii="Arial" w:hAnsi="Arial" w:cs="Arial"/>
        </w:rPr>
        <w:t xml:space="preserve"> student service</w:t>
      </w:r>
      <w:r w:rsidR="00C90B74" w:rsidRPr="00113364">
        <w:rPr>
          <w:rFonts w:ascii="Arial" w:hAnsi="Arial" w:cs="Arial"/>
        </w:rPr>
        <w:t>s</w:t>
      </w:r>
      <w:r w:rsidR="00D0399E" w:rsidRPr="00113364">
        <w:rPr>
          <w:rFonts w:ascii="Arial" w:hAnsi="Arial" w:cs="Arial"/>
        </w:rPr>
        <w:t xml:space="preserve"> </w:t>
      </w:r>
      <w:r w:rsidRPr="00113364">
        <w:rPr>
          <w:rFonts w:ascii="Arial" w:hAnsi="Arial" w:cs="Arial"/>
        </w:rPr>
        <w:t xml:space="preserve">and </w:t>
      </w:r>
      <w:r w:rsidR="00C90B74" w:rsidRPr="00113364">
        <w:rPr>
          <w:rFonts w:ascii="Arial" w:hAnsi="Arial" w:cs="Arial"/>
        </w:rPr>
        <w:t xml:space="preserve">analyze student </w:t>
      </w:r>
      <w:proofErr w:type="gramStart"/>
      <w:r w:rsidRPr="00113364">
        <w:rPr>
          <w:rFonts w:ascii="Arial" w:hAnsi="Arial" w:cs="Arial"/>
        </w:rPr>
        <w:t>move</w:t>
      </w:r>
      <w:proofErr w:type="gramEnd"/>
      <w:r w:rsidR="00C90B74" w:rsidRPr="00113364">
        <w:rPr>
          <w:rFonts w:ascii="Arial" w:hAnsi="Arial" w:cs="Arial"/>
        </w:rPr>
        <w:t xml:space="preserve"> </w:t>
      </w:r>
      <w:r w:rsidRPr="00113364">
        <w:rPr>
          <w:rFonts w:ascii="Arial" w:hAnsi="Arial" w:cs="Arial"/>
        </w:rPr>
        <w:t>pattern</w:t>
      </w:r>
      <w:r w:rsidR="00C90B74" w:rsidRPr="00113364">
        <w:rPr>
          <w:rFonts w:ascii="Arial" w:hAnsi="Arial" w:cs="Arial"/>
        </w:rPr>
        <w:t>s</w:t>
      </w:r>
      <w:r w:rsidRPr="00113364">
        <w:rPr>
          <w:rFonts w:ascii="Arial" w:hAnsi="Arial" w:cs="Arial"/>
        </w:rPr>
        <w:t xml:space="preserve">. In addition, the </w:t>
      </w:r>
      <w:r w:rsidR="00230A7B" w:rsidRPr="00113364">
        <w:rPr>
          <w:rFonts w:ascii="Arial" w:hAnsi="Arial" w:cs="Arial"/>
        </w:rPr>
        <w:t xml:space="preserve">MSIN </w:t>
      </w:r>
      <w:r w:rsidRPr="00113364">
        <w:rPr>
          <w:rFonts w:ascii="Arial" w:hAnsi="Arial" w:cs="Arial"/>
        </w:rPr>
        <w:t xml:space="preserve">system provides daily and annual data for submission of reports to the federal government. </w:t>
      </w:r>
    </w:p>
    <w:p w14:paraId="3AFDEB95" w14:textId="6C72F30A" w:rsidR="00FD581D" w:rsidRPr="00113364" w:rsidRDefault="00FD581D" w:rsidP="00CB2C23">
      <w:pPr>
        <w:spacing w:before="240"/>
        <w:rPr>
          <w:rFonts w:ascii="Arial" w:hAnsi="Arial" w:cs="Arial"/>
        </w:rPr>
      </w:pPr>
      <w:r w:rsidRPr="00113364">
        <w:rPr>
          <w:rFonts w:ascii="Arial" w:hAnsi="Arial" w:cs="Arial"/>
        </w:rPr>
        <w:t xml:space="preserve">The </w:t>
      </w:r>
      <w:r w:rsidR="00601557" w:rsidRPr="00113364">
        <w:rPr>
          <w:rFonts w:ascii="Arial" w:hAnsi="Arial" w:cs="Arial"/>
        </w:rPr>
        <w:t>CDE</w:t>
      </w:r>
      <w:r w:rsidRPr="00113364">
        <w:rPr>
          <w:rFonts w:ascii="Arial" w:hAnsi="Arial" w:cs="Arial"/>
        </w:rPr>
        <w:t xml:space="preserve"> provides extensive technical assistance in</w:t>
      </w:r>
      <w:r w:rsidR="007E7C2C" w:rsidRPr="00113364">
        <w:rPr>
          <w:rFonts w:ascii="Arial" w:hAnsi="Arial" w:cs="Arial"/>
        </w:rPr>
        <w:t xml:space="preserve"> </w:t>
      </w:r>
      <w:r w:rsidR="00230A7B" w:rsidRPr="00113364">
        <w:rPr>
          <w:rFonts w:ascii="Arial" w:hAnsi="Arial" w:cs="Arial"/>
        </w:rPr>
        <w:t xml:space="preserve">the </w:t>
      </w:r>
      <w:r w:rsidR="00BD1A14">
        <w:rPr>
          <w:rFonts w:ascii="Arial" w:hAnsi="Arial" w:cs="Arial"/>
        </w:rPr>
        <w:t>nine</w:t>
      </w:r>
      <w:r w:rsidR="00AF412D" w:rsidRPr="00113364">
        <w:rPr>
          <w:rFonts w:ascii="Arial" w:hAnsi="Arial" w:cs="Arial"/>
        </w:rPr>
        <w:t xml:space="preserve"> focus</w:t>
      </w:r>
      <w:r w:rsidRPr="00113364">
        <w:rPr>
          <w:rFonts w:ascii="Arial" w:hAnsi="Arial" w:cs="Arial"/>
        </w:rPr>
        <w:t xml:space="preserve"> areas of</w:t>
      </w:r>
      <w:r w:rsidR="007E7C2C" w:rsidRPr="00113364">
        <w:rPr>
          <w:rFonts w:ascii="Arial" w:hAnsi="Arial" w:cs="Arial"/>
        </w:rPr>
        <w:t xml:space="preserve"> the prior </w:t>
      </w:r>
      <w:r w:rsidR="00452477" w:rsidRPr="00113364">
        <w:rPr>
          <w:rFonts w:ascii="Arial" w:hAnsi="Arial" w:cs="Arial"/>
        </w:rPr>
        <w:t>SDP</w:t>
      </w:r>
      <w:r w:rsidR="007E7C2C" w:rsidRPr="00113364">
        <w:rPr>
          <w:rFonts w:ascii="Arial" w:hAnsi="Arial" w:cs="Arial"/>
        </w:rPr>
        <w:t>: English language arts</w:t>
      </w:r>
      <w:r w:rsidR="00F8713E">
        <w:rPr>
          <w:rFonts w:ascii="Arial" w:hAnsi="Arial" w:cs="Arial"/>
        </w:rPr>
        <w:t xml:space="preserve"> (ELA)</w:t>
      </w:r>
      <w:r w:rsidR="007E7C2C" w:rsidRPr="00113364">
        <w:rPr>
          <w:rFonts w:ascii="Arial" w:hAnsi="Arial" w:cs="Arial"/>
        </w:rPr>
        <w:t xml:space="preserve">, </w:t>
      </w:r>
      <w:r w:rsidR="00E7492F" w:rsidRPr="00113364">
        <w:rPr>
          <w:rFonts w:ascii="Arial" w:hAnsi="Arial" w:cs="Arial"/>
        </w:rPr>
        <w:t>mathematics</w:t>
      </w:r>
      <w:r w:rsidRPr="00113364">
        <w:rPr>
          <w:rFonts w:ascii="Arial" w:hAnsi="Arial" w:cs="Arial"/>
        </w:rPr>
        <w:t>,</w:t>
      </w:r>
      <w:r w:rsidR="00AF412D" w:rsidRPr="00113364">
        <w:rPr>
          <w:rFonts w:ascii="Arial" w:hAnsi="Arial" w:cs="Arial"/>
        </w:rPr>
        <w:t xml:space="preserve"> English language development</w:t>
      </w:r>
      <w:r w:rsidR="00F8713E">
        <w:rPr>
          <w:rFonts w:ascii="Arial" w:hAnsi="Arial" w:cs="Arial"/>
        </w:rPr>
        <w:t xml:space="preserve"> (ELD)</w:t>
      </w:r>
      <w:r w:rsidR="00AF412D" w:rsidRPr="00113364">
        <w:rPr>
          <w:rFonts w:ascii="Arial" w:hAnsi="Arial" w:cs="Arial"/>
        </w:rPr>
        <w:t>,</w:t>
      </w:r>
      <w:r w:rsidRPr="00113364">
        <w:rPr>
          <w:rFonts w:ascii="Arial" w:hAnsi="Arial" w:cs="Arial"/>
        </w:rPr>
        <w:t xml:space="preserve"> </w:t>
      </w:r>
      <w:r w:rsidR="007E7C2C" w:rsidRPr="00113364">
        <w:rPr>
          <w:rFonts w:ascii="Arial" w:hAnsi="Arial" w:cs="Arial"/>
        </w:rPr>
        <w:t xml:space="preserve">high school </w:t>
      </w:r>
      <w:r w:rsidR="00D0628C" w:rsidRPr="00113364">
        <w:rPr>
          <w:rFonts w:ascii="Arial" w:hAnsi="Arial" w:cs="Arial"/>
        </w:rPr>
        <w:t>outcomes</w:t>
      </w:r>
      <w:r w:rsidR="007E7C2C" w:rsidRPr="00113364">
        <w:rPr>
          <w:rFonts w:ascii="Arial" w:hAnsi="Arial" w:cs="Arial"/>
        </w:rPr>
        <w:t>, OSY</w:t>
      </w:r>
      <w:r w:rsidRPr="00113364">
        <w:rPr>
          <w:rFonts w:ascii="Arial" w:hAnsi="Arial" w:cs="Arial"/>
        </w:rPr>
        <w:t xml:space="preserve">, school readiness, </w:t>
      </w:r>
      <w:r w:rsidR="007E7C2C" w:rsidRPr="00113364">
        <w:rPr>
          <w:rFonts w:ascii="Arial" w:hAnsi="Arial" w:cs="Arial"/>
        </w:rPr>
        <w:t>health,</w:t>
      </w:r>
      <w:r w:rsidRPr="00113364">
        <w:rPr>
          <w:rFonts w:ascii="Arial" w:hAnsi="Arial" w:cs="Arial"/>
        </w:rPr>
        <w:t xml:space="preserve"> parent </w:t>
      </w:r>
      <w:r w:rsidR="00AF412D" w:rsidRPr="00113364">
        <w:rPr>
          <w:rFonts w:ascii="Arial" w:hAnsi="Arial" w:cs="Arial"/>
        </w:rPr>
        <w:t xml:space="preserve">and family engagement, and student engagement. Technical </w:t>
      </w:r>
      <w:r w:rsidR="00616360" w:rsidRPr="00113364">
        <w:rPr>
          <w:rFonts w:ascii="Arial" w:hAnsi="Arial" w:cs="Arial"/>
        </w:rPr>
        <w:t>assistance</w:t>
      </w:r>
      <w:r w:rsidR="00AF412D" w:rsidRPr="00113364">
        <w:rPr>
          <w:rFonts w:ascii="Arial" w:hAnsi="Arial" w:cs="Arial"/>
        </w:rPr>
        <w:t xml:space="preserve"> and training</w:t>
      </w:r>
      <w:r w:rsidR="003F0CBE">
        <w:rPr>
          <w:rFonts w:ascii="Arial" w:hAnsi="Arial" w:cs="Arial"/>
        </w:rPr>
        <w:t>s</w:t>
      </w:r>
      <w:r w:rsidR="00AF412D" w:rsidRPr="00113364">
        <w:rPr>
          <w:rFonts w:ascii="Arial" w:hAnsi="Arial" w:cs="Arial"/>
        </w:rPr>
        <w:t xml:space="preserve"> </w:t>
      </w:r>
      <w:r w:rsidR="00230A7B" w:rsidRPr="00113364">
        <w:rPr>
          <w:rFonts w:ascii="Arial" w:hAnsi="Arial" w:cs="Arial"/>
        </w:rPr>
        <w:t xml:space="preserve">are </w:t>
      </w:r>
      <w:r w:rsidR="00AF412D" w:rsidRPr="00113364">
        <w:rPr>
          <w:rFonts w:ascii="Arial" w:hAnsi="Arial" w:cs="Arial"/>
        </w:rPr>
        <w:t xml:space="preserve">provided </w:t>
      </w:r>
      <w:r w:rsidRPr="00113364">
        <w:rPr>
          <w:rFonts w:ascii="Arial" w:hAnsi="Arial" w:cs="Arial"/>
        </w:rPr>
        <w:t>through</w:t>
      </w:r>
      <w:r w:rsidR="00DF60AC" w:rsidRPr="00113364">
        <w:rPr>
          <w:rFonts w:ascii="Arial" w:hAnsi="Arial" w:cs="Arial"/>
        </w:rPr>
        <w:t xml:space="preserve"> one-on-one coaching calls, monthly </w:t>
      </w:r>
      <w:r w:rsidR="00230A7B" w:rsidRPr="00113364">
        <w:rPr>
          <w:rFonts w:ascii="Arial" w:hAnsi="Arial" w:cs="Arial"/>
        </w:rPr>
        <w:t>subgrantee d</w:t>
      </w:r>
      <w:r w:rsidR="00DF60AC" w:rsidRPr="00113364">
        <w:rPr>
          <w:rFonts w:ascii="Arial" w:hAnsi="Arial" w:cs="Arial"/>
        </w:rPr>
        <w:t>irector check-in meetings,</w:t>
      </w:r>
      <w:r w:rsidRPr="00113364">
        <w:rPr>
          <w:rFonts w:ascii="Arial" w:hAnsi="Arial" w:cs="Arial"/>
        </w:rPr>
        <w:t xml:space="preserve"> </w:t>
      </w:r>
      <w:r w:rsidR="00AF412D" w:rsidRPr="00113364">
        <w:rPr>
          <w:rFonts w:ascii="Arial" w:hAnsi="Arial" w:cs="Arial"/>
        </w:rPr>
        <w:t xml:space="preserve">in-person trainings, </w:t>
      </w:r>
      <w:r w:rsidRPr="00113364">
        <w:rPr>
          <w:rFonts w:ascii="Arial" w:hAnsi="Arial" w:cs="Arial"/>
        </w:rPr>
        <w:t xml:space="preserve">webinars, </w:t>
      </w:r>
      <w:r w:rsidR="00AF412D" w:rsidRPr="00113364">
        <w:rPr>
          <w:rFonts w:ascii="Arial" w:hAnsi="Arial" w:cs="Arial"/>
        </w:rPr>
        <w:t xml:space="preserve">conference </w:t>
      </w:r>
      <w:r w:rsidRPr="00113364">
        <w:rPr>
          <w:rFonts w:ascii="Arial" w:hAnsi="Arial" w:cs="Arial"/>
        </w:rPr>
        <w:t>workshops, a</w:t>
      </w:r>
      <w:r w:rsidR="00AF412D" w:rsidRPr="00113364">
        <w:rPr>
          <w:rFonts w:ascii="Arial" w:hAnsi="Arial" w:cs="Arial"/>
        </w:rPr>
        <w:t>nd site visits</w:t>
      </w:r>
      <w:r w:rsidRPr="00113364">
        <w:rPr>
          <w:rFonts w:ascii="Arial" w:hAnsi="Arial" w:cs="Arial"/>
        </w:rPr>
        <w:t xml:space="preserve">. </w:t>
      </w:r>
    </w:p>
    <w:p w14:paraId="3A438421" w14:textId="54D4ABB8" w:rsidR="00DC5C7D" w:rsidRPr="00113364" w:rsidRDefault="00966DD8" w:rsidP="00E30F49">
      <w:pPr>
        <w:pStyle w:val="Heading6"/>
      </w:pPr>
      <w:bookmarkStart w:id="17" w:name="_Toc203645055"/>
      <w:r w:rsidRPr="00113364">
        <w:lastRenderedPageBreak/>
        <w:t xml:space="preserve">Figure </w:t>
      </w:r>
      <w:fldSimple w:instr=" SEQ Figure \* ARABIC ">
        <w:r w:rsidR="00C3523A">
          <w:rPr>
            <w:noProof/>
          </w:rPr>
          <w:t>4</w:t>
        </w:r>
      </w:fldSimple>
      <w:r w:rsidRPr="00113364">
        <w:t>. Migrant Education Program Subgrantee Program Areas</w:t>
      </w:r>
      <w:bookmarkEnd w:id="17"/>
    </w:p>
    <w:p w14:paraId="4B30A707" w14:textId="77777777" w:rsidR="002B011D" w:rsidRPr="00113364" w:rsidRDefault="007626CD" w:rsidP="002B011D">
      <w:pPr>
        <w:pStyle w:val="NormalWeb"/>
        <w:spacing w:before="0" w:beforeAutospacing="0" w:after="0" w:afterAutospacing="0"/>
        <w:rPr>
          <w:rFonts w:ascii="Arial" w:hAnsi="Arial" w:cs="Arial"/>
        </w:rPr>
      </w:pPr>
      <w:r w:rsidRPr="00113364">
        <w:rPr>
          <w:rFonts w:ascii="Arial" w:hAnsi="Arial" w:cs="Arial"/>
          <w:noProof/>
        </w:rPr>
        <w:drawing>
          <wp:inline distT="0" distB="0" distL="0" distR="0" wp14:anchorId="402B65D8" wp14:editId="5BEED946">
            <wp:extent cx="5781675" cy="6334125"/>
            <wp:effectExtent l="0" t="0" r="9525" b="9525"/>
            <wp:docPr id="4" name="Picture 4" descr="Map of the state of California with the Migrant Education Program regions highlighted. Details on the MEP Regions and Direct-Funded Districts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 of the state of California with the Migrant Education Program regions highlighted. Details on the MEP Regions and Direct-Funded Districts web p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1675" cy="6334125"/>
                    </a:xfrm>
                    <a:prstGeom prst="rect">
                      <a:avLst/>
                    </a:prstGeom>
                    <a:noFill/>
                    <a:ln>
                      <a:noFill/>
                    </a:ln>
                  </pic:spPr>
                </pic:pic>
              </a:graphicData>
            </a:graphic>
          </wp:inline>
        </w:drawing>
      </w:r>
    </w:p>
    <w:p w14:paraId="2484847F" w14:textId="15EEB5AD" w:rsidR="00B45BD6" w:rsidRPr="00113364" w:rsidRDefault="00D8507E" w:rsidP="002B011D">
      <w:pPr>
        <w:pStyle w:val="NormalWeb"/>
        <w:spacing w:before="0" w:beforeAutospacing="0" w:after="0" w:afterAutospacing="0"/>
        <w:rPr>
          <w:rFonts w:ascii="Arial" w:hAnsi="Arial" w:cs="Arial"/>
        </w:rPr>
      </w:pPr>
      <w:r>
        <w:rPr>
          <w:rFonts w:ascii="Arial" w:hAnsi="Arial" w:cs="Arial"/>
        </w:rPr>
        <w:t xml:space="preserve">MEP Regions are defined on the MEP </w:t>
      </w:r>
      <w:hyperlink r:id="rId23" w:history="1">
        <w:r w:rsidRPr="00D8507E">
          <w:rPr>
            <w:rStyle w:val="Hyperlink"/>
            <w:rFonts w:ascii="Arial" w:hAnsi="Arial" w:cs="Arial"/>
          </w:rPr>
          <w:t>Regions and Direct-Funded Districts web page</w:t>
        </w:r>
      </w:hyperlink>
      <w:r>
        <w:rPr>
          <w:rFonts w:ascii="Arial" w:hAnsi="Arial" w:cs="Arial"/>
        </w:rPr>
        <w:t xml:space="preserve">. </w:t>
      </w:r>
      <w:r w:rsidR="005F0E24" w:rsidRPr="00113364">
        <w:rPr>
          <w:rFonts w:ascii="Arial" w:hAnsi="Arial" w:cs="Arial"/>
        </w:rPr>
        <w:t xml:space="preserve"> </w:t>
      </w:r>
    </w:p>
    <w:p w14:paraId="2C0EE7A0" w14:textId="77777777" w:rsidR="00FC172E" w:rsidRPr="00113364" w:rsidRDefault="00FC172E" w:rsidP="002B011D">
      <w:pPr>
        <w:rPr>
          <w:rFonts w:ascii="Arial" w:hAnsi="Arial" w:cs="Arial"/>
        </w:rPr>
        <w:sectPr w:rsidR="00FC172E" w:rsidRPr="00113364" w:rsidSect="004073FE">
          <w:pgSz w:w="12240" w:h="15840"/>
          <w:pgMar w:top="1440" w:right="1440" w:bottom="1440" w:left="1440" w:header="720" w:footer="720" w:gutter="0"/>
          <w:pgNumType w:start="15"/>
          <w:cols w:space="720"/>
          <w:titlePg/>
          <w:docGrid w:linePitch="360"/>
        </w:sectPr>
      </w:pPr>
    </w:p>
    <w:p w14:paraId="0F1A7FB1" w14:textId="55D4D067" w:rsidR="00A91D9B" w:rsidRPr="00113364" w:rsidRDefault="00A91D9B" w:rsidP="003F0CBE">
      <w:pPr>
        <w:pStyle w:val="Heading3"/>
      </w:pPr>
      <w:bookmarkStart w:id="18" w:name="_Toc203568835"/>
      <w:r w:rsidRPr="00113364">
        <w:lastRenderedPageBreak/>
        <w:t>Overview of the Comprehensive Needs Assessment and Service Delivery Plan Development Process</w:t>
      </w:r>
      <w:bookmarkEnd w:id="18"/>
    </w:p>
    <w:p w14:paraId="06A174AF" w14:textId="0A6EB2F9" w:rsidR="00A91D9B" w:rsidRPr="00113364" w:rsidRDefault="00A91D9B" w:rsidP="00A91D9B">
      <w:pPr>
        <w:spacing w:after="240"/>
        <w:rPr>
          <w:rFonts w:ascii="Arial" w:hAnsi="Arial" w:cs="Arial"/>
        </w:rPr>
      </w:pPr>
      <w:r w:rsidRPr="00113364">
        <w:rPr>
          <w:rFonts w:ascii="Arial" w:hAnsi="Arial" w:cs="Arial"/>
        </w:rPr>
        <w:t xml:space="preserve">The purpose of the CNA is to identify the statewide unique educational needs of migratory children that must be met for those children to participate effectively in school and to meet California’s challenging state academic standards (34 </w:t>
      </w:r>
      <w:r w:rsidRPr="00113364">
        <w:rPr>
          <w:rFonts w:ascii="Arial" w:hAnsi="Arial" w:cs="Arial"/>
          <w:i/>
          <w:iCs/>
        </w:rPr>
        <w:t>C</w:t>
      </w:r>
      <w:r w:rsidR="00052462">
        <w:rPr>
          <w:rFonts w:ascii="Arial" w:hAnsi="Arial" w:cs="Arial"/>
          <w:i/>
          <w:iCs/>
        </w:rPr>
        <w:t>FR</w:t>
      </w:r>
      <w:r w:rsidRPr="00113364">
        <w:rPr>
          <w:rFonts w:ascii="Arial" w:hAnsi="Arial" w:cs="Arial"/>
          <w:i/>
          <w:iCs/>
        </w:rPr>
        <w:t xml:space="preserve"> </w:t>
      </w:r>
      <w:r w:rsidRPr="00113364">
        <w:rPr>
          <w:rFonts w:ascii="Arial" w:hAnsi="Arial" w:cs="Arial"/>
        </w:rPr>
        <w:t xml:space="preserve">200, Section 200.83). </w:t>
      </w:r>
      <w:r w:rsidR="005F0E24" w:rsidRPr="00113364">
        <w:rPr>
          <w:rFonts w:ascii="Arial" w:hAnsi="Arial" w:cs="Arial"/>
        </w:rPr>
        <w:t>The purpose</w:t>
      </w:r>
      <w:r w:rsidR="00230A7B" w:rsidRPr="00113364">
        <w:rPr>
          <w:rFonts w:ascii="Arial" w:hAnsi="Arial" w:cs="Arial"/>
        </w:rPr>
        <w:t xml:space="preserve"> of the state’s SDP</w:t>
      </w:r>
      <w:r w:rsidR="005F0E24" w:rsidRPr="00113364">
        <w:rPr>
          <w:rFonts w:ascii="Arial" w:hAnsi="Arial" w:cs="Arial"/>
        </w:rPr>
        <w:t xml:space="preserve"> is to outline a plan</w:t>
      </w:r>
      <w:r w:rsidR="00A844D5" w:rsidRPr="00113364">
        <w:rPr>
          <w:rFonts w:ascii="Arial" w:hAnsi="Arial" w:cs="Arial"/>
        </w:rPr>
        <w:t xml:space="preserve"> (a set of strategies)</w:t>
      </w:r>
      <w:r w:rsidR="005F0E24" w:rsidRPr="00113364">
        <w:rPr>
          <w:rFonts w:ascii="Arial" w:hAnsi="Arial" w:cs="Arial"/>
        </w:rPr>
        <w:t xml:space="preserve"> to address th</w:t>
      </w:r>
      <w:r w:rsidR="00A844D5" w:rsidRPr="00113364">
        <w:rPr>
          <w:rFonts w:ascii="Arial" w:hAnsi="Arial" w:cs="Arial"/>
        </w:rPr>
        <w:t xml:space="preserve">e needs identified within the ten focus areas </w:t>
      </w:r>
      <w:r w:rsidR="00230A7B" w:rsidRPr="00113364">
        <w:rPr>
          <w:rFonts w:ascii="Arial" w:hAnsi="Arial" w:cs="Arial"/>
        </w:rPr>
        <w:t>of the CNA</w:t>
      </w:r>
      <w:r w:rsidR="005F0E24" w:rsidRPr="00113364">
        <w:rPr>
          <w:rFonts w:ascii="Arial" w:hAnsi="Arial" w:cs="Arial"/>
        </w:rPr>
        <w:t xml:space="preserve">. </w:t>
      </w:r>
      <w:r w:rsidRPr="00113364">
        <w:rPr>
          <w:rFonts w:ascii="Arial" w:hAnsi="Arial" w:cs="Arial"/>
        </w:rPr>
        <w:t xml:space="preserve">The development of the statewide CNA </w:t>
      </w:r>
      <w:r w:rsidR="003C680E" w:rsidRPr="00113364">
        <w:rPr>
          <w:rFonts w:ascii="Arial" w:hAnsi="Arial" w:cs="Arial"/>
        </w:rPr>
        <w:t xml:space="preserve">and SDP </w:t>
      </w:r>
      <w:r w:rsidR="00230A7B" w:rsidRPr="00113364">
        <w:rPr>
          <w:rFonts w:ascii="Arial" w:hAnsi="Arial" w:cs="Arial"/>
        </w:rPr>
        <w:t xml:space="preserve">involved </w:t>
      </w:r>
      <w:r w:rsidRPr="00113364">
        <w:rPr>
          <w:rFonts w:ascii="Arial" w:hAnsi="Arial" w:cs="Arial"/>
        </w:rPr>
        <w:t>a multiple</w:t>
      </w:r>
      <w:r w:rsidR="00230A7B" w:rsidRPr="00113364">
        <w:rPr>
          <w:rFonts w:ascii="Arial" w:hAnsi="Arial" w:cs="Arial"/>
        </w:rPr>
        <w:t>-</w:t>
      </w:r>
      <w:r w:rsidRPr="00113364">
        <w:rPr>
          <w:rFonts w:ascii="Arial" w:hAnsi="Arial" w:cs="Arial"/>
        </w:rPr>
        <w:t>step process consisting of careful planning, data collection and analysis, and collaboration with all interested parties. The CDE Management and Data Team</w:t>
      </w:r>
      <w:r w:rsidRPr="00113364">
        <w:rPr>
          <w:rStyle w:val="FootnoteReference"/>
          <w:rFonts w:ascii="Arial" w:hAnsi="Arial" w:cs="Arial"/>
        </w:rPr>
        <w:footnoteReference w:id="6"/>
      </w:r>
      <w:r w:rsidRPr="00113364">
        <w:rPr>
          <w:rFonts w:ascii="Arial" w:hAnsi="Arial" w:cs="Arial"/>
        </w:rPr>
        <w:t xml:space="preserve"> followed the broad steps identified below:</w:t>
      </w:r>
    </w:p>
    <w:p w14:paraId="7B0606B5" w14:textId="77777777" w:rsidR="00A91D9B" w:rsidRPr="00113364" w:rsidRDefault="00A91D9B" w:rsidP="00E30F49">
      <w:pPr>
        <w:pStyle w:val="Heading4"/>
      </w:pPr>
      <w:r w:rsidRPr="00113364">
        <w:t>Step 1: Planning</w:t>
      </w:r>
    </w:p>
    <w:p w14:paraId="313C433E" w14:textId="77777777" w:rsidR="00A91D9B" w:rsidRPr="00113364" w:rsidRDefault="00A91D9B" w:rsidP="00A91D9B">
      <w:pPr>
        <w:spacing w:after="240"/>
        <w:rPr>
          <w:rFonts w:ascii="Arial" w:hAnsi="Arial" w:cs="Arial"/>
        </w:rPr>
      </w:pPr>
      <w:r w:rsidRPr="00113364">
        <w:rPr>
          <w:rFonts w:ascii="Arial" w:hAnsi="Arial" w:cs="Arial"/>
        </w:rPr>
        <w:t>With guidance from OME, the CDE created the process for developing the CNA and SDP. The following key elements were completed during the planning phase of the CNA SDP process:</w:t>
      </w:r>
    </w:p>
    <w:p w14:paraId="6FEC742B" w14:textId="77777777" w:rsidR="00A91D9B" w:rsidRPr="00113364" w:rsidRDefault="00A91D9B" w:rsidP="00A91D9B">
      <w:pPr>
        <w:pStyle w:val="ListParagraph"/>
        <w:numPr>
          <w:ilvl w:val="0"/>
          <w:numId w:val="2"/>
        </w:numPr>
        <w:contextualSpacing w:val="0"/>
        <w:rPr>
          <w:rFonts w:ascii="Arial" w:hAnsi="Arial" w:cs="Arial"/>
        </w:rPr>
      </w:pPr>
      <w:r w:rsidRPr="00113364">
        <w:rPr>
          <w:rFonts w:ascii="Arial" w:hAnsi="Arial" w:cs="Arial"/>
        </w:rPr>
        <w:t>Reviewed all CNA and SDP guidance and resources from OME</w:t>
      </w:r>
    </w:p>
    <w:p w14:paraId="5D317CDF" w14:textId="77777777" w:rsidR="00A91D9B" w:rsidRPr="00113364" w:rsidRDefault="00A91D9B" w:rsidP="00A91D9B">
      <w:pPr>
        <w:pStyle w:val="ListParagraph"/>
        <w:numPr>
          <w:ilvl w:val="0"/>
          <w:numId w:val="2"/>
        </w:numPr>
        <w:contextualSpacing w:val="0"/>
        <w:rPr>
          <w:rFonts w:ascii="Arial" w:hAnsi="Arial" w:cs="Arial"/>
        </w:rPr>
      </w:pPr>
      <w:r w:rsidRPr="00113364">
        <w:rPr>
          <w:rFonts w:ascii="Arial" w:hAnsi="Arial" w:cs="Arial"/>
        </w:rPr>
        <w:t>Developed CNA and SDP process and timelines</w:t>
      </w:r>
    </w:p>
    <w:p w14:paraId="4E905C8A" w14:textId="77777777" w:rsidR="00A91D9B" w:rsidRPr="00113364" w:rsidRDefault="00A91D9B" w:rsidP="00A91D9B">
      <w:pPr>
        <w:pStyle w:val="ListParagraph"/>
        <w:numPr>
          <w:ilvl w:val="0"/>
          <w:numId w:val="2"/>
        </w:numPr>
        <w:contextualSpacing w:val="0"/>
        <w:rPr>
          <w:rFonts w:ascii="Arial" w:hAnsi="Arial" w:cs="Arial"/>
        </w:rPr>
      </w:pPr>
      <w:r w:rsidRPr="00113364">
        <w:rPr>
          <w:rFonts w:ascii="Arial" w:hAnsi="Arial" w:cs="Arial"/>
        </w:rPr>
        <w:t>Identified data needs for the development of the Migratory Student Profile</w:t>
      </w:r>
    </w:p>
    <w:p w14:paraId="133AF8B2" w14:textId="20B50D38" w:rsidR="00A91D9B" w:rsidRPr="00113364" w:rsidRDefault="00A91D9B" w:rsidP="00A91D9B">
      <w:pPr>
        <w:pStyle w:val="ListParagraph"/>
        <w:numPr>
          <w:ilvl w:val="0"/>
          <w:numId w:val="2"/>
        </w:numPr>
        <w:contextualSpacing w:val="0"/>
        <w:rPr>
          <w:rFonts w:ascii="Arial" w:hAnsi="Arial" w:cs="Arial"/>
        </w:rPr>
      </w:pPr>
      <w:r w:rsidRPr="00113364">
        <w:rPr>
          <w:rFonts w:ascii="Arial" w:hAnsi="Arial" w:cs="Arial"/>
        </w:rPr>
        <w:t>Solicit</w:t>
      </w:r>
      <w:r w:rsidR="00D2588C" w:rsidRPr="00113364">
        <w:rPr>
          <w:rFonts w:ascii="Arial" w:hAnsi="Arial" w:cs="Arial"/>
        </w:rPr>
        <w:t>ed</w:t>
      </w:r>
      <w:r w:rsidRPr="00113364">
        <w:rPr>
          <w:rFonts w:ascii="Arial" w:hAnsi="Arial" w:cs="Arial"/>
        </w:rPr>
        <w:t xml:space="preserve"> volunteers and established the CNA SDP Committee</w:t>
      </w:r>
    </w:p>
    <w:p w14:paraId="586380FB" w14:textId="77777777" w:rsidR="00A91D9B" w:rsidRPr="00113364" w:rsidRDefault="00A91D9B" w:rsidP="00A91D9B">
      <w:pPr>
        <w:pStyle w:val="ListParagraph"/>
        <w:numPr>
          <w:ilvl w:val="0"/>
          <w:numId w:val="2"/>
        </w:numPr>
        <w:spacing w:after="240"/>
        <w:contextualSpacing w:val="0"/>
        <w:rPr>
          <w:rFonts w:ascii="Arial" w:hAnsi="Arial" w:cs="Arial"/>
        </w:rPr>
      </w:pPr>
      <w:proofErr w:type="gramStart"/>
      <w:r w:rsidRPr="00113364">
        <w:rPr>
          <w:rFonts w:ascii="Arial" w:hAnsi="Arial" w:cs="Arial"/>
        </w:rPr>
        <w:t>Planned</w:t>
      </w:r>
      <w:proofErr w:type="gramEnd"/>
      <w:r w:rsidRPr="00113364">
        <w:rPr>
          <w:rFonts w:ascii="Arial" w:hAnsi="Arial" w:cs="Arial"/>
        </w:rPr>
        <w:t xml:space="preserve"> the meeting logistics for all eight meetings</w:t>
      </w:r>
    </w:p>
    <w:p w14:paraId="7C57FF7C" w14:textId="77777777" w:rsidR="00A91D9B" w:rsidRPr="00113364" w:rsidRDefault="00A91D9B" w:rsidP="00E30F49">
      <w:pPr>
        <w:pStyle w:val="Heading4"/>
      </w:pPr>
      <w:r w:rsidRPr="00113364">
        <w:t>Step 2: Data Collection</w:t>
      </w:r>
    </w:p>
    <w:p w14:paraId="56F1443D" w14:textId="2AFF5662" w:rsidR="00A91D9B" w:rsidRPr="00113364" w:rsidRDefault="00A91D9B" w:rsidP="00A91D9B">
      <w:pPr>
        <w:spacing w:after="240"/>
        <w:rPr>
          <w:rFonts w:ascii="Arial" w:hAnsi="Arial" w:cs="Arial"/>
        </w:rPr>
      </w:pPr>
      <w:r w:rsidRPr="00113364">
        <w:rPr>
          <w:rFonts w:ascii="Arial" w:hAnsi="Arial" w:cs="Arial"/>
        </w:rPr>
        <w:t xml:space="preserve">During the planning phase, the CDE Management and Data Team explored all available data to assist in the CNA development process. </w:t>
      </w:r>
      <w:r w:rsidR="000C143F" w:rsidRPr="00113364">
        <w:rPr>
          <w:rFonts w:ascii="Arial" w:hAnsi="Arial" w:cs="Arial"/>
        </w:rPr>
        <w:t>Reliable data is essential to</w:t>
      </w:r>
      <w:r w:rsidRPr="00113364">
        <w:rPr>
          <w:rFonts w:ascii="Arial" w:hAnsi="Arial" w:cs="Arial"/>
        </w:rPr>
        <w:t xml:space="preserve"> able to correctly identify concerns, infer and prioritize needs, and select evidence-based practices to address the identified needs. Data for the CNA was gathered from multiple sources and </w:t>
      </w:r>
      <w:r w:rsidR="004643B1" w:rsidRPr="00113364">
        <w:rPr>
          <w:rFonts w:ascii="Arial" w:hAnsi="Arial" w:cs="Arial"/>
        </w:rPr>
        <w:t>included</w:t>
      </w:r>
      <w:r w:rsidRPr="00113364">
        <w:rPr>
          <w:rFonts w:ascii="Arial" w:hAnsi="Arial" w:cs="Arial"/>
        </w:rPr>
        <w:t xml:space="preserve"> both quantitative (e.g., student achievement, programmatic data, evidence-based instructional practices) and qualitative data (e.g., focus group and interviews). Step 2 in the process included the following actions: </w:t>
      </w:r>
    </w:p>
    <w:p w14:paraId="00D3AC4F" w14:textId="10F2F9A1" w:rsidR="00A91D9B" w:rsidRPr="00113364" w:rsidRDefault="00A91D9B" w:rsidP="00A91D9B">
      <w:pPr>
        <w:pStyle w:val="ListParagraph"/>
        <w:numPr>
          <w:ilvl w:val="0"/>
          <w:numId w:val="2"/>
        </w:numPr>
        <w:spacing w:after="240"/>
        <w:contextualSpacing w:val="0"/>
        <w:rPr>
          <w:rFonts w:ascii="Arial" w:hAnsi="Arial" w:cs="Arial"/>
        </w:rPr>
      </w:pPr>
      <w:r w:rsidRPr="00113364">
        <w:rPr>
          <w:rFonts w:ascii="Arial" w:hAnsi="Arial" w:cs="Arial"/>
        </w:rPr>
        <w:t>Administer</w:t>
      </w:r>
      <w:r w:rsidR="00FE6287">
        <w:rPr>
          <w:rFonts w:ascii="Arial" w:hAnsi="Arial" w:cs="Arial"/>
        </w:rPr>
        <w:t>ed</w:t>
      </w:r>
      <w:r w:rsidRPr="00113364">
        <w:rPr>
          <w:rFonts w:ascii="Arial" w:hAnsi="Arial" w:cs="Arial"/>
        </w:rPr>
        <w:t xml:space="preserve"> a statewide survey for MEP staff, OSY, and MEP parents to identify focus areas (i.e., areas of need) by different grade spans</w:t>
      </w:r>
      <w:r w:rsidR="0067682A" w:rsidRPr="00113364">
        <w:rPr>
          <w:rFonts w:ascii="Arial" w:hAnsi="Arial" w:cs="Arial"/>
        </w:rPr>
        <w:t>.</w:t>
      </w:r>
    </w:p>
    <w:p w14:paraId="53860580" w14:textId="5B1031E6" w:rsidR="00A91D9B" w:rsidRPr="00113364" w:rsidRDefault="00A91D9B" w:rsidP="00A91D9B">
      <w:pPr>
        <w:pStyle w:val="ListParagraph"/>
        <w:numPr>
          <w:ilvl w:val="0"/>
          <w:numId w:val="2"/>
        </w:numPr>
        <w:spacing w:after="240"/>
        <w:contextualSpacing w:val="0"/>
        <w:rPr>
          <w:rFonts w:ascii="Arial" w:hAnsi="Arial" w:cs="Arial"/>
        </w:rPr>
      </w:pPr>
      <w:r w:rsidRPr="00113364">
        <w:rPr>
          <w:rFonts w:ascii="Arial" w:hAnsi="Arial" w:cs="Arial"/>
        </w:rPr>
        <w:t>Conduct</w:t>
      </w:r>
      <w:r w:rsidR="00FE6287">
        <w:rPr>
          <w:rFonts w:ascii="Arial" w:hAnsi="Arial" w:cs="Arial"/>
        </w:rPr>
        <w:t>ed</w:t>
      </w:r>
      <w:r w:rsidRPr="00113364">
        <w:rPr>
          <w:rFonts w:ascii="Arial" w:hAnsi="Arial" w:cs="Arial"/>
        </w:rPr>
        <w:t xml:space="preserve"> focus groups and interviews of MEP staff, OSY, and MEP parents to collect qualitative data regarding the strengths and needs of migratory children and youths</w:t>
      </w:r>
      <w:r w:rsidR="0067682A" w:rsidRPr="00113364">
        <w:rPr>
          <w:rFonts w:ascii="Arial" w:hAnsi="Arial" w:cs="Arial"/>
        </w:rPr>
        <w:t>.</w:t>
      </w:r>
    </w:p>
    <w:p w14:paraId="578DDF2F" w14:textId="6D0E3CED" w:rsidR="00A91D9B" w:rsidRPr="00113364" w:rsidRDefault="00A91D9B" w:rsidP="00A91D9B">
      <w:pPr>
        <w:pStyle w:val="ListParagraph"/>
        <w:numPr>
          <w:ilvl w:val="0"/>
          <w:numId w:val="2"/>
        </w:numPr>
        <w:spacing w:after="240"/>
        <w:contextualSpacing w:val="0"/>
        <w:rPr>
          <w:rFonts w:ascii="Arial" w:hAnsi="Arial" w:cs="Arial"/>
        </w:rPr>
      </w:pPr>
      <w:r w:rsidRPr="00113364">
        <w:rPr>
          <w:rFonts w:ascii="Arial" w:hAnsi="Arial" w:cs="Arial"/>
        </w:rPr>
        <w:lastRenderedPageBreak/>
        <w:t>Analyz</w:t>
      </w:r>
      <w:r w:rsidR="00FE6287">
        <w:rPr>
          <w:rFonts w:ascii="Arial" w:hAnsi="Arial" w:cs="Arial"/>
        </w:rPr>
        <w:t>ed</w:t>
      </w:r>
      <w:r w:rsidRPr="00113364">
        <w:rPr>
          <w:rFonts w:ascii="Arial" w:hAnsi="Arial" w:cs="Arial"/>
        </w:rPr>
        <w:t xml:space="preserve"> all available data to be included for the focus areas for CNA SDP Committee work</w:t>
      </w:r>
      <w:r w:rsidR="0067682A" w:rsidRPr="00113364">
        <w:rPr>
          <w:rFonts w:ascii="Arial" w:hAnsi="Arial" w:cs="Arial"/>
        </w:rPr>
        <w:t>.</w:t>
      </w:r>
    </w:p>
    <w:p w14:paraId="78B7F1A7" w14:textId="084CADB3" w:rsidR="00A91D9B" w:rsidRPr="00113364" w:rsidRDefault="00A91D9B" w:rsidP="00A91D9B">
      <w:pPr>
        <w:pStyle w:val="ListParagraph"/>
        <w:numPr>
          <w:ilvl w:val="0"/>
          <w:numId w:val="2"/>
        </w:numPr>
        <w:spacing w:after="240"/>
        <w:contextualSpacing w:val="0"/>
        <w:rPr>
          <w:rFonts w:ascii="Arial" w:hAnsi="Arial" w:cs="Arial"/>
        </w:rPr>
      </w:pPr>
      <w:r w:rsidRPr="00113364">
        <w:rPr>
          <w:rFonts w:ascii="Arial" w:hAnsi="Arial" w:cs="Arial"/>
        </w:rPr>
        <w:t>Review</w:t>
      </w:r>
      <w:r w:rsidR="00FE6287">
        <w:rPr>
          <w:rFonts w:ascii="Arial" w:hAnsi="Arial" w:cs="Arial"/>
        </w:rPr>
        <w:t>ed</w:t>
      </w:r>
      <w:r w:rsidRPr="00113364">
        <w:rPr>
          <w:rFonts w:ascii="Arial" w:hAnsi="Arial" w:cs="Arial"/>
        </w:rPr>
        <w:t xml:space="preserve"> literature on evidence-based practices and developing best practice guides for each focus area to support </w:t>
      </w:r>
      <w:r w:rsidR="00D2588C" w:rsidRPr="00113364">
        <w:rPr>
          <w:rFonts w:ascii="Arial" w:hAnsi="Arial" w:cs="Arial"/>
        </w:rPr>
        <w:t>the selection of</w:t>
      </w:r>
      <w:r w:rsidRPr="00113364">
        <w:rPr>
          <w:rFonts w:ascii="Arial" w:hAnsi="Arial" w:cs="Arial"/>
        </w:rPr>
        <w:t xml:space="preserve"> initial strategies to address the identified needs</w:t>
      </w:r>
      <w:r w:rsidR="0067682A" w:rsidRPr="00113364">
        <w:rPr>
          <w:rFonts w:ascii="Arial" w:hAnsi="Arial" w:cs="Arial"/>
        </w:rPr>
        <w:t>.</w:t>
      </w:r>
    </w:p>
    <w:p w14:paraId="43BE7CDE" w14:textId="5B5C1616" w:rsidR="00A91D9B" w:rsidRPr="00113364" w:rsidRDefault="00A91D9B" w:rsidP="00A91D9B">
      <w:pPr>
        <w:pStyle w:val="ListParagraph"/>
        <w:numPr>
          <w:ilvl w:val="0"/>
          <w:numId w:val="2"/>
        </w:numPr>
        <w:spacing w:after="240"/>
        <w:contextualSpacing w:val="0"/>
        <w:rPr>
          <w:rFonts w:ascii="Arial" w:hAnsi="Arial" w:cs="Arial"/>
        </w:rPr>
      </w:pPr>
      <w:r w:rsidRPr="00113364">
        <w:rPr>
          <w:rFonts w:ascii="Arial" w:hAnsi="Arial" w:cs="Arial"/>
        </w:rPr>
        <w:t>Compil</w:t>
      </w:r>
      <w:r w:rsidR="00FE6287">
        <w:rPr>
          <w:rFonts w:ascii="Arial" w:hAnsi="Arial" w:cs="Arial"/>
        </w:rPr>
        <w:t>ed</w:t>
      </w:r>
      <w:r w:rsidRPr="00113364">
        <w:rPr>
          <w:rFonts w:ascii="Arial" w:hAnsi="Arial" w:cs="Arial"/>
        </w:rPr>
        <w:t xml:space="preserve"> all data for consumption by the CNA SDP Committee meetings for analysis</w:t>
      </w:r>
      <w:r w:rsidR="0067682A" w:rsidRPr="00113364">
        <w:rPr>
          <w:rFonts w:ascii="Arial" w:hAnsi="Arial" w:cs="Arial"/>
        </w:rPr>
        <w:t>.</w:t>
      </w:r>
    </w:p>
    <w:p w14:paraId="7DC92B62" w14:textId="77777777" w:rsidR="00A91D9B" w:rsidRPr="00113364" w:rsidRDefault="00A91D9B" w:rsidP="00E30F49">
      <w:pPr>
        <w:pStyle w:val="Heading4"/>
      </w:pPr>
      <w:r w:rsidRPr="00113364">
        <w:t>Step 3: Developing Committee Materials and Training Facilitators</w:t>
      </w:r>
    </w:p>
    <w:p w14:paraId="29924D88" w14:textId="23B3BDE2" w:rsidR="00A91D9B" w:rsidRPr="00113364" w:rsidRDefault="00A91D9B" w:rsidP="00A91D9B">
      <w:pPr>
        <w:spacing w:after="240"/>
        <w:rPr>
          <w:rFonts w:ascii="Arial" w:hAnsi="Arial" w:cs="Arial"/>
        </w:rPr>
      </w:pPr>
      <w:r w:rsidRPr="00113364">
        <w:rPr>
          <w:rFonts w:ascii="Arial" w:hAnsi="Arial" w:cs="Arial"/>
        </w:rPr>
        <w:t xml:space="preserve">Once the CDE identified California’s Migratory Student Profile focus areas from evaluating the survey responses completed by MEP staff, parents and OSY, the CDE began working with WestEd to collect data for each focus area. While already </w:t>
      </w:r>
      <w:r w:rsidR="00DC4A6A" w:rsidRPr="00113364">
        <w:rPr>
          <w:rFonts w:ascii="Arial" w:hAnsi="Arial" w:cs="Arial"/>
        </w:rPr>
        <w:t xml:space="preserve">incorporated </w:t>
      </w:r>
      <w:r w:rsidR="00D2588C" w:rsidRPr="00113364">
        <w:rPr>
          <w:rFonts w:ascii="Arial" w:hAnsi="Arial" w:cs="Arial"/>
        </w:rPr>
        <w:t>from</w:t>
      </w:r>
      <w:r w:rsidRPr="00113364">
        <w:rPr>
          <w:rFonts w:ascii="Arial" w:hAnsi="Arial" w:cs="Arial"/>
        </w:rPr>
        <w:t xml:space="preserve"> </w:t>
      </w:r>
      <w:r w:rsidR="00DC4A6A" w:rsidRPr="00113364">
        <w:rPr>
          <w:rFonts w:ascii="Arial" w:hAnsi="Arial" w:cs="Arial"/>
        </w:rPr>
        <w:t xml:space="preserve">the </w:t>
      </w:r>
      <w:r w:rsidRPr="00113364">
        <w:rPr>
          <w:rFonts w:ascii="Arial" w:hAnsi="Arial" w:cs="Arial"/>
        </w:rPr>
        <w:t>survey responses, the CDE ensured OME’s goal areas for</w:t>
      </w:r>
      <w:r w:rsidR="001C2B8D" w:rsidRPr="00113364">
        <w:rPr>
          <w:rFonts w:ascii="Arial" w:hAnsi="Arial" w:cs="Arial"/>
        </w:rPr>
        <w:t xml:space="preserve"> </w:t>
      </w:r>
      <w:r w:rsidRPr="00113364">
        <w:rPr>
          <w:rFonts w:ascii="Arial" w:hAnsi="Arial" w:cs="Arial"/>
        </w:rPr>
        <w:t xml:space="preserve">ELA, </w:t>
      </w:r>
      <w:r w:rsidR="00E7492F" w:rsidRPr="00113364">
        <w:rPr>
          <w:rFonts w:ascii="Arial" w:hAnsi="Arial" w:cs="Arial"/>
        </w:rPr>
        <w:t>mathematics</w:t>
      </w:r>
      <w:r w:rsidRPr="00113364">
        <w:rPr>
          <w:rFonts w:ascii="Arial" w:hAnsi="Arial" w:cs="Arial"/>
        </w:rPr>
        <w:t xml:space="preserve">, and high school </w:t>
      </w:r>
      <w:r w:rsidR="00D0628C" w:rsidRPr="00113364">
        <w:rPr>
          <w:rFonts w:ascii="Arial" w:hAnsi="Arial" w:cs="Arial"/>
        </w:rPr>
        <w:t>outcomes</w:t>
      </w:r>
      <w:r w:rsidRPr="00113364">
        <w:rPr>
          <w:rFonts w:ascii="Arial" w:hAnsi="Arial" w:cs="Arial"/>
        </w:rPr>
        <w:t xml:space="preserve"> were included. </w:t>
      </w:r>
      <w:r w:rsidR="00DC4A6A" w:rsidRPr="00113364">
        <w:rPr>
          <w:rFonts w:ascii="Arial" w:hAnsi="Arial" w:cs="Arial"/>
        </w:rPr>
        <w:t xml:space="preserve">After identifying </w:t>
      </w:r>
      <w:r w:rsidRPr="00113364">
        <w:rPr>
          <w:rFonts w:ascii="Arial" w:hAnsi="Arial" w:cs="Arial"/>
        </w:rPr>
        <w:t>the focus areas, CDE staff conducted the following activities:</w:t>
      </w:r>
    </w:p>
    <w:p w14:paraId="6CB528DB" w14:textId="65C220B4" w:rsidR="00A91D9B" w:rsidRPr="00113364" w:rsidRDefault="00A91D9B">
      <w:pPr>
        <w:pStyle w:val="ListParagraph"/>
        <w:numPr>
          <w:ilvl w:val="0"/>
          <w:numId w:val="48"/>
        </w:numPr>
        <w:spacing w:after="240"/>
        <w:contextualSpacing w:val="0"/>
        <w:rPr>
          <w:rFonts w:ascii="Arial" w:hAnsi="Arial" w:cs="Arial"/>
        </w:rPr>
      </w:pPr>
      <w:r w:rsidRPr="00113364">
        <w:rPr>
          <w:rFonts w:ascii="Arial" w:hAnsi="Arial" w:cs="Arial"/>
        </w:rPr>
        <w:t>Developed CNA SDP Committee materials (e.g., PowerPoints, notetakers, best practice guides, the Migratory Student Profile</w:t>
      </w:r>
      <w:r w:rsidRPr="00113364">
        <w:rPr>
          <w:rStyle w:val="FootnoteReference"/>
          <w:rFonts w:ascii="Arial" w:hAnsi="Arial" w:cs="Arial"/>
        </w:rPr>
        <w:footnoteReference w:id="7"/>
      </w:r>
      <w:r w:rsidRPr="00113364">
        <w:rPr>
          <w:rFonts w:ascii="Arial" w:hAnsi="Arial" w:cs="Arial"/>
        </w:rPr>
        <w:t>)</w:t>
      </w:r>
      <w:r w:rsidR="00ED355C">
        <w:rPr>
          <w:rFonts w:ascii="Arial" w:hAnsi="Arial" w:cs="Arial"/>
        </w:rPr>
        <w:t>,</w:t>
      </w:r>
      <w:r w:rsidRPr="00113364">
        <w:rPr>
          <w:rFonts w:ascii="Arial" w:hAnsi="Arial" w:cs="Arial"/>
        </w:rPr>
        <w:t xml:space="preserve"> which were provided in both English and Spanish to participants.</w:t>
      </w:r>
    </w:p>
    <w:p w14:paraId="7CED3A36" w14:textId="01B05BE5" w:rsidR="00A91D9B" w:rsidRPr="00113364" w:rsidRDefault="00A91D9B">
      <w:pPr>
        <w:pStyle w:val="ListParagraph"/>
        <w:numPr>
          <w:ilvl w:val="0"/>
          <w:numId w:val="48"/>
        </w:numPr>
        <w:spacing w:after="240"/>
        <w:contextualSpacing w:val="0"/>
        <w:rPr>
          <w:rFonts w:ascii="Arial" w:hAnsi="Arial" w:cs="Arial"/>
        </w:rPr>
      </w:pPr>
      <w:r w:rsidRPr="00113364">
        <w:rPr>
          <w:rFonts w:ascii="Arial" w:hAnsi="Arial" w:cs="Arial"/>
        </w:rPr>
        <w:t>Created a facilitators’ guide including: 1) an overview of the process and responsibilities, recommendations for challenging situations when facilitating, list of CNA SDP vocabulary</w:t>
      </w:r>
      <w:r w:rsidR="00ED355C">
        <w:rPr>
          <w:rFonts w:ascii="Arial" w:hAnsi="Arial" w:cs="Arial"/>
        </w:rPr>
        <w:t>;</w:t>
      </w:r>
      <w:r w:rsidRPr="00113364">
        <w:rPr>
          <w:rFonts w:ascii="Arial" w:hAnsi="Arial" w:cs="Arial"/>
        </w:rPr>
        <w:t xml:space="preserve"> 2) a meeting map illustrating the schedules for the eight CNA SDP Committee meetings</w:t>
      </w:r>
      <w:r w:rsidR="00ED355C">
        <w:rPr>
          <w:rFonts w:ascii="Arial" w:hAnsi="Arial" w:cs="Arial"/>
        </w:rPr>
        <w:t>;</w:t>
      </w:r>
      <w:r w:rsidRPr="00113364">
        <w:rPr>
          <w:rFonts w:ascii="Arial" w:hAnsi="Arial" w:cs="Arial"/>
        </w:rPr>
        <w:t xml:space="preserve"> 3) individual facilitator’s meeting agenda identifying key activities and materials</w:t>
      </w:r>
      <w:r w:rsidR="00ED355C">
        <w:rPr>
          <w:rFonts w:ascii="Arial" w:hAnsi="Arial" w:cs="Arial"/>
        </w:rPr>
        <w:t>;</w:t>
      </w:r>
      <w:r w:rsidRPr="00113364">
        <w:rPr>
          <w:rFonts w:ascii="Arial" w:hAnsi="Arial" w:cs="Arial"/>
        </w:rPr>
        <w:t xml:space="preserve"> and 4) list of participants and their areas of focus.</w:t>
      </w:r>
    </w:p>
    <w:p w14:paraId="33DF361C" w14:textId="3FEB121D" w:rsidR="00A91D9B" w:rsidRPr="00113364" w:rsidRDefault="00A91D9B">
      <w:pPr>
        <w:pStyle w:val="ListParagraph"/>
        <w:numPr>
          <w:ilvl w:val="0"/>
          <w:numId w:val="48"/>
        </w:numPr>
        <w:spacing w:after="240"/>
        <w:contextualSpacing w:val="0"/>
        <w:rPr>
          <w:rFonts w:ascii="Arial" w:hAnsi="Arial" w:cs="Arial"/>
        </w:rPr>
      </w:pPr>
      <w:r w:rsidRPr="00113364">
        <w:rPr>
          <w:rFonts w:ascii="Arial" w:hAnsi="Arial" w:cs="Arial"/>
        </w:rPr>
        <w:t>Provided training to facilitators on the process for recognizing concerns, needs, and choosing initial strategies to address the identified needs. The CNA Project Lead steered the CDE and WestEd teams through the agenda and activities for each meeting</w:t>
      </w:r>
      <w:r w:rsidR="003064BC" w:rsidRPr="00113364">
        <w:rPr>
          <w:rFonts w:ascii="Arial" w:hAnsi="Arial" w:cs="Arial"/>
        </w:rPr>
        <w:t>. The facilitation team</w:t>
      </w:r>
      <w:r w:rsidRPr="00113364">
        <w:rPr>
          <w:rFonts w:ascii="Arial" w:hAnsi="Arial" w:cs="Arial"/>
        </w:rPr>
        <w:t xml:space="preserve"> reflected on practices, including feedback from the committee, </w:t>
      </w:r>
      <w:r w:rsidR="00DC4A6A" w:rsidRPr="00113364">
        <w:rPr>
          <w:rFonts w:ascii="Arial" w:hAnsi="Arial" w:cs="Arial"/>
        </w:rPr>
        <w:t xml:space="preserve">and discussed </w:t>
      </w:r>
      <w:r w:rsidRPr="00113364">
        <w:rPr>
          <w:rFonts w:ascii="Arial" w:hAnsi="Arial" w:cs="Arial"/>
        </w:rPr>
        <w:t xml:space="preserve">ways to improve facilitation for </w:t>
      </w:r>
      <w:r w:rsidR="00DC4A6A" w:rsidRPr="00113364">
        <w:rPr>
          <w:rFonts w:ascii="Arial" w:hAnsi="Arial" w:cs="Arial"/>
        </w:rPr>
        <w:t xml:space="preserve">subsequent </w:t>
      </w:r>
      <w:r w:rsidRPr="00113364">
        <w:rPr>
          <w:rFonts w:ascii="Arial" w:hAnsi="Arial" w:cs="Arial"/>
        </w:rPr>
        <w:t>meeting</w:t>
      </w:r>
      <w:r w:rsidR="00DC4A6A" w:rsidRPr="00113364">
        <w:rPr>
          <w:rFonts w:ascii="Arial" w:hAnsi="Arial" w:cs="Arial"/>
        </w:rPr>
        <w:t>s</w:t>
      </w:r>
      <w:r w:rsidRPr="00113364">
        <w:rPr>
          <w:rFonts w:ascii="Arial" w:hAnsi="Arial" w:cs="Arial"/>
        </w:rPr>
        <w:t>.</w:t>
      </w:r>
    </w:p>
    <w:p w14:paraId="152B99D4" w14:textId="77777777" w:rsidR="00A91D9B" w:rsidRPr="00113364" w:rsidRDefault="00A91D9B" w:rsidP="00E30F49">
      <w:pPr>
        <w:pStyle w:val="Heading4"/>
      </w:pPr>
      <w:r w:rsidRPr="00113364">
        <w:lastRenderedPageBreak/>
        <w:t>Step 4: Gathering Input from Interested Parties</w:t>
      </w:r>
    </w:p>
    <w:p w14:paraId="44B922B2" w14:textId="77777777" w:rsidR="00A91D9B" w:rsidRPr="00113364" w:rsidRDefault="00A91D9B" w:rsidP="00A91D9B">
      <w:pPr>
        <w:spacing w:after="240"/>
        <w:rPr>
          <w:rFonts w:ascii="Arial" w:hAnsi="Arial" w:cs="Arial"/>
        </w:rPr>
      </w:pPr>
      <w:r w:rsidRPr="00113364">
        <w:rPr>
          <w:rFonts w:ascii="Arial" w:hAnsi="Arial" w:cs="Arial"/>
        </w:rPr>
        <w:t>The CNA SDP Committee participated in a collaborative process to identify key elements of the CNA and SDP. During the first meeting, the CNA SDP Committee participated in numerous grounding activities and guided practice in preparation for subcommittee work during meetings two through five. In Step 4 of the process, committee members:</w:t>
      </w:r>
    </w:p>
    <w:p w14:paraId="0D74E7D9" w14:textId="77777777" w:rsidR="00A91D9B" w:rsidRPr="00113364" w:rsidRDefault="00A91D9B" w:rsidP="00A91D9B">
      <w:pPr>
        <w:pStyle w:val="ListParagraph"/>
        <w:numPr>
          <w:ilvl w:val="0"/>
          <w:numId w:val="3"/>
        </w:numPr>
        <w:spacing w:after="240"/>
        <w:contextualSpacing w:val="0"/>
        <w:rPr>
          <w:rFonts w:ascii="Arial" w:hAnsi="Arial" w:cs="Arial"/>
        </w:rPr>
      </w:pPr>
      <w:r w:rsidRPr="00113364">
        <w:rPr>
          <w:rFonts w:ascii="Arial" w:hAnsi="Arial" w:cs="Arial"/>
        </w:rPr>
        <w:t>Reviewed demographic information for migratory children and youths.</w:t>
      </w:r>
    </w:p>
    <w:p w14:paraId="58EF39DC" w14:textId="19536B64" w:rsidR="00A91D9B" w:rsidRPr="00113364" w:rsidRDefault="00A91D9B" w:rsidP="00A91D9B">
      <w:pPr>
        <w:pStyle w:val="ListParagraph"/>
        <w:numPr>
          <w:ilvl w:val="0"/>
          <w:numId w:val="3"/>
        </w:numPr>
        <w:spacing w:after="240"/>
        <w:contextualSpacing w:val="0"/>
        <w:rPr>
          <w:rFonts w:ascii="Arial" w:hAnsi="Arial" w:cs="Arial"/>
        </w:rPr>
      </w:pPr>
      <w:r w:rsidRPr="00113364">
        <w:rPr>
          <w:rFonts w:ascii="Arial" w:hAnsi="Arial" w:cs="Arial"/>
        </w:rPr>
        <w:t xml:space="preserve">Familiarized themselves with the survey data </w:t>
      </w:r>
      <w:r w:rsidR="00DC4A6A" w:rsidRPr="00113364">
        <w:rPr>
          <w:rFonts w:ascii="Arial" w:hAnsi="Arial" w:cs="Arial"/>
        </w:rPr>
        <w:t>and</w:t>
      </w:r>
      <w:r w:rsidRPr="00113364">
        <w:rPr>
          <w:rFonts w:ascii="Arial" w:hAnsi="Arial" w:cs="Arial"/>
        </w:rPr>
        <w:t xml:space="preserve"> OME</w:t>
      </w:r>
      <w:r w:rsidR="00DC4A6A" w:rsidRPr="00113364">
        <w:rPr>
          <w:rFonts w:ascii="Arial" w:hAnsi="Arial" w:cs="Arial"/>
        </w:rPr>
        <w:t>’s</w:t>
      </w:r>
      <w:r w:rsidRPr="00113364">
        <w:rPr>
          <w:rFonts w:ascii="Arial" w:hAnsi="Arial" w:cs="Arial"/>
        </w:rPr>
        <w:t xml:space="preserve"> requirements </w:t>
      </w:r>
      <w:r w:rsidR="000C143F" w:rsidRPr="00113364">
        <w:rPr>
          <w:rFonts w:ascii="Arial" w:hAnsi="Arial" w:cs="Arial"/>
        </w:rPr>
        <w:t>to identify</w:t>
      </w:r>
      <w:r w:rsidRPr="00113364">
        <w:rPr>
          <w:rFonts w:ascii="Arial" w:hAnsi="Arial" w:cs="Arial"/>
        </w:rPr>
        <w:t xml:space="preserve"> the focus areas for the CNA.</w:t>
      </w:r>
    </w:p>
    <w:p w14:paraId="6C8B9871" w14:textId="6D04D2D6" w:rsidR="00A91D9B" w:rsidRPr="00113364" w:rsidRDefault="00A91D9B" w:rsidP="00A91D9B">
      <w:pPr>
        <w:pStyle w:val="ListParagraph"/>
        <w:numPr>
          <w:ilvl w:val="0"/>
          <w:numId w:val="3"/>
        </w:numPr>
        <w:spacing w:after="240"/>
        <w:contextualSpacing w:val="0"/>
        <w:rPr>
          <w:rFonts w:ascii="Arial" w:hAnsi="Arial" w:cs="Arial"/>
        </w:rPr>
      </w:pPr>
      <w:r w:rsidRPr="00113364">
        <w:rPr>
          <w:rFonts w:ascii="Arial" w:hAnsi="Arial" w:cs="Arial"/>
        </w:rPr>
        <w:t xml:space="preserve">Developed and prioritized concern statements </w:t>
      </w:r>
      <w:proofErr w:type="gramStart"/>
      <w:r w:rsidRPr="00113364">
        <w:rPr>
          <w:rFonts w:ascii="Arial" w:hAnsi="Arial" w:cs="Arial"/>
        </w:rPr>
        <w:t xml:space="preserve">on </w:t>
      </w:r>
      <w:r w:rsidR="00DC4A6A" w:rsidRPr="00113364">
        <w:rPr>
          <w:rFonts w:ascii="Arial" w:hAnsi="Arial" w:cs="Arial"/>
        </w:rPr>
        <w:t>the basis of</w:t>
      </w:r>
      <w:proofErr w:type="gramEnd"/>
      <w:r w:rsidR="00DC4A6A" w:rsidRPr="00113364">
        <w:rPr>
          <w:rFonts w:ascii="Arial" w:hAnsi="Arial" w:cs="Arial"/>
        </w:rPr>
        <w:t xml:space="preserve"> </w:t>
      </w:r>
      <w:r w:rsidRPr="00113364">
        <w:rPr>
          <w:rFonts w:ascii="Arial" w:hAnsi="Arial" w:cs="Arial"/>
        </w:rPr>
        <w:t>an analysis of available data.</w:t>
      </w:r>
    </w:p>
    <w:p w14:paraId="426419FE" w14:textId="77777777" w:rsidR="00A91D9B" w:rsidRPr="00113364" w:rsidRDefault="00A91D9B" w:rsidP="00A91D9B">
      <w:pPr>
        <w:pStyle w:val="ListParagraph"/>
        <w:numPr>
          <w:ilvl w:val="0"/>
          <w:numId w:val="3"/>
        </w:numPr>
        <w:spacing w:after="240"/>
        <w:contextualSpacing w:val="0"/>
        <w:rPr>
          <w:rFonts w:ascii="Arial" w:hAnsi="Arial" w:cs="Arial"/>
        </w:rPr>
      </w:pPr>
      <w:r w:rsidRPr="00113364">
        <w:rPr>
          <w:rFonts w:ascii="Arial" w:hAnsi="Arial" w:cs="Arial"/>
        </w:rPr>
        <w:t>Identified need statements for the prioritized concerns.</w:t>
      </w:r>
    </w:p>
    <w:p w14:paraId="1545F154" w14:textId="77777777" w:rsidR="00A91D9B" w:rsidRPr="00113364" w:rsidRDefault="00A91D9B" w:rsidP="00A91D9B">
      <w:pPr>
        <w:pStyle w:val="ListParagraph"/>
        <w:numPr>
          <w:ilvl w:val="0"/>
          <w:numId w:val="3"/>
        </w:numPr>
        <w:spacing w:after="240"/>
        <w:contextualSpacing w:val="0"/>
        <w:rPr>
          <w:rFonts w:ascii="Arial" w:hAnsi="Arial" w:cs="Arial"/>
        </w:rPr>
      </w:pPr>
      <w:r w:rsidRPr="00113364">
        <w:rPr>
          <w:rFonts w:ascii="Arial" w:hAnsi="Arial" w:cs="Arial"/>
        </w:rPr>
        <w:t xml:space="preserve">Reviewed evidence-based practices and selected initial strategies to address specific needs. </w:t>
      </w:r>
    </w:p>
    <w:p w14:paraId="3747E501" w14:textId="14FB113C" w:rsidR="00A91D9B" w:rsidRPr="00113364" w:rsidRDefault="00A91D9B" w:rsidP="00A91D9B">
      <w:pPr>
        <w:pStyle w:val="ListParagraph"/>
        <w:numPr>
          <w:ilvl w:val="0"/>
          <w:numId w:val="3"/>
        </w:numPr>
        <w:spacing w:after="240"/>
        <w:contextualSpacing w:val="0"/>
        <w:rPr>
          <w:rFonts w:ascii="Arial" w:hAnsi="Arial" w:cs="Arial"/>
        </w:rPr>
      </w:pPr>
      <w:r w:rsidRPr="00113364">
        <w:rPr>
          <w:rFonts w:ascii="Arial" w:hAnsi="Arial" w:cs="Arial"/>
        </w:rPr>
        <w:t>Discussed considerations for initial strategies’ aligning measurable program objectives which measure annual strategy implementation.</w:t>
      </w:r>
    </w:p>
    <w:p w14:paraId="5C2927C3" w14:textId="77777777" w:rsidR="00A91D9B" w:rsidRPr="00113364" w:rsidRDefault="00A91D9B" w:rsidP="00E30F49">
      <w:pPr>
        <w:pStyle w:val="Heading4"/>
      </w:pPr>
      <w:r w:rsidRPr="00113364">
        <w:t>Step 5: Developing the Service Delivery Plan</w:t>
      </w:r>
    </w:p>
    <w:p w14:paraId="31E739DC" w14:textId="57B983B9" w:rsidR="00A91D9B" w:rsidRPr="00113364" w:rsidRDefault="00A91D9B" w:rsidP="00A91D9B">
      <w:pPr>
        <w:spacing w:after="240"/>
        <w:rPr>
          <w:rFonts w:ascii="Arial" w:hAnsi="Arial" w:cs="Arial"/>
        </w:rPr>
      </w:pPr>
      <w:r w:rsidRPr="00113364">
        <w:rPr>
          <w:rFonts w:ascii="Arial" w:hAnsi="Arial" w:cs="Arial"/>
        </w:rPr>
        <w:t>Outlining the needs of migratory children and youth, the CNA serves as the foundation on which the SDP is constructed. After the CNA SDP Committee and SPAC deliberated on and finalized the key decision points identified in the fourth step of this process, the CDE completed the following steps:</w:t>
      </w:r>
    </w:p>
    <w:p w14:paraId="0EA3747B" w14:textId="5EFC592B" w:rsidR="00A91D9B" w:rsidRPr="00113364" w:rsidRDefault="00A91D9B" w:rsidP="00A91D9B">
      <w:pPr>
        <w:pStyle w:val="ListParagraph"/>
        <w:numPr>
          <w:ilvl w:val="0"/>
          <w:numId w:val="4"/>
        </w:numPr>
        <w:spacing w:after="240"/>
        <w:contextualSpacing w:val="0"/>
        <w:rPr>
          <w:rFonts w:ascii="Arial" w:hAnsi="Arial" w:cs="Arial"/>
        </w:rPr>
      </w:pPr>
      <w:r w:rsidRPr="00113364">
        <w:rPr>
          <w:rFonts w:ascii="Arial" w:hAnsi="Arial" w:cs="Arial"/>
        </w:rPr>
        <w:t>Wrote the final draft of the statewide CNA</w:t>
      </w:r>
      <w:r w:rsidR="00FA0412" w:rsidRPr="00113364">
        <w:rPr>
          <w:rFonts w:ascii="Arial" w:hAnsi="Arial" w:cs="Arial"/>
        </w:rPr>
        <w:t>.</w:t>
      </w:r>
    </w:p>
    <w:p w14:paraId="2FB85812" w14:textId="2BFE5780" w:rsidR="00A91D9B" w:rsidRPr="00113364" w:rsidRDefault="00A91D9B" w:rsidP="00A91D9B">
      <w:pPr>
        <w:pStyle w:val="ListParagraph"/>
        <w:numPr>
          <w:ilvl w:val="0"/>
          <w:numId w:val="4"/>
        </w:numPr>
        <w:spacing w:after="240"/>
        <w:contextualSpacing w:val="0"/>
        <w:rPr>
          <w:rFonts w:ascii="Arial" w:hAnsi="Arial" w:cs="Arial"/>
        </w:rPr>
      </w:pPr>
      <w:proofErr w:type="gramStart"/>
      <w:r w:rsidRPr="00113364">
        <w:rPr>
          <w:rFonts w:ascii="Arial" w:hAnsi="Arial" w:cs="Arial"/>
        </w:rPr>
        <w:t>Finalized</w:t>
      </w:r>
      <w:proofErr w:type="gramEnd"/>
      <w:r w:rsidRPr="00113364">
        <w:rPr>
          <w:rFonts w:ascii="Arial" w:hAnsi="Arial" w:cs="Arial"/>
        </w:rPr>
        <w:t xml:space="preserve"> all selected strategies to address the prioritized needs for each focus area</w:t>
      </w:r>
      <w:r w:rsidR="00FA0412" w:rsidRPr="00113364">
        <w:rPr>
          <w:rFonts w:ascii="Arial" w:hAnsi="Arial" w:cs="Arial"/>
        </w:rPr>
        <w:t>.</w:t>
      </w:r>
      <w:r w:rsidRPr="00113364">
        <w:rPr>
          <w:rFonts w:ascii="Arial" w:hAnsi="Arial" w:cs="Arial"/>
        </w:rPr>
        <w:t xml:space="preserve"> </w:t>
      </w:r>
    </w:p>
    <w:p w14:paraId="4E1765A8" w14:textId="576FA30A" w:rsidR="00A91D9B" w:rsidRPr="00113364" w:rsidRDefault="00A91D9B" w:rsidP="00A91D9B">
      <w:pPr>
        <w:pStyle w:val="ListParagraph"/>
        <w:numPr>
          <w:ilvl w:val="0"/>
          <w:numId w:val="4"/>
        </w:numPr>
        <w:spacing w:after="240"/>
        <w:contextualSpacing w:val="0"/>
        <w:rPr>
          <w:rFonts w:ascii="Arial" w:hAnsi="Arial" w:cs="Arial"/>
        </w:rPr>
      </w:pPr>
      <w:r w:rsidRPr="00113364">
        <w:rPr>
          <w:rFonts w:ascii="Arial" w:hAnsi="Arial" w:cs="Arial"/>
        </w:rPr>
        <w:t>Drafted the aligning measurable program objectives to measure implementation of every SDP strategy</w:t>
      </w:r>
      <w:r w:rsidR="00FA0412" w:rsidRPr="00113364">
        <w:rPr>
          <w:rFonts w:ascii="Arial" w:hAnsi="Arial" w:cs="Arial"/>
        </w:rPr>
        <w:t>.</w:t>
      </w:r>
    </w:p>
    <w:p w14:paraId="72A3C3EE" w14:textId="70CE92CB" w:rsidR="00A91D9B" w:rsidRPr="00113364" w:rsidRDefault="00A91D9B" w:rsidP="00A91D9B">
      <w:pPr>
        <w:pStyle w:val="ListParagraph"/>
        <w:numPr>
          <w:ilvl w:val="0"/>
          <w:numId w:val="4"/>
        </w:numPr>
        <w:spacing w:after="240"/>
        <w:contextualSpacing w:val="0"/>
        <w:rPr>
          <w:rFonts w:ascii="Arial" w:hAnsi="Arial" w:cs="Arial"/>
        </w:rPr>
      </w:pPr>
      <w:r w:rsidRPr="00113364">
        <w:rPr>
          <w:rFonts w:ascii="Arial" w:hAnsi="Arial" w:cs="Arial"/>
        </w:rPr>
        <w:t>Outlined the performance targets, or end-of-project goals, for each focus area</w:t>
      </w:r>
      <w:r w:rsidR="00FA0412" w:rsidRPr="00113364">
        <w:rPr>
          <w:rFonts w:ascii="Arial" w:hAnsi="Arial" w:cs="Arial"/>
        </w:rPr>
        <w:t>.</w:t>
      </w:r>
    </w:p>
    <w:p w14:paraId="0FA082DE" w14:textId="3FE25F9F" w:rsidR="00A91D9B" w:rsidRPr="00113364" w:rsidRDefault="00A91D9B" w:rsidP="00A91D9B">
      <w:pPr>
        <w:pStyle w:val="ListParagraph"/>
        <w:numPr>
          <w:ilvl w:val="0"/>
          <w:numId w:val="4"/>
        </w:numPr>
        <w:spacing w:after="240"/>
        <w:contextualSpacing w:val="0"/>
        <w:rPr>
          <w:rFonts w:ascii="Arial" w:hAnsi="Arial" w:cs="Arial"/>
        </w:rPr>
      </w:pPr>
      <w:r w:rsidRPr="00113364">
        <w:rPr>
          <w:rFonts w:ascii="Arial" w:hAnsi="Arial" w:cs="Arial"/>
        </w:rPr>
        <w:t>Presented the CNA and SDP drafts to the CNA SDP Committee, including the SPAC, for input and a final round of feedback</w:t>
      </w:r>
      <w:r w:rsidR="00FA0412" w:rsidRPr="00113364">
        <w:rPr>
          <w:rFonts w:ascii="Arial" w:hAnsi="Arial" w:cs="Arial"/>
        </w:rPr>
        <w:t>.</w:t>
      </w:r>
    </w:p>
    <w:p w14:paraId="1F80D143" w14:textId="7B2C4D1C" w:rsidR="003064BC" w:rsidRPr="00113364" w:rsidRDefault="003064BC" w:rsidP="003064BC">
      <w:pPr>
        <w:pStyle w:val="ListParagraph"/>
        <w:numPr>
          <w:ilvl w:val="0"/>
          <w:numId w:val="4"/>
        </w:numPr>
        <w:spacing w:after="240"/>
        <w:contextualSpacing w:val="0"/>
        <w:rPr>
          <w:rFonts w:ascii="Arial" w:hAnsi="Arial" w:cs="Arial"/>
        </w:rPr>
      </w:pPr>
      <w:r w:rsidRPr="00113364">
        <w:rPr>
          <w:rFonts w:ascii="Arial" w:hAnsi="Arial" w:cs="Arial"/>
        </w:rPr>
        <w:lastRenderedPageBreak/>
        <w:t>Updated the key decision</w:t>
      </w:r>
      <w:r w:rsidR="00ED355C">
        <w:rPr>
          <w:rFonts w:ascii="Arial" w:hAnsi="Arial" w:cs="Arial"/>
        </w:rPr>
        <w:t xml:space="preserve"> </w:t>
      </w:r>
      <w:r w:rsidRPr="00113364">
        <w:rPr>
          <w:rFonts w:ascii="Arial" w:hAnsi="Arial" w:cs="Arial"/>
        </w:rPr>
        <w:t>points for the SDP based on feedback and</w:t>
      </w:r>
      <w:r w:rsidR="006B2BB6" w:rsidRPr="00113364">
        <w:rPr>
          <w:rFonts w:ascii="Arial" w:hAnsi="Arial" w:cs="Arial"/>
        </w:rPr>
        <w:t xml:space="preserve"> wrote the final draft of the SDP.</w:t>
      </w:r>
    </w:p>
    <w:p w14:paraId="13CBE8B3" w14:textId="31CD75CB" w:rsidR="00A91D9B" w:rsidRPr="00113364" w:rsidRDefault="00A91D9B" w:rsidP="00E30F49">
      <w:pPr>
        <w:pStyle w:val="Heading4"/>
      </w:pPr>
      <w:r w:rsidRPr="00113364">
        <w:t>Step 6: Transitioning to a New Service Delivery Plan</w:t>
      </w:r>
    </w:p>
    <w:p w14:paraId="13A3D591" w14:textId="36CE494D" w:rsidR="00813C16" w:rsidRPr="00113364" w:rsidRDefault="00D40A44" w:rsidP="00813C16">
      <w:pPr>
        <w:spacing w:after="240"/>
        <w:rPr>
          <w:rFonts w:ascii="Arial" w:hAnsi="Arial" w:cs="Arial"/>
        </w:rPr>
      </w:pPr>
      <w:r w:rsidRPr="00113364">
        <w:rPr>
          <w:rFonts w:ascii="Arial" w:hAnsi="Arial" w:cs="Arial"/>
        </w:rPr>
        <w:t>The</w:t>
      </w:r>
      <w:r w:rsidR="00813C16" w:rsidRPr="00113364">
        <w:rPr>
          <w:rFonts w:ascii="Arial" w:hAnsi="Arial" w:cs="Arial"/>
        </w:rPr>
        <w:t xml:space="preserve"> CNA SDP Committee selected many strategies</w:t>
      </w:r>
      <w:r w:rsidRPr="00113364">
        <w:rPr>
          <w:rFonts w:ascii="Arial" w:hAnsi="Arial" w:cs="Arial"/>
        </w:rPr>
        <w:t xml:space="preserve"> </w:t>
      </w:r>
      <w:proofErr w:type="gramStart"/>
      <w:r w:rsidRPr="00113364">
        <w:rPr>
          <w:rFonts w:ascii="Arial" w:hAnsi="Arial" w:cs="Arial"/>
        </w:rPr>
        <w:t>similar to</w:t>
      </w:r>
      <w:proofErr w:type="gramEnd"/>
      <w:r w:rsidRPr="00113364">
        <w:rPr>
          <w:rFonts w:ascii="Arial" w:hAnsi="Arial" w:cs="Arial"/>
        </w:rPr>
        <w:t xml:space="preserve"> those in the prior state SDP</w:t>
      </w:r>
      <w:r w:rsidR="00813C16" w:rsidRPr="00113364">
        <w:rPr>
          <w:rFonts w:ascii="Arial" w:hAnsi="Arial" w:cs="Arial"/>
        </w:rPr>
        <w:t xml:space="preserve"> to address the needs of migratory children and youth </w:t>
      </w:r>
      <w:r w:rsidRPr="00113364">
        <w:rPr>
          <w:rFonts w:ascii="Arial" w:hAnsi="Arial" w:cs="Arial"/>
        </w:rPr>
        <w:t xml:space="preserve">because the </w:t>
      </w:r>
      <w:r w:rsidR="00813C16" w:rsidRPr="00113364">
        <w:rPr>
          <w:rFonts w:ascii="Arial" w:hAnsi="Arial" w:cs="Arial"/>
        </w:rPr>
        <w:t xml:space="preserve">priority needs persisted in 2023–24. </w:t>
      </w:r>
      <w:r w:rsidRPr="00113364">
        <w:rPr>
          <w:rFonts w:ascii="Arial" w:hAnsi="Arial" w:cs="Arial"/>
        </w:rPr>
        <w:t>This allows the state MEP</w:t>
      </w:r>
      <w:r w:rsidR="00FA0412" w:rsidRPr="00113364">
        <w:rPr>
          <w:rFonts w:ascii="Arial" w:hAnsi="Arial" w:cs="Arial"/>
        </w:rPr>
        <w:t xml:space="preserve"> to </w:t>
      </w:r>
      <w:r w:rsidRPr="00113364">
        <w:rPr>
          <w:rFonts w:ascii="Arial" w:hAnsi="Arial" w:cs="Arial"/>
        </w:rPr>
        <w:t xml:space="preserve">continue </w:t>
      </w:r>
      <w:r w:rsidR="00FA0412" w:rsidRPr="00113364">
        <w:rPr>
          <w:rFonts w:ascii="Arial" w:hAnsi="Arial" w:cs="Arial"/>
        </w:rPr>
        <w:t xml:space="preserve">elevating the quality of </w:t>
      </w:r>
      <w:r w:rsidRPr="00113364">
        <w:rPr>
          <w:rFonts w:ascii="Arial" w:hAnsi="Arial" w:cs="Arial"/>
        </w:rPr>
        <w:t xml:space="preserve">aligned </w:t>
      </w:r>
      <w:r w:rsidR="00FA0412" w:rsidRPr="00113364">
        <w:rPr>
          <w:rFonts w:ascii="Arial" w:hAnsi="Arial" w:cs="Arial"/>
        </w:rPr>
        <w:t xml:space="preserve">services </w:t>
      </w:r>
      <w:r w:rsidRPr="00113364">
        <w:rPr>
          <w:rFonts w:ascii="Arial" w:hAnsi="Arial" w:cs="Arial"/>
        </w:rPr>
        <w:t>instead of</w:t>
      </w:r>
      <w:r w:rsidR="00FA0412" w:rsidRPr="00113364">
        <w:rPr>
          <w:rFonts w:ascii="Arial" w:hAnsi="Arial" w:cs="Arial"/>
        </w:rPr>
        <w:t xml:space="preserve"> learning entirely new data collection and monitoring processes. This </w:t>
      </w:r>
      <w:r w:rsidR="000C143F" w:rsidRPr="00113364">
        <w:rPr>
          <w:rFonts w:ascii="Arial" w:hAnsi="Arial" w:cs="Arial"/>
        </w:rPr>
        <w:t>final</w:t>
      </w:r>
      <w:r w:rsidR="00FA0412" w:rsidRPr="00113364">
        <w:rPr>
          <w:rFonts w:ascii="Arial" w:hAnsi="Arial" w:cs="Arial"/>
        </w:rPr>
        <w:t xml:space="preserve"> step in the SDP development process included:</w:t>
      </w:r>
    </w:p>
    <w:p w14:paraId="0388B694" w14:textId="3F09C540" w:rsidR="00813C16" w:rsidRPr="00113364" w:rsidRDefault="00813C16">
      <w:pPr>
        <w:pStyle w:val="ListParagraph"/>
        <w:numPr>
          <w:ilvl w:val="0"/>
          <w:numId w:val="49"/>
        </w:numPr>
        <w:spacing w:after="240"/>
        <w:contextualSpacing w:val="0"/>
        <w:rPr>
          <w:rFonts w:ascii="Arial" w:hAnsi="Arial" w:cs="Arial"/>
        </w:rPr>
      </w:pPr>
      <w:r w:rsidRPr="00113364">
        <w:rPr>
          <w:rFonts w:ascii="Arial" w:hAnsi="Arial" w:cs="Arial"/>
        </w:rPr>
        <w:t>Provid</w:t>
      </w:r>
      <w:r w:rsidR="00BD1A14">
        <w:rPr>
          <w:rFonts w:ascii="Arial" w:hAnsi="Arial" w:cs="Arial"/>
        </w:rPr>
        <w:t>ed</w:t>
      </w:r>
      <w:r w:rsidRPr="00113364">
        <w:rPr>
          <w:rFonts w:ascii="Arial" w:hAnsi="Arial" w:cs="Arial"/>
        </w:rPr>
        <w:t xml:space="preserve"> an overview of the CNA SDP development process to all directors during a quarterly MEP Directors’ Meeting.</w:t>
      </w:r>
    </w:p>
    <w:p w14:paraId="29302CCA" w14:textId="3EF8D73E" w:rsidR="00A91D9B" w:rsidRPr="00113364" w:rsidRDefault="00A91D9B">
      <w:pPr>
        <w:pStyle w:val="ListParagraph"/>
        <w:numPr>
          <w:ilvl w:val="0"/>
          <w:numId w:val="49"/>
        </w:numPr>
        <w:spacing w:after="240"/>
        <w:contextualSpacing w:val="0"/>
        <w:rPr>
          <w:rFonts w:ascii="Arial" w:hAnsi="Arial" w:cs="Arial"/>
        </w:rPr>
      </w:pPr>
      <w:r w:rsidRPr="00113364">
        <w:rPr>
          <w:rFonts w:ascii="Arial" w:hAnsi="Arial" w:cs="Arial"/>
        </w:rPr>
        <w:t>Plan</w:t>
      </w:r>
      <w:r w:rsidR="00FA0412" w:rsidRPr="00113364">
        <w:rPr>
          <w:rFonts w:ascii="Arial" w:hAnsi="Arial" w:cs="Arial"/>
        </w:rPr>
        <w:t>n</w:t>
      </w:r>
      <w:r w:rsidR="00BD1A14">
        <w:rPr>
          <w:rFonts w:ascii="Arial" w:hAnsi="Arial" w:cs="Arial"/>
        </w:rPr>
        <w:t>ed</w:t>
      </w:r>
      <w:r w:rsidR="005F0E24" w:rsidRPr="00113364">
        <w:rPr>
          <w:rFonts w:ascii="Arial" w:hAnsi="Arial" w:cs="Arial"/>
        </w:rPr>
        <w:t xml:space="preserve"> for and develop</w:t>
      </w:r>
      <w:r w:rsidR="00ED355C">
        <w:rPr>
          <w:rFonts w:ascii="Arial" w:hAnsi="Arial" w:cs="Arial"/>
        </w:rPr>
        <w:t>ed</w:t>
      </w:r>
      <w:r w:rsidR="005F0E24" w:rsidRPr="00113364">
        <w:rPr>
          <w:rFonts w:ascii="Arial" w:hAnsi="Arial" w:cs="Arial"/>
        </w:rPr>
        <w:t xml:space="preserve"> materials for regional </w:t>
      </w:r>
      <w:proofErr w:type="gramStart"/>
      <w:r w:rsidR="005F0E24" w:rsidRPr="00113364">
        <w:rPr>
          <w:rFonts w:ascii="Arial" w:hAnsi="Arial" w:cs="Arial"/>
        </w:rPr>
        <w:t>trainings</w:t>
      </w:r>
      <w:proofErr w:type="gramEnd"/>
      <w:r w:rsidR="005F0E24" w:rsidRPr="00113364">
        <w:rPr>
          <w:rFonts w:ascii="Arial" w:hAnsi="Arial" w:cs="Arial"/>
        </w:rPr>
        <w:t xml:space="preserve"> for the new SDP</w:t>
      </w:r>
      <w:r w:rsidR="00ED355C">
        <w:rPr>
          <w:rFonts w:ascii="Arial" w:hAnsi="Arial" w:cs="Arial"/>
        </w:rPr>
        <w:t>.</w:t>
      </w:r>
    </w:p>
    <w:p w14:paraId="6FB2C698" w14:textId="6B663C5D" w:rsidR="005F0E24" w:rsidRPr="00113364" w:rsidRDefault="005F0E24">
      <w:pPr>
        <w:pStyle w:val="ListParagraph"/>
        <w:numPr>
          <w:ilvl w:val="0"/>
          <w:numId w:val="49"/>
        </w:numPr>
        <w:spacing w:after="240"/>
        <w:contextualSpacing w:val="0"/>
        <w:rPr>
          <w:rFonts w:ascii="Arial" w:hAnsi="Arial" w:cs="Arial"/>
        </w:rPr>
      </w:pPr>
      <w:r w:rsidRPr="00113364">
        <w:rPr>
          <w:rFonts w:ascii="Arial" w:hAnsi="Arial" w:cs="Arial"/>
        </w:rPr>
        <w:t>Develop</w:t>
      </w:r>
      <w:r w:rsidR="00BD1A14">
        <w:rPr>
          <w:rFonts w:ascii="Arial" w:hAnsi="Arial" w:cs="Arial"/>
        </w:rPr>
        <w:t>ed</w:t>
      </w:r>
      <w:r w:rsidRPr="00113364">
        <w:rPr>
          <w:rFonts w:ascii="Arial" w:hAnsi="Arial" w:cs="Arial"/>
        </w:rPr>
        <w:t xml:space="preserve"> implementation resources and tools to support the MEP</w:t>
      </w:r>
      <w:r w:rsidR="00ED355C">
        <w:rPr>
          <w:rFonts w:ascii="Arial" w:hAnsi="Arial" w:cs="Arial"/>
        </w:rPr>
        <w:t>.</w:t>
      </w:r>
    </w:p>
    <w:p w14:paraId="1828A065" w14:textId="4C26A9A1" w:rsidR="005F0E24" w:rsidRPr="00113364" w:rsidRDefault="005F0E24">
      <w:pPr>
        <w:pStyle w:val="ListParagraph"/>
        <w:numPr>
          <w:ilvl w:val="0"/>
          <w:numId w:val="49"/>
        </w:numPr>
        <w:spacing w:after="240"/>
        <w:contextualSpacing w:val="0"/>
        <w:rPr>
          <w:rFonts w:ascii="Arial" w:hAnsi="Arial" w:cs="Arial"/>
        </w:rPr>
      </w:pPr>
      <w:r w:rsidRPr="00113364">
        <w:rPr>
          <w:rFonts w:ascii="Arial" w:hAnsi="Arial" w:cs="Arial"/>
        </w:rPr>
        <w:t>Plan</w:t>
      </w:r>
      <w:r w:rsidR="00FA0412" w:rsidRPr="00113364">
        <w:rPr>
          <w:rFonts w:ascii="Arial" w:hAnsi="Arial" w:cs="Arial"/>
        </w:rPr>
        <w:t>n</w:t>
      </w:r>
      <w:r w:rsidR="00BD1A14">
        <w:rPr>
          <w:rFonts w:ascii="Arial" w:hAnsi="Arial" w:cs="Arial"/>
        </w:rPr>
        <w:t>ed</w:t>
      </w:r>
      <w:r w:rsidRPr="00113364">
        <w:rPr>
          <w:rFonts w:ascii="Arial" w:hAnsi="Arial" w:cs="Arial"/>
        </w:rPr>
        <w:t xml:space="preserve"> for and provid</w:t>
      </w:r>
      <w:r w:rsidR="00ED355C">
        <w:rPr>
          <w:rFonts w:ascii="Arial" w:hAnsi="Arial" w:cs="Arial"/>
        </w:rPr>
        <w:t xml:space="preserve">ed </w:t>
      </w:r>
      <w:r w:rsidRPr="00113364">
        <w:rPr>
          <w:rFonts w:ascii="Arial" w:hAnsi="Arial" w:cs="Arial"/>
        </w:rPr>
        <w:t xml:space="preserve">professional learning opportunities </w:t>
      </w:r>
      <w:r w:rsidR="000C143F" w:rsidRPr="00113364">
        <w:rPr>
          <w:rFonts w:ascii="Arial" w:hAnsi="Arial" w:cs="Arial"/>
        </w:rPr>
        <w:t>based on</w:t>
      </w:r>
      <w:r w:rsidR="00D40A44" w:rsidRPr="00113364">
        <w:rPr>
          <w:rFonts w:ascii="Arial" w:hAnsi="Arial" w:cs="Arial"/>
        </w:rPr>
        <w:t xml:space="preserve"> </w:t>
      </w:r>
      <w:r w:rsidRPr="00113364">
        <w:rPr>
          <w:rFonts w:ascii="Arial" w:hAnsi="Arial" w:cs="Arial"/>
        </w:rPr>
        <w:t>annual MPO data</w:t>
      </w:r>
      <w:r w:rsidR="00ED355C">
        <w:rPr>
          <w:rFonts w:ascii="Arial" w:hAnsi="Arial" w:cs="Arial"/>
        </w:rPr>
        <w:t>.</w:t>
      </w:r>
    </w:p>
    <w:p w14:paraId="1BC92670" w14:textId="67CC6EC5" w:rsidR="00A91D9B" w:rsidRPr="00113364" w:rsidRDefault="0024341F" w:rsidP="00A91D9B">
      <w:pPr>
        <w:spacing w:after="240"/>
        <w:rPr>
          <w:rFonts w:ascii="Arial" w:hAnsi="Arial" w:cs="Arial"/>
        </w:rPr>
      </w:pPr>
      <w:r w:rsidRPr="00113364">
        <w:rPr>
          <w:rFonts w:ascii="Arial" w:hAnsi="Arial" w:cs="Arial"/>
        </w:rPr>
        <w:t xml:space="preserve">Migrant Education Program Directors voted to use the 2025–26 school year as a training year for the new SDP. This extended planning time allows for the CDE to refine current and develop new implementation resources in addition to developing new data collection and evaluation tools. </w:t>
      </w:r>
      <w:r w:rsidR="0067682A" w:rsidRPr="00113364">
        <w:rPr>
          <w:rFonts w:ascii="Arial" w:hAnsi="Arial" w:cs="Arial"/>
        </w:rPr>
        <w:t xml:space="preserve">Figure </w:t>
      </w:r>
      <w:r w:rsidR="00ED355C">
        <w:rPr>
          <w:rFonts w:ascii="Arial" w:hAnsi="Arial" w:cs="Arial"/>
        </w:rPr>
        <w:t>5</w:t>
      </w:r>
      <w:r w:rsidR="0067682A" w:rsidRPr="00113364">
        <w:rPr>
          <w:rFonts w:ascii="Arial" w:hAnsi="Arial" w:cs="Arial"/>
        </w:rPr>
        <w:t xml:space="preserve"> broadly illustrates the process for developing </w:t>
      </w:r>
      <w:proofErr w:type="gramStart"/>
      <w:r w:rsidR="0067682A" w:rsidRPr="00113364">
        <w:rPr>
          <w:rFonts w:ascii="Arial" w:hAnsi="Arial" w:cs="Arial"/>
        </w:rPr>
        <w:t>the statewide</w:t>
      </w:r>
      <w:proofErr w:type="gramEnd"/>
      <w:r w:rsidR="0067682A" w:rsidRPr="00113364">
        <w:rPr>
          <w:rFonts w:ascii="Arial" w:hAnsi="Arial" w:cs="Arial"/>
        </w:rPr>
        <w:t xml:space="preserve"> CNA and SDP</w:t>
      </w:r>
      <w:r w:rsidRPr="00113364">
        <w:rPr>
          <w:rFonts w:ascii="Arial" w:hAnsi="Arial" w:cs="Arial"/>
        </w:rPr>
        <w:t>.</w:t>
      </w:r>
    </w:p>
    <w:p w14:paraId="5DED1155" w14:textId="77777777" w:rsidR="00FA0412" w:rsidRPr="00113364" w:rsidRDefault="00FA0412">
      <w:pPr>
        <w:rPr>
          <w:rFonts w:ascii="Arial" w:eastAsia="Times New Roman" w:hAnsi="Arial" w:cs="Arial"/>
          <w:b/>
          <w:color w:val="1F3864" w:themeColor="accent5" w:themeShade="80"/>
          <w:lang w:eastAsia="zh-CN"/>
        </w:rPr>
      </w:pPr>
      <w:bookmarkStart w:id="19" w:name="_Toc186475613"/>
      <w:r w:rsidRPr="00113364">
        <w:rPr>
          <w:color w:val="1F3864" w:themeColor="accent5" w:themeShade="80"/>
        </w:rPr>
        <w:br w:type="page"/>
      </w:r>
    </w:p>
    <w:p w14:paraId="0ED45B7A" w14:textId="0B55B84A" w:rsidR="00A91D9B" w:rsidRPr="00E671CF" w:rsidRDefault="00DB4A6B" w:rsidP="00E671CF">
      <w:pPr>
        <w:pStyle w:val="Heading5"/>
        <w:spacing w:after="0"/>
        <w:rPr>
          <w:b/>
          <w:bCs/>
          <w:i w:val="0"/>
          <w:iCs/>
          <w:sz w:val="24"/>
        </w:rPr>
      </w:pPr>
      <w:bookmarkStart w:id="20" w:name="_Toc203645056"/>
      <w:bookmarkEnd w:id="19"/>
      <w:r w:rsidRPr="00E671CF">
        <w:rPr>
          <w:b/>
          <w:bCs/>
          <w:i w:val="0"/>
          <w:iCs/>
          <w:sz w:val="24"/>
        </w:rPr>
        <w:lastRenderedPageBreak/>
        <w:t xml:space="preserve">Figure </w:t>
      </w:r>
      <w:r w:rsidR="00C3523A" w:rsidRPr="00E671CF">
        <w:rPr>
          <w:b/>
          <w:bCs/>
          <w:i w:val="0"/>
          <w:iCs/>
          <w:sz w:val="24"/>
        </w:rPr>
        <w:fldChar w:fldCharType="begin"/>
      </w:r>
      <w:r w:rsidR="00C3523A" w:rsidRPr="00E671CF">
        <w:rPr>
          <w:b/>
          <w:bCs/>
          <w:i w:val="0"/>
          <w:iCs/>
          <w:sz w:val="24"/>
        </w:rPr>
        <w:instrText xml:space="preserve"> SEQ Figure \* ARABIC </w:instrText>
      </w:r>
      <w:r w:rsidR="00C3523A" w:rsidRPr="00E671CF">
        <w:rPr>
          <w:b/>
          <w:bCs/>
          <w:i w:val="0"/>
          <w:iCs/>
          <w:sz w:val="24"/>
        </w:rPr>
        <w:fldChar w:fldCharType="separate"/>
      </w:r>
      <w:r w:rsidR="00C3523A" w:rsidRPr="00E671CF">
        <w:rPr>
          <w:b/>
          <w:bCs/>
          <w:i w:val="0"/>
          <w:iCs/>
          <w:noProof/>
          <w:sz w:val="24"/>
        </w:rPr>
        <w:t>5</w:t>
      </w:r>
      <w:r w:rsidR="00C3523A" w:rsidRPr="00E671CF">
        <w:rPr>
          <w:b/>
          <w:bCs/>
          <w:i w:val="0"/>
          <w:iCs/>
          <w:noProof/>
          <w:sz w:val="24"/>
        </w:rPr>
        <w:fldChar w:fldCharType="end"/>
      </w:r>
      <w:r w:rsidRPr="00E671CF">
        <w:rPr>
          <w:b/>
          <w:bCs/>
          <w:i w:val="0"/>
          <w:iCs/>
          <w:sz w:val="24"/>
        </w:rPr>
        <w:t>. Process for Developing the Statewide Comprehensive Needs Assessment and Service Delivery Plan</w:t>
      </w:r>
      <w:bookmarkEnd w:id="20"/>
    </w:p>
    <w:p w14:paraId="25223B6E" w14:textId="77777777" w:rsidR="005F03B7" w:rsidRPr="00113364" w:rsidRDefault="00A91D9B" w:rsidP="00A955C9">
      <w:pPr>
        <w:rPr>
          <w:rFonts w:ascii="Arial" w:hAnsi="Arial" w:cs="Arial"/>
        </w:rPr>
      </w:pPr>
      <w:r w:rsidRPr="00113364">
        <w:rPr>
          <w:noProof/>
          <w:bdr w:val="single" w:sz="18" w:space="0" w:color="auto"/>
        </w:rPr>
        <w:drawing>
          <wp:inline distT="0" distB="0" distL="0" distR="0" wp14:anchorId="0CBDDD43" wp14:editId="13F57852">
            <wp:extent cx="5809664" cy="2547378"/>
            <wp:effectExtent l="0" t="0" r="635" b="5715"/>
            <wp:docPr id="1580517552" name="Picture 1" descr="A diagram of a process for developing the CNA and SDP. Note below Figure 2 describe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17552" name="Picture 1" descr="A diagram of a process for developing the CNA and SDP. Note below Figure 2 describes text."/>
                    <pic:cNvPicPr/>
                  </pic:nvPicPr>
                  <pic:blipFill>
                    <a:blip r:embed="rId24"/>
                    <a:stretch>
                      <a:fillRect/>
                    </a:stretch>
                  </pic:blipFill>
                  <pic:spPr>
                    <a:xfrm>
                      <a:off x="0" y="0"/>
                      <a:ext cx="5891175" cy="2583119"/>
                    </a:xfrm>
                    <a:prstGeom prst="rect">
                      <a:avLst/>
                    </a:prstGeom>
                  </pic:spPr>
                </pic:pic>
              </a:graphicData>
            </a:graphic>
          </wp:inline>
        </w:drawing>
      </w:r>
    </w:p>
    <w:p w14:paraId="69D0D5A4" w14:textId="77777777" w:rsidR="00A955C9" w:rsidRDefault="00A955C9" w:rsidP="00A955C9">
      <w:pPr>
        <w:pStyle w:val="Paragraph"/>
        <w:spacing w:after="240" w:line="240" w:lineRule="auto"/>
        <w:rPr>
          <w:rFonts w:cs="Arial"/>
          <w:color w:val="auto"/>
        </w:rPr>
      </w:pPr>
      <w:r>
        <w:rPr>
          <w:rFonts w:cs="Arial"/>
          <w:color w:val="auto"/>
        </w:rPr>
        <w:t xml:space="preserve">Note: The text in Figure 2 describes the process for developing the Statewide Comprehensive Needs Assessment (CNA) and Service Delivery Plan (SDP) using a step-by-step description: 1. Selection of Focus Areas (survey data), 2. Data Review, 3. Develop Concern Statements, 4. Development Need Statements, 5. Select Initial Strategies (repeat steps 2-5 for the ten focus areas), 6. Write CNA and SDP (submit CNA for approval), 7. Review CNA and SDP, 8. Collect Feedback on Measurable Program Objectives (MPOs) and Performance Targets, and 9. Submit SDP for approval.  </w:t>
      </w:r>
    </w:p>
    <w:p w14:paraId="69586C76" w14:textId="102456EC" w:rsidR="00CD49BD" w:rsidRPr="00113364" w:rsidRDefault="00AB1B24" w:rsidP="005F03B7">
      <w:pPr>
        <w:spacing w:after="240"/>
        <w:rPr>
          <w:rFonts w:ascii="Arial" w:hAnsi="Arial" w:cs="Arial"/>
        </w:rPr>
      </w:pPr>
      <w:r w:rsidRPr="00113364">
        <w:rPr>
          <w:rFonts w:ascii="Arial" w:hAnsi="Arial" w:cs="Arial"/>
        </w:rPr>
        <w:t>The</w:t>
      </w:r>
      <w:r w:rsidR="00CD49BD" w:rsidRPr="00113364">
        <w:rPr>
          <w:rFonts w:ascii="Arial" w:hAnsi="Arial" w:cs="Arial"/>
        </w:rPr>
        <w:t xml:space="preserve"> major activities conducted during the development of the statewide </w:t>
      </w:r>
      <w:r w:rsidR="007036FF" w:rsidRPr="00113364">
        <w:rPr>
          <w:rFonts w:ascii="Arial" w:hAnsi="Arial" w:cs="Arial"/>
        </w:rPr>
        <w:t xml:space="preserve">CNA and </w:t>
      </w:r>
      <w:r w:rsidR="00452477" w:rsidRPr="00113364">
        <w:rPr>
          <w:rFonts w:ascii="Arial" w:hAnsi="Arial" w:cs="Arial"/>
        </w:rPr>
        <w:t>SDP</w:t>
      </w:r>
      <w:r w:rsidR="00CD49BD" w:rsidRPr="00113364">
        <w:rPr>
          <w:rFonts w:ascii="Arial" w:hAnsi="Arial" w:cs="Arial"/>
        </w:rPr>
        <w:t xml:space="preserve"> are listed acco</w:t>
      </w:r>
      <w:r w:rsidR="00FA71E4" w:rsidRPr="00113364">
        <w:rPr>
          <w:rFonts w:ascii="Arial" w:hAnsi="Arial" w:cs="Arial"/>
        </w:rPr>
        <w:t xml:space="preserve">rding to the calendar </w:t>
      </w:r>
      <w:r w:rsidR="00947CA7" w:rsidRPr="00113364">
        <w:rPr>
          <w:rFonts w:ascii="Arial" w:hAnsi="Arial" w:cs="Arial"/>
        </w:rPr>
        <w:t xml:space="preserve">provided </w:t>
      </w:r>
      <w:r w:rsidR="00FA71E4" w:rsidRPr="00113364">
        <w:rPr>
          <w:rFonts w:ascii="Arial" w:hAnsi="Arial" w:cs="Arial"/>
        </w:rPr>
        <w:t xml:space="preserve">in </w:t>
      </w:r>
      <w:r w:rsidR="00813C16" w:rsidRPr="00113364">
        <w:rPr>
          <w:rFonts w:ascii="Arial" w:hAnsi="Arial" w:cs="Arial"/>
        </w:rPr>
        <w:t>t</w:t>
      </w:r>
      <w:r w:rsidR="00FA71E4" w:rsidRPr="00113364">
        <w:rPr>
          <w:rFonts w:ascii="Arial" w:hAnsi="Arial" w:cs="Arial"/>
        </w:rPr>
        <w:t xml:space="preserve">able </w:t>
      </w:r>
      <w:r w:rsidR="00BC178D" w:rsidRPr="00113364">
        <w:rPr>
          <w:rFonts w:ascii="Arial" w:hAnsi="Arial" w:cs="Arial"/>
        </w:rPr>
        <w:t>3</w:t>
      </w:r>
      <w:r w:rsidR="00947CA7" w:rsidRPr="00113364">
        <w:rPr>
          <w:rFonts w:ascii="Arial" w:hAnsi="Arial" w:cs="Arial"/>
        </w:rPr>
        <w:t xml:space="preserve"> below</w:t>
      </w:r>
      <w:r w:rsidR="00FA71E4" w:rsidRPr="00113364">
        <w:rPr>
          <w:rFonts w:ascii="Arial" w:hAnsi="Arial" w:cs="Arial"/>
        </w:rPr>
        <w:t>.</w:t>
      </w:r>
    </w:p>
    <w:p w14:paraId="0045E0CF" w14:textId="478D679F" w:rsidR="00FA71E4" w:rsidRPr="00113364" w:rsidRDefault="00FA71E4" w:rsidP="00A366B5">
      <w:pPr>
        <w:pStyle w:val="Heading6"/>
        <w:rPr>
          <w:i/>
        </w:rPr>
      </w:pPr>
      <w:bookmarkStart w:id="21" w:name="_Toc204755339"/>
      <w:r w:rsidRPr="00113364">
        <w:t xml:space="preserve">Table </w:t>
      </w:r>
      <w:fldSimple w:instr=" SEQ Table \* ARABIC ">
        <w:r w:rsidR="001362A0">
          <w:rPr>
            <w:noProof/>
          </w:rPr>
          <w:t>3</w:t>
        </w:r>
      </w:fldSimple>
      <w:r w:rsidRPr="00113364">
        <w:t>. Comprehensive Needs Assessment and Service Delivery Plan Project Timeline</w:t>
      </w:r>
      <w:bookmarkEnd w:id="21"/>
    </w:p>
    <w:tbl>
      <w:tblPr>
        <w:tblStyle w:val="GridTable4-Accent6"/>
        <w:tblW w:w="0" w:type="auto"/>
        <w:tblLook w:val="04A0" w:firstRow="1" w:lastRow="0" w:firstColumn="1" w:lastColumn="0" w:noHBand="0" w:noVBand="1"/>
        <w:tblDescription w:val="Table of the development timeline for the Comprehensive Needs Assessment."/>
      </w:tblPr>
      <w:tblGrid>
        <w:gridCol w:w="1795"/>
        <w:gridCol w:w="7555"/>
      </w:tblGrid>
      <w:tr w:rsidR="00DA0EA7" w:rsidRPr="00113364" w14:paraId="11551E91" w14:textId="77777777" w:rsidTr="00543846">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000" w:firstRow="0" w:lastRow="0" w:firstColumn="1" w:lastColumn="0" w:oddVBand="0" w:evenVBand="0" w:oddHBand="0" w:evenHBand="0" w:firstRowFirstColumn="0" w:firstRowLastColumn="0" w:lastRowFirstColumn="0" w:lastRowLastColumn="0"/>
            <w:tcW w:w="1795" w:type="dxa"/>
            <w:shd w:val="clear" w:color="auto" w:fill="385623" w:themeFill="accent6" w:themeFillShade="80"/>
          </w:tcPr>
          <w:p w14:paraId="2755381D" w14:textId="77777777" w:rsidR="00DA0EA7" w:rsidRPr="00113364" w:rsidRDefault="00DA0EA7" w:rsidP="00EB4984">
            <w:pPr>
              <w:spacing w:after="240"/>
              <w:jc w:val="center"/>
              <w:rPr>
                <w:rFonts w:ascii="Arial" w:hAnsi="Arial" w:cs="Arial"/>
                <w:bCs w:val="0"/>
              </w:rPr>
            </w:pPr>
            <w:r w:rsidRPr="00113364">
              <w:rPr>
                <w:rFonts w:ascii="Arial" w:hAnsi="Arial" w:cs="Arial"/>
                <w:bCs w:val="0"/>
              </w:rPr>
              <w:t>Timeline</w:t>
            </w:r>
          </w:p>
        </w:tc>
        <w:tc>
          <w:tcPr>
            <w:tcW w:w="7555" w:type="dxa"/>
            <w:shd w:val="clear" w:color="auto" w:fill="385623" w:themeFill="accent6" w:themeFillShade="80"/>
          </w:tcPr>
          <w:p w14:paraId="0B5685BB" w14:textId="77777777" w:rsidR="00DA0EA7" w:rsidRPr="00113364" w:rsidRDefault="00DA0EA7" w:rsidP="00EB4984">
            <w:pPr>
              <w:spacing w:after="24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13364">
              <w:rPr>
                <w:rFonts w:ascii="Arial" w:hAnsi="Arial" w:cs="Arial"/>
                <w:bCs w:val="0"/>
              </w:rPr>
              <w:t>Activity</w:t>
            </w:r>
          </w:p>
        </w:tc>
      </w:tr>
      <w:tr w:rsidR="00DA0EA7" w:rsidRPr="00113364" w14:paraId="14B3BE33" w14:textId="77777777" w:rsidTr="00543846">
        <w:trPr>
          <w:cnfStyle w:val="000000100000" w:firstRow="0" w:lastRow="0" w:firstColumn="0" w:lastColumn="0" w:oddVBand="0" w:evenVBand="0" w:oddHBand="1" w:evenHBand="0" w:firstRowFirstColumn="0" w:firstRowLastColumn="0" w:lastRowFirstColumn="0" w:lastRowLastColumn="0"/>
          <w:cantSplit/>
          <w:trHeight w:val="1151"/>
        </w:trPr>
        <w:tc>
          <w:tcPr>
            <w:cnfStyle w:val="001000000000" w:firstRow="0" w:lastRow="0" w:firstColumn="1" w:lastColumn="0" w:oddVBand="0" w:evenVBand="0" w:oddHBand="0" w:evenHBand="0" w:firstRowFirstColumn="0" w:firstRowLastColumn="0" w:lastRowFirstColumn="0" w:lastRowLastColumn="0"/>
            <w:tcW w:w="1795" w:type="dxa"/>
          </w:tcPr>
          <w:p w14:paraId="09826D08" w14:textId="77777777" w:rsidR="00DA0EA7" w:rsidRPr="00113364" w:rsidRDefault="00DA0EA7" w:rsidP="00DA0EA7">
            <w:pPr>
              <w:rPr>
                <w:rFonts w:ascii="Arial" w:hAnsi="Arial" w:cs="Arial"/>
              </w:rPr>
            </w:pPr>
            <w:r w:rsidRPr="00113364">
              <w:rPr>
                <w:rFonts w:ascii="Arial" w:hAnsi="Arial" w:cs="Arial"/>
              </w:rPr>
              <w:t>July 2023</w:t>
            </w:r>
          </w:p>
        </w:tc>
        <w:tc>
          <w:tcPr>
            <w:tcW w:w="7555" w:type="dxa"/>
          </w:tcPr>
          <w:p w14:paraId="6B9D82E7" w14:textId="4188497D"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 xml:space="preserve">CDE started planning for the next iteration of the CNA and SDP including the development of California’s Migratory Student </w:t>
            </w:r>
            <w:proofErr w:type="gramStart"/>
            <w:r w:rsidRPr="00113364">
              <w:rPr>
                <w:rFonts w:ascii="Arial" w:hAnsi="Arial" w:cs="Arial"/>
              </w:rPr>
              <w:t>Profile  and</w:t>
            </w:r>
            <w:proofErr w:type="gramEnd"/>
            <w:r w:rsidRPr="00113364">
              <w:rPr>
                <w:rFonts w:ascii="Arial" w:hAnsi="Arial" w:cs="Arial"/>
              </w:rPr>
              <w:t xml:space="preserve"> other necessary resources for the CNA SDP development process</w:t>
            </w:r>
          </w:p>
        </w:tc>
      </w:tr>
      <w:tr w:rsidR="00EB6991" w:rsidRPr="00113364" w14:paraId="59D7F6F6" w14:textId="77777777" w:rsidTr="00543846">
        <w:trPr>
          <w:cantSplit/>
          <w:trHeight w:val="350"/>
        </w:trPr>
        <w:tc>
          <w:tcPr>
            <w:cnfStyle w:val="001000000000" w:firstRow="0" w:lastRow="0" w:firstColumn="1" w:lastColumn="0" w:oddVBand="0" w:evenVBand="0" w:oddHBand="0" w:evenHBand="0" w:firstRowFirstColumn="0" w:firstRowLastColumn="0" w:lastRowFirstColumn="0" w:lastRowLastColumn="0"/>
            <w:tcW w:w="1795" w:type="dxa"/>
          </w:tcPr>
          <w:p w14:paraId="30967DC9" w14:textId="2EB2F9F8" w:rsidR="00EB6991" w:rsidRPr="00113364" w:rsidRDefault="00EB6991" w:rsidP="00EB6991">
            <w:pPr>
              <w:rPr>
                <w:rFonts w:ascii="Arial" w:hAnsi="Arial" w:cs="Arial"/>
              </w:rPr>
            </w:pPr>
            <w:r w:rsidRPr="00113364">
              <w:rPr>
                <w:rFonts w:ascii="Arial" w:hAnsi="Arial" w:cs="Arial"/>
              </w:rPr>
              <w:t>July 2023</w:t>
            </w:r>
          </w:p>
        </w:tc>
        <w:tc>
          <w:tcPr>
            <w:tcW w:w="7555" w:type="dxa"/>
          </w:tcPr>
          <w:p w14:paraId="186445D7" w14:textId="232C7497" w:rsidR="00EB6991" w:rsidRPr="00113364" w:rsidRDefault="00EB6991" w:rsidP="00EB69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Establishment of CDE Management and Data Team</w:t>
            </w:r>
          </w:p>
        </w:tc>
      </w:tr>
      <w:tr w:rsidR="00DA0EA7" w:rsidRPr="00113364" w14:paraId="4D37AFF0"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4E945BC1" w14:textId="77777777" w:rsidR="00DA0EA7" w:rsidRPr="00113364" w:rsidRDefault="00DA0EA7" w:rsidP="00DA0EA7">
            <w:pPr>
              <w:rPr>
                <w:rFonts w:ascii="Arial" w:hAnsi="Arial" w:cs="Arial"/>
              </w:rPr>
            </w:pPr>
            <w:r w:rsidRPr="00113364">
              <w:rPr>
                <w:rFonts w:ascii="Arial" w:hAnsi="Arial" w:cs="Arial"/>
              </w:rPr>
              <w:t>July 2023–June 2025</w:t>
            </w:r>
          </w:p>
        </w:tc>
        <w:tc>
          <w:tcPr>
            <w:tcW w:w="7555" w:type="dxa"/>
          </w:tcPr>
          <w:p w14:paraId="2C90E1EB" w14:textId="2941708E" w:rsidR="00DA0EA7" w:rsidRPr="00113364" w:rsidRDefault="004D4FC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CNA SDP</w:t>
            </w:r>
            <w:r w:rsidR="00DA0EA7" w:rsidRPr="00113364">
              <w:rPr>
                <w:rFonts w:ascii="Arial" w:hAnsi="Arial" w:cs="Arial"/>
              </w:rPr>
              <w:t xml:space="preserve"> Bi-monthly Planning Meetings</w:t>
            </w:r>
          </w:p>
        </w:tc>
      </w:tr>
      <w:tr w:rsidR="00DA0EA7" w:rsidRPr="00113364" w14:paraId="7E6D1D51"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1ACA6195" w14:textId="77777777" w:rsidR="00DA0EA7" w:rsidRPr="00113364" w:rsidRDefault="00DA0EA7" w:rsidP="00DA0EA7">
            <w:pPr>
              <w:rPr>
                <w:rFonts w:ascii="Arial" w:hAnsi="Arial" w:cs="Arial"/>
              </w:rPr>
            </w:pPr>
            <w:r w:rsidRPr="00113364">
              <w:rPr>
                <w:rFonts w:ascii="Arial" w:hAnsi="Arial" w:cs="Arial"/>
              </w:rPr>
              <w:t>August 2023–April 2024</w:t>
            </w:r>
          </w:p>
        </w:tc>
        <w:tc>
          <w:tcPr>
            <w:tcW w:w="7555" w:type="dxa"/>
          </w:tcPr>
          <w:p w14:paraId="610E58AF" w14:textId="77777777"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 xml:space="preserve">Intensive data collection period (collection of survey data identifying migratory children’s and youths’ needs </w:t>
            </w:r>
          </w:p>
        </w:tc>
      </w:tr>
      <w:tr w:rsidR="00DA0EA7" w:rsidRPr="00113364" w14:paraId="73D90500"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3B0AB445" w14:textId="77777777" w:rsidR="00DA0EA7" w:rsidRPr="00113364" w:rsidRDefault="00DA0EA7" w:rsidP="00DA0EA7">
            <w:pPr>
              <w:rPr>
                <w:rFonts w:ascii="Arial" w:hAnsi="Arial" w:cs="Arial"/>
              </w:rPr>
            </w:pPr>
            <w:r w:rsidRPr="00113364">
              <w:rPr>
                <w:rFonts w:ascii="Arial" w:hAnsi="Arial" w:cs="Arial"/>
              </w:rPr>
              <w:t>Dec. 2023–Jan. 2024</w:t>
            </w:r>
          </w:p>
        </w:tc>
        <w:tc>
          <w:tcPr>
            <w:tcW w:w="7555" w:type="dxa"/>
          </w:tcPr>
          <w:p w14:paraId="24B2A10C" w14:textId="77777777"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Conduct and analyze data from interviews with MEP Directors and Coordinators, OSY, and MEP parents</w:t>
            </w:r>
          </w:p>
        </w:tc>
      </w:tr>
      <w:tr w:rsidR="00DA0EA7" w:rsidRPr="00113364" w14:paraId="72D461C0"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67A1C151" w14:textId="77777777" w:rsidR="00DA0EA7" w:rsidRPr="00113364" w:rsidRDefault="00DA0EA7" w:rsidP="00DA0EA7">
            <w:pPr>
              <w:rPr>
                <w:rFonts w:ascii="Arial" w:hAnsi="Arial" w:cs="Arial"/>
              </w:rPr>
            </w:pPr>
            <w:r w:rsidRPr="00113364">
              <w:rPr>
                <w:rFonts w:ascii="Arial" w:hAnsi="Arial" w:cs="Arial"/>
              </w:rPr>
              <w:lastRenderedPageBreak/>
              <w:t>Dec. 2023</w:t>
            </w:r>
          </w:p>
        </w:tc>
        <w:tc>
          <w:tcPr>
            <w:tcW w:w="7555" w:type="dxa"/>
          </w:tcPr>
          <w:p w14:paraId="4382250E" w14:textId="77777777"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Notification for participation on the CNA SDP Committee sent to MEP Directors</w:t>
            </w:r>
          </w:p>
        </w:tc>
      </w:tr>
      <w:tr w:rsidR="00DA0EA7" w:rsidRPr="00113364" w14:paraId="1B192139"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58B6F085" w14:textId="77777777" w:rsidR="00DA0EA7" w:rsidRPr="00113364" w:rsidRDefault="00DA0EA7" w:rsidP="00DA0EA7">
            <w:pPr>
              <w:rPr>
                <w:rFonts w:ascii="Arial" w:hAnsi="Arial" w:cs="Arial"/>
              </w:rPr>
            </w:pPr>
            <w:r w:rsidRPr="00113364">
              <w:rPr>
                <w:rFonts w:ascii="Arial" w:hAnsi="Arial" w:cs="Arial"/>
              </w:rPr>
              <w:t>Jan. 2024</w:t>
            </w:r>
          </w:p>
        </w:tc>
        <w:tc>
          <w:tcPr>
            <w:tcW w:w="7555" w:type="dxa"/>
          </w:tcPr>
          <w:p w14:paraId="7D35FC33" w14:textId="28EB5655" w:rsidR="00DA0EA7" w:rsidRPr="00113364" w:rsidRDefault="0066157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Select p</w:t>
            </w:r>
            <w:r w:rsidR="00DA0EA7" w:rsidRPr="00113364">
              <w:rPr>
                <w:rFonts w:ascii="Arial" w:hAnsi="Arial" w:cs="Arial"/>
              </w:rPr>
              <w:t xml:space="preserve">articipants for the CNA SDP Committee </w:t>
            </w:r>
          </w:p>
        </w:tc>
      </w:tr>
      <w:tr w:rsidR="00DA0EA7" w:rsidRPr="00113364" w14:paraId="4F296D47"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2E1C4261" w14:textId="77777777" w:rsidR="00DA0EA7" w:rsidRPr="00113364" w:rsidRDefault="00DA0EA7" w:rsidP="00DA0EA7">
            <w:pPr>
              <w:rPr>
                <w:rFonts w:ascii="Arial" w:hAnsi="Arial" w:cs="Arial"/>
              </w:rPr>
            </w:pPr>
            <w:r w:rsidRPr="00113364">
              <w:rPr>
                <w:rFonts w:ascii="Arial" w:hAnsi="Arial" w:cs="Arial"/>
              </w:rPr>
              <w:t>Sept. 2023–April 2024</w:t>
            </w:r>
          </w:p>
        </w:tc>
        <w:tc>
          <w:tcPr>
            <w:tcW w:w="7555" w:type="dxa"/>
          </w:tcPr>
          <w:p w14:paraId="0D2B3F56" w14:textId="77777777"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Review research on evidence-based practices and develop a best practices’ guide for each focus area</w:t>
            </w:r>
          </w:p>
        </w:tc>
      </w:tr>
      <w:tr w:rsidR="00DA0EA7" w:rsidRPr="00113364" w14:paraId="18405A8A"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03522EFD" w14:textId="77777777" w:rsidR="00DA0EA7" w:rsidRPr="00113364" w:rsidRDefault="00DA0EA7" w:rsidP="00DA0EA7">
            <w:pPr>
              <w:rPr>
                <w:rFonts w:ascii="Arial" w:hAnsi="Arial" w:cs="Arial"/>
              </w:rPr>
            </w:pPr>
            <w:r w:rsidRPr="00113364">
              <w:rPr>
                <w:rFonts w:ascii="Arial" w:hAnsi="Arial" w:cs="Arial"/>
              </w:rPr>
              <w:t>Feb.–April 2024</w:t>
            </w:r>
          </w:p>
        </w:tc>
        <w:tc>
          <w:tcPr>
            <w:tcW w:w="7555" w:type="dxa"/>
          </w:tcPr>
          <w:p w14:paraId="02E14C7F" w14:textId="247817B4"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 xml:space="preserve">Conduct OSY, MEP staff, and MEP parents focus groups on the strengths and needs of migratory children and youth to collect additional data for the </w:t>
            </w:r>
            <w:r w:rsidR="00B03119" w:rsidRPr="00113364">
              <w:rPr>
                <w:rFonts w:ascii="Arial" w:hAnsi="Arial" w:cs="Arial"/>
              </w:rPr>
              <w:t>Migratory Student Profile</w:t>
            </w:r>
            <w:r w:rsidR="00B03119" w:rsidRPr="00113364" w:rsidDel="00B03119">
              <w:rPr>
                <w:rFonts w:ascii="Arial" w:hAnsi="Arial" w:cs="Arial"/>
              </w:rPr>
              <w:t xml:space="preserve"> </w:t>
            </w:r>
          </w:p>
        </w:tc>
      </w:tr>
      <w:tr w:rsidR="00DA0EA7" w:rsidRPr="00113364" w14:paraId="5E759583"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77DE25A9" w14:textId="77777777" w:rsidR="00DA0EA7" w:rsidRPr="00113364" w:rsidRDefault="00DA0EA7" w:rsidP="00DA0EA7">
            <w:pPr>
              <w:rPr>
                <w:rFonts w:ascii="Arial" w:hAnsi="Arial" w:cs="Arial"/>
              </w:rPr>
            </w:pPr>
            <w:r w:rsidRPr="00113364">
              <w:rPr>
                <w:rFonts w:ascii="Arial" w:hAnsi="Arial" w:cs="Arial"/>
              </w:rPr>
              <w:t>May 2024</w:t>
            </w:r>
          </w:p>
        </w:tc>
        <w:tc>
          <w:tcPr>
            <w:tcW w:w="7555" w:type="dxa"/>
          </w:tcPr>
          <w:p w14:paraId="2057AC31" w14:textId="29E94700" w:rsidR="00DA0EA7" w:rsidRPr="00113364" w:rsidRDefault="004937FC"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Finalize </w:t>
            </w:r>
            <w:r w:rsidR="00DA0EA7" w:rsidRPr="00113364">
              <w:rPr>
                <w:rFonts w:ascii="Arial" w:hAnsi="Arial" w:cs="Arial"/>
              </w:rPr>
              <w:t xml:space="preserve">Migrant Student Profile and Best Practice Guides </w:t>
            </w:r>
          </w:p>
        </w:tc>
      </w:tr>
      <w:tr w:rsidR="00DA0EA7" w:rsidRPr="00113364" w14:paraId="4650DE83"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5FF5A7E4" w14:textId="77777777" w:rsidR="00DA0EA7" w:rsidRPr="00113364" w:rsidRDefault="00DA0EA7" w:rsidP="00DA0EA7">
            <w:pPr>
              <w:rPr>
                <w:rFonts w:ascii="Arial" w:hAnsi="Arial" w:cs="Arial"/>
              </w:rPr>
            </w:pPr>
            <w:r w:rsidRPr="00113364">
              <w:rPr>
                <w:rFonts w:ascii="Arial" w:hAnsi="Arial" w:cs="Arial"/>
              </w:rPr>
              <w:t xml:space="preserve">May–June 2024 </w:t>
            </w:r>
          </w:p>
        </w:tc>
        <w:tc>
          <w:tcPr>
            <w:tcW w:w="7555" w:type="dxa"/>
          </w:tcPr>
          <w:p w14:paraId="6E36C5D8" w14:textId="77777777"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Creation of CNA SDP development process and instructional materials for the CNA SDP Committee meetings</w:t>
            </w:r>
          </w:p>
        </w:tc>
      </w:tr>
      <w:tr w:rsidR="00DA0EA7" w:rsidRPr="00113364" w14:paraId="750D5F4E"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277528EC" w14:textId="77777777" w:rsidR="00DA0EA7" w:rsidRPr="00113364" w:rsidRDefault="00DA0EA7" w:rsidP="00DA0EA7">
            <w:pPr>
              <w:rPr>
                <w:rFonts w:ascii="Arial" w:hAnsi="Arial" w:cs="Arial"/>
              </w:rPr>
            </w:pPr>
            <w:r w:rsidRPr="00113364">
              <w:rPr>
                <w:rFonts w:ascii="Arial" w:hAnsi="Arial" w:cs="Arial"/>
              </w:rPr>
              <w:t>July 2024</w:t>
            </w:r>
          </w:p>
        </w:tc>
        <w:tc>
          <w:tcPr>
            <w:tcW w:w="7555" w:type="dxa"/>
          </w:tcPr>
          <w:p w14:paraId="54AFBDB3" w14:textId="134328EE" w:rsidR="00DA0EA7" w:rsidRPr="00113364" w:rsidRDefault="004937FC"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Hold f</w:t>
            </w:r>
            <w:r w:rsidR="00DA0EA7" w:rsidRPr="00113364">
              <w:rPr>
                <w:rFonts w:ascii="Arial" w:hAnsi="Arial" w:cs="Arial"/>
              </w:rPr>
              <w:t>irst two (of eight) CNA SDP Committee Meetings in-person</w:t>
            </w:r>
          </w:p>
        </w:tc>
      </w:tr>
      <w:tr w:rsidR="00DA0EA7" w:rsidRPr="00113364" w14:paraId="580ED27C"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1D0E2707" w14:textId="77777777" w:rsidR="00DA0EA7" w:rsidRPr="00113364" w:rsidRDefault="00DA0EA7" w:rsidP="00DA0EA7">
            <w:pPr>
              <w:rPr>
                <w:rFonts w:ascii="Arial" w:hAnsi="Arial" w:cs="Arial"/>
              </w:rPr>
            </w:pPr>
            <w:r w:rsidRPr="00113364">
              <w:rPr>
                <w:rFonts w:ascii="Arial" w:hAnsi="Arial" w:cs="Arial"/>
              </w:rPr>
              <w:t>August 2024</w:t>
            </w:r>
          </w:p>
        </w:tc>
        <w:tc>
          <w:tcPr>
            <w:tcW w:w="7555" w:type="dxa"/>
          </w:tcPr>
          <w:p w14:paraId="42FBFC67" w14:textId="7718141B" w:rsidR="00DA0EA7" w:rsidRPr="00113364" w:rsidRDefault="004937FC"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Hold </w:t>
            </w:r>
            <w:r w:rsidR="00DA0EA7" w:rsidRPr="00113364">
              <w:rPr>
                <w:rFonts w:ascii="Arial" w:hAnsi="Arial" w:cs="Arial"/>
              </w:rPr>
              <w:t>CNA SDP Committee Meetings #3 and #4 virtually</w:t>
            </w:r>
          </w:p>
        </w:tc>
      </w:tr>
      <w:tr w:rsidR="00DA0EA7" w:rsidRPr="00113364" w14:paraId="08715E64"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4BADBB6F" w14:textId="77777777" w:rsidR="00DA0EA7" w:rsidRPr="00113364" w:rsidRDefault="00DA0EA7" w:rsidP="00DA0EA7">
            <w:pPr>
              <w:rPr>
                <w:rFonts w:ascii="Arial" w:hAnsi="Arial" w:cs="Arial"/>
              </w:rPr>
            </w:pPr>
            <w:r w:rsidRPr="00113364">
              <w:rPr>
                <w:rFonts w:ascii="Arial" w:hAnsi="Arial" w:cs="Arial"/>
              </w:rPr>
              <w:t>Sept. 2024</w:t>
            </w:r>
          </w:p>
        </w:tc>
        <w:tc>
          <w:tcPr>
            <w:tcW w:w="7555" w:type="dxa"/>
          </w:tcPr>
          <w:p w14:paraId="62FC69BD" w14:textId="77777777"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CNA SDP Committee Meeting with the SPAC for Meeting #5</w:t>
            </w:r>
          </w:p>
        </w:tc>
      </w:tr>
      <w:tr w:rsidR="00DA0EA7" w:rsidRPr="00113364" w14:paraId="6BD5B5FA"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003ED6EF" w14:textId="77777777" w:rsidR="00DA0EA7" w:rsidRPr="00113364" w:rsidRDefault="00DA0EA7" w:rsidP="00DA0EA7">
            <w:pPr>
              <w:rPr>
                <w:rFonts w:ascii="Arial" w:hAnsi="Arial" w:cs="Arial"/>
              </w:rPr>
            </w:pPr>
            <w:r w:rsidRPr="00113364">
              <w:rPr>
                <w:rFonts w:ascii="Arial" w:hAnsi="Arial" w:cs="Arial"/>
              </w:rPr>
              <w:t>October 2024</w:t>
            </w:r>
          </w:p>
        </w:tc>
        <w:tc>
          <w:tcPr>
            <w:tcW w:w="7555" w:type="dxa"/>
          </w:tcPr>
          <w:p w14:paraId="05C82F92" w14:textId="37E240F0"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CDE Data and Management Team meet to discuss CNA SDP key decisions and identify how to move forward with the data</w:t>
            </w:r>
          </w:p>
        </w:tc>
      </w:tr>
      <w:tr w:rsidR="00DA0EA7" w:rsidRPr="00113364" w14:paraId="3AB09169"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00B31A0B" w14:textId="77777777" w:rsidR="00DA0EA7" w:rsidRPr="00113364" w:rsidRDefault="00DA0EA7" w:rsidP="00DA0EA7">
            <w:pPr>
              <w:rPr>
                <w:rFonts w:ascii="Arial" w:hAnsi="Arial" w:cs="Arial"/>
              </w:rPr>
            </w:pPr>
            <w:r w:rsidRPr="00113364">
              <w:rPr>
                <w:rFonts w:ascii="Arial" w:hAnsi="Arial" w:cs="Arial"/>
              </w:rPr>
              <w:t>October–Dec. 2024</w:t>
            </w:r>
          </w:p>
        </w:tc>
        <w:tc>
          <w:tcPr>
            <w:tcW w:w="7555" w:type="dxa"/>
          </w:tcPr>
          <w:p w14:paraId="71FAB9A3" w14:textId="1CCFB3CD"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Writ</w:t>
            </w:r>
            <w:r w:rsidR="00A971D6">
              <w:rPr>
                <w:rFonts w:ascii="Arial" w:hAnsi="Arial" w:cs="Arial"/>
              </w:rPr>
              <w:t>e</w:t>
            </w:r>
            <w:r w:rsidRPr="00113364">
              <w:rPr>
                <w:rFonts w:ascii="Arial" w:hAnsi="Arial" w:cs="Arial"/>
              </w:rPr>
              <w:t xml:space="preserve"> the draft CNA including concern statements based on data, need statements, and the identification of best practices to address the need</w:t>
            </w:r>
          </w:p>
        </w:tc>
      </w:tr>
      <w:tr w:rsidR="00DA0EA7" w:rsidRPr="00113364" w14:paraId="466594D3"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22C73D71" w14:textId="181E4105" w:rsidR="00DA0EA7" w:rsidRPr="00113364" w:rsidRDefault="00DA0EA7" w:rsidP="00DA0EA7">
            <w:pPr>
              <w:rPr>
                <w:rFonts w:ascii="Arial" w:hAnsi="Arial" w:cs="Arial"/>
              </w:rPr>
            </w:pPr>
            <w:r w:rsidRPr="00113364">
              <w:rPr>
                <w:rFonts w:ascii="Arial" w:hAnsi="Arial" w:cs="Arial"/>
              </w:rPr>
              <w:t>Nov. 2024</w:t>
            </w:r>
          </w:p>
        </w:tc>
        <w:tc>
          <w:tcPr>
            <w:tcW w:w="7555" w:type="dxa"/>
          </w:tcPr>
          <w:p w14:paraId="508CD8CA" w14:textId="77777777"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MEP Directors’ Presentation: Developing the New CNA and SDP</w:t>
            </w:r>
          </w:p>
        </w:tc>
      </w:tr>
      <w:tr w:rsidR="00DA0EA7" w:rsidRPr="00113364" w14:paraId="7ABEB139"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15729734" w14:textId="77777777" w:rsidR="00DA0EA7" w:rsidRPr="00113364" w:rsidRDefault="00DA0EA7" w:rsidP="00DA0EA7">
            <w:pPr>
              <w:rPr>
                <w:rFonts w:ascii="Arial" w:hAnsi="Arial" w:cs="Arial"/>
                <w:b w:val="0"/>
                <w:bCs w:val="0"/>
              </w:rPr>
            </w:pPr>
            <w:r w:rsidRPr="00113364">
              <w:rPr>
                <w:rFonts w:ascii="Arial" w:hAnsi="Arial" w:cs="Arial"/>
              </w:rPr>
              <w:t>Nov.–</w:t>
            </w:r>
          </w:p>
          <w:p w14:paraId="420B3B84" w14:textId="7AB5F6C5" w:rsidR="00DA0EA7" w:rsidRPr="00113364" w:rsidRDefault="00DA0EA7" w:rsidP="00DA0EA7">
            <w:pPr>
              <w:rPr>
                <w:rFonts w:ascii="Arial" w:hAnsi="Arial" w:cs="Arial"/>
              </w:rPr>
            </w:pPr>
            <w:r w:rsidRPr="00113364">
              <w:rPr>
                <w:rFonts w:ascii="Arial" w:hAnsi="Arial" w:cs="Arial"/>
              </w:rPr>
              <w:t>Dec. 2024</w:t>
            </w:r>
          </w:p>
        </w:tc>
        <w:tc>
          <w:tcPr>
            <w:tcW w:w="7555" w:type="dxa"/>
          </w:tcPr>
          <w:p w14:paraId="43F72120" w14:textId="77777777"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Development of the draft SDP including strategies, measurable performance objectives, and performance targets for each focus area</w:t>
            </w:r>
          </w:p>
        </w:tc>
      </w:tr>
      <w:tr w:rsidR="00DA0EA7" w:rsidRPr="00113364" w14:paraId="30A4F7BE"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00A1C76E" w14:textId="77777777" w:rsidR="00DA0EA7" w:rsidRPr="00113364" w:rsidRDefault="00DA0EA7" w:rsidP="00DA0EA7">
            <w:pPr>
              <w:rPr>
                <w:rFonts w:ascii="Arial" w:hAnsi="Arial" w:cs="Arial"/>
              </w:rPr>
            </w:pPr>
            <w:r w:rsidRPr="00113364">
              <w:rPr>
                <w:rFonts w:ascii="Arial" w:hAnsi="Arial" w:cs="Arial"/>
              </w:rPr>
              <w:t>Dec. 2024</w:t>
            </w:r>
          </w:p>
        </w:tc>
        <w:tc>
          <w:tcPr>
            <w:tcW w:w="7555" w:type="dxa"/>
          </w:tcPr>
          <w:p w14:paraId="596C73D7" w14:textId="77777777"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Present the draft CNA and SDP to the CNA SDP Committee for final round of feedback during meetings #6 and #7</w:t>
            </w:r>
          </w:p>
        </w:tc>
      </w:tr>
      <w:tr w:rsidR="00DA0EA7" w:rsidRPr="00113364" w14:paraId="6DF294EF"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43C103E6" w14:textId="03C283B6" w:rsidR="00DA0EA7" w:rsidRPr="00113364" w:rsidRDefault="00DA0EA7" w:rsidP="00DA0EA7">
            <w:pPr>
              <w:rPr>
                <w:rFonts w:ascii="Arial" w:hAnsi="Arial" w:cs="Arial"/>
              </w:rPr>
            </w:pPr>
            <w:r w:rsidRPr="00113364">
              <w:rPr>
                <w:rFonts w:ascii="Arial" w:hAnsi="Arial" w:cs="Arial"/>
              </w:rPr>
              <w:t>Jan. 2025</w:t>
            </w:r>
          </w:p>
        </w:tc>
        <w:tc>
          <w:tcPr>
            <w:tcW w:w="7555" w:type="dxa"/>
          </w:tcPr>
          <w:p w14:paraId="5EBF5A28" w14:textId="6D439D0A"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Present the draft CNA and SDP to the SPAC for final round of feedback (Meeting #8)</w:t>
            </w:r>
          </w:p>
        </w:tc>
      </w:tr>
      <w:tr w:rsidR="00DA0EA7" w:rsidRPr="00113364" w14:paraId="495C33EB"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0E487DF4" w14:textId="77777777" w:rsidR="00DA0EA7" w:rsidRPr="00113364" w:rsidRDefault="00DA0EA7" w:rsidP="00DA0EA7">
            <w:pPr>
              <w:rPr>
                <w:rFonts w:ascii="Arial" w:hAnsi="Arial" w:cs="Arial"/>
              </w:rPr>
            </w:pPr>
            <w:r w:rsidRPr="00113364">
              <w:rPr>
                <w:rFonts w:ascii="Arial" w:hAnsi="Arial" w:cs="Arial"/>
              </w:rPr>
              <w:t>Jan.–March 2025</w:t>
            </w:r>
          </w:p>
        </w:tc>
        <w:tc>
          <w:tcPr>
            <w:tcW w:w="7555" w:type="dxa"/>
          </w:tcPr>
          <w:p w14:paraId="0E14A720" w14:textId="77777777"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Finalize draft statewide CNA and SDP</w:t>
            </w:r>
          </w:p>
        </w:tc>
      </w:tr>
      <w:tr w:rsidR="00DA0EA7" w:rsidRPr="00113364" w14:paraId="615968AB" w14:textId="77777777" w:rsidTr="00543846">
        <w:trPr>
          <w:cantSplit/>
        </w:trPr>
        <w:tc>
          <w:tcPr>
            <w:cnfStyle w:val="001000000000" w:firstRow="0" w:lastRow="0" w:firstColumn="1" w:lastColumn="0" w:oddVBand="0" w:evenVBand="0" w:oddHBand="0" w:evenHBand="0" w:firstRowFirstColumn="0" w:firstRowLastColumn="0" w:lastRowFirstColumn="0" w:lastRowLastColumn="0"/>
            <w:tcW w:w="1795" w:type="dxa"/>
          </w:tcPr>
          <w:p w14:paraId="7140882C" w14:textId="77777777" w:rsidR="00DA0EA7" w:rsidRPr="00113364" w:rsidRDefault="00DA0EA7" w:rsidP="00DA0EA7">
            <w:pPr>
              <w:rPr>
                <w:rFonts w:ascii="Arial" w:hAnsi="Arial" w:cs="Arial"/>
              </w:rPr>
            </w:pPr>
            <w:r w:rsidRPr="00113364">
              <w:rPr>
                <w:rFonts w:ascii="Arial" w:hAnsi="Arial" w:cs="Arial"/>
              </w:rPr>
              <w:t>May 2025</w:t>
            </w:r>
          </w:p>
        </w:tc>
        <w:tc>
          <w:tcPr>
            <w:tcW w:w="7555" w:type="dxa"/>
          </w:tcPr>
          <w:p w14:paraId="53B4FCF7" w14:textId="77777777" w:rsidR="00DA0EA7" w:rsidRPr="00113364" w:rsidRDefault="00DA0EA7" w:rsidP="00DA0E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MEP Directors’ Presentation: California’s Statewide CNA and SDP At-a-glance</w:t>
            </w:r>
          </w:p>
        </w:tc>
      </w:tr>
      <w:tr w:rsidR="00DA0EA7" w:rsidRPr="00113364" w14:paraId="4B289905" w14:textId="77777777" w:rsidTr="005438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14:paraId="3E115943" w14:textId="77777777" w:rsidR="00DA0EA7" w:rsidRPr="00113364" w:rsidRDefault="00DA0EA7" w:rsidP="00DA0EA7">
            <w:pPr>
              <w:rPr>
                <w:rFonts w:ascii="Arial" w:hAnsi="Arial" w:cs="Arial"/>
              </w:rPr>
            </w:pPr>
            <w:r w:rsidRPr="00113364">
              <w:rPr>
                <w:rFonts w:ascii="Arial" w:hAnsi="Arial" w:cs="Arial"/>
              </w:rPr>
              <w:t>Sept.–Oct. 2025</w:t>
            </w:r>
          </w:p>
        </w:tc>
        <w:tc>
          <w:tcPr>
            <w:tcW w:w="7555" w:type="dxa"/>
          </w:tcPr>
          <w:p w14:paraId="3A9A43D2" w14:textId="01056623" w:rsidR="00DA0EA7" w:rsidRPr="00113364" w:rsidRDefault="00DA0EA7" w:rsidP="00DA0E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3364">
              <w:rPr>
                <w:rFonts w:ascii="Arial" w:hAnsi="Arial" w:cs="Arial"/>
              </w:rPr>
              <w:t xml:space="preserve">Presentations and Webinars: California’s Statewide CNA and </w:t>
            </w:r>
            <w:r w:rsidR="00452477" w:rsidRPr="00113364">
              <w:rPr>
                <w:rFonts w:ascii="Arial" w:hAnsi="Arial" w:cs="Arial"/>
              </w:rPr>
              <w:t>SDP</w:t>
            </w:r>
            <w:r w:rsidRPr="00113364">
              <w:rPr>
                <w:rFonts w:ascii="Arial" w:hAnsi="Arial" w:cs="Arial"/>
              </w:rPr>
              <w:t xml:space="preserve"> At-a-glance (SPAC, Bilingual Coordinators Network, etc.)</w:t>
            </w:r>
          </w:p>
        </w:tc>
      </w:tr>
      <w:tr w:rsidR="00DA0EA7" w:rsidRPr="00113364" w14:paraId="3F35F5CD" w14:textId="77777777" w:rsidTr="00543846">
        <w:trPr>
          <w:cantSplit/>
          <w:trHeight w:val="620"/>
        </w:trPr>
        <w:tc>
          <w:tcPr>
            <w:cnfStyle w:val="001000000000" w:firstRow="0" w:lastRow="0" w:firstColumn="1" w:lastColumn="0" w:oddVBand="0" w:evenVBand="0" w:oddHBand="0" w:evenHBand="0" w:firstRowFirstColumn="0" w:firstRowLastColumn="0" w:lastRowFirstColumn="0" w:lastRowLastColumn="0"/>
            <w:tcW w:w="1795" w:type="dxa"/>
          </w:tcPr>
          <w:p w14:paraId="6F832476" w14:textId="77777777" w:rsidR="00DA0EA7" w:rsidRPr="00113364" w:rsidRDefault="00DA0EA7" w:rsidP="00EB4984">
            <w:pPr>
              <w:spacing w:after="240"/>
              <w:rPr>
                <w:rFonts w:ascii="Arial" w:hAnsi="Arial" w:cs="Arial"/>
              </w:rPr>
            </w:pPr>
            <w:r w:rsidRPr="00113364">
              <w:rPr>
                <w:rFonts w:ascii="Arial" w:hAnsi="Arial" w:cs="Arial"/>
              </w:rPr>
              <w:t>July–Dec. 2025</w:t>
            </w:r>
          </w:p>
        </w:tc>
        <w:tc>
          <w:tcPr>
            <w:tcW w:w="7555" w:type="dxa"/>
          </w:tcPr>
          <w:p w14:paraId="151AC64B" w14:textId="77777777" w:rsidR="00DA0EA7" w:rsidRPr="00113364" w:rsidRDefault="00DA0EA7" w:rsidP="00EB4984">
            <w:pPr>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113364">
              <w:rPr>
                <w:rFonts w:ascii="Arial" w:hAnsi="Arial" w:cs="Arial"/>
              </w:rPr>
              <w:t>Four Local Trainings: Aligning MEP services and application with the New SDP</w:t>
            </w:r>
          </w:p>
        </w:tc>
      </w:tr>
    </w:tbl>
    <w:p w14:paraId="439AA620" w14:textId="4199F3B5" w:rsidR="005F03B7" w:rsidRPr="00113364" w:rsidRDefault="005F03B7" w:rsidP="005F03B7">
      <w:pPr>
        <w:spacing w:before="240"/>
        <w:rPr>
          <w:rFonts w:ascii="Arial" w:hAnsi="Arial" w:cs="Arial"/>
        </w:rPr>
      </w:pPr>
      <w:r w:rsidRPr="00113364">
        <w:rPr>
          <w:rFonts w:ascii="Arial" w:hAnsi="Arial" w:cs="Arial"/>
        </w:rPr>
        <w:t xml:space="preserve">Section II reviews </w:t>
      </w:r>
      <w:r w:rsidR="0024341F" w:rsidRPr="00113364">
        <w:rPr>
          <w:rFonts w:ascii="Arial" w:hAnsi="Arial" w:cs="Arial"/>
        </w:rPr>
        <w:t>the key</w:t>
      </w:r>
      <w:r w:rsidRPr="00113364">
        <w:rPr>
          <w:rFonts w:ascii="Arial" w:hAnsi="Arial" w:cs="Arial"/>
        </w:rPr>
        <w:t xml:space="preserve"> decisions </w:t>
      </w:r>
      <w:r w:rsidR="00947CA7" w:rsidRPr="00113364">
        <w:rPr>
          <w:rFonts w:ascii="Arial" w:hAnsi="Arial" w:cs="Arial"/>
        </w:rPr>
        <w:t xml:space="preserve">for the CNA </w:t>
      </w:r>
      <w:r w:rsidRPr="00113364">
        <w:rPr>
          <w:rFonts w:ascii="Arial" w:hAnsi="Arial" w:cs="Arial"/>
        </w:rPr>
        <w:t xml:space="preserve">(i.e., concern and need statements as well as initial strategies) developed by the CNA SDP Committee for each focus area. </w:t>
      </w:r>
    </w:p>
    <w:p w14:paraId="4DD164B6" w14:textId="7924B06C" w:rsidR="00A858C1" w:rsidRPr="00113364" w:rsidRDefault="004F6691" w:rsidP="00E30F49">
      <w:pPr>
        <w:pStyle w:val="Heading2"/>
      </w:pPr>
      <w:r w:rsidRPr="00113364">
        <w:br w:type="page"/>
      </w:r>
      <w:bookmarkStart w:id="22" w:name="_Toc203568836"/>
      <w:r w:rsidR="00293E5D" w:rsidRPr="00113364">
        <w:lastRenderedPageBreak/>
        <w:t>S</w:t>
      </w:r>
      <w:r w:rsidR="00326281" w:rsidRPr="00113364">
        <w:t>e</w:t>
      </w:r>
      <w:r w:rsidR="00293E5D" w:rsidRPr="00113364">
        <w:t xml:space="preserve">ction II: </w:t>
      </w:r>
      <w:r w:rsidR="00A858C1" w:rsidRPr="00113364">
        <w:t>Comprehensive Needs Assessment</w:t>
      </w:r>
      <w:r w:rsidR="005F03B7" w:rsidRPr="00113364">
        <w:t xml:space="preserve"> Key Decisions</w:t>
      </w:r>
      <w:bookmarkEnd w:id="22"/>
    </w:p>
    <w:p w14:paraId="5A7F6B77" w14:textId="7ACE8D61" w:rsidR="00AB2B4A" w:rsidRPr="00113364" w:rsidRDefault="00AB2B4A" w:rsidP="00052DC4">
      <w:pPr>
        <w:contextualSpacing/>
        <w:rPr>
          <w:rFonts w:ascii="Arial" w:hAnsi="Arial" w:cs="Arial"/>
        </w:rPr>
      </w:pPr>
      <w:r w:rsidRPr="00113364">
        <w:rPr>
          <w:rFonts w:ascii="Arial" w:hAnsi="Arial" w:cs="Arial"/>
        </w:rPr>
        <w:t>The CNA was c</w:t>
      </w:r>
      <w:r w:rsidR="00EF410D" w:rsidRPr="00113364">
        <w:rPr>
          <w:rFonts w:ascii="Arial" w:hAnsi="Arial" w:cs="Arial"/>
        </w:rPr>
        <w:t xml:space="preserve">ompleted in September 2024, </w:t>
      </w:r>
      <w:r w:rsidRPr="00113364">
        <w:rPr>
          <w:rFonts w:ascii="Arial" w:hAnsi="Arial" w:cs="Arial"/>
        </w:rPr>
        <w:t xml:space="preserve">but </w:t>
      </w:r>
      <w:r w:rsidR="00EF410D" w:rsidRPr="00113364">
        <w:rPr>
          <w:rFonts w:ascii="Arial" w:hAnsi="Arial" w:cs="Arial"/>
        </w:rPr>
        <w:t xml:space="preserve">the collaborative process to develop the CNA started </w:t>
      </w:r>
      <w:r w:rsidRPr="00113364">
        <w:rPr>
          <w:rFonts w:ascii="Arial" w:hAnsi="Arial" w:cs="Arial"/>
        </w:rPr>
        <w:t xml:space="preserve">much </w:t>
      </w:r>
      <w:r w:rsidR="00D0628C" w:rsidRPr="00113364">
        <w:rPr>
          <w:rFonts w:ascii="Arial" w:hAnsi="Arial" w:cs="Arial"/>
        </w:rPr>
        <w:t>earlier</w:t>
      </w:r>
      <w:r w:rsidRPr="00113364">
        <w:rPr>
          <w:rFonts w:ascii="Arial" w:hAnsi="Arial" w:cs="Arial"/>
        </w:rPr>
        <w:t xml:space="preserve"> </w:t>
      </w:r>
      <w:r w:rsidR="00EF410D" w:rsidRPr="00113364">
        <w:rPr>
          <w:rFonts w:ascii="Arial" w:hAnsi="Arial" w:cs="Arial"/>
        </w:rPr>
        <w:t xml:space="preserve">with </w:t>
      </w:r>
      <w:r w:rsidR="00B53EF9" w:rsidRPr="00113364">
        <w:rPr>
          <w:rFonts w:ascii="Arial" w:hAnsi="Arial" w:cs="Arial"/>
        </w:rPr>
        <w:t>a survey of</w:t>
      </w:r>
      <w:r w:rsidR="00D21C63" w:rsidRPr="00113364">
        <w:rPr>
          <w:rFonts w:ascii="Arial" w:hAnsi="Arial" w:cs="Arial"/>
        </w:rPr>
        <w:t xml:space="preserve"> MEP staff, OSY, and eligible MEP parents who identified the ten focus areas within the CNA. The CNA SDP Committee</w:t>
      </w:r>
      <w:r w:rsidR="00B53EF9" w:rsidRPr="00113364">
        <w:rPr>
          <w:rFonts w:ascii="Arial" w:hAnsi="Arial" w:cs="Arial"/>
        </w:rPr>
        <w:t xml:space="preserve"> </w:t>
      </w:r>
      <w:r w:rsidR="00EF410D" w:rsidRPr="00113364">
        <w:rPr>
          <w:rFonts w:ascii="Arial" w:hAnsi="Arial" w:cs="Arial"/>
        </w:rPr>
        <w:t>review</w:t>
      </w:r>
      <w:r w:rsidR="00D21C63" w:rsidRPr="00113364">
        <w:rPr>
          <w:rFonts w:ascii="Arial" w:hAnsi="Arial" w:cs="Arial"/>
        </w:rPr>
        <w:t>ed a profile</w:t>
      </w:r>
      <w:r w:rsidR="00EF410D" w:rsidRPr="00113364">
        <w:rPr>
          <w:rFonts w:ascii="Arial" w:hAnsi="Arial" w:cs="Arial"/>
        </w:rPr>
        <w:t xml:space="preserve"> of all available data pertaining to California’s migratory children and youth</w:t>
      </w:r>
      <w:r w:rsidR="00D21C63" w:rsidRPr="00113364">
        <w:rPr>
          <w:rFonts w:ascii="Arial" w:hAnsi="Arial" w:cs="Arial"/>
        </w:rPr>
        <w:t xml:space="preserve"> for the ten areas identified by the survey and federal requirements</w:t>
      </w:r>
      <w:r w:rsidR="001830F1" w:rsidRPr="00113364">
        <w:rPr>
          <w:rFonts w:ascii="Arial" w:hAnsi="Arial" w:cs="Arial"/>
        </w:rPr>
        <w:t xml:space="preserve">. </w:t>
      </w:r>
      <w:r w:rsidR="00DB4A6B" w:rsidRPr="00113364">
        <w:rPr>
          <w:rFonts w:ascii="Arial" w:hAnsi="Arial" w:cs="Arial"/>
        </w:rPr>
        <w:t>California’s</w:t>
      </w:r>
      <w:r w:rsidR="00052DC4" w:rsidRPr="00113364">
        <w:rPr>
          <w:rFonts w:ascii="Arial" w:hAnsi="Arial" w:cs="Arial"/>
        </w:rPr>
        <w:t xml:space="preserve"> Migrat</w:t>
      </w:r>
      <w:r w:rsidR="00EF410D" w:rsidRPr="00113364">
        <w:rPr>
          <w:rFonts w:ascii="Arial" w:hAnsi="Arial" w:cs="Arial"/>
        </w:rPr>
        <w:t>ory</w:t>
      </w:r>
      <w:r w:rsidR="00052DC4" w:rsidRPr="00113364">
        <w:rPr>
          <w:rFonts w:ascii="Arial" w:hAnsi="Arial" w:cs="Arial"/>
        </w:rPr>
        <w:t xml:space="preserve"> Student Profile was designed to assist </w:t>
      </w:r>
      <w:r w:rsidR="00C52B3A" w:rsidRPr="00113364">
        <w:rPr>
          <w:rFonts w:ascii="Arial" w:hAnsi="Arial" w:cs="Arial"/>
        </w:rPr>
        <w:t xml:space="preserve">committee members </w:t>
      </w:r>
      <w:r w:rsidR="00052DC4" w:rsidRPr="00113364">
        <w:rPr>
          <w:rFonts w:ascii="Arial" w:hAnsi="Arial" w:cs="Arial"/>
        </w:rPr>
        <w:t>in understanding the demographic characteristics and unique educational needs of California’s MEP-eligible children</w:t>
      </w:r>
      <w:r w:rsidR="00EF410D" w:rsidRPr="00113364">
        <w:rPr>
          <w:rFonts w:ascii="Arial" w:hAnsi="Arial" w:cs="Arial"/>
        </w:rPr>
        <w:t xml:space="preserve"> and youth</w:t>
      </w:r>
      <w:r w:rsidR="00052DC4" w:rsidRPr="00113364">
        <w:rPr>
          <w:rFonts w:ascii="Arial" w:hAnsi="Arial" w:cs="Arial"/>
        </w:rPr>
        <w:t>.</w:t>
      </w:r>
      <w:r w:rsidR="00052DC4" w:rsidRPr="00113364">
        <w:rPr>
          <w:rFonts w:ascii="Arial" w:hAnsi="Arial" w:cs="Arial"/>
          <w:vertAlign w:val="superscript"/>
        </w:rPr>
        <w:t xml:space="preserve"> </w:t>
      </w:r>
      <w:r w:rsidR="00052DC4" w:rsidRPr="00113364">
        <w:rPr>
          <w:rFonts w:ascii="Arial" w:hAnsi="Arial" w:cs="Arial"/>
        </w:rPr>
        <w:t>It provides</w:t>
      </w:r>
      <w:r w:rsidR="003D2B71" w:rsidRPr="00113364">
        <w:rPr>
          <w:rFonts w:ascii="Arial" w:hAnsi="Arial" w:cs="Arial"/>
        </w:rPr>
        <w:t xml:space="preserve"> an</w:t>
      </w:r>
      <w:r w:rsidR="00052DC4" w:rsidRPr="00113364">
        <w:rPr>
          <w:rFonts w:ascii="Arial" w:hAnsi="Arial" w:cs="Arial"/>
        </w:rPr>
        <w:t xml:space="preserve"> a</w:t>
      </w:r>
      <w:r w:rsidR="003D2B71" w:rsidRPr="00113364">
        <w:rPr>
          <w:rFonts w:ascii="Arial" w:hAnsi="Arial" w:cs="Arial"/>
        </w:rPr>
        <w:t>wareness of migratory children</w:t>
      </w:r>
      <w:r w:rsidR="00052DC4" w:rsidRPr="00113364">
        <w:rPr>
          <w:rFonts w:ascii="Arial" w:hAnsi="Arial" w:cs="Arial"/>
        </w:rPr>
        <w:t xml:space="preserve"> population size, age, home language, and educational outcomes. It also explores characteristics of California’s migratory O</w:t>
      </w:r>
      <w:r w:rsidR="00D21C63" w:rsidRPr="00113364">
        <w:rPr>
          <w:rFonts w:ascii="Arial" w:hAnsi="Arial" w:cs="Arial"/>
        </w:rPr>
        <w:t>SY</w:t>
      </w:r>
      <w:r w:rsidR="00052DC4" w:rsidRPr="00113364">
        <w:rPr>
          <w:rFonts w:ascii="Arial" w:hAnsi="Arial" w:cs="Arial"/>
        </w:rPr>
        <w:t xml:space="preserve"> popu</w:t>
      </w:r>
      <w:r w:rsidR="003D2B71" w:rsidRPr="00113364">
        <w:rPr>
          <w:rFonts w:ascii="Arial" w:hAnsi="Arial" w:cs="Arial"/>
        </w:rPr>
        <w:t>lation, migratory children</w:t>
      </w:r>
      <w:r w:rsidR="00020E4B" w:rsidRPr="00113364">
        <w:rPr>
          <w:rFonts w:ascii="Arial" w:hAnsi="Arial" w:cs="Arial"/>
        </w:rPr>
        <w:t>’s</w:t>
      </w:r>
      <w:r w:rsidR="00052DC4" w:rsidRPr="00113364">
        <w:rPr>
          <w:rFonts w:ascii="Arial" w:hAnsi="Arial" w:cs="Arial"/>
        </w:rPr>
        <w:t xml:space="preserve"> readiness</w:t>
      </w:r>
      <w:r w:rsidR="00020E4B" w:rsidRPr="00113364">
        <w:rPr>
          <w:rFonts w:ascii="Arial" w:hAnsi="Arial" w:cs="Arial"/>
        </w:rPr>
        <w:t xml:space="preserve"> for transitional kindergarten and kindergarten</w:t>
      </w:r>
      <w:r w:rsidR="00052DC4" w:rsidRPr="00113364">
        <w:rPr>
          <w:rFonts w:ascii="Arial" w:hAnsi="Arial" w:cs="Arial"/>
        </w:rPr>
        <w:t xml:space="preserve">, parent involvement, </w:t>
      </w:r>
      <w:r w:rsidR="00020E4B" w:rsidRPr="00113364">
        <w:rPr>
          <w:rFonts w:ascii="Arial" w:hAnsi="Arial" w:cs="Arial"/>
        </w:rPr>
        <w:t>physical and mental health</w:t>
      </w:r>
      <w:r w:rsidR="00052DC4" w:rsidRPr="00113364">
        <w:rPr>
          <w:rFonts w:ascii="Arial" w:hAnsi="Arial" w:cs="Arial"/>
        </w:rPr>
        <w:t xml:space="preserve"> needs, and engagement in school. </w:t>
      </w:r>
    </w:p>
    <w:p w14:paraId="3C510B50" w14:textId="77777777" w:rsidR="00AB2B4A" w:rsidRPr="00113364" w:rsidRDefault="00AB2B4A" w:rsidP="00052DC4">
      <w:pPr>
        <w:contextualSpacing/>
        <w:rPr>
          <w:rFonts w:ascii="Arial" w:hAnsi="Arial" w:cs="Arial"/>
        </w:rPr>
      </w:pPr>
    </w:p>
    <w:p w14:paraId="751178F9" w14:textId="361189A7" w:rsidR="00052DC4" w:rsidRPr="00113364" w:rsidRDefault="00052DC4" w:rsidP="00052DC4">
      <w:pPr>
        <w:contextualSpacing/>
        <w:rPr>
          <w:rFonts w:ascii="Arial" w:hAnsi="Arial" w:cs="Arial"/>
        </w:rPr>
      </w:pPr>
      <w:r w:rsidRPr="00113364">
        <w:rPr>
          <w:rFonts w:ascii="Arial" w:hAnsi="Arial" w:cs="Arial"/>
        </w:rPr>
        <w:t>The CNA</w:t>
      </w:r>
      <w:r w:rsidR="00EF410D" w:rsidRPr="00113364">
        <w:rPr>
          <w:rFonts w:ascii="Arial" w:hAnsi="Arial" w:cs="Arial"/>
        </w:rPr>
        <w:t xml:space="preserve"> </w:t>
      </w:r>
      <w:r w:rsidR="00452477" w:rsidRPr="00113364">
        <w:rPr>
          <w:rFonts w:ascii="Arial" w:hAnsi="Arial" w:cs="Arial"/>
        </w:rPr>
        <w:t>SDP</w:t>
      </w:r>
      <w:r w:rsidRPr="00113364">
        <w:rPr>
          <w:rFonts w:ascii="Arial" w:hAnsi="Arial" w:cs="Arial"/>
        </w:rPr>
        <w:t xml:space="preserve"> Committee</w:t>
      </w:r>
      <w:r w:rsidR="00EE4E51" w:rsidRPr="00113364">
        <w:rPr>
          <w:rFonts w:ascii="Arial" w:hAnsi="Arial" w:cs="Arial"/>
        </w:rPr>
        <w:t xml:space="preserve"> divided into content</w:t>
      </w:r>
      <w:r w:rsidR="003D2B71" w:rsidRPr="00113364">
        <w:rPr>
          <w:rFonts w:ascii="Arial" w:hAnsi="Arial" w:cs="Arial"/>
        </w:rPr>
        <w:t>-</w:t>
      </w:r>
      <w:r w:rsidR="00EE4E51" w:rsidRPr="00113364">
        <w:rPr>
          <w:rFonts w:ascii="Arial" w:hAnsi="Arial" w:cs="Arial"/>
        </w:rPr>
        <w:t>specific subcommittees in which participants</w:t>
      </w:r>
      <w:r w:rsidRPr="00113364">
        <w:rPr>
          <w:rFonts w:ascii="Arial" w:hAnsi="Arial" w:cs="Arial"/>
        </w:rPr>
        <w:t xml:space="preserve"> reviewed student achievement data</w:t>
      </w:r>
      <w:r w:rsidR="008B225F" w:rsidRPr="00113364">
        <w:rPr>
          <w:rFonts w:ascii="Arial" w:hAnsi="Arial" w:cs="Arial"/>
        </w:rPr>
        <w:t xml:space="preserve"> (e.g., ELA and </w:t>
      </w:r>
      <w:r w:rsidR="00E7492F" w:rsidRPr="00113364">
        <w:rPr>
          <w:rFonts w:ascii="Arial" w:hAnsi="Arial" w:cs="Arial"/>
        </w:rPr>
        <w:t>mathematics</w:t>
      </w:r>
      <w:r w:rsidR="008B225F" w:rsidRPr="00113364">
        <w:rPr>
          <w:rFonts w:ascii="Arial" w:hAnsi="Arial" w:cs="Arial"/>
        </w:rPr>
        <w:t xml:space="preserve"> proficiency, </w:t>
      </w:r>
      <w:r w:rsidRPr="00113364">
        <w:rPr>
          <w:rFonts w:ascii="Arial" w:hAnsi="Arial" w:cs="Arial"/>
        </w:rPr>
        <w:t>English language proficienc</w:t>
      </w:r>
      <w:r w:rsidR="008B225F" w:rsidRPr="00113364">
        <w:rPr>
          <w:rFonts w:ascii="Arial" w:hAnsi="Arial" w:cs="Arial"/>
        </w:rPr>
        <w:t>y</w:t>
      </w:r>
      <w:r w:rsidR="00B03119">
        <w:rPr>
          <w:rFonts w:ascii="Arial" w:hAnsi="Arial" w:cs="Arial"/>
        </w:rPr>
        <w:t xml:space="preserve"> (ELP)</w:t>
      </w:r>
      <w:r w:rsidRPr="00113364">
        <w:rPr>
          <w:rFonts w:ascii="Arial" w:hAnsi="Arial" w:cs="Arial"/>
        </w:rPr>
        <w:t xml:space="preserve">, high school graduation </w:t>
      </w:r>
      <w:r w:rsidR="00020E4B" w:rsidRPr="00113364">
        <w:rPr>
          <w:rFonts w:ascii="Arial" w:hAnsi="Arial" w:cs="Arial"/>
        </w:rPr>
        <w:t>outcome</w:t>
      </w:r>
      <w:r w:rsidR="008B225F" w:rsidRPr="00113364">
        <w:rPr>
          <w:rFonts w:ascii="Arial" w:hAnsi="Arial" w:cs="Arial"/>
        </w:rPr>
        <w:t>)</w:t>
      </w:r>
      <w:r w:rsidR="00020E4B" w:rsidRPr="00113364">
        <w:rPr>
          <w:rFonts w:ascii="Arial" w:hAnsi="Arial" w:cs="Arial"/>
        </w:rPr>
        <w:t xml:space="preserve"> and programmatic data (e.g., service participation data)</w:t>
      </w:r>
      <w:r w:rsidRPr="00113364">
        <w:rPr>
          <w:rFonts w:ascii="Arial" w:hAnsi="Arial" w:cs="Arial"/>
        </w:rPr>
        <w:t>.</w:t>
      </w:r>
      <w:r w:rsidR="00020E4B" w:rsidRPr="00113364">
        <w:rPr>
          <w:rFonts w:ascii="Arial" w:hAnsi="Arial" w:cs="Arial"/>
        </w:rPr>
        <w:t xml:space="preserve"> Committee members utilized this profile </w:t>
      </w:r>
      <w:r w:rsidR="00D21C63" w:rsidRPr="00113364">
        <w:rPr>
          <w:rFonts w:ascii="Arial" w:hAnsi="Arial" w:cs="Arial"/>
        </w:rPr>
        <w:t>and other data such as the C</w:t>
      </w:r>
      <w:r w:rsidR="0024341F" w:rsidRPr="00113364">
        <w:rPr>
          <w:rFonts w:ascii="Arial" w:hAnsi="Arial" w:cs="Arial"/>
        </w:rPr>
        <w:t>alifornia</w:t>
      </w:r>
      <w:r w:rsidR="00D21C63" w:rsidRPr="00113364">
        <w:rPr>
          <w:rFonts w:ascii="Arial" w:hAnsi="Arial" w:cs="Arial"/>
        </w:rPr>
        <w:t xml:space="preserve"> Healthy Kids Survey </w:t>
      </w:r>
      <w:r w:rsidR="00020E4B" w:rsidRPr="00113364">
        <w:rPr>
          <w:rFonts w:ascii="Arial" w:hAnsi="Arial" w:cs="Arial"/>
        </w:rPr>
        <w:t xml:space="preserve">as they identified migratory student needs, or the gap between “what is” (i.e., migratory children and youth outcomes) and “what should be” (i.e., outcomes for all students). For areas in which data was limited, qualitative data was </w:t>
      </w:r>
      <w:r w:rsidR="00D21C63" w:rsidRPr="00113364">
        <w:rPr>
          <w:rFonts w:ascii="Arial" w:hAnsi="Arial" w:cs="Arial"/>
        </w:rPr>
        <w:t>collected,</w:t>
      </w:r>
      <w:r w:rsidR="00020E4B" w:rsidRPr="00113364">
        <w:rPr>
          <w:rFonts w:ascii="Arial" w:hAnsi="Arial" w:cs="Arial"/>
        </w:rPr>
        <w:t xml:space="preserve"> and the subcommittees </w:t>
      </w:r>
      <w:r w:rsidR="008B225F" w:rsidRPr="00113364">
        <w:rPr>
          <w:rFonts w:ascii="Arial" w:hAnsi="Arial" w:cs="Arial"/>
        </w:rPr>
        <w:t>did their best to identify an appropriate need as defined by OME’s toolkit.</w:t>
      </w:r>
    </w:p>
    <w:p w14:paraId="3A5AE703" w14:textId="7A9F49EE" w:rsidR="0087251D" w:rsidRPr="00113364" w:rsidRDefault="00556049" w:rsidP="00CB2C23">
      <w:pPr>
        <w:spacing w:before="240" w:after="240"/>
        <w:rPr>
          <w:rFonts w:ascii="Arial" w:hAnsi="Arial" w:cs="Arial"/>
        </w:rPr>
      </w:pPr>
      <w:r w:rsidRPr="00113364">
        <w:rPr>
          <w:rFonts w:ascii="Arial" w:hAnsi="Arial" w:cs="Arial"/>
        </w:rPr>
        <w:t xml:space="preserve">Furthermore, </w:t>
      </w:r>
      <w:r w:rsidR="00C52B3A" w:rsidRPr="00113364">
        <w:rPr>
          <w:rFonts w:ascii="Arial" w:hAnsi="Arial" w:cs="Arial"/>
        </w:rPr>
        <w:t>CNA</w:t>
      </w:r>
      <w:r w:rsidR="00EF410D" w:rsidRPr="00113364">
        <w:rPr>
          <w:rFonts w:ascii="Arial" w:hAnsi="Arial" w:cs="Arial"/>
        </w:rPr>
        <w:t xml:space="preserve"> </w:t>
      </w:r>
      <w:r w:rsidR="00452477" w:rsidRPr="00113364">
        <w:rPr>
          <w:rFonts w:ascii="Arial" w:hAnsi="Arial" w:cs="Arial"/>
        </w:rPr>
        <w:t>SDP</w:t>
      </w:r>
      <w:r w:rsidR="00C52B3A" w:rsidRPr="00113364">
        <w:rPr>
          <w:rFonts w:ascii="Arial" w:hAnsi="Arial" w:cs="Arial"/>
        </w:rPr>
        <w:t xml:space="preserve"> Committee members </w:t>
      </w:r>
      <w:r w:rsidRPr="00113364">
        <w:rPr>
          <w:rFonts w:ascii="Arial" w:hAnsi="Arial" w:cs="Arial"/>
        </w:rPr>
        <w:t xml:space="preserve">reviewed research on evidence-based strategies to support </w:t>
      </w:r>
      <w:r w:rsidR="004D4FC7" w:rsidRPr="00113364">
        <w:rPr>
          <w:rFonts w:ascii="Arial" w:hAnsi="Arial" w:cs="Arial"/>
        </w:rPr>
        <w:t>underserved</w:t>
      </w:r>
      <w:r w:rsidRPr="00113364">
        <w:rPr>
          <w:rFonts w:ascii="Arial" w:hAnsi="Arial" w:cs="Arial"/>
        </w:rPr>
        <w:t xml:space="preserve"> populations and the </w:t>
      </w:r>
      <w:r w:rsidR="00EE4E51" w:rsidRPr="00113364">
        <w:rPr>
          <w:rStyle w:val="Emphasis"/>
          <w:rFonts w:ascii="Arial" w:hAnsi="Arial" w:cs="Arial"/>
          <w:color w:val="333333"/>
        </w:rPr>
        <w:t>English Language Arts/English Language Development Framework for California Public Schools: Kindergarten Through Grade Twelve</w:t>
      </w:r>
      <w:r w:rsidR="00EE4E51" w:rsidRPr="00113364">
        <w:rPr>
          <w:rFonts w:ascii="Arial" w:hAnsi="Arial" w:cs="Arial"/>
          <w:color w:val="333333"/>
        </w:rPr>
        <w:t xml:space="preserve"> </w:t>
      </w:r>
      <w:r w:rsidR="00213C78" w:rsidRPr="00113364">
        <w:rPr>
          <w:rStyle w:val="FootnoteReference"/>
          <w:rFonts w:ascii="Arial" w:hAnsi="Arial" w:cs="Arial"/>
        </w:rPr>
        <w:footnoteReference w:id="8"/>
      </w:r>
      <w:r w:rsidRPr="00113364">
        <w:rPr>
          <w:rFonts w:ascii="Arial" w:hAnsi="Arial" w:cs="Arial"/>
        </w:rPr>
        <w:t xml:space="preserve"> and </w:t>
      </w:r>
      <w:r w:rsidR="00EE4E51" w:rsidRPr="00113364">
        <w:rPr>
          <w:rFonts w:ascii="Arial" w:hAnsi="Arial" w:cs="Arial"/>
        </w:rPr>
        <w:t xml:space="preserve">the </w:t>
      </w:r>
      <w:r w:rsidR="00EE4E51" w:rsidRPr="00113364">
        <w:rPr>
          <w:rStyle w:val="Emphasis"/>
          <w:rFonts w:ascii="Arial" w:hAnsi="Arial" w:cs="Arial"/>
          <w:color w:val="333333"/>
        </w:rPr>
        <w:t>Mathematics Framework for California Public Schools, K-12</w:t>
      </w:r>
      <w:r w:rsidR="00EE4E51" w:rsidRPr="00113364">
        <w:rPr>
          <w:rFonts w:ascii="Arial" w:hAnsi="Arial" w:cs="Arial"/>
          <w:color w:val="333333"/>
        </w:rPr>
        <w:t xml:space="preserve"> </w:t>
      </w:r>
      <w:r w:rsidR="00213C78" w:rsidRPr="00113364">
        <w:rPr>
          <w:rStyle w:val="FootnoteReference"/>
          <w:rFonts w:ascii="Arial" w:hAnsi="Arial" w:cs="Arial"/>
        </w:rPr>
        <w:footnoteReference w:id="9"/>
      </w:r>
      <w:r w:rsidR="0087251D" w:rsidRPr="00113364">
        <w:rPr>
          <w:rFonts w:ascii="Arial" w:hAnsi="Arial" w:cs="Arial"/>
        </w:rPr>
        <w:t xml:space="preserve"> </w:t>
      </w:r>
      <w:proofErr w:type="gramStart"/>
      <w:r w:rsidR="0087251D" w:rsidRPr="00113364">
        <w:rPr>
          <w:rFonts w:ascii="Arial" w:hAnsi="Arial" w:cs="Arial"/>
        </w:rPr>
        <w:t>in order to</w:t>
      </w:r>
      <w:proofErr w:type="gramEnd"/>
      <w:r w:rsidR="0087251D" w:rsidRPr="00113364">
        <w:rPr>
          <w:rFonts w:ascii="Arial" w:hAnsi="Arial" w:cs="Arial"/>
        </w:rPr>
        <w:t xml:space="preserve"> prioritize possible strategies to address the unique needs of migratory children. Throughout this process, </w:t>
      </w:r>
      <w:r w:rsidR="00C52B3A" w:rsidRPr="00113364">
        <w:rPr>
          <w:rFonts w:ascii="Arial" w:hAnsi="Arial" w:cs="Arial"/>
        </w:rPr>
        <w:t xml:space="preserve">committee members </w:t>
      </w:r>
      <w:r w:rsidR="0087251D" w:rsidRPr="00113364">
        <w:rPr>
          <w:rFonts w:ascii="Arial" w:hAnsi="Arial" w:cs="Arial"/>
        </w:rPr>
        <w:t>reflected on the following questions:</w:t>
      </w:r>
      <w:r w:rsidRPr="00113364">
        <w:rPr>
          <w:rFonts w:ascii="Arial" w:hAnsi="Arial" w:cs="Arial"/>
        </w:rPr>
        <w:t xml:space="preserve"> </w:t>
      </w:r>
    </w:p>
    <w:p w14:paraId="4C5D2FFC" w14:textId="238C7BAE" w:rsidR="0087251D" w:rsidRPr="00113364" w:rsidRDefault="0087251D">
      <w:pPr>
        <w:pStyle w:val="ListParagraph"/>
        <w:numPr>
          <w:ilvl w:val="0"/>
          <w:numId w:val="19"/>
        </w:numPr>
        <w:spacing w:after="240"/>
        <w:contextualSpacing w:val="0"/>
        <w:rPr>
          <w:rFonts w:ascii="Arial" w:hAnsi="Arial" w:cs="Arial"/>
        </w:rPr>
      </w:pPr>
      <w:r w:rsidRPr="00113364">
        <w:rPr>
          <w:rFonts w:ascii="Arial" w:hAnsi="Arial" w:cs="Arial"/>
        </w:rPr>
        <w:t>What evidence-ba</w:t>
      </w:r>
      <w:r w:rsidR="003D2B71" w:rsidRPr="00113364">
        <w:rPr>
          <w:rFonts w:ascii="Arial" w:hAnsi="Arial" w:cs="Arial"/>
        </w:rPr>
        <w:t>sed strategies and supports do</w:t>
      </w:r>
      <w:r w:rsidRPr="00113364">
        <w:rPr>
          <w:rFonts w:ascii="Arial" w:hAnsi="Arial" w:cs="Arial"/>
        </w:rPr>
        <w:t xml:space="preserve"> the research identify for this specific </w:t>
      </w:r>
      <w:r w:rsidR="00020E4B" w:rsidRPr="00113364">
        <w:rPr>
          <w:rFonts w:ascii="Arial" w:hAnsi="Arial" w:cs="Arial"/>
        </w:rPr>
        <w:t>need</w:t>
      </w:r>
      <w:r w:rsidRPr="00113364">
        <w:rPr>
          <w:rFonts w:ascii="Arial" w:hAnsi="Arial" w:cs="Arial"/>
        </w:rPr>
        <w:t>?</w:t>
      </w:r>
    </w:p>
    <w:p w14:paraId="23AFD359" w14:textId="77777777" w:rsidR="00020E4B" w:rsidRPr="00113364" w:rsidRDefault="0087251D">
      <w:pPr>
        <w:pStyle w:val="ListParagraph"/>
        <w:numPr>
          <w:ilvl w:val="0"/>
          <w:numId w:val="19"/>
        </w:numPr>
        <w:spacing w:after="240"/>
        <w:contextualSpacing w:val="0"/>
        <w:rPr>
          <w:rFonts w:ascii="Arial" w:hAnsi="Arial" w:cs="Arial"/>
        </w:rPr>
      </w:pPr>
      <w:r w:rsidRPr="00113364">
        <w:rPr>
          <w:rFonts w:ascii="Arial" w:hAnsi="Arial" w:cs="Arial"/>
        </w:rPr>
        <w:t xml:space="preserve">Has this been implemented in your region? </w:t>
      </w:r>
      <w:r w:rsidR="00020E4B" w:rsidRPr="00113364">
        <w:rPr>
          <w:rFonts w:ascii="Arial" w:hAnsi="Arial" w:cs="Arial"/>
        </w:rPr>
        <w:t>What possible challenges do you see with this strategy/support?</w:t>
      </w:r>
    </w:p>
    <w:p w14:paraId="7B79C915" w14:textId="1C6D349C" w:rsidR="00020E4B" w:rsidRPr="00113364" w:rsidRDefault="00020E4B">
      <w:pPr>
        <w:pStyle w:val="ListParagraph"/>
        <w:numPr>
          <w:ilvl w:val="0"/>
          <w:numId w:val="19"/>
        </w:numPr>
        <w:spacing w:after="240"/>
        <w:contextualSpacing w:val="0"/>
        <w:rPr>
          <w:rFonts w:ascii="Arial" w:hAnsi="Arial" w:cs="Arial"/>
        </w:rPr>
      </w:pPr>
      <w:r w:rsidRPr="00113364">
        <w:rPr>
          <w:rFonts w:ascii="Arial" w:hAnsi="Arial" w:cs="Arial"/>
        </w:rPr>
        <w:lastRenderedPageBreak/>
        <w:t>What should the CDE consider when constructing an evaluation plan for strategy implementation?</w:t>
      </w:r>
    </w:p>
    <w:p w14:paraId="586C1047" w14:textId="2E321F52" w:rsidR="00D85085" w:rsidRPr="00113364" w:rsidRDefault="00D85085" w:rsidP="00020E4B">
      <w:pPr>
        <w:spacing w:before="240" w:after="240"/>
        <w:rPr>
          <w:rFonts w:ascii="Arial" w:hAnsi="Arial" w:cs="Arial"/>
        </w:rPr>
      </w:pPr>
      <w:r w:rsidRPr="00EB6991">
        <w:rPr>
          <w:rFonts w:ascii="Arial" w:hAnsi="Arial" w:cs="Arial"/>
        </w:rPr>
        <w:t xml:space="preserve">Other needs not included in the </w:t>
      </w:r>
      <w:r w:rsidRPr="00EB6991">
        <w:rPr>
          <w:rFonts w:ascii="Arial" w:hAnsi="Arial" w:cs="Arial"/>
          <w:iCs/>
        </w:rPr>
        <w:t>Performance Targets, Service Delivery Strategies and M</w:t>
      </w:r>
      <w:r w:rsidR="001D2288">
        <w:rPr>
          <w:rFonts w:ascii="Arial" w:hAnsi="Arial" w:cs="Arial"/>
          <w:iCs/>
        </w:rPr>
        <w:t>PO</w:t>
      </w:r>
      <w:r w:rsidRPr="00EB6991">
        <w:rPr>
          <w:rFonts w:ascii="Arial" w:hAnsi="Arial" w:cs="Arial"/>
          <w:iCs/>
        </w:rPr>
        <w:t>s</w:t>
      </w:r>
      <w:r w:rsidRPr="00EB6991">
        <w:rPr>
          <w:rFonts w:ascii="Arial" w:hAnsi="Arial" w:cs="Arial"/>
        </w:rPr>
        <w:t xml:space="preserve"> section, are addressed in the </w:t>
      </w:r>
      <w:r w:rsidRPr="00EB6991">
        <w:rPr>
          <w:rFonts w:ascii="Arial" w:hAnsi="Arial" w:cs="Arial"/>
          <w:iCs/>
        </w:rPr>
        <w:t>Additional Considerations for Program Improvement</w:t>
      </w:r>
      <w:r w:rsidRPr="00EB6991">
        <w:rPr>
          <w:rFonts w:ascii="Arial" w:hAnsi="Arial" w:cs="Arial"/>
        </w:rPr>
        <w:t xml:space="preserve"> subsection of this report.</w:t>
      </w:r>
    </w:p>
    <w:p w14:paraId="0B420DC2" w14:textId="65325ECF" w:rsidR="00E35659" w:rsidRPr="00113364" w:rsidRDefault="006D6407" w:rsidP="00020E4B">
      <w:pPr>
        <w:spacing w:before="240" w:after="240"/>
        <w:rPr>
          <w:rFonts w:ascii="Arial" w:hAnsi="Arial" w:cs="Arial"/>
        </w:rPr>
      </w:pPr>
      <w:r w:rsidRPr="00113364">
        <w:rPr>
          <w:rFonts w:ascii="Arial" w:hAnsi="Arial" w:cs="Arial"/>
        </w:rPr>
        <w:t xml:space="preserve">The </w:t>
      </w:r>
      <w:r w:rsidR="00452477" w:rsidRPr="00113364">
        <w:rPr>
          <w:rFonts w:ascii="Arial" w:hAnsi="Arial" w:cs="Arial"/>
        </w:rPr>
        <w:t>SDP</w:t>
      </w:r>
      <w:r w:rsidRPr="00113364">
        <w:rPr>
          <w:rFonts w:ascii="Arial" w:hAnsi="Arial" w:cs="Arial"/>
        </w:rPr>
        <w:t xml:space="preserve"> strategies</w:t>
      </w:r>
      <w:r w:rsidR="003D2B71" w:rsidRPr="00113364">
        <w:rPr>
          <w:rFonts w:ascii="Arial" w:hAnsi="Arial" w:cs="Arial"/>
        </w:rPr>
        <w:t xml:space="preserve"> and </w:t>
      </w:r>
      <w:r w:rsidR="00EF10C5" w:rsidRPr="00113364">
        <w:rPr>
          <w:rFonts w:ascii="Arial" w:hAnsi="Arial" w:cs="Arial"/>
        </w:rPr>
        <w:t xml:space="preserve">evaluation </w:t>
      </w:r>
      <w:r w:rsidRPr="00113364">
        <w:rPr>
          <w:rFonts w:ascii="Arial" w:hAnsi="Arial" w:cs="Arial"/>
        </w:rPr>
        <w:t xml:space="preserve">will be discussed in the next chapter of this report. </w:t>
      </w:r>
      <w:r w:rsidR="00556049" w:rsidRPr="00113364">
        <w:rPr>
          <w:rFonts w:ascii="Arial" w:hAnsi="Arial" w:cs="Arial"/>
        </w:rPr>
        <w:t>T</w:t>
      </w:r>
      <w:r w:rsidR="00906FB1" w:rsidRPr="00113364">
        <w:rPr>
          <w:rFonts w:ascii="Arial" w:hAnsi="Arial" w:cs="Arial"/>
        </w:rPr>
        <w:t xml:space="preserve">he following </w:t>
      </w:r>
      <w:r w:rsidR="00FC6BB6" w:rsidRPr="00113364">
        <w:rPr>
          <w:rFonts w:ascii="Arial" w:hAnsi="Arial" w:cs="Arial"/>
        </w:rPr>
        <w:t>sections provide a high-level overview of the</w:t>
      </w:r>
      <w:r w:rsidR="00F062E2" w:rsidRPr="00113364">
        <w:rPr>
          <w:rFonts w:ascii="Arial" w:hAnsi="Arial" w:cs="Arial"/>
        </w:rPr>
        <w:t xml:space="preserve"> data </w:t>
      </w:r>
      <w:r w:rsidR="00C52B3A" w:rsidRPr="00113364">
        <w:rPr>
          <w:rFonts w:ascii="Arial" w:hAnsi="Arial" w:cs="Arial"/>
        </w:rPr>
        <w:t xml:space="preserve">the </w:t>
      </w:r>
      <w:r w:rsidR="004D4FC7" w:rsidRPr="00113364">
        <w:rPr>
          <w:rFonts w:ascii="Arial" w:hAnsi="Arial" w:cs="Arial"/>
        </w:rPr>
        <w:t>CNA SDP</w:t>
      </w:r>
      <w:r w:rsidR="00C52B3A" w:rsidRPr="00113364">
        <w:rPr>
          <w:rFonts w:ascii="Arial" w:hAnsi="Arial" w:cs="Arial"/>
        </w:rPr>
        <w:t xml:space="preserve"> Committee </w:t>
      </w:r>
      <w:r w:rsidR="00FC6BB6" w:rsidRPr="00113364">
        <w:rPr>
          <w:rFonts w:ascii="Arial" w:hAnsi="Arial" w:cs="Arial"/>
        </w:rPr>
        <w:t>selected to support the</w:t>
      </w:r>
      <w:r w:rsidR="00906FB1" w:rsidRPr="00113364">
        <w:rPr>
          <w:rFonts w:ascii="Arial" w:hAnsi="Arial" w:cs="Arial"/>
        </w:rPr>
        <w:t xml:space="preserve"> key</w:t>
      </w:r>
      <w:r w:rsidR="00776BE1" w:rsidRPr="00113364">
        <w:rPr>
          <w:rFonts w:ascii="Arial" w:hAnsi="Arial" w:cs="Arial"/>
        </w:rPr>
        <w:t xml:space="preserve"> decision</w:t>
      </w:r>
      <w:r w:rsidR="00906FB1" w:rsidRPr="00113364">
        <w:rPr>
          <w:rFonts w:ascii="Arial" w:hAnsi="Arial" w:cs="Arial"/>
        </w:rPr>
        <w:t xml:space="preserve">s for each of the </w:t>
      </w:r>
      <w:r w:rsidR="005F03B7" w:rsidRPr="00113364">
        <w:rPr>
          <w:rFonts w:ascii="Arial" w:hAnsi="Arial" w:cs="Arial"/>
        </w:rPr>
        <w:t>ten</w:t>
      </w:r>
      <w:r w:rsidR="00906FB1" w:rsidRPr="00113364">
        <w:rPr>
          <w:rFonts w:ascii="Arial" w:hAnsi="Arial" w:cs="Arial"/>
        </w:rPr>
        <w:t xml:space="preserve"> focus areas</w:t>
      </w:r>
      <w:r w:rsidR="00FC6BB6" w:rsidRPr="00113364">
        <w:rPr>
          <w:rFonts w:ascii="Arial" w:hAnsi="Arial" w:cs="Arial"/>
        </w:rPr>
        <w:t xml:space="preserve">. </w:t>
      </w:r>
      <w:r w:rsidR="0042789B" w:rsidRPr="00113364">
        <w:rPr>
          <w:rFonts w:ascii="Arial" w:hAnsi="Arial" w:cs="Arial"/>
        </w:rPr>
        <w:t>It was important</w:t>
      </w:r>
      <w:r w:rsidR="008721C2" w:rsidRPr="00113364">
        <w:rPr>
          <w:rFonts w:ascii="Arial" w:hAnsi="Arial" w:cs="Arial"/>
        </w:rPr>
        <w:t xml:space="preserve"> to the collaborative process that the CDE</w:t>
      </w:r>
      <w:r w:rsidR="0042789B" w:rsidRPr="00113364">
        <w:rPr>
          <w:rFonts w:ascii="Arial" w:hAnsi="Arial" w:cs="Arial"/>
        </w:rPr>
        <w:t xml:space="preserve"> maintain the authenticity of </w:t>
      </w:r>
      <w:r w:rsidR="00C52B3A" w:rsidRPr="00113364">
        <w:rPr>
          <w:rFonts w:ascii="Arial" w:hAnsi="Arial" w:cs="Arial"/>
        </w:rPr>
        <w:t xml:space="preserve">committee member </w:t>
      </w:r>
      <w:r w:rsidR="0042789B" w:rsidRPr="00113364">
        <w:rPr>
          <w:rFonts w:ascii="Arial" w:hAnsi="Arial" w:cs="Arial"/>
        </w:rPr>
        <w:t>responses; however, the CDE reformat</w:t>
      </w:r>
      <w:r w:rsidR="002759EF" w:rsidRPr="00113364">
        <w:rPr>
          <w:rFonts w:ascii="Arial" w:hAnsi="Arial" w:cs="Arial"/>
        </w:rPr>
        <w:t>ted</w:t>
      </w:r>
      <w:r w:rsidR="0042789B" w:rsidRPr="00113364">
        <w:rPr>
          <w:rFonts w:ascii="Arial" w:hAnsi="Arial" w:cs="Arial"/>
        </w:rPr>
        <w:t xml:space="preserve"> the data sections </w:t>
      </w:r>
      <w:r w:rsidR="00FC6BB6" w:rsidRPr="00113364">
        <w:rPr>
          <w:rFonts w:ascii="Arial" w:hAnsi="Arial" w:cs="Arial"/>
        </w:rPr>
        <w:t xml:space="preserve">to summarize key information. For a review of the complete CNA, please visit the CDE’s </w:t>
      </w:r>
      <w:hyperlink r:id="rId25" w:history="1">
        <w:r w:rsidR="00FC6BB6" w:rsidRPr="00113364">
          <w:rPr>
            <w:rStyle w:val="Hyperlink"/>
            <w:rFonts w:ascii="Arial" w:hAnsi="Arial" w:cs="Arial"/>
          </w:rPr>
          <w:t>Service Delivery Plan web page</w:t>
        </w:r>
      </w:hyperlink>
      <w:r w:rsidR="008721C2" w:rsidRPr="00113364">
        <w:rPr>
          <w:rFonts w:ascii="Arial" w:hAnsi="Arial" w:cs="Arial"/>
        </w:rPr>
        <w:t>.</w:t>
      </w:r>
    </w:p>
    <w:p w14:paraId="00168CE5" w14:textId="77777777" w:rsidR="00C0763C" w:rsidRPr="00113364" w:rsidRDefault="00906FB1" w:rsidP="003F0CBE">
      <w:pPr>
        <w:pStyle w:val="Heading3"/>
      </w:pPr>
      <w:bookmarkStart w:id="23" w:name="_Toc203568837"/>
      <w:r w:rsidRPr="00113364">
        <w:t>English Language A</w:t>
      </w:r>
      <w:r w:rsidR="00A858C1" w:rsidRPr="00113364">
        <w:t>rts</w:t>
      </w:r>
      <w:bookmarkEnd w:id="23"/>
    </w:p>
    <w:p w14:paraId="7C27D041" w14:textId="470FA6D8" w:rsidR="00B978C7" w:rsidRPr="00113364" w:rsidRDefault="00677C19" w:rsidP="00CB2C23">
      <w:pPr>
        <w:spacing w:after="240"/>
        <w:rPr>
          <w:rFonts w:ascii="Arial" w:hAnsi="Arial" w:cs="Arial"/>
        </w:rPr>
      </w:pPr>
      <w:r w:rsidRPr="00113364">
        <w:rPr>
          <w:rFonts w:ascii="Arial" w:eastAsia="Times New Roman" w:hAnsi="Arial" w:cs="Arial"/>
        </w:rPr>
        <w:t>T</w:t>
      </w:r>
      <w:r w:rsidR="005000B7" w:rsidRPr="00113364">
        <w:rPr>
          <w:rFonts w:ascii="Arial" w:eastAsia="Times New Roman" w:hAnsi="Arial" w:cs="Arial"/>
        </w:rPr>
        <w:t>he CNA</w:t>
      </w:r>
      <w:r w:rsidR="004D4FC7" w:rsidRPr="00113364">
        <w:rPr>
          <w:rFonts w:ascii="Arial" w:eastAsia="Times New Roman" w:hAnsi="Arial" w:cs="Arial"/>
        </w:rPr>
        <w:t xml:space="preserve"> </w:t>
      </w:r>
      <w:r w:rsidR="00452477" w:rsidRPr="00113364">
        <w:rPr>
          <w:rFonts w:ascii="Arial" w:eastAsia="Times New Roman" w:hAnsi="Arial" w:cs="Arial"/>
        </w:rPr>
        <w:t>SDP</w:t>
      </w:r>
      <w:r w:rsidR="005000B7" w:rsidRPr="00113364">
        <w:rPr>
          <w:rFonts w:ascii="Arial" w:eastAsia="Times New Roman" w:hAnsi="Arial" w:cs="Arial"/>
        </w:rPr>
        <w:t xml:space="preserve"> Committee </w:t>
      </w:r>
      <w:r w:rsidR="001C2B8D" w:rsidRPr="00113364">
        <w:rPr>
          <w:rFonts w:ascii="Arial" w:eastAsia="Times New Roman" w:hAnsi="Arial" w:cs="Arial"/>
        </w:rPr>
        <w:t>reviewed</w:t>
      </w:r>
      <w:r w:rsidR="005F03B7" w:rsidRPr="00113364">
        <w:rPr>
          <w:rFonts w:ascii="Arial" w:eastAsia="Times New Roman" w:hAnsi="Arial" w:cs="Arial"/>
        </w:rPr>
        <w:t xml:space="preserve"> the</w:t>
      </w:r>
      <w:r w:rsidR="003D2B71" w:rsidRPr="00113364">
        <w:rPr>
          <w:rFonts w:ascii="Arial" w:eastAsia="Times New Roman" w:hAnsi="Arial" w:cs="Arial"/>
        </w:rPr>
        <w:t xml:space="preserve"> </w:t>
      </w:r>
      <w:r w:rsidR="005000B7" w:rsidRPr="00113364">
        <w:rPr>
          <w:rFonts w:ascii="Arial" w:eastAsia="Times New Roman" w:hAnsi="Arial" w:cs="Arial"/>
        </w:rPr>
        <w:t xml:space="preserve">Smarter Balanced Assessment data to analyze while identifying </w:t>
      </w:r>
      <w:r w:rsidRPr="00113364">
        <w:rPr>
          <w:rFonts w:ascii="Arial" w:eastAsia="Times New Roman" w:hAnsi="Arial" w:cs="Arial"/>
        </w:rPr>
        <w:t xml:space="preserve">migratory student </w:t>
      </w:r>
      <w:r w:rsidR="005000B7" w:rsidRPr="00113364">
        <w:rPr>
          <w:rFonts w:ascii="Arial" w:eastAsia="Times New Roman" w:hAnsi="Arial" w:cs="Arial"/>
        </w:rPr>
        <w:t xml:space="preserve">needs </w:t>
      </w:r>
      <w:r w:rsidRPr="00113364">
        <w:rPr>
          <w:rFonts w:ascii="Arial" w:eastAsia="Times New Roman" w:hAnsi="Arial" w:cs="Arial"/>
        </w:rPr>
        <w:t>in</w:t>
      </w:r>
      <w:r w:rsidR="005000B7" w:rsidRPr="00113364">
        <w:rPr>
          <w:rFonts w:ascii="Arial" w:eastAsia="Times New Roman" w:hAnsi="Arial" w:cs="Arial"/>
        </w:rPr>
        <w:t xml:space="preserve"> ELA. </w:t>
      </w:r>
      <w:r w:rsidR="005F03B7" w:rsidRPr="00113364">
        <w:rPr>
          <w:rFonts w:ascii="Arial" w:eastAsia="Times New Roman" w:hAnsi="Arial" w:cs="Arial"/>
        </w:rPr>
        <w:t xml:space="preserve">The </w:t>
      </w:r>
      <w:r w:rsidR="00516387" w:rsidRPr="00113364">
        <w:rPr>
          <w:rFonts w:ascii="Arial" w:hAnsi="Arial" w:cs="Arial"/>
        </w:rPr>
        <w:t>California Assessment of Student Performance and Progress (CAASPP)</w:t>
      </w:r>
      <w:r w:rsidR="00B978C7" w:rsidRPr="00113364">
        <w:rPr>
          <w:rFonts w:ascii="Arial" w:eastAsia="Times New Roman" w:hAnsi="Arial" w:cs="Arial"/>
        </w:rPr>
        <w:t xml:space="preserve"> </w:t>
      </w:r>
      <w:r w:rsidR="00516387" w:rsidRPr="00113364">
        <w:rPr>
          <w:rFonts w:ascii="Arial" w:hAnsi="Arial" w:cs="Arial"/>
        </w:rPr>
        <w:t xml:space="preserve">Smarter Balanced </w:t>
      </w:r>
      <w:r w:rsidR="00B978C7" w:rsidRPr="00113364">
        <w:rPr>
          <w:rFonts w:ascii="Arial" w:hAnsi="Arial" w:cs="Arial"/>
        </w:rPr>
        <w:t xml:space="preserve">ELA and </w:t>
      </w:r>
      <w:r w:rsidR="00AD0D2B" w:rsidRPr="00113364">
        <w:rPr>
          <w:rFonts w:ascii="Arial" w:hAnsi="Arial" w:cs="Arial"/>
        </w:rPr>
        <w:t>m</w:t>
      </w:r>
      <w:r w:rsidR="00B978C7" w:rsidRPr="00113364">
        <w:rPr>
          <w:rFonts w:ascii="Arial" w:hAnsi="Arial" w:cs="Arial"/>
        </w:rPr>
        <w:t xml:space="preserve">athematics </w:t>
      </w:r>
      <w:r w:rsidR="006B2BB6" w:rsidRPr="00113364">
        <w:rPr>
          <w:rFonts w:ascii="Arial" w:hAnsi="Arial" w:cs="Arial"/>
        </w:rPr>
        <w:t xml:space="preserve">Summative </w:t>
      </w:r>
      <w:r w:rsidR="00516387" w:rsidRPr="00113364">
        <w:rPr>
          <w:rFonts w:ascii="Arial" w:hAnsi="Arial" w:cs="Arial"/>
        </w:rPr>
        <w:t>A</w:t>
      </w:r>
      <w:r w:rsidR="003D2B71" w:rsidRPr="00113364">
        <w:rPr>
          <w:rFonts w:ascii="Arial" w:hAnsi="Arial" w:cs="Arial"/>
        </w:rPr>
        <w:t>ssessments are aligned to</w:t>
      </w:r>
      <w:r w:rsidR="00B978C7" w:rsidRPr="00113364">
        <w:rPr>
          <w:rFonts w:ascii="Arial" w:hAnsi="Arial" w:cs="Arial"/>
        </w:rPr>
        <w:t xml:space="preserve"> California’s state-adopted </w:t>
      </w:r>
      <w:r w:rsidR="005F03B7" w:rsidRPr="00113364">
        <w:rPr>
          <w:rFonts w:ascii="Arial" w:hAnsi="Arial" w:cs="Arial"/>
        </w:rPr>
        <w:t>common core</w:t>
      </w:r>
      <w:r w:rsidR="00B978C7" w:rsidRPr="00113364">
        <w:rPr>
          <w:rFonts w:ascii="Arial" w:hAnsi="Arial" w:cs="Arial"/>
        </w:rPr>
        <w:t xml:space="preserve"> standards. The CAASPP </w:t>
      </w:r>
      <w:r w:rsidR="005F03B7" w:rsidRPr="00113364">
        <w:rPr>
          <w:rFonts w:ascii="Arial" w:hAnsi="Arial" w:cs="Arial"/>
        </w:rPr>
        <w:t>require</w:t>
      </w:r>
      <w:r w:rsidR="00B978C7" w:rsidRPr="00113364">
        <w:rPr>
          <w:rFonts w:ascii="Arial" w:hAnsi="Arial" w:cs="Arial"/>
        </w:rPr>
        <w:t xml:space="preserve">s students to demonstrate analytical writing, critical thinking, and </w:t>
      </w:r>
      <w:r w:rsidR="00F215B0" w:rsidRPr="00113364">
        <w:rPr>
          <w:rFonts w:ascii="Arial" w:hAnsi="Arial" w:cs="Arial"/>
        </w:rPr>
        <w:t>problem-solving</w:t>
      </w:r>
      <w:r w:rsidR="00B978C7" w:rsidRPr="00113364">
        <w:rPr>
          <w:rFonts w:ascii="Arial" w:hAnsi="Arial" w:cs="Arial"/>
        </w:rPr>
        <w:t xml:space="preserve"> skills </w:t>
      </w:r>
      <w:r w:rsidR="00960389" w:rsidRPr="00113364">
        <w:rPr>
          <w:rFonts w:ascii="Arial" w:hAnsi="Arial" w:cs="Arial"/>
        </w:rPr>
        <w:t xml:space="preserve">of </w:t>
      </w:r>
      <w:r w:rsidR="00B978C7" w:rsidRPr="00113364">
        <w:rPr>
          <w:rFonts w:ascii="Arial" w:hAnsi="Arial" w:cs="Arial"/>
        </w:rPr>
        <w:t>content knowledge in ELA.</w:t>
      </w:r>
      <w:r w:rsidR="00B978C7" w:rsidRPr="00113364">
        <w:rPr>
          <w:rStyle w:val="FootnoteReference"/>
          <w:rFonts w:ascii="Arial" w:hAnsi="Arial" w:cs="Arial"/>
        </w:rPr>
        <w:footnoteReference w:id="10"/>
      </w:r>
    </w:p>
    <w:p w14:paraId="1E6D4E1E" w14:textId="5A313AEF" w:rsidR="00B978C7" w:rsidRPr="00113364" w:rsidRDefault="00B978C7" w:rsidP="00B978C7">
      <w:pPr>
        <w:rPr>
          <w:rFonts w:ascii="Arial" w:hAnsi="Arial" w:cs="Arial"/>
        </w:rPr>
      </w:pPr>
      <w:r w:rsidRPr="00113364">
        <w:rPr>
          <w:rFonts w:ascii="Arial" w:hAnsi="Arial" w:cs="Arial"/>
        </w:rPr>
        <w:t xml:space="preserve">Student scores are reported on overall achievement and by claims that focus on specific knowledge and skills. </w:t>
      </w:r>
      <w:proofErr w:type="gramStart"/>
      <w:r w:rsidR="00FD119D">
        <w:rPr>
          <w:rFonts w:ascii="Arial" w:hAnsi="Arial" w:cs="Arial"/>
        </w:rPr>
        <w:t>O</w:t>
      </w:r>
      <w:r w:rsidRPr="00113364">
        <w:rPr>
          <w:rFonts w:ascii="Arial" w:hAnsi="Arial" w:cs="Arial"/>
        </w:rPr>
        <w:t>verall</w:t>
      </w:r>
      <w:proofErr w:type="gramEnd"/>
      <w:r w:rsidRPr="00113364">
        <w:rPr>
          <w:rFonts w:ascii="Arial" w:hAnsi="Arial" w:cs="Arial"/>
        </w:rPr>
        <w:t xml:space="preserve"> ELA </w:t>
      </w:r>
      <w:r w:rsidR="00D21C63" w:rsidRPr="00113364">
        <w:rPr>
          <w:rFonts w:ascii="Arial" w:hAnsi="Arial" w:cs="Arial"/>
        </w:rPr>
        <w:t>and</w:t>
      </w:r>
      <w:r w:rsidRPr="00113364">
        <w:rPr>
          <w:rFonts w:ascii="Arial" w:hAnsi="Arial" w:cs="Arial"/>
        </w:rPr>
        <w:t xml:space="preserve"> </w:t>
      </w:r>
      <w:r w:rsidR="00AD0D2B" w:rsidRPr="00113364">
        <w:rPr>
          <w:rFonts w:ascii="Arial" w:hAnsi="Arial" w:cs="Arial"/>
        </w:rPr>
        <w:t>m</w:t>
      </w:r>
      <w:r w:rsidR="00E7492F" w:rsidRPr="00113364">
        <w:rPr>
          <w:rFonts w:ascii="Arial" w:hAnsi="Arial" w:cs="Arial"/>
        </w:rPr>
        <w:t>athematics</w:t>
      </w:r>
      <w:r w:rsidRPr="00113364">
        <w:rPr>
          <w:rFonts w:ascii="Arial" w:hAnsi="Arial" w:cs="Arial"/>
        </w:rPr>
        <w:t xml:space="preserve"> </w:t>
      </w:r>
      <w:r w:rsidR="00AD0D2B" w:rsidRPr="00113364">
        <w:rPr>
          <w:rFonts w:ascii="Arial" w:hAnsi="Arial" w:cs="Arial"/>
        </w:rPr>
        <w:t>a</w:t>
      </w:r>
      <w:r w:rsidRPr="00113364">
        <w:rPr>
          <w:rFonts w:ascii="Arial" w:hAnsi="Arial" w:cs="Arial"/>
        </w:rPr>
        <w:t xml:space="preserve">chievement levels consist of </w:t>
      </w:r>
      <w:r w:rsidR="006B2BB6" w:rsidRPr="00113364">
        <w:rPr>
          <w:rFonts w:ascii="Arial" w:hAnsi="Arial" w:cs="Arial"/>
        </w:rPr>
        <w:t>l</w:t>
      </w:r>
      <w:r w:rsidRPr="00113364">
        <w:rPr>
          <w:rFonts w:ascii="Arial" w:hAnsi="Arial" w:cs="Arial"/>
        </w:rPr>
        <w:t>evel</w:t>
      </w:r>
      <w:r w:rsidR="00AD0D2B" w:rsidRPr="00113364">
        <w:rPr>
          <w:rFonts w:ascii="Arial" w:hAnsi="Arial" w:cs="Arial"/>
        </w:rPr>
        <w:t> </w:t>
      </w:r>
      <w:r w:rsidRPr="00113364">
        <w:rPr>
          <w:rFonts w:ascii="Arial" w:hAnsi="Arial" w:cs="Arial"/>
        </w:rPr>
        <w:t xml:space="preserve">1 – </w:t>
      </w:r>
      <w:r w:rsidR="006B2BB6" w:rsidRPr="00113364">
        <w:rPr>
          <w:rFonts w:ascii="Arial" w:hAnsi="Arial" w:cs="Arial"/>
        </w:rPr>
        <w:t>s</w:t>
      </w:r>
      <w:r w:rsidRPr="00113364">
        <w:rPr>
          <w:rFonts w:ascii="Arial" w:hAnsi="Arial" w:cs="Arial"/>
        </w:rPr>
        <w:t xml:space="preserve">tandard </w:t>
      </w:r>
      <w:r w:rsidR="006B2BB6" w:rsidRPr="00113364">
        <w:rPr>
          <w:rFonts w:ascii="Arial" w:hAnsi="Arial" w:cs="Arial"/>
        </w:rPr>
        <w:t>n</w:t>
      </w:r>
      <w:r w:rsidRPr="00113364">
        <w:rPr>
          <w:rFonts w:ascii="Arial" w:hAnsi="Arial" w:cs="Arial"/>
        </w:rPr>
        <w:t xml:space="preserve">ot </w:t>
      </w:r>
      <w:r w:rsidR="006B2BB6" w:rsidRPr="00113364">
        <w:rPr>
          <w:rFonts w:ascii="Arial" w:hAnsi="Arial" w:cs="Arial"/>
        </w:rPr>
        <w:t>m</w:t>
      </w:r>
      <w:r w:rsidRPr="00113364">
        <w:rPr>
          <w:rFonts w:ascii="Arial" w:hAnsi="Arial" w:cs="Arial"/>
        </w:rPr>
        <w:t xml:space="preserve">et, </w:t>
      </w:r>
      <w:r w:rsidR="006B2BB6" w:rsidRPr="00113364">
        <w:rPr>
          <w:rFonts w:ascii="Arial" w:hAnsi="Arial" w:cs="Arial"/>
        </w:rPr>
        <w:t>l</w:t>
      </w:r>
      <w:r w:rsidRPr="00113364">
        <w:rPr>
          <w:rFonts w:ascii="Arial" w:hAnsi="Arial" w:cs="Arial"/>
        </w:rPr>
        <w:t xml:space="preserve">evel 2 – </w:t>
      </w:r>
      <w:r w:rsidR="006B2BB6" w:rsidRPr="00113364">
        <w:rPr>
          <w:rFonts w:ascii="Arial" w:hAnsi="Arial" w:cs="Arial"/>
        </w:rPr>
        <w:t>s</w:t>
      </w:r>
      <w:r w:rsidRPr="00113364">
        <w:rPr>
          <w:rFonts w:ascii="Arial" w:hAnsi="Arial" w:cs="Arial"/>
        </w:rPr>
        <w:t xml:space="preserve">tandard </w:t>
      </w:r>
      <w:r w:rsidR="006B2BB6" w:rsidRPr="00113364">
        <w:rPr>
          <w:rFonts w:ascii="Arial" w:hAnsi="Arial" w:cs="Arial"/>
        </w:rPr>
        <w:t>n</w:t>
      </w:r>
      <w:r w:rsidRPr="00113364">
        <w:rPr>
          <w:rFonts w:ascii="Arial" w:hAnsi="Arial" w:cs="Arial"/>
        </w:rPr>
        <w:t xml:space="preserve">early </w:t>
      </w:r>
      <w:r w:rsidR="006B2BB6" w:rsidRPr="00113364">
        <w:rPr>
          <w:rFonts w:ascii="Arial" w:hAnsi="Arial" w:cs="Arial"/>
        </w:rPr>
        <w:t>m</w:t>
      </w:r>
      <w:r w:rsidRPr="00113364">
        <w:rPr>
          <w:rFonts w:ascii="Arial" w:hAnsi="Arial" w:cs="Arial"/>
        </w:rPr>
        <w:t xml:space="preserve">et, </w:t>
      </w:r>
      <w:r w:rsidR="006B2BB6" w:rsidRPr="00113364">
        <w:rPr>
          <w:rFonts w:ascii="Arial" w:hAnsi="Arial" w:cs="Arial"/>
        </w:rPr>
        <w:t>l</w:t>
      </w:r>
      <w:r w:rsidRPr="00113364">
        <w:rPr>
          <w:rFonts w:ascii="Arial" w:hAnsi="Arial" w:cs="Arial"/>
        </w:rPr>
        <w:t xml:space="preserve">evel 3 – </w:t>
      </w:r>
      <w:r w:rsidR="006B2BB6" w:rsidRPr="00113364">
        <w:rPr>
          <w:rFonts w:ascii="Arial" w:hAnsi="Arial" w:cs="Arial"/>
        </w:rPr>
        <w:t>s</w:t>
      </w:r>
      <w:r w:rsidRPr="00113364">
        <w:rPr>
          <w:rFonts w:ascii="Arial" w:hAnsi="Arial" w:cs="Arial"/>
        </w:rPr>
        <w:t xml:space="preserve">tandard </w:t>
      </w:r>
      <w:r w:rsidR="006B2BB6" w:rsidRPr="00113364">
        <w:rPr>
          <w:rFonts w:ascii="Arial" w:hAnsi="Arial" w:cs="Arial"/>
        </w:rPr>
        <w:t>m</w:t>
      </w:r>
      <w:r w:rsidRPr="00113364">
        <w:rPr>
          <w:rFonts w:ascii="Arial" w:hAnsi="Arial" w:cs="Arial"/>
        </w:rPr>
        <w:t>et</w:t>
      </w:r>
      <w:r w:rsidR="00960389" w:rsidRPr="00113364">
        <w:rPr>
          <w:rFonts w:ascii="Arial" w:hAnsi="Arial" w:cs="Arial"/>
        </w:rPr>
        <w:t>,</w:t>
      </w:r>
      <w:r w:rsidRPr="00113364">
        <w:rPr>
          <w:rFonts w:ascii="Arial" w:hAnsi="Arial" w:cs="Arial"/>
        </w:rPr>
        <w:t xml:space="preserve"> and </w:t>
      </w:r>
      <w:r w:rsidR="006B2BB6" w:rsidRPr="00113364">
        <w:rPr>
          <w:rFonts w:ascii="Arial" w:hAnsi="Arial" w:cs="Arial"/>
        </w:rPr>
        <w:t>l</w:t>
      </w:r>
      <w:r w:rsidRPr="00113364">
        <w:rPr>
          <w:rFonts w:ascii="Arial" w:hAnsi="Arial" w:cs="Arial"/>
        </w:rPr>
        <w:t xml:space="preserve">evel 4 – </w:t>
      </w:r>
      <w:r w:rsidR="006B2BB6" w:rsidRPr="00113364">
        <w:rPr>
          <w:rFonts w:ascii="Arial" w:hAnsi="Arial" w:cs="Arial"/>
        </w:rPr>
        <w:t>s</w:t>
      </w:r>
      <w:r w:rsidRPr="00113364">
        <w:rPr>
          <w:rFonts w:ascii="Arial" w:hAnsi="Arial" w:cs="Arial"/>
        </w:rPr>
        <w:t xml:space="preserve">tandard </w:t>
      </w:r>
      <w:r w:rsidR="006B2BB6" w:rsidRPr="00113364">
        <w:rPr>
          <w:rFonts w:ascii="Arial" w:hAnsi="Arial" w:cs="Arial"/>
        </w:rPr>
        <w:t>e</w:t>
      </w:r>
      <w:r w:rsidRPr="00113364">
        <w:rPr>
          <w:rFonts w:ascii="Arial" w:hAnsi="Arial" w:cs="Arial"/>
        </w:rPr>
        <w:t xml:space="preserve">xceeded. </w:t>
      </w:r>
    </w:p>
    <w:p w14:paraId="625AA9CA" w14:textId="77777777" w:rsidR="00B978C7" w:rsidRPr="00113364" w:rsidRDefault="00960389" w:rsidP="00CB2C23">
      <w:pPr>
        <w:spacing w:before="240" w:after="240"/>
        <w:rPr>
          <w:rFonts w:ascii="Arial" w:eastAsia="Times New Roman" w:hAnsi="Arial" w:cs="Arial"/>
        </w:rPr>
      </w:pPr>
      <w:r w:rsidRPr="00113364">
        <w:rPr>
          <w:rFonts w:ascii="Arial" w:hAnsi="Arial" w:cs="Arial"/>
        </w:rPr>
        <w:t>Students’ CAASPP scores are</w:t>
      </w:r>
      <w:r w:rsidR="00B978C7" w:rsidRPr="00113364">
        <w:rPr>
          <w:rFonts w:ascii="Arial" w:hAnsi="Arial" w:cs="Arial"/>
        </w:rPr>
        <w:t xml:space="preserve"> categorized by claims</w:t>
      </w:r>
      <w:r w:rsidR="005000B7" w:rsidRPr="00113364">
        <w:rPr>
          <w:rFonts w:ascii="Arial" w:hAnsi="Arial" w:cs="Arial"/>
        </w:rPr>
        <w:t>, which are broad, evidence-</w:t>
      </w:r>
      <w:r w:rsidR="00B978C7" w:rsidRPr="00113364">
        <w:rPr>
          <w:rFonts w:ascii="Arial" w:hAnsi="Arial" w:cs="Arial"/>
        </w:rPr>
        <w:t xml:space="preserve">based statements about </w:t>
      </w:r>
      <w:r w:rsidR="00B978C7" w:rsidRPr="00113364">
        <w:rPr>
          <w:rFonts w:ascii="Arial" w:eastAsia="Times New Roman" w:hAnsi="Arial" w:cs="Arial"/>
        </w:rPr>
        <w:t>what students know and can do</w:t>
      </w:r>
      <w:r w:rsidR="00677C19" w:rsidRPr="00113364">
        <w:rPr>
          <w:rFonts w:ascii="Arial" w:eastAsia="Times New Roman" w:hAnsi="Arial" w:cs="Arial"/>
        </w:rPr>
        <w:t xml:space="preserve"> in specific areas</w:t>
      </w:r>
      <w:r w:rsidR="00B978C7" w:rsidRPr="00113364">
        <w:rPr>
          <w:rFonts w:ascii="Arial" w:eastAsia="Times New Roman" w:hAnsi="Arial" w:cs="Arial"/>
        </w:rPr>
        <w:t>, as demonstrated by their performance on the assessment. The claims for ELA are:</w:t>
      </w:r>
    </w:p>
    <w:p w14:paraId="4B30A2DE" w14:textId="77777777" w:rsidR="00B978C7" w:rsidRPr="00113364" w:rsidRDefault="00B978C7">
      <w:pPr>
        <w:pStyle w:val="ListParagraph"/>
        <w:numPr>
          <w:ilvl w:val="0"/>
          <w:numId w:val="33"/>
        </w:numPr>
        <w:rPr>
          <w:rFonts w:ascii="Arial" w:hAnsi="Arial" w:cs="Arial"/>
        </w:rPr>
      </w:pPr>
      <w:r w:rsidRPr="00113364">
        <w:rPr>
          <w:rFonts w:ascii="Arial" w:hAnsi="Arial" w:cs="Arial"/>
        </w:rPr>
        <w:t>Claim 1 - Reading</w:t>
      </w:r>
    </w:p>
    <w:p w14:paraId="23E4FB7D" w14:textId="77777777" w:rsidR="00B978C7" w:rsidRPr="00113364" w:rsidRDefault="00B978C7">
      <w:pPr>
        <w:pStyle w:val="ListParagraph"/>
        <w:numPr>
          <w:ilvl w:val="0"/>
          <w:numId w:val="33"/>
        </w:numPr>
        <w:rPr>
          <w:rFonts w:ascii="Arial" w:hAnsi="Arial" w:cs="Arial"/>
        </w:rPr>
      </w:pPr>
      <w:r w:rsidRPr="00113364">
        <w:rPr>
          <w:rFonts w:ascii="Arial" w:hAnsi="Arial" w:cs="Arial"/>
        </w:rPr>
        <w:t>Claim 2 - Writing</w:t>
      </w:r>
    </w:p>
    <w:p w14:paraId="22909FE9" w14:textId="77777777" w:rsidR="00B978C7" w:rsidRPr="00113364" w:rsidRDefault="00B978C7">
      <w:pPr>
        <w:pStyle w:val="ListParagraph"/>
        <w:numPr>
          <w:ilvl w:val="0"/>
          <w:numId w:val="33"/>
        </w:numPr>
        <w:rPr>
          <w:rFonts w:ascii="Arial" w:hAnsi="Arial" w:cs="Arial"/>
        </w:rPr>
      </w:pPr>
      <w:r w:rsidRPr="00113364">
        <w:rPr>
          <w:rFonts w:ascii="Arial" w:hAnsi="Arial" w:cs="Arial"/>
        </w:rPr>
        <w:t>Claim 3 - Speaking and Listening</w:t>
      </w:r>
    </w:p>
    <w:p w14:paraId="21537BA6" w14:textId="77777777" w:rsidR="00B978C7" w:rsidRPr="00113364" w:rsidRDefault="00B978C7">
      <w:pPr>
        <w:pStyle w:val="ListParagraph"/>
        <w:numPr>
          <w:ilvl w:val="0"/>
          <w:numId w:val="33"/>
        </w:numPr>
        <w:rPr>
          <w:rFonts w:ascii="Arial" w:hAnsi="Arial" w:cs="Arial"/>
        </w:rPr>
      </w:pPr>
      <w:r w:rsidRPr="00113364">
        <w:rPr>
          <w:rFonts w:ascii="Arial" w:hAnsi="Arial" w:cs="Arial"/>
        </w:rPr>
        <w:t>Claim 4 - Research and Inquiry</w:t>
      </w:r>
    </w:p>
    <w:p w14:paraId="1ABB4628" w14:textId="0293479D" w:rsidR="00B978C7" w:rsidRPr="00113364" w:rsidRDefault="00AB2B4A" w:rsidP="00A07CF7">
      <w:pPr>
        <w:spacing w:before="240" w:after="240"/>
        <w:rPr>
          <w:rFonts w:ascii="Arial" w:hAnsi="Arial" w:cs="Arial"/>
        </w:rPr>
      </w:pPr>
      <w:proofErr w:type="gramStart"/>
      <w:r w:rsidRPr="00113364">
        <w:rPr>
          <w:rFonts w:ascii="Arial" w:hAnsi="Arial" w:cs="Arial"/>
        </w:rPr>
        <w:t>On the basis of</w:t>
      </w:r>
      <w:proofErr w:type="gramEnd"/>
      <w:r w:rsidR="00B978C7" w:rsidRPr="00113364">
        <w:rPr>
          <w:rFonts w:ascii="Arial" w:hAnsi="Arial" w:cs="Arial"/>
        </w:rPr>
        <w:t xml:space="preserve"> their assessment performance, students are assigned one of three claim achievement levels: </w:t>
      </w:r>
      <w:r w:rsidR="005F03B7" w:rsidRPr="00113364">
        <w:rPr>
          <w:rFonts w:ascii="Arial" w:hAnsi="Arial" w:cs="Arial"/>
        </w:rPr>
        <w:t>b</w:t>
      </w:r>
      <w:r w:rsidR="00B978C7" w:rsidRPr="00113364">
        <w:rPr>
          <w:rFonts w:ascii="Arial" w:hAnsi="Arial" w:cs="Arial"/>
        </w:rPr>
        <w:t xml:space="preserve">elow </w:t>
      </w:r>
      <w:r w:rsidR="005F03B7" w:rsidRPr="00113364">
        <w:rPr>
          <w:rFonts w:ascii="Arial" w:hAnsi="Arial" w:cs="Arial"/>
        </w:rPr>
        <w:t>s</w:t>
      </w:r>
      <w:r w:rsidR="00B978C7" w:rsidRPr="00113364">
        <w:rPr>
          <w:rFonts w:ascii="Arial" w:hAnsi="Arial" w:cs="Arial"/>
        </w:rPr>
        <w:t xml:space="preserve">tandard, </w:t>
      </w:r>
      <w:r w:rsidR="005F03B7" w:rsidRPr="00113364">
        <w:rPr>
          <w:rFonts w:ascii="Arial" w:hAnsi="Arial" w:cs="Arial"/>
        </w:rPr>
        <w:t>n</w:t>
      </w:r>
      <w:r w:rsidR="00B978C7" w:rsidRPr="00113364">
        <w:rPr>
          <w:rFonts w:ascii="Arial" w:hAnsi="Arial" w:cs="Arial"/>
        </w:rPr>
        <w:t xml:space="preserve">ear </w:t>
      </w:r>
      <w:r w:rsidR="005F03B7" w:rsidRPr="00113364">
        <w:rPr>
          <w:rFonts w:ascii="Arial" w:hAnsi="Arial" w:cs="Arial"/>
        </w:rPr>
        <w:t>s</w:t>
      </w:r>
      <w:r w:rsidR="00B978C7" w:rsidRPr="00113364">
        <w:rPr>
          <w:rFonts w:ascii="Arial" w:hAnsi="Arial" w:cs="Arial"/>
        </w:rPr>
        <w:t xml:space="preserve">tandard, or </w:t>
      </w:r>
      <w:r w:rsidR="005F03B7" w:rsidRPr="00113364">
        <w:rPr>
          <w:rFonts w:ascii="Arial" w:hAnsi="Arial" w:cs="Arial"/>
        </w:rPr>
        <w:t>a</w:t>
      </w:r>
      <w:r w:rsidR="00B978C7" w:rsidRPr="00113364">
        <w:rPr>
          <w:rFonts w:ascii="Arial" w:hAnsi="Arial" w:cs="Arial"/>
        </w:rPr>
        <w:t xml:space="preserve">bove </w:t>
      </w:r>
      <w:r w:rsidR="005F03B7" w:rsidRPr="00113364">
        <w:rPr>
          <w:rFonts w:ascii="Arial" w:hAnsi="Arial" w:cs="Arial"/>
        </w:rPr>
        <w:t>s</w:t>
      </w:r>
      <w:r w:rsidR="00B978C7" w:rsidRPr="00113364">
        <w:rPr>
          <w:rFonts w:ascii="Arial" w:hAnsi="Arial" w:cs="Arial"/>
        </w:rPr>
        <w:t>tandard.</w:t>
      </w:r>
      <w:r w:rsidR="00677C19" w:rsidRPr="00113364">
        <w:rPr>
          <w:rFonts w:ascii="Arial" w:hAnsi="Arial" w:cs="Arial"/>
        </w:rPr>
        <w:t xml:space="preserve"> All the </w:t>
      </w:r>
      <w:r w:rsidR="00D21C63" w:rsidRPr="00113364">
        <w:rPr>
          <w:rFonts w:ascii="Arial" w:hAnsi="Arial" w:cs="Arial"/>
        </w:rPr>
        <w:t>focus</w:t>
      </w:r>
      <w:r w:rsidR="00677C19" w:rsidRPr="00113364">
        <w:rPr>
          <w:rFonts w:ascii="Arial" w:hAnsi="Arial" w:cs="Arial"/>
        </w:rPr>
        <w:t xml:space="preserve"> areas, including the data summaries, concern statements</w:t>
      </w:r>
      <w:r w:rsidR="00960389" w:rsidRPr="00113364">
        <w:rPr>
          <w:rFonts w:ascii="Arial" w:hAnsi="Arial" w:cs="Arial"/>
        </w:rPr>
        <w:t>,</w:t>
      </w:r>
      <w:r w:rsidR="00677C19" w:rsidRPr="00113364">
        <w:rPr>
          <w:rFonts w:ascii="Arial" w:hAnsi="Arial" w:cs="Arial"/>
        </w:rPr>
        <w:t xml:space="preserve"> and ne</w:t>
      </w:r>
      <w:r w:rsidR="009A17F4" w:rsidRPr="00113364">
        <w:rPr>
          <w:rFonts w:ascii="Arial" w:hAnsi="Arial" w:cs="Arial"/>
        </w:rPr>
        <w:t xml:space="preserve">ed statements </w:t>
      </w:r>
      <w:r w:rsidR="007C549E" w:rsidRPr="00113364">
        <w:rPr>
          <w:rFonts w:ascii="Arial" w:hAnsi="Arial" w:cs="Arial"/>
        </w:rPr>
        <w:t>identified below</w:t>
      </w:r>
      <w:r w:rsidR="009A17F4" w:rsidRPr="00113364">
        <w:rPr>
          <w:rFonts w:ascii="Arial" w:hAnsi="Arial" w:cs="Arial"/>
        </w:rPr>
        <w:t>,</w:t>
      </w:r>
      <w:r w:rsidR="007C549E" w:rsidRPr="00113364">
        <w:rPr>
          <w:rFonts w:ascii="Arial" w:hAnsi="Arial" w:cs="Arial"/>
        </w:rPr>
        <w:t xml:space="preserve"> are based on the needs i</w:t>
      </w:r>
      <w:r w:rsidR="00EE4E51" w:rsidRPr="00113364">
        <w:rPr>
          <w:rFonts w:ascii="Arial" w:hAnsi="Arial" w:cs="Arial"/>
        </w:rPr>
        <w:t xml:space="preserve">dentified in the review of </w:t>
      </w:r>
      <w:r w:rsidR="00085B3E" w:rsidRPr="00113364">
        <w:rPr>
          <w:rFonts w:ascii="Arial" w:hAnsi="Arial" w:cs="Arial"/>
        </w:rPr>
        <w:t xml:space="preserve">both </w:t>
      </w:r>
      <w:r w:rsidR="00EB3164" w:rsidRPr="00113364">
        <w:rPr>
          <w:rFonts w:ascii="Arial" w:hAnsi="Arial" w:cs="Arial"/>
        </w:rPr>
        <w:t>longitudinal</w:t>
      </w:r>
      <w:r w:rsidR="00085B3E" w:rsidRPr="00113364">
        <w:rPr>
          <w:rFonts w:ascii="Arial" w:hAnsi="Arial" w:cs="Arial"/>
        </w:rPr>
        <w:t xml:space="preserve"> </w:t>
      </w:r>
      <w:r w:rsidR="007C549E" w:rsidRPr="00113364">
        <w:rPr>
          <w:rFonts w:ascii="Arial" w:hAnsi="Arial" w:cs="Arial"/>
        </w:rPr>
        <w:t>CAASPP data</w:t>
      </w:r>
      <w:r w:rsidR="00155745" w:rsidRPr="00113364">
        <w:rPr>
          <w:rFonts w:ascii="Arial" w:hAnsi="Arial" w:cs="Arial"/>
        </w:rPr>
        <w:t xml:space="preserve"> (i.e., 2017–18 through 2022–23)</w:t>
      </w:r>
      <w:r w:rsidR="00085B3E" w:rsidRPr="00113364">
        <w:rPr>
          <w:rFonts w:ascii="Arial" w:hAnsi="Arial" w:cs="Arial"/>
        </w:rPr>
        <w:t xml:space="preserve"> and data from the 2022–23 school year</w:t>
      </w:r>
      <w:r w:rsidR="007C549E" w:rsidRPr="00113364">
        <w:rPr>
          <w:rFonts w:ascii="Arial" w:hAnsi="Arial" w:cs="Arial"/>
        </w:rPr>
        <w:t>.</w:t>
      </w:r>
      <w:r w:rsidR="00155745" w:rsidRPr="00113364">
        <w:rPr>
          <w:rFonts w:ascii="Arial" w:hAnsi="Arial" w:cs="Arial"/>
        </w:rPr>
        <w:t xml:space="preserve"> </w:t>
      </w:r>
      <w:r w:rsidR="00155745" w:rsidRPr="00113364">
        <w:rPr>
          <w:rFonts w:ascii="Arial" w:hAnsi="Arial" w:cs="Arial"/>
        </w:rPr>
        <w:lastRenderedPageBreak/>
        <w:t>The CNA SDP Committee prioritized the needs in ELA for three areas: overall ELA achievement, reading achievement and writing achievement.</w:t>
      </w:r>
    </w:p>
    <w:p w14:paraId="1D7F1E83" w14:textId="6D97677C" w:rsidR="006143B6" w:rsidRPr="00113364" w:rsidRDefault="00D616D6" w:rsidP="00292C86">
      <w:pPr>
        <w:pStyle w:val="Heading4"/>
      </w:pPr>
      <w:r w:rsidRPr="00113364">
        <w:t>English Language Arts Focus Area</w:t>
      </w:r>
      <w:r w:rsidR="006143B6" w:rsidRPr="00113364">
        <w:t>: Overall Achievement</w:t>
      </w:r>
      <w:r w:rsidR="006143B6" w:rsidRPr="00113364">
        <w:rPr>
          <w:rStyle w:val="FootnoteReference"/>
          <w:rFonts w:cs="Arial"/>
          <w:b w:val="0"/>
        </w:rPr>
        <w:footnoteReference w:id="11"/>
      </w:r>
    </w:p>
    <w:p w14:paraId="297A718F" w14:textId="20DDDCDA" w:rsidR="00A07CF7" w:rsidRPr="00113364" w:rsidRDefault="00FC6BB6" w:rsidP="00FC6BB6">
      <w:pPr>
        <w:spacing w:after="240"/>
        <w:rPr>
          <w:rFonts w:ascii="Arial" w:hAnsi="Arial" w:cs="Arial"/>
        </w:rPr>
      </w:pPr>
      <w:r w:rsidRPr="00113364">
        <w:rPr>
          <w:rFonts w:ascii="Arial" w:hAnsi="Arial" w:cs="Arial"/>
        </w:rPr>
        <w:t>The committee</w:t>
      </w:r>
      <w:r w:rsidR="00155745" w:rsidRPr="00113364">
        <w:rPr>
          <w:rFonts w:ascii="Arial" w:hAnsi="Arial" w:cs="Arial"/>
        </w:rPr>
        <w:t xml:space="preserve"> first</w:t>
      </w:r>
      <w:r w:rsidRPr="00113364">
        <w:rPr>
          <w:rFonts w:ascii="Arial" w:hAnsi="Arial" w:cs="Arial"/>
        </w:rPr>
        <w:t xml:space="preserve"> prioritized </w:t>
      </w:r>
      <w:r w:rsidR="00155745" w:rsidRPr="00113364">
        <w:rPr>
          <w:rFonts w:ascii="Arial" w:hAnsi="Arial" w:cs="Arial"/>
        </w:rPr>
        <w:t xml:space="preserve">need in the ELA focus area was </w:t>
      </w:r>
      <w:r w:rsidRPr="00113364">
        <w:rPr>
          <w:rFonts w:ascii="Arial" w:hAnsi="Arial" w:cs="Arial"/>
        </w:rPr>
        <w:t>overall</w:t>
      </w:r>
      <w:r w:rsidR="00155745" w:rsidRPr="00113364">
        <w:rPr>
          <w:rFonts w:ascii="Arial" w:hAnsi="Arial" w:cs="Arial"/>
        </w:rPr>
        <w:t xml:space="preserve"> </w:t>
      </w:r>
      <w:r w:rsidRPr="00113364">
        <w:rPr>
          <w:rFonts w:ascii="Arial" w:hAnsi="Arial" w:cs="Arial"/>
        </w:rPr>
        <w:t>proficiency.</w:t>
      </w:r>
      <w:r w:rsidR="00155745" w:rsidRPr="00113364">
        <w:rPr>
          <w:rFonts w:ascii="Arial" w:hAnsi="Arial" w:cs="Arial"/>
        </w:rPr>
        <w:t xml:space="preserve"> Data illustrated a significant gap between migratory, migratory PFS, and all students in overall proficiency.</w:t>
      </w:r>
      <w:r w:rsidRPr="00113364">
        <w:rPr>
          <w:rFonts w:ascii="Arial" w:hAnsi="Arial" w:cs="Arial"/>
        </w:rPr>
        <w:t xml:space="preserve"> Table 4 includes a data summary as well as the concern and need statements for overall ELA achievement. </w:t>
      </w:r>
    </w:p>
    <w:p w14:paraId="30C240FC" w14:textId="535D3332" w:rsidR="001A6754" w:rsidRPr="00E671CF" w:rsidRDefault="00293BAF" w:rsidP="00E671CF">
      <w:pPr>
        <w:pStyle w:val="Heading5"/>
        <w:spacing w:after="0"/>
        <w:rPr>
          <w:b/>
          <w:bCs/>
          <w:i w:val="0"/>
          <w:iCs/>
          <w:sz w:val="24"/>
        </w:rPr>
      </w:pPr>
      <w:bookmarkStart w:id="24" w:name="_Toc204755340"/>
      <w:r w:rsidRPr="00E671CF">
        <w:rPr>
          <w:b/>
          <w:bCs/>
          <w:i w:val="0"/>
          <w:iCs/>
          <w:sz w:val="24"/>
        </w:rPr>
        <w:t xml:space="preserve">Table </w:t>
      </w:r>
      <w:r w:rsidR="00C46CA6" w:rsidRPr="00E671CF">
        <w:rPr>
          <w:b/>
          <w:bCs/>
          <w:i w:val="0"/>
          <w:iCs/>
          <w:sz w:val="24"/>
        </w:rPr>
        <w:fldChar w:fldCharType="begin"/>
      </w:r>
      <w:r w:rsidR="00C46CA6" w:rsidRPr="00E671CF">
        <w:rPr>
          <w:b/>
          <w:bCs/>
          <w:i w:val="0"/>
          <w:iCs/>
          <w:sz w:val="24"/>
        </w:rPr>
        <w:instrText xml:space="preserve"> SEQ Table \* ARABIC </w:instrText>
      </w:r>
      <w:r w:rsidR="00C46CA6" w:rsidRPr="00E671CF">
        <w:rPr>
          <w:b/>
          <w:bCs/>
          <w:i w:val="0"/>
          <w:iCs/>
          <w:sz w:val="24"/>
        </w:rPr>
        <w:fldChar w:fldCharType="separate"/>
      </w:r>
      <w:r w:rsidR="001362A0" w:rsidRPr="00E671CF">
        <w:rPr>
          <w:b/>
          <w:bCs/>
          <w:i w:val="0"/>
          <w:iCs/>
          <w:noProof/>
          <w:sz w:val="24"/>
        </w:rPr>
        <w:t>4</w:t>
      </w:r>
      <w:r w:rsidR="00C46CA6" w:rsidRPr="00E671CF">
        <w:rPr>
          <w:b/>
          <w:bCs/>
          <w:i w:val="0"/>
          <w:iCs/>
          <w:noProof/>
          <w:sz w:val="24"/>
        </w:rPr>
        <w:fldChar w:fldCharType="end"/>
      </w:r>
      <w:r w:rsidRPr="00E671CF">
        <w:rPr>
          <w:b/>
          <w:bCs/>
          <w:i w:val="0"/>
          <w:iCs/>
          <w:sz w:val="24"/>
        </w:rPr>
        <w:t>. Data Summary, Concern Statement</w:t>
      </w:r>
      <w:r w:rsidR="00960389" w:rsidRPr="00E671CF">
        <w:rPr>
          <w:b/>
          <w:bCs/>
          <w:i w:val="0"/>
          <w:iCs/>
          <w:sz w:val="24"/>
        </w:rPr>
        <w:t>,</w:t>
      </w:r>
      <w:r w:rsidRPr="00E671CF">
        <w:rPr>
          <w:b/>
          <w:bCs/>
          <w:i w:val="0"/>
          <w:iCs/>
          <w:sz w:val="24"/>
        </w:rPr>
        <w:t xml:space="preserve"> and Need Statement for Overall English Language Arts Achievement</w:t>
      </w:r>
      <w:bookmarkEnd w:id="24"/>
    </w:p>
    <w:tbl>
      <w:tblPr>
        <w:tblStyle w:val="GridTable4-Accent5"/>
        <w:tblpPr w:leftFromText="180" w:rightFromText="180" w:vertAnchor="text" w:horzAnchor="margin" w:tblpY="32"/>
        <w:tblW w:w="0" w:type="auto"/>
        <w:tblLook w:val="0420" w:firstRow="1" w:lastRow="0" w:firstColumn="0" w:lastColumn="0" w:noHBand="0" w:noVBand="1"/>
        <w:tblDescription w:val="Data Summary, Concern Statement, and Need Statement for Overall English Language Arts Achievement"/>
      </w:tblPr>
      <w:tblGrid>
        <w:gridCol w:w="4518"/>
        <w:gridCol w:w="2700"/>
        <w:gridCol w:w="2132"/>
      </w:tblGrid>
      <w:tr w:rsidR="001D4431" w:rsidRPr="00113364" w14:paraId="1A1B43D3" w14:textId="77777777" w:rsidTr="001D4431">
        <w:trPr>
          <w:cnfStyle w:val="100000000000" w:firstRow="1" w:lastRow="0" w:firstColumn="0" w:lastColumn="0" w:oddVBand="0" w:evenVBand="0" w:oddHBand="0" w:evenHBand="0" w:firstRowFirstColumn="0" w:firstRowLastColumn="0" w:lastRowFirstColumn="0" w:lastRowLastColumn="0"/>
          <w:cantSplit/>
          <w:tblHeader/>
        </w:trPr>
        <w:tc>
          <w:tcPr>
            <w:tcW w:w="4518" w:type="dxa"/>
            <w:tcBorders>
              <w:right w:val="single" w:sz="4" w:space="0" w:color="5B9BD5" w:themeColor="accent1"/>
            </w:tcBorders>
            <w:shd w:val="clear" w:color="auto" w:fill="1F3864" w:themeFill="accent5" w:themeFillShade="80"/>
            <w:vAlign w:val="center"/>
          </w:tcPr>
          <w:p w14:paraId="02A0AD27" w14:textId="77777777" w:rsidR="001D4431" w:rsidRPr="00113364" w:rsidRDefault="001D4431" w:rsidP="001D4431">
            <w:pPr>
              <w:jc w:val="center"/>
              <w:rPr>
                <w:rFonts w:ascii="Arial" w:hAnsi="Arial" w:cs="Arial"/>
                <w:b w:val="0"/>
                <w:color w:val="FFFFFF"/>
              </w:rPr>
            </w:pPr>
            <w:r w:rsidRPr="00113364">
              <w:rPr>
                <w:rFonts w:ascii="Arial" w:hAnsi="Arial" w:cs="Arial"/>
                <w:color w:val="FFFFFF"/>
              </w:rPr>
              <w:t>Data Summary:</w:t>
            </w:r>
          </w:p>
          <w:p w14:paraId="691F531C" w14:textId="77777777" w:rsidR="001D4431" w:rsidRPr="00113364" w:rsidRDefault="001D4431" w:rsidP="001D4431">
            <w:pPr>
              <w:jc w:val="center"/>
              <w:rPr>
                <w:color w:val="FFFFFF"/>
              </w:rPr>
            </w:pPr>
            <w:r w:rsidRPr="00113364">
              <w:rPr>
                <w:rFonts w:ascii="Arial" w:hAnsi="Arial" w:cs="Arial"/>
                <w:color w:val="FFFFFF"/>
              </w:rPr>
              <w:t>2022–23 CAASSP ELA Achievement</w:t>
            </w:r>
          </w:p>
        </w:tc>
        <w:tc>
          <w:tcPr>
            <w:tcW w:w="2700" w:type="dxa"/>
            <w:tcBorders>
              <w:left w:val="single" w:sz="4" w:space="0" w:color="5B9BD5" w:themeColor="accent1"/>
              <w:right w:val="single" w:sz="4" w:space="0" w:color="5B9BD5" w:themeColor="accent1"/>
            </w:tcBorders>
            <w:shd w:val="clear" w:color="auto" w:fill="1F3864" w:themeFill="accent5" w:themeFillShade="80"/>
            <w:vAlign w:val="center"/>
          </w:tcPr>
          <w:p w14:paraId="71C43DE0" w14:textId="77777777" w:rsidR="001D4431" w:rsidRPr="00113364" w:rsidRDefault="001D4431" w:rsidP="001D4431">
            <w:pPr>
              <w:jc w:val="center"/>
              <w:rPr>
                <w:color w:val="FFFFFF"/>
              </w:rPr>
            </w:pPr>
            <w:r w:rsidRPr="00113364">
              <w:rPr>
                <w:rFonts w:ascii="Arial" w:hAnsi="Arial" w:cs="Arial"/>
                <w:color w:val="FFFFFF"/>
              </w:rPr>
              <w:t>Concern Statement</w:t>
            </w:r>
          </w:p>
        </w:tc>
        <w:tc>
          <w:tcPr>
            <w:tcW w:w="2132" w:type="dxa"/>
            <w:tcBorders>
              <w:left w:val="single" w:sz="4" w:space="0" w:color="5B9BD5" w:themeColor="accent1"/>
            </w:tcBorders>
            <w:shd w:val="clear" w:color="auto" w:fill="1F3864" w:themeFill="accent5" w:themeFillShade="80"/>
            <w:vAlign w:val="center"/>
          </w:tcPr>
          <w:p w14:paraId="1086B004" w14:textId="77777777" w:rsidR="001D4431" w:rsidRPr="00113364" w:rsidRDefault="001D4431" w:rsidP="001D4431">
            <w:pPr>
              <w:jc w:val="center"/>
              <w:rPr>
                <w:color w:val="FFFFFF"/>
              </w:rPr>
            </w:pPr>
            <w:r w:rsidRPr="00113364">
              <w:rPr>
                <w:rFonts w:ascii="Arial" w:hAnsi="Arial" w:cs="Arial"/>
                <w:color w:val="FFFFFF"/>
              </w:rPr>
              <w:t>Need Statement</w:t>
            </w:r>
          </w:p>
        </w:tc>
      </w:tr>
      <w:tr w:rsidR="001D4431" w:rsidRPr="00113364" w14:paraId="651869B2" w14:textId="77777777" w:rsidTr="001D4431">
        <w:trPr>
          <w:cnfStyle w:val="000000100000" w:firstRow="0" w:lastRow="0" w:firstColumn="0" w:lastColumn="0" w:oddVBand="0" w:evenVBand="0" w:oddHBand="1" w:evenHBand="0" w:firstRowFirstColumn="0" w:firstRowLastColumn="0" w:lastRowFirstColumn="0" w:lastRowLastColumn="0"/>
          <w:cantSplit/>
        </w:trPr>
        <w:tc>
          <w:tcPr>
            <w:tcW w:w="4518" w:type="dxa"/>
          </w:tcPr>
          <w:p w14:paraId="2305BC3D" w14:textId="77777777" w:rsidR="001D4431" w:rsidRPr="00113364" w:rsidRDefault="001D4431">
            <w:pPr>
              <w:pStyle w:val="ListParagraph"/>
              <w:numPr>
                <w:ilvl w:val="0"/>
                <w:numId w:val="50"/>
              </w:numPr>
              <w:spacing w:after="160" w:line="259" w:lineRule="auto"/>
              <w:ind w:left="260" w:hanging="274"/>
              <w:contextualSpacing w:val="0"/>
              <w:rPr>
                <w:rFonts w:ascii="Arial" w:hAnsi="Arial" w:cs="Arial"/>
              </w:rPr>
            </w:pPr>
            <w:r w:rsidRPr="00113364">
              <w:rPr>
                <w:rFonts w:ascii="Arial" w:hAnsi="Arial" w:cs="Arial"/>
                <w:b/>
              </w:rPr>
              <w:t>Migratory Students:</w:t>
            </w:r>
            <w:r w:rsidRPr="00113364">
              <w:rPr>
                <w:rFonts w:ascii="Arial" w:hAnsi="Arial" w:cs="Arial"/>
              </w:rPr>
              <w:t xml:space="preserve"> 23.4 percent of migratory students were proficient </w:t>
            </w:r>
            <w:proofErr w:type="gramStart"/>
            <w:r w:rsidRPr="00113364">
              <w:rPr>
                <w:rFonts w:ascii="Arial" w:hAnsi="Arial" w:cs="Arial"/>
              </w:rPr>
              <w:t>on</w:t>
            </w:r>
            <w:proofErr w:type="gramEnd"/>
            <w:r w:rsidRPr="00113364">
              <w:rPr>
                <w:rFonts w:ascii="Arial" w:hAnsi="Arial" w:cs="Arial"/>
              </w:rPr>
              <w:t xml:space="preserve"> the Smarter Balanced Summative Assessment for ELA.</w:t>
            </w:r>
          </w:p>
          <w:p w14:paraId="2E1327AF" w14:textId="77777777" w:rsidR="001D4431" w:rsidRPr="00113364" w:rsidRDefault="001D4431">
            <w:pPr>
              <w:pStyle w:val="ListParagraph"/>
              <w:numPr>
                <w:ilvl w:val="0"/>
                <w:numId w:val="50"/>
              </w:numPr>
              <w:spacing w:after="160" w:line="259" w:lineRule="auto"/>
              <w:ind w:left="260" w:hanging="274"/>
              <w:contextualSpacing w:val="0"/>
              <w:rPr>
                <w:rFonts w:ascii="Arial" w:hAnsi="Arial" w:cs="Arial"/>
              </w:rPr>
            </w:pPr>
            <w:r w:rsidRPr="00113364">
              <w:rPr>
                <w:rFonts w:ascii="Arial" w:hAnsi="Arial" w:cs="Arial"/>
                <w:b/>
              </w:rPr>
              <w:t>Migratory PFS Students:</w:t>
            </w:r>
            <w:r w:rsidRPr="00113364">
              <w:rPr>
                <w:rFonts w:ascii="Arial" w:hAnsi="Arial" w:cs="Arial"/>
              </w:rPr>
              <w:t xml:space="preserve"> 15.4 percent of migratory PFS students were proficient </w:t>
            </w:r>
            <w:proofErr w:type="gramStart"/>
            <w:r w:rsidRPr="00113364">
              <w:rPr>
                <w:rFonts w:ascii="Arial" w:hAnsi="Arial" w:cs="Arial"/>
              </w:rPr>
              <w:t>on</w:t>
            </w:r>
            <w:proofErr w:type="gramEnd"/>
            <w:r w:rsidRPr="00113364">
              <w:rPr>
                <w:rFonts w:ascii="Arial" w:hAnsi="Arial" w:cs="Arial"/>
              </w:rPr>
              <w:t xml:space="preserve"> overall ELA achievement.</w:t>
            </w:r>
          </w:p>
          <w:p w14:paraId="2FE62EE8" w14:textId="77777777" w:rsidR="001D4431" w:rsidRPr="00113364" w:rsidRDefault="001D4431">
            <w:pPr>
              <w:pStyle w:val="ListParagraph"/>
              <w:numPr>
                <w:ilvl w:val="0"/>
                <w:numId w:val="50"/>
              </w:numPr>
              <w:spacing w:after="160" w:line="259" w:lineRule="auto"/>
              <w:ind w:left="260" w:hanging="274"/>
              <w:contextualSpacing w:val="0"/>
              <w:rPr>
                <w:rFonts w:ascii="Arial" w:hAnsi="Arial" w:cs="Arial"/>
              </w:rPr>
            </w:pPr>
            <w:r w:rsidRPr="00113364">
              <w:rPr>
                <w:rFonts w:ascii="Arial" w:hAnsi="Arial" w:cs="Arial"/>
                <w:b/>
              </w:rPr>
              <w:t>All Students:</w:t>
            </w:r>
            <w:r w:rsidRPr="00113364">
              <w:rPr>
                <w:rFonts w:ascii="Arial" w:hAnsi="Arial" w:cs="Arial"/>
              </w:rPr>
              <w:t xml:space="preserve"> 46.6 percent of all students were proficient </w:t>
            </w:r>
            <w:proofErr w:type="gramStart"/>
            <w:r w:rsidRPr="00113364">
              <w:rPr>
                <w:rFonts w:ascii="Arial" w:hAnsi="Arial" w:cs="Arial"/>
              </w:rPr>
              <w:t>on</w:t>
            </w:r>
            <w:proofErr w:type="gramEnd"/>
            <w:r w:rsidRPr="00113364">
              <w:rPr>
                <w:rFonts w:ascii="Arial" w:hAnsi="Arial" w:cs="Arial"/>
              </w:rPr>
              <w:t xml:space="preserve"> overall ELA achievement.</w:t>
            </w:r>
          </w:p>
        </w:tc>
        <w:tc>
          <w:tcPr>
            <w:tcW w:w="2700" w:type="dxa"/>
          </w:tcPr>
          <w:p w14:paraId="2CA234F4" w14:textId="77777777" w:rsidR="001D4431" w:rsidRPr="00113364" w:rsidRDefault="001D4431" w:rsidP="001D4431">
            <w:r w:rsidRPr="00113364">
              <w:rPr>
                <w:rFonts w:ascii="Arial" w:hAnsi="Arial" w:cs="Arial"/>
              </w:rPr>
              <w:t>We are concerned that in 2022–23 the achievement gap between migratory students and all students was 23.2 percent on the overall ELA standards.</w:t>
            </w:r>
          </w:p>
        </w:tc>
        <w:tc>
          <w:tcPr>
            <w:tcW w:w="2132" w:type="dxa"/>
          </w:tcPr>
          <w:p w14:paraId="65D630BB" w14:textId="77777777" w:rsidR="001D4431" w:rsidRPr="00113364" w:rsidRDefault="001D4431" w:rsidP="001D4431">
            <w:pPr>
              <w:rPr>
                <w:rFonts w:ascii="Arial" w:hAnsi="Arial" w:cs="Arial"/>
                <w:b/>
                <w:bCs/>
              </w:rPr>
            </w:pPr>
            <w:r w:rsidRPr="00113364">
              <w:rPr>
                <w:rFonts w:ascii="Arial" w:hAnsi="Arial" w:cs="Arial"/>
              </w:rPr>
              <w:t>Migratory students need to improve their proficiency on the overall ELA standards by an additional 23.2 percent.</w:t>
            </w:r>
          </w:p>
        </w:tc>
      </w:tr>
    </w:tbl>
    <w:p w14:paraId="392F1BA8" w14:textId="5666498E" w:rsidR="001D4431" w:rsidRPr="00113364" w:rsidRDefault="00330CD6" w:rsidP="001D4431">
      <w:pPr>
        <w:spacing w:before="240"/>
        <w:rPr>
          <w:rFonts w:ascii="Arial" w:hAnsi="Arial" w:cs="Arial"/>
        </w:rPr>
      </w:pPr>
      <w:r w:rsidRPr="00F01299">
        <w:rPr>
          <w:rFonts w:ascii="Arial" w:hAnsi="Arial" w:cs="Arial"/>
        </w:rPr>
        <w:t xml:space="preserve">Building foundational reading knowledge and skills such as phonological awareness and phonics increases fluency which in turn supports increased reading comprehension. </w:t>
      </w:r>
      <w:r w:rsidR="00D85085" w:rsidRPr="00F01299">
        <w:rPr>
          <w:rFonts w:ascii="Arial" w:hAnsi="Arial" w:cs="Arial"/>
        </w:rPr>
        <w:t>The CNA SDP Committee also identified specific needs within reading and writing. Overall</w:t>
      </w:r>
      <w:r w:rsidR="001D2288">
        <w:rPr>
          <w:rFonts w:ascii="Arial" w:hAnsi="Arial" w:cs="Arial"/>
        </w:rPr>
        <w:t>,</w:t>
      </w:r>
      <w:r w:rsidR="00D85085" w:rsidRPr="00F01299">
        <w:rPr>
          <w:rFonts w:ascii="Arial" w:hAnsi="Arial" w:cs="Arial"/>
        </w:rPr>
        <w:t xml:space="preserve"> ELA achievement will improve by increasing reading and/or writing; thus, it is appropriate to link the strategies to increase reading and writing achievement under the overall ELA achievement concern. This will reduce the reporting requirements for the CDE’s annual reports to subgrantees and specify what strategies subgrantees must implement for ELA services.</w:t>
      </w:r>
      <w:r w:rsidR="00D85085" w:rsidRPr="00113364">
        <w:rPr>
          <w:rFonts w:ascii="Arial" w:hAnsi="Arial" w:cs="Arial"/>
        </w:rPr>
        <w:t xml:space="preserve"> </w:t>
      </w:r>
      <w:r w:rsidRPr="00113364">
        <w:rPr>
          <w:rFonts w:ascii="Arial" w:hAnsi="Arial" w:cs="Arial"/>
        </w:rPr>
        <w:t>Information on the second prioritized need for ELA focused on reading achievement continues below.</w:t>
      </w:r>
    </w:p>
    <w:p w14:paraId="08842EAA" w14:textId="3D5DD0C2" w:rsidR="006143B6" w:rsidRPr="00113364" w:rsidRDefault="00D616D6" w:rsidP="00C6453E">
      <w:pPr>
        <w:pStyle w:val="Heading4"/>
      </w:pPr>
      <w:r w:rsidRPr="00113364">
        <w:lastRenderedPageBreak/>
        <w:t>English Language Arts Focus Area:</w:t>
      </w:r>
      <w:r w:rsidR="006143B6" w:rsidRPr="00113364">
        <w:t xml:space="preserve"> Claim 1 – Reading</w:t>
      </w:r>
      <w:r w:rsidR="001D4431" w:rsidRPr="00113364">
        <w:t xml:space="preserve"> Achievement</w:t>
      </w:r>
    </w:p>
    <w:p w14:paraId="7982C80B" w14:textId="53E858D7" w:rsidR="001D4431" w:rsidRPr="00113364" w:rsidRDefault="001D4431" w:rsidP="001D4431">
      <w:pPr>
        <w:spacing w:after="240"/>
        <w:rPr>
          <w:rFonts w:ascii="Arial" w:hAnsi="Arial" w:cs="Arial"/>
        </w:rPr>
      </w:pPr>
      <w:r w:rsidRPr="00113364">
        <w:rPr>
          <w:rFonts w:ascii="Arial" w:hAnsi="Arial" w:cs="Arial"/>
        </w:rPr>
        <w:t xml:space="preserve">Although the achievement gap between migratory, migratory PFS, and all students </w:t>
      </w:r>
      <w:r w:rsidR="00820E45" w:rsidRPr="00113364">
        <w:rPr>
          <w:rFonts w:ascii="Arial" w:hAnsi="Arial" w:cs="Arial"/>
        </w:rPr>
        <w:t>is not</w:t>
      </w:r>
      <w:r w:rsidRPr="00113364">
        <w:rPr>
          <w:rFonts w:ascii="Arial" w:hAnsi="Arial" w:cs="Arial"/>
        </w:rPr>
        <w:t xml:space="preserve"> as large </w:t>
      </w:r>
      <w:r w:rsidR="00EB6991">
        <w:rPr>
          <w:rFonts w:ascii="Arial" w:hAnsi="Arial" w:cs="Arial"/>
        </w:rPr>
        <w:t xml:space="preserve">as the overall gap </w:t>
      </w:r>
      <w:r w:rsidRPr="00113364">
        <w:rPr>
          <w:rFonts w:ascii="Arial" w:hAnsi="Arial" w:cs="Arial"/>
        </w:rPr>
        <w:t xml:space="preserve">on the Smarter Balanced Summative Assessment reading claim, the proficiency rates are </w:t>
      </w:r>
      <w:r w:rsidR="00F8713E">
        <w:rPr>
          <w:rFonts w:ascii="Arial" w:hAnsi="Arial" w:cs="Arial"/>
        </w:rPr>
        <w:t>significantly</w:t>
      </w:r>
      <w:r w:rsidRPr="00113364">
        <w:rPr>
          <w:rFonts w:ascii="Arial" w:hAnsi="Arial" w:cs="Arial"/>
        </w:rPr>
        <w:t xml:space="preserve"> low for all three student groups. </w:t>
      </w:r>
      <w:r w:rsidR="00D331F9" w:rsidRPr="00113364">
        <w:rPr>
          <w:rFonts w:ascii="Arial" w:hAnsi="Arial" w:cs="Arial"/>
        </w:rPr>
        <w:t xml:space="preserve">The </w:t>
      </w:r>
      <w:r w:rsidR="0078677C" w:rsidRPr="00113364">
        <w:rPr>
          <w:rFonts w:ascii="Arial" w:hAnsi="Arial" w:cs="Arial"/>
        </w:rPr>
        <w:t>s</w:t>
      </w:r>
      <w:r w:rsidR="00D331F9" w:rsidRPr="00113364">
        <w:rPr>
          <w:rFonts w:ascii="Arial" w:hAnsi="Arial" w:cs="Arial"/>
        </w:rPr>
        <w:t>ubcommittee focused on the most recent data to support the concern and need statements</w:t>
      </w:r>
      <w:r w:rsidR="00EB35A5" w:rsidRPr="00113364">
        <w:rPr>
          <w:rFonts w:ascii="Arial" w:hAnsi="Arial" w:cs="Arial"/>
        </w:rPr>
        <w:t xml:space="preserve"> as reading had the lowest proficiency for migratory and migratory PFS students</w:t>
      </w:r>
      <w:r w:rsidR="00D331F9" w:rsidRPr="00113364">
        <w:rPr>
          <w:rFonts w:ascii="Arial" w:hAnsi="Arial" w:cs="Arial"/>
        </w:rPr>
        <w:t xml:space="preserve">. </w:t>
      </w:r>
      <w:r w:rsidRPr="00113364">
        <w:rPr>
          <w:rFonts w:ascii="Arial" w:hAnsi="Arial" w:cs="Arial"/>
        </w:rPr>
        <w:t>Table 5 summarizes key data points from the CNA as well as the concern and need statement addressing reading achievement in the ELA focus area.</w:t>
      </w:r>
    </w:p>
    <w:p w14:paraId="51FED944" w14:textId="51FCF632" w:rsidR="009C48A3" w:rsidRPr="00113364" w:rsidRDefault="009C48A3" w:rsidP="00C6453E">
      <w:pPr>
        <w:pStyle w:val="Heading5"/>
        <w:spacing w:after="0"/>
        <w:rPr>
          <w:b/>
          <w:bCs/>
          <w:i w:val="0"/>
          <w:iCs/>
          <w:sz w:val="24"/>
        </w:rPr>
      </w:pPr>
      <w:bookmarkStart w:id="25" w:name="_Toc204755341"/>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5</w:t>
      </w:r>
      <w:r w:rsidR="00C46CA6" w:rsidRPr="00113364">
        <w:rPr>
          <w:b/>
          <w:bCs/>
          <w:i w:val="0"/>
          <w:iCs/>
          <w:noProof/>
          <w:sz w:val="24"/>
        </w:rPr>
        <w:fldChar w:fldCharType="end"/>
      </w:r>
      <w:r w:rsidRPr="00113364">
        <w:rPr>
          <w:b/>
          <w:bCs/>
          <w:i w:val="0"/>
          <w:iCs/>
          <w:sz w:val="24"/>
        </w:rPr>
        <w:t>. Data Summ</w:t>
      </w:r>
      <w:r w:rsidR="00960389" w:rsidRPr="00113364">
        <w:rPr>
          <w:b/>
          <w:bCs/>
          <w:i w:val="0"/>
          <w:iCs/>
          <w:sz w:val="24"/>
        </w:rPr>
        <w:t>ary, Concern Statement, and Need</w:t>
      </w:r>
      <w:r w:rsidRPr="00113364">
        <w:rPr>
          <w:b/>
          <w:bCs/>
          <w:i w:val="0"/>
          <w:iCs/>
          <w:sz w:val="24"/>
        </w:rPr>
        <w:t xml:space="preserve"> Statement for Claim 1 - Reading Achievement</w:t>
      </w:r>
      <w:bookmarkEnd w:id="25"/>
    </w:p>
    <w:tbl>
      <w:tblPr>
        <w:tblStyle w:val="GridTable4-Accent5"/>
        <w:tblpPr w:leftFromText="180" w:rightFromText="180" w:vertAnchor="text" w:horzAnchor="margin" w:tblpY="107"/>
        <w:tblW w:w="0" w:type="auto"/>
        <w:tblLook w:val="0420" w:firstRow="1" w:lastRow="0" w:firstColumn="0" w:lastColumn="0" w:noHBand="0" w:noVBand="1"/>
        <w:tblDescription w:val="Data Summary, Concern Statement, and Need Statement for Claim 1 - Reading Achievement"/>
      </w:tblPr>
      <w:tblGrid>
        <w:gridCol w:w="4477"/>
        <w:gridCol w:w="2559"/>
        <w:gridCol w:w="2314"/>
      </w:tblGrid>
      <w:tr w:rsidR="001D4431" w:rsidRPr="00113364" w14:paraId="614ABEC2" w14:textId="77777777" w:rsidTr="001D4431">
        <w:trPr>
          <w:cnfStyle w:val="100000000000" w:firstRow="1" w:lastRow="0" w:firstColumn="0" w:lastColumn="0" w:oddVBand="0" w:evenVBand="0" w:oddHBand="0" w:evenHBand="0" w:firstRowFirstColumn="0" w:firstRowLastColumn="0" w:lastRowFirstColumn="0" w:lastRowLastColumn="0"/>
          <w:cantSplit/>
          <w:tblHeader/>
        </w:trPr>
        <w:tc>
          <w:tcPr>
            <w:tcW w:w="4477" w:type="dxa"/>
            <w:tcBorders>
              <w:right w:val="single" w:sz="4" w:space="0" w:color="5B9BD5" w:themeColor="accent1"/>
            </w:tcBorders>
            <w:shd w:val="clear" w:color="auto" w:fill="1F3864" w:themeFill="accent5" w:themeFillShade="80"/>
          </w:tcPr>
          <w:p w14:paraId="41A918A1" w14:textId="77777777" w:rsidR="001D4431" w:rsidRPr="00113364" w:rsidRDefault="001D4431" w:rsidP="001D4431">
            <w:pPr>
              <w:jc w:val="center"/>
              <w:rPr>
                <w:color w:val="FFFFFF"/>
              </w:rPr>
            </w:pPr>
            <w:r w:rsidRPr="00113364">
              <w:rPr>
                <w:rFonts w:ascii="Arial" w:hAnsi="Arial" w:cs="Arial"/>
                <w:color w:val="FFFFFF"/>
              </w:rPr>
              <w:t>Data Summary: 2022–23 CAASSP Claim 1 – Reading</w:t>
            </w:r>
          </w:p>
        </w:tc>
        <w:tc>
          <w:tcPr>
            <w:tcW w:w="2559" w:type="dxa"/>
            <w:tcBorders>
              <w:left w:val="single" w:sz="4" w:space="0" w:color="5B9BD5" w:themeColor="accent1"/>
              <w:right w:val="single" w:sz="4" w:space="0" w:color="5B9BD5" w:themeColor="accent1"/>
            </w:tcBorders>
            <w:shd w:val="clear" w:color="auto" w:fill="1F3864" w:themeFill="accent5" w:themeFillShade="80"/>
            <w:vAlign w:val="center"/>
          </w:tcPr>
          <w:p w14:paraId="0F22A60B" w14:textId="77777777" w:rsidR="001D4431" w:rsidRPr="00113364" w:rsidRDefault="001D4431" w:rsidP="001D4431">
            <w:pPr>
              <w:jc w:val="center"/>
              <w:rPr>
                <w:color w:val="FFFFFF"/>
              </w:rPr>
            </w:pPr>
            <w:r w:rsidRPr="00113364">
              <w:rPr>
                <w:rFonts w:ascii="Arial" w:hAnsi="Arial" w:cs="Arial"/>
                <w:color w:val="FFFFFF"/>
              </w:rPr>
              <w:t>Concern Statement</w:t>
            </w:r>
          </w:p>
        </w:tc>
        <w:tc>
          <w:tcPr>
            <w:tcW w:w="2314" w:type="dxa"/>
            <w:tcBorders>
              <w:left w:val="single" w:sz="4" w:space="0" w:color="5B9BD5" w:themeColor="accent1"/>
            </w:tcBorders>
            <w:shd w:val="clear" w:color="auto" w:fill="1F3864" w:themeFill="accent5" w:themeFillShade="80"/>
            <w:vAlign w:val="center"/>
          </w:tcPr>
          <w:p w14:paraId="3F48A766" w14:textId="77777777" w:rsidR="001D4431" w:rsidRPr="00113364" w:rsidRDefault="001D4431" w:rsidP="001D4431">
            <w:pPr>
              <w:jc w:val="center"/>
              <w:rPr>
                <w:color w:val="FFFFFF"/>
              </w:rPr>
            </w:pPr>
            <w:r w:rsidRPr="00113364">
              <w:rPr>
                <w:rFonts w:ascii="Arial" w:hAnsi="Arial" w:cs="Arial"/>
                <w:color w:val="FFFFFF"/>
              </w:rPr>
              <w:t>Need Statement</w:t>
            </w:r>
          </w:p>
        </w:tc>
      </w:tr>
      <w:tr w:rsidR="001D4431" w:rsidRPr="00113364" w14:paraId="109022B8" w14:textId="77777777" w:rsidTr="001D4431">
        <w:trPr>
          <w:cnfStyle w:val="000000100000" w:firstRow="0" w:lastRow="0" w:firstColumn="0" w:lastColumn="0" w:oddVBand="0" w:evenVBand="0" w:oddHBand="1" w:evenHBand="0" w:firstRowFirstColumn="0" w:firstRowLastColumn="0" w:lastRowFirstColumn="0" w:lastRowLastColumn="0"/>
          <w:cantSplit/>
        </w:trPr>
        <w:tc>
          <w:tcPr>
            <w:tcW w:w="4477" w:type="dxa"/>
          </w:tcPr>
          <w:p w14:paraId="0B84F5FE" w14:textId="77777777" w:rsidR="001D4431" w:rsidRPr="00113364" w:rsidRDefault="001D4431" w:rsidP="001D4431">
            <w:pPr>
              <w:pStyle w:val="ListParagraph"/>
              <w:numPr>
                <w:ilvl w:val="0"/>
                <w:numId w:val="11"/>
              </w:numPr>
              <w:spacing w:after="120"/>
              <w:ind w:left="360"/>
              <w:contextualSpacing w:val="0"/>
              <w:rPr>
                <w:rFonts w:ascii="Arial" w:hAnsi="Arial" w:cs="Arial"/>
              </w:rPr>
            </w:pPr>
            <w:r w:rsidRPr="00113364">
              <w:rPr>
                <w:rFonts w:ascii="Arial" w:hAnsi="Arial" w:cs="Arial"/>
                <w:b/>
              </w:rPr>
              <w:t>Migratory Students:</w:t>
            </w:r>
            <w:r w:rsidRPr="00113364">
              <w:rPr>
                <w:rFonts w:ascii="Arial" w:hAnsi="Arial" w:cs="Arial"/>
              </w:rPr>
              <w:t xml:space="preserve"> 6.8 percent </w:t>
            </w:r>
            <w:proofErr w:type="gramStart"/>
            <w:r w:rsidRPr="00113364">
              <w:rPr>
                <w:rFonts w:ascii="Arial" w:hAnsi="Arial" w:cs="Arial"/>
              </w:rPr>
              <w:t>performed at</w:t>
            </w:r>
            <w:proofErr w:type="gramEnd"/>
            <w:r w:rsidRPr="00113364">
              <w:rPr>
                <w:rFonts w:ascii="Arial" w:hAnsi="Arial" w:cs="Arial"/>
              </w:rPr>
              <w:t xml:space="preserve"> above standard.</w:t>
            </w:r>
          </w:p>
          <w:p w14:paraId="06DDB8C4" w14:textId="77777777" w:rsidR="001D4431" w:rsidRPr="00113364" w:rsidRDefault="001D4431" w:rsidP="001D4431">
            <w:pPr>
              <w:pStyle w:val="ListParagraph"/>
              <w:numPr>
                <w:ilvl w:val="0"/>
                <w:numId w:val="11"/>
              </w:numPr>
              <w:spacing w:after="120"/>
              <w:ind w:left="360"/>
              <w:contextualSpacing w:val="0"/>
              <w:rPr>
                <w:rFonts w:ascii="Arial" w:hAnsi="Arial" w:cs="Arial"/>
              </w:rPr>
            </w:pPr>
            <w:r w:rsidRPr="00113364">
              <w:rPr>
                <w:rFonts w:ascii="Arial" w:hAnsi="Arial" w:cs="Arial"/>
                <w:b/>
              </w:rPr>
              <w:t>Migratory PFS Students:</w:t>
            </w:r>
            <w:r w:rsidRPr="00113364">
              <w:rPr>
                <w:rFonts w:ascii="Arial" w:hAnsi="Arial" w:cs="Arial"/>
              </w:rPr>
              <w:t xml:space="preserve"> 3.3 percent scored above standard.</w:t>
            </w:r>
          </w:p>
          <w:p w14:paraId="0305E01E" w14:textId="77777777" w:rsidR="001D4431" w:rsidRPr="00113364" w:rsidRDefault="001D4431" w:rsidP="001D4431">
            <w:pPr>
              <w:pStyle w:val="ListParagraph"/>
              <w:numPr>
                <w:ilvl w:val="0"/>
                <w:numId w:val="11"/>
              </w:numPr>
              <w:spacing w:after="120"/>
              <w:ind w:left="360"/>
              <w:contextualSpacing w:val="0"/>
              <w:rPr>
                <w:rFonts w:ascii="Arial" w:hAnsi="Arial" w:cs="Arial"/>
              </w:rPr>
            </w:pPr>
            <w:r w:rsidRPr="00113364">
              <w:rPr>
                <w:rFonts w:ascii="Arial" w:hAnsi="Arial" w:cs="Arial"/>
                <w:b/>
              </w:rPr>
              <w:t>All Students:</w:t>
            </w:r>
            <w:r w:rsidRPr="00113364">
              <w:rPr>
                <w:rFonts w:ascii="Arial" w:hAnsi="Arial" w:cs="Arial"/>
              </w:rPr>
              <w:t xml:space="preserve"> 18.7 percent </w:t>
            </w:r>
            <w:proofErr w:type="gramStart"/>
            <w:r w:rsidRPr="00113364">
              <w:rPr>
                <w:rFonts w:ascii="Arial" w:hAnsi="Arial" w:cs="Arial"/>
              </w:rPr>
              <w:t>scored at</w:t>
            </w:r>
            <w:proofErr w:type="gramEnd"/>
            <w:r w:rsidRPr="00113364">
              <w:rPr>
                <w:rFonts w:ascii="Arial" w:hAnsi="Arial" w:cs="Arial"/>
              </w:rPr>
              <w:t xml:space="preserve"> above standard.</w:t>
            </w:r>
          </w:p>
          <w:p w14:paraId="1373991F" w14:textId="77777777" w:rsidR="001D4431" w:rsidRPr="00113364" w:rsidRDefault="001D4431" w:rsidP="001D4431">
            <w:pPr>
              <w:pStyle w:val="ListParagraph"/>
              <w:numPr>
                <w:ilvl w:val="0"/>
                <w:numId w:val="11"/>
              </w:numPr>
              <w:spacing w:after="120"/>
              <w:ind w:left="360"/>
              <w:contextualSpacing w:val="0"/>
              <w:rPr>
                <w:rFonts w:ascii="Arial" w:hAnsi="Arial" w:cs="Arial"/>
              </w:rPr>
            </w:pPr>
            <w:r w:rsidRPr="00113364">
              <w:rPr>
                <w:rFonts w:ascii="Arial" w:hAnsi="Arial" w:cs="Arial"/>
              </w:rPr>
              <w:t>The gap between migratory and all students who performed above standard is 11.9 percentage points.</w:t>
            </w:r>
          </w:p>
          <w:p w14:paraId="54C5F2E9" w14:textId="77777777" w:rsidR="001D4431" w:rsidRPr="00113364" w:rsidRDefault="001D4431" w:rsidP="001D4431">
            <w:pPr>
              <w:pStyle w:val="ListParagraph"/>
              <w:numPr>
                <w:ilvl w:val="0"/>
                <w:numId w:val="11"/>
              </w:numPr>
              <w:spacing w:after="120"/>
              <w:ind w:left="360"/>
              <w:contextualSpacing w:val="0"/>
              <w:rPr>
                <w:rFonts w:ascii="Arial" w:hAnsi="Arial" w:cs="Arial"/>
              </w:rPr>
            </w:pPr>
            <w:r w:rsidRPr="00113364">
              <w:rPr>
                <w:rFonts w:ascii="Arial" w:hAnsi="Arial" w:cs="Arial"/>
              </w:rPr>
              <w:t>The gap between migratory PFS and all students who scored at above standard was 15.4 percentage points in 2022–23.</w:t>
            </w:r>
          </w:p>
        </w:tc>
        <w:tc>
          <w:tcPr>
            <w:tcW w:w="2559" w:type="dxa"/>
          </w:tcPr>
          <w:p w14:paraId="4904AB69" w14:textId="77777777" w:rsidR="001D4431" w:rsidRPr="00113364" w:rsidRDefault="001D4431" w:rsidP="001D4431">
            <w:pPr>
              <w:ind w:left="-20"/>
              <w:rPr>
                <w:rFonts w:ascii="Arial" w:hAnsi="Arial" w:cs="Arial"/>
              </w:rPr>
            </w:pPr>
            <w:r w:rsidRPr="00113364">
              <w:rPr>
                <w:rFonts w:ascii="Arial" w:hAnsi="Arial" w:cs="Arial"/>
              </w:rPr>
              <w:t>We are concerned that in 2022–23 only 6.8 percent of migratory students met or exceeded the standard for the reading claim compared to 18.7 percent of all students demonstrating a gap of 11.9 percent.</w:t>
            </w:r>
          </w:p>
        </w:tc>
        <w:tc>
          <w:tcPr>
            <w:tcW w:w="2314" w:type="dxa"/>
          </w:tcPr>
          <w:p w14:paraId="5330C205" w14:textId="77777777" w:rsidR="001D4431" w:rsidRPr="00113364" w:rsidRDefault="001D4431" w:rsidP="001D4431">
            <w:pPr>
              <w:ind w:left="-20"/>
              <w:rPr>
                <w:rFonts w:ascii="Arial" w:hAnsi="Arial" w:cs="Arial"/>
              </w:rPr>
            </w:pPr>
            <w:bookmarkStart w:id="26" w:name="_Hlk178602367"/>
            <w:r w:rsidRPr="00113364">
              <w:rPr>
                <w:rFonts w:ascii="Arial" w:hAnsi="Arial" w:cs="Arial"/>
              </w:rPr>
              <w:t>Migratory students need to increase their proficiency on the CAASPP ELA Reading Claim by an additional 11.9 percent.</w:t>
            </w:r>
            <w:bookmarkEnd w:id="26"/>
          </w:p>
        </w:tc>
      </w:tr>
    </w:tbl>
    <w:p w14:paraId="78261A8D" w14:textId="3004C8AB" w:rsidR="001D4431" w:rsidRPr="00113364" w:rsidRDefault="00D331F9" w:rsidP="001D4431">
      <w:pPr>
        <w:spacing w:before="240" w:after="240"/>
        <w:rPr>
          <w:rFonts w:ascii="Arial" w:hAnsi="Arial" w:cs="Arial"/>
        </w:rPr>
      </w:pPr>
      <w:r w:rsidRPr="00113364">
        <w:rPr>
          <w:rFonts w:ascii="Arial" w:hAnsi="Arial" w:cs="Arial"/>
        </w:rPr>
        <w:t>The last prioritized need for the focus area has very similar data to the reading claim. While the reading claim saw the lowest proficiency levels for migratory PFS students</w:t>
      </w:r>
      <w:r w:rsidR="00EB35A5" w:rsidRPr="00113364">
        <w:rPr>
          <w:rFonts w:ascii="Arial" w:hAnsi="Arial" w:cs="Arial"/>
        </w:rPr>
        <w:t xml:space="preserve">, writing illustrated the second lowest proficiency rate for migratory PFS students. Proficiency </w:t>
      </w:r>
      <w:r w:rsidR="006D4B12" w:rsidRPr="00113364">
        <w:rPr>
          <w:rFonts w:ascii="Arial" w:hAnsi="Arial" w:cs="Arial"/>
        </w:rPr>
        <w:t xml:space="preserve">remained at just under seven percent </w:t>
      </w:r>
      <w:r w:rsidR="00EB35A5" w:rsidRPr="00113364">
        <w:rPr>
          <w:rFonts w:ascii="Arial" w:hAnsi="Arial" w:cs="Arial"/>
        </w:rPr>
        <w:t xml:space="preserve">for migratory students </w:t>
      </w:r>
      <w:r w:rsidR="006D4B12" w:rsidRPr="00113364">
        <w:rPr>
          <w:rFonts w:ascii="Arial" w:hAnsi="Arial" w:cs="Arial"/>
        </w:rPr>
        <w:t>in both reading and writing in 2022–23.</w:t>
      </w:r>
    </w:p>
    <w:p w14:paraId="6F56122E" w14:textId="60DCBB96" w:rsidR="006143B6" w:rsidRPr="00113364" w:rsidRDefault="007055EF" w:rsidP="00C6453E">
      <w:pPr>
        <w:pStyle w:val="Heading4"/>
      </w:pPr>
      <w:r w:rsidRPr="00113364">
        <w:t>English Language Arts Focus Area:</w:t>
      </w:r>
      <w:r w:rsidR="006143B6" w:rsidRPr="00113364">
        <w:t xml:space="preserve"> Claim 2 – Writing</w:t>
      </w:r>
    </w:p>
    <w:p w14:paraId="1F854352" w14:textId="60E6B40D" w:rsidR="006D4B12" w:rsidRPr="00113364" w:rsidRDefault="006D4B12" w:rsidP="006D4B12">
      <w:pPr>
        <w:spacing w:after="240"/>
        <w:rPr>
          <w:rFonts w:ascii="Arial" w:hAnsi="Arial" w:cs="Arial"/>
        </w:rPr>
      </w:pPr>
      <w:r w:rsidRPr="00113364">
        <w:rPr>
          <w:rFonts w:ascii="Arial" w:hAnsi="Arial" w:cs="Arial"/>
        </w:rPr>
        <w:t>Most focus areas had two prioritized needs, but the CNA SDP Committee</w:t>
      </w:r>
      <w:r w:rsidR="00AC7BBF" w:rsidRPr="00113364">
        <w:rPr>
          <w:rFonts w:ascii="Arial" w:hAnsi="Arial" w:cs="Arial"/>
        </w:rPr>
        <w:t xml:space="preserve"> felt that three needs were warranted given the data. The committee</w:t>
      </w:r>
      <w:r w:rsidRPr="00113364">
        <w:rPr>
          <w:rFonts w:ascii="Arial" w:hAnsi="Arial" w:cs="Arial"/>
        </w:rPr>
        <w:t xml:space="preserve"> selected writing for the third prioritized need in ELA. </w:t>
      </w:r>
      <w:r w:rsidR="00AC7BBF" w:rsidRPr="00113364">
        <w:rPr>
          <w:rFonts w:ascii="Arial" w:hAnsi="Arial" w:cs="Arial"/>
        </w:rPr>
        <w:t>A summary of the data and the concern and need statements are detailed in table 6.</w:t>
      </w:r>
    </w:p>
    <w:p w14:paraId="54045A02" w14:textId="4F891937" w:rsidR="009C48A3" w:rsidRPr="00113364" w:rsidRDefault="009C48A3" w:rsidP="00C6453E">
      <w:pPr>
        <w:pStyle w:val="Heading5"/>
        <w:spacing w:after="0"/>
        <w:rPr>
          <w:b/>
          <w:bCs/>
          <w:i w:val="0"/>
          <w:iCs/>
          <w:sz w:val="24"/>
        </w:rPr>
      </w:pPr>
      <w:bookmarkStart w:id="27" w:name="_Toc204755342"/>
      <w:r w:rsidRPr="00113364">
        <w:rPr>
          <w:b/>
          <w:bCs/>
          <w:i w:val="0"/>
          <w:iCs/>
          <w:sz w:val="24"/>
        </w:rPr>
        <w:lastRenderedPageBreak/>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6</w:t>
      </w:r>
      <w:r w:rsidR="00C46CA6" w:rsidRPr="00113364">
        <w:rPr>
          <w:b/>
          <w:bCs/>
          <w:i w:val="0"/>
          <w:iCs/>
          <w:noProof/>
          <w:sz w:val="24"/>
        </w:rPr>
        <w:fldChar w:fldCharType="end"/>
      </w:r>
      <w:r w:rsidRPr="00113364">
        <w:rPr>
          <w:b/>
          <w:bCs/>
          <w:i w:val="0"/>
          <w:iCs/>
          <w:sz w:val="24"/>
        </w:rPr>
        <w:t>. Data Summary, Concern Statement</w:t>
      </w:r>
      <w:r w:rsidR="00960389" w:rsidRPr="00113364">
        <w:rPr>
          <w:b/>
          <w:bCs/>
          <w:i w:val="0"/>
          <w:iCs/>
          <w:sz w:val="24"/>
        </w:rPr>
        <w:t>, and Need</w:t>
      </w:r>
      <w:r w:rsidRPr="00113364">
        <w:rPr>
          <w:b/>
          <w:bCs/>
          <w:i w:val="0"/>
          <w:iCs/>
          <w:sz w:val="24"/>
        </w:rPr>
        <w:t xml:space="preserve"> Statement for Claim 2 </w:t>
      </w:r>
      <w:r w:rsidR="00D7247F" w:rsidRPr="00113364">
        <w:rPr>
          <w:b/>
          <w:bCs/>
          <w:i w:val="0"/>
          <w:iCs/>
          <w:sz w:val="24"/>
        </w:rPr>
        <w:t>–</w:t>
      </w:r>
      <w:r w:rsidRPr="00113364">
        <w:rPr>
          <w:b/>
          <w:bCs/>
          <w:i w:val="0"/>
          <w:iCs/>
          <w:sz w:val="24"/>
        </w:rPr>
        <w:t xml:space="preserve"> Writing</w:t>
      </w:r>
      <w:bookmarkEnd w:id="27"/>
    </w:p>
    <w:tbl>
      <w:tblPr>
        <w:tblStyle w:val="GridTable4-Accent5"/>
        <w:tblW w:w="0" w:type="auto"/>
        <w:tblLook w:val="0420" w:firstRow="1" w:lastRow="0" w:firstColumn="0" w:lastColumn="0" w:noHBand="0" w:noVBand="1"/>
        <w:tblDescription w:val="Data Summary, Concern Statement, and Need Statement for Claim 2 – Writing"/>
      </w:tblPr>
      <w:tblGrid>
        <w:gridCol w:w="4493"/>
        <w:gridCol w:w="2548"/>
        <w:gridCol w:w="2309"/>
      </w:tblGrid>
      <w:tr w:rsidR="00455E68" w:rsidRPr="00113364" w14:paraId="4C8390BD" w14:textId="77777777" w:rsidTr="00666FB3">
        <w:trPr>
          <w:cnfStyle w:val="100000000000" w:firstRow="1" w:lastRow="0" w:firstColumn="0" w:lastColumn="0" w:oddVBand="0" w:evenVBand="0" w:oddHBand="0" w:evenHBand="0" w:firstRowFirstColumn="0" w:firstRowLastColumn="0" w:lastRowFirstColumn="0" w:lastRowLastColumn="0"/>
          <w:cantSplit/>
          <w:tblHeader/>
        </w:trPr>
        <w:tc>
          <w:tcPr>
            <w:tcW w:w="4608" w:type="dxa"/>
            <w:tcBorders>
              <w:right w:val="single" w:sz="4" w:space="0" w:color="5B9BD5" w:themeColor="accent1"/>
            </w:tcBorders>
            <w:shd w:val="clear" w:color="auto" w:fill="1F3864" w:themeFill="accent5" w:themeFillShade="80"/>
          </w:tcPr>
          <w:p w14:paraId="45FDDCC3" w14:textId="77777777" w:rsidR="00D7247F" w:rsidRPr="00113364" w:rsidRDefault="00D7247F" w:rsidP="00455E68">
            <w:pPr>
              <w:jc w:val="center"/>
              <w:rPr>
                <w:rFonts w:ascii="Arial" w:hAnsi="Arial" w:cs="Arial"/>
                <w:b w:val="0"/>
                <w:color w:val="FFFFFF"/>
              </w:rPr>
            </w:pPr>
            <w:r w:rsidRPr="00113364">
              <w:rPr>
                <w:rFonts w:ascii="Arial" w:hAnsi="Arial" w:cs="Arial"/>
                <w:color w:val="FFFFFF"/>
              </w:rPr>
              <w:t>Data Summary:</w:t>
            </w:r>
          </w:p>
          <w:p w14:paraId="370AFD1B" w14:textId="60E1DCAA" w:rsidR="00D7247F" w:rsidRPr="00113364" w:rsidRDefault="00D7247F" w:rsidP="00455E68">
            <w:pPr>
              <w:jc w:val="center"/>
              <w:rPr>
                <w:color w:val="FFFFFF"/>
              </w:rPr>
            </w:pPr>
            <w:r w:rsidRPr="00113364">
              <w:rPr>
                <w:rFonts w:ascii="Arial" w:hAnsi="Arial" w:cs="Arial"/>
                <w:color w:val="FFFFFF"/>
              </w:rPr>
              <w:t>20</w:t>
            </w:r>
            <w:r w:rsidR="00F36786" w:rsidRPr="00113364">
              <w:rPr>
                <w:rFonts w:ascii="Arial" w:hAnsi="Arial" w:cs="Arial"/>
                <w:color w:val="FFFFFF"/>
              </w:rPr>
              <w:t>22</w:t>
            </w:r>
            <w:r w:rsidRPr="00113364">
              <w:rPr>
                <w:rFonts w:ascii="Arial" w:hAnsi="Arial" w:cs="Arial"/>
                <w:color w:val="FFFFFF"/>
              </w:rPr>
              <w:t>–</w:t>
            </w:r>
            <w:r w:rsidR="00F36786" w:rsidRPr="00113364">
              <w:rPr>
                <w:rFonts w:ascii="Arial" w:hAnsi="Arial" w:cs="Arial"/>
                <w:color w:val="FFFFFF"/>
              </w:rPr>
              <w:t>23</w:t>
            </w:r>
            <w:r w:rsidRPr="00113364">
              <w:rPr>
                <w:rFonts w:ascii="Arial" w:hAnsi="Arial" w:cs="Arial"/>
                <w:color w:val="FFFFFF"/>
              </w:rPr>
              <w:t xml:space="preserve"> CAASSP Claim 2 – Writing</w:t>
            </w:r>
          </w:p>
        </w:tc>
        <w:tc>
          <w:tcPr>
            <w:tcW w:w="2610" w:type="dxa"/>
            <w:tcBorders>
              <w:left w:val="single" w:sz="4" w:space="0" w:color="5B9BD5" w:themeColor="accent1"/>
              <w:right w:val="single" w:sz="4" w:space="0" w:color="5B9BD5" w:themeColor="accent1"/>
            </w:tcBorders>
            <w:shd w:val="clear" w:color="auto" w:fill="1F3864" w:themeFill="accent5" w:themeFillShade="80"/>
            <w:vAlign w:val="center"/>
          </w:tcPr>
          <w:p w14:paraId="3B9CCD99" w14:textId="77777777" w:rsidR="00D7247F" w:rsidRPr="00113364" w:rsidRDefault="00D7247F" w:rsidP="00666FB3">
            <w:pPr>
              <w:jc w:val="center"/>
              <w:rPr>
                <w:color w:val="FFFFFF"/>
              </w:rPr>
            </w:pPr>
            <w:r w:rsidRPr="00113364">
              <w:rPr>
                <w:rFonts w:ascii="Arial" w:hAnsi="Arial" w:cs="Arial"/>
                <w:color w:val="FFFFFF"/>
              </w:rPr>
              <w:t>Concern Statement</w:t>
            </w:r>
          </w:p>
        </w:tc>
        <w:tc>
          <w:tcPr>
            <w:tcW w:w="2358" w:type="dxa"/>
            <w:tcBorders>
              <w:left w:val="single" w:sz="4" w:space="0" w:color="5B9BD5" w:themeColor="accent1"/>
            </w:tcBorders>
            <w:shd w:val="clear" w:color="auto" w:fill="1F3864" w:themeFill="accent5" w:themeFillShade="80"/>
            <w:vAlign w:val="center"/>
          </w:tcPr>
          <w:p w14:paraId="098849CA" w14:textId="77777777" w:rsidR="00D7247F" w:rsidRPr="00113364" w:rsidRDefault="00D7247F" w:rsidP="00666FB3">
            <w:pPr>
              <w:jc w:val="center"/>
              <w:rPr>
                <w:color w:val="FFFFFF"/>
              </w:rPr>
            </w:pPr>
            <w:r w:rsidRPr="00113364">
              <w:rPr>
                <w:rFonts w:ascii="Arial" w:hAnsi="Arial" w:cs="Arial"/>
                <w:color w:val="FFFFFF"/>
              </w:rPr>
              <w:t>Need Statement</w:t>
            </w:r>
          </w:p>
        </w:tc>
      </w:tr>
      <w:tr w:rsidR="00455E68" w:rsidRPr="00113364" w14:paraId="284303BF"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4608" w:type="dxa"/>
          </w:tcPr>
          <w:p w14:paraId="6E549200" w14:textId="5424E589" w:rsidR="00D7247F" w:rsidRPr="00113364" w:rsidRDefault="00D7247F" w:rsidP="00F36786">
            <w:pPr>
              <w:pStyle w:val="ListParagraph"/>
              <w:numPr>
                <w:ilvl w:val="0"/>
                <w:numId w:val="12"/>
              </w:numPr>
              <w:tabs>
                <w:tab w:val="clear" w:pos="720"/>
                <w:tab w:val="num" w:pos="360"/>
              </w:tabs>
              <w:spacing w:after="120"/>
              <w:ind w:left="360" w:hanging="290"/>
              <w:contextualSpacing w:val="0"/>
              <w:rPr>
                <w:rFonts w:ascii="Arial" w:hAnsi="Arial" w:cs="Arial"/>
              </w:rPr>
            </w:pPr>
            <w:r w:rsidRPr="00113364">
              <w:rPr>
                <w:rFonts w:ascii="Arial" w:hAnsi="Arial" w:cs="Arial"/>
                <w:b/>
              </w:rPr>
              <w:t>Migratory Students:</w:t>
            </w:r>
            <w:r w:rsidRPr="00113364">
              <w:rPr>
                <w:rFonts w:ascii="Arial" w:hAnsi="Arial" w:cs="Arial"/>
              </w:rPr>
              <w:t xml:space="preserve"> </w:t>
            </w:r>
            <w:proofErr w:type="gramStart"/>
            <w:r w:rsidR="00F36786" w:rsidRPr="00113364">
              <w:rPr>
                <w:rFonts w:ascii="Arial" w:hAnsi="Arial" w:cs="Arial"/>
              </w:rPr>
              <w:t>Similar to</w:t>
            </w:r>
            <w:proofErr w:type="gramEnd"/>
            <w:r w:rsidR="00F36786" w:rsidRPr="00113364">
              <w:rPr>
                <w:rFonts w:ascii="Arial" w:hAnsi="Arial" w:cs="Arial"/>
              </w:rPr>
              <w:t xml:space="preserve"> the reading claim, only 6.8 percent of migratory students scored above standard on the 2022–23 CAASPP ELA writing claim.</w:t>
            </w:r>
          </w:p>
          <w:p w14:paraId="3D72070E" w14:textId="1F742C60" w:rsidR="00D7247F" w:rsidRPr="00113364" w:rsidRDefault="00D7247F" w:rsidP="005648DC">
            <w:pPr>
              <w:pStyle w:val="List-Level1"/>
              <w:ind w:left="340"/>
            </w:pPr>
            <w:r w:rsidRPr="00113364">
              <w:rPr>
                <w:rFonts w:cs="Arial"/>
                <w:b/>
                <w:color w:val="auto"/>
              </w:rPr>
              <w:t>Migratory PFS Students:</w:t>
            </w:r>
            <w:r w:rsidRPr="00113364">
              <w:rPr>
                <w:rFonts w:cs="Arial"/>
                <w:color w:val="auto"/>
              </w:rPr>
              <w:t xml:space="preserve"> </w:t>
            </w:r>
            <w:r w:rsidR="005648DC" w:rsidRPr="00113364">
              <w:rPr>
                <w:color w:val="auto"/>
              </w:rPr>
              <w:t xml:space="preserve">Of the </w:t>
            </w:r>
            <w:r w:rsidR="00AF666E" w:rsidRPr="00113364">
              <w:rPr>
                <w:color w:val="auto"/>
              </w:rPr>
              <w:t xml:space="preserve">four </w:t>
            </w:r>
            <w:r w:rsidR="005648DC" w:rsidRPr="00113364">
              <w:rPr>
                <w:color w:val="auto"/>
              </w:rPr>
              <w:t>claims, migratory PFS students had the second to lowest proficiency (3.6 percent) rate in writing after the reading claim (3.3</w:t>
            </w:r>
            <w:r w:rsidR="00AF666E" w:rsidRPr="00113364">
              <w:rPr>
                <w:rFonts w:cs="Arial"/>
              </w:rPr>
              <w:t> </w:t>
            </w:r>
            <w:r w:rsidR="005648DC" w:rsidRPr="00113364">
              <w:rPr>
                <w:color w:val="auto"/>
              </w:rPr>
              <w:t>percent).</w:t>
            </w:r>
          </w:p>
          <w:p w14:paraId="00ACD1E2" w14:textId="1B755F95" w:rsidR="00F36786" w:rsidRPr="00113364" w:rsidRDefault="00D7247F">
            <w:pPr>
              <w:pStyle w:val="ListParagraph"/>
              <w:numPr>
                <w:ilvl w:val="0"/>
                <w:numId w:val="51"/>
              </w:numPr>
              <w:spacing w:after="120"/>
              <w:ind w:left="340"/>
              <w:contextualSpacing w:val="0"/>
              <w:rPr>
                <w:rFonts w:ascii="Arial" w:hAnsi="Arial" w:cs="Arial"/>
              </w:rPr>
            </w:pPr>
            <w:r w:rsidRPr="00113364">
              <w:rPr>
                <w:rFonts w:ascii="Arial" w:hAnsi="Arial" w:cs="Arial"/>
                <w:b/>
              </w:rPr>
              <w:t>All Students:</w:t>
            </w:r>
            <w:r w:rsidRPr="00113364">
              <w:rPr>
                <w:rFonts w:ascii="Arial" w:hAnsi="Arial" w:cs="Arial"/>
              </w:rPr>
              <w:t xml:space="preserve"> </w:t>
            </w:r>
            <w:r w:rsidR="00F36786" w:rsidRPr="00113364">
              <w:rPr>
                <w:rFonts w:ascii="Arial" w:hAnsi="Arial" w:cs="Arial"/>
              </w:rPr>
              <w:t>In 2022–23, 19.2 percent of the all-student group scored above standard on the writing claim.</w:t>
            </w:r>
          </w:p>
          <w:p w14:paraId="5DFD4FFD" w14:textId="31368E3F" w:rsidR="00D7247F" w:rsidRPr="00113364" w:rsidRDefault="00F36786">
            <w:pPr>
              <w:pStyle w:val="ListParagraph"/>
              <w:numPr>
                <w:ilvl w:val="0"/>
                <w:numId w:val="51"/>
              </w:numPr>
              <w:spacing w:after="120"/>
              <w:ind w:left="340"/>
              <w:contextualSpacing w:val="0"/>
              <w:rPr>
                <w:rFonts w:ascii="Arial" w:hAnsi="Arial" w:cs="Arial"/>
              </w:rPr>
            </w:pPr>
            <w:r w:rsidRPr="00113364">
              <w:rPr>
                <w:rFonts w:ascii="Arial" w:hAnsi="Arial" w:cs="Arial"/>
              </w:rPr>
              <w:t>The gap between migratory and all students is slightly bigger for writing than in reading with a 12.4 percentage point difference.</w:t>
            </w:r>
          </w:p>
        </w:tc>
        <w:tc>
          <w:tcPr>
            <w:tcW w:w="2610" w:type="dxa"/>
          </w:tcPr>
          <w:p w14:paraId="59F289DB" w14:textId="69DD411E" w:rsidR="00D7247F" w:rsidRPr="00113364" w:rsidRDefault="00AC7BBF" w:rsidP="00AC7BBF">
            <w:pPr>
              <w:ind w:left="-20"/>
              <w:rPr>
                <w:rFonts w:ascii="Arial" w:hAnsi="Arial" w:cs="Arial"/>
              </w:rPr>
            </w:pPr>
            <w:bookmarkStart w:id="28" w:name="_Hlk178604367"/>
            <w:r w:rsidRPr="00113364">
              <w:rPr>
                <w:rFonts w:ascii="Arial" w:hAnsi="Arial" w:cs="Arial"/>
              </w:rPr>
              <w:t>We are concerned that in 2022–23, 93.2 percent of migratory students performed near or below standard in writing.</w:t>
            </w:r>
            <w:bookmarkEnd w:id="28"/>
          </w:p>
        </w:tc>
        <w:tc>
          <w:tcPr>
            <w:tcW w:w="2358" w:type="dxa"/>
          </w:tcPr>
          <w:p w14:paraId="489F7472" w14:textId="511BF52D" w:rsidR="00D7247F" w:rsidRPr="00113364" w:rsidRDefault="00AC7BBF" w:rsidP="00AC7BBF">
            <w:pPr>
              <w:spacing w:line="276" w:lineRule="auto"/>
              <w:ind w:left="-20" w:right="-20"/>
              <w:rPr>
                <w:rFonts w:ascii="Arial" w:hAnsi="Arial" w:cs="Arial"/>
              </w:rPr>
            </w:pPr>
            <w:bookmarkStart w:id="29" w:name="_Hlk178605057"/>
            <w:r w:rsidRPr="00113364">
              <w:rPr>
                <w:rFonts w:ascii="Arial" w:hAnsi="Arial" w:cs="Arial"/>
              </w:rPr>
              <w:t>MEP students need to increase their proficiency on the CAASPP ELA Writing Claim by an additional 12.4 percent.</w:t>
            </w:r>
            <w:bookmarkEnd w:id="29"/>
          </w:p>
        </w:tc>
      </w:tr>
    </w:tbl>
    <w:p w14:paraId="1C8C1315" w14:textId="2D95A4A5" w:rsidR="00AC7BBF" w:rsidRPr="00113364" w:rsidRDefault="0072618C" w:rsidP="003F0CBE">
      <w:pPr>
        <w:spacing w:before="240" w:after="240"/>
        <w:rPr>
          <w:rFonts w:ascii="Arial" w:hAnsi="Arial" w:cs="Arial"/>
        </w:rPr>
      </w:pPr>
      <w:r w:rsidRPr="00113364">
        <w:rPr>
          <w:rFonts w:ascii="Arial" w:hAnsi="Arial" w:cs="Arial"/>
        </w:rPr>
        <w:t xml:space="preserve">Selecting three needs for ELA seems like </w:t>
      </w:r>
      <w:r w:rsidR="00EB6991">
        <w:rPr>
          <w:rFonts w:ascii="Arial" w:hAnsi="Arial" w:cs="Arial"/>
        </w:rPr>
        <w:t>substantial work</w:t>
      </w:r>
      <w:r w:rsidRPr="00113364">
        <w:rPr>
          <w:rFonts w:ascii="Arial" w:hAnsi="Arial" w:cs="Arial"/>
        </w:rPr>
        <w:t>; however, building proficiency in either reading, writing, or both claim areas would enhance proficiency on overall ELA achievement. Most ELA services focus on both reading and writing, so moving forward the program will continue to focus on enhancing service quality to better meet the needs of our migratory students.</w:t>
      </w:r>
    </w:p>
    <w:p w14:paraId="2DF3710F" w14:textId="5B4FB97F" w:rsidR="005814EB" w:rsidRPr="00113364" w:rsidRDefault="005814EB" w:rsidP="003F0CBE">
      <w:pPr>
        <w:pStyle w:val="Heading3"/>
      </w:pPr>
      <w:bookmarkStart w:id="30" w:name="_Toc203568838"/>
      <w:r w:rsidRPr="00113364">
        <w:t>Mathematics</w:t>
      </w:r>
      <w:bookmarkEnd w:id="30"/>
    </w:p>
    <w:p w14:paraId="6F45088A" w14:textId="5449F3AF" w:rsidR="007C549E" w:rsidRPr="00113364" w:rsidRDefault="007C549E" w:rsidP="00DD752E">
      <w:pPr>
        <w:rPr>
          <w:rFonts w:ascii="Arial" w:hAnsi="Arial" w:cs="Arial"/>
        </w:rPr>
      </w:pPr>
      <w:proofErr w:type="gramStart"/>
      <w:r w:rsidRPr="00113364">
        <w:rPr>
          <w:rFonts w:ascii="Arial" w:hAnsi="Arial" w:cs="Arial"/>
        </w:rPr>
        <w:t>Similar to</w:t>
      </w:r>
      <w:proofErr w:type="gramEnd"/>
      <w:r w:rsidRPr="00113364">
        <w:rPr>
          <w:rFonts w:ascii="Arial" w:hAnsi="Arial" w:cs="Arial"/>
        </w:rPr>
        <w:t xml:space="preserve"> ELA, Students’ CAASPP mathematics scores are scored by overall mathematical achievement </w:t>
      </w:r>
      <w:r w:rsidR="000E2933" w:rsidRPr="00113364">
        <w:rPr>
          <w:rFonts w:ascii="Arial" w:hAnsi="Arial" w:cs="Arial"/>
        </w:rPr>
        <w:t xml:space="preserve">with the same achievement levels (i.e., </w:t>
      </w:r>
      <w:r w:rsidR="008457A0" w:rsidRPr="00113364">
        <w:rPr>
          <w:rFonts w:ascii="Arial" w:hAnsi="Arial" w:cs="Arial"/>
        </w:rPr>
        <w:t>l</w:t>
      </w:r>
      <w:r w:rsidR="000E2933" w:rsidRPr="00113364">
        <w:rPr>
          <w:rFonts w:ascii="Arial" w:hAnsi="Arial" w:cs="Arial"/>
        </w:rPr>
        <w:t xml:space="preserve">evel 1 – </w:t>
      </w:r>
      <w:r w:rsidR="008457A0" w:rsidRPr="00113364">
        <w:rPr>
          <w:rFonts w:ascii="Arial" w:hAnsi="Arial" w:cs="Arial"/>
        </w:rPr>
        <w:t>s</w:t>
      </w:r>
      <w:r w:rsidR="000E2933" w:rsidRPr="00113364">
        <w:rPr>
          <w:rFonts w:ascii="Arial" w:hAnsi="Arial" w:cs="Arial"/>
        </w:rPr>
        <w:t xml:space="preserve">tandard </w:t>
      </w:r>
      <w:r w:rsidR="008457A0" w:rsidRPr="00113364">
        <w:rPr>
          <w:rFonts w:ascii="Arial" w:hAnsi="Arial" w:cs="Arial"/>
        </w:rPr>
        <w:t>n</w:t>
      </w:r>
      <w:r w:rsidR="000E2933" w:rsidRPr="00113364">
        <w:rPr>
          <w:rFonts w:ascii="Arial" w:hAnsi="Arial" w:cs="Arial"/>
        </w:rPr>
        <w:t xml:space="preserve">ot </w:t>
      </w:r>
      <w:r w:rsidR="008457A0" w:rsidRPr="00113364">
        <w:rPr>
          <w:rFonts w:ascii="Arial" w:hAnsi="Arial" w:cs="Arial"/>
        </w:rPr>
        <w:t>m</w:t>
      </w:r>
      <w:r w:rsidR="000E2933" w:rsidRPr="00113364">
        <w:rPr>
          <w:rFonts w:ascii="Arial" w:hAnsi="Arial" w:cs="Arial"/>
        </w:rPr>
        <w:t xml:space="preserve">et, </w:t>
      </w:r>
      <w:r w:rsidR="008457A0" w:rsidRPr="00113364">
        <w:rPr>
          <w:rFonts w:ascii="Arial" w:hAnsi="Arial" w:cs="Arial"/>
        </w:rPr>
        <w:t>l</w:t>
      </w:r>
      <w:r w:rsidR="000E2933" w:rsidRPr="00113364">
        <w:rPr>
          <w:rFonts w:ascii="Arial" w:hAnsi="Arial" w:cs="Arial"/>
        </w:rPr>
        <w:t xml:space="preserve">evel 2 – </w:t>
      </w:r>
      <w:r w:rsidR="008457A0" w:rsidRPr="00113364">
        <w:rPr>
          <w:rFonts w:ascii="Arial" w:hAnsi="Arial" w:cs="Arial"/>
        </w:rPr>
        <w:t>s</w:t>
      </w:r>
      <w:r w:rsidR="000E2933" w:rsidRPr="00113364">
        <w:rPr>
          <w:rFonts w:ascii="Arial" w:hAnsi="Arial" w:cs="Arial"/>
        </w:rPr>
        <w:t xml:space="preserve">tandard </w:t>
      </w:r>
      <w:r w:rsidR="008457A0" w:rsidRPr="00113364">
        <w:rPr>
          <w:rFonts w:ascii="Arial" w:hAnsi="Arial" w:cs="Arial"/>
        </w:rPr>
        <w:t>n</w:t>
      </w:r>
      <w:r w:rsidR="000E2933" w:rsidRPr="00113364">
        <w:rPr>
          <w:rFonts w:ascii="Arial" w:hAnsi="Arial" w:cs="Arial"/>
        </w:rPr>
        <w:t xml:space="preserve">early </w:t>
      </w:r>
      <w:r w:rsidR="008457A0" w:rsidRPr="00113364">
        <w:rPr>
          <w:rFonts w:ascii="Arial" w:hAnsi="Arial" w:cs="Arial"/>
        </w:rPr>
        <w:t>m</w:t>
      </w:r>
      <w:r w:rsidR="000E2933" w:rsidRPr="00113364">
        <w:rPr>
          <w:rFonts w:ascii="Arial" w:hAnsi="Arial" w:cs="Arial"/>
        </w:rPr>
        <w:t xml:space="preserve">et, </w:t>
      </w:r>
      <w:r w:rsidR="008457A0" w:rsidRPr="00113364">
        <w:rPr>
          <w:rFonts w:ascii="Arial" w:hAnsi="Arial" w:cs="Arial"/>
        </w:rPr>
        <w:t>l</w:t>
      </w:r>
      <w:r w:rsidR="000E2933" w:rsidRPr="00113364">
        <w:rPr>
          <w:rFonts w:ascii="Arial" w:hAnsi="Arial" w:cs="Arial"/>
        </w:rPr>
        <w:t xml:space="preserve">evel 3 – </w:t>
      </w:r>
      <w:r w:rsidR="008457A0" w:rsidRPr="00113364">
        <w:rPr>
          <w:rFonts w:ascii="Arial" w:hAnsi="Arial" w:cs="Arial"/>
        </w:rPr>
        <w:t>s</w:t>
      </w:r>
      <w:r w:rsidR="000E2933" w:rsidRPr="00113364">
        <w:rPr>
          <w:rFonts w:ascii="Arial" w:hAnsi="Arial" w:cs="Arial"/>
        </w:rPr>
        <w:t xml:space="preserve">tandard </w:t>
      </w:r>
      <w:r w:rsidR="008457A0" w:rsidRPr="00113364">
        <w:rPr>
          <w:rFonts w:ascii="Arial" w:hAnsi="Arial" w:cs="Arial"/>
        </w:rPr>
        <w:t>m</w:t>
      </w:r>
      <w:r w:rsidR="000E2933" w:rsidRPr="00113364">
        <w:rPr>
          <w:rFonts w:ascii="Arial" w:hAnsi="Arial" w:cs="Arial"/>
        </w:rPr>
        <w:t>et</w:t>
      </w:r>
      <w:r w:rsidR="00960389" w:rsidRPr="00113364">
        <w:rPr>
          <w:rFonts w:ascii="Arial" w:hAnsi="Arial" w:cs="Arial"/>
        </w:rPr>
        <w:t>,</w:t>
      </w:r>
      <w:r w:rsidR="000E2933" w:rsidRPr="00113364">
        <w:rPr>
          <w:rFonts w:ascii="Arial" w:hAnsi="Arial" w:cs="Arial"/>
        </w:rPr>
        <w:t xml:space="preserve"> and </w:t>
      </w:r>
      <w:r w:rsidR="008457A0" w:rsidRPr="00113364">
        <w:rPr>
          <w:rFonts w:ascii="Arial" w:hAnsi="Arial" w:cs="Arial"/>
        </w:rPr>
        <w:t>l</w:t>
      </w:r>
      <w:r w:rsidR="000E2933" w:rsidRPr="00113364">
        <w:rPr>
          <w:rFonts w:ascii="Arial" w:hAnsi="Arial" w:cs="Arial"/>
        </w:rPr>
        <w:t xml:space="preserve">evel 4 – </w:t>
      </w:r>
      <w:r w:rsidR="008457A0" w:rsidRPr="00113364">
        <w:rPr>
          <w:rFonts w:ascii="Arial" w:hAnsi="Arial" w:cs="Arial"/>
        </w:rPr>
        <w:t>s</w:t>
      </w:r>
      <w:r w:rsidR="000E2933" w:rsidRPr="00113364">
        <w:rPr>
          <w:rFonts w:ascii="Arial" w:hAnsi="Arial" w:cs="Arial"/>
        </w:rPr>
        <w:t xml:space="preserve">tandard </w:t>
      </w:r>
      <w:r w:rsidR="008457A0" w:rsidRPr="00113364">
        <w:rPr>
          <w:rFonts w:ascii="Arial" w:hAnsi="Arial" w:cs="Arial"/>
        </w:rPr>
        <w:t>e</w:t>
      </w:r>
      <w:r w:rsidR="000E2933" w:rsidRPr="00113364">
        <w:rPr>
          <w:rFonts w:ascii="Arial" w:hAnsi="Arial" w:cs="Arial"/>
        </w:rPr>
        <w:t xml:space="preserve">xceeded). </w:t>
      </w:r>
      <w:r w:rsidRPr="00113364">
        <w:rPr>
          <w:rFonts w:ascii="Arial" w:eastAsia="Times New Roman" w:hAnsi="Arial" w:cs="Arial"/>
        </w:rPr>
        <w:t>There are three claims</w:t>
      </w:r>
      <w:r w:rsidR="000E2933" w:rsidRPr="00113364">
        <w:rPr>
          <w:rFonts w:ascii="Arial" w:eastAsia="Times New Roman" w:hAnsi="Arial" w:cs="Arial"/>
        </w:rPr>
        <w:t xml:space="preserve"> related to specific knowledge and skills</w:t>
      </w:r>
      <w:r w:rsidRPr="00113364">
        <w:rPr>
          <w:rFonts w:ascii="Arial" w:eastAsia="Times New Roman" w:hAnsi="Arial" w:cs="Arial"/>
        </w:rPr>
        <w:t xml:space="preserve"> </w:t>
      </w:r>
      <w:r w:rsidR="000E2933" w:rsidRPr="00113364">
        <w:rPr>
          <w:rFonts w:ascii="Arial" w:eastAsia="Times New Roman" w:hAnsi="Arial" w:cs="Arial"/>
        </w:rPr>
        <w:t xml:space="preserve">on the Smarter Balanced </w:t>
      </w:r>
      <w:r w:rsidR="00AF666E" w:rsidRPr="00113364">
        <w:rPr>
          <w:rFonts w:ascii="Arial" w:eastAsia="Times New Roman" w:hAnsi="Arial" w:cs="Arial"/>
        </w:rPr>
        <w:t xml:space="preserve">Summative </w:t>
      </w:r>
      <w:r w:rsidR="000E2933" w:rsidRPr="00113364">
        <w:rPr>
          <w:rFonts w:ascii="Arial" w:eastAsia="Times New Roman" w:hAnsi="Arial" w:cs="Arial"/>
        </w:rPr>
        <w:t>Assessment for math</w:t>
      </w:r>
      <w:r w:rsidR="00AF666E" w:rsidRPr="00113364">
        <w:rPr>
          <w:rFonts w:ascii="Arial" w:eastAsia="Times New Roman" w:hAnsi="Arial" w:cs="Arial"/>
        </w:rPr>
        <w:t>ematics</w:t>
      </w:r>
      <w:r w:rsidR="000E2933" w:rsidRPr="00113364">
        <w:rPr>
          <w:rFonts w:ascii="Arial" w:eastAsia="Times New Roman" w:hAnsi="Arial" w:cs="Arial"/>
        </w:rPr>
        <w:t>. They are</w:t>
      </w:r>
      <w:r w:rsidRPr="00113364">
        <w:rPr>
          <w:rFonts w:ascii="Arial" w:eastAsia="Times New Roman" w:hAnsi="Arial" w:cs="Arial"/>
        </w:rPr>
        <w:t>:</w:t>
      </w:r>
      <w:r w:rsidR="00DD752E" w:rsidRPr="00113364">
        <w:rPr>
          <w:rFonts w:ascii="Arial" w:eastAsia="Times New Roman" w:hAnsi="Arial" w:cs="Arial"/>
        </w:rPr>
        <w:t xml:space="preserve"> </w:t>
      </w:r>
      <w:r w:rsidR="005558C5" w:rsidRPr="00113364">
        <w:rPr>
          <w:rFonts w:ascii="Arial" w:eastAsia="Times New Roman" w:hAnsi="Arial" w:cs="Arial"/>
        </w:rPr>
        <w:t>(</w:t>
      </w:r>
      <w:r w:rsidR="00DD752E" w:rsidRPr="00113364">
        <w:rPr>
          <w:rFonts w:ascii="Arial" w:eastAsia="Times New Roman" w:hAnsi="Arial" w:cs="Arial"/>
        </w:rPr>
        <w:t xml:space="preserve">1) </w:t>
      </w:r>
      <w:r w:rsidR="008457A0" w:rsidRPr="00113364">
        <w:rPr>
          <w:rFonts w:ascii="Arial" w:hAnsi="Arial" w:cs="Arial"/>
        </w:rPr>
        <w:t>c</w:t>
      </w:r>
      <w:r w:rsidRPr="00113364">
        <w:rPr>
          <w:rFonts w:ascii="Arial" w:hAnsi="Arial" w:cs="Arial"/>
        </w:rPr>
        <w:t xml:space="preserve">laim 1 - </w:t>
      </w:r>
      <w:r w:rsidR="008457A0" w:rsidRPr="00113364">
        <w:rPr>
          <w:rFonts w:ascii="Arial" w:hAnsi="Arial" w:cs="Arial"/>
        </w:rPr>
        <w:t>c</w:t>
      </w:r>
      <w:r w:rsidRPr="00113364">
        <w:rPr>
          <w:rFonts w:ascii="Arial" w:hAnsi="Arial" w:cs="Arial"/>
        </w:rPr>
        <w:t xml:space="preserve">oncepts and </w:t>
      </w:r>
      <w:r w:rsidR="008457A0" w:rsidRPr="00113364">
        <w:rPr>
          <w:rFonts w:ascii="Arial" w:hAnsi="Arial" w:cs="Arial"/>
        </w:rPr>
        <w:t>p</w:t>
      </w:r>
      <w:r w:rsidRPr="00113364">
        <w:rPr>
          <w:rFonts w:ascii="Arial" w:hAnsi="Arial" w:cs="Arial"/>
        </w:rPr>
        <w:t>rocedures</w:t>
      </w:r>
      <w:r w:rsidR="00DD752E" w:rsidRPr="00113364">
        <w:rPr>
          <w:rFonts w:ascii="Arial" w:hAnsi="Arial" w:cs="Arial"/>
        </w:rPr>
        <w:t xml:space="preserve">, </w:t>
      </w:r>
      <w:r w:rsidR="005558C5" w:rsidRPr="00113364">
        <w:rPr>
          <w:rFonts w:ascii="Arial" w:hAnsi="Arial" w:cs="Arial"/>
        </w:rPr>
        <w:t>(</w:t>
      </w:r>
      <w:r w:rsidR="00DD752E" w:rsidRPr="00113364">
        <w:rPr>
          <w:rFonts w:ascii="Arial" w:hAnsi="Arial" w:cs="Arial"/>
        </w:rPr>
        <w:t xml:space="preserve">2) </w:t>
      </w:r>
      <w:r w:rsidR="008457A0" w:rsidRPr="00113364">
        <w:rPr>
          <w:rFonts w:ascii="Arial" w:hAnsi="Arial" w:cs="Arial"/>
        </w:rPr>
        <w:t>c</w:t>
      </w:r>
      <w:r w:rsidRPr="00113364">
        <w:rPr>
          <w:rFonts w:ascii="Arial" w:hAnsi="Arial" w:cs="Arial"/>
        </w:rPr>
        <w:t xml:space="preserve">laim 2 - </w:t>
      </w:r>
      <w:r w:rsidR="008457A0" w:rsidRPr="00113364">
        <w:rPr>
          <w:rFonts w:ascii="Arial" w:hAnsi="Arial" w:cs="Arial"/>
        </w:rPr>
        <w:t>p</w:t>
      </w:r>
      <w:r w:rsidRPr="00113364">
        <w:rPr>
          <w:rFonts w:ascii="Arial" w:hAnsi="Arial" w:cs="Arial"/>
        </w:rPr>
        <w:t xml:space="preserve">roblem </w:t>
      </w:r>
      <w:r w:rsidR="008457A0" w:rsidRPr="00113364">
        <w:rPr>
          <w:rFonts w:ascii="Arial" w:hAnsi="Arial" w:cs="Arial"/>
        </w:rPr>
        <w:t>s</w:t>
      </w:r>
      <w:r w:rsidRPr="00113364">
        <w:rPr>
          <w:rFonts w:ascii="Arial" w:hAnsi="Arial" w:cs="Arial"/>
        </w:rPr>
        <w:t>olving</w:t>
      </w:r>
      <w:r w:rsidR="008457A0" w:rsidRPr="00113364">
        <w:rPr>
          <w:rFonts w:ascii="Arial" w:hAnsi="Arial" w:cs="Arial"/>
        </w:rPr>
        <w:t>,</w:t>
      </w:r>
      <w:r w:rsidR="00DD752E" w:rsidRPr="00113364">
        <w:rPr>
          <w:rFonts w:ascii="Arial" w:hAnsi="Arial" w:cs="Arial"/>
        </w:rPr>
        <w:t xml:space="preserve"> and </w:t>
      </w:r>
      <w:r w:rsidR="005558C5" w:rsidRPr="00113364">
        <w:rPr>
          <w:rFonts w:ascii="Arial" w:hAnsi="Arial" w:cs="Arial"/>
        </w:rPr>
        <w:t>(</w:t>
      </w:r>
      <w:r w:rsidR="00DD752E" w:rsidRPr="00113364">
        <w:rPr>
          <w:rFonts w:ascii="Arial" w:hAnsi="Arial" w:cs="Arial"/>
        </w:rPr>
        <w:t xml:space="preserve">3) </w:t>
      </w:r>
      <w:r w:rsidR="008457A0" w:rsidRPr="00113364">
        <w:rPr>
          <w:rFonts w:ascii="Arial" w:hAnsi="Arial" w:cs="Arial"/>
        </w:rPr>
        <w:t>c</w:t>
      </w:r>
      <w:r w:rsidRPr="00113364">
        <w:rPr>
          <w:rFonts w:ascii="Arial" w:hAnsi="Arial" w:cs="Arial"/>
        </w:rPr>
        <w:t xml:space="preserve">laim 3 - </w:t>
      </w:r>
      <w:r w:rsidR="008457A0" w:rsidRPr="00113364">
        <w:rPr>
          <w:rFonts w:ascii="Arial" w:hAnsi="Arial" w:cs="Arial"/>
        </w:rPr>
        <w:t>c</w:t>
      </w:r>
      <w:r w:rsidRPr="00113364">
        <w:rPr>
          <w:rFonts w:ascii="Arial" w:hAnsi="Arial" w:cs="Arial"/>
        </w:rPr>
        <w:t xml:space="preserve">ommunicating </w:t>
      </w:r>
      <w:r w:rsidR="008457A0" w:rsidRPr="00113364">
        <w:rPr>
          <w:rFonts w:ascii="Arial" w:hAnsi="Arial" w:cs="Arial"/>
        </w:rPr>
        <w:t>r</w:t>
      </w:r>
      <w:r w:rsidRPr="00113364">
        <w:rPr>
          <w:rFonts w:ascii="Arial" w:hAnsi="Arial" w:cs="Arial"/>
        </w:rPr>
        <w:t>easoning</w:t>
      </w:r>
      <w:r w:rsidR="00DD752E" w:rsidRPr="00113364">
        <w:rPr>
          <w:rFonts w:ascii="Arial" w:hAnsi="Arial" w:cs="Arial"/>
        </w:rPr>
        <w:t>.</w:t>
      </w:r>
    </w:p>
    <w:p w14:paraId="466589E6" w14:textId="13A517F6" w:rsidR="007C549E" w:rsidRPr="00113364" w:rsidRDefault="007C549E" w:rsidP="00CB2C23">
      <w:pPr>
        <w:spacing w:before="240"/>
        <w:rPr>
          <w:rFonts w:ascii="Arial" w:hAnsi="Arial" w:cs="Arial"/>
        </w:rPr>
      </w:pPr>
      <w:r w:rsidRPr="00113364">
        <w:rPr>
          <w:rFonts w:ascii="Arial" w:hAnsi="Arial" w:cs="Arial"/>
        </w:rPr>
        <w:t>Based on their performance</w:t>
      </w:r>
      <w:r w:rsidR="000E2933" w:rsidRPr="00113364">
        <w:rPr>
          <w:rFonts w:ascii="Arial" w:hAnsi="Arial" w:cs="Arial"/>
        </w:rPr>
        <w:t xml:space="preserve"> on the </w:t>
      </w:r>
      <w:r w:rsidR="00E7492F" w:rsidRPr="00113364">
        <w:rPr>
          <w:rFonts w:ascii="Arial" w:hAnsi="Arial" w:cs="Arial"/>
        </w:rPr>
        <w:t>mathematics</w:t>
      </w:r>
      <w:r w:rsidR="000E2933" w:rsidRPr="00113364">
        <w:rPr>
          <w:rFonts w:ascii="Arial" w:hAnsi="Arial" w:cs="Arial"/>
        </w:rPr>
        <w:t xml:space="preserve"> assessment</w:t>
      </w:r>
      <w:r w:rsidR="005558C5" w:rsidRPr="00113364">
        <w:rPr>
          <w:rFonts w:ascii="Arial" w:hAnsi="Arial" w:cs="Arial"/>
        </w:rPr>
        <w:t>s</w:t>
      </w:r>
      <w:r w:rsidRPr="00113364">
        <w:rPr>
          <w:rFonts w:ascii="Arial" w:hAnsi="Arial" w:cs="Arial"/>
        </w:rPr>
        <w:t xml:space="preserve">, students are assigned one of three claim achievement levels: </w:t>
      </w:r>
      <w:r w:rsidR="008457A0" w:rsidRPr="00113364">
        <w:rPr>
          <w:rFonts w:ascii="Arial" w:hAnsi="Arial" w:cs="Arial"/>
        </w:rPr>
        <w:t>below</w:t>
      </w:r>
      <w:r w:rsidRPr="00113364">
        <w:rPr>
          <w:rFonts w:ascii="Arial" w:hAnsi="Arial" w:cs="Arial"/>
        </w:rPr>
        <w:t xml:space="preserve"> </w:t>
      </w:r>
      <w:r w:rsidR="008457A0" w:rsidRPr="00113364">
        <w:rPr>
          <w:rFonts w:ascii="Arial" w:hAnsi="Arial" w:cs="Arial"/>
        </w:rPr>
        <w:t>s</w:t>
      </w:r>
      <w:r w:rsidRPr="00113364">
        <w:rPr>
          <w:rFonts w:ascii="Arial" w:hAnsi="Arial" w:cs="Arial"/>
        </w:rPr>
        <w:t xml:space="preserve">tandard, </w:t>
      </w:r>
      <w:r w:rsidR="008457A0" w:rsidRPr="00113364">
        <w:rPr>
          <w:rFonts w:ascii="Arial" w:hAnsi="Arial" w:cs="Arial"/>
        </w:rPr>
        <w:t>n</w:t>
      </w:r>
      <w:r w:rsidRPr="00113364">
        <w:rPr>
          <w:rFonts w:ascii="Arial" w:hAnsi="Arial" w:cs="Arial"/>
        </w:rPr>
        <w:t xml:space="preserve">ear </w:t>
      </w:r>
      <w:r w:rsidR="008457A0" w:rsidRPr="00113364">
        <w:rPr>
          <w:rFonts w:ascii="Arial" w:hAnsi="Arial" w:cs="Arial"/>
        </w:rPr>
        <w:t>s</w:t>
      </w:r>
      <w:r w:rsidRPr="00113364">
        <w:rPr>
          <w:rFonts w:ascii="Arial" w:hAnsi="Arial" w:cs="Arial"/>
        </w:rPr>
        <w:t xml:space="preserve">tandard, or </w:t>
      </w:r>
      <w:r w:rsidR="008457A0" w:rsidRPr="00113364">
        <w:rPr>
          <w:rFonts w:ascii="Arial" w:hAnsi="Arial" w:cs="Arial"/>
        </w:rPr>
        <w:t>a</w:t>
      </w:r>
      <w:r w:rsidRPr="00113364">
        <w:rPr>
          <w:rFonts w:ascii="Arial" w:hAnsi="Arial" w:cs="Arial"/>
        </w:rPr>
        <w:t xml:space="preserve">bove </w:t>
      </w:r>
      <w:r w:rsidR="008457A0" w:rsidRPr="00113364">
        <w:rPr>
          <w:rFonts w:ascii="Arial" w:hAnsi="Arial" w:cs="Arial"/>
        </w:rPr>
        <w:t>s</w:t>
      </w:r>
      <w:r w:rsidRPr="00113364">
        <w:rPr>
          <w:rFonts w:ascii="Arial" w:hAnsi="Arial" w:cs="Arial"/>
        </w:rPr>
        <w:t>tandard.</w:t>
      </w:r>
      <w:r w:rsidR="00EE4E51" w:rsidRPr="00113364">
        <w:rPr>
          <w:rFonts w:ascii="Arial" w:hAnsi="Arial" w:cs="Arial"/>
        </w:rPr>
        <w:t xml:space="preserve"> The </w:t>
      </w:r>
      <w:r w:rsidR="001D2288" w:rsidRPr="00113364">
        <w:rPr>
          <w:rFonts w:ascii="Arial" w:hAnsi="Arial" w:cs="Arial"/>
        </w:rPr>
        <w:t>mathematics</w:t>
      </w:r>
      <w:r w:rsidR="00EE4E51" w:rsidRPr="00113364">
        <w:rPr>
          <w:rFonts w:ascii="Arial" w:hAnsi="Arial" w:cs="Arial"/>
        </w:rPr>
        <w:t xml:space="preserve"> </w:t>
      </w:r>
      <w:r w:rsidR="00AD0D2B" w:rsidRPr="00113364">
        <w:rPr>
          <w:rFonts w:ascii="Arial" w:hAnsi="Arial" w:cs="Arial"/>
        </w:rPr>
        <w:t>s</w:t>
      </w:r>
      <w:r w:rsidR="00EE4E51" w:rsidRPr="00113364">
        <w:rPr>
          <w:rFonts w:ascii="Arial" w:hAnsi="Arial" w:cs="Arial"/>
        </w:rPr>
        <w:t>ubcommittee reviewed</w:t>
      </w:r>
      <w:r w:rsidR="00CB680D" w:rsidRPr="00113364">
        <w:rPr>
          <w:rFonts w:ascii="Arial" w:hAnsi="Arial" w:cs="Arial"/>
        </w:rPr>
        <w:t xml:space="preserve"> five</w:t>
      </w:r>
      <w:r w:rsidR="00EE4E51" w:rsidRPr="00113364">
        <w:rPr>
          <w:rFonts w:ascii="Arial" w:hAnsi="Arial" w:cs="Arial"/>
        </w:rPr>
        <w:t xml:space="preserve"> years (i.e., 201</w:t>
      </w:r>
      <w:r w:rsidR="00CB680D" w:rsidRPr="00113364">
        <w:rPr>
          <w:rFonts w:ascii="Arial" w:hAnsi="Arial" w:cs="Arial"/>
        </w:rPr>
        <w:t>7</w:t>
      </w:r>
      <w:r w:rsidR="00EE4E51" w:rsidRPr="00113364">
        <w:rPr>
          <w:rFonts w:ascii="Arial" w:hAnsi="Arial" w:cs="Arial"/>
        </w:rPr>
        <w:t>–1</w:t>
      </w:r>
      <w:r w:rsidR="00CB680D" w:rsidRPr="00113364">
        <w:rPr>
          <w:rFonts w:ascii="Arial" w:hAnsi="Arial" w:cs="Arial"/>
        </w:rPr>
        <w:t>8</w:t>
      </w:r>
      <w:r w:rsidR="00EE4E51" w:rsidRPr="00113364">
        <w:rPr>
          <w:rFonts w:ascii="Arial" w:hAnsi="Arial" w:cs="Arial"/>
        </w:rPr>
        <w:t xml:space="preserve"> </w:t>
      </w:r>
      <w:r w:rsidR="00CB680D" w:rsidRPr="00113364">
        <w:rPr>
          <w:rFonts w:ascii="Arial" w:hAnsi="Arial" w:cs="Arial"/>
        </w:rPr>
        <w:t>through</w:t>
      </w:r>
      <w:r w:rsidR="00EE4E51" w:rsidRPr="00113364">
        <w:rPr>
          <w:rFonts w:ascii="Arial" w:hAnsi="Arial" w:cs="Arial"/>
        </w:rPr>
        <w:t xml:space="preserve"> </w:t>
      </w:r>
      <w:r w:rsidR="00EE4E51" w:rsidRPr="00113364">
        <w:rPr>
          <w:rFonts w:ascii="Arial" w:hAnsi="Arial" w:cs="Arial"/>
        </w:rPr>
        <w:lastRenderedPageBreak/>
        <w:t>20</w:t>
      </w:r>
      <w:r w:rsidR="00CB680D" w:rsidRPr="00113364">
        <w:rPr>
          <w:rFonts w:ascii="Arial" w:hAnsi="Arial" w:cs="Arial"/>
        </w:rPr>
        <w:t>22</w:t>
      </w:r>
      <w:r w:rsidR="00EE4E51" w:rsidRPr="00113364">
        <w:rPr>
          <w:rFonts w:ascii="Arial" w:hAnsi="Arial" w:cs="Arial"/>
        </w:rPr>
        <w:t>–</w:t>
      </w:r>
      <w:r w:rsidR="00CB680D" w:rsidRPr="00113364">
        <w:rPr>
          <w:rFonts w:ascii="Arial" w:hAnsi="Arial" w:cs="Arial"/>
        </w:rPr>
        <w:t>23</w:t>
      </w:r>
      <w:r w:rsidR="00EE4E51" w:rsidRPr="00113364">
        <w:rPr>
          <w:rFonts w:ascii="Arial" w:hAnsi="Arial" w:cs="Arial"/>
        </w:rPr>
        <w:t xml:space="preserve">) of CAASPP </w:t>
      </w:r>
      <w:r w:rsidR="00E7492F" w:rsidRPr="00113364">
        <w:rPr>
          <w:rFonts w:ascii="Arial" w:hAnsi="Arial" w:cs="Arial"/>
        </w:rPr>
        <w:t>mathematics</w:t>
      </w:r>
      <w:r w:rsidR="00EE4E51" w:rsidRPr="00113364">
        <w:rPr>
          <w:rFonts w:ascii="Arial" w:hAnsi="Arial" w:cs="Arial"/>
        </w:rPr>
        <w:t xml:space="preserve"> achievement d</w:t>
      </w:r>
      <w:r w:rsidR="005558C5" w:rsidRPr="00113364">
        <w:rPr>
          <w:rFonts w:ascii="Arial" w:hAnsi="Arial" w:cs="Arial"/>
        </w:rPr>
        <w:t>ata. The tables below identify</w:t>
      </w:r>
      <w:r w:rsidR="00EE4E51" w:rsidRPr="00113364">
        <w:rPr>
          <w:rFonts w:ascii="Arial" w:hAnsi="Arial" w:cs="Arial"/>
        </w:rPr>
        <w:t xml:space="preserve"> the data to support both the concern and need statements.</w:t>
      </w:r>
    </w:p>
    <w:p w14:paraId="40680875" w14:textId="5AA29ECA" w:rsidR="006143B6" w:rsidRPr="00113364" w:rsidRDefault="00CE30FD" w:rsidP="00C73204">
      <w:pPr>
        <w:pStyle w:val="Heading4"/>
      </w:pPr>
      <w:r w:rsidRPr="00113364">
        <w:t>Mathematics Focus Area</w:t>
      </w:r>
      <w:r w:rsidR="006143B6" w:rsidRPr="00113364">
        <w:t xml:space="preserve">: Overall </w:t>
      </w:r>
      <w:r w:rsidR="00E7492F" w:rsidRPr="00113364">
        <w:t>Mathematics</w:t>
      </w:r>
      <w:r w:rsidR="006143B6" w:rsidRPr="00113364">
        <w:t xml:space="preserve"> Achievement</w:t>
      </w:r>
      <w:r w:rsidR="006143B6" w:rsidRPr="00113364">
        <w:rPr>
          <w:vertAlign w:val="superscript"/>
        </w:rPr>
        <w:footnoteReference w:id="12"/>
      </w:r>
    </w:p>
    <w:p w14:paraId="2555E2A0" w14:textId="30BA15B5" w:rsidR="0072618C" w:rsidRDefault="008334C7" w:rsidP="008334C7">
      <w:pPr>
        <w:spacing w:after="240"/>
        <w:rPr>
          <w:rFonts w:ascii="Arial" w:hAnsi="Arial" w:cs="Arial"/>
        </w:rPr>
      </w:pPr>
      <w:r w:rsidRPr="00113364">
        <w:rPr>
          <w:rFonts w:ascii="Arial" w:hAnsi="Arial" w:cs="Arial"/>
        </w:rPr>
        <w:t xml:space="preserve">For the Mathematics focus area, the committee first prioritized the need to increase overall proficiency. Data illustrated a 20 percent gap between migratory and all students in overall </w:t>
      </w:r>
      <w:r w:rsidR="00E7492F" w:rsidRPr="00113364">
        <w:rPr>
          <w:rFonts w:ascii="Arial" w:hAnsi="Arial" w:cs="Arial"/>
        </w:rPr>
        <w:t>mathematics</w:t>
      </w:r>
      <w:r w:rsidRPr="00113364">
        <w:rPr>
          <w:rFonts w:ascii="Arial" w:hAnsi="Arial" w:cs="Arial"/>
        </w:rPr>
        <w:t xml:space="preserve"> proficiency. The gap widens when comparing migratory PFS to all students. Table 7 includes a data summary as well as the concern and need statements for overall </w:t>
      </w:r>
      <w:r w:rsidR="00E7492F" w:rsidRPr="00113364">
        <w:rPr>
          <w:rFonts w:ascii="Arial" w:hAnsi="Arial" w:cs="Arial"/>
        </w:rPr>
        <w:t>mathematics</w:t>
      </w:r>
      <w:r w:rsidRPr="00113364">
        <w:rPr>
          <w:rFonts w:ascii="Arial" w:hAnsi="Arial" w:cs="Arial"/>
        </w:rPr>
        <w:t xml:space="preserve"> achievement. </w:t>
      </w:r>
    </w:p>
    <w:p w14:paraId="72194A6A" w14:textId="1F7AB566" w:rsidR="009C48A3" w:rsidRPr="00113364" w:rsidRDefault="009C48A3" w:rsidP="007C2C6C">
      <w:pPr>
        <w:pStyle w:val="Heading5"/>
        <w:spacing w:after="0"/>
        <w:rPr>
          <w:b/>
          <w:bCs/>
          <w:i w:val="0"/>
          <w:iCs/>
          <w:sz w:val="24"/>
        </w:rPr>
      </w:pPr>
      <w:bookmarkStart w:id="31" w:name="_Toc204755343"/>
      <w:r w:rsidRPr="00113364">
        <w:rPr>
          <w:b/>
          <w:bCs/>
          <w:i w:val="0"/>
          <w:iCs/>
          <w:sz w:val="24"/>
        </w:rPr>
        <w:lastRenderedPageBreak/>
        <w:t xml:space="preserve">Table </w:t>
      </w:r>
      <w:r w:rsidR="008334C7" w:rsidRPr="00113364">
        <w:rPr>
          <w:b/>
          <w:bCs/>
          <w:i w:val="0"/>
          <w:iCs/>
          <w:sz w:val="24"/>
        </w:rPr>
        <w:fldChar w:fldCharType="begin"/>
      </w:r>
      <w:r w:rsidR="008334C7" w:rsidRPr="00113364">
        <w:rPr>
          <w:b/>
          <w:bCs/>
          <w:i w:val="0"/>
          <w:iCs/>
          <w:sz w:val="24"/>
        </w:rPr>
        <w:instrText xml:space="preserve"> SEQ Table \* ARABIC </w:instrText>
      </w:r>
      <w:r w:rsidR="008334C7" w:rsidRPr="00113364">
        <w:rPr>
          <w:b/>
          <w:bCs/>
          <w:i w:val="0"/>
          <w:iCs/>
          <w:sz w:val="24"/>
        </w:rPr>
        <w:fldChar w:fldCharType="separate"/>
      </w:r>
      <w:r w:rsidR="001362A0">
        <w:rPr>
          <w:b/>
          <w:bCs/>
          <w:i w:val="0"/>
          <w:iCs/>
          <w:noProof/>
          <w:sz w:val="24"/>
        </w:rPr>
        <w:t>7</w:t>
      </w:r>
      <w:r w:rsidR="008334C7" w:rsidRPr="00113364">
        <w:rPr>
          <w:b/>
          <w:bCs/>
          <w:i w:val="0"/>
          <w:iCs/>
          <w:noProof/>
          <w:sz w:val="24"/>
        </w:rPr>
        <w:fldChar w:fldCharType="end"/>
      </w:r>
      <w:r w:rsidRPr="00113364">
        <w:rPr>
          <w:b/>
          <w:bCs/>
          <w:i w:val="0"/>
          <w:iCs/>
          <w:sz w:val="24"/>
        </w:rPr>
        <w:t>. Data Summary, Concern Statement</w:t>
      </w:r>
      <w:r w:rsidR="000075C1" w:rsidRPr="00113364">
        <w:rPr>
          <w:b/>
          <w:bCs/>
          <w:i w:val="0"/>
          <w:iCs/>
          <w:sz w:val="24"/>
        </w:rPr>
        <w:t>, and Need</w:t>
      </w:r>
      <w:r w:rsidRPr="00113364">
        <w:rPr>
          <w:b/>
          <w:bCs/>
          <w:i w:val="0"/>
          <w:iCs/>
          <w:sz w:val="24"/>
        </w:rPr>
        <w:t xml:space="preserve"> Statement for Overall Mathematics Achievement</w:t>
      </w:r>
      <w:bookmarkEnd w:id="31"/>
    </w:p>
    <w:tbl>
      <w:tblPr>
        <w:tblStyle w:val="GridTable4-Accent5"/>
        <w:tblW w:w="0" w:type="auto"/>
        <w:tblLook w:val="0420" w:firstRow="1" w:lastRow="0" w:firstColumn="0" w:lastColumn="0" w:noHBand="0" w:noVBand="1"/>
        <w:tblDescription w:val="Data Summary, Concern Statement, and Need Statement for Overall Mathematics Achievement"/>
      </w:tblPr>
      <w:tblGrid>
        <w:gridCol w:w="4765"/>
        <w:gridCol w:w="2354"/>
        <w:gridCol w:w="2231"/>
      </w:tblGrid>
      <w:tr w:rsidR="00CE30FD" w:rsidRPr="00113364" w14:paraId="3CE0FB95" w14:textId="77777777" w:rsidTr="008334C7">
        <w:trPr>
          <w:cnfStyle w:val="100000000000" w:firstRow="1" w:lastRow="0" w:firstColumn="0" w:lastColumn="0" w:oddVBand="0" w:evenVBand="0" w:oddHBand="0" w:evenHBand="0" w:firstRowFirstColumn="0" w:firstRowLastColumn="0" w:lastRowFirstColumn="0" w:lastRowLastColumn="0"/>
          <w:cantSplit/>
          <w:tblHeader/>
        </w:trPr>
        <w:tc>
          <w:tcPr>
            <w:tcW w:w="4765" w:type="dxa"/>
            <w:tcBorders>
              <w:right w:val="single" w:sz="4" w:space="0" w:color="5B9BD5" w:themeColor="accent1"/>
            </w:tcBorders>
            <w:shd w:val="clear" w:color="auto" w:fill="1F3864" w:themeFill="accent5" w:themeFillShade="80"/>
          </w:tcPr>
          <w:p w14:paraId="4F48C383" w14:textId="77777777" w:rsidR="009677C8" w:rsidRPr="00113364" w:rsidRDefault="009677C8" w:rsidP="00455E68">
            <w:pPr>
              <w:jc w:val="center"/>
              <w:rPr>
                <w:rFonts w:ascii="Arial" w:hAnsi="Arial" w:cs="Arial"/>
                <w:b w:val="0"/>
                <w:color w:val="FFFFFF"/>
              </w:rPr>
            </w:pPr>
            <w:r w:rsidRPr="00113364">
              <w:rPr>
                <w:rFonts w:ascii="Arial" w:hAnsi="Arial" w:cs="Arial"/>
                <w:color w:val="FFFFFF"/>
              </w:rPr>
              <w:t>Data Summary:</w:t>
            </w:r>
          </w:p>
          <w:p w14:paraId="35814DEF" w14:textId="7DAD2AD8" w:rsidR="009677C8" w:rsidRPr="00113364" w:rsidRDefault="009677C8" w:rsidP="00455E68">
            <w:pPr>
              <w:jc w:val="center"/>
              <w:rPr>
                <w:color w:val="FFFFFF"/>
              </w:rPr>
            </w:pPr>
            <w:r w:rsidRPr="00113364">
              <w:rPr>
                <w:rFonts w:ascii="Arial" w:hAnsi="Arial" w:cs="Arial"/>
                <w:color w:val="FFFFFF"/>
              </w:rPr>
              <w:t>20</w:t>
            </w:r>
            <w:r w:rsidR="005648DC" w:rsidRPr="00113364">
              <w:rPr>
                <w:rFonts w:ascii="Arial" w:hAnsi="Arial" w:cs="Arial"/>
                <w:color w:val="FFFFFF"/>
              </w:rPr>
              <w:t>22</w:t>
            </w:r>
            <w:r w:rsidRPr="00113364">
              <w:rPr>
                <w:rFonts w:ascii="Arial" w:hAnsi="Arial" w:cs="Arial"/>
                <w:color w:val="FFFFFF"/>
              </w:rPr>
              <w:t>–</w:t>
            </w:r>
            <w:r w:rsidR="005648DC" w:rsidRPr="00113364">
              <w:rPr>
                <w:rFonts w:ascii="Arial" w:hAnsi="Arial" w:cs="Arial"/>
                <w:color w:val="FFFFFF"/>
              </w:rPr>
              <w:t>23</w:t>
            </w:r>
            <w:r w:rsidRPr="00113364">
              <w:rPr>
                <w:rFonts w:ascii="Arial" w:hAnsi="Arial" w:cs="Arial"/>
                <w:color w:val="FFFFFF"/>
              </w:rPr>
              <w:t xml:space="preserve"> CAASSP </w:t>
            </w:r>
            <w:r w:rsidR="00E7492F" w:rsidRPr="00113364">
              <w:rPr>
                <w:rFonts w:ascii="Arial" w:hAnsi="Arial" w:cs="Arial"/>
                <w:color w:val="FFFFFF"/>
              </w:rPr>
              <w:t>Mathematics</w:t>
            </w:r>
            <w:r w:rsidRPr="00113364">
              <w:rPr>
                <w:rFonts w:ascii="Arial" w:hAnsi="Arial" w:cs="Arial"/>
                <w:color w:val="FFFFFF"/>
              </w:rPr>
              <w:t xml:space="preserve"> Achievement</w:t>
            </w:r>
          </w:p>
        </w:tc>
        <w:tc>
          <w:tcPr>
            <w:tcW w:w="2354" w:type="dxa"/>
            <w:tcBorders>
              <w:left w:val="single" w:sz="4" w:space="0" w:color="5B9BD5" w:themeColor="accent1"/>
              <w:right w:val="single" w:sz="4" w:space="0" w:color="5B9BD5" w:themeColor="accent1"/>
            </w:tcBorders>
            <w:shd w:val="clear" w:color="auto" w:fill="1F3864" w:themeFill="accent5" w:themeFillShade="80"/>
            <w:vAlign w:val="center"/>
          </w:tcPr>
          <w:p w14:paraId="3C979F65" w14:textId="77777777" w:rsidR="009677C8" w:rsidRPr="00113364" w:rsidRDefault="009677C8" w:rsidP="00666FB3">
            <w:pPr>
              <w:jc w:val="center"/>
              <w:rPr>
                <w:color w:val="FFFFFF"/>
              </w:rPr>
            </w:pPr>
            <w:r w:rsidRPr="00113364">
              <w:rPr>
                <w:rFonts w:ascii="Arial" w:hAnsi="Arial" w:cs="Arial"/>
                <w:color w:val="FFFFFF"/>
              </w:rPr>
              <w:t>Concern Statement</w:t>
            </w:r>
          </w:p>
        </w:tc>
        <w:tc>
          <w:tcPr>
            <w:tcW w:w="2231" w:type="dxa"/>
            <w:tcBorders>
              <w:left w:val="single" w:sz="4" w:space="0" w:color="5B9BD5" w:themeColor="accent1"/>
            </w:tcBorders>
            <w:shd w:val="clear" w:color="auto" w:fill="1F3864" w:themeFill="accent5" w:themeFillShade="80"/>
            <w:vAlign w:val="center"/>
          </w:tcPr>
          <w:p w14:paraId="1FCAA9CE" w14:textId="77777777" w:rsidR="009677C8" w:rsidRPr="00113364" w:rsidRDefault="009677C8" w:rsidP="00666FB3">
            <w:pPr>
              <w:jc w:val="center"/>
              <w:rPr>
                <w:color w:val="FFFFFF"/>
              </w:rPr>
            </w:pPr>
            <w:r w:rsidRPr="00113364">
              <w:rPr>
                <w:rFonts w:ascii="Arial" w:hAnsi="Arial" w:cs="Arial"/>
                <w:color w:val="FFFFFF"/>
              </w:rPr>
              <w:t>Need Statement</w:t>
            </w:r>
          </w:p>
        </w:tc>
      </w:tr>
      <w:tr w:rsidR="00CE30FD" w:rsidRPr="00113364" w14:paraId="7333A7BB" w14:textId="77777777" w:rsidTr="008334C7">
        <w:trPr>
          <w:cnfStyle w:val="000000100000" w:firstRow="0" w:lastRow="0" w:firstColumn="0" w:lastColumn="0" w:oddVBand="0" w:evenVBand="0" w:oddHBand="1" w:evenHBand="0" w:firstRowFirstColumn="0" w:firstRowLastColumn="0" w:lastRowFirstColumn="0" w:lastRowLastColumn="0"/>
          <w:cantSplit/>
        </w:trPr>
        <w:tc>
          <w:tcPr>
            <w:tcW w:w="4765" w:type="dxa"/>
          </w:tcPr>
          <w:p w14:paraId="1E20625D" w14:textId="6095A2F3" w:rsidR="009677C8" w:rsidRPr="00113364" w:rsidRDefault="009677C8" w:rsidP="00CE30FD">
            <w:pPr>
              <w:pStyle w:val="ListParagraph"/>
              <w:numPr>
                <w:ilvl w:val="0"/>
                <w:numId w:val="12"/>
              </w:numPr>
              <w:tabs>
                <w:tab w:val="clear" w:pos="720"/>
              </w:tabs>
              <w:spacing w:after="120"/>
              <w:ind w:left="346"/>
              <w:contextualSpacing w:val="0"/>
              <w:rPr>
                <w:rFonts w:ascii="Arial" w:hAnsi="Arial" w:cs="Arial"/>
              </w:rPr>
            </w:pPr>
            <w:r w:rsidRPr="00113364">
              <w:rPr>
                <w:rFonts w:ascii="Arial" w:hAnsi="Arial" w:cs="Arial"/>
                <w:b/>
              </w:rPr>
              <w:t>Migratory Students:</w:t>
            </w:r>
            <w:r w:rsidRPr="00113364">
              <w:rPr>
                <w:rFonts w:ascii="Arial" w:hAnsi="Arial" w:cs="Arial"/>
              </w:rPr>
              <w:t xml:space="preserve"> </w:t>
            </w:r>
            <w:r w:rsidR="005648DC" w:rsidRPr="00113364">
              <w:rPr>
                <w:rFonts w:ascii="Arial" w:hAnsi="Arial" w:cs="Arial"/>
              </w:rPr>
              <w:t xml:space="preserve">In 2022–23, 14.3 percent of migratory students met or exceeded the CAASPP </w:t>
            </w:r>
            <w:r w:rsidR="00AD0D2B" w:rsidRPr="00113364">
              <w:rPr>
                <w:rFonts w:ascii="Arial" w:hAnsi="Arial" w:cs="Arial"/>
              </w:rPr>
              <w:t>o</w:t>
            </w:r>
            <w:r w:rsidR="005648DC" w:rsidRPr="00113364">
              <w:rPr>
                <w:rFonts w:ascii="Arial" w:hAnsi="Arial" w:cs="Arial"/>
              </w:rPr>
              <w:t xml:space="preserve">verall </w:t>
            </w:r>
            <w:r w:rsidR="00AD0D2B" w:rsidRPr="00113364">
              <w:rPr>
                <w:rFonts w:ascii="Arial" w:hAnsi="Arial" w:cs="Arial"/>
              </w:rPr>
              <w:t>m</w:t>
            </w:r>
            <w:r w:rsidR="00E7492F" w:rsidRPr="00113364">
              <w:rPr>
                <w:rFonts w:ascii="Arial" w:hAnsi="Arial" w:cs="Arial"/>
              </w:rPr>
              <w:t>athematics</w:t>
            </w:r>
            <w:r w:rsidR="005648DC" w:rsidRPr="00113364">
              <w:rPr>
                <w:rFonts w:ascii="Arial" w:hAnsi="Arial" w:cs="Arial"/>
              </w:rPr>
              <w:t xml:space="preserve"> </w:t>
            </w:r>
            <w:r w:rsidR="00AD0D2B" w:rsidRPr="00113364">
              <w:rPr>
                <w:rFonts w:ascii="Arial" w:hAnsi="Arial" w:cs="Arial"/>
              </w:rPr>
              <w:t>achievement</w:t>
            </w:r>
            <w:r w:rsidR="005648DC" w:rsidRPr="00113364">
              <w:rPr>
                <w:rFonts w:ascii="Arial" w:hAnsi="Arial" w:cs="Arial"/>
              </w:rPr>
              <w:t>.</w:t>
            </w:r>
          </w:p>
          <w:p w14:paraId="5B6A5E74" w14:textId="0D9EF975" w:rsidR="009677C8" w:rsidRPr="00113364" w:rsidRDefault="009677C8" w:rsidP="00CE30FD">
            <w:pPr>
              <w:pStyle w:val="ListParagraph"/>
              <w:numPr>
                <w:ilvl w:val="0"/>
                <w:numId w:val="12"/>
              </w:numPr>
              <w:tabs>
                <w:tab w:val="clear" w:pos="720"/>
              </w:tabs>
              <w:spacing w:after="120"/>
              <w:ind w:left="346"/>
              <w:contextualSpacing w:val="0"/>
              <w:rPr>
                <w:rFonts w:ascii="Arial" w:hAnsi="Arial" w:cs="Arial"/>
              </w:rPr>
            </w:pPr>
            <w:r w:rsidRPr="00113364">
              <w:rPr>
                <w:rFonts w:ascii="Arial" w:hAnsi="Arial" w:cs="Arial"/>
                <w:b/>
              </w:rPr>
              <w:t>Migratory PFS Students:</w:t>
            </w:r>
            <w:r w:rsidRPr="00113364">
              <w:rPr>
                <w:rFonts w:ascii="Arial" w:hAnsi="Arial" w:cs="Arial"/>
              </w:rPr>
              <w:t xml:space="preserve"> </w:t>
            </w:r>
            <w:r w:rsidR="005648DC" w:rsidRPr="00113364">
              <w:rPr>
                <w:rFonts w:ascii="Arial" w:hAnsi="Arial" w:cs="Arial"/>
              </w:rPr>
              <w:t>6.8</w:t>
            </w:r>
            <w:r w:rsidR="00CE30FD" w:rsidRPr="00113364">
              <w:rPr>
                <w:rFonts w:ascii="Arial" w:hAnsi="Arial" w:cs="Arial"/>
              </w:rPr>
              <w:t> </w:t>
            </w:r>
            <w:r w:rsidRPr="00113364">
              <w:rPr>
                <w:rFonts w:ascii="Arial" w:hAnsi="Arial" w:cs="Arial"/>
              </w:rPr>
              <w:t xml:space="preserve">percent </w:t>
            </w:r>
            <w:r w:rsidR="005648DC" w:rsidRPr="00113364">
              <w:rPr>
                <w:rFonts w:ascii="Arial" w:hAnsi="Arial" w:cs="Arial"/>
              </w:rPr>
              <w:t xml:space="preserve">of migratory PFS students </w:t>
            </w:r>
            <w:r w:rsidRPr="00113364">
              <w:rPr>
                <w:rFonts w:ascii="Arial" w:hAnsi="Arial" w:cs="Arial"/>
              </w:rPr>
              <w:t xml:space="preserve">met the </w:t>
            </w:r>
            <w:r w:rsidR="005648DC" w:rsidRPr="00113364">
              <w:rPr>
                <w:rFonts w:ascii="Arial" w:hAnsi="Arial" w:cs="Arial"/>
              </w:rPr>
              <w:t xml:space="preserve">CAASPP </w:t>
            </w:r>
            <w:r w:rsidR="00AD0D2B" w:rsidRPr="00113364">
              <w:rPr>
                <w:rFonts w:ascii="Arial" w:hAnsi="Arial" w:cs="Arial"/>
              </w:rPr>
              <w:t>o</w:t>
            </w:r>
            <w:r w:rsidR="005648DC" w:rsidRPr="00113364">
              <w:rPr>
                <w:rFonts w:ascii="Arial" w:hAnsi="Arial" w:cs="Arial"/>
              </w:rPr>
              <w:t xml:space="preserve">verall </w:t>
            </w:r>
            <w:r w:rsidR="00AD0D2B" w:rsidRPr="00113364">
              <w:rPr>
                <w:rFonts w:ascii="Arial" w:hAnsi="Arial" w:cs="Arial"/>
              </w:rPr>
              <w:t>m</w:t>
            </w:r>
            <w:r w:rsidR="00E7492F" w:rsidRPr="00113364">
              <w:rPr>
                <w:rFonts w:ascii="Arial" w:hAnsi="Arial" w:cs="Arial"/>
              </w:rPr>
              <w:t>athematics</w:t>
            </w:r>
            <w:r w:rsidR="005648DC" w:rsidRPr="00113364">
              <w:rPr>
                <w:rFonts w:ascii="Arial" w:hAnsi="Arial" w:cs="Arial"/>
              </w:rPr>
              <w:t xml:space="preserve"> </w:t>
            </w:r>
            <w:r w:rsidR="00AD0D2B" w:rsidRPr="00113364">
              <w:rPr>
                <w:rFonts w:ascii="Arial" w:hAnsi="Arial" w:cs="Arial"/>
              </w:rPr>
              <w:t>achievement.</w:t>
            </w:r>
          </w:p>
          <w:p w14:paraId="1AB66BB9" w14:textId="66FB98DA" w:rsidR="009677C8" w:rsidRPr="00113364" w:rsidRDefault="009677C8" w:rsidP="00CE30FD">
            <w:pPr>
              <w:pStyle w:val="ListParagraph"/>
              <w:numPr>
                <w:ilvl w:val="0"/>
                <w:numId w:val="12"/>
              </w:numPr>
              <w:tabs>
                <w:tab w:val="clear" w:pos="720"/>
              </w:tabs>
              <w:spacing w:after="120"/>
              <w:ind w:left="346"/>
              <w:contextualSpacing w:val="0"/>
              <w:rPr>
                <w:rFonts w:ascii="Arial" w:hAnsi="Arial" w:cs="Arial"/>
              </w:rPr>
            </w:pPr>
            <w:r w:rsidRPr="00113364">
              <w:rPr>
                <w:rFonts w:ascii="Arial" w:hAnsi="Arial" w:cs="Arial"/>
                <w:b/>
              </w:rPr>
              <w:t>All Students:</w:t>
            </w:r>
            <w:r w:rsidRPr="00113364">
              <w:rPr>
                <w:rFonts w:ascii="Arial" w:hAnsi="Arial" w:cs="Arial"/>
              </w:rPr>
              <w:t xml:space="preserve"> 3</w:t>
            </w:r>
            <w:r w:rsidR="005648DC" w:rsidRPr="00113364">
              <w:rPr>
                <w:rFonts w:ascii="Arial" w:hAnsi="Arial" w:cs="Arial"/>
              </w:rPr>
              <w:t>4.6</w:t>
            </w:r>
            <w:r w:rsidR="00CE30FD" w:rsidRPr="00113364">
              <w:rPr>
                <w:rFonts w:ascii="Arial" w:hAnsi="Arial" w:cs="Arial"/>
              </w:rPr>
              <w:t> </w:t>
            </w:r>
            <w:r w:rsidRPr="00113364">
              <w:rPr>
                <w:rFonts w:ascii="Arial" w:hAnsi="Arial" w:cs="Arial"/>
              </w:rPr>
              <w:t xml:space="preserve">percent met or exceeded </w:t>
            </w:r>
            <w:proofErr w:type="gramStart"/>
            <w:r w:rsidRPr="00113364">
              <w:rPr>
                <w:rFonts w:ascii="Arial" w:hAnsi="Arial" w:cs="Arial"/>
              </w:rPr>
              <w:t xml:space="preserve">the </w:t>
            </w:r>
            <w:r w:rsidR="00CE30FD" w:rsidRPr="00113364">
              <w:rPr>
                <w:rFonts w:ascii="Arial" w:hAnsi="Arial" w:cs="Arial"/>
              </w:rPr>
              <w:t>CAASPP</w:t>
            </w:r>
            <w:proofErr w:type="gramEnd"/>
            <w:r w:rsidR="00CE30FD" w:rsidRPr="00113364">
              <w:rPr>
                <w:rFonts w:ascii="Arial" w:hAnsi="Arial" w:cs="Arial"/>
              </w:rPr>
              <w:t xml:space="preserve"> </w:t>
            </w:r>
            <w:r w:rsidR="00AD0D2B" w:rsidRPr="00113364">
              <w:rPr>
                <w:rFonts w:ascii="Arial" w:hAnsi="Arial" w:cs="Arial"/>
              </w:rPr>
              <w:t>o</w:t>
            </w:r>
            <w:r w:rsidR="00CE30FD" w:rsidRPr="00113364">
              <w:rPr>
                <w:rFonts w:ascii="Arial" w:hAnsi="Arial" w:cs="Arial"/>
              </w:rPr>
              <w:t xml:space="preserve">verall </w:t>
            </w:r>
            <w:r w:rsidR="00AD0D2B" w:rsidRPr="00113364">
              <w:rPr>
                <w:rFonts w:ascii="Arial" w:hAnsi="Arial" w:cs="Arial"/>
              </w:rPr>
              <w:t>mathematics</w:t>
            </w:r>
            <w:r w:rsidR="00CE30FD" w:rsidRPr="00113364">
              <w:rPr>
                <w:rFonts w:ascii="Arial" w:hAnsi="Arial" w:cs="Arial"/>
              </w:rPr>
              <w:t xml:space="preserve"> </w:t>
            </w:r>
            <w:r w:rsidR="00AD0D2B" w:rsidRPr="00113364">
              <w:rPr>
                <w:rFonts w:ascii="Arial" w:hAnsi="Arial" w:cs="Arial"/>
              </w:rPr>
              <w:t>achievement.</w:t>
            </w:r>
          </w:p>
          <w:p w14:paraId="2146752E" w14:textId="12F5ACC6" w:rsidR="009677C8" w:rsidRPr="00113364" w:rsidRDefault="005648DC" w:rsidP="00CE30FD">
            <w:pPr>
              <w:pStyle w:val="ListParagraph"/>
              <w:numPr>
                <w:ilvl w:val="0"/>
                <w:numId w:val="12"/>
              </w:numPr>
              <w:tabs>
                <w:tab w:val="clear" w:pos="720"/>
              </w:tabs>
              <w:spacing w:after="120"/>
              <w:ind w:left="346"/>
              <w:contextualSpacing w:val="0"/>
              <w:rPr>
                <w:rFonts w:ascii="Arial" w:hAnsi="Arial" w:cs="Arial"/>
              </w:rPr>
            </w:pPr>
            <w:r w:rsidRPr="00113364">
              <w:rPr>
                <w:rFonts w:ascii="Arial" w:hAnsi="Arial" w:cs="Arial"/>
              </w:rPr>
              <w:t xml:space="preserve">While the achievement gap for the CAASPP </w:t>
            </w:r>
            <w:r w:rsidR="00AD0D2B" w:rsidRPr="00113364">
              <w:rPr>
                <w:rFonts w:ascii="Arial" w:hAnsi="Arial" w:cs="Arial"/>
              </w:rPr>
              <w:t>o</w:t>
            </w:r>
            <w:r w:rsidRPr="00113364">
              <w:rPr>
                <w:rFonts w:ascii="Arial" w:hAnsi="Arial" w:cs="Arial"/>
              </w:rPr>
              <w:t xml:space="preserve">verall </w:t>
            </w:r>
            <w:r w:rsidR="00AD0D2B" w:rsidRPr="00113364">
              <w:rPr>
                <w:rFonts w:ascii="Arial" w:hAnsi="Arial" w:cs="Arial"/>
              </w:rPr>
              <w:t>m</w:t>
            </w:r>
            <w:r w:rsidR="00E7492F" w:rsidRPr="00113364">
              <w:rPr>
                <w:rFonts w:ascii="Arial" w:hAnsi="Arial" w:cs="Arial"/>
              </w:rPr>
              <w:t>athematics</w:t>
            </w:r>
            <w:r w:rsidRPr="00113364">
              <w:rPr>
                <w:rFonts w:ascii="Arial" w:hAnsi="Arial" w:cs="Arial"/>
              </w:rPr>
              <w:t xml:space="preserve"> </w:t>
            </w:r>
            <w:r w:rsidR="00AD0D2B" w:rsidRPr="00113364">
              <w:rPr>
                <w:rFonts w:ascii="Arial" w:hAnsi="Arial" w:cs="Arial"/>
              </w:rPr>
              <w:t>achievement</w:t>
            </w:r>
            <w:r w:rsidRPr="00113364">
              <w:rPr>
                <w:rFonts w:ascii="Arial" w:hAnsi="Arial" w:cs="Arial"/>
              </w:rPr>
              <w:t xml:space="preserve"> has remained </w:t>
            </w:r>
            <w:proofErr w:type="gramStart"/>
            <w:r w:rsidRPr="00113364">
              <w:rPr>
                <w:rFonts w:ascii="Arial" w:hAnsi="Arial" w:cs="Arial"/>
              </w:rPr>
              <w:t>fairly consistent</w:t>
            </w:r>
            <w:proofErr w:type="gramEnd"/>
            <w:r w:rsidRPr="00113364">
              <w:rPr>
                <w:rFonts w:ascii="Arial" w:hAnsi="Arial" w:cs="Arial"/>
              </w:rPr>
              <w:t xml:space="preserve"> from 2018–19 through 2022–23, the largest achievement gap of 20.3 percentage points was recorded in</w:t>
            </w:r>
            <w:r w:rsidR="004B7A97">
              <w:rPr>
                <w:rFonts w:ascii="Arial" w:hAnsi="Arial" w:cs="Arial"/>
              </w:rPr>
              <w:t xml:space="preserve"> school year</w:t>
            </w:r>
            <w:r w:rsidRPr="00113364">
              <w:rPr>
                <w:rFonts w:ascii="Arial" w:hAnsi="Arial" w:cs="Arial"/>
              </w:rPr>
              <w:t xml:space="preserve"> </w:t>
            </w:r>
            <w:r w:rsidR="004B7A97">
              <w:rPr>
                <w:rFonts w:ascii="Arial" w:hAnsi="Arial" w:cs="Arial"/>
              </w:rPr>
              <w:t>(</w:t>
            </w:r>
            <w:r w:rsidRPr="00113364">
              <w:rPr>
                <w:rFonts w:ascii="Arial" w:hAnsi="Arial" w:cs="Arial"/>
              </w:rPr>
              <w:t>SY</w:t>
            </w:r>
            <w:r w:rsidR="004B7A97">
              <w:rPr>
                <w:rFonts w:ascii="Arial" w:hAnsi="Arial" w:cs="Arial"/>
              </w:rPr>
              <w:t>)</w:t>
            </w:r>
            <w:r w:rsidRPr="00113364">
              <w:rPr>
                <w:rFonts w:ascii="Arial" w:hAnsi="Arial" w:cs="Arial"/>
              </w:rPr>
              <w:t xml:space="preserve"> 2022–23.</w:t>
            </w:r>
          </w:p>
          <w:p w14:paraId="634F5B0B" w14:textId="793A5DB4" w:rsidR="005648DC" w:rsidRPr="00113364" w:rsidRDefault="005648DC" w:rsidP="00CE30FD">
            <w:pPr>
              <w:pStyle w:val="List-Level1"/>
              <w:numPr>
                <w:ilvl w:val="0"/>
                <w:numId w:val="12"/>
              </w:numPr>
              <w:tabs>
                <w:tab w:val="clear" w:pos="720"/>
              </w:tabs>
              <w:spacing w:line="240" w:lineRule="auto"/>
              <w:ind w:left="346"/>
              <w:rPr>
                <w:color w:val="auto"/>
              </w:rPr>
            </w:pPr>
            <w:r w:rsidRPr="00113364">
              <w:rPr>
                <w:color w:val="auto"/>
              </w:rPr>
              <w:t>Migratory PFS students were 27.8 percentage points less likely than all students to score at standard met or standard exceeded. Migratory students overall were 20.3 percentage points less likely than all students to score at standard met or standard exceeded.</w:t>
            </w:r>
          </w:p>
        </w:tc>
        <w:tc>
          <w:tcPr>
            <w:tcW w:w="2354" w:type="dxa"/>
          </w:tcPr>
          <w:p w14:paraId="76648FBB" w14:textId="58363EAE" w:rsidR="009677C8" w:rsidRPr="00113364" w:rsidRDefault="00CE30FD" w:rsidP="00CE30FD">
            <w:pPr>
              <w:ind w:left="10"/>
              <w:rPr>
                <w:rFonts w:ascii="Arial" w:hAnsi="Arial" w:cs="Arial"/>
              </w:rPr>
            </w:pPr>
            <w:r w:rsidRPr="00113364">
              <w:rPr>
                <w:rFonts w:ascii="Arial" w:hAnsi="Arial" w:cs="Arial"/>
              </w:rPr>
              <w:t xml:space="preserve">We are </w:t>
            </w:r>
            <w:r w:rsidR="00A836A6" w:rsidRPr="00113364">
              <w:rPr>
                <w:rFonts w:ascii="Arial" w:hAnsi="Arial" w:cs="Arial"/>
              </w:rPr>
              <w:t>concerned that</w:t>
            </w:r>
            <w:r w:rsidRPr="00113364">
              <w:rPr>
                <w:rFonts w:ascii="Arial" w:hAnsi="Arial" w:cs="Arial"/>
              </w:rPr>
              <w:t xml:space="preserve"> the achievement gap for the CAASPP </w:t>
            </w:r>
            <w:r w:rsidR="00AD0D2B" w:rsidRPr="00113364">
              <w:rPr>
                <w:rFonts w:ascii="Arial" w:hAnsi="Arial" w:cs="Arial"/>
              </w:rPr>
              <w:t>o</w:t>
            </w:r>
            <w:r w:rsidRPr="00113364">
              <w:rPr>
                <w:rFonts w:ascii="Arial" w:hAnsi="Arial" w:cs="Arial"/>
              </w:rPr>
              <w:t xml:space="preserve">verall </w:t>
            </w:r>
            <w:r w:rsidR="00AD0D2B" w:rsidRPr="00113364">
              <w:rPr>
                <w:rFonts w:ascii="Arial" w:hAnsi="Arial" w:cs="Arial"/>
              </w:rPr>
              <w:t>m</w:t>
            </w:r>
            <w:r w:rsidR="00E7492F" w:rsidRPr="00113364">
              <w:rPr>
                <w:rFonts w:ascii="Arial" w:hAnsi="Arial" w:cs="Arial"/>
              </w:rPr>
              <w:t>athematics</w:t>
            </w:r>
            <w:r w:rsidRPr="00113364">
              <w:rPr>
                <w:rFonts w:ascii="Arial" w:hAnsi="Arial" w:cs="Arial"/>
              </w:rPr>
              <w:t xml:space="preserve"> </w:t>
            </w:r>
            <w:r w:rsidR="00AD0D2B" w:rsidRPr="00113364">
              <w:rPr>
                <w:rFonts w:ascii="Arial" w:hAnsi="Arial" w:cs="Arial"/>
              </w:rPr>
              <w:t>achievement</w:t>
            </w:r>
            <w:r w:rsidRPr="00113364">
              <w:rPr>
                <w:rFonts w:ascii="Arial" w:hAnsi="Arial" w:cs="Arial"/>
              </w:rPr>
              <w:t xml:space="preserve"> is not decreasing.</w:t>
            </w:r>
          </w:p>
        </w:tc>
        <w:tc>
          <w:tcPr>
            <w:tcW w:w="2231" w:type="dxa"/>
          </w:tcPr>
          <w:p w14:paraId="0AEAF7DE" w14:textId="65F213AD" w:rsidR="009677C8" w:rsidRPr="00113364" w:rsidRDefault="00CE30FD" w:rsidP="00CE30FD">
            <w:pPr>
              <w:ind w:left="10"/>
              <w:rPr>
                <w:rFonts w:ascii="Arial" w:hAnsi="Arial" w:cs="Arial"/>
              </w:rPr>
            </w:pPr>
            <w:r w:rsidRPr="00113364">
              <w:rPr>
                <w:rFonts w:ascii="Arial" w:hAnsi="Arial" w:cs="Arial"/>
              </w:rPr>
              <w:t xml:space="preserve">An additional 20.3 percent of migratory students need to be proficient in mathematics as measured by the CAASPP </w:t>
            </w:r>
            <w:r w:rsidR="00AD0D2B" w:rsidRPr="00113364">
              <w:rPr>
                <w:rFonts w:ascii="Arial" w:hAnsi="Arial" w:cs="Arial"/>
              </w:rPr>
              <w:t>m</w:t>
            </w:r>
            <w:r w:rsidR="00E7492F" w:rsidRPr="00113364">
              <w:rPr>
                <w:rFonts w:ascii="Arial" w:hAnsi="Arial" w:cs="Arial"/>
              </w:rPr>
              <w:t>athematics</w:t>
            </w:r>
            <w:r w:rsidRPr="00113364">
              <w:rPr>
                <w:rFonts w:ascii="Arial" w:hAnsi="Arial" w:cs="Arial"/>
              </w:rPr>
              <w:t xml:space="preserve"> Smarter Balanced Summative Assessment.</w:t>
            </w:r>
          </w:p>
        </w:tc>
      </w:tr>
    </w:tbl>
    <w:p w14:paraId="1FB6B7F5" w14:textId="1887A51A" w:rsidR="009677C8" w:rsidRPr="00113364" w:rsidRDefault="001A764E" w:rsidP="008334C7">
      <w:pPr>
        <w:spacing w:before="240" w:after="240"/>
        <w:rPr>
          <w:rFonts w:ascii="Arial" w:hAnsi="Arial" w:cs="Arial"/>
        </w:rPr>
      </w:pPr>
      <w:r w:rsidRPr="00113364">
        <w:rPr>
          <w:rFonts w:ascii="Arial" w:hAnsi="Arial" w:cs="Arial"/>
        </w:rPr>
        <w:t xml:space="preserve">In addition to overall </w:t>
      </w:r>
      <w:r w:rsidR="00E7492F" w:rsidRPr="00113364">
        <w:rPr>
          <w:rFonts w:ascii="Arial" w:hAnsi="Arial" w:cs="Arial"/>
        </w:rPr>
        <w:t>mathematics</w:t>
      </w:r>
      <w:r w:rsidRPr="00113364">
        <w:rPr>
          <w:rFonts w:ascii="Arial" w:hAnsi="Arial" w:cs="Arial"/>
        </w:rPr>
        <w:t xml:space="preserve"> proficiency, the CNA SDP Committee finalized the second need focused on developing </w:t>
      </w:r>
      <w:r w:rsidR="00BA5487" w:rsidRPr="00113364">
        <w:rPr>
          <w:rFonts w:ascii="Arial" w:hAnsi="Arial" w:cs="Arial"/>
        </w:rPr>
        <w:t>students’</w:t>
      </w:r>
      <w:r w:rsidRPr="00113364">
        <w:rPr>
          <w:rFonts w:ascii="Arial" w:hAnsi="Arial" w:cs="Arial"/>
        </w:rPr>
        <w:t xml:space="preserve"> knowledge and skills within the first </w:t>
      </w:r>
      <w:r w:rsidR="00E7492F" w:rsidRPr="00113364">
        <w:rPr>
          <w:rFonts w:ascii="Arial" w:hAnsi="Arial" w:cs="Arial"/>
        </w:rPr>
        <w:t>mathematics</w:t>
      </w:r>
      <w:r w:rsidRPr="00113364">
        <w:rPr>
          <w:rFonts w:ascii="Arial" w:hAnsi="Arial" w:cs="Arial"/>
        </w:rPr>
        <w:t xml:space="preserve"> claim for the Smarter Balanced Summative Assessment, concepts and procedures. </w:t>
      </w:r>
    </w:p>
    <w:p w14:paraId="3FBBF1C5" w14:textId="2772B717" w:rsidR="006143B6" w:rsidRPr="00113364" w:rsidRDefault="00CE30FD" w:rsidP="00C73204">
      <w:pPr>
        <w:pStyle w:val="Heading4"/>
      </w:pPr>
      <w:r w:rsidRPr="00113364">
        <w:t>Mathematics Focus Area</w:t>
      </w:r>
      <w:r w:rsidR="006143B6" w:rsidRPr="00113364">
        <w:t xml:space="preserve">: </w:t>
      </w:r>
      <w:r w:rsidRPr="00113364">
        <w:t>Claim 1 – Concepts and Procedures</w:t>
      </w:r>
    </w:p>
    <w:p w14:paraId="5A964258" w14:textId="5E51511F" w:rsidR="00EC6E78" w:rsidRPr="00F01299" w:rsidRDefault="00D30BD7" w:rsidP="00C73204">
      <w:pPr>
        <w:rPr>
          <w:rFonts w:ascii="Arial" w:hAnsi="Arial" w:cs="Arial"/>
        </w:rPr>
      </w:pPr>
      <w:r w:rsidRPr="00113364">
        <w:rPr>
          <w:rFonts w:ascii="Arial" w:hAnsi="Arial" w:cs="Arial"/>
        </w:rPr>
        <w:t>Migratory student proficiency in 2015–16 was at roughly eight percent for claim 1 under the Smarter Balanced Summative Assessment and increased to 12.1 percent in</w:t>
      </w:r>
      <w:r w:rsidR="009B7DFD">
        <w:rPr>
          <w:rFonts w:ascii="Arial" w:hAnsi="Arial" w:cs="Arial"/>
        </w:rPr>
        <w:t xml:space="preserve">   </w:t>
      </w:r>
      <w:r w:rsidRPr="00113364">
        <w:rPr>
          <w:rFonts w:ascii="Arial" w:hAnsi="Arial" w:cs="Arial"/>
        </w:rPr>
        <w:t xml:space="preserve"> 2018–19. In 2022–23, claim 1 proficiency for migratory students decreased to just under </w:t>
      </w:r>
      <w:r w:rsidRPr="00113364">
        <w:rPr>
          <w:rFonts w:ascii="Arial" w:hAnsi="Arial" w:cs="Arial"/>
        </w:rPr>
        <w:lastRenderedPageBreak/>
        <w:t xml:space="preserve">six percent. The disruption of the SDP’s progress was felt in all focus areas, but </w:t>
      </w:r>
      <w:r w:rsidR="00E7492F" w:rsidRPr="00F01299">
        <w:rPr>
          <w:rFonts w:ascii="Arial" w:hAnsi="Arial" w:cs="Arial"/>
        </w:rPr>
        <w:t>mathematics</w:t>
      </w:r>
      <w:r w:rsidRPr="00F01299">
        <w:rPr>
          <w:rFonts w:ascii="Arial" w:hAnsi="Arial" w:cs="Arial"/>
        </w:rPr>
        <w:t xml:space="preserve"> proficiency continues to be of concern which is identified in table 8.</w:t>
      </w:r>
    </w:p>
    <w:p w14:paraId="2836DC26" w14:textId="4931FB92" w:rsidR="009C48A3" w:rsidRPr="00113364" w:rsidRDefault="009C48A3" w:rsidP="00FB34EF">
      <w:pPr>
        <w:pStyle w:val="Heading5"/>
        <w:spacing w:after="0"/>
        <w:rPr>
          <w:b/>
          <w:bCs/>
          <w:i w:val="0"/>
          <w:iCs/>
          <w:sz w:val="24"/>
        </w:rPr>
      </w:pPr>
      <w:bookmarkStart w:id="32" w:name="_Toc204755344"/>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8</w:t>
      </w:r>
      <w:r w:rsidR="00C46CA6" w:rsidRPr="00113364">
        <w:rPr>
          <w:b/>
          <w:bCs/>
          <w:i w:val="0"/>
          <w:iCs/>
          <w:sz w:val="24"/>
        </w:rPr>
        <w:fldChar w:fldCharType="end"/>
      </w:r>
      <w:r w:rsidRPr="00113364">
        <w:rPr>
          <w:b/>
          <w:bCs/>
          <w:i w:val="0"/>
          <w:iCs/>
          <w:sz w:val="24"/>
        </w:rPr>
        <w:t>. Data Summary, Concern Statement</w:t>
      </w:r>
      <w:r w:rsidR="000075C1" w:rsidRPr="00113364">
        <w:rPr>
          <w:b/>
          <w:bCs/>
          <w:i w:val="0"/>
          <w:iCs/>
          <w:sz w:val="24"/>
        </w:rPr>
        <w:t>, and Need</w:t>
      </w:r>
      <w:r w:rsidRPr="00113364">
        <w:rPr>
          <w:b/>
          <w:bCs/>
          <w:i w:val="0"/>
          <w:iCs/>
          <w:sz w:val="24"/>
        </w:rPr>
        <w:t xml:space="preserve"> Statement for </w:t>
      </w:r>
      <w:r w:rsidR="00CE30FD" w:rsidRPr="00113364">
        <w:rPr>
          <w:b/>
          <w:bCs/>
          <w:i w:val="0"/>
          <w:iCs/>
          <w:sz w:val="24"/>
        </w:rPr>
        <w:t xml:space="preserve">Mathematics </w:t>
      </w:r>
      <w:r w:rsidRPr="00113364">
        <w:rPr>
          <w:b/>
          <w:bCs/>
          <w:i w:val="0"/>
          <w:iCs/>
          <w:sz w:val="24"/>
        </w:rPr>
        <w:t xml:space="preserve">Claim </w:t>
      </w:r>
      <w:r w:rsidR="00CE30FD" w:rsidRPr="00113364">
        <w:rPr>
          <w:b/>
          <w:bCs/>
          <w:i w:val="0"/>
          <w:iCs/>
          <w:sz w:val="24"/>
        </w:rPr>
        <w:t>1</w:t>
      </w:r>
      <w:r w:rsidRPr="00113364">
        <w:rPr>
          <w:b/>
          <w:bCs/>
          <w:i w:val="0"/>
          <w:iCs/>
          <w:sz w:val="24"/>
        </w:rPr>
        <w:t xml:space="preserve"> </w:t>
      </w:r>
      <w:r w:rsidR="00CE30FD" w:rsidRPr="00113364">
        <w:rPr>
          <w:b/>
          <w:bCs/>
          <w:i w:val="0"/>
          <w:iCs/>
          <w:sz w:val="24"/>
        </w:rPr>
        <w:t>–</w:t>
      </w:r>
      <w:r w:rsidRPr="00113364">
        <w:rPr>
          <w:b/>
          <w:bCs/>
          <w:i w:val="0"/>
          <w:iCs/>
          <w:sz w:val="24"/>
        </w:rPr>
        <w:t xml:space="preserve"> </w:t>
      </w:r>
      <w:r w:rsidR="00CE30FD" w:rsidRPr="00113364">
        <w:rPr>
          <w:b/>
          <w:bCs/>
          <w:i w:val="0"/>
          <w:iCs/>
          <w:sz w:val="24"/>
        </w:rPr>
        <w:t>Concepts and Procedures</w:t>
      </w:r>
      <w:bookmarkEnd w:id="32"/>
    </w:p>
    <w:tbl>
      <w:tblPr>
        <w:tblStyle w:val="GridTable4-Accent5"/>
        <w:tblW w:w="0" w:type="auto"/>
        <w:tblLook w:val="0420" w:firstRow="1" w:lastRow="0" w:firstColumn="0" w:lastColumn="0" w:noHBand="0" w:noVBand="1"/>
        <w:tblDescription w:val="Data Summary, Concern Statement, and Need Statement for Claim 2 - Problem Solving and Modeling Data"/>
      </w:tblPr>
      <w:tblGrid>
        <w:gridCol w:w="4737"/>
        <w:gridCol w:w="2468"/>
        <w:gridCol w:w="2145"/>
      </w:tblGrid>
      <w:tr w:rsidR="009677C8" w:rsidRPr="00113364" w14:paraId="25D27ABD" w14:textId="77777777" w:rsidTr="00666FB3">
        <w:trPr>
          <w:cnfStyle w:val="100000000000" w:firstRow="1" w:lastRow="0" w:firstColumn="0" w:lastColumn="0" w:oddVBand="0" w:evenVBand="0" w:oddHBand="0" w:evenHBand="0" w:firstRowFirstColumn="0" w:firstRowLastColumn="0" w:lastRowFirstColumn="0" w:lastRowLastColumn="0"/>
          <w:cantSplit/>
          <w:tblHeader/>
        </w:trPr>
        <w:tc>
          <w:tcPr>
            <w:tcW w:w="4878" w:type="dxa"/>
            <w:tcBorders>
              <w:right w:val="single" w:sz="4" w:space="0" w:color="5B9BD5" w:themeColor="accent1"/>
            </w:tcBorders>
            <w:shd w:val="clear" w:color="auto" w:fill="1F3864" w:themeFill="accent5" w:themeFillShade="80"/>
            <w:vAlign w:val="center"/>
          </w:tcPr>
          <w:p w14:paraId="5BA85F84" w14:textId="77777777" w:rsidR="009677C8" w:rsidRPr="00113364" w:rsidRDefault="009677C8" w:rsidP="00666FB3">
            <w:pPr>
              <w:jc w:val="center"/>
              <w:rPr>
                <w:rFonts w:ascii="Arial" w:hAnsi="Arial" w:cs="Arial"/>
                <w:b w:val="0"/>
                <w:color w:val="FFFFFF"/>
              </w:rPr>
            </w:pPr>
            <w:r w:rsidRPr="00113364">
              <w:rPr>
                <w:rFonts w:ascii="Arial" w:hAnsi="Arial" w:cs="Arial"/>
                <w:color w:val="FFFFFF"/>
              </w:rPr>
              <w:t>Data Summary:</w:t>
            </w:r>
          </w:p>
          <w:p w14:paraId="65653041" w14:textId="28767550" w:rsidR="009677C8" w:rsidRPr="00113364" w:rsidRDefault="009677C8" w:rsidP="00666FB3">
            <w:pPr>
              <w:jc w:val="center"/>
              <w:rPr>
                <w:rFonts w:ascii="Arial" w:hAnsi="Arial" w:cs="Arial"/>
                <w:color w:val="FFFFFF"/>
              </w:rPr>
            </w:pPr>
            <w:r w:rsidRPr="00113364">
              <w:rPr>
                <w:rFonts w:ascii="Arial" w:hAnsi="Arial" w:cs="Arial"/>
                <w:color w:val="FFFFFF"/>
              </w:rPr>
              <w:t>20</w:t>
            </w:r>
            <w:r w:rsidR="00CE30FD" w:rsidRPr="00113364">
              <w:rPr>
                <w:rFonts w:ascii="Arial" w:hAnsi="Arial" w:cs="Arial"/>
                <w:color w:val="FFFFFF"/>
              </w:rPr>
              <w:t>22</w:t>
            </w:r>
            <w:r w:rsidRPr="00113364">
              <w:rPr>
                <w:rFonts w:ascii="Arial" w:hAnsi="Arial" w:cs="Arial"/>
                <w:color w:val="FFFFFF"/>
              </w:rPr>
              <w:t>–</w:t>
            </w:r>
            <w:r w:rsidR="00CE30FD" w:rsidRPr="00113364">
              <w:rPr>
                <w:rFonts w:ascii="Arial" w:hAnsi="Arial" w:cs="Arial"/>
                <w:color w:val="FFFFFF"/>
              </w:rPr>
              <w:t>23</w:t>
            </w:r>
            <w:r w:rsidRPr="00113364">
              <w:rPr>
                <w:rFonts w:ascii="Arial" w:hAnsi="Arial" w:cs="Arial"/>
                <w:color w:val="FFFFFF"/>
              </w:rPr>
              <w:t xml:space="preserve"> CAASSP Claim </w:t>
            </w:r>
            <w:r w:rsidR="00CE30FD" w:rsidRPr="00113364">
              <w:rPr>
                <w:rFonts w:ascii="Arial" w:hAnsi="Arial" w:cs="Arial"/>
                <w:color w:val="FFFFFF"/>
              </w:rPr>
              <w:t>1</w:t>
            </w:r>
            <w:r w:rsidRPr="00113364">
              <w:rPr>
                <w:rFonts w:ascii="Arial" w:hAnsi="Arial" w:cs="Arial"/>
                <w:color w:val="FFFFFF"/>
              </w:rPr>
              <w:t xml:space="preserve"> – </w:t>
            </w:r>
            <w:r w:rsidR="00CE30FD" w:rsidRPr="00113364">
              <w:rPr>
                <w:rFonts w:ascii="Arial" w:hAnsi="Arial" w:cs="Arial"/>
                <w:color w:val="FFFFFF"/>
              </w:rPr>
              <w:t>Concepts and Procedures</w:t>
            </w:r>
          </w:p>
        </w:tc>
        <w:tc>
          <w:tcPr>
            <w:tcW w:w="2520" w:type="dxa"/>
            <w:tcBorders>
              <w:left w:val="single" w:sz="4" w:space="0" w:color="5B9BD5" w:themeColor="accent1"/>
              <w:right w:val="single" w:sz="4" w:space="0" w:color="5B9BD5" w:themeColor="accent1"/>
            </w:tcBorders>
            <w:shd w:val="clear" w:color="auto" w:fill="1F3864" w:themeFill="accent5" w:themeFillShade="80"/>
            <w:vAlign w:val="center"/>
          </w:tcPr>
          <w:p w14:paraId="75F91DA1" w14:textId="77777777" w:rsidR="009677C8" w:rsidRPr="00113364" w:rsidRDefault="009677C8" w:rsidP="00666FB3">
            <w:pPr>
              <w:pStyle w:val="ListParagraph"/>
              <w:widowControl w:val="0"/>
              <w:autoSpaceDE w:val="0"/>
              <w:autoSpaceDN w:val="0"/>
              <w:adjustRightInd w:val="0"/>
              <w:ind w:left="0"/>
              <w:contextualSpacing w:val="0"/>
              <w:jc w:val="center"/>
              <w:rPr>
                <w:rFonts w:ascii="Arial" w:hAnsi="Arial" w:cs="Arial"/>
                <w:color w:val="FFFFFF"/>
              </w:rPr>
            </w:pPr>
            <w:r w:rsidRPr="00113364">
              <w:rPr>
                <w:rFonts w:ascii="Arial" w:hAnsi="Arial" w:cs="Arial"/>
                <w:color w:val="FFFFFF"/>
              </w:rPr>
              <w:t>Concern Statement</w:t>
            </w:r>
          </w:p>
        </w:tc>
        <w:tc>
          <w:tcPr>
            <w:tcW w:w="2178" w:type="dxa"/>
            <w:tcBorders>
              <w:left w:val="single" w:sz="4" w:space="0" w:color="5B9BD5" w:themeColor="accent1"/>
            </w:tcBorders>
            <w:shd w:val="clear" w:color="auto" w:fill="1F3864" w:themeFill="accent5" w:themeFillShade="80"/>
            <w:vAlign w:val="center"/>
          </w:tcPr>
          <w:p w14:paraId="70F29888" w14:textId="77777777" w:rsidR="009677C8" w:rsidRPr="00113364" w:rsidRDefault="009677C8" w:rsidP="00666FB3">
            <w:pPr>
              <w:pStyle w:val="ListParagraph"/>
              <w:widowControl w:val="0"/>
              <w:autoSpaceDE w:val="0"/>
              <w:autoSpaceDN w:val="0"/>
              <w:adjustRightInd w:val="0"/>
              <w:ind w:left="0"/>
              <w:contextualSpacing w:val="0"/>
              <w:jc w:val="center"/>
              <w:rPr>
                <w:rFonts w:ascii="Arial" w:hAnsi="Arial" w:cs="Arial"/>
                <w:color w:val="FFFFFF"/>
              </w:rPr>
            </w:pPr>
            <w:r w:rsidRPr="00113364">
              <w:rPr>
                <w:rFonts w:ascii="Arial" w:hAnsi="Arial" w:cs="Arial"/>
                <w:color w:val="FFFFFF"/>
              </w:rPr>
              <w:t>Need Statement</w:t>
            </w:r>
          </w:p>
        </w:tc>
      </w:tr>
      <w:tr w:rsidR="009677C8" w:rsidRPr="00113364" w14:paraId="49E2D7C0" w14:textId="77777777" w:rsidTr="00940787">
        <w:trPr>
          <w:cnfStyle w:val="000000100000" w:firstRow="0" w:lastRow="0" w:firstColumn="0" w:lastColumn="0" w:oddVBand="0" w:evenVBand="0" w:oddHBand="1" w:evenHBand="0" w:firstRowFirstColumn="0" w:firstRowLastColumn="0" w:lastRowFirstColumn="0" w:lastRowLastColumn="0"/>
          <w:cantSplit/>
          <w:trHeight w:val="251"/>
        </w:trPr>
        <w:tc>
          <w:tcPr>
            <w:tcW w:w="4878" w:type="dxa"/>
          </w:tcPr>
          <w:p w14:paraId="16BB7CB4" w14:textId="615BD364" w:rsidR="009677C8" w:rsidRPr="00113364" w:rsidRDefault="009677C8" w:rsidP="00FC105F">
            <w:pPr>
              <w:pStyle w:val="ListParagraph"/>
              <w:widowControl w:val="0"/>
              <w:numPr>
                <w:ilvl w:val="0"/>
                <w:numId w:val="13"/>
              </w:numPr>
              <w:autoSpaceDE w:val="0"/>
              <w:autoSpaceDN w:val="0"/>
              <w:adjustRightInd w:val="0"/>
              <w:spacing w:after="120"/>
              <w:contextualSpacing w:val="0"/>
              <w:rPr>
                <w:rFonts w:ascii="Arial" w:hAnsi="Arial" w:cs="Arial"/>
              </w:rPr>
            </w:pPr>
            <w:r w:rsidRPr="00113364">
              <w:rPr>
                <w:rFonts w:ascii="Arial" w:hAnsi="Arial" w:cs="Arial"/>
                <w:b/>
              </w:rPr>
              <w:t>Migratory Students:</w:t>
            </w:r>
            <w:r w:rsidRPr="00113364">
              <w:rPr>
                <w:rFonts w:ascii="Arial" w:hAnsi="Arial" w:cs="Arial"/>
              </w:rPr>
              <w:t xml:space="preserve"> </w:t>
            </w:r>
            <w:r w:rsidR="00CE30FD" w:rsidRPr="00113364">
              <w:rPr>
                <w:rFonts w:ascii="Arial" w:hAnsi="Arial" w:cs="Arial"/>
              </w:rPr>
              <w:t>5.8</w:t>
            </w:r>
            <w:r w:rsidR="00FC105F" w:rsidRPr="00113364">
              <w:rPr>
                <w:rFonts w:ascii="Arial" w:hAnsi="Arial" w:cs="Arial"/>
              </w:rPr>
              <w:t> </w:t>
            </w:r>
            <w:r w:rsidRPr="00113364">
              <w:rPr>
                <w:rFonts w:ascii="Arial" w:hAnsi="Arial" w:cs="Arial"/>
              </w:rPr>
              <w:t xml:space="preserve">percent </w:t>
            </w:r>
            <w:proofErr w:type="gramStart"/>
            <w:r w:rsidRPr="00113364">
              <w:rPr>
                <w:rFonts w:ascii="Arial" w:hAnsi="Arial" w:cs="Arial"/>
              </w:rPr>
              <w:t>scored at</w:t>
            </w:r>
            <w:proofErr w:type="gramEnd"/>
            <w:r w:rsidRPr="00113364">
              <w:rPr>
                <w:rFonts w:ascii="Arial" w:hAnsi="Arial" w:cs="Arial"/>
              </w:rPr>
              <w:t xml:space="preserve"> </w:t>
            </w:r>
            <w:r w:rsidR="008306D1" w:rsidRPr="00113364">
              <w:rPr>
                <w:rFonts w:ascii="Arial" w:hAnsi="Arial" w:cs="Arial"/>
              </w:rPr>
              <w:t>above standard</w:t>
            </w:r>
            <w:r w:rsidRPr="00113364">
              <w:rPr>
                <w:rFonts w:ascii="Arial" w:hAnsi="Arial" w:cs="Arial"/>
              </w:rPr>
              <w:t>.</w:t>
            </w:r>
          </w:p>
          <w:p w14:paraId="31ABC947" w14:textId="6F3C5C60" w:rsidR="009677C8" w:rsidRPr="00113364" w:rsidRDefault="009677C8" w:rsidP="00FC105F">
            <w:pPr>
              <w:pStyle w:val="ListParagraph"/>
              <w:widowControl w:val="0"/>
              <w:numPr>
                <w:ilvl w:val="0"/>
                <w:numId w:val="13"/>
              </w:numPr>
              <w:autoSpaceDE w:val="0"/>
              <w:autoSpaceDN w:val="0"/>
              <w:adjustRightInd w:val="0"/>
              <w:spacing w:after="120"/>
              <w:contextualSpacing w:val="0"/>
              <w:rPr>
                <w:rFonts w:ascii="Arial" w:hAnsi="Arial" w:cs="Arial"/>
              </w:rPr>
            </w:pPr>
            <w:r w:rsidRPr="00113364">
              <w:rPr>
                <w:rFonts w:ascii="Arial" w:hAnsi="Arial" w:cs="Arial"/>
                <w:b/>
              </w:rPr>
              <w:t>Migratory PFS Students:</w:t>
            </w:r>
            <w:r w:rsidRPr="00113364">
              <w:rPr>
                <w:rFonts w:ascii="Arial" w:hAnsi="Arial" w:cs="Arial"/>
              </w:rPr>
              <w:t xml:space="preserve"> </w:t>
            </w:r>
            <w:r w:rsidR="00FC105F" w:rsidRPr="00113364">
              <w:rPr>
                <w:rFonts w:ascii="Arial" w:hAnsi="Arial" w:cs="Arial"/>
              </w:rPr>
              <w:t>2.2 </w:t>
            </w:r>
            <w:r w:rsidRPr="00113364">
              <w:rPr>
                <w:rFonts w:ascii="Arial" w:hAnsi="Arial" w:cs="Arial"/>
              </w:rPr>
              <w:t xml:space="preserve">percent </w:t>
            </w:r>
            <w:proofErr w:type="gramStart"/>
            <w:r w:rsidRPr="00113364">
              <w:rPr>
                <w:rFonts w:ascii="Arial" w:hAnsi="Arial" w:cs="Arial"/>
              </w:rPr>
              <w:t xml:space="preserve">scored </w:t>
            </w:r>
            <w:r w:rsidR="00FC105F" w:rsidRPr="00113364">
              <w:rPr>
                <w:rFonts w:ascii="Arial" w:hAnsi="Arial" w:cs="Arial"/>
              </w:rPr>
              <w:t>at</w:t>
            </w:r>
            <w:proofErr w:type="gramEnd"/>
            <w:r w:rsidRPr="00113364">
              <w:rPr>
                <w:rFonts w:ascii="Arial" w:hAnsi="Arial" w:cs="Arial"/>
              </w:rPr>
              <w:t xml:space="preserve"> </w:t>
            </w:r>
            <w:r w:rsidR="00FC105F" w:rsidRPr="00113364">
              <w:rPr>
                <w:rFonts w:ascii="Arial" w:hAnsi="Arial" w:cs="Arial"/>
              </w:rPr>
              <w:t>above standard</w:t>
            </w:r>
            <w:r w:rsidRPr="00113364">
              <w:rPr>
                <w:rFonts w:ascii="Arial" w:hAnsi="Arial" w:cs="Arial"/>
              </w:rPr>
              <w:t>.</w:t>
            </w:r>
          </w:p>
          <w:p w14:paraId="26557200" w14:textId="1777E79E" w:rsidR="009677C8" w:rsidRPr="00113364" w:rsidRDefault="009677C8" w:rsidP="00FC105F">
            <w:pPr>
              <w:pStyle w:val="ListParagraph"/>
              <w:widowControl w:val="0"/>
              <w:numPr>
                <w:ilvl w:val="0"/>
                <w:numId w:val="13"/>
              </w:numPr>
              <w:autoSpaceDE w:val="0"/>
              <w:autoSpaceDN w:val="0"/>
              <w:adjustRightInd w:val="0"/>
              <w:spacing w:after="120"/>
              <w:contextualSpacing w:val="0"/>
              <w:rPr>
                <w:rFonts w:ascii="Arial" w:hAnsi="Arial" w:cs="Arial"/>
              </w:rPr>
            </w:pPr>
            <w:r w:rsidRPr="00113364">
              <w:rPr>
                <w:rFonts w:ascii="Arial" w:hAnsi="Arial" w:cs="Arial"/>
                <w:b/>
              </w:rPr>
              <w:t>All Students:</w:t>
            </w:r>
            <w:r w:rsidRPr="00113364">
              <w:rPr>
                <w:rFonts w:ascii="Arial" w:hAnsi="Arial" w:cs="Arial"/>
              </w:rPr>
              <w:t xml:space="preserve"> </w:t>
            </w:r>
            <w:r w:rsidR="00FC105F" w:rsidRPr="00113364">
              <w:rPr>
                <w:rFonts w:ascii="Arial" w:hAnsi="Arial" w:cs="Arial"/>
              </w:rPr>
              <w:t>19.3 </w:t>
            </w:r>
            <w:r w:rsidRPr="00113364">
              <w:rPr>
                <w:rFonts w:ascii="Arial" w:hAnsi="Arial" w:cs="Arial"/>
              </w:rPr>
              <w:t xml:space="preserve">percent </w:t>
            </w:r>
            <w:proofErr w:type="gramStart"/>
            <w:r w:rsidRPr="00113364">
              <w:rPr>
                <w:rFonts w:ascii="Arial" w:hAnsi="Arial" w:cs="Arial"/>
              </w:rPr>
              <w:t>scored at</w:t>
            </w:r>
            <w:proofErr w:type="gramEnd"/>
            <w:r w:rsidRPr="00113364">
              <w:rPr>
                <w:rFonts w:ascii="Arial" w:hAnsi="Arial" w:cs="Arial"/>
              </w:rPr>
              <w:t xml:space="preserve"> </w:t>
            </w:r>
            <w:r w:rsidR="008306D1" w:rsidRPr="00113364">
              <w:rPr>
                <w:rFonts w:ascii="Arial" w:hAnsi="Arial" w:cs="Arial"/>
              </w:rPr>
              <w:t>above standard</w:t>
            </w:r>
            <w:r w:rsidRPr="00113364">
              <w:rPr>
                <w:rFonts w:ascii="Arial" w:hAnsi="Arial" w:cs="Arial"/>
              </w:rPr>
              <w:t>.</w:t>
            </w:r>
          </w:p>
          <w:p w14:paraId="1037E458" w14:textId="1C45062D" w:rsidR="009677C8" w:rsidRPr="00113364" w:rsidRDefault="00FC105F" w:rsidP="006520F3">
            <w:pPr>
              <w:pStyle w:val="ListParagraph"/>
              <w:numPr>
                <w:ilvl w:val="0"/>
                <w:numId w:val="13"/>
              </w:numPr>
              <w:spacing w:after="160" w:line="259" w:lineRule="auto"/>
              <w:rPr>
                <w:rFonts w:ascii="Arial" w:hAnsi="Arial" w:cs="Arial"/>
              </w:rPr>
            </w:pPr>
            <w:r w:rsidRPr="00113364">
              <w:rPr>
                <w:rFonts w:ascii="Arial" w:hAnsi="Arial" w:cs="Arial"/>
              </w:rPr>
              <w:t>In SY 2022–23, migratory PFS students were 17.1 percentage points less likely than all students to score at above standard, and migratory students overall were 13.5 percentage points less likely than all students to score at above standard.</w:t>
            </w:r>
          </w:p>
        </w:tc>
        <w:tc>
          <w:tcPr>
            <w:tcW w:w="2520" w:type="dxa"/>
          </w:tcPr>
          <w:p w14:paraId="4B3FCBC0" w14:textId="49018E2B" w:rsidR="009677C8" w:rsidRPr="00113364" w:rsidRDefault="00CE30FD" w:rsidP="00FC105F">
            <w:pPr>
              <w:spacing w:after="240"/>
              <w:rPr>
                <w:rFonts w:ascii="Arial" w:hAnsi="Arial" w:cs="Arial"/>
              </w:rPr>
            </w:pPr>
            <w:r w:rsidRPr="00113364">
              <w:rPr>
                <w:rFonts w:ascii="Arial" w:hAnsi="Arial" w:cs="Arial"/>
              </w:rPr>
              <w:t xml:space="preserve">We are concerned the achievement gap is not closing for the CAASPP </w:t>
            </w:r>
            <w:r w:rsidR="00E7492F" w:rsidRPr="00113364">
              <w:rPr>
                <w:rFonts w:ascii="Arial" w:hAnsi="Arial" w:cs="Arial"/>
              </w:rPr>
              <w:t>mathematics</w:t>
            </w:r>
            <w:r w:rsidRPr="00113364">
              <w:rPr>
                <w:rFonts w:ascii="Arial" w:hAnsi="Arial" w:cs="Arial"/>
              </w:rPr>
              <w:t xml:space="preserve"> claim 1, concepts and procedures.</w:t>
            </w:r>
          </w:p>
        </w:tc>
        <w:tc>
          <w:tcPr>
            <w:tcW w:w="2178" w:type="dxa"/>
          </w:tcPr>
          <w:p w14:paraId="69785F09" w14:textId="3AD80071" w:rsidR="009677C8" w:rsidRPr="00113364" w:rsidRDefault="00CE30FD" w:rsidP="00FC105F">
            <w:pPr>
              <w:spacing w:after="240"/>
              <w:rPr>
                <w:rFonts w:ascii="Arial" w:hAnsi="Arial" w:cs="Arial"/>
              </w:rPr>
            </w:pPr>
            <w:r w:rsidRPr="00113364">
              <w:rPr>
                <w:rFonts w:ascii="Arial" w:hAnsi="Arial" w:cs="Arial"/>
              </w:rPr>
              <w:t xml:space="preserve">An additional 13.5 percent of migratory students need to score about standard on the CAASPP </w:t>
            </w:r>
            <w:r w:rsidR="00E7492F" w:rsidRPr="00113364">
              <w:rPr>
                <w:rFonts w:ascii="Arial" w:hAnsi="Arial" w:cs="Arial"/>
              </w:rPr>
              <w:t>mathematics</w:t>
            </w:r>
            <w:r w:rsidRPr="00113364">
              <w:rPr>
                <w:rFonts w:ascii="Arial" w:hAnsi="Arial" w:cs="Arial"/>
              </w:rPr>
              <w:t xml:space="preserve"> concepts and procedures.</w:t>
            </w:r>
          </w:p>
        </w:tc>
      </w:tr>
    </w:tbl>
    <w:p w14:paraId="698EE91A" w14:textId="713D94C1" w:rsidR="00BA5487" w:rsidRPr="00113364" w:rsidRDefault="00BA5487" w:rsidP="00BA5487">
      <w:pPr>
        <w:spacing w:before="240" w:after="240"/>
        <w:rPr>
          <w:rFonts w:ascii="Arial" w:hAnsi="Arial" w:cs="Arial"/>
        </w:rPr>
      </w:pPr>
      <w:r w:rsidRPr="00113364">
        <w:rPr>
          <w:rFonts w:ascii="Arial" w:hAnsi="Arial" w:cs="Arial"/>
        </w:rPr>
        <w:t xml:space="preserve">Increasing students’ proficiency in concepts and procedures should increase the overall proficiency in mathematics if performance on other claims remains constant. The needs in the </w:t>
      </w:r>
      <w:proofErr w:type="gramStart"/>
      <w:r w:rsidRPr="00113364">
        <w:rPr>
          <w:rFonts w:ascii="Arial" w:hAnsi="Arial" w:cs="Arial"/>
        </w:rPr>
        <w:t>Mathematics</w:t>
      </w:r>
      <w:proofErr w:type="gramEnd"/>
      <w:r w:rsidRPr="00113364">
        <w:rPr>
          <w:rFonts w:ascii="Arial" w:hAnsi="Arial" w:cs="Arial"/>
        </w:rPr>
        <w:t xml:space="preserve"> focus are</w:t>
      </w:r>
      <w:r w:rsidR="00AD0D2B" w:rsidRPr="00113364">
        <w:rPr>
          <w:rFonts w:ascii="Arial" w:hAnsi="Arial" w:cs="Arial"/>
        </w:rPr>
        <w:t>a</w:t>
      </w:r>
      <w:r w:rsidRPr="00113364">
        <w:rPr>
          <w:rFonts w:ascii="Arial" w:hAnsi="Arial" w:cs="Arial"/>
        </w:rPr>
        <w:t xml:space="preserve"> did not change much from the previous SDP (2017) and neither have the needs in the next focus area, ELD.</w:t>
      </w:r>
    </w:p>
    <w:p w14:paraId="0682E69D" w14:textId="6D5824F6" w:rsidR="001A3231" w:rsidRPr="00113364" w:rsidRDefault="001A3231" w:rsidP="003F0CBE">
      <w:pPr>
        <w:pStyle w:val="Heading3"/>
      </w:pPr>
      <w:bookmarkStart w:id="33" w:name="_Toc203568839"/>
      <w:r w:rsidRPr="00113364">
        <w:t>English Language Development</w:t>
      </w:r>
      <w:bookmarkEnd w:id="33"/>
    </w:p>
    <w:p w14:paraId="66D5BC12" w14:textId="280AE5AB" w:rsidR="0086590B" w:rsidRPr="00113364" w:rsidRDefault="00A31F68" w:rsidP="00C8133B">
      <w:pPr>
        <w:spacing w:before="240" w:after="240"/>
        <w:rPr>
          <w:rFonts w:ascii="Arial" w:hAnsi="Arial" w:cs="Arial"/>
        </w:rPr>
      </w:pPr>
      <w:r w:rsidRPr="00113364">
        <w:rPr>
          <w:rFonts w:ascii="Arial" w:hAnsi="Arial" w:cs="Arial"/>
        </w:rPr>
        <w:t>In 2018–19, California fully transition</w:t>
      </w:r>
      <w:r w:rsidR="00F53432" w:rsidRPr="00113364">
        <w:rPr>
          <w:rFonts w:ascii="Arial" w:hAnsi="Arial" w:cs="Arial"/>
        </w:rPr>
        <w:t>ed</w:t>
      </w:r>
      <w:r w:rsidRPr="00113364">
        <w:rPr>
          <w:rFonts w:ascii="Arial" w:hAnsi="Arial" w:cs="Arial"/>
        </w:rPr>
        <w:t xml:space="preserve"> from </w:t>
      </w:r>
      <w:r w:rsidR="00610248" w:rsidRPr="00113364">
        <w:rPr>
          <w:rFonts w:ascii="Arial" w:hAnsi="Arial" w:cs="Arial"/>
        </w:rPr>
        <w:t>administering the California English Language Development Test</w:t>
      </w:r>
      <w:r w:rsidRPr="00113364">
        <w:rPr>
          <w:rFonts w:ascii="Arial" w:hAnsi="Arial" w:cs="Arial"/>
        </w:rPr>
        <w:t xml:space="preserve"> to the </w:t>
      </w:r>
      <w:bookmarkStart w:id="34" w:name="_Hlk198544423"/>
      <w:r w:rsidR="00610248" w:rsidRPr="00113364">
        <w:rPr>
          <w:rFonts w:ascii="Arial" w:hAnsi="Arial" w:cs="Arial"/>
        </w:rPr>
        <w:t>English Language Proficiency Assessment for California</w:t>
      </w:r>
      <w:bookmarkEnd w:id="34"/>
      <w:r w:rsidR="00610248" w:rsidRPr="00113364">
        <w:rPr>
          <w:rFonts w:ascii="Arial" w:hAnsi="Arial" w:cs="Arial"/>
        </w:rPr>
        <w:t xml:space="preserve"> (ELPAC)</w:t>
      </w:r>
      <w:r w:rsidRPr="00113364">
        <w:rPr>
          <w:rFonts w:ascii="Arial" w:hAnsi="Arial" w:cs="Arial"/>
        </w:rPr>
        <w:t xml:space="preserve"> to </w:t>
      </w:r>
      <w:r w:rsidR="005068F9" w:rsidRPr="00113364">
        <w:rPr>
          <w:rFonts w:ascii="Arial" w:hAnsi="Arial" w:cs="Arial"/>
        </w:rPr>
        <w:t>measure</w:t>
      </w:r>
      <w:r w:rsidRPr="00113364">
        <w:rPr>
          <w:rFonts w:ascii="Arial" w:hAnsi="Arial" w:cs="Arial"/>
        </w:rPr>
        <w:t xml:space="preserve"> students’ ELP. </w:t>
      </w:r>
      <w:r w:rsidR="00963506" w:rsidRPr="00113364">
        <w:rPr>
          <w:rFonts w:ascii="Arial" w:hAnsi="Arial" w:cs="Arial"/>
        </w:rPr>
        <w:t xml:space="preserve">The ELPAC </w:t>
      </w:r>
      <w:r w:rsidR="00FD4BA3">
        <w:rPr>
          <w:rFonts w:ascii="Arial" w:hAnsi="Arial" w:cs="Arial"/>
        </w:rPr>
        <w:t>consists</w:t>
      </w:r>
      <w:r w:rsidR="00F8713E">
        <w:rPr>
          <w:rFonts w:ascii="Arial" w:hAnsi="Arial" w:cs="Arial"/>
        </w:rPr>
        <w:t xml:space="preserve"> </w:t>
      </w:r>
      <w:r w:rsidR="00963506" w:rsidRPr="00113364">
        <w:rPr>
          <w:rFonts w:ascii="Arial" w:hAnsi="Arial" w:cs="Arial"/>
        </w:rPr>
        <w:t xml:space="preserve">of two tests: 1) the Initial ELPAC is used to identify a student as </w:t>
      </w:r>
      <w:r w:rsidR="00E22495" w:rsidRPr="00113364">
        <w:rPr>
          <w:rFonts w:ascii="Arial" w:hAnsi="Arial" w:cs="Arial"/>
        </w:rPr>
        <w:t>either</w:t>
      </w:r>
      <w:r w:rsidR="00963506" w:rsidRPr="00113364">
        <w:rPr>
          <w:rFonts w:ascii="Arial" w:hAnsi="Arial" w:cs="Arial"/>
        </w:rPr>
        <w:t xml:space="preserve"> an English learner </w:t>
      </w:r>
      <w:r w:rsidR="00C8133B" w:rsidRPr="00113364">
        <w:rPr>
          <w:rFonts w:ascii="Arial" w:hAnsi="Arial" w:cs="Arial"/>
        </w:rPr>
        <w:t xml:space="preserve">student </w:t>
      </w:r>
      <w:r w:rsidR="00963506" w:rsidRPr="00113364">
        <w:rPr>
          <w:rFonts w:ascii="Arial" w:hAnsi="Arial" w:cs="Arial"/>
        </w:rPr>
        <w:t>or as proficient in English, and 2) the Summative E</w:t>
      </w:r>
      <w:r w:rsidR="00C8133B" w:rsidRPr="00113364">
        <w:rPr>
          <w:rFonts w:ascii="Arial" w:hAnsi="Arial" w:cs="Arial"/>
        </w:rPr>
        <w:t>L</w:t>
      </w:r>
      <w:r w:rsidR="00963506" w:rsidRPr="00113364">
        <w:rPr>
          <w:rFonts w:ascii="Arial" w:hAnsi="Arial" w:cs="Arial"/>
        </w:rPr>
        <w:t>PAC which is used to measure the skills of English learner</w:t>
      </w:r>
      <w:r w:rsidR="000B1EF2" w:rsidRPr="00113364">
        <w:rPr>
          <w:rFonts w:ascii="Arial" w:hAnsi="Arial" w:cs="Arial"/>
        </w:rPr>
        <w:t xml:space="preserve"> students</w:t>
      </w:r>
      <w:r w:rsidR="00963506" w:rsidRPr="00113364">
        <w:rPr>
          <w:rFonts w:ascii="Arial" w:hAnsi="Arial" w:cs="Arial"/>
        </w:rPr>
        <w:t xml:space="preserve">. The ELPAC assesses students in </w:t>
      </w:r>
      <w:r w:rsidR="004D5EC0" w:rsidRPr="00113364">
        <w:rPr>
          <w:rFonts w:ascii="Arial" w:hAnsi="Arial" w:cs="Arial"/>
        </w:rPr>
        <w:t>kindergarten through grade twelve</w:t>
      </w:r>
      <w:r w:rsidR="00963506" w:rsidRPr="00113364">
        <w:rPr>
          <w:rFonts w:ascii="Arial" w:hAnsi="Arial" w:cs="Arial"/>
        </w:rPr>
        <w:t xml:space="preserve"> in four domains: listening, speaking, reading, and writing. Students receive an overall score in addition to separate scores for each of the four domains. Scoring consists of four levels: </w:t>
      </w:r>
      <w:r w:rsidR="000B1EF2" w:rsidRPr="00113364">
        <w:rPr>
          <w:rFonts w:ascii="Arial" w:hAnsi="Arial" w:cs="Arial"/>
        </w:rPr>
        <w:t>b</w:t>
      </w:r>
      <w:r w:rsidR="00963506" w:rsidRPr="00113364">
        <w:rPr>
          <w:rFonts w:ascii="Arial" w:hAnsi="Arial" w:cs="Arial"/>
        </w:rPr>
        <w:t>eginning (</w:t>
      </w:r>
      <w:r w:rsidR="000B1EF2" w:rsidRPr="00113364">
        <w:rPr>
          <w:rFonts w:ascii="Arial" w:hAnsi="Arial" w:cs="Arial"/>
        </w:rPr>
        <w:t>l</w:t>
      </w:r>
      <w:r w:rsidR="00963506" w:rsidRPr="00113364">
        <w:rPr>
          <w:rFonts w:ascii="Arial" w:hAnsi="Arial" w:cs="Arial"/>
        </w:rPr>
        <w:t xml:space="preserve">evel 1), </w:t>
      </w:r>
      <w:r w:rsidR="000B1EF2" w:rsidRPr="00113364">
        <w:rPr>
          <w:rFonts w:ascii="Arial" w:hAnsi="Arial" w:cs="Arial"/>
        </w:rPr>
        <w:t>s</w:t>
      </w:r>
      <w:r w:rsidR="00963506" w:rsidRPr="00113364">
        <w:rPr>
          <w:rFonts w:ascii="Arial" w:hAnsi="Arial" w:cs="Arial"/>
        </w:rPr>
        <w:t xml:space="preserve">omewhat </w:t>
      </w:r>
      <w:r w:rsidR="000B1EF2" w:rsidRPr="00113364">
        <w:rPr>
          <w:rFonts w:ascii="Arial" w:hAnsi="Arial" w:cs="Arial"/>
        </w:rPr>
        <w:t>d</w:t>
      </w:r>
      <w:r w:rsidR="00963506" w:rsidRPr="00113364">
        <w:rPr>
          <w:rFonts w:ascii="Arial" w:hAnsi="Arial" w:cs="Arial"/>
        </w:rPr>
        <w:t>eveloped (</w:t>
      </w:r>
      <w:r w:rsidR="000B1EF2" w:rsidRPr="00113364">
        <w:rPr>
          <w:rFonts w:ascii="Arial" w:hAnsi="Arial" w:cs="Arial"/>
        </w:rPr>
        <w:t>l</w:t>
      </w:r>
      <w:r w:rsidR="00963506" w:rsidRPr="00113364">
        <w:rPr>
          <w:rFonts w:ascii="Arial" w:hAnsi="Arial" w:cs="Arial"/>
        </w:rPr>
        <w:t xml:space="preserve">evel 2), </w:t>
      </w:r>
      <w:r w:rsidR="000B1EF2" w:rsidRPr="00113364">
        <w:rPr>
          <w:rFonts w:ascii="Arial" w:hAnsi="Arial" w:cs="Arial"/>
        </w:rPr>
        <w:t>m</w:t>
      </w:r>
      <w:r w:rsidR="00963506" w:rsidRPr="00113364">
        <w:rPr>
          <w:rFonts w:ascii="Arial" w:hAnsi="Arial" w:cs="Arial"/>
        </w:rPr>
        <w:t xml:space="preserve">oderately </w:t>
      </w:r>
      <w:r w:rsidR="000B1EF2" w:rsidRPr="00113364">
        <w:rPr>
          <w:rFonts w:ascii="Arial" w:hAnsi="Arial" w:cs="Arial"/>
        </w:rPr>
        <w:t>d</w:t>
      </w:r>
      <w:r w:rsidR="00963506" w:rsidRPr="00113364">
        <w:rPr>
          <w:rFonts w:ascii="Arial" w:hAnsi="Arial" w:cs="Arial"/>
        </w:rPr>
        <w:t>eveloped (</w:t>
      </w:r>
      <w:r w:rsidR="000B1EF2" w:rsidRPr="00113364">
        <w:rPr>
          <w:rFonts w:ascii="Arial" w:hAnsi="Arial" w:cs="Arial"/>
        </w:rPr>
        <w:t>l</w:t>
      </w:r>
      <w:r w:rsidR="00963506" w:rsidRPr="00113364">
        <w:rPr>
          <w:rFonts w:ascii="Arial" w:hAnsi="Arial" w:cs="Arial"/>
        </w:rPr>
        <w:t xml:space="preserve">evel 3), or </w:t>
      </w:r>
      <w:r w:rsidR="000B1EF2" w:rsidRPr="00113364">
        <w:rPr>
          <w:rFonts w:ascii="Arial" w:hAnsi="Arial" w:cs="Arial"/>
        </w:rPr>
        <w:t>w</w:t>
      </w:r>
      <w:r w:rsidR="00963506" w:rsidRPr="00113364">
        <w:rPr>
          <w:rFonts w:ascii="Arial" w:hAnsi="Arial" w:cs="Arial"/>
        </w:rPr>
        <w:t xml:space="preserve">ell </w:t>
      </w:r>
      <w:r w:rsidR="000B1EF2" w:rsidRPr="00113364">
        <w:rPr>
          <w:rFonts w:ascii="Arial" w:hAnsi="Arial" w:cs="Arial"/>
        </w:rPr>
        <w:t>d</w:t>
      </w:r>
      <w:r w:rsidR="00963506" w:rsidRPr="00113364">
        <w:rPr>
          <w:rFonts w:ascii="Arial" w:hAnsi="Arial" w:cs="Arial"/>
        </w:rPr>
        <w:t>eveloped (</w:t>
      </w:r>
      <w:r w:rsidR="000B1EF2" w:rsidRPr="00113364">
        <w:rPr>
          <w:rFonts w:ascii="Arial" w:hAnsi="Arial" w:cs="Arial"/>
        </w:rPr>
        <w:t>l</w:t>
      </w:r>
      <w:r w:rsidR="00963506" w:rsidRPr="00113364">
        <w:rPr>
          <w:rFonts w:ascii="Arial" w:hAnsi="Arial" w:cs="Arial"/>
        </w:rPr>
        <w:t>evel 4). E</w:t>
      </w:r>
      <w:r w:rsidR="00F8713E">
        <w:rPr>
          <w:rFonts w:ascii="Arial" w:hAnsi="Arial" w:cs="Arial"/>
        </w:rPr>
        <w:t>LD</w:t>
      </w:r>
      <w:r w:rsidR="00963506" w:rsidRPr="00113364">
        <w:rPr>
          <w:rFonts w:ascii="Arial" w:hAnsi="Arial" w:cs="Arial"/>
        </w:rPr>
        <w:t xml:space="preserve"> </w:t>
      </w:r>
      <w:r w:rsidR="000B1EF2" w:rsidRPr="00113364">
        <w:rPr>
          <w:rFonts w:ascii="Arial" w:hAnsi="Arial" w:cs="Arial"/>
        </w:rPr>
        <w:t>continues to be an important area of focus for California’s large multilingual student population so much that the CNA SDP Committee worked to improve upon strategies that were employed under the previous SDP (2017).</w:t>
      </w:r>
    </w:p>
    <w:p w14:paraId="7F2666B4" w14:textId="77777777" w:rsidR="00163342" w:rsidRPr="00113364" w:rsidRDefault="00163342" w:rsidP="00163342">
      <w:pPr>
        <w:spacing w:after="240"/>
        <w:rPr>
          <w:rFonts w:ascii="Arial" w:hAnsi="Arial" w:cs="Arial"/>
        </w:rPr>
      </w:pPr>
      <w:r w:rsidRPr="00113364">
        <w:rPr>
          <w:rFonts w:ascii="Arial" w:hAnsi="Arial" w:cs="Arial"/>
        </w:rPr>
        <w:lastRenderedPageBreak/>
        <w:t>The CDE utilizes the term multilingual learners to refer to students who have developed or are developing proficiency in English and one or more other languages, which may be their home language. Multilingual learners may include but are not limited to:</w:t>
      </w:r>
    </w:p>
    <w:p w14:paraId="7F3F0BA3" w14:textId="77777777" w:rsidR="00163342" w:rsidRPr="00113364" w:rsidRDefault="00163342">
      <w:pPr>
        <w:numPr>
          <w:ilvl w:val="0"/>
          <w:numId w:val="69"/>
        </w:numPr>
        <w:rPr>
          <w:rFonts w:ascii="Arial" w:hAnsi="Arial" w:cs="Arial"/>
        </w:rPr>
      </w:pPr>
      <w:r w:rsidRPr="00113364">
        <w:rPr>
          <w:rFonts w:ascii="Arial" w:hAnsi="Arial" w:cs="Arial"/>
        </w:rPr>
        <w:t>Dual language learner students,</w:t>
      </w:r>
    </w:p>
    <w:p w14:paraId="30AE5CFC" w14:textId="45199FB9" w:rsidR="00163342" w:rsidRPr="00113364" w:rsidRDefault="00163342">
      <w:pPr>
        <w:numPr>
          <w:ilvl w:val="0"/>
          <w:numId w:val="69"/>
        </w:numPr>
        <w:rPr>
          <w:rFonts w:ascii="Arial" w:hAnsi="Arial" w:cs="Arial"/>
        </w:rPr>
      </w:pPr>
      <w:r w:rsidRPr="00113364">
        <w:rPr>
          <w:rFonts w:ascii="Arial" w:hAnsi="Arial" w:cs="Arial"/>
        </w:rPr>
        <w:t>Multilingual</w:t>
      </w:r>
      <w:r w:rsidR="0024341F" w:rsidRPr="00113364">
        <w:rPr>
          <w:rFonts w:ascii="Arial" w:hAnsi="Arial" w:cs="Arial"/>
        </w:rPr>
        <w:t xml:space="preserve"> transitional </w:t>
      </w:r>
      <w:r w:rsidR="004B7A97">
        <w:rPr>
          <w:rFonts w:ascii="Arial" w:hAnsi="Arial" w:cs="Arial"/>
        </w:rPr>
        <w:t>k</w:t>
      </w:r>
      <w:r w:rsidR="0024341F" w:rsidRPr="00113364">
        <w:rPr>
          <w:rFonts w:ascii="Arial" w:hAnsi="Arial" w:cs="Arial"/>
        </w:rPr>
        <w:t>indergarten</w:t>
      </w:r>
      <w:r w:rsidRPr="00113364">
        <w:rPr>
          <w:rFonts w:ascii="Arial" w:hAnsi="Arial" w:cs="Arial"/>
        </w:rPr>
        <w:t xml:space="preserve"> </w:t>
      </w:r>
      <w:r w:rsidR="0024341F" w:rsidRPr="00113364">
        <w:rPr>
          <w:rFonts w:ascii="Arial" w:hAnsi="Arial" w:cs="Arial"/>
        </w:rPr>
        <w:t>(</w:t>
      </w:r>
      <w:r w:rsidRPr="00113364">
        <w:rPr>
          <w:rFonts w:ascii="Arial" w:hAnsi="Arial" w:cs="Arial"/>
        </w:rPr>
        <w:t>TK</w:t>
      </w:r>
      <w:r w:rsidR="0024341F" w:rsidRPr="00113364">
        <w:rPr>
          <w:rFonts w:ascii="Arial" w:hAnsi="Arial" w:cs="Arial"/>
        </w:rPr>
        <w:t>)</w:t>
      </w:r>
      <w:r w:rsidRPr="00113364">
        <w:rPr>
          <w:rFonts w:ascii="Arial" w:hAnsi="Arial" w:cs="Arial"/>
        </w:rPr>
        <w:t xml:space="preserve"> students,</w:t>
      </w:r>
    </w:p>
    <w:p w14:paraId="2C31F143" w14:textId="446BBB59" w:rsidR="00163342" w:rsidRPr="00113364" w:rsidRDefault="00163342">
      <w:pPr>
        <w:numPr>
          <w:ilvl w:val="0"/>
          <w:numId w:val="69"/>
        </w:numPr>
        <w:rPr>
          <w:rFonts w:ascii="Arial" w:hAnsi="Arial" w:cs="Arial"/>
        </w:rPr>
      </w:pPr>
      <w:r w:rsidRPr="00113364">
        <w:rPr>
          <w:rFonts w:ascii="Arial" w:hAnsi="Arial" w:cs="Arial"/>
        </w:rPr>
        <w:t xml:space="preserve">English learner </w:t>
      </w:r>
      <w:r w:rsidR="002E2476" w:rsidRPr="00113364">
        <w:rPr>
          <w:rFonts w:ascii="Arial" w:hAnsi="Arial" w:cs="Arial"/>
        </w:rPr>
        <w:t xml:space="preserve">(EL) </w:t>
      </w:r>
      <w:r w:rsidRPr="00113364">
        <w:rPr>
          <w:rFonts w:ascii="Arial" w:hAnsi="Arial" w:cs="Arial"/>
        </w:rPr>
        <w:t>students,</w:t>
      </w:r>
    </w:p>
    <w:p w14:paraId="13015648" w14:textId="77777777" w:rsidR="00163342" w:rsidRPr="00113364" w:rsidRDefault="00163342">
      <w:pPr>
        <w:numPr>
          <w:ilvl w:val="0"/>
          <w:numId w:val="69"/>
        </w:numPr>
        <w:rPr>
          <w:rFonts w:ascii="Arial" w:hAnsi="Arial" w:cs="Arial"/>
        </w:rPr>
      </w:pPr>
      <w:r w:rsidRPr="00113364">
        <w:rPr>
          <w:rFonts w:ascii="Arial" w:hAnsi="Arial" w:cs="Arial"/>
        </w:rPr>
        <w:t>Initial Fluent English Proficient students,</w:t>
      </w:r>
    </w:p>
    <w:p w14:paraId="3557D1D0" w14:textId="77777777" w:rsidR="00163342" w:rsidRPr="00113364" w:rsidRDefault="00163342">
      <w:pPr>
        <w:numPr>
          <w:ilvl w:val="0"/>
          <w:numId w:val="69"/>
        </w:numPr>
        <w:rPr>
          <w:rFonts w:ascii="Arial" w:hAnsi="Arial" w:cs="Arial"/>
        </w:rPr>
      </w:pPr>
      <w:r w:rsidRPr="00113364">
        <w:rPr>
          <w:rFonts w:ascii="Arial" w:hAnsi="Arial" w:cs="Arial"/>
        </w:rPr>
        <w:t>Reclassified Fluent English Proficient students, and</w:t>
      </w:r>
    </w:p>
    <w:p w14:paraId="0518E13F" w14:textId="77777777" w:rsidR="00163342" w:rsidRPr="00113364" w:rsidRDefault="00163342">
      <w:pPr>
        <w:numPr>
          <w:ilvl w:val="0"/>
          <w:numId w:val="69"/>
        </w:numPr>
        <w:spacing w:after="240"/>
        <w:rPr>
          <w:rFonts w:ascii="Arial" w:hAnsi="Arial" w:cs="Arial"/>
        </w:rPr>
      </w:pPr>
      <w:r w:rsidRPr="00113364">
        <w:rPr>
          <w:rFonts w:ascii="Arial" w:hAnsi="Arial" w:cs="Arial"/>
        </w:rPr>
        <w:t>Native English speaker students learning a non-English language.</w:t>
      </w:r>
    </w:p>
    <w:p w14:paraId="35CE46C8" w14:textId="7F92055E" w:rsidR="00163342" w:rsidRPr="00113364" w:rsidRDefault="00163342" w:rsidP="004643B1">
      <w:pPr>
        <w:spacing w:after="240"/>
        <w:rPr>
          <w:rFonts w:ascii="Arial" w:hAnsi="Arial" w:cs="Arial"/>
        </w:rPr>
      </w:pPr>
      <w:r w:rsidRPr="00113364">
        <w:rPr>
          <w:rFonts w:ascii="Arial" w:hAnsi="Arial" w:cs="Arial"/>
        </w:rPr>
        <w:t xml:space="preserve">Students may be mostly dominant in one language or proficient in both. Many are on a continuum between dominance in one language and full proficiency in two or more. California continues to champion this term because it acknowledges these students’ multilingualism, which deserves recognition as an asset they bring to their schools, classrooms, and communities. Therefore, throughout this document “multilingual learner” is used unless there is a specific need to use the term “EL student” </w:t>
      </w:r>
      <w:r w:rsidR="009965D1" w:rsidRPr="00113364">
        <w:rPr>
          <w:rFonts w:ascii="Arial" w:hAnsi="Arial" w:cs="Arial"/>
        </w:rPr>
        <w:t xml:space="preserve">when referring to </w:t>
      </w:r>
      <w:r w:rsidRPr="00113364">
        <w:rPr>
          <w:rFonts w:ascii="Arial" w:hAnsi="Arial" w:cs="Arial"/>
        </w:rPr>
        <w:t>past research or test parameters.</w:t>
      </w:r>
    </w:p>
    <w:p w14:paraId="309CF0BB" w14:textId="4338EA00" w:rsidR="006143B6" w:rsidRPr="00113364" w:rsidRDefault="000B1EF2" w:rsidP="00C73204">
      <w:pPr>
        <w:pStyle w:val="Heading4"/>
      </w:pPr>
      <w:r w:rsidRPr="00113364">
        <w:t>English Language Development Focus Area</w:t>
      </w:r>
      <w:r w:rsidR="006143B6" w:rsidRPr="00113364">
        <w:t xml:space="preserve">: </w:t>
      </w:r>
      <w:r w:rsidR="000448D5" w:rsidRPr="00113364">
        <w:t>Reading</w:t>
      </w:r>
      <w:r w:rsidR="002D37A2" w:rsidRPr="00113364">
        <w:t xml:space="preserve"> Proficiency</w:t>
      </w:r>
    </w:p>
    <w:p w14:paraId="1031884D" w14:textId="03114471" w:rsidR="00C8133B" w:rsidRPr="00113364" w:rsidRDefault="00C8133B" w:rsidP="00C8133B">
      <w:pPr>
        <w:spacing w:after="240"/>
        <w:rPr>
          <w:rFonts w:ascii="Arial" w:hAnsi="Arial" w:cs="Arial"/>
        </w:rPr>
      </w:pPr>
      <w:proofErr w:type="gramStart"/>
      <w:r w:rsidRPr="00113364">
        <w:rPr>
          <w:rFonts w:ascii="Arial" w:hAnsi="Arial" w:cs="Arial"/>
        </w:rPr>
        <w:t>Similar to</w:t>
      </w:r>
      <w:proofErr w:type="gramEnd"/>
      <w:r w:rsidRPr="00113364">
        <w:rPr>
          <w:rFonts w:ascii="Arial" w:hAnsi="Arial" w:cs="Arial"/>
        </w:rPr>
        <w:t xml:space="preserve"> ELA,</w:t>
      </w:r>
      <w:r w:rsidR="006A47A3" w:rsidRPr="00113364">
        <w:rPr>
          <w:rFonts w:ascii="Arial" w:hAnsi="Arial" w:cs="Arial"/>
        </w:rPr>
        <w:t xml:space="preserve"> the needs selected by the committee for the ELD focus area centers on reading and overall </w:t>
      </w:r>
      <w:r w:rsidR="00B03119">
        <w:rPr>
          <w:rFonts w:ascii="Arial" w:hAnsi="Arial" w:cs="Arial"/>
        </w:rPr>
        <w:t>ELP</w:t>
      </w:r>
      <w:r w:rsidR="006A47A3" w:rsidRPr="00113364">
        <w:rPr>
          <w:rFonts w:ascii="Arial" w:hAnsi="Arial" w:cs="Arial"/>
        </w:rPr>
        <w:t>. Tables 9 summarize</w:t>
      </w:r>
      <w:r w:rsidR="00FC1DBD" w:rsidRPr="00113364">
        <w:rPr>
          <w:rFonts w:ascii="Arial" w:hAnsi="Arial" w:cs="Arial"/>
        </w:rPr>
        <w:t>s</w:t>
      </w:r>
      <w:r w:rsidR="006A47A3" w:rsidRPr="00113364">
        <w:rPr>
          <w:rFonts w:ascii="Arial" w:hAnsi="Arial" w:cs="Arial"/>
        </w:rPr>
        <w:t xml:space="preserve"> the </w:t>
      </w:r>
      <w:r w:rsidR="00FE498D" w:rsidRPr="00113364">
        <w:rPr>
          <w:rFonts w:ascii="Arial" w:hAnsi="Arial" w:cs="Arial"/>
        </w:rPr>
        <w:t>essential</w:t>
      </w:r>
      <w:r w:rsidR="006A47A3" w:rsidRPr="00113364">
        <w:rPr>
          <w:rFonts w:ascii="Arial" w:hAnsi="Arial" w:cs="Arial"/>
        </w:rPr>
        <w:t xml:space="preserve"> data points that support the </w:t>
      </w:r>
      <w:r w:rsidR="00FE498D" w:rsidRPr="00113364">
        <w:rPr>
          <w:rFonts w:ascii="Arial" w:hAnsi="Arial" w:cs="Arial"/>
        </w:rPr>
        <w:t xml:space="preserve">selected </w:t>
      </w:r>
      <w:r w:rsidR="006A47A3" w:rsidRPr="00113364">
        <w:rPr>
          <w:rFonts w:ascii="Arial" w:hAnsi="Arial" w:cs="Arial"/>
        </w:rPr>
        <w:t>concern and need statements</w:t>
      </w:r>
      <w:r w:rsidR="004643B1" w:rsidRPr="00113364">
        <w:rPr>
          <w:rFonts w:ascii="Arial" w:hAnsi="Arial" w:cs="Arial"/>
        </w:rPr>
        <w:t xml:space="preserve"> for migratory multilingual students</w:t>
      </w:r>
      <w:r w:rsidR="006A47A3" w:rsidRPr="00113364">
        <w:rPr>
          <w:rFonts w:ascii="Arial" w:hAnsi="Arial" w:cs="Arial"/>
        </w:rPr>
        <w:t xml:space="preserve">. </w:t>
      </w:r>
    </w:p>
    <w:p w14:paraId="0FCC08E2" w14:textId="4D00D438" w:rsidR="0000348B" w:rsidRPr="00113364" w:rsidRDefault="0000348B" w:rsidP="00292C86">
      <w:pPr>
        <w:pStyle w:val="Heading5"/>
        <w:spacing w:after="0"/>
        <w:rPr>
          <w:b/>
          <w:bCs/>
          <w:i w:val="0"/>
          <w:iCs/>
          <w:sz w:val="24"/>
        </w:rPr>
      </w:pPr>
      <w:bookmarkStart w:id="35" w:name="_Toc204755345"/>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9</w:t>
      </w:r>
      <w:r w:rsidR="00C46CA6" w:rsidRPr="00113364">
        <w:rPr>
          <w:b/>
          <w:bCs/>
          <w:i w:val="0"/>
          <w:iCs/>
          <w:noProof/>
          <w:sz w:val="24"/>
        </w:rPr>
        <w:fldChar w:fldCharType="end"/>
      </w:r>
      <w:r w:rsidRPr="00113364">
        <w:rPr>
          <w:b/>
          <w:bCs/>
          <w:i w:val="0"/>
          <w:iCs/>
          <w:sz w:val="24"/>
        </w:rPr>
        <w:t>. Data Summary, Concern Statement</w:t>
      </w:r>
      <w:r w:rsidR="00F041B2" w:rsidRPr="00113364">
        <w:rPr>
          <w:b/>
          <w:bCs/>
          <w:i w:val="0"/>
          <w:iCs/>
          <w:sz w:val="24"/>
        </w:rPr>
        <w:t>, and Need</w:t>
      </w:r>
      <w:r w:rsidRPr="00113364">
        <w:rPr>
          <w:b/>
          <w:bCs/>
          <w:i w:val="0"/>
          <w:iCs/>
          <w:sz w:val="24"/>
        </w:rPr>
        <w:t xml:space="preserve"> Statement for English Language </w:t>
      </w:r>
      <w:r w:rsidR="00FF716A" w:rsidRPr="00113364">
        <w:rPr>
          <w:b/>
          <w:bCs/>
          <w:i w:val="0"/>
          <w:iCs/>
          <w:sz w:val="24"/>
        </w:rPr>
        <w:t>Proficiency</w:t>
      </w:r>
      <w:r w:rsidR="009A431B" w:rsidRPr="00113364">
        <w:rPr>
          <w:b/>
          <w:bCs/>
          <w:i w:val="0"/>
          <w:iCs/>
          <w:sz w:val="24"/>
        </w:rPr>
        <w:t xml:space="preserve"> </w:t>
      </w:r>
      <w:r w:rsidR="009B3989" w:rsidRPr="00113364">
        <w:rPr>
          <w:b/>
          <w:bCs/>
          <w:i w:val="0"/>
          <w:iCs/>
          <w:sz w:val="24"/>
        </w:rPr>
        <w:t>(</w:t>
      </w:r>
      <w:r w:rsidR="00381EDD" w:rsidRPr="00381EDD">
        <w:rPr>
          <w:b/>
          <w:bCs/>
          <w:i w:val="0"/>
          <w:iCs/>
          <w:sz w:val="24"/>
        </w:rPr>
        <w:t>English Language Proficiency Assessment for California</w:t>
      </w:r>
      <w:r w:rsidR="00381EDD" w:rsidRPr="00381EDD" w:rsidDel="00381EDD">
        <w:rPr>
          <w:b/>
          <w:bCs/>
          <w:i w:val="0"/>
          <w:iCs/>
          <w:sz w:val="24"/>
        </w:rPr>
        <w:t xml:space="preserve"> </w:t>
      </w:r>
      <w:r w:rsidR="00FF716A" w:rsidRPr="00113364">
        <w:rPr>
          <w:b/>
          <w:bCs/>
          <w:i w:val="0"/>
          <w:iCs/>
          <w:sz w:val="24"/>
        </w:rPr>
        <w:t xml:space="preserve">Domain 3 </w:t>
      </w:r>
      <w:r w:rsidR="00102F8F" w:rsidRPr="00113364">
        <w:rPr>
          <w:b/>
          <w:bCs/>
          <w:i w:val="0"/>
          <w:iCs/>
          <w:sz w:val="24"/>
        </w:rPr>
        <w:t>- Reading</w:t>
      </w:r>
      <w:r w:rsidR="009B3989" w:rsidRPr="00113364">
        <w:rPr>
          <w:b/>
          <w:bCs/>
          <w:i w:val="0"/>
          <w:iCs/>
          <w:sz w:val="24"/>
        </w:rPr>
        <w:t>)</w:t>
      </w:r>
      <w:bookmarkEnd w:id="35"/>
    </w:p>
    <w:tbl>
      <w:tblPr>
        <w:tblStyle w:val="GridTable4-Accent5"/>
        <w:tblW w:w="9355" w:type="dxa"/>
        <w:tblLook w:val="0420" w:firstRow="1" w:lastRow="0" w:firstColumn="0" w:lastColumn="0" w:noHBand="0" w:noVBand="1"/>
        <w:tblDescription w:val="Data Summary, Concern Statement, and Need Statement for English Language Development, Grades 1–3"/>
      </w:tblPr>
      <w:tblGrid>
        <w:gridCol w:w="5395"/>
        <w:gridCol w:w="1980"/>
        <w:gridCol w:w="1980"/>
      </w:tblGrid>
      <w:tr w:rsidR="00B92A57" w:rsidRPr="00113364" w14:paraId="41FA645F" w14:textId="77777777" w:rsidTr="001E02C9">
        <w:trPr>
          <w:cnfStyle w:val="100000000000" w:firstRow="1" w:lastRow="0" w:firstColumn="0" w:lastColumn="0" w:oddVBand="0" w:evenVBand="0" w:oddHBand="0" w:evenHBand="0" w:firstRowFirstColumn="0" w:firstRowLastColumn="0" w:lastRowFirstColumn="0" w:lastRowLastColumn="0"/>
          <w:cantSplit/>
          <w:tblHeader/>
        </w:trPr>
        <w:tc>
          <w:tcPr>
            <w:tcW w:w="5395" w:type="dxa"/>
            <w:tcBorders>
              <w:right w:val="single" w:sz="4" w:space="0" w:color="4472C4"/>
            </w:tcBorders>
            <w:shd w:val="clear" w:color="auto" w:fill="1F3864" w:themeFill="accent5" w:themeFillShade="80"/>
            <w:vAlign w:val="center"/>
          </w:tcPr>
          <w:p w14:paraId="217D7C80" w14:textId="5732B6CC" w:rsidR="00B92A57" w:rsidRPr="00113364" w:rsidRDefault="00B92A57" w:rsidP="00E53F38">
            <w:pPr>
              <w:jc w:val="center"/>
              <w:rPr>
                <w:rFonts w:ascii="Arial" w:hAnsi="Arial" w:cs="Arial"/>
                <w:b w:val="0"/>
                <w:color w:val="FFFFFF"/>
              </w:rPr>
            </w:pPr>
            <w:r w:rsidRPr="00113364">
              <w:rPr>
                <w:rFonts w:ascii="Arial" w:hAnsi="Arial" w:cs="Arial"/>
                <w:color w:val="FFFFFF"/>
              </w:rPr>
              <w:t>20</w:t>
            </w:r>
            <w:r w:rsidR="00EE4EED" w:rsidRPr="00113364">
              <w:rPr>
                <w:rFonts w:ascii="Arial" w:hAnsi="Arial" w:cs="Arial"/>
                <w:color w:val="FFFFFF"/>
              </w:rPr>
              <w:t>22</w:t>
            </w:r>
            <w:r w:rsidRPr="00113364">
              <w:rPr>
                <w:rFonts w:ascii="Arial" w:hAnsi="Arial" w:cs="Arial"/>
                <w:color w:val="FFFFFF"/>
              </w:rPr>
              <w:t>–</w:t>
            </w:r>
            <w:r w:rsidR="00EE4EED" w:rsidRPr="00113364">
              <w:rPr>
                <w:rFonts w:ascii="Arial" w:hAnsi="Arial" w:cs="Arial"/>
                <w:color w:val="FFFFFF"/>
              </w:rPr>
              <w:t>23</w:t>
            </w:r>
            <w:r w:rsidRPr="00113364">
              <w:rPr>
                <w:rFonts w:ascii="Arial" w:hAnsi="Arial" w:cs="Arial"/>
                <w:color w:val="FFFFFF"/>
              </w:rPr>
              <w:t xml:space="preserve"> ELPAC </w:t>
            </w:r>
            <w:r w:rsidR="00EE4EED" w:rsidRPr="00113364">
              <w:rPr>
                <w:rFonts w:ascii="Arial" w:hAnsi="Arial" w:cs="Arial"/>
                <w:color w:val="FFFFFF"/>
              </w:rPr>
              <w:t>Reading Domain</w:t>
            </w:r>
          </w:p>
        </w:tc>
        <w:tc>
          <w:tcPr>
            <w:tcW w:w="1980" w:type="dxa"/>
            <w:tcBorders>
              <w:left w:val="single" w:sz="4" w:space="0" w:color="4472C4"/>
              <w:right w:val="single" w:sz="4" w:space="0" w:color="4472C4"/>
            </w:tcBorders>
            <w:shd w:val="clear" w:color="auto" w:fill="1F3864" w:themeFill="accent5" w:themeFillShade="80"/>
            <w:vAlign w:val="center"/>
          </w:tcPr>
          <w:p w14:paraId="2A387366" w14:textId="77777777" w:rsidR="00B92A57" w:rsidRPr="00113364" w:rsidRDefault="00B92A57" w:rsidP="00E53F38">
            <w:pPr>
              <w:pStyle w:val="ListParagraph"/>
              <w:ind w:left="-12"/>
              <w:jc w:val="center"/>
              <w:rPr>
                <w:rFonts w:ascii="Arial" w:hAnsi="Arial" w:cs="Arial"/>
                <w:color w:val="FFFFFF"/>
              </w:rPr>
            </w:pPr>
            <w:r w:rsidRPr="00113364">
              <w:rPr>
                <w:rFonts w:ascii="Arial" w:hAnsi="Arial" w:cs="Arial"/>
                <w:color w:val="FFFFFF"/>
              </w:rPr>
              <w:t>Concern Statement</w:t>
            </w:r>
          </w:p>
        </w:tc>
        <w:tc>
          <w:tcPr>
            <w:tcW w:w="1980" w:type="dxa"/>
            <w:tcBorders>
              <w:left w:val="single" w:sz="4" w:space="0" w:color="4472C4"/>
            </w:tcBorders>
            <w:shd w:val="clear" w:color="auto" w:fill="1F3864" w:themeFill="accent5" w:themeFillShade="80"/>
            <w:vAlign w:val="center"/>
          </w:tcPr>
          <w:p w14:paraId="52AFEBEA" w14:textId="77777777" w:rsidR="00B92A57" w:rsidRPr="00113364" w:rsidRDefault="00B92A57" w:rsidP="00E53F38">
            <w:pPr>
              <w:pStyle w:val="ListParagraph"/>
              <w:ind w:left="-12"/>
              <w:jc w:val="center"/>
              <w:rPr>
                <w:rFonts w:ascii="Arial" w:hAnsi="Arial" w:cs="Arial"/>
                <w:b w:val="0"/>
                <w:color w:val="FFFFFF"/>
              </w:rPr>
            </w:pPr>
            <w:r w:rsidRPr="00113364">
              <w:rPr>
                <w:rFonts w:ascii="Arial" w:hAnsi="Arial" w:cs="Arial"/>
                <w:color w:val="FFFFFF"/>
              </w:rPr>
              <w:t>Need Statement</w:t>
            </w:r>
          </w:p>
        </w:tc>
      </w:tr>
      <w:tr w:rsidR="00B92A57" w:rsidRPr="00113364" w14:paraId="27F46FE9" w14:textId="77777777" w:rsidTr="001E02C9">
        <w:trPr>
          <w:cnfStyle w:val="000000100000" w:firstRow="0" w:lastRow="0" w:firstColumn="0" w:lastColumn="0" w:oddVBand="0" w:evenVBand="0" w:oddHBand="1" w:evenHBand="0" w:firstRowFirstColumn="0" w:firstRowLastColumn="0" w:lastRowFirstColumn="0" w:lastRowLastColumn="0"/>
          <w:cantSplit/>
          <w:trHeight w:val="251"/>
        </w:trPr>
        <w:tc>
          <w:tcPr>
            <w:tcW w:w="5395" w:type="dxa"/>
          </w:tcPr>
          <w:p w14:paraId="3DE96DB9" w14:textId="0494FED2" w:rsidR="00B92A57" w:rsidRPr="00113364" w:rsidRDefault="00B92A57">
            <w:pPr>
              <w:pStyle w:val="ListParagraph"/>
              <w:numPr>
                <w:ilvl w:val="0"/>
                <w:numId w:val="56"/>
              </w:numPr>
              <w:spacing w:after="120"/>
              <w:ind w:left="331"/>
              <w:contextualSpacing w:val="0"/>
              <w:rPr>
                <w:rFonts w:ascii="Arial" w:hAnsi="Arial" w:cs="Arial"/>
              </w:rPr>
            </w:pPr>
            <w:r w:rsidRPr="00113364">
              <w:rPr>
                <w:rFonts w:ascii="Arial" w:hAnsi="Arial" w:cs="Arial"/>
                <w:b/>
                <w:color w:val="000000"/>
              </w:rPr>
              <w:t xml:space="preserve">Migratory </w:t>
            </w:r>
            <w:r w:rsidR="001E7B66" w:rsidRPr="00113364">
              <w:rPr>
                <w:rFonts w:ascii="Arial" w:hAnsi="Arial" w:cs="Arial"/>
                <w:b/>
                <w:color w:val="000000"/>
              </w:rPr>
              <w:t>S</w:t>
            </w:r>
            <w:r w:rsidRPr="00113364">
              <w:rPr>
                <w:rFonts w:ascii="Arial" w:hAnsi="Arial" w:cs="Arial"/>
                <w:b/>
                <w:color w:val="000000"/>
              </w:rPr>
              <w:t>tudents:</w:t>
            </w:r>
            <w:r w:rsidR="001E7B66" w:rsidRPr="00113364">
              <w:rPr>
                <w:rFonts w:ascii="Arial" w:hAnsi="Arial" w:cs="Arial"/>
                <w:b/>
                <w:color w:val="000000"/>
              </w:rPr>
              <w:t xml:space="preserve"> </w:t>
            </w:r>
            <w:r w:rsidRPr="00113364">
              <w:rPr>
                <w:rFonts w:ascii="Arial" w:hAnsi="Arial" w:cs="Arial"/>
              </w:rPr>
              <w:t>7.8 percent of migratory students are proficient in the ELPAC reading domain.</w:t>
            </w:r>
          </w:p>
          <w:p w14:paraId="4F411533" w14:textId="1C7EE88C" w:rsidR="001E7B66" w:rsidRPr="00113364" w:rsidRDefault="001E7B66">
            <w:pPr>
              <w:pStyle w:val="ListParagraph"/>
              <w:numPr>
                <w:ilvl w:val="0"/>
                <w:numId w:val="56"/>
              </w:numPr>
              <w:spacing w:after="120"/>
              <w:ind w:left="331"/>
              <w:contextualSpacing w:val="0"/>
              <w:rPr>
                <w:rFonts w:ascii="Arial" w:hAnsi="Arial" w:cs="Arial"/>
                <w:bCs/>
                <w:color w:val="000000"/>
              </w:rPr>
            </w:pPr>
            <w:r w:rsidRPr="00113364">
              <w:rPr>
                <w:rFonts w:ascii="Arial" w:hAnsi="Arial" w:cs="Arial"/>
                <w:b/>
                <w:color w:val="000000"/>
              </w:rPr>
              <w:t>Migratory PFS Students:</w:t>
            </w:r>
            <w:r w:rsidR="00CA0712" w:rsidRPr="00113364">
              <w:rPr>
                <w:rFonts w:ascii="Arial" w:hAnsi="Arial" w:cs="Arial"/>
                <w:b/>
                <w:color w:val="000000"/>
              </w:rPr>
              <w:t xml:space="preserve"> </w:t>
            </w:r>
            <w:r w:rsidR="00CA0712" w:rsidRPr="00113364">
              <w:rPr>
                <w:rFonts w:ascii="Arial" w:hAnsi="Arial" w:cs="Arial"/>
                <w:bCs/>
                <w:color w:val="000000"/>
              </w:rPr>
              <w:t>6.5 percent of migratory PFS students are proficient in the ELPAC reading domain.</w:t>
            </w:r>
          </w:p>
          <w:p w14:paraId="796F51FB" w14:textId="2D57D3E0" w:rsidR="00CA0712" w:rsidRPr="00113364" w:rsidRDefault="001E7B66">
            <w:pPr>
              <w:pStyle w:val="ListParagraph"/>
              <w:numPr>
                <w:ilvl w:val="0"/>
                <w:numId w:val="56"/>
              </w:numPr>
              <w:ind w:left="331"/>
              <w:contextualSpacing w:val="0"/>
              <w:rPr>
                <w:rFonts w:ascii="Arial" w:hAnsi="Arial" w:cs="Arial"/>
              </w:rPr>
            </w:pPr>
            <w:r w:rsidRPr="00113364">
              <w:rPr>
                <w:rFonts w:ascii="Arial" w:hAnsi="Arial" w:cs="Arial"/>
                <w:b/>
                <w:bCs/>
              </w:rPr>
              <w:t xml:space="preserve">All Students: </w:t>
            </w:r>
            <w:r w:rsidR="00B92A57" w:rsidRPr="00113364">
              <w:rPr>
                <w:rFonts w:ascii="Arial" w:hAnsi="Arial" w:cs="Arial"/>
              </w:rPr>
              <w:t>11.0 percent of all students are proficient in the ELPAC reading domain.</w:t>
            </w:r>
          </w:p>
        </w:tc>
        <w:tc>
          <w:tcPr>
            <w:tcW w:w="1980" w:type="dxa"/>
          </w:tcPr>
          <w:p w14:paraId="60908A51" w14:textId="225AEC3E" w:rsidR="00B92A57" w:rsidRPr="00113364" w:rsidRDefault="00B92A57" w:rsidP="0014514B">
            <w:pPr>
              <w:rPr>
                <w:rFonts w:ascii="Arial" w:hAnsi="Arial" w:cs="Arial"/>
              </w:rPr>
            </w:pPr>
            <w:r w:rsidRPr="00113364">
              <w:rPr>
                <w:rFonts w:ascii="Arial" w:hAnsi="Arial" w:cs="Arial"/>
              </w:rPr>
              <w:t>We are concerned that only 7.8 percent of migratory students are proficient in the ELPAC reading domain.</w:t>
            </w:r>
          </w:p>
        </w:tc>
        <w:tc>
          <w:tcPr>
            <w:tcW w:w="1980" w:type="dxa"/>
          </w:tcPr>
          <w:p w14:paraId="24172BB4" w14:textId="7C40BBB9" w:rsidR="00B92A57" w:rsidRPr="00113364" w:rsidRDefault="00B92A57" w:rsidP="004643B1">
            <w:pPr>
              <w:ind w:left="-20"/>
              <w:rPr>
                <w:rFonts w:ascii="Arial" w:hAnsi="Arial" w:cs="Arial"/>
              </w:rPr>
            </w:pPr>
            <w:r w:rsidRPr="00113364">
              <w:rPr>
                <w:rFonts w:ascii="Arial" w:hAnsi="Arial" w:cs="Arial"/>
              </w:rPr>
              <w:t xml:space="preserve">An additional 3.2 percent of migratory students need to be proficient in the reading domain of the ELPAC. </w:t>
            </w:r>
          </w:p>
        </w:tc>
      </w:tr>
    </w:tbl>
    <w:p w14:paraId="6EDDC70D" w14:textId="47FE3E73" w:rsidR="00FE498D" w:rsidRPr="00113364" w:rsidRDefault="00FE498D" w:rsidP="00FE498D">
      <w:pPr>
        <w:spacing w:before="240" w:after="240"/>
        <w:rPr>
          <w:rFonts w:ascii="Arial" w:hAnsi="Arial" w:cs="Arial"/>
        </w:rPr>
      </w:pPr>
      <w:r w:rsidRPr="00113364">
        <w:rPr>
          <w:rFonts w:ascii="Arial" w:hAnsi="Arial" w:cs="Arial"/>
        </w:rPr>
        <w:t xml:space="preserve">While </w:t>
      </w:r>
      <w:r w:rsidR="00FC1DBD" w:rsidRPr="00113364">
        <w:rPr>
          <w:rFonts w:ascii="Arial" w:hAnsi="Arial" w:cs="Arial"/>
        </w:rPr>
        <w:t xml:space="preserve">proficiency was low across all student groups reviewed in reading achievement, proficiency was slightly higher when looking at overall ELP data on the ELPAC. </w:t>
      </w:r>
    </w:p>
    <w:p w14:paraId="35E043FB" w14:textId="77777777" w:rsidR="000448D5" w:rsidRPr="00113364" w:rsidRDefault="000448D5" w:rsidP="00292C86">
      <w:pPr>
        <w:pStyle w:val="Heading4"/>
      </w:pPr>
      <w:r w:rsidRPr="00113364">
        <w:lastRenderedPageBreak/>
        <w:t>English Language Development Focus Area: English Language Proficiency</w:t>
      </w:r>
    </w:p>
    <w:p w14:paraId="3B867D7C" w14:textId="207AFB2A" w:rsidR="00D30BD7" w:rsidRPr="00113364" w:rsidRDefault="00D30BD7" w:rsidP="00D30BD7">
      <w:pPr>
        <w:spacing w:before="240" w:after="240"/>
        <w:rPr>
          <w:rFonts w:ascii="Arial" w:hAnsi="Arial" w:cs="Arial"/>
        </w:rPr>
      </w:pPr>
      <w:r w:rsidRPr="00113364">
        <w:rPr>
          <w:rFonts w:ascii="Arial" w:hAnsi="Arial" w:cs="Arial"/>
        </w:rPr>
        <w:t>Focusing on E</w:t>
      </w:r>
      <w:r w:rsidR="00F8713E">
        <w:rPr>
          <w:rFonts w:ascii="Arial" w:hAnsi="Arial" w:cs="Arial"/>
        </w:rPr>
        <w:t>LD</w:t>
      </w:r>
      <w:r w:rsidRPr="00113364">
        <w:rPr>
          <w:rFonts w:ascii="Arial" w:hAnsi="Arial" w:cs="Arial"/>
        </w:rPr>
        <w:t xml:space="preserve"> as early as possible is necessary</w:t>
      </w:r>
      <w:r w:rsidR="003F1A6B" w:rsidRPr="00113364">
        <w:rPr>
          <w:rFonts w:ascii="Arial" w:hAnsi="Arial" w:cs="Arial"/>
        </w:rPr>
        <w:t xml:space="preserve"> given proficiency levels in third grade CAASPP data. </w:t>
      </w:r>
      <w:r w:rsidRPr="00113364">
        <w:rPr>
          <w:rFonts w:ascii="Arial" w:hAnsi="Arial" w:cs="Arial"/>
        </w:rPr>
        <w:t>A high-level overview of the ELPAC overall proficiency data, the concern statement, and need statement is outlined in table</w:t>
      </w:r>
      <w:r w:rsidR="00643120" w:rsidRPr="00113364">
        <w:rPr>
          <w:rFonts w:ascii="Arial" w:hAnsi="Arial" w:cs="Arial"/>
        </w:rPr>
        <w:t> </w:t>
      </w:r>
      <w:r w:rsidRPr="00113364">
        <w:rPr>
          <w:rFonts w:ascii="Arial" w:hAnsi="Arial" w:cs="Arial"/>
        </w:rPr>
        <w:t xml:space="preserve">10. </w:t>
      </w:r>
    </w:p>
    <w:p w14:paraId="036881C4" w14:textId="6399D205" w:rsidR="009B3989" w:rsidRPr="00113364" w:rsidRDefault="009B3989" w:rsidP="00FB34EF">
      <w:pPr>
        <w:pStyle w:val="Heading5"/>
        <w:spacing w:after="0"/>
        <w:rPr>
          <w:b/>
          <w:bCs/>
          <w:i w:val="0"/>
          <w:iCs/>
          <w:sz w:val="24"/>
        </w:rPr>
      </w:pPr>
      <w:bookmarkStart w:id="36" w:name="_Toc204755346"/>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10</w:t>
      </w:r>
      <w:r w:rsidR="00C46CA6" w:rsidRPr="00113364">
        <w:rPr>
          <w:b/>
          <w:bCs/>
          <w:i w:val="0"/>
          <w:iCs/>
          <w:sz w:val="24"/>
        </w:rPr>
        <w:fldChar w:fldCharType="end"/>
      </w:r>
      <w:r w:rsidRPr="00113364">
        <w:rPr>
          <w:b/>
          <w:bCs/>
          <w:i w:val="0"/>
          <w:iCs/>
          <w:sz w:val="24"/>
        </w:rPr>
        <w:t>. Data Summary, Concern Statement, and Need Statement for English Language Proficiency (</w:t>
      </w:r>
      <w:r w:rsidR="00381EDD" w:rsidRPr="00381EDD">
        <w:rPr>
          <w:b/>
          <w:bCs/>
          <w:i w:val="0"/>
          <w:iCs/>
          <w:sz w:val="24"/>
        </w:rPr>
        <w:t>English Language Proficiency Assessment for California</w:t>
      </w:r>
      <w:r w:rsidR="00381EDD" w:rsidRPr="00381EDD" w:rsidDel="00381EDD">
        <w:rPr>
          <w:b/>
          <w:bCs/>
          <w:i w:val="0"/>
          <w:iCs/>
          <w:sz w:val="24"/>
        </w:rPr>
        <w:t xml:space="preserve"> </w:t>
      </w:r>
      <w:r w:rsidRPr="00113364">
        <w:rPr>
          <w:b/>
          <w:bCs/>
          <w:i w:val="0"/>
          <w:iCs/>
          <w:sz w:val="24"/>
        </w:rPr>
        <w:t>Overall Proficiency)</w:t>
      </w:r>
      <w:bookmarkEnd w:id="36"/>
    </w:p>
    <w:tbl>
      <w:tblPr>
        <w:tblStyle w:val="GridTable4-Accent5"/>
        <w:tblW w:w="9085" w:type="dxa"/>
        <w:tblLook w:val="0420" w:firstRow="1" w:lastRow="0" w:firstColumn="0" w:lastColumn="0" w:noHBand="0" w:noVBand="1"/>
        <w:tblDescription w:val="Data Summary, Concern Statement, and Need Statement for English Language Development, Grades 1–3"/>
      </w:tblPr>
      <w:tblGrid>
        <w:gridCol w:w="5125"/>
        <w:gridCol w:w="1890"/>
        <w:gridCol w:w="2070"/>
      </w:tblGrid>
      <w:tr w:rsidR="009B3989" w:rsidRPr="00113364" w14:paraId="338978D2" w14:textId="77777777" w:rsidTr="00102F8F">
        <w:trPr>
          <w:cnfStyle w:val="100000000000" w:firstRow="1" w:lastRow="0" w:firstColumn="0" w:lastColumn="0" w:oddVBand="0" w:evenVBand="0" w:oddHBand="0" w:evenHBand="0" w:firstRowFirstColumn="0" w:firstRowLastColumn="0" w:lastRowFirstColumn="0" w:lastRowLastColumn="0"/>
          <w:cantSplit/>
          <w:tblHeader/>
        </w:trPr>
        <w:tc>
          <w:tcPr>
            <w:tcW w:w="5125" w:type="dxa"/>
            <w:tcBorders>
              <w:right w:val="single" w:sz="4" w:space="0" w:color="4472C4"/>
            </w:tcBorders>
            <w:shd w:val="clear" w:color="auto" w:fill="1F3864" w:themeFill="accent5" w:themeFillShade="80"/>
            <w:vAlign w:val="center"/>
          </w:tcPr>
          <w:p w14:paraId="5B46FB11" w14:textId="33E32000" w:rsidR="009B3989" w:rsidRPr="00113364" w:rsidRDefault="009B3989" w:rsidP="00EB4984">
            <w:pPr>
              <w:jc w:val="center"/>
              <w:rPr>
                <w:rFonts w:ascii="Arial" w:hAnsi="Arial" w:cs="Arial"/>
                <w:b w:val="0"/>
                <w:color w:val="FFFFFF"/>
              </w:rPr>
            </w:pPr>
            <w:r w:rsidRPr="00113364">
              <w:rPr>
                <w:rFonts w:ascii="Arial" w:hAnsi="Arial" w:cs="Arial"/>
                <w:color w:val="FFFFFF"/>
              </w:rPr>
              <w:t xml:space="preserve">2022–23 ELPAC </w:t>
            </w:r>
            <w:r w:rsidR="008F74DC" w:rsidRPr="00113364">
              <w:rPr>
                <w:rFonts w:ascii="Arial" w:hAnsi="Arial" w:cs="Arial"/>
                <w:color w:val="FFFFFF"/>
              </w:rPr>
              <w:t>Overall Proficiency</w:t>
            </w:r>
          </w:p>
        </w:tc>
        <w:tc>
          <w:tcPr>
            <w:tcW w:w="1890" w:type="dxa"/>
            <w:tcBorders>
              <w:left w:val="single" w:sz="4" w:space="0" w:color="4472C4"/>
              <w:right w:val="single" w:sz="4" w:space="0" w:color="4472C4"/>
            </w:tcBorders>
            <w:shd w:val="clear" w:color="auto" w:fill="1F3864" w:themeFill="accent5" w:themeFillShade="80"/>
            <w:vAlign w:val="center"/>
          </w:tcPr>
          <w:p w14:paraId="4D1AA43A" w14:textId="77777777" w:rsidR="009B3989" w:rsidRPr="00113364" w:rsidRDefault="009B3989" w:rsidP="00EB4984">
            <w:pPr>
              <w:pStyle w:val="ListParagraph"/>
              <w:ind w:left="-12"/>
              <w:jc w:val="center"/>
              <w:rPr>
                <w:rFonts w:ascii="Arial" w:hAnsi="Arial" w:cs="Arial"/>
                <w:color w:val="FFFFFF"/>
              </w:rPr>
            </w:pPr>
            <w:r w:rsidRPr="00113364">
              <w:rPr>
                <w:rFonts w:ascii="Arial" w:hAnsi="Arial" w:cs="Arial"/>
                <w:color w:val="FFFFFF"/>
              </w:rPr>
              <w:t>Concern Statement</w:t>
            </w:r>
          </w:p>
        </w:tc>
        <w:tc>
          <w:tcPr>
            <w:tcW w:w="2070" w:type="dxa"/>
            <w:tcBorders>
              <w:left w:val="single" w:sz="4" w:space="0" w:color="4472C4"/>
            </w:tcBorders>
            <w:shd w:val="clear" w:color="auto" w:fill="1F3864" w:themeFill="accent5" w:themeFillShade="80"/>
            <w:vAlign w:val="center"/>
          </w:tcPr>
          <w:p w14:paraId="121B11E0" w14:textId="77777777" w:rsidR="009B3989" w:rsidRPr="00113364" w:rsidRDefault="009B3989" w:rsidP="00EB4984">
            <w:pPr>
              <w:pStyle w:val="ListParagraph"/>
              <w:ind w:left="-12"/>
              <w:jc w:val="center"/>
              <w:rPr>
                <w:rFonts w:ascii="Arial" w:hAnsi="Arial" w:cs="Arial"/>
                <w:b w:val="0"/>
                <w:color w:val="FFFFFF"/>
              </w:rPr>
            </w:pPr>
            <w:r w:rsidRPr="00113364">
              <w:rPr>
                <w:rFonts w:ascii="Arial" w:hAnsi="Arial" w:cs="Arial"/>
                <w:color w:val="FFFFFF"/>
              </w:rPr>
              <w:t>Need Statement</w:t>
            </w:r>
          </w:p>
        </w:tc>
      </w:tr>
      <w:tr w:rsidR="009B3989" w:rsidRPr="00113364" w14:paraId="1A0AA7A4" w14:textId="77777777" w:rsidTr="00102F8F">
        <w:trPr>
          <w:cnfStyle w:val="000000100000" w:firstRow="0" w:lastRow="0" w:firstColumn="0" w:lastColumn="0" w:oddVBand="0" w:evenVBand="0" w:oddHBand="1" w:evenHBand="0" w:firstRowFirstColumn="0" w:firstRowLastColumn="0" w:lastRowFirstColumn="0" w:lastRowLastColumn="0"/>
          <w:cantSplit/>
          <w:trHeight w:val="251"/>
        </w:trPr>
        <w:tc>
          <w:tcPr>
            <w:tcW w:w="5125" w:type="dxa"/>
          </w:tcPr>
          <w:p w14:paraId="1FE11E4F" w14:textId="18C97CE5" w:rsidR="00C51C85" w:rsidRPr="00113364" w:rsidRDefault="009B3989">
            <w:pPr>
              <w:pStyle w:val="ListParagraph"/>
              <w:numPr>
                <w:ilvl w:val="0"/>
                <w:numId w:val="54"/>
              </w:numPr>
              <w:spacing w:after="120"/>
              <w:ind w:left="337"/>
              <w:contextualSpacing w:val="0"/>
              <w:rPr>
                <w:rFonts w:ascii="Arial" w:hAnsi="Arial" w:cs="Arial"/>
              </w:rPr>
            </w:pPr>
            <w:r w:rsidRPr="00113364">
              <w:rPr>
                <w:rFonts w:ascii="Arial" w:hAnsi="Arial" w:cs="Arial"/>
                <w:b/>
                <w:color w:val="000000"/>
              </w:rPr>
              <w:t xml:space="preserve">Migratory Students: </w:t>
            </w:r>
            <w:r w:rsidR="00C51C85" w:rsidRPr="00113364">
              <w:rPr>
                <w:rFonts w:ascii="Arial" w:hAnsi="Arial" w:cs="Arial"/>
              </w:rPr>
              <w:t>11.8</w:t>
            </w:r>
            <w:r w:rsidR="00C51C85" w:rsidRPr="00113364">
              <w:rPr>
                <w:rFonts w:ascii="Arial" w:hAnsi="Arial" w:cs="Arial"/>
                <w:color w:val="000000"/>
              </w:rPr>
              <w:t> </w:t>
            </w:r>
            <w:r w:rsidR="00C51C85" w:rsidRPr="00113364">
              <w:rPr>
                <w:rFonts w:ascii="Arial" w:hAnsi="Arial" w:cs="Arial"/>
              </w:rPr>
              <w:t xml:space="preserve">percent of migratory students were proficient overall </w:t>
            </w:r>
            <w:proofErr w:type="gramStart"/>
            <w:r w:rsidR="00C51C85" w:rsidRPr="00113364">
              <w:rPr>
                <w:rFonts w:ascii="Arial" w:hAnsi="Arial" w:cs="Arial"/>
              </w:rPr>
              <w:t>on</w:t>
            </w:r>
            <w:proofErr w:type="gramEnd"/>
            <w:r w:rsidR="00C51C85" w:rsidRPr="00113364">
              <w:rPr>
                <w:rFonts w:ascii="Arial" w:hAnsi="Arial" w:cs="Arial"/>
              </w:rPr>
              <w:t xml:space="preserve"> the ELPAC.</w:t>
            </w:r>
          </w:p>
          <w:p w14:paraId="09075AE0" w14:textId="00E7D25F" w:rsidR="009B3989" w:rsidRPr="00113364" w:rsidRDefault="009B3989">
            <w:pPr>
              <w:pStyle w:val="ListParagraph"/>
              <w:numPr>
                <w:ilvl w:val="0"/>
                <w:numId w:val="56"/>
              </w:numPr>
              <w:spacing w:after="120"/>
              <w:ind w:left="337"/>
              <w:contextualSpacing w:val="0"/>
              <w:rPr>
                <w:rFonts w:ascii="Arial" w:hAnsi="Arial" w:cs="Arial"/>
                <w:bCs/>
                <w:color w:val="000000"/>
              </w:rPr>
            </w:pPr>
            <w:r w:rsidRPr="00113364">
              <w:rPr>
                <w:rFonts w:ascii="Arial" w:hAnsi="Arial" w:cs="Arial"/>
                <w:b/>
                <w:color w:val="000000"/>
              </w:rPr>
              <w:t xml:space="preserve">Migratory PFS Students: </w:t>
            </w:r>
            <w:r w:rsidR="00C51C85" w:rsidRPr="00113364">
              <w:rPr>
                <w:rFonts w:ascii="Arial" w:hAnsi="Arial" w:cs="Arial"/>
                <w:color w:val="000000"/>
              </w:rPr>
              <w:t>9.8 </w:t>
            </w:r>
            <w:r w:rsidRPr="00113364">
              <w:rPr>
                <w:rFonts w:ascii="Arial" w:hAnsi="Arial" w:cs="Arial"/>
                <w:bCs/>
                <w:color w:val="000000"/>
              </w:rPr>
              <w:t xml:space="preserve">percent of migratory PFS students are proficient </w:t>
            </w:r>
            <w:proofErr w:type="gramStart"/>
            <w:r w:rsidR="000448D5" w:rsidRPr="00113364">
              <w:rPr>
                <w:rFonts w:ascii="Arial" w:hAnsi="Arial" w:cs="Arial"/>
                <w:bCs/>
                <w:color w:val="000000"/>
              </w:rPr>
              <w:t>o</w:t>
            </w:r>
            <w:r w:rsidRPr="00113364">
              <w:rPr>
                <w:rFonts w:ascii="Arial" w:hAnsi="Arial" w:cs="Arial"/>
                <w:bCs/>
                <w:color w:val="000000"/>
              </w:rPr>
              <w:t>n</w:t>
            </w:r>
            <w:proofErr w:type="gramEnd"/>
            <w:r w:rsidRPr="00113364">
              <w:rPr>
                <w:rFonts w:ascii="Arial" w:hAnsi="Arial" w:cs="Arial"/>
                <w:bCs/>
                <w:color w:val="000000"/>
              </w:rPr>
              <w:t xml:space="preserve"> the ELPAC</w:t>
            </w:r>
            <w:r w:rsidR="000448D5" w:rsidRPr="00113364">
              <w:rPr>
                <w:rFonts w:ascii="Arial" w:hAnsi="Arial" w:cs="Arial"/>
                <w:bCs/>
                <w:color w:val="000000"/>
              </w:rPr>
              <w:t xml:space="preserve"> for overall proficiency</w:t>
            </w:r>
            <w:r w:rsidRPr="00113364">
              <w:rPr>
                <w:rFonts w:ascii="Arial" w:hAnsi="Arial" w:cs="Arial"/>
                <w:bCs/>
                <w:color w:val="000000"/>
              </w:rPr>
              <w:t>.</w:t>
            </w:r>
          </w:p>
          <w:p w14:paraId="72611A7C" w14:textId="1C5EBB24" w:rsidR="009B3989" w:rsidRPr="00113364" w:rsidRDefault="009B3989">
            <w:pPr>
              <w:pStyle w:val="ListParagraph"/>
              <w:numPr>
                <w:ilvl w:val="0"/>
                <w:numId w:val="54"/>
              </w:numPr>
              <w:spacing w:after="120"/>
              <w:ind w:left="337"/>
              <w:contextualSpacing w:val="0"/>
              <w:rPr>
                <w:rFonts w:ascii="Arial" w:hAnsi="Arial" w:cs="Arial"/>
              </w:rPr>
            </w:pPr>
            <w:r w:rsidRPr="00113364">
              <w:rPr>
                <w:rFonts w:ascii="Arial" w:hAnsi="Arial" w:cs="Arial"/>
                <w:b/>
                <w:bCs/>
              </w:rPr>
              <w:t xml:space="preserve">All Students: </w:t>
            </w:r>
            <w:r w:rsidR="00C51C85" w:rsidRPr="00113364">
              <w:rPr>
                <w:rFonts w:ascii="Arial" w:hAnsi="Arial" w:cs="Arial"/>
              </w:rPr>
              <w:t>16.5</w:t>
            </w:r>
            <w:r w:rsidR="00C51C85" w:rsidRPr="00113364">
              <w:rPr>
                <w:rFonts w:ascii="Arial" w:hAnsi="Arial" w:cs="Arial"/>
                <w:color w:val="000000"/>
              </w:rPr>
              <w:t> </w:t>
            </w:r>
            <w:r w:rsidR="00C51C85" w:rsidRPr="00113364">
              <w:rPr>
                <w:rFonts w:ascii="Arial" w:hAnsi="Arial" w:cs="Arial"/>
              </w:rPr>
              <w:t xml:space="preserve">percent of all students were proficient </w:t>
            </w:r>
            <w:proofErr w:type="gramStart"/>
            <w:r w:rsidR="00C51C85" w:rsidRPr="00113364">
              <w:rPr>
                <w:rFonts w:ascii="Arial" w:hAnsi="Arial" w:cs="Arial"/>
              </w:rPr>
              <w:t>on</w:t>
            </w:r>
            <w:proofErr w:type="gramEnd"/>
            <w:r w:rsidR="00C51C85" w:rsidRPr="00113364">
              <w:rPr>
                <w:rFonts w:ascii="Arial" w:hAnsi="Arial" w:cs="Arial"/>
              </w:rPr>
              <w:t xml:space="preserve"> the ELPAC</w:t>
            </w:r>
            <w:r w:rsidR="000448D5" w:rsidRPr="00113364">
              <w:rPr>
                <w:rFonts w:ascii="Arial" w:hAnsi="Arial" w:cs="Arial"/>
              </w:rPr>
              <w:t xml:space="preserve"> for overall proficiency</w:t>
            </w:r>
            <w:r w:rsidR="00C51C85" w:rsidRPr="00113364">
              <w:rPr>
                <w:rFonts w:ascii="Arial" w:hAnsi="Arial" w:cs="Arial"/>
              </w:rPr>
              <w:t>.</w:t>
            </w:r>
          </w:p>
          <w:p w14:paraId="7A35E7B6" w14:textId="2BF34AC3" w:rsidR="009B3989" w:rsidRPr="00113364" w:rsidRDefault="009B3989">
            <w:pPr>
              <w:pStyle w:val="ListParagraph"/>
              <w:numPr>
                <w:ilvl w:val="0"/>
                <w:numId w:val="56"/>
              </w:numPr>
              <w:spacing w:after="120"/>
              <w:ind w:left="337"/>
              <w:contextualSpacing w:val="0"/>
              <w:rPr>
                <w:rFonts w:ascii="Arial" w:hAnsi="Arial" w:cs="Arial"/>
              </w:rPr>
            </w:pPr>
            <w:r w:rsidRPr="00113364">
              <w:rPr>
                <w:rFonts w:ascii="Arial" w:hAnsi="Arial" w:cs="Arial"/>
              </w:rPr>
              <w:t>From 2018–19 to 2022–23, the gap between all and migratory students decreased from 4.9</w:t>
            </w:r>
            <w:r w:rsidR="00C51C85" w:rsidRPr="00113364">
              <w:rPr>
                <w:rFonts w:ascii="Arial" w:hAnsi="Arial" w:cs="Arial"/>
                <w:color w:val="000000"/>
              </w:rPr>
              <w:t> </w:t>
            </w:r>
            <w:r w:rsidRPr="00113364">
              <w:rPr>
                <w:rFonts w:ascii="Arial" w:hAnsi="Arial" w:cs="Arial"/>
              </w:rPr>
              <w:t>percent to 4.7</w:t>
            </w:r>
            <w:r w:rsidR="00C51C85" w:rsidRPr="00113364">
              <w:rPr>
                <w:rFonts w:ascii="Arial" w:hAnsi="Arial" w:cs="Arial"/>
                <w:color w:val="000000"/>
              </w:rPr>
              <w:t> </w:t>
            </w:r>
            <w:r w:rsidRPr="00113364">
              <w:rPr>
                <w:rFonts w:ascii="Arial" w:hAnsi="Arial" w:cs="Arial"/>
              </w:rPr>
              <w:t>percent.</w:t>
            </w:r>
          </w:p>
        </w:tc>
        <w:tc>
          <w:tcPr>
            <w:tcW w:w="1890" w:type="dxa"/>
          </w:tcPr>
          <w:p w14:paraId="010734FF" w14:textId="6B359FB3" w:rsidR="009B3989" w:rsidRPr="00113364" w:rsidRDefault="00C51C85" w:rsidP="00EB4984">
            <w:pPr>
              <w:rPr>
                <w:rFonts w:ascii="Arial" w:hAnsi="Arial" w:cs="Arial"/>
              </w:rPr>
            </w:pPr>
            <w:r w:rsidRPr="00113364">
              <w:rPr>
                <w:rFonts w:ascii="Arial" w:hAnsi="Arial" w:cs="Arial"/>
              </w:rPr>
              <w:t>We are concerned that the gap between all students and migratory students’ proficiency has not significantly decreased from 2018–19 to 2022–23.</w:t>
            </w:r>
          </w:p>
        </w:tc>
        <w:tc>
          <w:tcPr>
            <w:tcW w:w="2070" w:type="dxa"/>
          </w:tcPr>
          <w:p w14:paraId="758C14E6" w14:textId="2912B6D0" w:rsidR="009B3989" w:rsidRPr="00113364" w:rsidRDefault="00C51C85" w:rsidP="00C51C85">
            <w:pPr>
              <w:ind w:left="-20"/>
              <w:rPr>
                <w:rFonts w:ascii="Arial" w:hAnsi="Arial" w:cs="Arial"/>
              </w:rPr>
            </w:pPr>
            <w:bookmarkStart w:id="37" w:name="_Hlk175844112"/>
            <w:r w:rsidRPr="00113364">
              <w:rPr>
                <w:rFonts w:ascii="Arial" w:hAnsi="Arial" w:cs="Arial"/>
              </w:rPr>
              <w:t>An additional 4.7</w:t>
            </w:r>
            <w:r w:rsidR="00765900" w:rsidRPr="00113364">
              <w:rPr>
                <w:rFonts w:ascii="Arial" w:hAnsi="Arial" w:cs="Arial"/>
                <w:color w:val="000000"/>
              </w:rPr>
              <w:t> </w:t>
            </w:r>
            <w:r w:rsidRPr="00113364">
              <w:rPr>
                <w:rFonts w:ascii="Arial" w:hAnsi="Arial" w:cs="Arial"/>
              </w:rPr>
              <w:t>percent of migratory students need to score at Level 4 on the overall ELPAC.</w:t>
            </w:r>
            <w:bookmarkEnd w:id="37"/>
          </w:p>
        </w:tc>
      </w:tr>
    </w:tbl>
    <w:p w14:paraId="4EDBEE87" w14:textId="3B86E9A0" w:rsidR="00FC1DBD" w:rsidRPr="00113364" w:rsidRDefault="00B03119" w:rsidP="00FC1DBD">
      <w:pPr>
        <w:spacing w:before="240" w:after="240"/>
        <w:rPr>
          <w:rFonts w:ascii="Arial" w:hAnsi="Arial" w:cs="Arial"/>
        </w:rPr>
      </w:pPr>
      <w:r>
        <w:rPr>
          <w:rFonts w:ascii="Arial" w:hAnsi="Arial" w:cs="Arial"/>
        </w:rPr>
        <w:t>ELP</w:t>
      </w:r>
      <w:r w:rsidR="00163342" w:rsidRPr="00113364">
        <w:rPr>
          <w:rFonts w:ascii="Arial" w:hAnsi="Arial" w:cs="Arial"/>
        </w:rPr>
        <w:t xml:space="preserve"> </w:t>
      </w:r>
      <w:r w:rsidR="001E02C9" w:rsidRPr="00113364">
        <w:rPr>
          <w:rFonts w:ascii="Arial" w:hAnsi="Arial" w:cs="Arial"/>
        </w:rPr>
        <w:t xml:space="preserve">is an important skillset within a student’s toolbox. </w:t>
      </w:r>
      <w:r w:rsidR="00733B47" w:rsidRPr="00113364">
        <w:rPr>
          <w:rFonts w:ascii="Arial" w:hAnsi="Arial" w:cs="Arial"/>
        </w:rPr>
        <w:t xml:space="preserve">Another important </w:t>
      </w:r>
      <w:r w:rsidR="00677189" w:rsidRPr="00113364">
        <w:rPr>
          <w:rFonts w:ascii="Arial" w:hAnsi="Arial" w:cs="Arial"/>
        </w:rPr>
        <w:t>tool in a student’s toolbox</w:t>
      </w:r>
      <w:r w:rsidR="00767D16" w:rsidRPr="00113364">
        <w:rPr>
          <w:rFonts w:ascii="Arial" w:hAnsi="Arial" w:cs="Arial"/>
        </w:rPr>
        <w:t xml:space="preserve">, especially </w:t>
      </w:r>
      <w:r w:rsidR="00677189" w:rsidRPr="00113364">
        <w:rPr>
          <w:rFonts w:ascii="Arial" w:hAnsi="Arial" w:cs="Arial"/>
        </w:rPr>
        <w:t xml:space="preserve">for students with high mobility </w:t>
      </w:r>
      <w:r w:rsidR="00643120" w:rsidRPr="00113364">
        <w:rPr>
          <w:rFonts w:ascii="Arial" w:hAnsi="Arial" w:cs="Arial"/>
        </w:rPr>
        <w:t>whose</w:t>
      </w:r>
      <w:r w:rsidR="00677189" w:rsidRPr="00113364">
        <w:rPr>
          <w:rFonts w:ascii="Arial" w:hAnsi="Arial" w:cs="Arial"/>
        </w:rPr>
        <w:t xml:space="preserve"> relationships are also disrupted, is social and emotional learning.</w:t>
      </w:r>
    </w:p>
    <w:p w14:paraId="0EA65E64" w14:textId="77777777" w:rsidR="00D35D28" w:rsidRPr="00113364" w:rsidRDefault="00D35D28" w:rsidP="003F0CBE">
      <w:pPr>
        <w:pStyle w:val="Heading3"/>
      </w:pPr>
      <w:bookmarkStart w:id="38" w:name="_Toc203568840"/>
      <w:r w:rsidRPr="00113364">
        <w:t>Social and Emotional Learning</w:t>
      </w:r>
      <w:bookmarkEnd w:id="38"/>
    </w:p>
    <w:p w14:paraId="1F7FCB9E" w14:textId="20DE2A17" w:rsidR="00D35D28" w:rsidRPr="00113364" w:rsidRDefault="00D35D28" w:rsidP="00D35D28">
      <w:pPr>
        <w:rPr>
          <w:rFonts w:ascii="Arial" w:hAnsi="Arial" w:cs="Arial"/>
        </w:rPr>
      </w:pPr>
      <w:r w:rsidRPr="00113364">
        <w:rPr>
          <w:rFonts w:ascii="Arial" w:hAnsi="Arial" w:cs="Arial"/>
        </w:rPr>
        <w:t>Social and emotional learning (SEL) is already included in preschool curricula, but it has increasingly expanded into elementary and secondary settings. To be a thoroughly well-rounded individual, SEL is integral to human development. SEL offers learners the ability to develop healthy identities, manage emotions, achieve personal and collective goals, possess empathy, develop and maintain healthy relationships, and make responsible decisions. The devast</w:t>
      </w:r>
      <w:r w:rsidR="00FD119D">
        <w:rPr>
          <w:rFonts w:ascii="Arial" w:hAnsi="Arial" w:cs="Arial"/>
        </w:rPr>
        <w:t>at</w:t>
      </w:r>
      <w:r w:rsidRPr="00113364">
        <w:rPr>
          <w:rFonts w:ascii="Arial" w:hAnsi="Arial" w:cs="Arial"/>
        </w:rPr>
        <w:t>ing impacts of the COVID-19 pandemic (e.g., social isolation, lack of practice building and maintain</w:t>
      </w:r>
      <w:r w:rsidR="00FD4BA3">
        <w:rPr>
          <w:rFonts w:ascii="Arial" w:hAnsi="Arial" w:cs="Arial"/>
        </w:rPr>
        <w:t>ing</w:t>
      </w:r>
      <w:r w:rsidRPr="00113364">
        <w:rPr>
          <w:rFonts w:ascii="Arial" w:hAnsi="Arial" w:cs="Arial"/>
        </w:rPr>
        <w:t xml:space="preserve"> relationships, learning loss, grief, anxiety, depression, etc.) have persisted in addition to new stressors including threat of deportation</w:t>
      </w:r>
      <w:r w:rsidR="00FD4BA3">
        <w:rPr>
          <w:rFonts w:ascii="Arial" w:hAnsi="Arial" w:cs="Arial"/>
        </w:rPr>
        <w:t xml:space="preserve"> and family </w:t>
      </w:r>
      <w:r w:rsidR="002F7061">
        <w:rPr>
          <w:rFonts w:ascii="Arial" w:hAnsi="Arial" w:cs="Arial"/>
        </w:rPr>
        <w:t>separation</w:t>
      </w:r>
      <w:r w:rsidRPr="00113364">
        <w:rPr>
          <w:rFonts w:ascii="Arial" w:hAnsi="Arial" w:cs="Arial"/>
        </w:rPr>
        <w:t>. California’s Migratory Student Profile survey responses from MEP staff, OSY, and MEP parents identified the need to implement SEL within</w:t>
      </w:r>
      <w:r w:rsidR="00EB6991">
        <w:rPr>
          <w:rFonts w:ascii="Arial" w:hAnsi="Arial" w:cs="Arial"/>
        </w:rPr>
        <w:t xml:space="preserve"> more</w:t>
      </w:r>
      <w:r w:rsidRPr="00113364">
        <w:rPr>
          <w:rFonts w:ascii="Arial" w:hAnsi="Arial" w:cs="Arial"/>
        </w:rPr>
        <w:t xml:space="preserve"> MEP services. </w:t>
      </w:r>
    </w:p>
    <w:p w14:paraId="04B3231A" w14:textId="77777777" w:rsidR="00D35D28" w:rsidRPr="00113364" w:rsidRDefault="00D35D28" w:rsidP="00D35D28">
      <w:pPr>
        <w:pStyle w:val="Heading4"/>
      </w:pPr>
      <w:r w:rsidRPr="00113364">
        <w:lastRenderedPageBreak/>
        <w:t>Social and Emotional Learning Focus Area: Building Awareness</w:t>
      </w:r>
    </w:p>
    <w:p w14:paraId="25DFF037" w14:textId="0FB393B8" w:rsidR="00D0628C" w:rsidRPr="00113364" w:rsidRDefault="00643120" w:rsidP="00D0628C">
      <w:pPr>
        <w:rPr>
          <w:rFonts w:ascii="Arial" w:hAnsi="Arial" w:cs="Arial"/>
        </w:rPr>
      </w:pPr>
      <w:r w:rsidRPr="00113364">
        <w:rPr>
          <w:rFonts w:ascii="Arial" w:hAnsi="Arial" w:cs="Arial"/>
        </w:rPr>
        <w:t xml:space="preserve">Social and emotional learning was a new need identified </w:t>
      </w:r>
      <w:r w:rsidR="00C51413" w:rsidRPr="00113364">
        <w:rPr>
          <w:rFonts w:ascii="Arial" w:hAnsi="Arial" w:cs="Arial"/>
        </w:rPr>
        <w:t xml:space="preserve">by MEP staff and parents for this CNA and SDP. As such, the MEP will need to build awareness of SEL and staff capacity to embed SEL routines and activities into instructional services. Without specific SEL data for migratory children and youth, most of the generated concerns came from qualitative data. Table </w:t>
      </w:r>
      <w:r w:rsidR="005B10F2">
        <w:rPr>
          <w:rFonts w:ascii="Arial" w:hAnsi="Arial" w:cs="Arial"/>
        </w:rPr>
        <w:t>11</w:t>
      </w:r>
      <w:r w:rsidR="00C51413" w:rsidRPr="00113364">
        <w:rPr>
          <w:rFonts w:ascii="Arial" w:hAnsi="Arial" w:cs="Arial"/>
        </w:rPr>
        <w:t xml:space="preserve"> details the key data points that generated the concern and need statement to build awareness in SEL.</w:t>
      </w:r>
    </w:p>
    <w:p w14:paraId="6756407C" w14:textId="0D51AEBC" w:rsidR="00D35D28" w:rsidRPr="00113364" w:rsidRDefault="00D35D28" w:rsidP="00D35D28">
      <w:pPr>
        <w:pStyle w:val="Heading5"/>
        <w:spacing w:after="0"/>
        <w:rPr>
          <w:b/>
          <w:bCs/>
          <w:i w:val="0"/>
          <w:iCs/>
          <w:sz w:val="24"/>
        </w:rPr>
      </w:pPr>
      <w:bookmarkStart w:id="39" w:name="_Toc204755347"/>
      <w:r w:rsidRPr="00113364">
        <w:rPr>
          <w:b/>
          <w:bCs/>
          <w:i w:val="0"/>
          <w:iCs/>
          <w:sz w:val="24"/>
        </w:rPr>
        <w:t xml:space="preserve">Table </w:t>
      </w:r>
      <w:r w:rsidRPr="00113364">
        <w:rPr>
          <w:b/>
          <w:bCs/>
          <w:i w:val="0"/>
          <w:iCs/>
          <w:sz w:val="24"/>
        </w:rPr>
        <w:fldChar w:fldCharType="begin"/>
      </w:r>
      <w:r w:rsidRPr="00113364">
        <w:rPr>
          <w:b/>
          <w:bCs/>
          <w:i w:val="0"/>
          <w:iCs/>
          <w:sz w:val="24"/>
        </w:rPr>
        <w:instrText xml:space="preserve"> SEQ Table \* ARABIC </w:instrText>
      </w:r>
      <w:r w:rsidRPr="00113364">
        <w:rPr>
          <w:b/>
          <w:bCs/>
          <w:i w:val="0"/>
          <w:iCs/>
          <w:sz w:val="24"/>
        </w:rPr>
        <w:fldChar w:fldCharType="separate"/>
      </w:r>
      <w:r w:rsidR="001362A0">
        <w:rPr>
          <w:b/>
          <w:bCs/>
          <w:i w:val="0"/>
          <w:iCs/>
          <w:noProof/>
          <w:sz w:val="24"/>
        </w:rPr>
        <w:t>11</w:t>
      </w:r>
      <w:r w:rsidRPr="00113364">
        <w:rPr>
          <w:b/>
          <w:bCs/>
          <w:i w:val="0"/>
          <w:iCs/>
          <w:noProof/>
          <w:sz w:val="24"/>
        </w:rPr>
        <w:fldChar w:fldCharType="end"/>
      </w:r>
      <w:r w:rsidRPr="00113364">
        <w:rPr>
          <w:b/>
          <w:bCs/>
          <w:i w:val="0"/>
          <w:iCs/>
          <w:sz w:val="24"/>
        </w:rPr>
        <w:t>. Data Summary, Concern Statement, and Need Statement for Building Awareness in Social and Emotional Learning</w:t>
      </w:r>
      <w:bookmarkEnd w:id="39"/>
      <w:r w:rsidRPr="00113364">
        <w:rPr>
          <w:b/>
          <w:bCs/>
          <w:i w:val="0"/>
          <w:iCs/>
          <w:sz w:val="24"/>
        </w:rPr>
        <w:t xml:space="preserve"> </w:t>
      </w:r>
    </w:p>
    <w:tbl>
      <w:tblPr>
        <w:tblStyle w:val="GridTable4-Accent1"/>
        <w:tblW w:w="0" w:type="auto"/>
        <w:tblLook w:val="0420" w:firstRow="1" w:lastRow="0" w:firstColumn="0" w:lastColumn="0" w:noHBand="0" w:noVBand="1"/>
        <w:tblDescription w:val="Data Summary, Concern Statement, and Need Statement for Student Engagement: Self and Cultural Pride"/>
      </w:tblPr>
      <w:tblGrid>
        <w:gridCol w:w="4495"/>
        <w:gridCol w:w="2520"/>
        <w:gridCol w:w="2335"/>
      </w:tblGrid>
      <w:tr w:rsidR="00D35D28" w:rsidRPr="00113364" w14:paraId="5559D5A7" w14:textId="77777777" w:rsidTr="00EB4984">
        <w:trPr>
          <w:cnfStyle w:val="100000000000" w:firstRow="1" w:lastRow="0" w:firstColumn="0" w:lastColumn="0" w:oddVBand="0" w:evenVBand="0" w:oddHBand="0" w:evenHBand="0" w:firstRowFirstColumn="0" w:firstRowLastColumn="0" w:lastRowFirstColumn="0" w:lastRowLastColumn="0"/>
          <w:cantSplit/>
          <w:tblHeader/>
        </w:trPr>
        <w:tc>
          <w:tcPr>
            <w:tcW w:w="4495" w:type="dxa"/>
            <w:tcBorders>
              <w:right w:val="single" w:sz="4" w:space="0" w:color="4472C4"/>
            </w:tcBorders>
            <w:shd w:val="clear" w:color="auto" w:fill="1F3864" w:themeFill="accent5" w:themeFillShade="80"/>
            <w:vAlign w:val="center"/>
          </w:tcPr>
          <w:p w14:paraId="72F4BD0B" w14:textId="77777777" w:rsidR="00D35D28" w:rsidRPr="00113364" w:rsidRDefault="00D35D28" w:rsidP="00EB4984">
            <w:pPr>
              <w:jc w:val="center"/>
              <w:rPr>
                <w:rFonts w:ascii="Arial" w:hAnsi="Arial" w:cs="Arial"/>
                <w:b w:val="0"/>
                <w:color w:val="FFFFFF"/>
              </w:rPr>
            </w:pPr>
            <w:r w:rsidRPr="00113364">
              <w:rPr>
                <w:rFonts w:ascii="Arial" w:hAnsi="Arial" w:cs="Arial"/>
                <w:color w:val="FFFFFF"/>
              </w:rPr>
              <w:t>Data Summary:</w:t>
            </w:r>
          </w:p>
          <w:p w14:paraId="320553B2" w14:textId="77777777" w:rsidR="00D35D28" w:rsidRPr="00113364" w:rsidRDefault="00D35D28" w:rsidP="00EB4984">
            <w:pPr>
              <w:jc w:val="center"/>
              <w:rPr>
                <w:rFonts w:ascii="Arial" w:hAnsi="Arial" w:cs="Arial"/>
                <w:b w:val="0"/>
                <w:color w:val="FFFFFF"/>
              </w:rPr>
            </w:pPr>
            <w:r w:rsidRPr="00113364">
              <w:rPr>
                <w:rFonts w:ascii="Arial" w:hAnsi="Arial" w:cs="Arial"/>
                <w:color w:val="FFFFFF"/>
              </w:rPr>
              <w:t>Qualitative Data from Committee Discussion</w:t>
            </w:r>
          </w:p>
        </w:tc>
        <w:tc>
          <w:tcPr>
            <w:tcW w:w="2520" w:type="dxa"/>
            <w:tcBorders>
              <w:left w:val="single" w:sz="4" w:space="0" w:color="4472C4"/>
              <w:right w:val="single" w:sz="4" w:space="0" w:color="4472C4"/>
            </w:tcBorders>
            <w:shd w:val="clear" w:color="auto" w:fill="1F3864" w:themeFill="accent5" w:themeFillShade="80"/>
            <w:vAlign w:val="center"/>
          </w:tcPr>
          <w:p w14:paraId="1168A185" w14:textId="77777777" w:rsidR="00D35D28" w:rsidRPr="00113364" w:rsidRDefault="00D35D28" w:rsidP="00EB4984">
            <w:pPr>
              <w:pStyle w:val="ListParagraph"/>
              <w:ind w:left="0"/>
              <w:jc w:val="center"/>
              <w:rPr>
                <w:rFonts w:ascii="Arial" w:hAnsi="Arial" w:cs="Arial"/>
                <w:color w:val="FFFFFF"/>
              </w:rPr>
            </w:pPr>
            <w:r w:rsidRPr="00113364">
              <w:rPr>
                <w:rFonts w:ascii="Arial" w:hAnsi="Arial" w:cs="Arial"/>
                <w:color w:val="FFFFFF"/>
              </w:rPr>
              <w:t>Concern Statement</w:t>
            </w:r>
          </w:p>
        </w:tc>
        <w:tc>
          <w:tcPr>
            <w:tcW w:w="2335" w:type="dxa"/>
            <w:tcBorders>
              <w:left w:val="single" w:sz="4" w:space="0" w:color="4472C4"/>
            </w:tcBorders>
            <w:shd w:val="clear" w:color="auto" w:fill="1F3864" w:themeFill="accent5" w:themeFillShade="80"/>
            <w:vAlign w:val="center"/>
          </w:tcPr>
          <w:p w14:paraId="76091439" w14:textId="77777777" w:rsidR="00D35D28" w:rsidRPr="00113364" w:rsidRDefault="00D35D28" w:rsidP="00EB4984">
            <w:pPr>
              <w:pStyle w:val="ListParagraph"/>
              <w:ind w:left="0"/>
              <w:jc w:val="center"/>
              <w:rPr>
                <w:rFonts w:ascii="Arial" w:hAnsi="Arial" w:cs="Arial"/>
                <w:color w:val="FFFFFF"/>
              </w:rPr>
            </w:pPr>
            <w:r w:rsidRPr="00113364">
              <w:rPr>
                <w:rFonts w:ascii="Arial" w:hAnsi="Arial" w:cs="Arial"/>
                <w:color w:val="FFFFFF"/>
              </w:rPr>
              <w:t>Need Statement</w:t>
            </w:r>
          </w:p>
        </w:tc>
      </w:tr>
      <w:tr w:rsidR="00D35D28" w:rsidRPr="00113364" w14:paraId="354278A0" w14:textId="77777777" w:rsidTr="00EB4984">
        <w:trPr>
          <w:cnfStyle w:val="000000100000" w:firstRow="0" w:lastRow="0" w:firstColumn="0" w:lastColumn="0" w:oddVBand="0" w:evenVBand="0" w:oddHBand="1" w:evenHBand="0" w:firstRowFirstColumn="0" w:firstRowLastColumn="0" w:lastRowFirstColumn="0" w:lastRowLastColumn="0"/>
          <w:cantSplit/>
          <w:trHeight w:val="251"/>
        </w:trPr>
        <w:tc>
          <w:tcPr>
            <w:tcW w:w="4495" w:type="dxa"/>
          </w:tcPr>
          <w:p w14:paraId="726646C0" w14:textId="77777777" w:rsidR="00D35D28" w:rsidRPr="00113364" w:rsidRDefault="00D35D28" w:rsidP="00EB4984">
            <w:pPr>
              <w:pStyle w:val="ListParagraph"/>
              <w:numPr>
                <w:ilvl w:val="0"/>
                <w:numId w:val="43"/>
              </w:numPr>
              <w:tabs>
                <w:tab w:val="left" w:pos="330"/>
              </w:tabs>
              <w:spacing w:after="120"/>
              <w:ind w:left="331"/>
              <w:contextualSpacing w:val="0"/>
              <w:rPr>
                <w:rFonts w:ascii="Arial" w:hAnsi="Arial" w:cs="Arial"/>
              </w:rPr>
            </w:pPr>
            <w:r w:rsidRPr="00113364">
              <w:rPr>
                <w:rFonts w:ascii="Arial" w:hAnsi="Arial" w:cs="Arial"/>
              </w:rPr>
              <w:t>Only some regions offer SEL workshops and support parents’ attendance.</w:t>
            </w:r>
          </w:p>
          <w:p w14:paraId="58B520D8" w14:textId="77777777" w:rsidR="00D35D28" w:rsidRPr="00113364" w:rsidRDefault="00D35D28" w:rsidP="00EB4984">
            <w:pPr>
              <w:pStyle w:val="ListParagraph"/>
              <w:numPr>
                <w:ilvl w:val="0"/>
                <w:numId w:val="43"/>
              </w:numPr>
              <w:tabs>
                <w:tab w:val="left" w:pos="330"/>
              </w:tabs>
              <w:spacing w:after="120"/>
              <w:ind w:left="331"/>
              <w:contextualSpacing w:val="0"/>
              <w:rPr>
                <w:rFonts w:ascii="Arial" w:hAnsi="Arial" w:cs="Arial"/>
              </w:rPr>
            </w:pPr>
            <w:r w:rsidRPr="00113364">
              <w:rPr>
                <w:rFonts w:ascii="Arial" w:hAnsi="Arial" w:cs="Arial"/>
              </w:rPr>
              <w:t>Students are struggling with feelings of belonging at school, especially in the classroom and school community.</w:t>
            </w:r>
          </w:p>
          <w:p w14:paraId="37B9EA4B" w14:textId="77777777" w:rsidR="00D35D28" w:rsidRPr="00113364" w:rsidRDefault="00D35D28" w:rsidP="00EB4984">
            <w:pPr>
              <w:pStyle w:val="ListParagraph"/>
              <w:numPr>
                <w:ilvl w:val="0"/>
                <w:numId w:val="43"/>
              </w:numPr>
              <w:tabs>
                <w:tab w:val="left" w:pos="330"/>
              </w:tabs>
              <w:spacing w:after="120"/>
              <w:ind w:left="331"/>
              <w:contextualSpacing w:val="0"/>
              <w:rPr>
                <w:rFonts w:ascii="Arial" w:hAnsi="Arial" w:cs="Arial"/>
              </w:rPr>
            </w:pPr>
            <w:r w:rsidRPr="00113364">
              <w:rPr>
                <w:rFonts w:ascii="Arial" w:hAnsi="Arial" w:cs="Arial"/>
              </w:rPr>
              <w:t>Staff employed by the MEP and one parent noted that they see low self-esteem, confidence and therefore motivation within students.</w:t>
            </w:r>
          </w:p>
          <w:p w14:paraId="725E0155" w14:textId="77777777" w:rsidR="00D35D28" w:rsidRPr="00113364" w:rsidRDefault="00D35D28" w:rsidP="00EB4984">
            <w:pPr>
              <w:pStyle w:val="ListParagraph"/>
              <w:numPr>
                <w:ilvl w:val="0"/>
                <w:numId w:val="43"/>
              </w:numPr>
              <w:tabs>
                <w:tab w:val="left" w:pos="330"/>
              </w:tabs>
              <w:spacing w:after="120"/>
              <w:ind w:left="331"/>
              <w:contextualSpacing w:val="0"/>
              <w:rPr>
                <w:rFonts w:ascii="Arial" w:hAnsi="Arial" w:cs="Arial"/>
                <w:sz w:val="20"/>
                <w:szCs w:val="20"/>
              </w:rPr>
            </w:pPr>
            <w:r w:rsidRPr="00113364">
              <w:rPr>
                <w:rFonts w:ascii="Arial" w:hAnsi="Arial" w:cs="Arial"/>
              </w:rPr>
              <w:t>The subcommittee reported a need to support students’ self-regulation and development of caring adult relationships.</w:t>
            </w:r>
          </w:p>
        </w:tc>
        <w:tc>
          <w:tcPr>
            <w:tcW w:w="2520" w:type="dxa"/>
          </w:tcPr>
          <w:p w14:paraId="1B65FBAA" w14:textId="77777777" w:rsidR="00D35D28" w:rsidRPr="00113364" w:rsidRDefault="00D35D28" w:rsidP="00EB4984">
            <w:pPr>
              <w:spacing w:after="240"/>
              <w:rPr>
                <w:rFonts w:ascii="Arial" w:hAnsi="Arial" w:cs="Arial"/>
              </w:rPr>
            </w:pPr>
            <w:r w:rsidRPr="00113364">
              <w:rPr>
                <w:rFonts w:ascii="Arial" w:hAnsi="Arial" w:cs="Arial"/>
              </w:rPr>
              <w:t>We are concerned MEP parents, students, and OSY are not receiving enough SEL content (e.g., services, workshops, curricula, practice) at home and school.</w:t>
            </w:r>
          </w:p>
        </w:tc>
        <w:tc>
          <w:tcPr>
            <w:tcW w:w="2335" w:type="dxa"/>
          </w:tcPr>
          <w:p w14:paraId="32745DE2" w14:textId="77777777" w:rsidR="00D35D28" w:rsidRPr="00113364" w:rsidRDefault="00D35D28" w:rsidP="00EB4984">
            <w:pPr>
              <w:spacing w:after="240"/>
              <w:ind w:left="-20"/>
              <w:rPr>
                <w:rFonts w:ascii="Arial" w:hAnsi="Arial" w:cs="Arial"/>
              </w:rPr>
            </w:pPr>
            <w:r w:rsidRPr="00113364">
              <w:rPr>
                <w:rFonts w:ascii="Arial" w:hAnsi="Arial" w:cs="Arial"/>
              </w:rPr>
              <w:t>More MEP parents, students, and OSY need access to evidence-based SEL content in all regions and direct-funded districts.</w:t>
            </w:r>
          </w:p>
        </w:tc>
      </w:tr>
    </w:tbl>
    <w:p w14:paraId="521A5D94" w14:textId="77777777" w:rsidR="00D35D28" w:rsidRPr="00113364" w:rsidRDefault="00D35D28" w:rsidP="00D35D28">
      <w:pPr>
        <w:pStyle w:val="Heading4"/>
      </w:pPr>
      <w:r w:rsidRPr="00113364">
        <w:t>Social and Emotional Learning Focus Area: Resource Identification</w:t>
      </w:r>
    </w:p>
    <w:p w14:paraId="10DC7418" w14:textId="189D7B8B" w:rsidR="00C51413" w:rsidRPr="00113364" w:rsidRDefault="00C51413" w:rsidP="00C51413">
      <w:pPr>
        <w:rPr>
          <w:rFonts w:ascii="Arial" w:hAnsi="Arial" w:cs="Arial"/>
        </w:rPr>
      </w:pPr>
      <w:r w:rsidRPr="00113364">
        <w:rPr>
          <w:rFonts w:ascii="Arial" w:hAnsi="Arial" w:cs="Arial"/>
        </w:rPr>
        <w:t>While discussing the need for migratory children, OSY, parents, and MEP staff to develop</w:t>
      </w:r>
      <w:r w:rsidR="003415F9" w:rsidRPr="00113364">
        <w:rPr>
          <w:rFonts w:ascii="Arial" w:hAnsi="Arial" w:cs="Arial"/>
        </w:rPr>
        <w:t xml:space="preserve"> their knowledge and skills around SEL, the CNA SDP Committee expressed the need for support with implementing SEL strategies to address these needs. Staff need resources for professional learning opportunities and parents need resources to enhance their ability </w:t>
      </w:r>
      <w:r w:rsidR="00A41212">
        <w:rPr>
          <w:rFonts w:ascii="Arial" w:hAnsi="Arial" w:cs="Arial"/>
        </w:rPr>
        <w:t>t</w:t>
      </w:r>
      <w:r w:rsidR="003415F9" w:rsidRPr="00113364">
        <w:rPr>
          <w:rFonts w:ascii="Arial" w:hAnsi="Arial" w:cs="Arial"/>
        </w:rPr>
        <w:t>o support their students’ social and emotional development. Table </w:t>
      </w:r>
      <w:r w:rsidR="005B10F2">
        <w:rPr>
          <w:rFonts w:ascii="Arial" w:hAnsi="Arial" w:cs="Arial"/>
        </w:rPr>
        <w:t>12</w:t>
      </w:r>
      <w:r w:rsidR="003415F9" w:rsidRPr="00113364">
        <w:rPr>
          <w:rFonts w:ascii="Arial" w:hAnsi="Arial" w:cs="Arial"/>
        </w:rPr>
        <w:t xml:space="preserve"> documents committee</w:t>
      </w:r>
      <w:r w:rsidR="00A41212">
        <w:rPr>
          <w:rFonts w:ascii="Arial" w:hAnsi="Arial" w:cs="Arial"/>
        </w:rPr>
        <w:t xml:space="preserve"> feedback</w:t>
      </w:r>
      <w:r w:rsidR="003415F9" w:rsidRPr="00113364">
        <w:rPr>
          <w:rFonts w:ascii="Arial" w:hAnsi="Arial" w:cs="Arial"/>
        </w:rPr>
        <w:t xml:space="preserve"> as well as the concern and need statements for SEL resource identification.</w:t>
      </w:r>
    </w:p>
    <w:p w14:paraId="5884CD3B" w14:textId="6F511FBA" w:rsidR="00D35D28" w:rsidRPr="00113364" w:rsidRDefault="00D35D28" w:rsidP="00D35D28">
      <w:pPr>
        <w:pStyle w:val="Heading5"/>
        <w:spacing w:after="0"/>
        <w:rPr>
          <w:b/>
          <w:bCs/>
          <w:i w:val="0"/>
          <w:iCs/>
          <w:sz w:val="24"/>
        </w:rPr>
      </w:pPr>
      <w:bookmarkStart w:id="40" w:name="_Toc204755348"/>
      <w:r w:rsidRPr="00113364">
        <w:rPr>
          <w:b/>
          <w:bCs/>
          <w:i w:val="0"/>
          <w:iCs/>
          <w:sz w:val="24"/>
        </w:rPr>
        <w:lastRenderedPageBreak/>
        <w:t xml:space="preserve">Table </w:t>
      </w:r>
      <w:r w:rsidRPr="00113364">
        <w:rPr>
          <w:b/>
          <w:bCs/>
          <w:i w:val="0"/>
          <w:iCs/>
          <w:sz w:val="24"/>
        </w:rPr>
        <w:fldChar w:fldCharType="begin"/>
      </w:r>
      <w:r w:rsidRPr="00113364">
        <w:rPr>
          <w:b/>
          <w:bCs/>
          <w:i w:val="0"/>
          <w:iCs/>
          <w:sz w:val="24"/>
        </w:rPr>
        <w:instrText xml:space="preserve"> SEQ Table \* ARABIC </w:instrText>
      </w:r>
      <w:r w:rsidRPr="00113364">
        <w:rPr>
          <w:b/>
          <w:bCs/>
          <w:i w:val="0"/>
          <w:iCs/>
          <w:sz w:val="24"/>
        </w:rPr>
        <w:fldChar w:fldCharType="separate"/>
      </w:r>
      <w:r w:rsidR="001362A0">
        <w:rPr>
          <w:b/>
          <w:bCs/>
          <w:i w:val="0"/>
          <w:iCs/>
          <w:noProof/>
          <w:sz w:val="24"/>
        </w:rPr>
        <w:t>12</w:t>
      </w:r>
      <w:r w:rsidRPr="00113364">
        <w:rPr>
          <w:b/>
          <w:bCs/>
          <w:i w:val="0"/>
          <w:iCs/>
          <w:noProof/>
          <w:sz w:val="24"/>
        </w:rPr>
        <w:fldChar w:fldCharType="end"/>
      </w:r>
      <w:r w:rsidRPr="00113364">
        <w:rPr>
          <w:b/>
          <w:bCs/>
          <w:i w:val="0"/>
          <w:iCs/>
          <w:sz w:val="24"/>
        </w:rPr>
        <w:t>. Data Summary, Concern Statement, and Need Statement for Social and Emotional Learning Resource Identification</w:t>
      </w:r>
      <w:bookmarkEnd w:id="40"/>
    </w:p>
    <w:tbl>
      <w:tblPr>
        <w:tblStyle w:val="GridTable4-Accent1"/>
        <w:tblW w:w="0" w:type="auto"/>
        <w:tblLook w:val="0420" w:firstRow="1" w:lastRow="0" w:firstColumn="0" w:lastColumn="0" w:noHBand="0" w:noVBand="1"/>
        <w:tblDescription w:val="Data Summary, Concern Statement, and Need Statement for Student Engagement: Self and Cultural Pride"/>
      </w:tblPr>
      <w:tblGrid>
        <w:gridCol w:w="4765"/>
        <w:gridCol w:w="2340"/>
        <w:gridCol w:w="2245"/>
      </w:tblGrid>
      <w:tr w:rsidR="00D35D28" w:rsidRPr="00113364" w14:paraId="43E325DC" w14:textId="77777777" w:rsidTr="00EB4984">
        <w:trPr>
          <w:cnfStyle w:val="100000000000" w:firstRow="1" w:lastRow="0" w:firstColumn="0" w:lastColumn="0" w:oddVBand="0" w:evenVBand="0" w:oddHBand="0" w:evenHBand="0" w:firstRowFirstColumn="0" w:firstRowLastColumn="0" w:lastRowFirstColumn="0" w:lastRowLastColumn="0"/>
          <w:cantSplit/>
          <w:tblHeader/>
        </w:trPr>
        <w:tc>
          <w:tcPr>
            <w:tcW w:w="4765" w:type="dxa"/>
            <w:tcBorders>
              <w:right w:val="single" w:sz="4" w:space="0" w:color="4472C4"/>
            </w:tcBorders>
            <w:shd w:val="clear" w:color="auto" w:fill="1F3864" w:themeFill="accent5" w:themeFillShade="80"/>
            <w:vAlign w:val="center"/>
          </w:tcPr>
          <w:p w14:paraId="79C241CC" w14:textId="77777777" w:rsidR="00D35D28" w:rsidRPr="00113364" w:rsidRDefault="00D35D28" w:rsidP="00EB4984">
            <w:pPr>
              <w:jc w:val="center"/>
              <w:rPr>
                <w:rFonts w:ascii="Arial" w:hAnsi="Arial" w:cs="Arial"/>
                <w:b w:val="0"/>
                <w:color w:val="FFFFFF"/>
              </w:rPr>
            </w:pPr>
            <w:r w:rsidRPr="00113364">
              <w:rPr>
                <w:rFonts w:ascii="Arial" w:hAnsi="Arial" w:cs="Arial"/>
                <w:color w:val="FFFFFF"/>
              </w:rPr>
              <w:t>Data Summary:</w:t>
            </w:r>
          </w:p>
          <w:p w14:paraId="2C63287F" w14:textId="77777777" w:rsidR="00D35D28" w:rsidRPr="00113364" w:rsidRDefault="00D35D28" w:rsidP="00EB4984">
            <w:pPr>
              <w:jc w:val="center"/>
              <w:rPr>
                <w:rFonts w:ascii="Arial" w:hAnsi="Arial" w:cs="Arial"/>
                <w:b w:val="0"/>
                <w:color w:val="FFFFFF"/>
              </w:rPr>
            </w:pPr>
            <w:r w:rsidRPr="00113364">
              <w:rPr>
                <w:rFonts w:ascii="Arial" w:hAnsi="Arial" w:cs="Arial"/>
                <w:color w:val="FFFFFF"/>
              </w:rPr>
              <w:t>Qualitative Data from Committee Discussion</w:t>
            </w:r>
          </w:p>
        </w:tc>
        <w:tc>
          <w:tcPr>
            <w:tcW w:w="2340" w:type="dxa"/>
            <w:tcBorders>
              <w:left w:val="single" w:sz="4" w:space="0" w:color="4472C4"/>
              <w:right w:val="single" w:sz="4" w:space="0" w:color="4472C4"/>
            </w:tcBorders>
            <w:shd w:val="clear" w:color="auto" w:fill="1F3864" w:themeFill="accent5" w:themeFillShade="80"/>
            <w:vAlign w:val="center"/>
          </w:tcPr>
          <w:p w14:paraId="73154D80" w14:textId="77777777" w:rsidR="00D35D28" w:rsidRPr="00113364" w:rsidRDefault="00D35D28" w:rsidP="00EB4984">
            <w:pPr>
              <w:pStyle w:val="ListParagraph"/>
              <w:ind w:left="0"/>
              <w:jc w:val="center"/>
              <w:rPr>
                <w:rFonts w:ascii="Arial" w:hAnsi="Arial" w:cs="Arial"/>
                <w:color w:val="FFFFFF"/>
              </w:rPr>
            </w:pPr>
            <w:r w:rsidRPr="00113364">
              <w:rPr>
                <w:rFonts w:ascii="Arial" w:hAnsi="Arial" w:cs="Arial"/>
                <w:color w:val="FFFFFF"/>
              </w:rPr>
              <w:t>Concern Statement</w:t>
            </w:r>
          </w:p>
        </w:tc>
        <w:tc>
          <w:tcPr>
            <w:tcW w:w="2245" w:type="dxa"/>
            <w:tcBorders>
              <w:left w:val="single" w:sz="4" w:space="0" w:color="4472C4"/>
            </w:tcBorders>
            <w:shd w:val="clear" w:color="auto" w:fill="1F3864" w:themeFill="accent5" w:themeFillShade="80"/>
            <w:vAlign w:val="center"/>
          </w:tcPr>
          <w:p w14:paraId="134B1EA4" w14:textId="77777777" w:rsidR="00D35D28" w:rsidRPr="00113364" w:rsidRDefault="00D35D28" w:rsidP="00EB4984">
            <w:pPr>
              <w:pStyle w:val="ListParagraph"/>
              <w:ind w:left="0"/>
              <w:jc w:val="center"/>
              <w:rPr>
                <w:rFonts w:ascii="Arial" w:hAnsi="Arial" w:cs="Arial"/>
                <w:color w:val="FFFFFF"/>
              </w:rPr>
            </w:pPr>
            <w:r w:rsidRPr="00113364">
              <w:rPr>
                <w:rFonts w:ascii="Arial" w:hAnsi="Arial" w:cs="Arial"/>
                <w:color w:val="FFFFFF"/>
              </w:rPr>
              <w:t>Need Statement</w:t>
            </w:r>
          </w:p>
        </w:tc>
      </w:tr>
      <w:tr w:rsidR="00D35D28" w:rsidRPr="00113364" w14:paraId="013445D8" w14:textId="77777777" w:rsidTr="00EB4984">
        <w:trPr>
          <w:cnfStyle w:val="000000100000" w:firstRow="0" w:lastRow="0" w:firstColumn="0" w:lastColumn="0" w:oddVBand="0" w:evenVBand="0" w:oddHBand="1" w:evenHBand="0" w:firstRowFirstColumn="0" w:firstRowLastColumn="0" w:lastRowFirstColumn="0" w:lastRowLastColumn="0"/>
          <w:cantSplit/>
          <w:trHeight w:val="251"/>
        </w:trPr>
        <w:tc>
          <w:tcPr>
            <w:tcW w:w="4765" w:type="dxa"/>
          </w:tcPr>
          <w:p w14:paraId="7C30502B" w14:textId="77777777" w:rsidR="00D35D28" w:rsidRPr="00113364" w:rsidRDefault="00D35D28" w:rsidP="00EB4984">
            <w:pPr>
              <w:pStyle w:val="ListParagraph"/>
              <w:numPr>
                <w:ilvl w:val="0"/>
                <w:numId w:val="43"/>
              </w:numPr>
              <w:spacing w:after="120"/>
              <w:ind w:left="331"/>
              <w:contextualSpacing w:val="0"/>
              <w:rPr>
                <w:rFonts w:ascii="Arial" w:hAnsi="Arial" w:cs="Arial"/>
              </w:rPr>
            </w:pPr>
            <w:r w:rsidRPr="00113364">
              <w:rPr>
                <w:rFonts w:ascii="Arial" w:hAnsi="Arial" w:cs="Arial"/>
              </w:rPr>
              <w:t>Migratory parents and OSYs aren’t aware of resources for SEL and how to navigate them.</w:t>
            </w:r>
          </w:p>
          <w:p w14:paraId="64808D5C" w14:textId="77777777" w:rsidR="00D35D28" w:rsidRPr="00113364" w:rsidRDefault="00D35D28" w:rsidP="00EB4984">
            <w:pPr>
              <w:pStyle w:val="ListParagraph"/>
              <w:numPr>
                <w:ilvl w:val="0"/>
                <w:numId w:val="43"/>
              </w:numPr>
              <w:spacing w:after="120"/>
              <w:ind w:left="331"/>
              <w:contextualSpacing w:val="0"/>
              <w:rPr>
                <w:rFonts w:ascii="Arial" w:hAnsi="Arial" w:cs="Arial"/>
              </w:rPr>
            </w:pPr>
            <w:r w:rsidRPr="00113364">
              <w:rPr>
                <w:rFonts w:ascii="Arial" w:hAnsi="Arial" w:cs="Arial"/>
              </w:rPr>
              <w:t xml:space="preserve">All MEPs should inform MEP parents, OSY, and students about SEL resources and how to navigate them. </w:t>
            </w:r>
          </w:p>
        </w:tc>
        <w:tc>
          <w:tcPr>
            <w:tcW w:w="2340" w:type="dxa"/>
          </w:tcPr>
          <w:p w14:paraId="32BBF97C" w14:textId="77777777" w:rsidR="00D35D28" w:rsidRPr="00113364" w:rsidRDefault="00D35D28" w:rsidP="00EB4984">
            <w:pPr>
              <w:spacing w:after="120"/>
              <w:rPr>
                <w:rFonts w:ascii="Arial" w:hAnsi="Arial" w:cs="Arial"/>
                <w:bCs/>
              </w:rPr>
            </w:pPr>
            <w:r w:rsidRPr="00113364">
              <w:rPr>
                <w:rFonts w:ascii="Arial" w:hAnsi="Arial" w:cs="Arial"/>
                <w:bCs/>
              </w:rPr>
              <w:t>We are concerned there is a lack of information for navigating SEL resources.</w:t>
            </w:r>
          </w:p>
        </w:tc>
        <w:tc>
          <w:tcPr>
            <w:tcW w:w="2245" w:type="dxa"/>
          </w:tcPr>
          <w:p w14:paraId="705ED592" w14:textId="77777777" w:rsidR="00D35D28" w:rsidRPr="00113364" w:rsidRDefault="00D35D28" w:rsidP="00EB4984">
            <w:pPr>
              <w:spacing w:after="120"/>
              <w:rPr>
                <w:rFonts w:ascii="Arial" w:hAnsi="Arial" w:cs="Arial"/>
              </w:rPr>
            </w:pPr>
            <w:r w:rsidRPr="00113364">
              <w:rPr>
                <w:rFonts w:ascii="Arial" w:hAnsi="Arial" w:cs="Arial"/>
              </w:rPr>
              <w:t>MEP parents, OSYs, and students aren’t aware of resources for SEL and how to navigate them.</w:t>
            </w:r>
          </w:p>
        </w:tc>
      </w:tr>
    </w:tbl>
    <w:p w14:paraId="23C1C8F1" w14:textId="01D64F94" w:rsidR="00EB5575" w:rsidRPr="00113364" w:rsidRDefault="00EB5575" w:rsidP="003F0CBE">
      <w:pPr>
        <w:pStyle w:val="Heading3"/>
        <w:spacing w:before="240"/>
      </w:pPr>
      <w:bookmarkStart w:id="41" w:name="_Toc203568841"/>
      <w:r w:rsidRPr="00113364">
        <w:t xml:space="preserve">High School </w:t>
      </w:r>
      <w:r w:rsidR="00AA42A5" w:rsidRPr="00113364">
        <w:t>Outcomes</w:t>
      </w:r>
      <w:bookmarkEnd w:id="41"/>
    </w:p>
    <w:p w14:paraId="5C4695B9" w14:textId="17CE8D2F" w:rsidR="004F46DE" w:rsidRPr="00113364" w:rsidRDefault="006520F3" w:rsidP="005E39B1">
      <w:pPr>
        <w:spacing w:after="240"/>
        <w:contextualSpacing/>
        <w:rPr>
          <w:rFonts w:ascii="Arial" w:hAnsi="Arial" w:cs="Arial"/>
        </w:rPr>
      </w:pPr>
      <w:r w:rsidRPr="00113364">
        <w:rPr>
          <w:rFonts w:ascii="Arial" w:hAnsi="Arial" w:cs="Arial"/>
        </w:rPr>
        <w:t xml:space="preserve">Ensuring migratory children and youth </w:t>
      </w:r>
      <w:r w:rsidR="004B7A97" w:rsidRPr="00113364">
        <w:rPr>
          <w:rFonts w:ascii="Arial" w:hAnsi="Arial" w:cs="Arial"/>
        </w:rPr>
        <w:t>are promoted</w:t>
      </w:r>
      <w:r w:rsidRPr="00113364">
        <w:rPr>
          <w:rFonts w:ascii="Arial" w:hAnsi="Arial" w:cs="Arial"/>
        </w:rPr>
        <w:t xml:space="preserve"> to the next grade each year and eventually graduate high school is a primary goal of the MEP. </w:t>
      </w:r>
      <w:r w:rsidR="004F46DE" w:rsidRPr="00113364">
        <w:rPr>
          <w:rFonts w:ascii="Arial" w:hAnsi="Arial" w:cs="Arial"/>
        </w:rPr>
        <w:t xml:space="preserve">The </w:t>
      </w:r>
      <w:r w:rsidR="004D4FC7" w:rsidRPr="00113364">
        <w:rPr>
          <w:rFonts w:ascii="Arial" w:hAnsi="Arial" w:cs="Arial"/>
        </w:rPr>
        <w:t>CNA SDP</w:t>
      </w:r>
      <w:r w:rsidR="003044D6" w:rsidRPr="00113364">
        <w:rPr>
          <w:rFonts w:ascii="Arial" w:hAnsi="Arial" w:cs="Arial"/>
        </w:rPr>
        <w:t xml:space="preserve"> Committee</w:t>
      </w:r>
      <w:r w:rsidR="004F46DE" w:rsidRPr="00113364">
        <w:rPr>
          <w:rFonts w:ascii="Arial" w:hAnsi="Arial" w:cs="Arial"/>
        </w:rPr>
        <w:t xml:space="preserve"> reviewed the four-year adjusted cohort graduation and dropout data </w:t>
      </w:r>
      <w:r w:rsidR="003044D6" w:rsidRPr="00113364">
        <w:rPr>
          <w:rFonts w:ascii="Arial" w:hAnsi="Arial" w:cs="Arial"/>
        </w:rPr>
        <w:t>from 201</w:t>
      </w:r>
      <w:r w:rsidR="00765900" w:rsidRPr="00113364">
        <w:rPr>
          <w:rFonts w:ascii="Arial" w:hAnsi="Arial" w:cs="Arial"/>
        </w:rPr>
        <w:t>7</w:t>
      </w:r>
      <w:r w:rsidR="003044D6" w:rsidRPr="00113364">
        <w:rPr>
          <w:rFonts w:ascii="Arial" w:hAnsi="Arial" w:cs="Arial"/>
        </w:rPr>
        <w:t>–1</w:t>
      </w:r>
      <w:r w:rsidR="00765900" w:rsidRPr="00113364">
        <w:rPr>
          <w:rFonts w:ascii="Arial" w:hAnsi="Arial" w:cs="Arial"/>
        </w:rPr>
        <w:t>8 through 2022–23 in addition to the four-year cohort graduation outcome data for 2022–23</w:t>
      </w:r>
      <w:r w:rsidR="005E39B1" w:rsidRPr="00113364">
        <w:rPr>
          <w:rFonts w:ascii="Arial" w:hAnsi="Arial" w:cs="Arial"/>
        </w:rPr>
        <w:t xml:space="preserve"> from </w:t>
      </w:r>
      <w:hyperlink r:id="rId26" w:history="1">
        <w:r w:rsidR="005E39B1" w:rsidRPr="00113364">
          <w:rPr>
            <w:rStyle w:val="Hyperlink"/>
            <w:rFonts w:ascii="Arial" w:hAnsi="Arial" w:cs="Arial"/>
          </w:rPr>
          <w:t>DataQuest</w:t>
        </w:r>
      </w:hyperlink>
      <w:r w:rsidR="00A57DAC" w:rsidRPr="00113364">
        <w:rPr>
          <w:rStyle w:val="FootnoteReference"/>
          <w:rFonts w:ascii="Arial" w:hAnsi="Arial" w:cs="Arial"/>
        </w:rPr>
        <w:footnoteReference w:id="13"/>
      </w:r>
      <w:r w:rsidR="00A366B5">
        <w:t>.</w:t>
      </w:r>
      <w:r w:rsidR="004F46DE" w:rsidRPr="00113364">
        <w:rPr>
          <w:rFonts w:ascii="Arial" w:hAnsi="Arial" w:cs="Arial"/>
        </w:rPr>
        <w:t xml:space="preserve"> </w:t>
      </w:r>
      <w:r w:rsidR="00CB680D" w:rsidRPr="00113364">
        <w:rPr>
          <w:rFonts w:ascii="Arial" w:hAnsi="Arial" w:cs="Arial"/>
        </w:rPr>
        <w:t>In 2017–18, the gap in high school graduation rates between migratory and all students was the lowest during the timeframe reviewed at 1.3</w:t>
      </w:r>
      <w:r w:rsidR="00CB680D" w:rsidRPr="00113364">
        <w:rPr>
          <w:rFonts w:ascii="Arial" w:hAnsi="Arial" w:cs="Arial"/>
          <w:color w:val="000000"/>
        </w:rPr>
        <w:t xml:space="preserve"> percent. A year later, the gap widened to 2.9 percent and then fluctuated between two and just above four percent. </w:t>
      </w:r>
      <w:r w:rsidR="00E106AF" w:rsidRPr="00113364">
        <w:rPr>
          <w:rFonts w:ascii="Arial" w:hAnsi="Arial" w:cs="Arial"/>
          <w:color w:val="000000"/>
        </w:rPr>
        <w:t xml:space="preserve">Even though the gap increased in 2022–23, </w:t>
      </w:r>
      <w:r w:rsidR="00D1219A">
        <w:rPr>
          <w:rFonts w:ascii="Arial" w:hAnsi="Arial" w:cs="Arial"/>
          <w:color w:val="000000"/>
        </w:rPr>
        <w:t xml:space="preserve">the overall graduation rate for the year was </w:t>
      </w:r>
      <w:r w:rsidR="00E106AF" w:rsidRPr="00113364">
        <w:rPr>
          <w:rFonts w:ascii="Arial" w:hAnsi="Arial" w:cs="Arial"/>
          <w:color w:val="000000"/>
        </w:rPr>
        <w:t>82.8 percent</w:t>
      </w:r>
      <w:r w:rsidR="00CB680D" w:rsidRPr="00113364">
        <w:rPr>
          <w:rFonts w:ascii="Arial" w:hAnsi="Arial" w:cs="Arial"/>
        </w:rPr>
        <w:t>.</w:t>
      </w:r>
      <w:r w:rsidR="00E106AF" w:rsidRPr="00113364">
        <w:rPr>
          <w:rFonts w:ascii="Arial" w:hAnsi="Arial" w:cs="Arial"/>
        </w:rPr>
        <w:t xml:space="preserve"> </w:t>
      </w:r>
      <w:r w:rsidR="00A57DAC" w:rsidRPr="00113364">
        <w:rPr>
          <w:rFonts w:ascii="Arial" w:hAnsi="Arial" w:cs="Arial"/>
        </w:rPr>
        <w:t>Looking at other outcome data, t</w:t>
      </w:r>
      <w:r w:rsidR="00E106AF" w:rsidRPr="00113364">
        <w:rPr>
          <w:rFonts w:ascii="Arial" w:hAnsi="Arial" w:cs="Arial"/>
        </w:rPr>
        <w:t>he CNA SDP Committee prioritized the need to address the disparity between migratory and all students meeting the U</w:t>
      </w:r>
      <w:r w:rsidR="004B7A97">
        <w:rPr>
          <w:rFonts w:ascii="Arial" w:hAnsi="Arial" w:cs="Arial"/>
        </w:rPr>
        <w:t xml:space="preserve">niversity of </w:t>
      </w:r>
      <w:r w:rsidR="00E106AF" w:rsidRPr="00113364">
        <w:rPr>
          <w:rFonts w:ascii="Arial" w:hAnsi="Arial" w:cs="Arial"/>
        </w:rPr>
        <w:t>C</w:t>
      </w:r>
      <w:r w:rsidR="004B7A97">
        <w:rPr>
          <w:rFonts w:ascii="Arial" w:hAnsi="Arial" w:cs="Arial"/>
        </w:rPr>
        <w:t>alifornia (UC)</w:t>
      </w:r>
      <w:r w:rsidR="00E106AF" w:rsidRPr="00113364">
        <w:rPr>
          <w:rFonts w:ascii="Arial" w:hAnsi="Arial" w:cs="Arial"/>
        </w:rPr>
        <w:t xml:space="preserve"> and</w:t>
      </w:r>
      <w:r w:rsidR="004B7A97">
        <w:rPr>
          <w:rFonts w:ascii="Arial" w:hAnsi="Arial" w:cs="Arial"/>
        </w:rPr>
        <w:t xml:space="preserve"> California State University</w:t>
      </w:r>
      <w:r w:rsidR="00E106AF" w:rsidRPr="00113364">
        <w:rPr>
          <w:rFonts w:ascii="Arial" w:hAnsi="Arial" w:cs="Arial"/>
        </w:rPr>
        <w:t xml:space="preserve"> </w:t>
      </w:r>
      <w:r w:rsidR="004B7A97">
        <w:rPr>
          <w:rFonts w:ascii="Arial" w:hAnsi="Arial" w:cs="Arial"/>
        </w:rPr>
        <w:t>(</w:t>
      </w:r>
      <w:r w:rsidR="00E106AF" w:rsidRPr="00113364">
        <w:rPr>
          <w:rFonts w:ascii="Arial" w:hAnsi="Arial" w:cs="Arial"/>
        </w:rPr>
        <w:t>CSU</w:t>
      </w:r>
      <w:r w:rsidR="004B7A97">
        <w:rPr>
          <w:rFonts w:ascii="Arial" w:hAnsi="Arial" w:cs="Arial"/>
        </w:rPr>
        <w:t>)</w:t>
      </w:r>
      <w:r w:rsidR="00E106AF" w:rsidRPr="00113364">
        <w:rPr>
          <w:rFonts w:ascii="Arial" w:hAnsi="Arial" w:cs="Arial"/>
        </w:rPr>
        <w:t xml:space="preserve"> entrance requirements</w:t>
      </w:r>
      <w:r w:rsidR="00D55FFD" w:rsidRPr="00113364">
        <w:rPr>
          <w:rFonts w:ascii="Arial" w:hAnsi="Arial" w:cs="Arial"/>
        </w:rPr>
        <w:t xml:space="preserve"> as well as migratory student dropout rates</w:t>
      </w:r>
      <w:r w:rsidR="00430948" w:rsidRPr="00113364">
        <w:rPr>
          <w:rFonts w:ascii="Arial" w:hAnsi="Arial" w:cs="Arial"/>
        </w:rPr>
        <w:t xml:space="preserve"> which was </w:t>
      </w:r>
      <w:r w:rsidR="00FD3FA8" w:rsidRPr="00113364">
        <w:rPr>
          <w:rFonts w:ascii="Arial" w:hAnsi="Arial" w:cs="Arial"/>
        </w:rPr>
        <w:t>10</w:t>
      </w:r>
      <w:r w:rsidR="00430948" w:rsidRPr="00113364">
        <w:rPr>
          <w:rFonts w:ascii="Arial" w:hAnsi="Arial" w:cs="Arial"/>
        </w:rPr>
        <w:t>.</w:t>
      </w:r>
      <w:r w:rsidR="00FD3FA8" w:rsidRPr="00113364">
        <w:rPr>
          <w:rFonts w:ascii="Arial" w:hAnsi="Arial" w:cs="Arial"/>
        </w:rPr>
        <w:t>1</w:t>
      </w:r>
      <w:r w:rsidR="00430948" w:rsidRPr="00113364">
        <w:rPr>
          <w:rFonts w:ascii="Arial" w:hAnsi="Arial" w:cs="Arial"/>
          <w:color w:val="000000"/>
        </w:rPr>
        <w:t> </w:t>
      </w:r>
      <w:r w:rsidR="00FD3FA8" w:rsidRPr="00113364">
        <w:rPr>
          <w:rFonts w:ascii="Arial" w:hAnsi="Arial" w:cs="Arial"/>
          <w:color w:val="000000"/>
        </w:rPr>
        <w:t>percent</w:t>
      </w:r>
      <w:r w:rsidR="00430948" w:rsidRPr="00113364">
        <w:rPr>
          <w:rFonts w:ascii="Arial" w:hAnsi="Arial" w:cs="Arial"/>
          <w:color w:val="000000"/>
        </w:rPr>
        <w:t xml:space="preserve"> in 2022–23</w:t>
      </w:r>
      <w:r w:rsidR="00E106AF" w:rsidRPr="00113364">
        <w:rPr>
          <w:rFonts w:ascii="Arial" w:hAnsi="Arial" w:cs="Arial"/>
        </w:rPr>
        <w:t>.</w:t>
      </w:r>
      <w:r w:rsidR="00CB680D" w:rsidRPr="00113364">
        <w:rPr>
          <w:rFonts w:ascii="Arial" w:hAnsi="Arial" w:cs="Arial"/>
        </w:rPr>
        <w:t xml:space="preserve"> </w:t>
      </w:r>
      <w:r w:rsidR="00FD3FA8" w:rsidRPr="00113364">
        <w:rPr>
          <w:rFonts w:ascii="Arial" w:hAnsi="Arial" w:cs="Arial"/>
        </w:rPr>
        <w:t xml:space="preserve">By focusing on decreasing the dropout rate, the MEP can simultaneously elevate the graduate rate. </w:t>
      </w:r>
    </w:p>
    <w:p w14:paraId="1AEAC1B0" w14:textId="4DFF0F5B" w:rsidR="006143B6" w:rsidRPr="00113364" w:rsidRDefault="00765900" w:rsidP="00FB34EF">
      <w:pPr>
        <w:pStyle w:val="Heading4"/>
      </w:pPr>
      <w:r w:rsidRPr="00113364">
        <w:t xml:space="preserve">High School </w:t>
      </w:r>
      <w:r w:rsidR="003F1A6B" w:rsidRPr="00113364">
        <w:t xml:space="preserve">Outcomes </w:t>
      </w:r>
      <w:r w:rsidRPr="00113364">
        <w:t>Focus Area</w:t>
      </w:r>
      <w:r w:rsidR="006143B6" w:rsidRPr="00113364">
        <w:t xml:space="preserve">: </w:t>
      </w:r>
      <w:r w:rsidR="00FB7EE2" w:rsidRPr="00113364">
        <w:t xml:space="preserve">Meeting </w:t>
      </w:r>
      <w:r w:rsidR="00E106AF" w:rsidRPr="00113364">
        <w:t>U</w:t>
      </w:r>
      <w:r w:rsidR="004B7A97">
        <w:t xml:space="preserve">niversity of </w:t>
      </w:r>
      <w:r w:rsidR="00E106AF" w:rsidRPr="00113364">
        <w:t>C</w:t>
      </w:r>
      <w:r w:rsidR="004B7A97">
        <w:t>alifornia</w:t>
      </w:r>
      <w:r w:rsidR="00E106AF" w:rsidRPr="00113364">
        <w:t>/C</w:t>
      </w:r>
      <w:r w:rsidR="004B7A97">
        <w:t xml:space="preserve">alifornia </w:t>
      </w:r>
      <w:r w:rsidR="00E106AF" w:rsidRPr="00113364">
        <w:t>S</w:t>
      </w:r>
      <w:r w:rsidR="004B7A97">
        <w:t xml:space="preserve">tate </w:t>
      </w:r>
      <w:r w:rsidR="00E106AF" w:rsidRPr="00113364">
        <w:t>U</w:t>
      </w:r>
      <w:r w:rsidR="004B7A97">
        <w:t>niversity</w:t>
      </w:r>
      <w:r w:rsidR="00E106AF" w:rsidRPr="00113364">
        <w:t xml:space="preserve"> Requirements</w:t>
      </w:r>
    </w:p>
    <w:p w14:paraId="7C02328A" w14:textId="6AD3AD58" w:rsidR="005E39B1" w:rsidRPr="00113364" w:rsidRDefault="00A57DAC" w:rsidP="005E39B1">
      <w:pPr>
        <w:spacing w:after="240"/>
        <w:rPr>
          <w:rFonts w:ascii="Arial" w:hAnsi="Arial" w:cs="Arial"/>
        </w:rPr>
      </w:pPr>
      <w:r w:rsidRPr="00113364">
        <w:rPr>
          <w:rFonts w:ascii="Arial" w:hAnsi="Arial" w:cs="Arial"/>
        </w:rPr>
        <w:t xml:space="preserve">With graduation rates </w:t>
      </w:r>
      <w:proofErr w:type="gramStart"/>
      <w:r w:rsidRPr="00113364">
        <w:rPr>
          <w:rFonts w:ascii="Arial" w:hAnsi="Arial" w:cs="Arial"/>
        </w:rPr>
        <w:t>fairly consistent</w:t>
      </w:r>
      <w:proofErr w:type="gramEnd"/>
      <w:r w:rsidRPr="00113364">
        <w:rPr>
          <w:rFonts w:ascii="Arial" w:hAnsi="Arial" w:cs="Arial"/>
        </w:rPr>
        <w:t xml:space="preserve"> and above 80 percent for both migratory and all students, the </w:t>
      </w:r>
      <w:r w:rsidR="00C90642" w:rsidRPr="00113364">
        <w:rPr>
          <w:rFonts w:ascii="Arial" w:hAnsi="Arial" w:cs="Arial"/>
        </w:rPr>
        <w:t>High School</w:t>
      </w:r>
      <w:r w:rsidR="00D0628C" w:rsidRPr="00113364">
        <w:rPr>
          <w:rFonts w:ascii="Arial" w:hAnsi="Arial" w:cs="Arial"/>
        </w:rPr>
        <w:t xml:space="preserve"> Outcomes</w:t>
      </w:r>
      <w:r w:rsidR="00C90642" w:rsidRPr="00113364">
        <w:rPr>
          <w:rFonts w:ascii="Arial" w:hAnsi="Arial" w:cs="Arial"/>
        </w:rPr>
        <w:t xml:space="preserve"> subc</w:t>
      </w:r>
      <w:r w:rsidRPr="00113364">
        <w:rPr>
          <w:rFonts w:ascii="Arial" w:hAnsi="Arial" w:cs="Arial"/>
        </w:rPr>
        <w:t xml:space="preserve">ommittee </w:t>
      </w:r>
      <w:r w:rsidR="00FB7EE2" w:rsidRPr="00113364">
        <w:rPr>
          <w:rFonts w:ascii="Arial" w:hAnsi="Arial" w:cs="Arial"/>
        </w:rPr>
        <w:t>were concerned about the discrepancy in the percentage of migratory high school students meeting UC/CSU requirements when compared with all students. An approximate 21 percent gap separates the two groups; this means that migratory high school graduates are 21 percent less likely to even meet the acceptance requirements</w:t>
      </w:r>
      <w:r w:rsidRPr="00113364">
        <w:rPr>
          <w:rFonts w:ascii="Arial" w:hAnsi="Arial" w:cs="Arial"/>
        </w:rPr>
        <w:t xml:space="preserve"> </w:t>
      </w:r>
      <w:r w:rsidR="00FB7EE2" w:rsidRPr="00113364">
        <w:rPr>
          <w:rFonts w:ascii="Arial" w:hAnsi="Arial" w:cs="Arial"/>
        </w:rPr>
        <w:t xml:space="preserve">to California’s two </w:t>
      </w:r>
      <w:r w:rsidR="00FB7EE2" w:rsidRPr="00113364">
        <w:rPr>
          <w:rFonts w:ascii="Arial" w:hAnsi="Arial" w:cs="Arial"/>
        </w:rPr>
        <w:lastRenderedPageBreak/>
        <w:t xml:space="preserve">largest college systems. The increased competition for college acceptance must compel programs to adequately prepare all students so everyone </w:t>
      </w:r>
      <w:proofErr w:type="gramStart"/>
      <w:r w:rsidR="00FB7EE2" w:rsidRPr="00113364">
        <w:rPr>
          <w:rFonts w:ascii="Arial" w:hAnsi="Arial" w:cs="Arial"/>
        </w:rPr>
        <w:t>has the ability to</w:t>
      </w:r>
      <w:proofErr w:type="gramEnd"/>
      <w:r w:rsidR="00FB7EE2" w:rsidRPr="00113364">
        <w:rPr>
          <w:rFonts w:ascii="Arial" w:hAnsi="Arial" w:cs="Arial"/>
        </w:rPr>
        <w:t xml:space="preserve"> at least consider similar opportunities. Table 1</w:t>
      </w:r>
      <w:r w:rsidR="005B10F2">
        <w:rPr>
          <w:rFonts w:ascii="Arial" w:hAnsi="Arial" w:cs="Arial"/>
        </w:rPr>
        <w:t>3</w:t>
      </w:r>
      <w:r w:rsidR="00FB7EE2" w:rsidRPr="00113364">
        <w:rPr>
          <w:rFonts w:ascii="Arial" w:hAnsi="Arial" w:cs="Arial"/>
        </w:rPr>
        <w:t xml:space="preserve"> outlines the data, concern statement, and need statement for UC/CSU Requirements</w:t>
      </w:r>
    </w:p>
    <w:p w14:paraId="3B152A7F" w14:textId="3C5511EC" w:rsidR="0000348B" w:rsidRPr="00113364" w:rsidRDefault="0000348B" w:rsidP="00FB34EF">
      <w:pPr>
        <w:pStyle w:val="Heading5"/>
        <w:spacing w:after="0"/>
        <w:rPr>
          <w:b/>
          <w:bCs/>
          <w:i w:val="0"/>
          <w:iCs/>
          <w:sz w:val="24"/>
        </w:rPr>
      </w:pPr>
      <w:bookmarkStart w:id="42" w:name="_Toc204755349"/>
      <w:r w:rsidRPr="00113364">
        <w:rPr>
          <w:b/>
          <w:bCs/>
          <w:i w:val="0"/>
          <w:iCs/>
          <w:sz w:val="24"/>
        </w:rPr>
        <w:t xml:space="preserve">Table </w:t>
      </w:r>
      <w:r w:rsidR="005E39B1" w:rsidRPr="00113364">
        <w:rPr>
          <w:b/>
          <w:bCs/>
          <w:i w:val="0"/>
          <w:iCs/>
          <w:sz w:val="24"/>
        </w:rPr>
        <w:fldChar w:fldCharType="begin"/>
      </w:r>
      <w:r w:rsidR="005E39B1" w:rsidRPr="00113364">
        <w:rPr>
          <w:b/>
          <w:bCs/>
          <w:i w:val="0"/>
          <w:iCs/>
          <w:sz w:val="24"/>
        </w:rPr>
        <w:instrText xml:space="preserve"> SEQ Table \* ARABIC </w:instrText>
      </w:r>
      <w:r w:rsidR="005E39B1" w:rsidRPr="00113364">
        <w:rPr>
          <w:b/>
          <w:bCs/>
          <w:i w:val="0"/>
          <w:iCs/>
          <w:sz w:val="24"/>
        </w:rPr>
        <w:fldChar w:fldCharType="separate"/>
      </w:r>
      <w:r w:rsidR="001362A0">
        <w:rPr>
          <w:b/>
          <w:bCs/>
          <w:i w:val="0"/>
          <w:iCs/>
          <w:noProof/>
          <w:sz w:val="24"/>
        </w:rPr>
        <w:t>13</w:t>
      </w:r>
      <w:r w:rsidR="005E39B1" w:rsidRPr="00113364">
        <w:rPr>
          <w:b/>
          <w:bCs/>
          <w:i w:val="0"/>
          <w:iCs/>
          <w:noProof/>
          <w:sz w:val="24"/>
        </w:rPr>
        <w:fldChar w:fldCharType="end"/>
      </w:r>
      <w:r w:rsidRPr="00113364">
        <w:rPr>
          <w:b/>
          <w:bCs/>
          <w:i w:val="0"/>
          <w:iCs/>
          <w:sz w:val="24"/>
        </w:rPr>
        <w:t>. Data Summary, Concern Statement</w:t>
      </w:r>
      <w:r w:rsidR="00582AFB" w:rsidRPr="00113364">
        <w:rPr>
          <w:b/>
          <w:bCs/>
          <w:i w:val="0"/>
          <w:iCs/>
          <w:sz w:val="24"/>
        </w:rPr>
        <w:t>, and Need</w:t>
      </w:r>
      <w:r w:rsidRPr="00113364">
        <w:rPr>
          <w:b/>
          <w:bCs/>
          <w:i w:val="0"/>
          <w:iCs/>
          <w:sz w:val="24"/>
        </w:rPr>
        <w:t xml:space="preserve"> Statement for </w:t>
      </w:r>
      <w:r w:rsidR="00FB7EE2" w:rsidRPr="00113364">
        <w:rPr>
          <w:b/>
          <w:bCs/>
          <w:i w:val="0"/>
          <w:iCs/>
          <w:sz w:val="24"/>
        </w:rPr>
        <w:t>Meeting U</w:t>
      </w:r>
      <w:r w:rsidR="004B7A97">
        <w:rPr>
          <w:b/>
          <w:bCs/>
          <w:i w:val="0"/>
          <w:iCs/>
          <w:sz w:val="24"/>
        </w:rPr>
        <w:t xml:space="preserve">niversity of </w:t>
      </w:r>
      <w:r w:rsidR="00FB7EE2" w:rsidRPr="00113364">
        <w:rPr>
          <w:b/>
          <w:bCs/>
          <w:i w:val="0"/>
          <w:iCs/>
          <w:sz w:val="24"/>
        </w:rPr>
        <w:t>C</w:t>
      </w:r>
      <w:r w:rsidR="004B7A97">
        <w:rPr>
          <w:b/>
          <w:bCs/>
          <w:i w:val="0"/>
          <w:iCs/>
          <w:sz w:val="24"/>
        </w:rPr>
        <w:t>alifornia</w:t>
      </w:r>
      <w:r w:rsidR="00FB7EE2" w:rsidRPr="00113364">
        <w:rPr>
          <w:b/>
          <w:bCs/>
          <w:i w:val="0"/>
          <w:iCs/>
          <w:sz w:val="24"/>
        </w:rPr>
        <w:t>/C</w:t>
      </w:r>
      <w:r w:rsidR="004B7A97">
        <w:rPr>
          <w:b/>
          <w:bCs/>
          <w:i w:val="0"/>
          <w:iCs/>
          <w:sz w:val="24"/>
        </w:rPr>
        <w:t xml:space="preserve">alifornia </w:t>
      </w:r>
      <w:r w:rsidR="00FB7EE2" w:rsidRPr="00113364">
        <w:rPr>
          <w:b/>
          <w:bCs/>
          <w:i w:val="0"/>
          <w:iCs/>
          <w:sz w:val="24"/>
        </w:rPr>
        <w:t>S</w:t>
      </w:r>
      <w:r w:rsidR="004B7A97">
        <w:rPr>
          <w:b/>
          <w:bCs/>
          <w:i w:val="0"/>
          <w:iCs/>
          <w:sz w:val="24"/>
        </w:rPr>
        <w:t xml:space="preserve">tate </w:t>
      </w:r>
      <w:r w:rsidR="00FB7EE2" w:rsidRPr="00113364">
        <w:rPr>
          <w:b/>
          <w:bCs/>
          <w:i w:val="0"/>
          <w:iCs/>
          <w:sz w:val="24"/>
        </w:rPr>
        <w:t>U</w:t>
      </w:r>
      <w:r w:rsidR="004B7A97">
        <w:rPr>
          <w:b/>
          <w:bCs/>
          <w:i w:val="0"/>
          <w:iCs/>
          <w:sz w:val="24"/>
        </w:rPr>
        <w:t>niversity</w:t>
      </w:r>
      <w:r w:rsidR="00FB7EE2" w:rsidRPr="00113364">
        <w:rPr>
          <w:b/>
          <w:bCs/>
          <w:i w:val="0"/>
          <w:iCs/>
          <w:sz w:val="24"/>
        </w:rPr>
        <w:t xml:space="preserve"> Requirements</w:t>
      </w:r>
      <w:bookmarkEnd w:id="42"/>
    </w:p>
    <w:tbl>
      <w:tblPr>
        <w:tblStyle w:val="GridTable4-Accent5"/>
        <w:tblpPr w:leftFromText="180" w:rightFromText="180" w:vertAnchor="text" w:horzAnchor="margin" w:tblpY="104"/>
        <w:tblW w:w="0" w:type="auto"/>
        <w:tblLook w:val="0420" w:firstRow="1" w:lastRow="0" w:firstColumn="0" w:lastColumn="0" w:noHBand="0" w:noVBand="1"/>
        <w:tblDescription w:val="Data Summary, Concern Statement, and Need Statement for High School Graduation"/>
      </w:tblPr>
      <w:tblGrid>
        <w:gridCol w:w="4045"/>
        <w:gridCol w:w="3495"/>
        <w:gridCol w:w="1810"/>
      </w:tblGrid>
      <w:tr w:rsidR="00FB7EE2" w:rsidRPr="00113364" w14:paraId="74AAEA07" w14:textId="77777777" w:rsidTr="00FB7EE2">
        <w:trPr>
          <w:cnfStyle w:val="100000000000" w:firstRow="1" w:lastRow="0" w:firstColumn="0" w:lastColumn="0" w:oddVBand="0" w:evenVBand="0" w:oddHBand="0" w:evenHBand="0" w:firstRowFirstColumn="0" w:firstRowLastColumn="0" w:lastRowFirstColumn="0" w:lastRowLastColumn="0"/>
          <w:cantSplit/>
          <w:tblHeader/>
        </w:trPr>
        <w:tc>
          <w:tcPr>
            <w:tcW w:w="4045" w:type="dxa"/>
            <w:tcBorders>
              <w:right w:val="single" w:sz="4" w:space="0" w:color="4472C4"/>
            </w:tcBorders>
            <w:shd w:val="clear" w:color="auto" w:fill="1F3864" w:themeFill="accent5" w:themeFillShade="80"/>
            <w:vAlign w:val="center"/>
          </w:tcPr>
          <w:p w14:paraId="56FD81D6" w14:textId="77777777" w:rsidR="00FB7EE2" w:rsidRPr="00113364" w:rsidRDefault="00FB7EE2" w:rsidP="00FB7EE2">
            <w:pPr>
              <w:jc w:val="center"/>
              <w:rPr>
                <w:rFonts w:ascii="Arial" w:hAnsi="Arial" w:cs="Arial"/>
                <w:b w:val="0"/>
                <w:color w:val="FFFFFF"/>
              </w:rPr>
            </w:pPr>
            <w:r w:rsidRPr="00113364">
              <w:rPr>
                <w:rFonts w:ascii="Arial" w:hAnsi="Arial" w:cs="Arial"/>
                <w:color w:val="FFFFFF"/>
              </w:rPr>
              <w:t>Data Summary:</w:t>
            </w:r>
          </w:p>
          <w:p w14:paraId="566AC103" w14:textId="77777777" w:rsidR="00FB7EE2" w:rsidRPr="00113364" w:rsidRDefault="00FB7EE2" w:rsidP="00FB7EE2">
            <w:pPr>
              <w:jc w:val="center"/>
              <w:rPr>
                <w:rFonts w:ascii="Arial" w:hAnsi="Arial" w:cs="Arial"/>
                <w:color w:val="FFFFFF"/>
              </w:rPr>
            </w:pPr>
            <w:r w:rsidRPr="00113364">
              <w:rPr>
                <w:rFonts w:ascii="Arial" w:hAnsi="Arial" w:cs="Arial"/>
                <w:color w:val="FFFFFF"/>
              </w:rPr>
              <w:t>High School Graduation Outcome Data, 2022–23</w:t>
            </w:r>
          </w:p>
        </w:tc>
        <w:tc>
          <w:tcPr>
            <w:tcW w:w="3495" w:type="dxa"/>
            <w:tcBorders>
              <w:left w:val="single" w:sz="4" w:space="0" w:color="4472C4"/>
              <w:right w:val="single" w:sz="4" w:space="0" w:color="4472C4"/>
            </w:tcBorders>
            <w:shd w:val="clear" w:color="auto" w:fill="1F3864" w:themeFill="accent5" w:themeFillShade="80"/>
            <w:vAlign w:val="center"/>
          </w:tcPr>
          <w:p w14:paraId="587B7ADD" w14:textId="77777777" w:rsidR="00FB7EE2" w:rsidRPr="00113364" w:rsidRDefault="00FB7EE2" w:rsidP="00FB7EE2">
            <w:pPr>
              <w:pStyle w:val="ListParagraph"/>
              <w:ind w:left="-14"/>
              <w:contextualSpacing w:val="0"/>
              <w:jc w:val="center"/>
              <w:rPr>
                <w:rFonts w:ascii="Arial" w:hAnsi="Arial" w:cs="Arial"/>
                <w:color w:val="FFFFFF"/>
              </w:rPr>
            </w:pPr>
            <w:r w:rsidRPr="00113364">
              <w:rPr>
                <w:rFonts w:ascii="Arial" w:hAnsi="Arial" w:cs="Arial"/>
                <w:color w:val="FFFFFF"/>
              </w:rPr>
              <w:t>Concern Statement</w:t>
            </w:r>
          </w:p>
        </w:tc>
        <w:tc>
          <w:tcPr>
            <w:tcW w:w="1810" w:type="dxa"/>
            <w:tcBorders>
              <w:left w:val="single" w:sz="4" w:space="0" w:color="4472C4"/>
            </w:tcBorders>
            <w:shd w:val="clear" w:color="auto" w:fill="1F3864" w:themeFill="accent5" w:themeFillShade="80"/>
            <w:vAlign w:val="center"/>
          </w:tcPr>
          <w:p w14:paraId="142543E8" w14:textId="77777777" w:rsidR="00FB7EE2" w:rsidRPr="00113364" w:rsidRDefault="00FB7EE2" w:rsidP="00FB7EE2">
            <w:pPr>
              <w:pStyle w:val="ListParagraph"/>
              <w:ind w:left="-14"/>
              <w:contextualSpacing w:val="0"/>
              <w:jc w:val="center"/>
              <w:rPr>
                <w:rFonts w:ascii="Arial" w:hAnsi="Arial" w:cs="Arial"/>
                <w:b w:val="0"/>
                <w:color w:val="FFFFFF"/>
              </w:rPr>
            </w:pPr>
            <w:r w:rsidRPr="00113364">
              <w:rPr>
                <w:rFonts w:ascii="Arial" w:hAnsi="Arial" w:cs="Arial"/>
                <w:color w:val="FFFFFF"/>
              </w:rPr>
              <w:t>Need Statement</w:t>
            </w:r>
          </w:p>
        </w:tc>
      </w:tr>
      <w:tr w:rsidR="00FB7EE2" w:rsidRPr="00113364" w14:paraId="112F98F6" w14:textId="77777777" w:rsidTr="00FB7EE2">
        <w:trPr>
          <w:cnfStyle w:val="000000100000" w:firstRow="0" w:lastRow="0" w:firstColumn="0" w:lastColumn="0" w:oddVBand="0" w:evenVBand="0" w:oddHBand="1" w:evenHBand="0" w:firstRowFirstColumn="0" w:firstRowLastColumn="0" w:lastRowFirstColumn="0" w:lastRowLastColumn="0"/>
          <w:cantSplit/>
          <w:trHeight w:val="251"/>
        </w:trPr>
        <w:tc>
          <w:tcPr>
            <w:tcW w:w="4045" w:type="dxa"/>
          </w:tcPr>
          <w:p w14:paraId="5BE10B13" w14:textId="77777777" w:rsidR="00FB7EE2" w:rsidRPr="00113364" w:rsidRDefault="00FB7EE2">
            <w:pPr>
              <w:pStyle w:val="ListParagraph"/>
              <w:numPr>
                <w:ilvl w:val="0"/>
                <w:numId w:val="14"/>
              </w:numPr>
              <w:spacing w:after="120"/>
              <w:ind w:left="346"/>
              <w:contextualSpacing w:val="0"/>
              <w:rPr>
                <w:rFonts w:ascii="Arial" w:hAnsi="Arial" w:cs="Arial"/>
              </w:rPr>
            </w:pPr>
            <w:r w:rsidRPr="00113364">
              <w:rPr>
                <w:rFonts w:ascii="Arial" w:hAnsi="Arial" w:cs="Arial"/>
                <w:b/>
              </w:rPr>
              <w:t>Migratory Students:</w:t>
            </w:r>
            <w:r w:rsidRPr="00113364">
              <w:rPr>
                <w:rFonts w:ascii="Arial" w:hAnsi="Arial" w:cs="Arial"/>
              </w:rPr>
              <w:t xml:space="preserve"> 31.1 percent of migratory students met the UC/CSU requirements.</w:t>
            </w:r>
          </w:p>
          <w:p w14:paraId="6372AD8B" w14:textId="77777777" w:rsidR="00FB7EE2" w:rsidRPr="00113364" w:rsidRDefault="00FB7EE2">
            <w:pPr>
              <w:pStyle w:val="ListParagraph"/>
              <w:numPr>
                <w:ilvl w:val="0"/>
                <w:numId w:val="54"/>
              </w:numPr>
              <w:spacing w:line="259" w:lineRule="auto"/>
              <w:ind w:left="337"/>
              <w:rPr>
                <w:rFonts w:ascii="Arial" w:hAnsi="Arial" w:cs="Arial"/>
              </w:rPr>
            </w:pPr>
            <w:r w:rsidRPr="00113364">
              <w:rPr>
                <w:rFonts w:ascii="Arial" w:hAnsi="Arial" w:cs="Arial"/>
                <w:b/>
              </w:rPr>
              <w:t>All Students:</w:t>
            </w:r>
            <w:r w:rsidRPr="00113364">
              <w:rPr>
                <w:rFonts w:ascii="Arial" w:hAnsi="Arial" w:cs="Arial"/>
              </w:rPr>
              <w:t xml:space="preserve"> 52.4 percent of all students met the UC/CSU requirements. </w:t>
            </w:r>
          </w:p>
        </w:tc>
        <w:tc>
          <w:tcPr>
            <w:tcW w:w="3495" w:type="dxa"/>
          </w:tcPr>
          <w:p w14:paraId="41789EF0" w14:textId="77777777" w:rsidR="00FB7EE2" w:rsidRPr="00113364" w:rsidRDefault="00FB7EE2" w:rsidP="00FB7EE2">
            <w:pPr>
              <w:rPr>
                <w:rFonts w:ascii="Arial" w:hAnsi="Arial" w:cs="Arial"/>
              </w:rPr>
            </w:pPr>
            <w:r w:rsidRPr="00113364">
              <w:rPr>
                <w:rFonts w:ascii="Arial" w:hAnsi="Arial" w:cs="Arial"/>
              </w:rPr>
              <w:t>We are concerned only 31.1 percent of migratory students met the UC/CSU requirements compared to 52.4 percent of all students who met the requirements in 2022–23.</w:t>
            </w:r>
          </w:p>
        </w:tc>
        <w:tc>
          <w:tcPr>
            <w:tcW w:w="1810" w:type="dxa"/>
          </w:tcPr>
          <w:p w14:paraId="4B76372D" w14:textId="77777777" w:rsidR="00FB7EE2" w:rsidRPr="00113364" w:rsidRDefault="00FB7EE2" w:rsidP="00FB7EE2">
            <w:pPr>
              <w:ind w:left="-20"/>
              <w:rPr>
                <w:rFonts w:ascii="Arial" w:hAnsi="Arial" w:cs="Arial"/>
              </w:rPr>
            </w:pPr>
            <w:r w:rsidRPr="00113364">
              <w:rPr>
                <w:rFonts w:ascii="Arial" w:hAnsi="Arial" w:cs="Arial"/>
              </w:rPr>
              <w:t>An additional 21.3 percent of migratory students need to meet the UC/CSU requirements.</w:t>
            </w:r>
          </w:p>
        </w:tc>
      </w:tr>
    </w:tbl>
    <w:p w14:paraId="08FB6325" w14:textId="40847FE9" w:rsidR="00FB7EE2" w:rsidRPr="00113364" w:rsidRDefault="00FB7EE2" w:rsidP="00FB7EE2">
      <w:pPr>
        <w:spacing w:before="240" w:after="240"/>
        <w:rPr>
          <w:rFonts w:ascii="Arial" w:hAnsi="Arial" w:cs="Arial"/>
        </w:rPr>
      </w:pPr>
      <w:r w:rsidRPr="00113364">
        <w:rPr>
          <w:rFonts w:ascii="Arial" w:hAnsi="Arial" w:cs="Arial"/>
        </w:rPr>
        <w:t xml:space="preserve">Increasing the percentage of students who meet college requirements will most likely ensure students meet their high school requirements to graduate. Similarly, implementing strategies to discourage migratory students from dropping </w:t>
      </w:r>
      <w:r w:rsidR="00C90642" w:rsidRPr="00113364">
        <w:rPr>
          <w:rFonts w:ascii="Arial" w:hAnsi="Arial" w:cs="Arial"/>
        </w:rPr>
        <w:t>out</w:t>
      </w:r>
      <w:r w:rsidRPr="00113364">
        <w:rPr>
          <w:rFonts w:ascii="Arial" w:hAnsi="Arial" w:cs="Arial"/>
        </w:rPr>
        <w:t xml:space="preserve"> will also encourage students to graduate. </w:t>
      </w:r>
    </w:p>
    <w:p w14:paraId="1A38791D" w14:textId="6C51C555" w:rsidR="006143B6" w:rsidRPr="00113364" w:rsidRDefault="00591695" w:rsidP="00FB34EF">
      <w:pPr>
        <w:pStyle w:val="Heading4"/>
      </w:pPr>
      <w:r w:rsidRPr="00113364">
        <w:t xml:space="preserve">High School </w:t>
      </w:r>
      <w:r w:rsidR="003F1A6B" w:rsidRPr="00113364">
        <w:t>Outcomes Focus Area:</w:t>
      </w:r>
      <w:r w:rsidRPr="00113364">
        <w:t xml:space="preserve"> </w:t>
      </w:r>
      <w:r w:rsidR="00C90642" w:rsidRPr="00113364">
        <w:t xml:space="preserve">High School </w:t>
      </w:r>
      <w:r w:rsidR="00E106AF" w:rsidRPr="00113364">
        <w:t xml:space="preserve">Dropout </w:t>
      </w:r>
      <w:r w:rsidR="00245534" w:rsidRPr="00113364">
        <w:t>Rate</w:t>
      </w:r>
    </w:p>
    <w:p w14:paraId="082619C6" w14:textId="0B6CEABE" w:rsidR="00C3523A" w:rsidRDefault="00BF5503" w:rsidP="004E1FFA">
      <w:pPr>
        <w:spacing w:after="240"/>
        <w:rPr>
          <w:rFonts w:ascii="Arial" w:hAnsi="Arial" w:cs="Arial"/>
        </w:rPr>
      </w:pPr>
      <w:r w:rsidRPr="00113364">
        <w:rPr>
          <w:rFonts w:ascii="Arial" w:hAnsi="Arial" w:cs="Arial"/>
        </w:rPr>
        <w:t xml:space="preserve">Credit deficiency is a major factor in students’ decision-making for dropping out of high school. Monitoring student class completion through case management provides the </w:t>
      </w:r>
      <w:r w:rsidR="000052AD" w:rsidRPr="00113364">
        <w:rPr>
          <w:rFonts w:ascii="Arial" w:hAnsi="Arial" w:cs="Arial"/>
        </w:rPr>
        <w:t>MEP with</w:t>
      </w:r>
      <w:r w:rsidRPr="00113364">
        <w:rPr>
          <w:rFonts w:ascii="Arial" w:hAnsi="Arial" w:cs="Arial"/>
        </w:rPr>
        <w:t xml:space="preserve"> the information needed to support districts addressing credit accrual needs. Table 1</w:t>
      </w:r>
      <w:r w:rsidR="005B10F2">
        <w:rPr>
          <w:rFonts w:ascii="Arial" w:hAnsi="Arial" w:cs="Arial"/>
        </w:rPr>
        <w:t>4</w:t>
      </w:r>
      <w:r w:rsidRPr="00113364">
        <w:rPr>
          <w:rFonts w:ascii="Arial" w:hAnsi="Arial" w:cs="Arial"/>
        </w:rPr>
        <w:t xml:space="preserve"> identifies the data summary and the concern and need statement for decreasing the high school dropout rate.</w:t>
      </w:r>
      <w:r w:rsidR="00986A87">
        <w:rPr>
          <w:rFonts w:ascii="Arial" w:hAnsi="Arial" w:cs="Arial"/>
        </w:rPr>
        <w:t xml:space="preserve"> </w:t>
      </w:r>
    </w:p>
    <w:p w14:paraId="39957D76" w14:textId="77777777" w:rsidR="005B10F2" w:rsidRDefault="005B10F2">
      <w:pPr>
        <w:rPr>
          <w:rFonts w:ascii="Arial" w:hAnsi="Arial" w:cs="Arial"/>
          <w:b/>
          <w:bCs/>
          <w:iCs/>
        </w:rPr>
      </w:pPr>
      <w:r>
        <w:rPr>
          <w:rFonts w:ascii="Arial" w:hAnsi="Arial" w:cs="Arial"/>
          <w:b/>
          <w:bCs/>
          <w:iCs/>
        </w:rPr>
        <w:br w:type="page"/>
      </w:r>
    </w:p>
    <w:p w14:paraId="038B091B" w14:textId="4DEACF1F" w:rsidR="0000348B" w:rsidRPr="00C3523A" w:rsidRDefault="008B0200" w:rsidP="00A366B5">
      <w:pPr>
        <w:pStyle w:val="Heading6"/>
      </w:pPr>
      <w:bookmarkStart w:id="43" w:name="_Toc204755350"/>
      <w:r w:rsidRPr="00C3523A">
        <w:lastRenderedPageBreak/>
        <w:t xml:space="preserve">Table </w:t>
      </w:r>
      <w:fldSimple w:instr=" SEQ Table \* ARABIC ">
        <w:r w:rsidR="005B10F2">
          <w:rPr>
            <w:noProof/>
          </w:rPr>
          <w:t>14</w:t>
        </w:r>
      </w:fldSimple>
      <w:r w:rsidRPr="00C3523A">
        <w:t>. Data Summary, Concern Statement</w:t>
      </w:r>
      <w:r w:rsidR="00582AFB" w:rsidRPr="00C3523A">
        <w:t>, and Need</w:t>
      </w:r>
      <w:r w:rsidRPr="00C3523A">
        <w:t xml:space="preserve"> Statement for High School Dropout Rate</w:t>
      </w:r>
      <w:r w:rsidR="00EC6E78" w:rsidRPr="00C3523A">
        <w:rPr>
          <w:rStyle w:val="FootnoteReference"/>
          <w:rFonts w:cs="Arial"/>
          <w:bCs/>
          <w:iCs/>
        </w:rPr>
        <w:footnoteReference w:id="14"/>
      </w:r>
      <w:bookmarkEnd w:id="43"/>
    </w:p>
    <w:tbl>
      <w:tblPr>
        <w:tblStyle w:val="GridTable4-Accent1"/>
        <w:tblW w:w="0" w:type="auto"/>
        <w:tblLook w:val="0420" w:firstRow="1" w:lastRow="0" w:firstColumn="0" w:lastColumn="0" w:noHBand="0" w:noVBand="1"/>
        <w:tblDescription w:val="Data Summary, Concern Statement, and Need Statement for High School Dropout Rate"/>
      </w:tblPr>
      <w:tblGrid>
        <w:gridCol w:w="5215"/>
        <w:gridCol w:w="2250"/>
        <w:gridCol w:w="1885"/>
      </w:tblGrid>
      <w:tr w:rsidR="00221841" w:rsidRPr="00113364" w14:paraId="37F852AE" w14:textId="77777777" w:rsidTr="009E4486">
        <w:trPr>
          <w:cnfStyle w:val="100000000000" w:firstRow="1" w:lastRow="0" w:firstColumn="0" w:lastColumn="0" w:oddVBand="0" w:evenVBand="0" w:oddHBand="0" w:evenHBand="0" w:firstRowFirstColumn="0" w:firstRowLastColumn="0" w:lastRowFirstColumn="0" w:lastRowLastColumn="0"/>
          <w:cantSplit/>
          <w:tblHeader/>
        </w:trPr>
        <w:tc>
          <w:tcPr>
            <w:tcW w:w="5215" w:type="dxa"/>
            <w:tcBorders>
              <w:right w:val="single" w:sz="4" w:space="0" w:color="4472C4"/>
            </w:tcBorders>
            <w:shd w:val="clear" w:color="auto" w:fill="1F3864" w:themeFill="accent5" w:themeFillShade="80"/>
            <w:vAlign w:val="center"/>
          </w:tcPr>
          <w:p w14:paraId="07E913CC" w14:textId="77777777" w:rsidR="00221841" w:rsidRPr="00113364" w:rsidRDefault="00221841" w:rsidP="00E53F38">
            <w:pPr>
              <w:jc w:val="center"/>
              <w:rPr>
                <w:rFonts w:ascii="Arial" w:hAnsi="Arial" w:cs="Arial"/>
                <w:b w:val="0"/>
                <w:color w:val="FFFFFF"/>
              </w:rPr>
            </w:pPr>
            <w:r w:rsidRPr="00113364">
              <w:rPr>
                <w:rFonts w:ascii="Arial" w:hAnsi="Arial" w:cs="Arial"/>
                <w:color w:val="FFFFFF"/>
              </w:rPr>
              <w:t>Data Summary:</w:t>
            </w:r>
          </w:p>
          <w:p w14:paraId="13A93B6D" w14:textId="50B68F2A" w:rsidR="00221841" w:rsidRPr="00113364" w:rsidRDefault="00221841" w:rsidP="00E53F38">
            <w:pPr>
              <w:jc w:val="center"/>
              <w:rPr>
                <w:rFonts w:ascii="Arial" w:hAnsi="Arial" w:cs="Arial"/>
                <w:color w:val="FFFFFF"/>
              </w:rPr>
            </w:pPr>
            <w:r w:rsidRPr="00113364">
              <w:rPr>
                <w:rFonts w:ascii="Arial" w:hAnsi="Arial" w:cs="Arial"/>
                <w:color w:val="FFFFFF"/>
              </w:rPr>
              <w:t xml:space="preserve">High School Dropout Rate, </w:t>
            </w:r>
            <w:r w:rsidR="00AA4DD8" w:rsidRPr="00113364">
              <w:rPr>
                <w:rFonts w:ascii="Arial" w:hAnsi="Arial" w:cs="Arial"/>
                <w:color w:val="FFFFFF"/>
              </w:rPr>
              <w:t xml:space="preserve">SYs 2017–18 through </w:t>
            </w:r>
            <w:r w:rsidRPr="00113364">
              <w:rPr>
                <w:rFonts w:ascii="Arial" w:hAnsi="Arial" w:cs="Arial"/>
                <w:color w:val="FFFFFF"/>
              </w:rPr>
              <w:t>20</w:t>
            </w:r>
            <w:r w:rsidR="00E106AF" w:rsidRPr="00113364">
              <w:rPr>
                <w:rFonts w:ascii="Arial" w:hAnsi="Arial" w:cs="Arial"/>
                <w:color w:val="FFFFFF"/>
              </w:rPr>
              <w:t>22</w:t>
            </w:r>
            <w:r w:rsidRPr="00113364">
              <w:rPr>
                <w:rFonts w:ascii="Arial" w:hAnsi="Arial" w:cs="Arial"/>
                <w:color w:val="FFFFFF"/>
              </w:rPr>
              <w:t>–</w:t>
            </w:r>
            <w:r w:rsidR="00E106AF" w:rsidRPr="00113364">
              <w:rPr>
                <w:rFonts w:ascii="Arial" w:hAnsi="Arial" w:cs="Arial"/>
                <w:color w:val="FFFFFF"/>
              </w:rPr>
              <w:t>23</w:t>
            </w:r>
          </w:p>
        </w:tc>
        <w:tc>
          <w:tcPr>
            <w:tcW w:w="2250" w:type="dxa"/>
            <w:tcBorders>
              <w:left w:val="single" w:sz="4" w:space="0" w:color="4472C4"/>
              <w:right w:val="single" w:sz="4" w:space="0" w:color="4472C4"/>
            </w:tcBorders>
            <w:shd w:val="clear" w:color="auto" w:fill="1F3864" w:themeFill="accent5" w:themeFillShade="80"/>
            <w:vAlign w:val="center"/>
          </w:tcPr>
          <w:p w14:paraId="5E596E8E" w14:textId="77777777" w:rsidR="00221841" w:rsidRPr="00113364" w:rsidRDefault="00221841" w:rsidP="00E53F38">
            <w:pPr>
              <w:pStyle w:val="ListParagraph"/>
              <w:ind w:left="-18"/>
              <w:jc w:val="center"/>
              <w:rPr>
                <w:rFonts w:ascii="Arial" w:hAnsi="Arial" w:cs="Arial"/>
                <w:color w:val="FFFFFF"/>
              </w:rPr>
            </w:pPr>
            <w:r w:rsidRPr="00113364">
              <w:rPr>
                <w:rFonts w:ascii="Arial" w:hAnsi="Arial" w:cs="Arial"/>
                <w:color w:val="FFFFFF"/>
              </w:rPr>
              <w:t>Concern Statement</w:t>
            </w:r>
          </w:p>
        </w:tc>
        <w:tc>
          <w:tcPr>
            <w:tcW w:w="1885" w:type="dxa"/>
            <w:tcBorders>
              <w:left w:val="single" w:sz="4" w:space="0" w:color="4472C4"/>
            </w:tcBorders>
            <w:shd w:val="clear" w:color="auto" w:fill="1F3864" w:themeFill="accent5" w:themeFillShade="80"/>
            <w:vAlign w:val="center"/>
          </w:tcPr>
          <w:p w14:paraId="27F33300" w14:textId="77777777" w:rsidR="00221841" w:rsidRPr="00113364" w:rsidRDefault="00221841" w:rsidP="00E53F38">
            <w:pPr>
              <w:pStyle w:val="ListParagraph"/>
              <w:ind w:left="-18"/>
              <w:jc w:val="center"/>
              <w:rPr>
                <w:rFonts w:ascii="Arial" w:hAnsi="Arial" w:cs="Arial"/>
                <w:b w:val="0"/>
                <w:color w:val="FFFFFF"/>
              </w:rPr>
            </w:pPr>
            <w:r w:rsidRPr="00113364">
              <w:rPr>
                <w:rFonts w:ascii="Arial" w:hAnsi="Arial" w:cs="Arial"/>
                <w:color w:val="FFFFFF"/>
              </w:rPr>
              <w:t>Need Statement</w:t>
            </w:r>
          </w:p>
        </w:tc>
      </w:tr>
      <w:tr w:rsidR="00221841" w:rsidRPr="00113364" w14:paraId="63ACA15B" w14:textId="77777777" w:rsidTr="005B10F2">
        <w:trPr>
          <w:cnfStyle w:val="000000100000" w:firstRow="0" w:lastRow="0" w:firstColumn="0" w:lastColumn="0" w:oddVBand="0" w:evenVBand="0" w:oddHBand="1" w:evenHBand="0" w:firstRowFirstColumn="0" w:firstRowLastColumn="0" w:lastRowFirstColumn="0" w:lastRowLastColumn="0"/>
          <w:cantSplit/>
          <w:trHeight w:val="2222"/>
        </w:trPr>
        <w:tc>
          <w:tcPr>
            <w:tcW w:w="5215" w:type="dxa"/>
          </w:tcPr>
          <w:p w14:paraId="4C88A238" w14:textId="20F59E46" w:rsidR="00221841" w:rsidRPr="00113364" w:rsidRDefault="00221841" w:rsidP="005B10F2">
            <w:pPr>
              <w:pStyle w:val="ListParagraph"/>
              <w:numPr>
                <w:ilvl w:val="0"/>
                <w:numId w:val="21"/>
              </w:numPr>
              <w:spacing w:after="120"/>
              <w:ind w:left="346"/>
              <w:contextualSpacing w:val="0"/>
              <w:rPr>
                <w:rFonts w:ascii="Arial" w:hAnsi="Arial" w:cs="Arial"/>
              </w:rPr>
            </w:pPr>
            <w:r w:rsidRPr="00113364">
              <w:rPr>
                <w:rFonts w:ascii="Arial" w:hAnsi="Arial" w:cs="Arial"/>
                <w:b/>
              </w:rPr>
              <w:t>Migratory Students:</w:t>
            </w:r>
            <w:r w:rsidRPr="00113364">
              <w:rPr>
                <w:rFonts w:ascii="Arial" w:hAnsi="Arial" w:cs="Arial"/>
              </w:rPr>
              <w:t xml:space="preserve"> 10.</w:t>
            </w:r>
            <w:r w:rsidR="00FD3FA8" w:rsidRPr="00113364">
              <w:rPr>
                <w:rFonts w:ascii="Arial" w:hAnsi="Arial" w:cs="Arial"/>
              </w:rPr>
              <w:t>1</w:t>
            </w:r>
            <w:r w:rsidR="00CF33BB" w:rsidRPr="00113364">
              <w:rPr>
                <w:rFonts w:ascii="Arial" w:hAnsi="Arial" w:cs="Arial"/>
              </w:rPr>
              <w:t> </w:t>
            </w:r>
            <w:r w:rsidRPr="00113364">
              <w:rPr>
                <w:rFonts w:ascii="Arial" w:hAnsi="Arial" w:cs="Arial"/>
              </w:rPr>
              <w:t>percent dropped out of high school in 20</w:t>
            </w:r>
            <w:r w:rsidR="00FD3FA8" w:rsidRPr="00113364">
              <w:rPr>
                <w:rFonts w:ascii="Arial" w:hAnsi="Arial" w:cs="Arial"/>
              </w:rPr>
              <w:t>22</w:t>
            </w:r>
            <w:r w:rsidRPr="00113364">
              <w:rPr>
                <w:rFonts w:ascii="Arial" w:hAnsi="Arial" w:cs="Arial"/>
              </w:rPr>
              <w:t>–</w:t>
            </w:r>
            <w:r w:rsidR="00FD3FA8" w:rsidRPr="00113364">
              <w:rPr>
                <w:rFonts w:ascii="Arial" w:hAnsi="Arial" w:cs="Arial"/>
              </w:rPr>
              <w:t>23</w:t>
            </w:r>
            <w:r w:rsidRPr="00113364">
              <w:rPr>
                <w:rFonts w:ascii="Arial" w:hAnsi="Arial" w:cs="Arial"/>
              </w:rPr>
              <w:t>.</w:t>
            </w:r>
          </w:p>
          <w:p w14:paraId="30C42359" w14:textId="00230ACE" w:rsidR="00221841" w:rsidRPr="00113364" w:rsidRDefault="00221841" w:rsidP="005B10F2">
            <w:pPr>
              <w:pStyle w:val="ListParagraph"/>
              <w:numPr>
                <w:ilvl w:val="0"/>
                <w:numId w:val="21"/>
              </w:numPr>
              <w:spacing w:after="120"/>
              <w:ind w:left="346"/>
              <w:contextualSpacing w:val="0"/>
              <w:rPr>
                <w:rFonts w:ascii="Arial" w:hAnsi="Arial" w:cs="Arial"/>
              </w:rPr>
            </w:pPr>
            <w:r w:rsidRPr="00113364">
              <w:rPr>
                <w:rFonts w:ascii="Arial" w:hAnsi="Arial" w:cs="Arial"/>
                <w:b/>
              </w:rPr>
              <w:t>All Students:</w:t>
            </w:r>
            <w:r w:rsidRPr="00113364">
              <w:rPr>
                <w:rFonts w:ascii="Arial" w:hAnsi="Arial" w:cs="Arial"/>
              </w:rPr>
              <w:t xml:space="preserve"> </w:t>
            </w:r>
            <w:r w:rsidR="00FD3FA8" w:rsidRPr="00113364">
              <w:rPr>
                <w:rFonts w:ascii="Arial" w:hAnsi="Arial" w:cs="Arial"/>
              </w:rPr>
              <w:t>8.2</w:t>
            </w:r>
            <w:r w:rsidR="00CF33BB" w:rsidRPr="00113364">
              <w:rPr>
                <w:rFonts w:ascii="Arial" w:hAnsi="Arial" w:cs="Arial"/>
              </w:rPr>
              <w:t> </w:t>
            </w:r>
            <w:r w:rsidRPr="00113364">
              <w:rPr>
                <w:rFonts w:ascii="Arial" w:hAnsi="Arial" w:cs="Arial"/>
              </w:rPr>
              <w:t>percent dropped out of high school in 20</w:t>
            </w:r>
            <w:r w:rsidR="00FD3FA8" w:rsidRPr="00113364">
              <w:rPr>
                <w:rFonts w:ascii="Arial" w:hAnsi="Arial" w:cs="Arial"/>
              </w:rPr>
              <w:t>22</w:t>
            </w:r>
            <w:r w:rsidRPr="00113364">
              <w:rPr>
                <w:rFonts w:ascii="Arial" w:hAnsi="Arial" w:cs="Arial"/>
              </w:rPr>
              <w:t>–</w:t>
            </w:r>
            <w:r w:rsidR="00FD3FA8" w:rsidRPr="00113364">
              <w:rPr>
                <w:rFonts w:ascii="Arial" w:hAnsi="Arial" w:cs="Arial"/>
              </w:rPr>
              <w:t>23</w:t>
            </w:r>
            <w:r w:rsidRPr="00113364">
              <w:rPr>
                <w:rFonts w:ascii="Arial" w:hAnsi="Arial" w:cs="Arial"/>
              </w:rPr>
              <w:t>.</w:t>
            </w:r>
          </w:p>
          <w:p w14:paraId="0AB2DE7D" w14:textId="09C5B6C1" w:rsidR="00AA4DD8" w:rsidRPr="00113364" w:rsidRDefault="00AA4DD8" w:rsidP="005B10F2">
            <w:pPr>
              <w:pStyle w:val="ListParagraph"/>
              <w:numPr>
                <w:ilvl w:val="0"/>
                <w:numId w:val="21"/>
              </w:numPr>
              <w:spacing w:after="120"/>
              <w:ind w:left="342"/>
              <w:contextualSpacing w:val="0"/>
              <w:rPr>
                <w:rFonts w:ascii="Arial" w:hAnsi="Arial" w:cs="Arial"/>
              </w:rPr>
            </w:pPr>
            <w:r w:rsidRPr="00113364">
              <w:rPr>
                <w:rFonts w:ascii="Arial" w:hAnsi="Arial" w:cs="Arial"/>
              </w:rPr>
              <w:t>The dropout rate has declined over a six-year period even though in 2022–23 it increased slightly.</w:t>
            </w:r>
          </w:p>
        </w:tc>
        <w:tc>
          <w:tcPr>
            <w:tcW w:w="2250" w:type="dxa"/>
          </w:tcPr>
          <w:p w14:paraId="0B0E1AE2" w14:textId="70F224EF" w:rsidR="00221841" w:rsidRPr="00113364" w:rsidRDefault="00CF33BB" w:rsidP="005B10F2">
            <w:pPr>
              <w:rPr>
                <w:rFonts w:ascii="Arial" w:hAnsi="Arial" w:cs="Arial"/>
              </w:rPr>
            </w:pPr>
            <w:r w:rsidRPr="00113364">
              <w:rPr>
                <w:rFonts w:ascii="Arial" w:hAnsi="Arial" w:cs="Arial"/>
              </w:rPr>
              <w:t>We are concerned that migratory students have a dropout rate of 10.1 percent compared to 8.2 percent of all students.</w:t>
            </w:r>
          </w:p>
        </w:tc>
        <w:tc>
          <w:tcPr>
            <w:tcW w:w="1885" w:type="dxa"/>
          </w:tcPr>
          <w:p w14:paraId="372A0FCB" w14:textId="7B50B2F7" w:rsidR="00221841" w:rsidRPr="00113364" w:rsidRDefault="00CF33BB" w:rsidP="009E4486">
            <w:pPr>
              <w:ind w:left="-20"/>
              <w:rPr>
                <w:rFonts w:ascii="Arial" w:hAnsi="Arial" w:cs="Arial"/>
              </w:rPr>
            </w:pPr>
            <w:r w:rsidRPr="00113364">
              <w:rPr>
                <w:rFonts w:ascii="Arial" w:hAnsi="Arial" w:cs="Arial"/>
              </w:rPr>
              <w:t>The percentage of migratory students dropping out needs to be reduced by at least 1.9 percent.</w:t>
            </w:r>
          </w:p>
        </w:tc>
      </w:tr>
    </w:tbl>
    <w:p w14:paraId="1AFF7FCC" w14:textId="145F1C91" w:rsidR="00C90642" w:rsidRPr="00113364" w:rsidRDefault="00C90642" w:rsidP="00C90642">
      <w:pPr>
        <w:spacing w:before="240" w:after="240"/>
        <w:rPr>
          <w:rFonts w:ascii="Arial" w:hAnsi="Arial" w:cs="Arial"/>
        </w:rPr>
      </w:pPr>
      <w:r w:rsidRPr="00113364">
        <w:rPr>
          <w:rFonts w:ascii="Arial" w:hAnsi="Arial" w:cs="Arial"/>
        </w:rPr>
        <w:t xml:space="preserve">Preparing students to graduate high </w:t>
      </w:r>
      <w:proofErr w:type="gramStart"/>
      <w:r w:rsidRPr="00113364">
        <w:rPr>
          <w:rFonts w:ascii="Arial" w:hAnsi="Arial" w:cs="Arial"/>
        </w:rPr>
        <w:t>school spans</w:t>
      </w:r>
      <w:proofErr w:type="gramEnd"/>
      <w:r w:rsidRPr="00113364">
        <w:rPr>
          <w:rFonts w:ascii="Arial" w:hAnsi="Arial" w:cs="Arial"/>
        </w:rPr>
        <w:t xml:space="preserve"> </w:t>
      </w:r>
      <w:r w:rsidR="00A844AF" w:rsidRPr="00113364">
        <w:rPr>
          <w:rFonts w:ascii="Arial" w:hAnsi="Arial" w:cs="Arial"/>
        </w:rPr>
        <w:t>prekindergarten</w:t>
      </w:r>
      <w:r w:rsidRPr="00113364">
        <w:rPr>
          <w:rFonts w:ascii="Arial" w:hAnsi="Arial" w:cs="Arial"/>
        </w:rPr>
        <w:t xml:space="preserve"> </w:t>
      </w:r>
      <w:r w:rsidR="009965D1" w:rsidRPr="00113364">
        <w:rPr>
          <w:rFonts w:ascii="Arial" w:hAnsi="Arial" w:cs="Arial"/>
        </w:rPr>
        <w:t xml:space="preserve">(PreK) </w:t>
      </w:r>
      <w:r w:rsidRPr="00113364">
        <w:rPr>
          <w:rFonts w:ascii="Arial" w:hAnsi="Arial" w:cs="Arial"/>
        </w:rPr>
        <w:t xml:space="preserve">through </w:t>
      </w:r>
      <w:r w:rsidR="00A844AF" w:rsidRPr="00113364">
        <w:rPr>
          <w:rFonts w:ascii="Arial" w:hAnsi="Arial" w:cs="Arial"/>
        </w:rPr>
        <w:t>grade twelve</w:t>
      </w:r>
      <w:r w:rsidRPr="00113364">
        <w:rPr>
          <w:rFonts w:ascii="Arial" w:hAnsi="Arial" w:cs="Arial"/>
        </w:rPr>
        <w:t xml:space="preserve">. A strong foundation in school readiness or early learning is an extremely valuable opportunity. Research has long pointed to high-quality early learning experiences as having long-lasting impacts on a </w:t>
      </w:r>
      <w:r w:rsidR="00F769AA" w:rsidRPr="00113364">
        <w:rPr>
          <w:rFonts w:ascii="Arial" w:hAnsi="Arial" w:cs="Arial"/>
        </w:rPr>
        <w:t>student’s</w:t>
      </w:r>
      <w:r w:rsidRPr="00113364">
        <w:rPr>
          <w:rFonts w:ascii="Arial" w:hAnsi="Arial" w:cs="Arial"/>
        </w:rPr>
        <w:t xml:space="preserve"> </w:t>
      </w:r>
      <w:r w:rsidR="00F769AA" w:rsidRPr="00113364">
        <w:rPr>
          <w:rFonts w:ascii="Arial" w:hAnsi="Arial" w:cs="Arial"/>
        </w:rPr>
        <w:t>academic journey, future career opportunities, and civic engagement. California’s Universal Pre</w:t>
      </w:r>
      <w:r w:rsidR="004B7A97">
        <w:rPr>
          <w:rFonts w:ascii="Arial" w:hAnsi="Arial" w:cs="Arial"/>
        </w:rPr>
        <w:t>K</w:t>
      </w:r>
      <w:r w:rsidR="00F769AA" w:rsidRPr="00113364">
        <w:rPr>
          <w:rFonts w:ascii="Arial" w:hAnsi="Arial" w:cs="Arial"/>
        </w:rPr>
        <w:t xml:space="preserve"> </w:t>
      </w:r>
      <w:r w:rsidR="00FD4BA3">
        <w:rPr>
          <w:rFonts w:ascii="Arial" w:hAnsi="Arial" w:cs="Arial"/>
        </w:rPr>
        <w:t xml:space="preserve">initiative </w:t>
      </w:r>
      <w:r w:rsidR="00F769AA" w:rsidRPr="00113364">
        <w:rPr>
          <w:rFonts w:ascii="Arial" w:hAnsi="Arial" w:cs="Arial"/>
        </w:rPr>
        <w:t xml:space="preserve">will fund transitional kindergarten to ensure that every four-year-old has access to a quality learning experience by 2025–26. In addition to these programs, the MEP also provides services to prepare students for </w:t>
      </w:r>
      <w:r w:rsidR="004B7A97">
        <w:rPr>
          <w:rFonts w:ascii="Arial" w:hAnsi="Arial" w:cs="Arial"/>
        </w:rPr>
        <w:t>TK</w:t>
      </w:r>
      <w:r w:rsidR="00F769AA" w:rsidRPr="00113364">
        <w:rPr>
          <w:rFonts w:ascii="Arial" w:hAnsi="Arial" w:cs="Arial"/>
        </w:rPr>
        <w:t xml:space="preserve"> and kindergarten.</w:t>
      </w:r>
    </w:p>
    <w:p w14:paraId="70B70C41" w14:textId="3A9FAEBE" w:rsidR="00375907" w:rsidRPr="00113364" w:rsidRDefault="00375907" w:rsidP="003F0CBE">
      <w:pPr>
        <w:pStyle w:val="Heading3"/>
      </w:pPr>
      <w:bookmarkStart w:id="44" w:name="_Toc203568842"/>
      <w:r w:rsidRPr="00113364">
        <w:t>School Readiness</w:t>
      </w:r>
      <w:bookmarkEnd w:id="44"/>
    </w:p>
    <w:p w14:paraId="395DFE8B" w14:textId="095FB461" w:rsidR="0037223D" w:rsidRPr="00113364" w:rsidRDefault="005942D8" w:rsidP="00A04995">
      <w:pPr>
        <w:contextualSpacing/>
        <w:rPr>
          <w:rFonts w:ascii="Arial" w:hAnsi="Arial" w:cs="Arial"/>
        </w:rPr>
      </w:pPr>
      <w:r w:rsidRPr="00113364">
        <w:rPr>
          <w:rFonts w:ascii="Arial" w:hAnsi="Arial" w:cs="Arial"/>
        </w:rPr>
        <w:t xml:space="preserve">Child participation data in MEP school readiness services for the past six years was reviewed </w:t>
      </w:r>
      <w:r w:rsidR="00C90642" w:rsidRPr="00113364">
        <w:rPr>
          <w:rFonts w:ascii="Arial" w:hAnsi="Arial" w:cs="Arial"/>
        </w:rPr>
        <w:t>by</w:t>
      </w:r>
      <w:r w:rsidRPr="00113364">
        <w:rPr>
          <w:rFonts w:ascii="Arial" w:hAnsi="Arial" w:cs="Arial"/>
        </w:rPr>
        <w:t xml:space="preserve"> the School Readiness subcommittee. The subcommittee noted that with the implementation of the prior SDP</w:t>
      </w:r>
      <w:r w:rsidR="00F769AA" w:rsidRPr="00113364">
        <w:rPr>
          <w:rFonts w:ascii="Arial" w:hAnsi="Arial" w:cs="Arial"/>
        </w:rPr>
        <w:t xml:space="preserve"> (2017)</w:t>
      </w:r>
      <w:r w:rsidRPr="00113364">
        <w:rPr>
          <w:rFonts w:ascii="Arial" w:hAnsi="Arial" w:cs="Arial"/>
        </w:rPr>
        <w:t xml:space="preserve">, participation of children ages three and four jumped substantially during the first year of implementation and remained </w:t>
      </w:r>
      <w:proofErr w:type="gramStart"/>
      <w:r w:rsidRPr="00113364">
        <w:rPr>
          <w:rFonts w:ascii="Arial" w:hAnsi="Arial" w:cs="Arial"/>
        </w:rPr>
        <w:t>fairly</w:t>
      </w:r>
      <w:r w:rsidR="009B7DFD">
        <w:rPr>
          <w:rFonts w:ascii="Arial" w:hAnsi="Arial" w:cs="Arial"/>
        </w:rPr>
        <w:t xml:space="preserve"> </w:t>
      </w:r>
      <w:r w:rsidRPr="00113364">
        <w:rPr>
          <w:rFonts w:ascii="Arial" w:hAnsi="Arial" w:cs="Arial"/>
        </w:rPr>
        <w:t>consistent</w:t>
      </w:r>
      <w:proofErr w:type="gramEnd"/>
      <w:r w:rsidRPr="00113364">
        <w:rPr>
          <w:rFonts w:ascii="Arial" w:hAnsi="Arial" w:cs="Arial"/>
        </w:rPr>
        <w:t xml:space="preserve"> over the five years reviewed. Limited preschool outcome data for migratory children lead the subcommittee to review student achievement data </w:t>
      </w:r>
      <w:r w:rsidR="00A42884" w:rsidRPr="00113364">
        <w:rPr>
          <w:rFonts w:ascii="Arial" w:hAnsi="Arial" w:cs="Arial"/>
        </w:rPr>
        <w:t>(</w:t>
      </w:r>
      <w:r w:rsidRPr="00113364">
        <w:rPr>
          <w:rFonts w:ascii="Arial" w:hAnsi="Arial" w:cs="Arial"/>
        </w:rPr>
        <w:t>i.e</w:t>
      </w:r>
      <w:r w:rsidR="00A42884" w:rsidRPr="00113364">
        <w:rPr>
          <w:rFonts w:ascii="Arial" w:hAnsi="Arial" w:cs="Arial"/>
        </w:rPr>
        <w:t xml:space="preserve">., ELA, </w:t>
      </w:r>
      <w:r w:rsidR="00E7492F" w:rsidRPr="00113364">
        <w:rPr>
          <w:rFonts w:ascii="Arial" w:hAnsi="Arial" w:cs="Arial"/>
        </w:rPr>
        <w:t>mathematics</w:t>
      </w:r>
      <w:r w:rsidR="00A42884" w:rsidRPr="00113364">
        <w:rPr>
          <w:rFonts w:ascii="Arial" w:hAnsi="Arial" w:cs="Arial"/>
        </w:rPr>
        <w:t>, E</w:t>
      </w:r>
      <w:r w:rsidR="004B7A97">
        <w:rPr>
          <w:rFonts w:ascii="Arial" w:hAnsi="Arial" w:cs="Arial"/>
        </w:rPr>
        <w:t>nglish language proficiency</w:t>
      </w:r>
      <w:r w:rsidR="00A42884" w:rsidRPr="00113364">
        <w:rPr>
          <w:rFonts w:ascii="Arial" w:hAnsi="Arial" w:cs="Arial"/>
        </w:rPr>
        <w:t>) within California’s Migratory Student Profile</w:t>
      </w:r>
      <w:r w:rsidRPr="00113364">
        <w:rPr>
          <w:rFonts w:ascii="Arial" w:hAnsi="Arial" w:cs="Arial"/>
        </w:rPr>
        <w:t xml:space="preserve"> as well as grade specific outcome data for the three CAASPP assessments focusing on early elementary grades. </w:t>
      </w:r>
      <w:r w:rsidR="0078677C" w:rsidRPr="00113364">
        <w:rPr>
          <w:rFonts w:ascii="Arial" w:hAnsi="Arial" w:cs="Arial"/>
        </w:rPr>
        <w:t>S</w:t>
      </w:r>
      <w:r w:rsidRPr="00113364">
        <w:rPr>
          <w:rFonts w:ascii="Arial" w:hAnsi="Arial" w:cs="Arial"/>
        </w:rPr>
        <w:t>ubcommittee members were most concerned about students’ proficiency in English</w:t>
      </w:r>
      <w:r w:rsidR="00F769AA" w:rsidRPr="00113364">
        <w:rPr>
          <w:rFonts w:ascii="Arial" w:hAnsi="Arial" w:cs="Arial"/>
        </w:rPr>
        <w:t>, ELA,</w:t>
      </w:r>
      <w:r w:rsidRPr="00113364">
        <w:rPr>
          <w:rFonts w:ascii="Arial" w:hAnsi="Arial" w:cs="Arial"/>
        </w:rPr>
        <w:t xml:space="preserve"> and mathematics. </w:t>
      </w:r>
    </w:p>
    <w:p w14:paraId="65FAE7BF" w14:textId="5F8C90E0" w:rsidR="006143B6" w:rsidRPr="00113364" w:rsidRDefault="00245534" w:rsidP="00FB34EF">
      <w:pPr>
        <w:pStyle w:val="Heading4"/>
      </w:pPr>
      <w:r w:rsidRPr="00113364">
        <w:t>School Readiness Focus Area</w:t>
      </w:r>
      <w:r w:rsidR="006143B6" w:rsidRPr="00113364">
        <w:t xml:space="preserve">: </w:t>
      </w:r>
      <w:r w:rsidR="005308A7" w:rsidRPr="00113364">
        <w:t>English Language Proficiency</w:t>
      </w:r>
    </w:p>
    <w:p w14:paraId="1AC3D2AD" w14:textId="4F9C2093" w:rsidR="00F769AA" w:rsidRPr="00113364" w:rsidRDefault="000323EE" w:rsidP="00F769AA">
      <w:pPr>
        <w:spacing w:after="240"/>
        <w:rPr>
          <w:rFonts w:ascii="Arial" w:hAnsi="Arial" w:cs="Arial"/>
        </w:rPr>
      </w:pPr>
      <w:r w:rsidRPr="00113364">
        <w:rPr>
          <w:rFonts w:ascii="Arial" w:hAnsi="Arial" w:cs="Arial"/>
        </w:rPr>
        <w:t xml:space="preserve">The earliest data available is the ELP data for kindergarten. The Smarter Balanced Summative Assessment is first administered in third grade; therefore, statewide ELA and </w:t>
      </w:r>
      <w:r w:rsidR="00E7492F" w:rsidRPr="00113364">
        <w:rPr>
          <w:rFonts w:ascii="Arial" w:hAnsi="Arial" w:cs="Arial"/>
        </w:rPr>
        <w:t>mathematics</w:t>
      </w:r>
      <w:r w:rsidRPr="00113364">
        <w:rPr>
          <w:rFonts w:ascii="Arial" w:hAnsi="Arial" w:cs="Arial"/>
        </w:rPr>
        <w:t xml:space="preserve"> assessment</w:t>
      </w:r>
      <w:r w:rsidR="00FD4BA3">
        <w:rPr>
          <w:rFonts w:ascii="Arial" w:hAnsi="Arial" w:cs="Arial"/>
        </w:rPr>
        <w:t xml:space="preserve"> data at those early grade levels</w:t>
      </w:r>
      <w:r w:rsidRPr="00113364">
        <w:rPr>
          <w:rFonts w:ascii="Arial" w:hAnsi="Arial" w:cs="Arial"/>
        </w:rPr>
        <w:t xml:space="preserve"> is unavailable. </w:t>
      </w:r>
      <w:r w:rsidR="00F769AA" w:rsidRPr="00113364">
        <w:rPr>
          <w:rFonts w:ascii="Arial" w:hAnsi="Arial" w:cs="Arial"/>
        </w:rPr>
        <w:t>Tables 1</w:t>
      </w:r>
      <w:r w:rsidR="00A41212">
        <w:rPr>
          <w:rFonts w:ascii="Arial" w:hAnsi="Arial" w:cs="Arial"/>
        </w:rPr>
        <w:t>5</w:t>
      </w:r>
      <w:r w:rsidR="00F769AA" w:rsidRPr="00113364">
        <w:rPr>
          <w:rFonts w:ascii="Arial" w:hAnsi="Arial" w:cs="Arial"/>
        </w:rPr>
        <w:t xml:space="preserve"> </w:t>
      </w:r>
      <w:r w:rsidR="00F769AA" w:rsidRPr="00113364">
        <w:rPr>
          <w:rFonts w:ascii="Arial" w:hAnsi="Arial" w:cs="Arial"/>
        </w:rPr>
        <w:lastRenderedPageBreak/>
        <w:t>summarizes the data, concern</w:t>
      </w:r>
      <w:r w:rsidRPr="00113364">
        <w:rPr>
          <w:rFonts w:ascii="Arial" w:hAnsi="Arial" w:cs="Arial"/>
        </w:rPr>
        <w:t>,</w:t>
      </w:r>
      <w:r w:rsidR="00F769AA" w:rsidRPr="00113364">
        <w:rPr>
          <w:rFonts w:ascii="Arial" w:hAnsi="Arial" w:cs="Arial"/>
        </w:rPr>
        <w:t xml:space="preserve"> and need statement </w:t>
      </w:r>
      <w:r w:rsidRPr="00113364">
        <w:rPr>
          <w:rFonts w:ascii="Arial" w:hAnsi="Arial" w:cs="Arial"/>
        </w:rPr>
        <w:t>to increase ELP as measured on the ELPAC Summative Assessment.</w:t>
      </w:r>
    </w:p>
    <w:p w14:paraId="65996EA4" w14:textId="6DE2938F" w:rsidR="008B0200" w:rsidRPr="00113364" w:rsidRDefault="008B0200" w:rsidP="00FB34EF">
      <w:pPr>
        <w:pStyle w:val="Heading5"/>
        <w:spacing w:after="0"/>
        <w:rPr>
          <w:b/>
          <w:bCs/>
          <w:i w:val="0"/>
          <w:iCs/>
          <w:sz w:val="24"/>
        </w:rPr>
      </w:pPr>
      <w:bookmarkStart w:id="45" w:name="_Toc204755351"/>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15</w:t>
      </w:r>
      <w:r w:rsidR="00C46CA6" w:rsidRPr="00113364">
        <w:rPr>
          <w:b/>
          <w:bCs/>
          <w:i w:val="0"/>
          <w:iCs/>
          <w:noProof/>
          <w:sz w:val="24"/>
        </w:rPr>
        <w:fldChar w:fldCharType="end"/>
      </w:r>
      <w:r w:rsidRPr="00113364">
        <w:rPr>
          <w:b/>
          <w:bCs/>
          <w:i w:val="0"/>
          <w:iCs/>
          <w:sz w:val="24"/>
        </w:rPr>
        <w:t>. Data Summary, Concern Statement</w:t>
      </w:r>
      <w:r w:rsidR="00631351" w:rsidRPr="00113364">
        <w:rPr>
          <w:b/>
          <w:bCs/>
          <w:i w:val="0"/>
          <w:iCs/>
          <w:sz w:val="24"/>
        </w:rPr>
        <w:t>, and Need</w:t>
      </w:r>
      <w:r w:rsidRPr="00113364">
        <w:rPr>
          <w:b/>
          <w:bCs/>
          <w:i w:val="0"/>
          <w:iCs/>
          <w:sz w:val="24"/>
        </w:rPr>
        <w:t xml:space="preserve"> Statement for School Readiness: </w:t>
      </w:r>
      <w:r w:rsidR="005077A7" w:rsidRPr="00113364">
        <w:rPr>
          <w:b/>
          <w:bCs/>
          <w:i w:val="0"/>
          <w:iCs/>
          <w:sz w:val="24"/>
        </w:rPr>
        <w:t>English Language Proficiency</w:t>
      </w:r>
      <w:bookmarkEnd w:id="45"/>
    </w:p>
    <w:tbl>
      <w:tblPr>
        <w:tblStyle w:val="GridTable4-Accent1"/>
        <w:tblW w:w="0" w:type="auto"/>
        <w:tblLook w:val="0420" w:firstRow="1" w:lastRow="0" w:firstColumn="0" w:lastColumn="0" w:noHBand="0" w:noVBand="1"/>
        <w:tblDescription w:val="Data Summary, Concern Statement, and Need Statement for School Readiness: Primary and Secondary Language Development"/>
      </w:tblPr>
      <w:tblGrid>
        <w:gridCol w:w="4945"/>
        <w:gridCol w:w="2352"/>
        <w:gridCol w:w="2053"/>
      </w:tblGrid>
      <w:tr w:rsidR="00221841" w:rsidRPr="00113364" w14:paraId="77776856" w14:textId="77777777" w:rsidTr="001F08B0">
        <w:trPr>
          <w:cnfStyle w:val="100000000000" w:firstRow="1" w:lastRow="0" w:firstColumn="0" w:lastColumn="0" w:oddVBand="0" w:evenVBand="0" w:oddHBand="0" w:evenHBand="0" w:firstRowFirstColumn="0" w:firstRowLastColumn="0" w:lastRowFirstColumn="0" w:lastRowLastColumn="0"/>
          <w:cantSplit/>
          <w:tblHeader/>
        </w:trPr>
        <w:tc>
          <w:tcPr>
            <w:tcW w:w="4945" w:type="dxa"/>
            <w:tcBorders>
              <w:right w:val="single" w:sz="4" w:space="0" w:color="4472C4"/>
            </w:tcBorders>
            <w:shd w:val="clear" w:color="auto" w:fill="1F3864" w:themeFill="accent5" w:themeFillShade="80"/>
            <w:vAlign w:val="center"/>
          </w:tcPr>
          <w:p w14:paraId="75CAA889" w14:textId="77777777" w:rsidR="008F74DC" w:rsidRPr="00113364" w:rsidRDefault="0073568C" w:rsidP="00E53F38">
            <w:pPr>
              <w:jc w:val="center"/>
              <w:rPr>
                <w:rFonts w:ascii="Arial" w:hAnsi="Arial" w:cs="Arial"/>
                <w:b w:val="0"/>
                <w:bCs w:val="0"/>
                <w:color w:val="FFFFFF"/>
              </w:rPr>
            </w:pPr>
            <w:r w:rsidRPr="00113364">
              <w:rPr>
                <w:rFonts w:ascii="Arial" w:hAnsi="Arial" w:cs="Arial"/>
                <w:color w:val="FFFFFF"/>
              </w:rPr>
              <w:t>Data Summary:</w:t>
            </w:r>
            <w:r w:rsidR="005077A7" w:rsidRPr="00113364">
              <w:rPr>
                <w:rFonts w:ascii="Arial" w:hAnsi="Arial" w:cs="Arial"/>
                <w:color w:val="FFFFFF"/>
              </w:rPr>
              <w:t xml:space="preserve"> </w:t>
            </w:r>
          </w:p>
          <w:p w14:paraId="4A3664C4" w14:textId="2A210240" w:rsidR="00221841" w:rsidRPr="00113364" w:rsidRDefault="005077A7" w:rsidP="00E53F38">
            <w:pPr>
              <w:jc w:val="center"/>
              <w:rPr>
                <w:rFonts w:ascii="Arial" w:hAnsi="Arial" w:cs="Arial"/>
                <w:b w:val="0"/>
                <w:color w:val="FFFFFF"/>
              </w:rPr>
            </w:pPr>
            <w:r w:rsidRPr="00113364">
              <w:rPr>
                <w:rFonts w:ascii="Arial" w:hAnsi="Arial" w:cs="Arial"/>
                <w:color w:val="FFFFFF"/>
              </w:rPr>
              <w:t>2022–23 ELPAC Overall Standards</w:t>
            </w:r>
            <w:r w:rsidR="008F74DC" w:rsidRPr="00113364">
              <w:rPr>
                <w:rFonts w:ascii="Arial" w:hAnsi="Arial" w:cs="Arial"/>
                <w:color w:val="FFFFFF"/>
              </w:rPr>
              <w:t xml:space="preserve"> (Grade-specific Results)</w:t>
            </w:r>
          </w:p>
        </w:tc>
        <w:tc>
          <w:tcPr>
            <w:tcW w:w="2352" w:type="dxa"/>
            <w:tcBorders>
              <w:left w:val="single" w:sz="4" w:space="0" w:color="4472C4"/>
              <w:right w:val="single" w:sz="4" w:space="0" w:color="4472C4"/>
            </w:tcBorders>
            <w:shd w:val="clear" w:color="auto" w:fill="1F3864" w:themeFill="accent5" w:themeFillShade="80"/>
            <w:vAlign w:val="center"/>
          </w:tcPr>
          <w:p w14:paraId="23C48F38" w14:textId="77777777" w:rsidR="00221841" w:rsidRPr="00113364" w:rsidRDefault="00221841" w:rsidP="00E53F38">
            <w:pPr>
              <w:pStyle w:val="ListParagraph"/>
              <w:ind w:left="0"/>
              <w:jc w:val="center"/>
              <w:rPr>
                <w:rFonts w:ascii="Arial" w:hAnsi="Arial" w:cs="Arial"/>
                <w:color w:val="FFFFFF"/>
              </w:rPr>
            </w:pPr>
            <w:r w:rsidRPr="00113364">
              <w:rPr>
                <w:rFonts w:ascii="Arial" w:hAnsi="Arial" w:cs="Arial"/>
                <w:color w:val="FFFFFF"/>
              </w:rPr>
              <w:t>Concern Statement</w:t>
            </w:r>
          </w:p>
        </w:tc>
        <w:tc>
          <w:tcPr>
            <w:tcW w:w="2053" w:type="dxa"/>
            <w:tcBorders>
              <w:left w:val="single" w:sz="4" w:space="0" w:color="4472C4"/>
            </w:tcBorders>
            <w:shd w:val="clear" w:color="auto" w:fill="1F3864" w:themeFill="accent5" w:themeFillShade="80"/>
            <w:vAlign w:val="center"/>
          </w:tcPr>
          <w:p w14:paraId="46B70CEB" w14:textId="77777777" w:rsidR="00221841" w:rsidRPr="00113364" w:rsidRDefault="00221841" w:rsidP="00E53F38">
            <w:pPr>
              <w:pStyle w:val="ListParagraph"/>
              <w:ind w:left="0"/>
              <w:jc w:val="center"/>
              <w:rPr>
                <w:rFonts w:ascii="Arial" w:hAnsi="Arial" w:cs="Arial"/>
                <w:color w:val="FFFFFF"/>
              </w:rPr>
            </w:pPr>
            <w:r w:rsidRPr="00113364">
              <w:rPr>
                <w:rFonts w:ascii="Arial" w:hAnsi="Arial" w:cs="Arial"/>
                <w:color w:val="FFFFFF"/>
              </w:rPr>
              <w:t>Need Statement</w:t>
            </w:r>
          </w:p>
        </w:tc>
      </w:tr>
      <w:tr w:rsidR="00221841" w:rsidRPr="00113364" w14:paraId="6AA29FD9" w14:textId="77777777" w:rsidTr="001F08B0">
        <w:trPr>
          <w:cnfStyle w:val="000000100000" w:firstRow="0" w:lastRow="0" w:firstColumn="0" w:lastColumn="0" w:oddVBand="0" w:evenVBand="0" w:oddHBand="1" w:evenHBand="0" w:firstRowFirstColumn="0" w:firstRowLastColumn="0" w:lastRowFirstColumn="0" w:lastRowLastColumn="0"/>
          <w:cantSplit/>
          <w:trHeight w:val="251"/>
        </w:trPr>
        <w:tc>
          <w:tcPr>
            <w:tcW w:w="4945" w:type="dxa"/>
          </w:tcPr>
          <w:p w14:paraId="77FAB726" w14:textId="2C61716E" w:rsidR="005077A7" w:rsidRPr="00113364" w:rsidRDefault="005077A7">
            <w:pPr>
              <w:pStyle w:val="ListParagraph"/>
              <w:numPr>
                <w:ilvl w:val="0"/>
                <w:numId w:val="15"/>
              </w:numPr>
              <w:spacing w:after="120"/>
              <w:contextualSpacing w:val="0"/>
              <w:rPr>
                <w:rFonts w:ascii="Arial" w:hAnsi="Arial" w:cs="Arial"/>
              </w:rPr>
            </w:pPr>
            <w:r w:rsidRPr="00113364">
              <w:rPr>
                <w:rFonts w:ascii="Arial" w:hAnsi="Arial" w:cs="Arial"/>
                <w:b/>
                <w:bCs/>
              </w:rPr>
              <w:t>Migratory Students:</w:t>
            </w:r>
            <w:r w:rsidRPr="00113364">
              <w:rPr>
                <w:rFonts w:ascii="Arial" w:hAnsi="Arial" w:cs="Arial"/>
              </w:rPr>
              <w:t xml:space="preserve"> In 2022–23, 7.9 percent of migratory kindergarten students who were identified as E</w:t>
            </w:r>
            <w:r w:rsidR="00647276">
              <w:rPr>
                <w:rFonts w:ascii="Arial" w:hAnsi="Arial" w:cs="Arial"/>
              </w:rPr>
              <w:t>L</w:t>
            </w:r>
            <w:r w:rsidRPr="00113364">
              <w:rPr>
                <w:rFonts w:ascii="Arial" w:hAnsi="Arial" w:cs="Arial"/>
              </w:rPr>
              <w:t xml:space="preserve"> students were proficient on the ELPAC overall.</w:t>
            </w:r>
          </w:p>
          <w:p w14:paraId="2DF91059" w14:textId="3149592C" w:rsidR="00221841" w:rsidRPr="00113364" w:rsidRDefault="005077A7">
            <w:pPr>
              <w:pStyle w:val="ListParagraph"/>
              <w:numPr>
                <w:ilvl w:val="0"/>
                <w:numId w:val="15"/>
              </w:numPr>
              <w:spacing w:after="120"/>
              <w:contextualSpacing w:val="0"/>
              <w:rPr>
                <w:rFonts w:ascii="Arial" w:hAnsi="Arial" w:cs="Arial"/>
              </w:rPr>
            </w:pPr>
            <w:r w:rsidRPr="00113364">
              <w:rPr>
                <w:rFonts w:ascii="Arial" w:hAnsi="Arial" w:cs="Arial"/>
                <w:b/>
                <w:bCs/>
              </w:rPr>
              <w:t>All Students:</w:t>
            </w:r>
            <w:r w:rsidRPr="00113364">
              <w:rPr>
                <w:rFonts w:ascii="Arial" w:hAnsi="Arial" w:cs="Arial"/>
              </w:rPr>
              <w:t xml:space="preserve"> About 16 percent of all kindergarten students who were identified as E</w:t>
            </w:r>
            <w:r w:rsidR="00647276">
              <w:rPr>
                <w:rFonts w:ascii="Arial" w:hAnsi="Arial" w:cs="Arial"/>
              </w:rPr>
              <w:t>L</w:t>
            </w:r>
            <w:r w:rsidRPr="00113364">
              <w:rPr>
                <w:rFonts w:ascii="Arial" w:hAnsi="Arial" w:cs="Arial"/>
              </w:rPr>
              <w:t xml:space="preserve"> students were proficient on the ELPAC overall in 2022–23. </w:t>
            </w:r>
          </w:p>
        </w:tc>
        <w:tc>
          <w:tcPr>
            <w:tcW w:w="2352" w:type="dxa"/>
          </w:tcPr>
          <w:p w14:paraId="46F4ECB1" w14:textId="26DF6606" w:rsidR="00221841" w:rsidRPr="00113364" w:rsidRDefault="00CF33BB" w:rsidP="005308A7">
            <w:pPr>
              <w:spacing w:after="240"/>
              <w:rPr>
                <w:rFonts w:ascii="Arial" w:hAnsi="Arial" w:cs="Arial"/>
              </w:rPr>
            </w:pPr>
            <w:r w:rsidRPr="00113364">
              <w:rPr>
                <w:rFonts w:ascii="Arial" w:hAnsi="Arial" w:cs="Arial"/>
              </w:rPr>
              <w:t>We are concerned that in 2022–23, 7.9 percent of migratory kindergarten students scored at level 4 on the ELPAC overall.</w:t>
            </w:r>
          </w:p>
        </w:tc>
        <w:tc>
          <w:tcPr>
            <w:tcW w:w="2053" w:type="dxa"/>
          </w:tcPr>
          <w:p w14:paraId="3D290B48" w14:textId="36E6A238" w:rsidR="00221841" w:rsidRPr="00113364" w:rsidRDefault="00CF33BB" w:rsidP="005308A7">
            <w:pPr>
              <w:spacing w:after="240"/>
              <w:ind w:left="-80"/>
              <w:rPr>
                <w:rFonts w:ascii="Arial" w:hAnsi="Arial" w:cs="Arial"/>
              </w:rPr>
            </w:pPr>
            <w:r w:rsidRPr="00113364">
              <w:rPr>
                <w:rFonts w:ascii="Arial" w:hAnsi="Arial" w:cs="Arial"/>
              </w:rPr>
              <w:t>An additional 8.1 percent of migratory kindergarten students need to score at level 4 on the ELPAC overall proficiency</w:t>
            </w:r>
            <w:r w:rsidR="00221841" w:rsidRPr="00113364">
              <w:rPr>
                <w:rFonts w:ascii="Arial" w:hAnsi="Arial" w:cs="Arial"/>
              </w:rPr>
              <w:t>.</w:t>
            </w:r>
          </w:p>
        </w:tc>
      </w:tr>
    </w:tbl>
    <w:p w14:paraId="7E9FD2C7" w14:textId="65EEC4C3" w:rsidR="000323EE" w:rsidRPr="00113364" w:rsidRDefault="00371D63" w:rsidP="000323EE">
      <w:pPr>
        <w:spacing w:before="240" w:after="240"/>
        <w:rPr>
          <w:rFonts w:ascii="Arial" w:hAnsi="Arial" w:cs="Arial"/>
        </w:rPr>
      </w:pPr>
      <w:r w:rsidRPr="00113364">
        <w:rPr>
          <w:rFonts w:ascii="Arial" w:hAnsi="Arial" w:cs="Arial"/>
        </w:rPr>
        <w:t>Since</w:t>
      </w:r>
      <w:r w:rsidR="00EB6991">
        <w:rPr>
          <w:rFonts w:ascii="Arial" w:hAnsi="Arial" w:cs="Arial"/>
        </w:rPr>
        <w:t xml:space="preserve"> the data shows</w:t>
      </w:r>
      <w:r w:rsidRPr="00113364">
        <w:rPr>
          <w:rFonts w:ascii="Arial" w:hAnsi="Arial" w:cs="Arial"/>
        </w:rPr>
        <w:t xml:space="preserve"> there are opportunities to improve teaching and learning </w:t>
      </w:r>
      <w:r w:rsidR="00EB6991">
        <w:rPr>
          <w:rFonts w:ascii="Arial" w:hAnsi="Arial" w:cs="Arial"/>
        </w:rPr>
        <w:t>related to building students’ ELP for ELD</w:t>
      </w:r>
      <w:r w:rsidRPr="00113364">
        <w:rPr>
          <w:rFonts w:ascii="Arial" w:hAnsi="Arial" w:cs="Arial"/>
        </w:rPr>
        <w:t>, it</w:t>
      </w:r>
      <w:r w:rsidR="00647276">
        <w:rPr>
          <w:rFonts w:ascii="Arial" w:hAnsi="Arial" w:cs="Arial"/>
        </w:rPr>
        <w:t xml:space="preserve"> i</w:t>
      </w:r>
      <w:r w:rsidRPr="00113364">
        <w:rPr>
          <w:rFonts w:ascii="Arial" w:hAnsi="Arial" w:cs="Arial"/>
        </w:rPr>
        <w:t xml:space="preserve">s no surprise that similar opportunities would exist in </w:t>
      </w:r>
      <w:r w:rsidR="00D1219A">
        <w:rPr>
          <w:rFonts w:ascii="Arial" w:hAnsi="Arial" w:cs="Arial"/>
        </w:rPr>
        <w:t xml:space="preserve">enhancing </w:t>
      </w:r>
      <w:r w:rsidR="003415F9" w:rsidRPr="00113364">
        <w:rPr>
          <w:rFonts w:ascii="Arial" w:hAnsi="Arial" w:cs="Arial"/>
        </w:rPr>
        <w:t>school readiness</w:t>
      </w:r>
      <w:r w:rsidR="00D1219A">
        <w:rPr>
          <w:rFonts w:ascii="Arial" w:hAnsi="Arial" w:cs="Arial"/>
        </w:rPr>
        <w:t xml:space="preserve"> ELA instruction</w:t>
      </w:r>
      <w:r w:rsidRPr="00113364">
        <w:rPr>
          <w:rFonts w:ascii="Arial" w:hAnsi="Arial" w:cs="Arial"/>
        </w:rPr>
        <w:t xml:space="preserve">. </w:t>
      </w:r>
    </w:p>
    <w:p w14:paraId="7BDB27BD" w14:textId="4454A737" w:rsidR="006143B6" w:rsidRPr="00113364" w:rsidRDefault="005308A7" w:rsidP="00FB34EF">
      <w:pPr>
        <w:pStyle w:val="Heading4"/>
      </w:pPr>
      <w:r w:rsidRPr="00113364">
        <w:t>School Readiness Focus Area:</w:t>
      </w:r>
      <w:r w:rsidR="006143B6" w:rsidRPr="00113364">
        <w:t xml:space="preserve"> </w:t>
      </w:r>
      <w:r w:rsidRPr="00113364">
        <w:t>English Language Arts</w:t>
      </w:r>
    </w:p>
    <w:p w14:paraId="1B189BFF" w14:textId="481B07AE" w:rsidR="000323EE" w:rsidRPr="00113364" w:rsidRDefault="00371D63" w:rsidP="00FB34EF">
      <w:r w:rsidRPr="00113364">
        <w:rPr>
          <w:rFonts w:ascii="Arial" w:hAnsi="Arial" w:cs="Arial"/>
        </w:rPr>
        <w:t xml:space="preserve">In addition to overall ELP, the Committee finalized the second top concern and </w:t>
      </w:r>
      <w:proofErr w:type="gramStart"/>
      <w:r w:rsidRPr="00113364">
        <w:rPr>
          <w:rFonts w:ascii="Arial" w:hAnsi="Arial" w:cs="Arial"/>
        </w:rPr>
        <w:t>need</w:t>
      </w:r>
      <w:proofErr w:type="gramEnd"/>
      <w:r w:rsidRPr="00113364">
        <w:rPr>
          <w:rFonts w:ascii="Arial" w:hAnsi="Arial" w:cs="Arial"/>
        </w:rPr>
        <w:t xml:space="preserve"> statements for ELA after reviewing grade-specific data. Committee members focused on third grade ELA proficiency data. Reading was the claim with the largest achievement gap between migratory and all students. Table 1</w:t>
      </w:r>
      <w:r w:rsidR="00A41212">
        <w:rPr>
          <w:rFonts w:ascii="Arial" w:hAnsi="Arial" w:cs="Arial"/>
        </w:rPr>
        <w:t>6</w:t>
      </w:r>
      <w:r w:rsidRPr="00113364">
        <w:rPr>
          <w:rFonts w:ascii="Arial" w:hAnsi="Arial" w:cs="Arial"/>
        </w:rPr>
        <w:t xml:space="preserve"> identifies the key decisions for the committee’s concern that students enter school unprepared in ELA.</w:t>
      </w:r>
    </w:p>
    <w:p w14:paraId="21906AAF" w14:textId="2A2B3A34" w:rsidR="008B0200" w:rsidRPr="00113364" w:rsidRDefault="008B0200" w:rsidP="00FB34EF">
      <w:pPr>
        <w:pStyle w:val="Heading5"/>
        <w:spacing w:after="0"/>
        <w:rPr>
          <w:b/>
          <w:bCs/>
          <w:i w:val="0"/>
          <w:sz w:val="24"/>
        </w:rPr>
      </w:pPr>
      <w:bookmarkStart w:id="46" w:name="_Toc204755352"/>
      <w:r w:rsidRPr="00113364">
        <w:rPr>
          <w:b/>
          <w:bCs/>
          <w:i w:val="0"/>
          <w:sz w:val="24"/>
        </w:rPr>
        <w:t xml:space="preserve">Table </w:t>
      </w:r>
      <w:r w:rsidR="00C46CA6" w:rsidRPr="00113364">
        <w:rPr>
          <w:b/>
          <w:bCs/>
          <w:i w:val="0"/>
          <w:sz w:val="24"/>
        </w:rPr>
        <w:fldChar w:fldCharType="begin"/>
      </w:r>
      <w:r w:rsidR="00C46CA6" w:rsidRPr="00113364">
        <w:rPr>
          <w:b/>
          <w:bCs/>
          <w:i w:val="0"/>
          <w:sz w:val="24"/>
        </w:rPr>
        <w:instrText xml:space="preserve"> SEQ Table \* ARABIC </w:instrText>
      </w:r>
      <w:r w:rsidR="00C46CA6" w:rsidRPr="00113364">
        <w:rPr>
          <w:b/>
          <w:bCs/>
          <w:i w:val="0"/>
          <w:sz w:val="24"/>
        </w:rPr>
        <w:fldChar w:fldCharType="separate"/>
      </w:r>
      <w:r w:rsidR="001362A0">
        <w:rPr>
          <w:b/>
          <w:bCs/>
          <w:i w:val="0"/>
          <w:noProof/>
          <w:sz w:val="24"/>
        </w:rPr>
        <w:t>16</w:t>
      </w:r>
      <w:r w:rsidR="00C46CA6" w:rsidRPr="00113364">
        <w:rPr>
          <w:b/>
          <w:bCs/>
          <w:i w:val="0"/>
          <w:noProof/>
          <w:sz w:val="24"/>
        </w:rPr>
        <w:fldChar w:fldCharType="end"/>
      </w:r>
      <w:r w:rsidRPr="00113364">
        <w:rPr>
          <w:b/>
          <w:bCs/>
          <w:i w:val="0"/>
          <w:sz w:val="24"/>
        </w:rPr>
        <w:t>. Data Summary, Concern Statement</w:t>
      </w:r>
      <w:r w:rsidR="00631351" w:rsidRPr="00113364">
        <w:rPr>
          <w:b/>
          <w:bCs/>
          <w:i w:val="0"/>
          <w:sz w:val="24"/>
        </w:rPr>
        <w:t>, and Need</w:t>
      </w:r>
      <w:r w:rsidRPr="00113364">
        <w:rPr>
          <w:b/>
          <w:bCs/>
          <w:i w:val="0"/>
          <w:sz w:val="24"/>
        </w:rPr>
        <w:t xml:space="preserve"> Statement for School Readiness: </w:t>
      </w:r>
      <w:r w:rsidR="005308A7" w:rsidRPr="00113364">
        <w:rPr>
          <w:b/>
          <w:bCs/>
          <w:i w:val="0"/>
          <w:sz w:val="24"/>
        </w:rPr>
        <w:t>English Language Arts</w:t>
      </w:r>
      <w:bookmarkEnd w:id="46"/>
    </w:p>
    <w:tbl>
      <w:tblPr>
        <w:tblStyle w:val="GridTable4-Accent1"/>
        <w:tblpPr w:leftFromText="180" w:rightFromText="180" w:vertAnchor="text" w:horzAnchor="margin" w:tblpY="72"/>
        <w:tblW w:w="9576" w:type="dxa"/>
        <w:tblLook w:val="0420" w:firstRow="1" w:lastRow="0" w:firstColumn="0" w:lastColumn="0" w:noHBand="0" w:noVBand="1"/>
        <w:tblDescription w:val="Data Summary, Concern Statement, and Need Statement for School Readiness: Social Emotional Maturity"/>
      </w:tblPr>
      <w:tblGrid>
        <w:gridCol w:w="4405"/>
        <w:gridCol w:w="2520"/>
        <w:gridCol w:w="2651"/>
      </w:tblGrid>
      <w:tr w:rsidR="00371D63" w:rsidRPr="00113364" w14:paraId="2DCA75CD" w14:textId="77777777" w:rsidTr="0013448F">
        <w:trPr>
          <w:cnfStyle w:val="100000000000" w:firstRow="1" w:lastRow="0" w:firstColumn="0" w:lastColumn="0" w:oddVBand="0" w:evenVBand="0" w:oddHBand="0" w:evenHBand="0" w:firstRowFirstColumn="0" w:firstRowLastColumn="0" w:lastRowFirstColumn="0" w:lastRowLastColumn="0"/>
          <w:cantSplit/>
          <w:tblHeader/>
        </w:trPr>
        <w:tc>
          <w:tcPr>
            <w:tcW w:w="4405" w:type="dxa"/>
            <w:tcBorders>
              <w:right w:val="single" w:sz="4" w:space="0" w:color="4472C4"/>
            </w:tcBorders>
            <w:shd w:val="clear" w:color="auto" w:fill="1F3864" w:themeFill="accent5" w:themeFillShade="80"/>
            <w:vAlign w:val="center"/>
          </w:tcPr>
          <w:p w14:paraId="5E1833BD" w14:textId="77777777" w:rsidR="00371D63" w:rsidRPr="00113364" w:rsidRDefault="00371D63" w:rsidP="00371D63">
            <w:pPr>
              <w:jc w:val="center"/>
              <w:rPr>
                <w:rFonts w:ascii="Arial" w:hAnsi="Arial" w:cs="Arial"/>
                <w:b w:val="0"/>
                <w:color w:val="FFFFFF"/>
              </w:rPr>
            </w:pPr>
            <w:r w:rsidRPr="00113364">
              <w:rPr>
                <w:rFonts w:ascii="Arial" w:hAnsi="Arial" w:cs="Arial"/>
                <w:color w:val="FFFFFF"/>
              </w:rPr>
              <w:t>Data Summary:</w:t>
            </w:r>
          </w:p>
          <w:p w14:paraId="6185B0CD" w14:textId="77777777" w:rsidR="00371D63" w:rsidRPr="00113364" w:rsidRDefault="00371D63" w:rsidP="00371D63">
            <w:pPr>
              <w:jc w:val="center"/>
              <w:rPr>
                <w:rFonts w:ascii="Arial" w:hAnsi="Arial" w:cs="Arial"/>
                <w:color w:val="FFFFFF"/>
              </w:rPr>
            </w:pPr>
            <w:r w:rsidRPr="00113364">
              <w:rPr>
                <w:rFonts w:ascii="Arial" w:hAnsi="Arial" w:cs="Arial"/>
                <w:color w:val="FFFFFF"/>
              </w:rPr>
              <w:t>2022–23 CAASSP ELA Achievement</w:t>
            </w:r>
          </w:p>
        </w:tc>
        <w:tc>
          <w:tcPr>
            <w:tcW w:w="2520" w:type="dxa"/>
            <w:tcBorders>
              <w:left w:val="single" w:sz="4" w:space="0" w:color="4472C4"/>
              <w:right w:val="single" w:sz="4" w:space="0" w:color="4472C4"/>
            </w:tcBorders>
            <w:shd w:val="clear" w:color="auto" w:fill="1F3864" w:themeFill="accent5" w:themeFillShade="80"/>
            <w:vAlign w:val="center"/>
          </w:tcPr>
          <w:p w14:paraId="60DC8BD3" w14:textId="77777777" w:rsidR="00371D63" w:rsidRPr="00113364" w:rsidRDefault="00371D63" w:rsidP="00371D63">
            <w:pPr>
              <w:pStyle w:val="ListParagraph"/>
              <w:ind w:left="-18"/>
              <w:contextualSpacing w:val="0"/>
              <w:jc w:val="center"/>
              <w:rPr>
                <w:rFonts w:ascii="Arial" w:hAnsi="Arial" w:cs="Arial"/>
                <w:color w:val="FFFFFF"/>
              </w:rPr>
            </w:pPr>
            <w:r w:rsidRPr="00113364">
              <w:rPr>
                <w:rFonts w:ascii="Arial" w:hAnsi="Arial" w:cs="Arial"/>
                <w:color w:val="FFFFFF"/>
              </w:rPr>
              <w:t>Concern Statement</w:t>
            </w:r>
          </w:p>
        </w:tc>
        <w:tc>
          <w:tcPr>
            <w:tcW w:w="2651" w:type="dxa"/>
            <w:tcBorders>
              <w:left w:val="single" w:sz="4" w:space="0" w:color="4472C4"/>
            </w:tcBorders>
            <w:shd w:val="clear" w:color="auto" w:fill="1F3864" w:themeFill="accent5" w:themeFillShade="80"/>
            <w:vAlign w:val="center"/>
          </w:tcPr>
          <w:p w14:paraId="07ED1850" w14:textId="77777777" w:rsidR="00371D63" w:rsidRPr="00113364" w:rsidRDefault="00371D63" w:rsidP="00371D63">
            <w:pPr>
              <w:pStyle w:val="ListParagraph"/>
              <w:ind w:left="0"/>
              <w:jc w:val="center"/>
              <w:rPr>
                <w:rFonts w:ascii="Arial" w:hAnsi="Arial" w:cs="Arial"/>
                <w:color w:val="FFFFFF"/>
              </w:rPr>
            </w:pPr>
            <w:r w:rsidRPr="00113364">
              <w:rPr>
                <w:rFonts w:ascii="Arial" w:hAnsi="Arial" w:cs="Arial"/>
                <w:color w:val="FFFFFF"/>
              </w:rPr>
              <w:t>Need Statement</w:t>
            </w:r>
          </w:p>
        </w:tc>
      </w:tr>
      <w:tr w:rsidR="00371D63" w:rsidRPr="00113364" w14:paraId="0D045735" w14:textId="77777777" w:rsidTr="0013448F">
        <w:trPr>
          <w:cnfStyle w:val="000000100000" w:firstRow="0" w:lastRow="0" w:firstColumn="0" w:lastColumn="0" w:oddVBand="0" w:evenVBand="0" w:oddHBand="1" w:evenHBand="0" w:firstRowFirstColumn="0" w:firstRowLastColumn="0" w:lastRowFirstColumn="0" w:lastRowLastColumn="0"/>
          <w:cantSplit/>
          <w:trHeight w:val="512"/>
        </w:trPr>
        <w:tc>
          <w:tcPr>
            <w:tcW w:w="4405" w:type="dxa"/>
          </w:tcPr>
          <w:p w14:paraId="4B1610EA" w14:textId="77777777" w:rsidR="00371D63" w:rsidRPr="00113364" w:rsidRDefault="00371D63">
            <w:pPr>
              <w:pStyle w:val="ListParagraph"/>
              <w:numPr>
                <w:ilvl w:val="0"/>
                <w:numId w:val="15"/>
              </w:numPr>
              <w:spacing w:after="240"/>
              <w:contextualSpacing w:val="0"/>
              <w:rPr>
                <w:rFonts w:ascii="Arial" w:hAnsi="Arial" w:cs="Arial"/>
              </w:rPr>
            </w:pPr>
            <w:r w:rsidRPr="00113364">
              <w:rPr>
                <w:rFonts w:ascii="Arial" w:hAnsi="Arial" w:cs="Arial"/>
                <w:b/>
                <w:bCs/>
              </w:rPr>
              <w:t xml:space="preserve">Migratory Students: </w:t>
            </w:r>
            <w:r w:rsidRPr="00113364">
              <w:rPr>
                <w:rFonts w:ascii="Arial" w:hAnsi="Arial" w:cs="Arial"/>
              </w:rPr>
              <w:t>17 percent of migratory students were proficient in ELA by the end of third grade.</w:t>
            </w:r>
          </w:p>
          <w:p w14:paraId="2893B9E0" w14:textId="77777777" w:rsidR="00371D63" w:rsidRPr="00113364" w:rsidRDefault="00371D63">
            <w:pPr>
              <w:pStyle w:val="ListParagraph"/>
              <w:numPr>
                <w:ilvl w:val="0"/>
                <w:numId w:val="15"/>
              </w:numPr>
              <w:spacing w:line="259" w:lineRule="auto"/>
              <w:rPr>
                <w:rFonts w:ascii="Arial" w:hAnsi="Arial" w:cs="Arial"/>
              </w:rPr>
            </w:pPr>
            <w:r w:rsidRPr="00113364">
              <w:rPr>
                <w:rFonts w:ascii="Arial" w:hAnsi="Arial" w:cs="Arial"/>
                <w:b/>
                <w:bCs/>
              </w:rPr>
              <w:t xml:space="preserve">All Students: </w:t>
            </w:r>
            <w:r w:rsidRPr="00113364">
              <w:rPr>
                <w:rFonts w:ascii="Arial" w:hAnsi="Arial" w:cs="Arial"/>
              </w:rPr>
              <w:t>Just under 43 percent of all students were proficient in ELA by the end of third grade.</w:t>
            </w:r>
          </w:p>
        </w:tc>
        <w:tc>
          <w:tcPr>
            <w:tcW w:w="2520" w:type="dxa"/>
          </w:tcPr>
          <w:p w14:paraId="464E8A2F" w14:textId="53EE4C83" w:rsidR="00371D63" w:rsidRPr="00113364" w:rsidRDefault="00371D63" w:rsidP="0013448F">
            <w:pPr>
              <w:rPr>
                <w:rFonts w:ascii="Arial" w:hAnsi="Arial" w:cs="Arial"/>
              </w:rPr>
            </w:pPr>
            <w:r w:rsidRPr="00113364">
              <w:rPr>
                <w:rFonts w:ascii="Arial" w:hAnsi="Arial" w:cs="Arial"/>
              </w:rPr>
              <w:t xml:space="preserve">We are concerned that only 17 percent of migratory students scored proficient in ELA Smarter Balanced </w:t>
            </w:r>
            <w:r w:rsidR="0067693A" w:rsidRPr="00113364">
              <w:rPr>
                <w:rFonts w:ascii="Arial" w:hAnsi="Arial" w:cs="Arial"/>
              </w:rPr>
              <w:t>Summative A</w:t>
            </w:r>
            <w:r w:rsidRPr="00113364">
              <w:rPr>
                <w:rFonts w:ascii="Arial" w:hAnsi="Arial" w:cs="Arial"/>
              </w:rPr>
              <w:t>ssessment by the end of third grade.</w:t>
            </w:r>
          </w:p>
        </w:tc>
        <w:tc>
          <w:tcPr>
            <w:tcW w:w="2651" w:type="dxa"/>
          </w:tcPr>
          <w:p w14:paraId="4E1815AC" w14:textId="4A2D01B0" w:rsidR="00371D63" w:rsidRPr="00113364" w:rsidRDefault="00371D63" w:rsidP="00371D63">
            <w:pPr>
              <w:spacing w:after="240"/>
              <w:ind w:left="-14"/>
              <w:rPr>
                <w:rFonts w:ascii="Arial" w:hAnsi="Arial" w:cs="Arial"/>
              </w:rPr>
            </w:pPr>
            <w:r w:rsidRPr="00113364">
              <w:rPr>
                <w:rFonts w:ascii="Arial" w:hAnsi="Arial" w:cs="Arial"/>
              </w:rPr>
              <w:t xml:space="preserve">An additional 25.9 percent of third grade migratory students need to score proficient on the CAASPP ELA Smarter Balanced </w:t>
            </w:r>
            <w:r w:rsidR="0067693A" w:rsidRPr="00113364">
              <w:rPr>
                <w:rFonts w:ascii="Arial" w:hAnsi="Arial" w:cs="Arial"/>
              </w:rPr>
              <w:t>S</w:t>
            </w:r>
            <w:r w:rsidRPr="00113364">
              <w:rPr>
                <w:rFonts w:ascii="Arial" w:hAnsi="Arial" w:cs="Arial"/>
              </w:rPr>
              <w:t xml:space="preserve">ummative </w:t>
            </w:r>
            <w:r w:rsidR="0067693A" w:rsidRPr="00113364">
              <w:rPr>
                <w:rFonts w:ascii="Arial" w:hAnsi="Arial" w:cs="Arial"/>
              </w:rPr>
              <w:t>A</w:t>
            </w:r>
            <w:r w:rsidRPr="00113364">
              <w:rPr>
                <w:rFonts w:ascii="Arial" w:hAnsi="Arial" w:cs="Arial"/>
              </w:rPr>
              <w:t>ssessment.</w:t>
            </w:r>
          </w:p>
        </w:tc>
      </w:tr>
    </w:tbl>
    <w:p w14:paraId="7340002A" w14:textId="4F7B83CA" w:rsidR="00371D63" w:rsidRPr="00113364" w:rsidRDefault="001F54D1" w:rsidP="00371D63">
      <w:pPr>
        <w:spacing w:before="240"/>
      </w:pPr>
      <w:r w:rsidRPr="00113364">
        <w:rPr>
          <w:rFonts w:ascii="Arial" w:hAnsi="Arial" w:cs="Arial"/>
        </w:rPr>
        <w:lastRenderedPageBreak/>
        <w:t xml:space="preserve">Both ELA and </w:t>
      </w:r>
      <w:r w:rsidR="00E7492F" w:rsidRPr="00113364">
        <w:rPr>
          <w:rFonts w:ascii="Arial" w:hAnsi="Arial" w:cs="Arial"/>
        </w:rPr>
        <w:t>mathematics</w:t>
      </w:r>
      <w:r w:rsidR="00371D63" w:rsidRPr="00113364">
        <w:rPr>
          <w:rFonts w:ascii="Arial" w:hAnsi="Arial" w:cs="Arial"/>
        </w:rPr>
        <w:t xml:space="preserve"> knowledge and skills are important aspect</w:t>
      </w:r>
      <w:r w:rsidRPr="00113364">
        <w:rPr>
          <w:rFonts w:ascii="Arial" w:hAnsi="Arial" w:cs="Arial"/>
        </w:rPr>
        <w:t>s</w:t>
      </w:r>
      <w:r w:rsidR="00371D63" w:rsidRPr="00113364">
        <w:rPr>
          <w:rFonts w:ascii="Arial" w:hAnsi="Arial" w:cs="Arial"/>
        </w:rPr>
        <w:t xml:space="preserve"> of early learning. A large achievement gap on overall </w:t>
      </w:r>
      <w:r w:rsidR="00E7492F" w:rsidRPr="00113364">
        <w:rPr>
          <w:rFonts w:ascii="Arial" w:hAnsi="Arial" w:cs="Arial"/>
        </w:rPr>
        <w:t>mathematics</w:t>
      </w:r>
      <w:r w:rsidR="00371D63" w:rsidRPr="00113364">
        <w:rPr>
          <w:rFonts w:ascii="Arial" w:hAnsi="Arial" w:cs="Arial"/>
        </w:rPr>
        <w:t xml:space="preserve"> achievement between migratory and all student at the end of third grade in 2022–23 propelled the committee to add </w:t>
      </w:r>
      <w:r w:rsidR="00E7492F" w:rsidRPr="00113364">
        <w:rPr>
          <w:rFonts w:ascii="Arial" w:hAnsi="Arial" w:cs="Arial"/>
        </w:rPr>
        <w:t>mathematics</w:t>
      </w:r>
      <w:r w:rsidR="00BD1A64" w:rsidRPr="00113364">
        <w:rPr>
          <w:rFonts w:ascii="Arial" w:hAnsi="Arial" w:cs="Arial"/>
        </w:rPr>
        <w:t xml:space="preserve"> as a focus to the School Readiness focus area. </w:t>
      </w:r>
    </w:p>
    <w:p w14:paraId="12A3DB8E" w14:textId="6EB78845" w:rsidR="005308A7" w:rsidRPr="00113364" w:rsidRDefault="005308A7" w:rsidP="00FB34EF">
      <w:pPr>
        <w:pStyle w:val="Heading4"/>
      </w:pPr>
      <w:r w:rsidRPr="00113364">
        <w:t>School Readiness Focus Area: Mathematics</w:t>
      </w:r>
    </w:p>
    <w:p w14:paraId="05447445" w14:textId="09E11B1B" w:rsidR="00BF5503" w:rsidRPr="00113364" w:rsidRDefault="00BF5503" w:rsidP="00BF5503">
      <w:pPr>
        <w:spacing w:after="240"/>
        <w:rPr>
          <w:rFonts w:ascii="Arial" w:hAnsi="Arial" w:cs="Arial"/>
        </w:rPr>
      </w:pPr>
      <w:r w:rsidRPr="00113364">
        <w:rPr>
          <w:rFonts w:ascii="Arial" w:hAnsi="Arial" w:cs="Arial"/>
        </w:rPr>
        <w:t>The third area of concern for the CNA SDP Committee</w:t>
      </w:r>
      <w:r w:rsidR="0067693A" w:rsidRPr="00113364">
        <w:rPr>
          <w:rFonts w:ascii="Arial" w:hAnsi="Arial" w:cs="Arial"/>
        </w:rPr>
        <w:t xml:space="preserve"> within the School Readiness focus area is Mathematics. As noted previously, research shows the benefits of early, high-quality services to support students’ mathematical foundation as </w:t>
      </w:r>
      <w:r w:rsidR="0078677C" w:rsidRPr="00113364">
        <w:rPr>
          <w:rFonts w:ascii="Arial" w:hAnsi="Arial" w:cs="Arial"/>
        </w:rPr>
        <w:t>P</w:t>
      </w:r>
      <w:r w:rsidR="0067693A" w:rsidRPr="00113364">
        <w:rPr>
          <w:rFonts w:ascii="Arial" w:hAnsi="Arial" w:cs="Arial"/>
        </w:rPr>
        <w:t>reK and TK grades have specific</w:t>
      </w:r>
      <w:r w:rsidR="0050221A" w:rsidRPr="00113364">
        <w:rPr>
          <w:rFonts w:ascii="Arial" w:hAnsi="Arial" w:cs="Arial"/>
        </w:rPr>
        <w:t xml:space="preserve"> age</w:t>
      </w:r>
      <w:r w:rsidR="0067693A" w:rsidRPr="00113364">
        <w:rPr>
          <w:rFonts w:ascii="Arial" w:hAnsi="Arial" w:cs="Arial"/>
        </w:rPr>
        <w:t xml:space="preserve"> </w:t>
      </w:r>
      <w:r w:rsidR="00EA435D" w:rsidRPr="00113364">
        <w:rPr>
          <w:rFonts w:ascii="Arial" w:hAnsi="Arial" w:cs="Arial"/>
        </w:rPr>
        <w:t xml:space="preserve">knowledge and skills that are </w:t>
      </w:r>
      <w:r w:rsidR="0067693A" w:rsidRPr="00113364">
        <w:rPr>
          <w:rFonts w:ascii="Arial" w:hAnsi="Arial" w:cs="Arial"/>
        </w:rPr>
        <w:t xml:space="preserve">targets in various content areas as outlined in the </w:t>
      </w:r>
      <w:hyperlink r:id="rId27" w:history="1">
        <w:r w:rsidR="0067693A" w:rsidRPr="00113364">
          <w:rPr>
            <w:rStyle w:val="Hyperlink"/>
            <w:rFonts w:ascii="Arial" w:hAnsi="Arial" w:cs="Arial"/>
          </w:rPr>
          <w:t>California Preschool/Transitional Kindergarten Learning Foundations</w:t>
        </w:r>
      </w:hyperlink>
      <w:r w:rsidR="00B94425" w:rsidRPr="00113364">
        <w:rPr>
          <w:rFonts w:ascii="Arial" w:hAnsi="Arial" w:cs="Arial"/>
        </w:rPr>
        <w:t xml:space="preserve">. </w:t>
      </w:r>
      <w:r w:rsidR="001F54D1" w:rsidRPr="00113364">
        <w:rPr>
          <w:rFonts w:ascii="Arial" w:hAnsi="Arial" w:cs="Arial"/>
        </w:rPr>
        <w:t>Table 1</w:t>
      </w:r>
      <w:r w:rsidR="00A41212">
        <w:rPr>
          <w:rFonts w:ascii="Arial" w:hAnsi="Arial" w:cs="Arial"/>
        </w:rPr>
        <w:t>7</w:t>
      </w:r>
      <w:r w:rsidR="001F54D1" w:rsidRPr="00113364">
        <w:rPr>
          <w:rFonts w:ascii="Arial" w:hAnsi="Arial" w:cs="Arial"/>
        </w:rPr>
        <w:t xml:space="preserve"> notes the data summary supporting both the concern and need statement for addressing mathematical needs for early learning.</w:t>
      </w:r>
      <w:r w:rsidR="0067693A" w:rsidRPr="00113364">
        <w:rPr>
          <w:rFonts w:ascii="Arial" w:hAnsi="Arial" w:cs="Arial"/>
        </w:rPr>
        <w:t xml:space="preserve"> </w:t>
      </w:r>
    </w:p>
    <w:p w14:paraId="332A8A83" w14:textId="7897C3FA" w:rsidR="005308A7" w:rsidRPr="00113364" w:rsidRDefault="005308A7" w:rsidP="00FB34EF">
      <w:pPr>
        <w:pStyle w:val="Heading5"/>
        <w:spacing w:after="0"/>
        <w:rPr>
          <w:b/>
          <w:bCs/>
          <w:i w:val="0"/>
          <w:iCs/>
          <w:sz w:val="24"/>
        </w:rPr>
      </w:pPr>
      <w:bookmarkStart w:id="47" w:name="_Toc204755353"/>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17</w:t>
      </w:r>
      <w:r w:rsidR="00C46CA6" w:rsidRPr="00113364">
        <w:rPr>
          <w:b/>
          <w:bCs/>
          <w:i w:val="0"/>
          <w:iCs/>
          <w:noProof/>
          <w:sz w:val="24"/>
        </w:rPr>
        <w:fldChar w:fldCharType="end"/>
      </w:r>
      <w:r w:rsidRPr="00113364">
        <w:rPr>
          <w:b/>
          <w:bCs/>
          <w:i w:val="0"/>
          <w:iCs/>
          <w:sz w:val="24"/>
        </w:rPr>
        <w:t>. Data Summary, Concern Statement, and Need Statement for School Readiness: Mathematics</w:t>
      </w:r>
      <w:bookmarkEnd w:id="47"/>
    </w:p>
    <w:tbl>
      <w:tblPr>
        <w:tblStyle w:val="GridTable4-Accent1"/>
        <w:tblW w:w="9576" w:type="dxa"/>
        <w:tblLook w:val="0420" w:firstRow="1" w:lastRow="0" w:firstColumn="0" w:lastColumn="0" w:noHBand="0" w:noVBand="1"/>
        <w:tblDescription w:val="Data Summary, Concern Statement, and Need Statement for School Readiness: Social Emotional Maturity"/>
      </w:tblPr>
      <w:tblGrid>
        <w:gridCol w:w="4045"/>
        <w:gridCol w:w="2790"/>
        <w:gridCol w:w="2741"/>
      </w:tblGrid>
      <w:tr w:rsidR="005308A7" w:rsidRPr="00113364" w14:paraId="15D98F8E" w14:textId="77777777" w:rsidTr="00371D63">
        <w:trPr>
          <w:cnfStyle w:val="100000000000" w:firstRow="1" w:lastRow="0" w:firstColumn="0" w:lastColumn="0" w:oddVBand="0" w:evenVBand="0" w:oddHBand="0" w:evenHBand="0" w:firstRowFirstColumn="0" w:firstRowLastColumn="0" w:lastRowFirstColumn="0" w:lastRowLastColumn="0"/>
          <w:cantSplit/>
          <w:tblHeader/>
        </w:trPr>
        <w:tc>
          <w:tcPr>
            <w:tcW w:w="4045" w:type="dxa"/>
            <w:tcBorders>
              <w:right w:val="single" w:sz="4" w:space="0" w:color="4472C4"/>
            </w:tcBorders>
            <w:shd w:val="clear" w:color="auto" w:fill="1F3864" w:themeFill="accent5" w:themeFillShade="80"/>
            <w:vAlign w:val="center"/>
          </w:tcPr>
          <w:p w14:paraId="0E397A05" w14:textId="282D3DA7" w:rsidR="008F74DC" w:rsidRPr="00113364" w:rsidRDefault="005308A7" w:rsidP="008F74DC">
            <w:pPr>
              <w:jc w:val="center"/>
              <w:rPr>
                <w:rFonts w:ascii="Arial" w:hAnsi="Arial" w:cs="Arial"/>
                <w:b w:val="0"/>
                <w:color w:val="FFFFFF"/>
              </w:rPr>
            </w:pPr>
            <w:r w:rsidRPr="00113364">
              <w:rPr>
                <w:rFonts w:ascii="Arial" w:hAnsi="Arial" w:cs="Arial"/>
                <w:color w:val="FFFFFF"/>
              </w:rPr>
              <w:t>Data Summary:</w:t>
            </w:r>
          </w:p>
          <w:p w14:paraId="51BF3EC8" w14:textId="3A870DD4" w:rsidR="005308A7" w:rsidRPr="00113364" w:rsidRDefault="008F74DC" w:rsidP="008F74DC">
            <w:pPr>
              <w:jc w:val="center"/>
              <w:rPr>
                <w:rFonts w:ascii="Arial" w:hAnsi="Arial" w:cs="Arial"/>
                <w:color w:val="FFFFFF"/>
              </w:rPr>
            </w:pPr>
            <w:r w:rsidRPr="00113364">
              <w:rPr>
                <w:rFonts w:ascii="Arial" w:hAnsi="Arial" w:cs="Arial"/>
                <w:color w:val="FFFFFF"/>
              </w:rPr>
              <w:t xml:space="preserve">2022–23 CAASSP </w:t>
            </w:r>
            <w:r w:rsidR="00E7492F" w:rsidRPr="00113364">
              <w:rPr>
                <w:rFonts w:ascii="Arial" w:hAnsi="Arial" w:cs="Arial"/>
                <w:color w:val="FFFFFF"/>
              </w:rPr>
              <w:t>Mathematics</w:t>
            </w:r>
            <w:r w:rsidRPr="00113364">
              <w:rPr>
                <w:rFonts w:ascii="Arial" w:hAnsi="Arial" w:cs="Arial"/>
                <w:color w:val="FFFFFF"/>
              </w:rPr>
              <w:t xml:space="preserve"> Achievement</w:t>
            </w:r>
          </w:p>
        </w:tc>
        <w:tc>
          <w:tcPr>
            <w:tcW w:w="2790" w:type="dxa"/>
            <w:tcBorders>
              <w:left w:val="single" w:sz="4" w:space="0" w:color="4472C4"/>
              <w:right w:val="single" w:sz="4" w:space="0" w:color="4472C4"/>
            </w:tcBorders>
            <w:shd w:val="clear" w:color="auto" w:fill="1F3864" w:themeFill="accent5" w:themeFillShade="80"/>
            <w:vAlign w:val="center"/>
          </w:tcPr>
          <w:p w14:paraId="30D84F22" w14:textId="77777777" w:rsidR="005308A7" w:rsidRPr="00113364" w:rsidRDefault="005308A7" w:rsidP="00EB4984">
            <w:pPr>
              <w:pStyle w:val="ListParagraph"/>
              <w:ind w:left="-18"/>
              <w:contextualSpacing w:val="0"/>
              <w:jc w:val="center"/>
              <w:rPr>
                <w:rFonts w:ascii="Arial" w:hAnsi="Arial" w:cs="Arial"/>
                <w:color w:val="FFFFFF"/>
              </w:rPr>
            </w:pPr>
            <w:r w:rsidRPr="00113364">
              <w:rPr>
                <w:rFonts w:ascii="Arial" w:hAnsi="Arial" w:cs="Arial"/>
                <w:color w:val="FFFFFF"/>
              </w:rPr>
              <w:t>Concern Statement</w:t>
            </w:r>
          </w:p>
        </w:tc>
        <w:tc>
          <w:tcPr>
            <w:tcW w:w="2741" w:type="dxa"/>
            <w:tcBorders>
              <w:left w:val="single" w:sz="4" w:space="0" w:color="4472C4"/>
            </w:tcBorders>
            <w:shd w:val="clear" w:color="auto" w:fill="1F3864" w:themeFill="accent5" w:themeFillShade="80"/>
            <w:vAlign w:val="center"/>
          </w:tcPr>
          <w:p w14:paraId="756098F9" w14:textId="77777777" w:rsidR="005308A7" w:rsidRPr="00113364" w:rsidRDefault="005308A7" w:rsidP="00EB4984">
            <w:pPr>
              <w:pStyle w:val="ListParagraph"/>
              <w:ind w:left="0"/>
              <w:jc w:val="center"/>
              <w:rPr>
                <w:rFonts w:ascii="Arial" w:hAnsi="Arial" w:cs="Arial"/>
                <w:color w:val="FFFFFF"/>
              </w:rPr>
            </w:pPr>
            <w:r w:rsidRPr="00113364">
              <w:rPr>
                <w:rFonts w:ascii="Arial" w:hAnsi="Arial" w:cs="Arial"/>
                <w:color w:val="FFFFFF"/>
              </w:rPr>
              <w:t>Need Statement</w:t>
            </w:r>
          </w:p>
        </w:tc>
      </w:tr>
      <w:tr w:rsidR="005308A7" w:rsidRPr="00113364" w14:paraId="2F5D5818" w14:textId="77777777" w:rsidTr="00371D63">
        <w:trPr>
          <w:cnfStyle w:val="000000100000" w:firstRow="0" w:lastRow="0" w:firstColumn="0" w:lastColumn="0" w:oddVBand="0" w:evenVBand="0" w:oddHBand="1" w:evenHBand="0" w:firstRowFirstColumn="0" w:firstRowLastColumn="0" w:lastRowFirstColumn="0" w:lastRowLastColumn="0"/>
          <w:cantSplit/>
          <w:trHeight w:val="512"/>
        </w:trPr>
        <w:tc>
          <w:tcPr>
            <w:tcW w:w="4045" w:type="dxa"/>
          </w:tcPr>
          <w:p w14:paraId="774D2384" w14:textId="3785BDCC" w:rsidR="008F74DC" w:rsidRPr="00113364" w:rsidRDefault="007B6213">
            <w:pPr>
              <w:pStyle w:val="ListParagraph"/>
              <w:numPr>
                <w:ilvl w:val="0"/>
                <w:numId w:val="15"/>
              </w:numPr>
              <w:spacing w:after="240"/>
              <w:contextualSpacing w:val="0"/>
              <w:rPr>
                <w:rFonts w:ascii="Arial" w:hAnsi="Arial" w:cs="Arial"/>
              </w:rPr>
            </w:pPr>
            <w:r w:rsidRPr="00113364">
              <w:rPr>
                <w:rFonts w:ascii="Arial" w:hAnsi="Arial" w:cs="Arial"/>
                <w:b/>
                <w:bCs/>
              </w:rPr>
              <w:t>Migratory Students:</w:t>
            </w:r>
            <w:r w:rsidRPr="00113364">
              <w:rPr>
                <w:rFonts w:ascii="Arial" w:hAnsi="Arial" w:cs="Arial"/>
              </w:rPr>
              <w:t xml:space="preserve"> 21</w:t>
            </w:r>
            <w:r w:rsidR="008F74DC" w:rsidRPr="00113364">
              <w:rPr>
                <w:rFonts w:ascii="Arial" w:hAnsi="Arial" w:cs="Arial"/>
              </w:rPr>
              <w:t xml:space="preserve"> percent of migratory students were proficient in </w:t>
            </w:r>
            <w:r w:rsidR="00E7492F" w:rsidRPr="00113364">
              <w:rPr>
                <w:rFonts w:ascii="Arial" w:hAnsi="Arial" w:cs="Arial"/>
              </w:rPr>
              <w:t>mathematics</w:t>
            </w:r>
            <w:r w:rsidR="008F74DC" w:rsidRPr="00113364">
              <w:rPr>
                <w:rFonts w:ascii="Arial" w:hAnsi="Arial" w:cs="Arial"/>
              </w:rPr>
              <w:t xml:space="preserve"> by the end of third grade.</w:t>
            </w:r>
          </w:p>
          <w:p w14:paraId="7BED8C60" w14:textId="44D08F86" w:rsidR="005308A7" w:rsidRPr="00113364" w:rsidRDefault="007B6213">
            <w:pPr>
              <w:pStyle w:val="ListParagraph"/>
              <w:numPr>
                <w:ilvl w:val="0"/>
                <w:numId w:val="15"/>
              </w:numPr>
              <w:spacing w:after="240"/>
              <w:contextualSpacing w:val="0"/>
              <w:rPr>
                <w:rFonts w:ascii="Arial" w:hAnsi="Arial" w:cs="Arial"/>
              </w:rPr>
            </w:pPr>
            <w:r w:rsidRPr="00113364">
              <w:rPr>
                <w:rFonts w:ascii="Arial" w:hAnsi="Arial" w:cs="Arial"/>
                <w:b/>
                <w:bCs/>
              </w:rPr>
              <w:t xml:space="preserve">All Students: </w:t>
            </w:r>
            <w:r w:rsidRPr="00113364">
              <w:rPr>
                <w:rFonts w:ascii="Arial" w:hAnsi="Arial" w:cs="Arial"/>
              </w:rPr>
              <w:t>45</w:t>
            </w:r>
            <w:r w:rsidR="008F74DC" w:rsidRPr="00113364">
              <w:rPr>
                <w:rFonts w:ascii="Arial" w:hAnsi="Arial" w:cs="Arial"/>
              </w:rPr>
              <w:t xml:space="preserve"> percent of all students were proficient in </w:t>
            </w:r>
            <w:r w:rsidR="00E7492F" w:rsidRPr="00113364">
              <w:rPr>
                <w:rFonts w:ascii="Arial" w:hAnsi="Arial" w:cs="Arial"/>
              </w:rPr>
              <w:t>mathematics</w:t>
            </w:r>
            <w:r w:rsidR="008F74DC" w:rsidRPr="00113364">
              <w:rPr>
                <w:rFonts w:ascii="Arial" w:hAnsi="Arial" w:cs="Arial"/>
              </w:rPr>
              <w:t xml:space="preserve"> by the end of third grade.</w:t>
            </w:r>
          </w:p>
        </w:tc>
        <w:tc>
          <w:tcPr>
            <w:tcW w:w="2790" w:type="dxa"/>
          </w:tcPr>
          <w:p w14:paraId="632F2B72" w14:textId="2F8CA8A0" w:rsidR="005308A7" w:rsidRPr="00113364" w:rsidRDefault="008F74DC" w:rsidP="008F74DC">
            <w:pPr>
              <w:spacing w:after="240"/>
              <w:rPr>
                <w:rFonts w:ascii="Arial" w:hAnsi="Arial" w:cs="Arial"/>
              </w:rPr>
            </w:pPr>
            <w:r w:rsidRPr="00113364">
              <w:rPr>
                <w:rFonts w:ascii="Arial" w:hAnsi="Arial" w:cs="Arial"/>
              </w:rPr>
              <w:t xml:space="preserve">We are concerned that only 21 percent of migratory students scored proficient </w:t>
            </w:r>
            <w:proofErr w:type="gramStart"/>
            <w:r w:rsidRPr="00113364">
              <w:rPr>
                <w:rFonts w:ascii="Arial" w:hAnsi="Arial" w:cs="Arial"/>
              </w:rPr>
              <w:t>on</w:t>
            </w:r>
            <w:proofErr w:type="gramEnd"/>
            <w:r w:rsidRPr="00113364">
              <w:rPr>
                <w:rFonts w:ascii="Arial" w:hAnsi="Arial" w:cs="Arial"/>
              </w:rPr>
              <w:t xml:space="preserve"> </w:t>
            </w:r>
            <w:proofErr w:type="gramStart"/>
            <w:r w:rsidRPr="00113364">
              <w:rPr>
                <w:rFonts w:ascii="Arial" w:hAnsi="Arial" w:cs="Arial"/>
              </w:rPr>
              <w:t xml:space="preserve">the </w:t>
            </w:r>
            <w:r w:rsidR="00E7492F" w:rsidRPr="00113364">
              <w:rPr>
                <w:rFonts w:ascii="Arial" w:hAnsi="Arial" w:cs="Arial"/>
              </w:rPr>
              <w:t>mathematics</w:t>
            </w:r>
            <w:proofErr w:type="gramEnd"/>
            <w:r w:rsidRPr="00113364">
              <w:rPr>
                <w:rFonts w:ascii="Arial" w:hAnsi="Arial" w:cs="Arial"/>
              </w:rPr>
              <w:t xml:space="preserve"> Smarter Balanced </w:t>
            </w:r>
            <w:r w:rsidR="00AD0D2B" w:rsidRPr="00113364">
              <w:rPr>
                <w:rFonts w:ascii="Arial" w:hAnsi="Arial" w:cs="Arial"/>
              </w:rPr>
              <w:t>Summative A</w:t>
            </w:r>
            <w:r w:rsidRPr="00113364">
              <w:rPr>
                <w:rFonts w:ascii="Arial" w:hAnsi="Arial" w:cs="Arial"/>
              </w:rPr>
              <w:t>ssessment by the end of third grade.</w:t>
            </w:r>
          </w:p>
        </w:tc>
        <w:tc>
          <w:tcPr>
            <w:tcW w:w="2741" w:type="dxa"/>
          </w:tcPr>
          <w:p w14:paraId="23A295E6" w14:textId="0C271053" w:rsidR="005308A7" w:rsidRPr="00113364" w:rsidRDefault="008F74DC" w:rsidP="008F74DC">
            <w:pPr>
              <w:spacing w:after="240"/>
              <w:ind w:left="-14"/>
              <w:rPr>
                <w:rFonts w:ascii="Arial" w:hAnsi="Arial" w:cs="Arial"/>
              </w:rPr>
            </w:pPr>
            <w:r w:rsidRPr="00113364">
              <w:rPr>
                <w:rFonts w:ascii="Arial" w:hAnsi="Arial" w:cs="Arial"/>
              </w:rPr>
              <w:t xml:space="preserve">An additional 24.1 percent of migratory students need to score proficient </w:t>
            </w:r>
            <w:proofErr w:type="gramStart"/>
            <w:r w:rsidRPr="00113364">
              <w:rPr>
                <w:rFonts w:ascii="Arial" w:hAnsi="Arial" w:cs="Arial"/>
              </w:rPr>
              <w:t>on</w:t>
            </w:r>
            <w:proofErr w:type="gramEnd"/>
            <w:r w:rsidRPr="00113364">
              <w:rPr>
                <w:rFonts w:ascii="Arial" w:hAnsi="Arial" w:cs="Arial"/>
              </w:rPr>
              <w:t xml:space="preserve"> the </w:t>
            </w:r>
            <w:r w:rsidR="00E7492F" w:rsidRPr="00113364">
              <w:rPr>
                <w:rFonts w:ascii="Arial" w:hAnsi="Arial" w:cs="Arial"/>
              </w:rPr>
              <w:t>mathematics</w:t>
            </w:r>
            <w:r w:rsidRPr="00113364">
              <w:rPr>
                <w:rFonts w:ascii="Arial" w:hAnsi="Arial" w:cs="Arial"/>
              </w:rPr>
              <w:t xml:space="preserve"> Smarter Balanced </w:t>
            </w:r>
            <w:r w:rsidR="00AD0D2B" w:rsidRPr="00113364">
              <w:rPr>
                <w:rFonts w:ascii="Arial" w:hAnsi="Arial" w:cs="Arial"/>
              </w:rPr>
              <w:t>S</w:t>
            </w:r>
            <w:r w:rsidRPr="00113364">
              <w:rPr>
                <w:rFonts w:ascii="Arial" w:hAnsi="Arial" w:cs="Arial"/>
              </w:rPr>
              <w:t xml:space="preserve">ummative </w:t>
            </w:r>
            <w:r w:rsidR="00AD0D2B" w:rsidRPr="00113364">
              <w:rPr>
                <w:rFonts w:ascii="Arial" w:hAnsi="Arial" w:cs="Arial"/>
              </w:rPr>
              <w:t>A</w:t>
            </w:r>
            <w:r w:rsidRPr="00113364">
              <w:rPr>
                <w:rFonts w:ascii="Arial" w:hAnsi="Arial" w:cs="Arial"/>
              </w:rPr>
              <w:t>ssessment by the end of third grade.</w:t>
            </w:r>
          </w:p>
        </w:tc>
      </w:tr>
    </w:tbl>
    <w:p w14:paraId="4660C13D" w14:textId="7474F81C" w:rsidR="00BD1A64" w:rsidRPr="00113364" w:rsidRDefault="00BD1A64" w:rsidP="00BD1A64">
      <w:pPr>
        <w:spacing w:before="240" w:after="240"/>
        <w:rPr>
          <w:rFonts w:ascii="Arial" w:hAnsi="Arial" w:cs="Arial"/>
        </w:rPr>
      </w:pPr>
      <w:r w:rsidRPr="00113364">
        <w:rPr>
          <w:rFonts w:ascii="Arial" w:hAnsi="Arial" w:cs="Arial"/>
        </w:rPr>
        <w:t xml:space="preserve">Strategies for the three needs for the School Readiness focus area (i.e., increase ELP, improve ELA proficiency, and expand </w:t>
      </w:r>
      <w:r w:rsidR="00E7492F" w:rsidRPr="00113364">
        <w:rPr>
          <w:rFonts w:ascii="Arial" w:hAnsi="Arial" w:cs="Arial"/>
        </w:rPr>
        <w:t>mathematics</w:t>
      </w:r>
      <w:r w:rsidRPr="00113364">
        <w:rPr>
          <w:rFonts w:ascii="Arial" w:hAnsi="Arial" w:cs="Arial"/>
        </w:rPr>
        <w:t xml:space="preserve"> proficiency) will be listed in Section III. Even though there are three needs, </w:t>
      </w:r>
      <w:r w:rsidR="0013448F" w:rsidRPr="00113364">
        <w:rPr>
          <w:rFonts w:ascii="Arial" w:hAnsi="Arial" w:cs="Arial"/>
        </w:rPr>
        <w:t>all</w:t>
      </w:r>
      <w:r w:rsidRPr="00113364">
        <w:rPr>
          <w:rFonts w:ascii="Arial" w:hAnsi="Arial" w:cs="Arial"/>
        </w:rPr>
        <w:t xml:space="preserve"> these content areas can be integrated into a single instructional service.</w:t>
      </w:r>
      <w:r w:rsidR="0013448F" w:rsidRPr="00113364">
        <w:rPr>
          <w:rFonts w:ascii="Arial" w:hAnsi="Arial" w:cs="Arial"/>
        </w:rPr>
        <w:t xml:space="preserve"> Similarly, OSY who have yet to graduate high school will most likely need a service to cover the four test subjects (i.e., ELA, math, social studies, and science) for the general education diploma (GED) exam.</w:t>
      </w:r>
    </w:p>
    <w:p w14:paraId="1CCF4FE1" w14:textId="0CC6EC37" w:rsidR="002D3B4D" w:rsidRPr="00113364" w:rsidRDefault="002D3B4D" w:rsidP="003F0CBE">
      <w:pPr>
        <w:pStyle w:val="Heading3"/>
      </w:pPr>
      <w:bookmarkStart w:id="48" w:name="_Toc203568843"/>
      <w:r w:rsidRPr="00113364">
        <w:t>Out-of-School Youth</w:t>
      </w:r>
      <w:bookmarkEnd w:id="48"/>
    </w:p>
    <w:p w14:paraId="4EC3EFBB" w14:textId="529E9F72" w:rsidR="005C2BA1" w:rsidRPr="00113364" w:rsidRDefault="001C47E4" w:rsidP="003B229D">
      <w:pPr>
        <w:rPr>
          <w:rFonts w:ascii="Arial" w:hAnsi="Arial" w:cs="Arial"/>
        </w:rPr>
      </w:pPr>
      <w:r w:rsidRPr="00113364">
        <w:rPr>
          <w:rFonts w:ascii="Arial" w:hAnsi="Arial" w:cs="Arial"/>
        </w:rPr>
        <w:t xml:space="preserve">Prior to 2017, no statewide data for OSY was </w:t>
      </w:r>
      <w:r w:rsidR="00BD1A64" w:rsidRPr="00113364">
        <w:rPr>
          <w:rFonts w:ascii="Arial" w:hAnsi="Arial" w:cs="Arial"/>
        </w:rPr>
        <w:t xml:space="preserve">available </w:t>
      </w:r>
      <w:r w:rsidRPr="00113364">
        <w:rPr>
          <w:rFonts w:ascii="Arial" w:hAnsi="Arial" w:cs="Arial"/>
        </w:rPr>
        <w:t xml:space="preserve">beyond what was collected in the MEP’s </w:t>
      </w:r>
      <w:r w:rsidR="009965D1" w:rsidRPr="00113364">
        <w:rPr>
          <w:rFonts w:ascii="Arial" w:hAnsi="Arial" w:cs="Arial"/>
        </w:rPr>
        <w:t>C</w:t>
      </w:r>
      <w:r w:rsidRPr="00113364">
        <w:rPr>
          <w:rFonts w:ascii="Arial" w:hAnsi="Arial" w:cs="Arial"/>
        </w:rPr>
        <w:t xml:space="preserve">ertificate of </w:t>
      </w:r>
      <w:r w:rsidR="009965D1" w:rsidRPr="00113364">
        <w:rPr>
          <w:rFonts w:ascii="Arial" w:hAnsi="Arial" w:cs="Arial"/>
        </w:rPr>
        <w:t>E</w:t>
      </w:r>
      <w:r w:rsidRPr="00113364">
        <w:rPr>
          <w:rFonts w:ascii="Arial" w:hAnsi="Arial" w:cs="Arial"/>
        </w:rPr>
        <w:t>ligibility. Because the previous SDP (2017) mandated the creation of a standardized, electronic individual needs assessment (INA)</w:t>
      </w:r>
      <w:r w:rsidR="00BD2DEE" w:rsidRPr="00113364">
        <w:rPr>
          <w:rFonts w:ascii="Arial" w:hAnsi="Arial" w:cs="Arial"/>
        </w:rPr>
        <w:t>/individual learning plan (ILP)</w:t>
      </w:r>
      <w:r w:rsidRPr="00113364">
        <w:rPr>
          <w:rFonts w:ascii="Arial" w:hAnsi="Arial" w:cs="Arial"/>
        </w:rPr>
        <w:t xml:space="preserve">, California’s MEP </w:t>
      </w:r>
      <w:r w:rsidR="00C801C8" w:rsidRPr="00113364">
        <w:rPr>
          <w:rFonts w:ascii="Arial" w:hAnsi="Arial" w:cs="Arial"/>
        </w:rPr>
        <w:t xml:space="preserve">staff </w:t>
      </w:r>
      <w:r w:rsidRPr="00113364">
        <w:rPr>
          <w:rFonts w:ascii="Arial" w:hAnsi="Arial" w:cs="Arial"/>
        </w:rPr>
        <w:t xml:space="preserve">now </w:t>
      </w:r>
      <w:r w:rsidR="00BD1A64" w:rsidRPr="00113364">
        <w:rPr>
          <w:rFonts w:ascii="Arial" w:hAnsi="Arial" w:cs="Arial"/>
        </w:rPr>
        <w:t>possesses</w:t>
      </w:r>
      <w:r w:rsidRPr="00113364">
        <w:rPr>
          <w:rFonts w:ascii="Arial" w:hAnsi="Arial" w:cs="Arial"/>
        </w:rPr>
        <w:t xml:space="preserve"> access to individual and aggregate data for OSY. Data includes whether the OSY is “here-to-work” or </w:t>
      </w:r>
      <w:r w:rsidR="00BD2DEE" w:rsidRPr="00113364">
        <w:rPr>
          <w:rFonts w:ascii="Arial" w:hAnsi="Arial" w:cs="Arial"/>
        </w:rPr>
        <w:t xml:space="preserve">to continue </w:t>
      </w:r>
      <w:r w:rsidR="00BD2DEE" w:rsidRPr="00113364">
        <w:rPr>
          <w:rFonts w:ascii="Arial" w:hAnsi="Arial" w:cs="Arial"/>
        </w:rPr>
        <w:lastRenderedPageBreak/>
        <w:t>with their education</w:t>
      </w:r>
      <w:r w:rsidRPr="00113364">
        <w:rPr>
          <w:rFonts w:ascii="Arial" w:hAnsi="Arial" w:cs="Arial"/>
        </w:rPr>
        <w:t xml:space="preserve">, whether they have transportation, if they have any interest in instructional services (e.g., English, GED, or career technical education [CTE]) and/or </w:t>
      </w:r>
      <w:r w:rsidR="0066098E" w:rsidRPr="00113364">
        <w:rPr>
          <w:rFonts w:ascii="Arial" w:hAnsi="Arial" w:cs="Arial"/>
        </w:rPr>
        <w:t>need assistance accessing support services (e.g., health services, transportation).</w:t>
      </w:r>
      <w:r w:rsidRPr="00113364">
        <w:rPr>
          <w:rFonts w:ascii="Arial" w:hAnsi="Arial" w:cs="Arial"/>
        </w:rPr>
        <w:t xml:space="preserve"> </w:t>
      </w:r>
    </w:p>
    <w:p w14:paraId="2D86EDEE" w14:textId="77777777" w:rsidR="005C2BA1" w:rsidRPr="00113364" w:rsidRDefault="005C2BA1" w:rsidP="003B229D">
      <w:pPr>
        <w:rPr>
          <w:rFonts w:ascii="Arial" w:hAnsi="Arial" w:cs="Arial"/>
        </w:rPr>
      </w:pPr>
    </w:p>
    <w:p w14:paraId="58381A9E" w14:textId="4B70976D" w:rsidR="003B229D" w:rsidRPr="00113364" w:rsidRDefault="0066098E" w:rsidP="003B229D">
      <w:pPr>
        <w:rPr>
          <w:rFonts w:ascii="Arial" w:hAnsi="Arial" w:cs="Arial"/>
        </w:rPr>
      </w:pPr>
      <w:r w:rsidRPr="00113364">
        <w:rPr>
          <w:rFonts w:ascii="Arial" w:hAnsi="Arial" w:cs="Arial"/>
        </w:rPr>
        <w:t>The SDP (2017) contained two goal areas for OSY (i.e., health and literacy)</w:t>
      </w:r>
      <w:r w:rsidR="00BD1A64" w:rsidRPr="00113364">
        <w:rPr>
          <w:rFonts w:ascii="Arial" w:hAnsi="Arial" w:cs="Arial"/>
        </w:rPr>
        <w:t>, each</w:t>
      </w:r>
      <w:r w:rsidRPr="00113364">
        <w:rPr>
          <w:rFonts w:ascii="Arial" w:hAnsi="Arial" w:cs="Arial"/>
        </w:rPr>
        <w:t xml:space="preserve"> initially comprised of three strategies. From these strategies and aligning measurable program objectives, California’s MEP had even more data to document the unmet need between how many OSY request specific services vers</w:t>
      </w:r>
      <w:r w:rsidR="009965D1" w:rsidRPr="00113364">
        <w:rPr>
          <w:rFonts w:ascii="Arial" w:hAnsi="Arial" w:cs="Arial"/>
        </w:rPr>
        <w:t>us</w:t>
      </w:r>
      <w:r w:rsidRPr="00113364">
        <w:rPr>
          <w:rFonts w:ascii="Arial" w:hAnsi="Arial" w:cs="Arial"/>
        </w:rPr>
        <w:t xml:space="preserve"> those with a need identified in the INA who participate in services. These steps allowed California to greatly enhance the services provided to OSY. </w:t>
      </w:r>
      <w:r w:rsidR="008C6170" w:rsidRPr="00113364">
        <w:rPr>
          <w:rFonts w:ascii="Arial" w:hAnsi="Arial" w:cs="Arial"/>
        </w:rPr>
        <w:t xml:space="preserve">All this data was provided to the OSY subcommittee for review. The members also engaged in </w:t>
      </w:r>
      <w:r w:rsidR="00BD1A64" w:rsidRPr="00113364">
        <w:rPr>
          <w:rFonts w:ascii="Arial" w:hAnsi="Arial" w:cs="Arial"/>
        </w:rPr>
        <w:t>discussions</w:t>
      </w:r>
      <w:r w:rsidR="008C6170" w:rsidRPr="00113364">
        <w:rPr>
          <w:rFonts w:ascii="Arial" w:hAnsi="Arial" w:cs="Arial"/>
        </w:rPr>
        <w:t xml:space="preserve"> around their experiences serving OSY</w:t>
      </w:r>
      <w:r w:rsidR="001B6E4B" w:rsidRPr="00113364">
        <w:rPr>
          <w:rFonts w:ascii="Arial" w:hAnsi="Arial" w:cs="Arial"/>
        </w:rPr>
        <w:t xml:space="preserve"> and any needs not captured in OSY survey, INA, or service data.</w:t>
      </w:r>
      <w:r w:rsidR="003B229D" w:rsidRPr="00113364">
        <w:rPr>
          <w:rFonts w:ascii="Arial" w:hAnsi="Arial" w:cs="Arial"/>
        </w:rPr>
        <w:t xml:space="preserve"> </w:t>
      </w:r>
    </w:p>
    <w:p w14:paraId="7B61FBDB" w14:textId="1BC3DB8B" w:rsidR="006143B6" w:rsidRPr="00113364" w:rsidRDefault="005041E5" w:rsidP="00FB34EF">
      <w:pPr>
        <w:pStyle w:val="Heading4"/>
      </w:pPr>
      <w:r w:rsidRPr="00113364">
        <w:t>Out-of-School Youth Focus Area</w:t>
      </w:r>
      <w:r w:rsidR="006143B6" w:rsidRPr="00113364">
        <w:t xml:space="preserve">: </w:t>
      </w:r>
      <w:r w:rsidR="001B6E4B" w:rsidRPr="00113364">
        <w:t>Instructional Services</w:t>
      </w:r>
    </w:p>
    <w:p w14:paraId="02BE5F4D" w14:textId="68CC48E0" w:rsidR="00BD1A64" w:rsidRPr="00113364" w:rsidRDefault="00E837A3" w:rsidP="00BD1A64">
      <w:pPr>
        <w:spacing w:before="240" w:after="240"/>
      </w:pPr>
      <w:r w:rsidRPr="00113364">
        <w:rPr>
          <w:rFonts w:ascii="Arial" w:hAnsi="Arial" w:cs="Arial"/>
        </w:rPr>
        <w:t>The data shows a discrepancy in those OSY who are interested in a particular instructional service and those with an interest that were served. Data collection may have played a small role in this discrepancy while the increased mobility of OSY may also</w:t>
      </w:r>
      <w:r w:rsidR="00F9090C">
        <w:rPr>
          <w:rFonts w:ascii="Arial" w:hAnsi="Arial" w:cs="Arial"/>
        </w:rPr>
        <w:t xml:space="preserve"> have</w:t>
      </w:r>
      <w:r w:rsidRPr="00113364">
        <w:rPr>
          <w:rFonts w:ascii="Arial" w:hAnsi="Arial" w:cs="Arial"/>
        </w:rPr>
        <w:t xml:space="preserve"> play</w:t>
      </w:r>
      <w:r w:rsidR="00F9090C">
        <w:rPr>
          <w:rFonts w:ascii="Arial" w:hAnsi="Arial" w:cs="Arial"/>
        </w:rPr>
        <w:t>ed</w:t>
      </w:r>
      <w:r w:rsidRPr="00113364">
        <w:rPr>
          <w:rFonts w:ascii="Arial" w:hAnsi="Arial" w:cs="Arial"/>
        </w:rPr>
        <w:t xml:space="preserve"> a role. </w:t>
      </w:r>
      <w:r w:rsidR="00BD1A64" w:rsidRPr="00113364">
        <w:rPr>
          <w:rFonts w:ascii="Arial" w:hAnsi="Arial" w:cs="Arial"/>
        </w:rPr>
        <w:t>Table 1</w:t>
      </w:r>
      <w:r w:rsidR="004D30F4">
        <w:rPr>
          <w:rFonts w:ascii="Arial" w:hAnsi="Arial" w:cs="Arial"/>
        </w:rPr>
        <w:t>8</w:t>
      </w:r>
      <w:r w:rsidR="00BD1A64" w:rsidRPr="00113364">
        <w:rPr>
          <w:rFonts w:ascii="Arial" w:hAnsi="Arial" w:cs="Arial"/>
        </w:rPr>
        <w:t xml:space="preserve"> reports the OSY concern and need based on statewide service participation data. </w:t>
      </w:r>
    </w:p>
    <w:p w14:paraId="7908064D" w14:textId="2A389B4E" w:rsidR="008B0200" w:rsidRPr="00113364" w:rsidRDefault="008B0200" w:rsidP="00FB34EF">
      <w:pPr>
        <w:pStyle w:val="Heading5"/>
        <w:spacing w:after="0"/>
        <w:rPr>
          <w:b/>
          <w:bCs/>
          <w:i w:val="0"/>
          <w:iCs/>
          <w:sz w:val="24"/>
        </w:rPr>
      </w:pPr>
      <w:bookmarkStart w:id="49" w:name="_Toc204755354"/>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18</w:t>
      </w:r>
      <w:r w:rsidR="00C46CA6" w:rsidRPr="00113364">
        <w:rPr>
          <w:b/>
          <w:bCs/>
          <w:i w:val="0"/>
          <w:iCs/>
          <w:noProof/>
          <w:sz w:val="24"/>
        </w:rPr>
        <w:fldChar w:fldCharType="end"/>
      </w:r>
      <w:r w:rsidRPr="00113364">
        <w:rPr>
          <w:b/>
          <w:bCs/>
          <w:i w:val="0"/>
          <w:iCs/>
          <w:sz w:val="24"/>
        </w:rPr>
        <w:t>. Data Summary, Concern Statement</w:t>
      </w:r>
      <w:r w:rsidR="004A231F" w:rsidRPr="00113364">
        <w:rPr>
          <w:b/>
          <w:bCs/>
          <w:i w:val="0"/>
          <w:iCs/>
          <w:sz w:val="24"/>
        </w:rPr>
        <w:t>, and Need</w:t>
      </w:r>
      <w:r w:rsidRPr="00113364">
        <w:rPr>
          <w:b/>
          <w:bCs/>
          <w:i w:val="0"/>
          <w:iCs/>
          <w:sz w:val="24"/>
        </w:rPr>
        <w:t xml:space="preserve"> Statement for </w:t>
      </w:r>
      <w:r w:rsidR="00BD2DEE" w:rsidRPr="00113364">
        <w:rPr>
          <w:b/>
          <w:bCs/>
          <w:i w:val="0"/>
          <w:iCs/>
          <w:sz w:val="24"/>
        </w:rPr>
        <w:t>Out-of-School Youths’ Instructional</w:t>
      </w:r>
      <w:r w:rsidRPr="00113364">
        <w:rPr>
          <w:b/>
          <w:bCs/>
          <w:i w:val="0"/>
          <w:iCs/>
          <w:sz w:val="24"/>
        </w:rPr>
        <w:t xml:space="preserve"> Services</w:t>
      </w:r>
      <w:bookmarkEnd w:id="49"/>
    </w:p>
    <w:tbl>
      <w:tblPr>
        <w:tblStyle w:val="GridTable4-Accent1"/>
        <w:tblpPr w:leftFromText="180" w:rightFromText="180" w:vertAnchor="text" w:horzAnchor="margin" w:tblpY="86"/>
        <w:tblW w:w="0" w:type="auto"/>
        <w:tblLook w:val="0420" w:firstRow="1" w:lastRow="0" w:firstColumn="0" w:lastColumn="0" w:noHBand="0" w:noVBand="1"/>
        <w:tblDescription w:val="Data Summary, Concern Statement, and Need Statement for OSY Health Services"/>
      </w:tblPr>
      <w:tblGrid>
        <w:gridCol w:w="5395"/>
        <w:gridCol w:w="1813"/>
        <w:gridCol w:w="2142"/>
      </w:tblGrid>
      <w:tr w:rsidR="00E837A3" w:rsidRPr="00113364" w14:paraId="1E669958" w14:textId="77777777" w:rsidTr="00E837A3">
        <w:trPr>
          <w:cnfStyle w:val="100000000000" w:firstRow="1" w:lastRow="0" w:firstColumn="0" w:lastColumn="0" w:oddVBand="0" w:evenVBand="0" w:oddHBand="0" w:evenHBand="0" w:firstRowFirstColumn="0" w:firstRowLastColumn="0" w:lastRowFirstColumn="0" w:lastRowLastColumn="0"/>
          <w:cantSplit/>
          <w:tblHeader/>
        </w:trPr>
        <w:tc>
          <w:tcPr>
            <w:tcW w:w="5395" w:type="dxa"/>
            <w:tcBorders>
              <w:right w:val="single" w:sz="4" w:space="0" w:color="4472C4"/>
            </w:tcBorders>
            <w:shd w:val="clear" w:color="auto" w:fill="1F3864" w:themeFill="accent5" w:themeFillShade="80"/>
            <w:vAlign w:val="center"/>
          </w:tcPr>
          <w:p w14:paraId="06E29DFB" w14:textId="77777777" w:rsidR="00E837A3" w:rsidRPr="00113364" w:rsidRDefault="00E837A3" w:rsidP="00E837A3">
            <w:pPr>
              <w:jc w:val="center"/>
              <w:rPr>
                <w:rFonts w:ascii="Arial" w:hAnsi="Arial" w:cs="Arial"/>
                <w:b w:val="0"/>
                <w:color w:val="FFFFFF"/>
              </w:rPr>
            </w:pPr>
            <w:r w:rsidRPr="00113364">
              <w:rPr>
                <w:rFonts w:ascii="Arial" w:hAnsi="Arial" w:cs="Arial"/>
                <w:color w:val="FFFFFF"/>
              </w:rPr>
              <w:t>Data Summary: 2022–23 SDP (2017) MPO Report Data and 2023 Migratory Student Profile Survey Data</w:t>
            </w:r>
          </w:p>
        </w:tc>
        <w:tc>
          <w:tcPr>
            <w:tcW w:w="1813" w:type="dxa"/>
            <w:tcBorders>
              <w:left w:val="single" w:sz="4" w:space="0" w:color="4472C4"/>
              <w:right w:val="single" w:sz="4" w:space="0" w:color="4472C4"/>
            </w:tcBorders>
            <w:shd w:val="clear" w:color="auto" w:fill="1F3864" w:themeFill="accent5" w:themeFillShade="80"/>
            <w:vAlign w:val="center"/>
          </w:tcPr>
          <w:p w14:paraId="3ED35038" w14:textId="77777777" w:rsidR="00E837A3" w:rsidRPr="00113364" w:rsidRDefault="00E837A3" w:rsidP="00E837A3">
            <w:pPr>
              <w:pStyle w:val="ListParagraph"/>
              <w:ind w:left="0"/>
              <w:jc w:val="center"/>
              <w:rPr>
                <w:rFonts w:ascii="Arial" w:hAnsi="Arial" w:cs="Arial"/>
                <w:color w:val="FFFFFF"/>
              </w:rPr>
            </w:pPr>
            <w:r w:rsidRPr="00113364">
              <w:rPr>
                <w:rFonts w:ascii="Arial" w:hAnsi="Arial" w:cs="Arial"/>
                <w:color w:val="FFFFFF"/>
              </w:rPr>
              <w:t>Concern Statement</w:t>
            </w:r>
          </w:p>
        </w:tc>
        <w:tc>
          <w:tcPr>
            <w:tcW w:w="2142" w:type="dxa"/>
            <w:tcBorders>
              <w:left w:val="single" w:sz="4" w:space="0" w:color="4472C4"/>
            </w:tcBorders>
            <w:shd w:val="clear" w:color="auto" w:fill="1F3864" w:themeFill="accent5" w:themeFillShade="80"/>
            <w:vAlign w:val="center"/>
          </w:tcPr>
          <w:p w14:paraId="4BB94A5C" w14:textId="77777777" w:rsidR="00E837A3" w:rsidRPr="00113364" w:rsidRDefault="00E837A3" w:rsidP="00E837A3">
            <w:pPr>
              <w:pStyle w:val="ListParagraph"/>
              <w:ind w:left="0"/>
              <w:jc w:val="center"/>
              <w:rPr>
                <w:rFonts w:ascii="Arial" w:hAnsi="Arial" w:cs="Arial"/>
                <w:color w:val="FFFFFF"/>
              </w:rPr>
            </w:pPr>
            <w:r w:rsidRPr="00113364">
              <w:rPr>
                <w:rFonts w:ascii="Arial" w:hAnsi="Arial" w:cs="Arial"/>
                <w:color w:val="FFFFFF"/>
              </w:rPr>
              <w:t>Need Statement</w:t>
            </w:r>
          </w:p>
        </w:tc>
      </w:tr>
      <w:tr w:rsidR="00E837A3" w:rsidRPr="00113364" w14:paraId="02CCFD96" w14:textId="77777777" w:rsidTr="00E837A3">
        <w:trPr>
          <w:cnfStyle w:val="000000100000" w:firstRow="0" w:lastRow="0" w:firstColumn="0" w:lastColumn="0" w:oddVBand="0" w:evenVBand="0" w:oddHBand="1" w:evenHBand="0" w:firstRowFirstColumn="0" w:firstRowLastColumn="0" w:lastRowFirstColumn="0" w:lastRowLastColumn="0"/>
          <w:cantSplit/>
          <w:trHeight w:val="251"/>
        </w:trPr>
        <w:tc>
          <w:tcPr>
            <w:tcW w:w="5395" w:type="dxa"/>
          </w:tcPr>
          <w:p w14:paraId="61158A5A" w14:textId="77777777" w:rsidR="00E837A3" w:rsidRPr="00113364" w:rsidRDefault="00E837A3">
            <w:pPr>
              <w:pStyle w:val="ListParagraph"/>
              <w:numPr>
                <w:ilvl w:val="0"/>
                <w:numId w:val="16"/>
              </w:numPr>
              <w:spacing w:after="120"/>
              <w:contextualSpacing w:val="0"/>
              <w:rPr>
                <w:rFonts w:ascii="Arial" w:hAnsi="Arial" w:cs="Arial"/>
              </w:rPr>
            </w:pPr>
            <w:r w:rsidRPr="00113364">
              <w:rPr>
                <w:rFonts w:ascii="Arial" w:hAnsi="Arial" w:cs="Arial"/>
              </w:rPr>
              <w:t>As reported by the SDP (2017) MPO Reports, there is a consistent gap in the number of students who indicate an interest in instructional services and those who receive services in 2022–23:</w:t>
            </w:r>
            <w:r w:rsidRPr="00113364">
              <w:rPr>
                <w:rStyle w:val="FootnoteReference"/>
                <w:rFonts w:ascii="Arial" w:hAnsi="Arial" w:cs="Arial"/>
              </w:rPr>
              <w:footnoteReference w:id="15"/>
            </w:r>
          </w:p>
          <w:p w14:paraId="1269802E" w14:textId="77777777" w:rsidR="00E837A3" w:rsidRPr="00113364" w:rsidRDefault="00E837A3">
            <w:pPr>
              <w:pStyle w:val="ListParagraph"/>
              <w:numPr>
                <w:ilvl w:val="0"/>
                <w:numId w:val="57"/>
              </w:numPr>
              <w:spacing w:after="120"/>
              <w:ind w:left="693"/>
              <w:contextualSpacing w:val="0"/>
              <w:rPr>
                <w:rFonts w:ascii="Arial" w:hAnsi="Arial" w:cs="Arial"/>
              </w:rPr>
            </w:pPr>
            <w:r w:rsidRPr="00113364">
              <w:rPr>
                <w:rFonts w:ascii="Arial" w:hAnsi="Arial" w:cs="Arial"/>
              </w:rPr>
              <w:t>Of the approximately 1,000 OSYs who stated they were interested in learning English, only 654 received ELA services or referrals.</w:t>
            </w:r>
          </w:p>
          <w:p w14:paraId="7467243F" w14:textId="77777777" w:rsidR="00E837A3" w:rsidRPr="00113364" w:rsidRDefault="00E837A3">
            <w:pPr>
              <w:pStyle w:val="ListParagraph"/>
              <w:numPr>
                <w:ilvl w:val="0"/>
                <w:numId w:val="57"/>
              </w:numPr>
              <w:spacing w:after="120"/>
              <w:ind w:left="693"/>
              <w:contextualSpacing w:val="0"/>
              <w:rPr>
                <w:rFonts w:ascii="Arial" w:hAnsi="Arial" w:cs="Arial"/>
              </w:rPr>
            </w:pPr>
            <w:r w:rsidRPr="00113364">
              <w:rPr>
                <w:rFonts w:ascii="Arial" w:hAnsi="Arial" w:cs="Arial"/>
              </w:rPr>
              <w:t>Of the 718 OSYs who stated they were interested in obtaining their GED, 536 participated in GED services or referrals.</w:t>
            </w:r>
          </w:p>
          <w:p w14:paraId="33E6864A" w14:textId="77777777" w:rsidR="00E837A3" w:rsidRPr="00113364" w:rsidRDefault="00E837A3">
            <w:pPr>
              <w:pStyle w:val="ListParagraph"/>
              <w:numPr>
                <w:ilvl w:val="0"/>
                <w:numId w:val="57"/>
              </w:numPr>
              <w:spacing w:after="120"/>
              <w:ind w:left="693"/>
              <w:contextualSpacing w:val="0"/>
              <w:rPr>
                <w:rFonts w:ascii="Arial" w:hAnsi="Arial" w:cs="Arial"/>
              </w:rPr>
            </w:pPr>
            <w:r w:rsidRPr="00113364">
              <w:rPr>
                <w:rFonts w:ascii="Arial" w:hAnsi="Arial" w:cs="Arial"/>
              </w:rPr>
              <w:lastRenderedPageBreak/>
              <w:t>Out of 128 OSYs who were interested in primary language literacy services, 118 received services or referrals.</w:t>
            </w:r>
          </w:p>
          <w:p w14:paraId="2DBA9309" w14:textId="77777777" w:rsidR="00E837A3" w:rsidRPr="00113364" w:rsidRDefault="00E837A3">
            <w:pPr>
              <w:pStyle w:val="ListParagraph"/>
              <w:numPr>
                <w:ilvl w:val="0"/>
                <w:numId w:val="16"/>
              </w:numPr>
              <w:spacing w:after="120"/>
              <w:contextualSpacing w:val="0"/>
              <w:rPr>
                <w:rFonts w:ascii="Arial" w:hAnsi="Arial" w:cs="Arial"/>
              </w:rPr>
            </w:pPr>
            <w:r w:rsidRPr="00113364">
              <w:rPr>
                <w:rFonts w:ascii="Arial" w:hAnsi="Arial" w:cs="Arial"/>
              </w:rPr>
              <w:t>OSY survey data for California’s Migratory Student Profile identified the need to learn more about CTE to expand future career possibilities.</w:t>
            </w:r>
          </w:p>
        </w:tc>
        <w:tc>
          <w:tcPr>
            <w:tcW w:w="1813" w:type="dxa"/>
          </w:tcPr>
          <w:p w14:paraId="69A7850D" w14:textId="77777777" w:rsidR="00E837A3" w:rsidRPr="00113364" w:rsidRDefault="00E837A3" w:rsidP="00E837A3">
            <w:pPr>
              <w:spacing w:after="120"/>
              <w:rPr>
                <w:rFonts w:ascii="Arial" w:hAnsi="Arial" w:cs="Arial"/>
              </w:rPr>
            </w:pPr>
            <w:r w:rsidRPr="00113364">
              <w:rPr>
                <w:rFonts w:ascii="Arial" w:hAnsi="Arial" w:cs="Arial"/>
              </w:rPr>
              <w:lastRenderedPageBreak/>
              <w:t>We are concerned that there is a significant gap between the number of students who request academic services and those who receive them.</w:t>
            </w:r>
          </w:p>
        </w:tc>
        <w:tc>
          <w:tcPr>
            <w:tcW w:w="2142" w:type="dxa"/>
          </w:tcPr>
          <w:p w14:paraId="5AA83A2F" w14:textId="77777777" w:rsidR="00E837A3" w:rsidRPr="00113364" w:rsidRDefault="00E837A3" w:rsidP="00E837A3">
            <w:pPr>
              <w:spacing w:after="120"/>
              <w:ind w:left="-14"/>
              <w:rPr>
                <w:rFonts w:ascii="Arial" w:hAnsi="Arial" w:cs="Arial"/>
              </w:rPr>
            </w:pPr>
            <w:r w:rsidRPr="00113364">
              <w:rPr>
                <w:rFonts w:ascii="Arial" w:hAnsi="Arial" w:cs="Arial"/>
              </w:rPr>
              <w:t>The percentage of instructional services provided needs to reach a minimum of 75 percent based on the interest identified on completed OSY INA/ILPs.</w:t>
            </w:r>
          </w:p>
        </w:tc>
      </w:tr>
    </w:tbl>
    <w:p w14:paraId="313900ED" w14:textId="116570B2" w:rsidR="00E837A3" w:rsidRPr="00113364" w:rsidRDefault="00E837A3" w:rsidP="00E837A3">
      <w:pPr>
        <w:spacing w:before="240" w:after="240"/>
        <w:rPr>
          <w:rFonts w:ascii="Arial" w:hAnsi="Arial" w:cs="Arial"/>
        </w:rPr>
      </w:pPr>
      <w:r w:rsidRPr="00113364">
        <w:rPr>
          <w:rFonts w:ascii="Arial" w:hAnsi="Arial" w:cs="Arial"/>
        </w:rPr>
        <w:t>The CDE continues to improve data collection process</w:t>
      </w:r>
      <w:r w:rsidR="00983777" w:rsidRPr="00113364">
        <w:rPr>
          <w:rFonts w:ascii="Arial" w:hAnsi="Arial" w:cs="Arial"/>
        </w:rPr>
        <w:t xml:space="preserve">es and refine training </w:t>
      </w:r>
      <w:proofErr w:type="gramStart"/>
      <w:r w:rsidR="00983777" w:rsidRPr="00113364">
        <w:rPr>
          <w:rFonts w:ascii="Arial" w:hAnsi="Arial" w:cs="Arial"/>
        </w:rPr>
        <w:t>to</w:t>
      </w:r>
      <w:proofErr w:type="gramEnd"/>
      <w:r w:rsidR="00983777" w:rsidRPr="00113364">
        <w:rPr>
          <w:rFonts w:ascii="Arial" w:hAnsi="Arial" w:cs="Arial"/>
        </w:rPr>
        <w:t xml:space="preserve"> the field annually. The INA/ILP, as well as the INA Report, continues to be an important tool to connect migratory children and youth</w:t>
      </w:r>
      <w:r w:rsidR="001E56BA" w:rsidRPr="00113364">
        <w:rPr>
          <w:rFonts w:ascii="Arial" w:hAnsi="Arial" w:cs="Arial"/>
        </w:rPr>
        <w:t>s</w:t>
      </w:r>
      <w:r w:rsidR="00983777" w:rsidRPr="00113364">
        <w:rPr>
          <w:rFonts w:ascii="Arial" w:hAnsi="Arial" w:cs="Arial"/>
        </w:rPr>
        <w:t xml:space="preserve"> to needed services both efficiently and effectively if the INA/ILP process is implemented with fidelity to training and within a timely manner. As the most mobile population, it is imperative that INAs/ILPs be completed immediately so OSY can take advantage of any necessary services before they move again. </w:t>
      </w:r>
    </w:p>
    <w:p w14:paraId="187A4053" w14:textId="6983A4EC" w:rsidR="006143B6" w:rsidRPr="00113364" w:rsidRDefault="00BD2DEE" w:rsidP="00FB34EF">
      <w:pPr>
        <w:pStyle w:val="Heading4"/>
      </w:pPr>
      <w:r w:rsidRPr="00113364">
        <w:t>Out-of-School Youth Focus Area</w:t>
      </w:r>
      <w:r w:rsidR="006143B6" w:rsidRPr="00113364">
        <w:t xml:space="preserve">: </w:t>
      </w:r>
      <w:r w:rsidRPr="00113364">
        <w:t>Individual Needs Assessment</w:t>
      </w:r>
    </w:p>
    <w:p w14:paraId="19917A49" w14:textId="2E0DCDF1" w:rsidR="00983777" w:rsidRPr="00113364" w:rsidRDefault="00A0587C" w:rsidP="00A0587C">
      <w:pPr>
        <w:spacing w:before="240" w:after="240"/>
        <w:rPr>
          <w:rFonts w:ascii="Arial" w:hAnsi="Arial" w:cs="Arial"/>
        </w:rPr>
      </w:pPr>
      <w:r w:rsidRPr="00113364">
        <w:rPr>
          <w:rFonts w:ascii="Arial" w:hAnsi="Arial" w:cs="Arial"/>
        </w:rPr>
        <w:t xml:space="preserve">If INAs are not completed, subgrantees cannot have a good understanding of the needs for OSY as the INA is the only mechanism to identify OSY needs. The INA Report allows subgrantees to group OSY by </w:t>
      </w:r>
      <w:r w:rsidR="009965D1" w:rsidRPr="00113364">
        <w:rPr>
          <w:rFonts w:ascii="Arial" w:hAnsi="Arial" w:cs="Arial"/>
        </w:rPr>
        <w:t>“</w:t>
      </w:r>
      <w:r w:rsidRPr="00113364">
        <w:rPr>
          <w:rFonts w:ascii="Arial" w:hAnsi="Arial" w:cs="Arial"/>
        </w:rPr>
        <w:t>need</w:t>
      </w:r>
      <w:r w:rsidR="009965D1" w:rsidRPr="00113364">
        <w:rPr>
          <w:rFonts w:ascii="Arial" w:hAnsi="Arial" w:cs="Arial"/>
        </w:rPr>
        <w:t>”</w:t>
      </w:r>
      <w:r w:rsidRPr="00113364">
        <w:rPr>
          <w:rFonts w:ascii="Arial" w:hAnsi="Arial" w:cs="Arial"/>
        </w:rPr>
        <w:t xml:space="preserve"> further streamlining service enrollment, but it only includes data from completed INAs. For these reasons, the CNA SDP Committee </w:t>
      </w:r>
      <w:r w:rsidR="002F3616" w:rsidRPr="00113364">
        <w:rPr>
          <w:rFonts w:ascii="Arial" w:hAnsi="Arial" w:cs="Arial"/>
        </w:rPr>
        <w:t xml:space="preserve">voted to finalize the information in table </w:t>
      </w:r>
      <w:r w:rsidR="004D30F4">
        <w:rPr>
          <w:rFonts w:ascii="Arial" w:hAnsi="Arial" w:cs="Arial"/>
        </w:rPr>
        <w:t>19</w:t>
      </w:r>
      <w:r w:rsidR="002F3616" w:rsidRPr="00113364">
        <w:rPr>
          <w:rFonts w:ascii="Arial" w:hAnsi="Arial" w:cs="Arial"/>
        </w:rPr>
        <w:t xml:space="preserve"> documenting the need to complete INAs/ILPs for OSY.</w:t>
      </w:r>
    </w:p>
    <w:p w14:paraId="2502741D" w14:textId="0148C031" w:rsidR="008B0200" w:rsidRPr="00113364" w:rsidRDefault="008B0200" w:rsidP="00FB34EF">
      <w:pPr>
        <w:pStyle w:val="Heading5"/>
        <w:spacing w:after="0"/>
        <w:rPr>
          <w:b/>
          <w:bCs/>
          <w:i w:val="0"/>
          <w:iCs/>
          <w:sz w:val="24"/>
        </w:rPr>
      </w:pPr>
      <w:bookmarkStart w:id="50" w:name="_Toc204755355"/>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19</w:t>
      </w:r>
      <w:r w:rsidR="00C46CA6" w:rsidRPr="00113364">
        <w:rPr>
          <w:b/>
          <w:bCs/>
          <w:i w:val="0"/>
          <w:iCs/>
          <w:noProof/>
          <w:sz w:val="24"/>
        </w:rPr>
        <w:fldChar w:fldCharType="end"/>
      </w:r>
      <w:r w:rsidRPr="00113364">
        <w:rPr>
          <w:b/>
          <w:bCs/>
          <w:i w:val="0"/>
          <w:iCs/>
          <w:sz w:val="24"/>
        </w:rPr>
        <w:t>. Data Summary, Concern Statement</w:t>
      </w:r>
      <w:r w:rsidR="00571E6B" w:rsidRPr="00113364">
        <w:rPr>
          <w:b/>
          <w:bCs/>
          <w:i w:val="0"/>
          <w:iCs/>
          <w:sz w:val="24"/>
        </w:rPr>
        <w:t>, and Need</w:t>
      </w:r>
      <w:r w:rsidRPr="00113364">
        <w:rPr>
          <w:b/>
          <w:bCs/>
          <w:i w:val="0"/>
          <w:iCs/>
          <w:sz w:val="24"/>
        </w:rPr>
        <w:t xml:space="preserve"> Statement for</w:t>
      </w:r>
      <w:r w:rsidR="00BD2DEE" w:rsidRPr="00113364">
        <w:rPr>
          <w:b/>
          <w:bCs/>
          <w:i w:val="0"/>
          <w:iCs/>
          <w:sz w:val="24"/>
        </w:rPr>
        <w:t xml:space="preserve"> Completion of Out-of-School Youths’ Individual Needs Assessments</w:t>
      </w:r>
      <w:bookmarkEnd w:id="50"/>
    </w:p>
    <w:tbl>
      <w:tblPr>
        <w:tblStyle w:val="GridTable4-Accent1"/>
        <w:tblW w:w="0" w:type="auto"/>
        <w:tblLook w:val="0420" w:firstRow="1" w:lastRow="0" w:firstColumn="0" w:lastColumn="0" w:noHBand="0" w:noVBand="1"/>
        <w:tblDescription w:val="Data Summary, Concern Statement, and Need Statement for OSY Literacy"/>
      </w:tblPr>
      <w:tblGrid>
        <w:gridCol w:w="4565"/>
        <w:gridCol w:w="2642"/>
        <w:gridCol w:w="2143"/>
      </w:tblGrid>
      <w:tr w:rsidR="00A37942" w:rsidRPr="00113364" w14:paraId="320BEC8C" w14:textId="77777777" w:rsidTr="00E53F38">
        <w:trPr>
          <w:cnfStyle w:val="100000000000" w:firstRow="1" w:lastRow="0" w:firstColumn="0" w:lastColumn="0" w:oddVBand="0" w:evenVBand="0" w:oddHBand="0" w:evenHBand="0" w:firstRowFirstColumn="0" w:firstRowLastColumn="0" w:lastRowFirstColumn="0" w:lastRowLastColumn="0"/>
          <w:cantSplit/>
          <w:tblHeader/>
        </w:trPr>
        <w:tc>
          <w:tcPr>
            <w:tcW w:w="4698" w:type="dxa"/>
            <w:tcBorders>
              <w:right w:val="single" w:sz="4" w:space="0" w:color="4472C4"/>
            </w:tcBorders>
            <w:shd w:val="clear" w:color="auto" w:fill="1F3864" w:themeFill="accent5" w:themeFillShade="80"/>
            <w:vAlign w:val="center"/>
          </w:tcPr>
          <w:p w14:paraId="6A2D4CB5" w14:textId="77777777" w:rsidR="00A37942" w:rsidRPr="00113364" w:rsidRDefault="00A37942" w:rsidP="00E53F38">
            <w:pPr>
              <w:jc w:val="center"/>
              <w:rPr>
                <w:rFonts w:ascii="Arial" w:hAnsi="Arial" w:cs="Arial"/>
                <w:b w:val="0"/>
                <w:color w:val="FFFFFF"/>
              </w:rPr>
            </w:pPr>
            <w:r w:rsidRPr="00113364">
              <w:rPr>
                <w:rFonts w:ascii="Arial" w:hAnsi="Arial" w:cs="Arial"/>
                <w:color w:val="FFFFFF"/>
              </w:rPr>
              <w:t>Data Summary:</w:t>
            </w:r>
          </w:p>
          <w:p w14:paraId="66E4A33A" w14:textId="3181E653" w:rsidR="00A37942" w:rsidRPr="00113364" w:rsidRDefault="00BD2DEE" w:rsidP="00E53F38">
            <w:pPr>
              <w:jc w:val="center"/>
              <w:rPr>
                <w:rFonts w:ascii="Arial" w:hAnsi="Arial" w:cs="Arial"/>
                <w:color w:val="FFFFFF"/>
              </w:rPr>
            </w:pPr>
            <w:r w:rsidRPr="00113364">
              <w:rPr>
                <w:rFonts w:ascii="Arial" w:hAnsi="Arial" w:cs="Arial"/>
                <w:color w:val="FFFFFF"/>
              </w:rPr>
              <w:t>2022–23 MSIN Databases</w:t>
            </w:r>
          </w:p>
        </w:tc>
        <w:tc>
          <w:tcPr>
            <w:tcW w:w="2700" w:type="dxa"/>
            <w:tcBorders>
              <w:left w:val="single" w:sz="4" w:space="0" w:color="4472C4"/>
              <w:right w:val="single" w:sz="4" w:space="0" w:color="4472C4"/>
            </w:tcBorders>
            <w:shd w:val="clear" w:color="auto" w:fill="1F3864" w:themeFill="accent5" w:themeFillShade="80"/>
            <w:vAlign w:val="center"/>
          </w:tcPr>
          <w:p w14:paraId="6C56E25A" w14:textId="77777777" w:rsidR="00A37942" w:rsidRPr="00113364" w:rsidRDefault="00A37942" w:rsidP="00E53F38">
            <w:pPr>
              <w:pStyle w:val="ListParagraph"/>
              <w:ind w:left="0"/>
              <w:jc w:val="center"/>
              <w:rPr>
                <w:rFonts w:ascii="Arial" w:hAnsi="Arial" w:cs="Arial"/>
                <w:color w:val="FFFFFF"/>
              </w:rPr>
            </w:pPr>
            <w:r w:rsidRPr="00113364">
              <w:rPr>
                <w:rFonts w:ascii="Arial" w:hAnsi="Arial" w:cs="Arial"/>
                <w:color w:val="FFFFFF"/>
              </w:rPr>
              <w:t>Concern Statement</w:t>
            </w:r>
          </w:p>
        </w:tc>
        <w:tc>
          <w:tcPr>
            <w:tcW w:w="2178" w:type="dxa"/>
            <w:tcBorders>
              <w:left w:val="single" w:sz="4" w:space="0" w:color="4472C4"/>
            </w:tcBorders>
            <w:shd w:val="clear" w:color="auto" w:fill="1F3864" w:themeFill="accent5" w:themeFillShade="80"/>
            <w:vAlign w:val="center"/>
          </w:tcPr>
          <w:p w14:paraId="5C368151" w14:textId="77777777" w:rsidR="00A37942" w:rsidRPr="00113364" w:rsidRDefault="00A37942" w:rsidP="00E53F38">
            <w:pPr>
              <w:pStyle w:val="ListParagraph"/>
              <w:ind w:left="0"/>
              <w:jc w:val="center"/>
              <w:rPr>
                <w:rFonts w:ascii="Arial" w:hAnsi="Arial" w:cs="Arial"/>
                <w:color w:val="FFFFFF"/>
              </w:rPr>
            </w:pPr>
            <w:r w:rsidRPr="00113364">
              <w:rPr>
                <w:rFonts w:ascii="Arial" w:hAnsi="Arial" w:cs="Arial"/>
                <w:color w:val="FFFFFF"/>
              </w:rPr>
              <w:t>Need Statement</w:t>
            </w:r>
          </w:p>
        </w:tc>
      </w:tr>
      <w:tr w:rsidR="00A37942" w:rsidRPr="00113364" w14:paraId="0CEB2BE2" w14:textId="77777777" w:rsidTr="00940787">
        <w:trPr>
          <w:cnfStyle w:val="000000100000" w:firstRow="0" w:lastRow="0" w:firstColumn="0" w:lastColumn="0" w:oddVBand="0" w:evenVBand="0" w:oddHBand="1" w:evenHBand="0" w:firstRowFirstColumn="0" w:firstRowLastColumn="0" w:lastRowFirstColumn="0" w:lastRowLastColumn="0"/>
          <w:cantSplit/>
          <w:trHeight w:val="242"/>
        </w:trPr>
        <w:tc>
          <w:tcPr>
            <w:tcW w:w="4698" w:type="dxa"/>
          </w:tcPr>
          <w:p w14:paraId="156DBE94" w14:textId="30EB4640" w:rsidR="00A37942" w:rsidRPr="00113364" w:rsidRDefault="00BD2DEE">
            <w:pPr>
              <w:pStyle w:val="ListParagraph"/>
              <w:numPr>
                <w:ilvl w:val="0"/>
                <w:numId w:val="54"/>
              </w:numPr>
              <w:spacing w:after="160" w:line="259" w:lineRule="auto"/>
              <w:ind w:left="333"/>
              <w:rPr>
                <w:rFonts w:ascii="Arial" w:hAnsi="Arial" w:cs="Arial"/>
              </w:rPr>
            </w:pPr>
            <w:r w:rsidRPr="00113364">
              <w:rPr>
                <w:rFonts w:ascii="Arial" w:hAnsi="Arial" w:cs="Arial"/>
              </w:rPr>
              <w:t xml:space="preserve">In 2022–23, 48 percent of OSY had completed INA/ILPs. This is down from the previous year in which 53 percent of OSY had </w:t>
            </w:r>
            <w:proofErr w:type="gramStart"/>
            <w:r w:rsidRPr="00113364">
              <w:rPr>
                <w:rFonts w:ascii="Arial" w:hAnsi="Arial" w:cs="Arial"/>
              </w:rPr>
              <w:t>a completed</w:t>
            </w:r>
            <w:proofErr w:type="gramEnd"/>
            <w:r w:rsidRPr="00113364">
              <w:rPr>
                <w:rFonts w:ascii="Arial" w:hAnsi="Arial" w:cs="Arial"/>
              </w:rPr>
              <w:t xml:space="preserve"> INA/ILP.</w:t>
            </w:r>
          </w:p>
        </w:tc>
        <w:tc>
          <w:tcPr>
            <w:tcW w:w="2700" w:type="dxa"/>
          </w:tcPr>
          <w:p w14:paraId="2E34E239" w14:textId="6B5FD85E" w:rsidR="00A37942" w:rsidRPr="00113364" w:rsidRDefault="00BD2DEE" w:rsidP="00BD2DEE">
            <w:pPr>
              <w:spacing w:after="240"/>
              <w:rPr>
                <w:rFonts w:ascii="Arial" w:hAnsi="Arial" w:cs="Arial"/>
              </w:rPr>
            </w:pPr>
            <w:r w:rsidRPr="00113364">
              <w:rPr>
                <w:rFonts w:ascii="Arial" w:hAnsi="Arial" w:cs="Arial"/>
              </w:rPr>
              <w:t>We are concerned that less than 50 percent of OSY have a completed INA/ILP.</w:t>
            </w:r>
          </w:p>
        </w:tc>
        <w:tc>
          <w:tcPr>
            <w:tcW w:w="2178" w:type="dxa"/>
          </w:tcPr>
          <w:p w14:paraId="3DD76FDC" w14:textId="31CBF7F3" w:rsidR="00A37942" w:rsidRPr="00113364" w:rsidRDefault="00BD2DEE" w:rsidP="00BD2DEE">
            <w:pPr>
              <w:spacing w:after="240"/>
              <w:ind w:left="-14"/>
              <w:rPr>
                <w:rFonts w:ascii="Arial" w:hAnsi="Arial" w:cs="Arial"/>
              </w:rPr>
            </w:pPr>
            <w:r w:rsidRPr="00113364">
              <w:rPr>
                <w:rFonts w:ascii="Arial" w:hAnsi="Arial" w:cs="Arial"/>
              </w:rPr>
              <w:t xml:space="preserve">An additional 52 percent of OSY should have </w:t>
            </w:r>
            <w:proofErr w:type="gramStart"/>
            <w:r w:rsidRPr="00113364">
              <w:rPr>
                <w:rFonts w:ascii="Arial" w:hAnsi="Arial" w:cs="Arial"/>
              </w:rPr>
              <w:t>a completed</w:t>
            </w:r>
            <w:proofErr w:type="gramEnd"/>
            <w:r w:rsidRPr="00113364">
              <w:rPr>
                <w:rFonts w:ascii="Arial" w:hAnsi="Arial" w:cs="Arial"/>
              </w:rPr>
              <w:t xml:space="preserve"> INA/ILP.</w:t>
            </w:r>
          </w:p>
        </w:tc>
      </w:tr>
    </w:tbl>
    <w:p w14:paraId="4DA2C957" w14:textId="64A07513" w:rsidR="0010613E" w:rsidRPr="00113364" w:rsidRDefault="0010613E" w:rsidP="00FB34EF">
      <w:pPr>
        <w:spacing w:before="240" w:after="240"/>
        <w:rPr>
          <w:rFonts w:ascii="Arial" w:hAnsi="Arial" w:cs="Arial"/>
        </w:rPr>
      </w:pPr>
      <w:r w:rsidRPr="00113364">
        <w:rPr>
          <w:rFonts w:ascii="Arial" w:hAnsi="Arial" w:cs="Arial"/>
        </w:rPr>
        <w:t>Ensuring INAs/ILPs are completed is imperative to being able to thoroughly identify</w:t>
      </w:r>
      <w:r w:rsidR="002F3616" w:rsidRPr="00113364">
        <w:rPr>
          <w:rFonts w:ascii="Arial" w:hAnsi="Arial" w:cs="Arial"/>
        </w:rPr>
        <w:t xml:space="preserve"> and address</w:t>
      </w:r>
      <w:r w:rsidRPr="00113364">
        <w:rPr>
          <w:rFonts w:ascii="Arial" w:hAnsi="Arial" w:cs="Arial"/>
        </w:rPr>
        <w:t xml:space="preserve"> the needs of OSY. </w:t>
      </w:r>
      <w:r w:rsidR="002F3616" w:rsidRPr="00113364">
        <w:rPr>
          <w:rFonts w:ascii="Arial" w:hAnsi="Arial" w:cs="Arial"/>
        </w:rPr>
        <w:t xml:space="preserve">These needs </w:t>
      </w:r>
      <w:r w:rsidR="001E56BA" w:rsidRPr="00113364">
        <w:rPr>
          <w:rFonts w:ascii="Arial" w:hAnsi="Arial" w:cs="Arial"/>
        </w:rPr>
        <w:t xml:space="preserve">are met by </w:t>
      </w:r>
      <w:r w:rsidR="002F3616" w:rsidRPr="00113364">
        <w:rPr>
          <w:rFonts w:ascii="Arial" w:hAnsi="Arial" w:cs="Arial"/>
        </w:rPr>
        <w:t xml:space="preserve">both instructional (e.g., </w:t>
      </w:r>
      <w:r w:rsidR="0013448F" w:rsidRPr="00113364">
        <w:rPr>
          <w:rFonts w:ascii="Arial" w:hAnsi="Arial" w:cs="Arial"/>
        </w:rPr>
        <w:t>English as a second language [</w:t>
      </w:r>
      <w:r w:rsidR="002F3616" w:rsidRPr="00113364">
        <w:rPr>
          <w:rFonts w:ascii="Arial" w:hAnsi="Arial" w:cs="Arial"/>
        </w:rPr>
        <w:t>ESL</w:t>
      </w:r>
      <w:r w:rsidR="0013448F" w:rsidRPr="00113364">
        <w:rPr>
          <w:rFonts w:ascii="Arial" w:hAnsi="Arial" w:cs="Arial"/>
        </w:rPr>
        <w:t>]</w:t>
      </w:r>
      <w:r w:rsidR="002F3616" w:rsidRPr="00113364">
        <w:rPr>
          <w:rFonts w:ascii="Arial" w:hAnsi="Arial" w:cs="Arial"/>
        </w:rPr>
        <w:t xml:space="preserve">, GED) and support (e.g., dental, mental health, emergency food) services. In fact, the electronic INA allowed California to collect </w:t>
      </w:r>
      <w:r w:rsidR="001329DA" w:rsidRPr="00113364">
        <w:rPr>
          <w:rFonts w:ascii="Arial" w:hAnsi="Arial" w:cs="Arial"/>
        </w:rPr>
        <w:t>unique data for OSY (e.g., transportation, instructional, living needs)</w:t>
      </w:r>
      <w:r w:rsidR="002F3616" w:rsidRPr="00113364">
        <w:rPr>
          <w:rFonts w:ascii="Arial" w:hAnsi="Arial" w:cs="Arial"/>
        </w:rPr>
        <w:t xml:space="preserve"> and migrant-specific health need </w:t>
      </w:r>
      <w:proofErr w:type="gramStart"/>
      <w:r w:rsidR="001329DA" w:rsidRPr="00113364">
        <w:rPr>
          <w:rFonts w:ascii="Arial" w:hAnsi="Arial" w:cs="Arial"/>
        </w:rPr>
        <w:t xml:space="preserve">data </w:t>
      </w:r>
      <w:r w:rsidR="002F3616" w:rsidRPr="00113364">
        <w:rPr>
          <w:rFonts w:ascii="Arial" w:hAnsi="Arial" w:cs="Arial"/>
        </w:rPr>
        <w:t>statewide</w:t>
      </w:r>
      <w:proofErr w:type="gramEnd"/>
      <w:r w:rsidR="002F3616" w:rsidRPr="00113364">
        <w:rPr>
          <w:rFonts w:ascii="Arial" w:hAnsi="Arial" w:cs="Arial"/>
        </w:rPr>
        <w:t xml:space="preserve"> for the first time in the</w:t>
      </w:r>
      <w:r w:rsidR="001E56BA" w:rsidRPr="00113364">
        <w:rPr>
          <w:rFonts w:ascii="Arial" w:hAnsi="Arial" w:cs="Arial"/>
        </w:rPr>
        <w:t xml:space="preserve"> state</w:t>
      </w:r>
      <w:r w:rsidR="002F3616" w:rsidRPr="00113364">
        <w:rPr>
          <w:rFonts w:ascii="Arial" w:hAnsi="Arial" w:cs="Arial"/>
        </w:rPr>
        <w:t xml:space="preserve"> program’s history. </w:t>
      </w:r>
    </w:p>
    <w:p w14:paraId="34FF323A" w14:textId="54514A78" w:rsidR="009D3580" w:rsidRPr="00113364" w:rsidRDefault="009D3580" w:rsidP="003F0CBE">
      <w:pPr>
        <w:pStyle w:val="Heading3"/>
      </w:pPr>
      <w:bookmarkStart w:id="51" w:name="_Toc203568844"/>
      <w:r w:rsidRPr="00113364">
        <w:lastRenderedPageBreak/>
        <w:t>Health</w:t>
      </w:r>
      <w:bookmarkEnd w:id="51"/>
    </w:p>
    <w:p w14:paraId="3D36AC98" w14:textId="1074E61F" w:rsidR="003B229D" w:rsidRPr="00113364" w:rsidRDefault="00C24AB0" w:rsidP="001329DA">
      <w:pPr>
        <w:spacing w:after="240"/>
        <w:rPr>
          <w:rFonts w:ascii="Arial" w:hAnsi="Arial" w:cs="Arial"/>
        </w:rPr>
      </w:pPr>
      <w:r w:rsidRPr="00113364">
        <w:rPr>
          <w:rFonts w:ascii="Arial" w:hAnsi="Arial" w:cs="Arial"/>
        </w:rPr>
        <w:t xml:space="preserve">The Health subcommittee reviewed the 2024 Migratory Student Profile health data, </w:t>
      </w:r>
      <w:hyperlink r:id="rId28" w:history="1">
        <w:r w:rsidRPr="00113364">
          <w:rPr>
            <w:rStyle w:val="Hyperlink"/>
            <w:rFonts w:ascii="Arial" w:hAnsi="Arial" w:cs="Arial"/>
          </w:rPr>
          <w:t>California Healthy Kids Survey</w:t>
        </w:r>
      </w:hyperlink>
      <w:r w:rsidR="00A366B5">
        <w:t xml:space="preserve"> </w:t>
      </w:r>
      <w:r w:rsidRPr="00113364">
        <w:rPr>
          <w:rFonts w:ascii="Arial" w:hAnsi="Arial" w:cs="Arial"/>
        </w:rPr>
        <w:t xml:space="preserve">data and unaddressed health needs which compared the total need for each health category against the number of those migratory children and youth with a health need who received a service. California’s Migratory Student Profile health need data identified </w:t>
      </w:r>
      <w:r w:rsidR="001329DA" w:rsidRPr="00113364">
        <w:rPr>
          <w:rFonts w:ascii="Arial" w:hAnsi="Arial" w:cs="Arial"/>
        </w:rPr>
        <w:t>general</w:t>
      </w:r>
      <w:r w:rsidRPr="00113364">
        <w:rPr>
          <w:rFonts w:ascii="Arial" w:hAnsi="Arial" w:cs="Arial"/>
        </w:rPr>
        <w:t xml:space="preserve"> health need</w:t>
      </w:r>
      <w:r w:rsidR="00A95FBD" w:rsidRPr="00113364">
        <w:rPr>
          <w:rFonts w:ascii="Arial" w:hAnsi="Arial" w:cs="Arial"/>
        </w:rPr>
        <w:t>s</w:t>
      </w:r>
      <w:r w:rsidRPr="00113364">
        <w:rPr>
          <w:rFonts w:ascii="Arial" w:hAnsi="Arial" w:cs="Arial"/>
        </w:rPr>
        <w:t xml:space="preserve"> </w:t>
      </w:r>
      <w:r w:rsidR="00A95FBD" w:rsidRPr="00113364">
        <w:rPr>
          <w:rFonts w:ascii="Arial" w:hAnsi="Arial" w:cs="Arial"/>
        </w:rPr>
        <w:t>for</w:t>
      </w:r>
      <w:r w:rsidRPr="00113364">
        <w:rPr>
          <w:rFonts w:ascii="Arial" w:hAnsi="Arial" w:cs="Arial"/>
        </w:rPr>
        <w:t xml:space="preserve"> vision, dental, </w:t>
      </w:r>
      <w:r w:rsidR="001329DA" w:rsidRPr="00113364">
        <w:rPr>
          <w:rFonts w:ascii="Arial" w:hAnsi="Arial" w:cs="Arial"/>
        </w:rPr>
        <w:t>medical,</w:t>
      </w:r>
      <w:r w:rsidRPr="00113364">
        <w:rPr>
          <w:rFonts w:ascii="Arial" w:hAnsi="Arial" w:cs="Arial"/>
        </w:rPr>
        <w:t xml:space="preserve"> and/or mental health service on the INA.</w:t>
      </w:r>
    </w:p>
    <w:p w14:paraId="75880EAB" w14:textId="65D2986D" w:rsidR="006143B6" w:rsidRPr="00113364" w:rsidRDefault="00863AF6" w:rsidP="00FB34EF">
      <w:pPr>
        <w:pStyle w:val="Heading4"/>
      </w:pPr>
      <w:r w:rsidRPr="00113364">
        <w:t>Health Focus Area</w:t>
      </w:r>
      <w:r w:rsidR="006143B6" w:rsidRPr="00113364">
        <w:t>: Mental Health Services</w:t>
      </w:r>
    </w:p>
    <w:p w14:paraId="1CD02286" w14:textId="01364F16" w:rsidR="001329DA" w:rsidRPr="00113364" w:rsidRDefault="001329DA" w:rsidP="001329DA">
      <w:pPr>
        <w:spacing w:after="240"/>
        <w:rPr>
          <w:rFonts w:ascii="Arial" w:hAnsi="Arial" w:cs="Arial"/>
        </w:rPr>
      </w:pPr>
      <w:r w:rsidRPr="00113364">
        <w:rPr>
          <w:rFonts w:ascii="Arial" w:hAnsi="Arial" w:cs="Arial"/>
        </w:rPr>
        <w:t xml:space="preserve">Mental health services continue to be a high need area. A second concern targeted nutrition, or the quality of the food served during school hours and during MEP services. Upon consideration the CDE Data and Management Team removed the need </w:t>
      </w:r>
      <w:r w:rsidR="00C27AAB" w:rsidRPr="00113364">
        <w:rPr>
          <w:rFonts w:ascii="Arial" w:hAnsi="Arial" w:cs="Arial"/>
        </w:rPr>
        <w:t xml:space="preserve">regarding </w:t>
      </w:r>
      <w:r w:rsidRPr="00113364">
        <w:rPr>
          <w:rFonts w:ascii="Arial" w:hAnsi="Arial" w:cs="Arial"/>
        </w:rPr>
        <w:t xml:space="preserve">nutrition because the MEP is not permitted to serve full meals during services and has no influence on school meals. Nonetheless, the CDE will include this strategy </w:t>
      </w:r>
      <w:r w:rsidR="00BA03C8" w:rsidRPr="00113364">
        <w:rPr>
          <w:rFonts w:ascii="Arial" w:hAnsi="Arial" w:cs="Arial"/>
        </w:rPr>
        <w:t xml:space="preserve">as an additional consideration at the end of Section III. Therefore, mental health ended up as the singular focus for the </w:t>
      </w:r>
      <w:proofErr w:type="gramStart"/>
      <w:r w:rsidR="00BA03C8" w:rsidRPr="00113364">
        <w:rPr>
          <w:rFonts w:ascii="Arial" w:hAnsi="Arial" w:cs="Arial"/>
        </w:rPr>
        <w:t>Health</w:t>
      </w:r>
      <w:proofErr w:type="gramEnd"/>
      <w:r w:rsidR="00BA03C8" w:rsidRPr="00113364">
        <w:rPr>
          <w:rFonts w:ascii="Arial" w:hAnsi="Arial" w:cs="Arial"/>
        </w:rPr>
        <w:t xml:space="preserve"> focus area as noted by table </w:t>
      </w:r>
      <w:r w:rsidR="004D30F4">
        <w:rPr>
          <w:rFonts w:ascii="Arial" w:hAnsi="Arial" w:cs="Arial"/>
        </w:rPr>
        <w:t>20</w:t>
      </w:r>
      <w:r w:rsidR="00BA03C8" w:rsidRPr="00113364">
        <w:rPr>
          <w:rFonts w:ascii="Arial" w:hAnsi="Arial" w:cs="Arial"/>
        </w:rPr>
        <w:t>.</w:t>
      </w:r>
    </w:p>
    <w:p w14:paraId="7FA7B2F3" w14:textId="3C792C12" w:rsidR="008B0200" w:rsidRPr="00113364" w:rsidRDefault="008B0200" w:rsidP="00FB34EF">
      <w:pPr>
        <w:pStyle w:val="Heading5"/>
        <w:spacing w:after="0"/>
        <w:rPr>
          <w:b/>
          <w:bCs/>
          <w:i w:val="0"/>
          <w:iCs/>
          <w:sz w:val="24"/>
        </w:rPr>
      </w:pPr>
      <w:bookmarkStart w:id="52" w:name="_Toc204755356"/>
      <w:r w:rsidRPr="00113364">
        <w:rPr>
          <w:b/>
          <w:bCs/>
          <w:i w:val="0"/>
          <w:iCs/>
          <w:sz w:val="24"/>
        </w:rPr>
        <w:lastRenderedPageBreak/>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20</w:t>
      </w:r>
      <w:r w:rsidR="00C46CA6" w:rsidRPr="00113364">
        <w:rPr>
          <w:b/>
          <w:bCs/>
          <w:i w:val="0"/>
          <w:iCs/>
          <w:noProof/>
          <w:sz w:val="24"/>
        </w:rPr>
        <w:fldChar w:fldCharType="end"/>
      </w:r>
      <w:r w:rsidRPr="00113364">
        <w:rPr>
          <w:b/>
          <w:bCs/>
          <w:i w:val="0"/>
          <w:iCs/>
          <w:sz w:val="24"/>
        </w:rPr>
        <w:t>. Data Summary, Concern Statement</w:t>
      </w:r>
      <w:r w:rsidR="00A96C2A" w:rsidRPr="00113364">
        <w:rPr>
          <w:b/>
          <w:bCs/>
          <w:i w:val="0"/>
          <w:iCs/>
          <w:sz w:val="24"/>
        </w:rPr>
        <w:t>, and Need</w:t>
      </w:r>
      <w:r w:rsidRPr="00113364">
        <w:rPr>
          <w:b/>
          <w:bCs/>
          <w:i w:val="0"/>
          <w:iCs/>
          <w:sz w:val="24"/>
        </w:rPr>
        <w:t xml:space="preserve"> Statement for Mental Health Services</w:t>
      </w:r>
      <w:bookmarkEnd w:id="52"/>
    </w:p>
    <w:tbl>
      <w:tblPr>
        <w:tblStyle w:val="GridTable4-Accent1"/>
        <w:tblW w:w="0" w:type="auto"/>
        <w:tblLook w:val="0420" w:firstRow="1" w:lastRow="0" w:firstColumn="0" w:lastColumn="0" w:noHBand="0" w:noVBand="1"/>
        <w:tblDescription w:val="Data Summary, Concern Statement, and Need Statement for Mental Health Services"/>
      </w:tblPr>
      <w:tblGrid>
        <w:gridCol w:w="5036"/>
        <w:gridCol w:w="2224"/>
        <w:gridCol w:w="2090"/>
      </w:tblGrid>
      <w:tr w:rsidR="00C34248" w:rsidRPr="00113364" w14:paraId="0B82F000" w14:textId="77777777" w:rsidTr="009E4486">
        <w:trPr>
          <w:cnfStyle w:val="100000000000" w:firstRow="1" w:lastRow="0" w:firstColumn="0" w:lastColumn="0" w:oddVBand="0" w:evenVBand="0" w:oddHBand="0" w:evenHBand="0" w:firstRowFirstColumn="0" w:firstRowLastColumn="0" w:lastRowFirstColumn="0" w:lastRowLastColumn="0"/>
          <w:cantSplit/>
          <w:tblHeader/>
        </w:trPr>
        <w:tc>
          <w:tcPr>
            <w:tcW w:w="5194" w:type="dxa"/>
            <w:tcBorders>
              <w:right w:val="single" w:sz="4" w:space="0" w:color="4472C4"/>
            </w:tcBorders>
            <w:shd w:val="clear" w:color="auto" w:fill="1F3864" w:themeFill="accent5" w:themeFillShade="80"/>
            <w:vAlign w:val="center"/>
          </w:tcPr>
          <w:p w14:paraId="5F8905CB" w14:textId="77777777" w:rsidR="00C34248" w:rsidRPr="00113364" w:rsidRDefault="00C34248" w:rsidP="00E53F38">
            <w:pPr>
              <w:jc w:val="center"/>
              <w:rPr>
                <w:rFonts w:ascii="Arial" w:hAnsi="Arial" w:cs="Arial"/>
                <w:b w:val="0"/>
                <w:color w:val="FFFFFF"/>
              </w:rPr>
            </w:pPr>
            <w:r w:rsidRPr="00113364">
              <w:rPr>
                <w:rFonts w:ascii="Arial" w:hAnsi="Arial" w:cs="Arial"/>
                <w:color w:val="FFFFFF"/>
              </w:rPr>
              <w:t>Data Summary:</w:t>
            </w:r>
          </w:p>
          <w:p w14:paraId="26B01DC8" w14:textId="4C3847A4" w:rsidR="00C34248" w:rsidRPr="00113364" w:rsidRDefault="00DB475C" w:rsidP="00E53F38">
            <w:pPr>
              <w:jc w:val="center"/>
              <w:rPr>
                <w:rFonts w:ascii="Arial" w:hAnsi="Arial" w:cs="Arial"/>
                <w:color w:val="FFFFFF"/>
              </w:rPr>
            </w:pPr>
            <w:r w:rsidRPr="00113364">
              <w:rPr>
                <w:rFonts w:ascii="Arial" w:hAnsi="Arial" w:cs="Arial"/>
                <w:color w:val="FFFFFF"/>
              </w:rPr>
              <w:t>The MSIN Databases 2017–18 through 2022–23</w:t>
            </w:r>
          </w:p>
        </w:tc>
        <w:tc>
          <w:tcPr>
            <w:tcW w:w="2271" w:type="dxa"/>
            <w:tcBorders>
              <w:left w:val="single" w:sz="4" w:space="0" w:color="4472C4"/>
              <w:right w:val="single" w:sz="4" w:space="0" w:color="4472C4"/>
            </w:tcBorders>
            <w:shd w:val="clear" w:color="auto" w:fill="1F3864" w:themeFill="accent5" w:themeFillShade="80"/>
            <w:vAlign w:val="center"/>
          </w:tcPr>
          <w:p w14:paraId="4D733DC0" w14:textId="77777777" w:rsidR="00C34248" w:rsidRPr="00113364" w:rsidRDefault="00C34248" w:rsidP="00E53F38">
            <w:pPr>
              <w:pStyle w:val="ListParagraph"/>
              <w:ind w:left="0"/>
              <w:jc w:val="center"/>
              <w:rPr>
                <w:rFonts w:ascii="Arial" w:hAnsi="Arial" w:cs="Arial"/>
                <w:color w:val="FFFFFF"/>
              </w:rPr>
            </w:pPr>
            <w:r w:rsidRPr="00113364">
              <w:rPr>
                <w:rFonts w:ascii="Arial" w:hAnsi="Arial" w:cs="Arial"/>
                <w:color w:val="FFFFFF"/>
              </w:rPr>
              <w:t>Concern Statement</w:t>
            </w:r>
          </w:p>
        </w:tc>
        <w:tc>
          <w:tcPr>
            <w:tcW w:w="1885" w:type="dxa"/>
            <w:tcBorders>
              <w:left w:val="single" w:sz="4" w:space="0" w:color="4472C4"/>
            </w:tcBorders>
            <w:shd w:val="clear" w:color="auto" w:fill="1F3864" w:themeFill="accent5" w:themeFillShade="80"/>
            <w:vAlign w:val="center"/>
          </w:tcPr>
          <w:p w14:paraId="5914BC26" w14:textId="77777777" w:rsidR="00C34248" w:rsidRPr="00113364" w:rsidRDefault="00C34248" w:rsidP="00E53F38">
            <w:pPr>
              <w:pStyle w:val="ListParagraph"/>
              <w:ind w:left="0"/>
              <w:jc w:val="center"/>
              <w:rPr>
                <w:rFonts w:ascii="Arial" w:hAnsi="Arial" w:cs="Arial"/>
                <w:color w:val="FFFFFF"/>
              </w:rPr>
            </w:pPr>
            <w:r w:rsidRPr="00113364">
              <w:rPr>
                <w:rFonts w:ascii="Arial" w:hAnsi="Arial" w:cs="Arial"/>
                <w:color w:val="FFFFFF"/>
              </w:rPr>
              <w:t>Need Statement</w:t>
            </w:r>
          </w:p>
        </w:tc>
      </w:tr>
      <w:tr w:rsidR="00C34248" w:rsidRPr="00113364" w14:paraId="0FBFFBFE" w14:textId="77777777" w:rsidTr="009E4486">
        <w:trPr>
          <w:cnfStyle w:val="000000100000" w:firstRow="0" w:lastRow="0" w:firstColumn="0" w:lastColumn="0" w:oddVBand="0" w:evenVBand="0" w:oddHBand="1" w:evenHBand="0" w:firstRowFirstColumn="0" w:firstRowLastColumn="0" w:lastRowFirstColumn="0" w:lastRowLastColumn="0"/>
          <w:cantSplit/>
          <w:trHeight w:val="251"/>
        </w:trPr>
        <w:tc>
          <w:tcPr>
            <w:tcW w:w="5194" w:type="dxa"/>
          </w:tcPr>
          <w:p w14:paraId="185C07DF" w14:textId="77777777" w:rsidR="00A95FBD" w:rsidRPr="00113364" w:rsidRDefault="00A95FBD">
            <w:pPr>
              <w:pStyle w:val="ListParagraph"/>
              <w:numPr>
                <w:ilvl w:val="0"/>
                <w:numId w:val="15"/>
              </w:numPr>
              <w:spacing w:after="120"/>
              <w:contextualSpacing w:val="0"/>
              <w:rPr>
                <w:rFonts w:ascii="Arial" w:hAnsi="Arial" w:cs="Arial"/>
              </w:rPr>
            </w:pPr>
            <w:r w:rsidRPr="00113364">
              <w:rPr>
                <w:rFonts w:ascii="Arial" w:hAnsi="Arial" w:cs="Arial"/>
              </w:rPr>
              <w:t xml:space="preserve">In 2020–21, 435 migratory students and youths indicated a mental health need and only 68 students and youths received services or mental health referrals. </w:t>
            </w:r>
          </w:p>
          <w:p w14:paraId="1DA6BED8" w14:textId="44F50F96" w:rsidR="00A95FBD" w:rsidRPr="00113364" w:rsidRDefault="00A95FBD">
            <w:pPr>
              <w:pStyle w:val="ListParagraph"/>
              <w:numPr>
                <w:ilvl w:val="1"/>
                <w:numId w:val="15"/>
              </w:numPr>
              <w:spacing w:after="120"/>
              <w:contextualSpacing w:val="0"/>
              <w:rPr>
                <w:rFonts w:ascii="Arial" w:hAnsi="Arial" w:cs="Arial"/>
              </w:rPr>
            </w:pPr>
            <w:r w:rsidRPr="00113364">
              <w:rPr>
                <w:rFonts w:ascii="Arial" w:hAnsi="Arial" w:cs="Arial"/>
              </w:rPr>
              <w:t xml:space="preserve">Parents noted a large discrepancy during the 2020–21 school year: the CDE began collecting data on mental health needs in 2020–21, so there was a large gap between the need and the students whose needs were met. </w:t>
            </w:r>
          </w:p>
          <w:p w14:paraId="20F42D3A" w14:textId="77777777" w:rsidR="00A95FBD" w:rsidRPr="00113364" w:rsidRDefault="00A95FBD">
            <w:pPr>
              <w:pStyle w:val="ListParagraph"/>
              <w:numPr>
                <w:ilvl w:val="0"/>
                <w:numId w:val="15"/>
              </w:numPr>
              <w:spacing w:after="120"/>
              <w:contextualSpacing w:val="0"/>
              <w:rPr>
                <w:rFonts w:ascii="Arial" w:hAnsi="Arial" w:cs="Arial"/>
              </w:rPr>
            </w:pPr>
            <w:r w:rsidRPr="00113364">
              <w:rPr>
                <w:rFonts w:ascii="Arial" w:hAnsi="Arial" w:cs="Arial"/>
              </w:rPr>
              <w:t xml:space="preserve">In 2022–23, of the 507 children and youths who identified a mental health need, 408 migratory children and youth received mental health services. </w:t>
            </w:r>
          </w:p>
          <w:p w14:paraId="5277CBDB" w14:textId="7DAC3DD6" w:rsidR="00A95FBD" w:rsidRPr="00113364" w:rsidRDefault="00A95FBD">
            <w:pPr>
              <w:pStyle w:val="ListParagraph"/>
              <w:numPr>
                <w:ilvl w:val="1"/>
                <w:numId w:val="15"/>
              </w:numPr>
              <w:spacing w:after="120"/>
              <w:contextualSpacing w:val="0"/>
              <w:rPr>
                <w:rFonts w:ascii="Arial" w:hAnsi="Arial" w:cs="Arial"/>
              </w:rPr>
            </w:pPr>
            <w:r w:rsidRPr="00113364">
              <w:rPr>
                <w:rFonts w:ascii="Arial" w:hAnsi="Arial" w:cs="Arial"/>
              </w:rPr>
              <w:t xml:space="preserve">During this </w:t>
            </w:r>
            <w:proofErr w:type="gramStart"/>
            <w:r w:rsidRPr="00113364">
              <w:rPr>
                <w:rFonts w:ascii="Arial" w:hAnsi="Arial" w:cs="Arial"/>
              </w:rPr>
              <w:t>time</w:t>
            </w:r>
            <w:proofErr w:type="gramEnd"/>
            <w:r w:rsidRPr="00113364">
              <w:rPr>
                <w:rFonts w:ascii="Arial" w:hAnsi="Arial" w:cs="Arial"/>
              </w:rPr>
              <w:t xml:space="preserve"> where data </w:t>
            </w:r>
            <w:r w:rsidR="00B17C7E" w:rsidRPr="00113364">
              <w:rPr>
                <w:rFonts w:ascii="Arial" w:hAnsi="Arial" w:cs="Arial"/>
              </w:rPr>
              <w:t xml:space="preserve">were </w:t>
            </w:r>
            <w:r w:rsidRPr="00113364">
              <w:rPr>
                <w:rFonts w:ascii="Arial" w:hAnsi="Arial" w:cs="Arial"/>
              </w:rPr>
              <w:t xml:space="preserve">being collected and monitored, parents noticed that many more children and youth had </w:t>
            </w:r>
            <w:proofErr w:type="gramStart"/>
            <w:r w:rsidRPr="00113364">
              <w:rPr>
                <w:rFonts w:ascii="Arial" w:hAnsi="Arial" w:cs="Arial"/>
              </w:rPr>
              <w:t>their mental health needs met</w:t>
            </w:r>
            <w:proofErr w:type="gramEnd"/>
            <w:r w:rsidRPr="00113364">
              <w:rPr>
                <w:rFonts w:ascii="Arial" w:hAnsi="Arial" w:cs="Arial"/>
              </w:rPr>
              <w:t>.</w:t>
            </w:r>
          </w:p>
          <w:p w14:paraId="369E511A" w14:textId="0BA3209D" w:rsidR="00C34248" w:rsidRPr="00113364" w:rsidRDefault="00A95FBD">
            <w:pPr>
              <w:pStyle w:val="ListParagraph"/>
              <w:numPr>
                <w:ilvl w:val="0"/>
                <w:numId w:val="15"/>
              </w:numPr>
              <w:spacing w:after="120"/>
              <w:contextualSpacing w:val="0"/>
              <w:rPr>
                <w:rFonts w:ascii="Arial" w:hAnsi="Arial" w:cs="Arial"/>
              </w:rPr>
            </w:pPr>
            <w:r w:rsidRPr="00113364">
              <w:rPr>
                <w:rFonts w:ascii="Arial" w:hAnsi="Arial" w:cs="Arial"/>
              </w:rPr>
              <w:t>During discussions, parents communicated that mental health remained to be a need that could be supported by the MEP.</w:t>
            </w:r>
          </w:p>
        </w:tc>
        <w:tc>
          <w:tcPr>
            <w:tcW w:w="2271" w:type="dxa"/>
          </w:tcPr>
          <w:p w14:paraId="729A173A" w14:textId="0C532B2F" w:rsidR="00C34248" w:rsidRPr="00113364" w:rsidRDefault="00A95FBD" w:rsidP="00DB475C">
            <w:pPr>
              <w:spacing w:after="240"/>
              <w:rPr>
                <w:rFonts w:ascii="Arial" w:hAnsi="Arial" w:cs="Arial"/>
              </w:rPr>
            </w:pPr>
            <w:r w:rsidRPr="00113364">
              <w:rPr>
                <w:rFonts w:ascii="Arial" w:hAnsi="Arial" w:cs="Arial"/>
              </w:rPr>
              <w:t>We are concerned that in 2020–21, when the state started focusing more on mental health, only 68 of the 435 migratory children and youth received necessary mental health services.</w:t>
            </w:r>
          </w:p>
        </w:tc>
        <w:tc>
          <w:tcPr>
            <w:tcW w:w="1885" w:type="dxa"/>
          </w:tcPr>
          <w:p w14:paraId="1C7A0289" w14:textId="41A1748C" w:rsidR="00C34248" w:rsidRPr="00113364" w:rsidRDefault="00A95FBD" w:rsidP="003F5A71">
            <w:pPr>
              <w:spacing w:after="240"/>
              <w:ind w:left="-20"/>
              <w:rPr>
                <w:rFonts w:ascii="Arial" w:hAnsi="Arial" w:cs="Arial"/>
              </w:rPr>
            </w:pPr>
            <w:r w:rsidRPr="00113364">
              <w:rPr>
                <w:rFonts w:ascii="Arial" w:hAnsi="Arial" w:cs="Arial"/>
              </w:rPr>
              <w:t>One hundred percent of migratory children and youth with an identified mental health need should receive mental health services/referrals.</w:t>
            </w:r>
          </w:p>
        </w:tc>
      </w:tr>
    </w:tbl>
    <w:p w14:paraId="399BA5D8" w14:textId="3797AD87" w:rsidR="00BA03C8" w:rsidRPr="00113364" w:rsidRDefault="00263BCC" w:rsidP="00BA03C8">
      <w:pPr>
        <w:spacing w:before="240" w:after="240"/>
        <w:rPr>
          <w:rFonts w:ascii="Arial" w:hAnsi="Arial" w:cs="Arial"/>
        </w:rPr>
      </w:pPr>
      <w:r w:rsidRPr="00113364">
        <w:rPr>
          <w:rFonts w:ascii="Arial" w:hAnsi="Arial" w:cs="Arial"/>
        </w:rPr>
        <w:t>Parents are an integral part of their children’s academic success and can be equally supportive in maintaining positive mental health behaviors.</w:t>
      </w:r>
      <w:r w:rsidR="009E4486" w:rsidRPr="00113364">
        <w:rPr>
          <w:rFonts w:ascii="Arial" w:hAnsi="Arial" w:cs="Arial"/>
        </w:rPr>
        <w:t xml:space="preserve"> Progress in this area has been made over the past five years with parents participating in various mental health workshops and sessions.</w:t>
      </w:r>
      <w:r w:rsidRPr="00113364">
        <w:rPr>
          <w:rFonts w:ascii="Arial" w:hAnsi="Arial" w:cs="Arial"/>
        </w:rPr>
        <w:t xml:space="preserve"> The MEP provides workshops and training for migratory parents and caregivers to build their knowledge in a wide range of areas (e.g.</w:t>
      </w:r>
      <w:r w:rsidR="009B7DFD">
        <w:rPr>
          <w:rFonts w:ascii="Arial" w:hAnsi="Arial" w:cs="Arial"/>
        </w:rPr>
        <w:t>,</w:t>
      </w:r>
      <w:r w:rsidRPr="00113364">
        <w:rPr>
          <w:rFonts w:ascii="Arial" w:hAnsi="Arial" w:cs="Arial"/>
        </w:rPr>
        <w:t xml:space="preserve"> understanding student data, SEL, early learning, benefits of multilingualism, etc.)</w:t>
      </w:r>
      <w:r w:rsidR="009E4486" w:rsidRPr="00113364">
        <w:rPr>
          <w:rFonts w:ascii="Arial" w:hAnsi="Arial" w:cs="Arial"/>
        </w:rPr>
        <w:t>. Additional parent and family engagement needs are identified next.</w:t>
      </w:r>
    </w:p>
    <w:p w14:paraId="5332F7EB" w14:textId="7B9C6355" w:rsidR="00E4616D" w:rsidRPr="00113364" w:rsidRDefault="00E4616D" w:rsidP="003F0CBE">
      <w:pPr>
        <w:pStyle w:val="Heading3"/>
      </w:pPr>
      <w:bookmarkStart w:id="53" w:name="_Toc203568845"/>
      <w:r w:rsidRPr="00113364">
        <w:t>Parent and Family Engagement</w:t>
      </w:r>
      <w:bookmarkEnd w:id="53"/>
    </w:p>
    <w:p w14:paraId="655DD87F" w14:textId="7B4BA415" w:rsidR="008C52ED" w:rsidRPr="00113364" w:rsidRDefault="00223965" w:rsidP="007D74B3">
      <w:pPr>
        <w:rPr>
          <w:rFonts w:ascii="Arial" w:hAnsi="Arial" w:cs="Arial"/>
        </w:rPr>
      </w:pPr>
      <w:r w:rsidRPr="00113364">
        <w:rPr>
          <w:rFonts w:ascii="Arial" w:hAnsi="Arial" w:cs="Arial"/>
        </w:rPr>
        <w:t xml:space="preserve">Because the MEP is a student-centered program, California only collects the parental information identified in California’s </w:t>
      </w:r>
      <w:r w:rsidR="00B17C7E" w:rsidRPr="00113364">
        <w:rPr>
          <w:rFonts w:ascii="Arial" w:hAnsi="Arial" w:cs="Arial"/>
        </w:rPr>
        <w:t>C</w:t>
      </w:r>
      <w:r w:rsidRPr="00113364">
        <w:rPr>
          <w:rFonts w:ascii="Arial" w:hAnsi="Arial" w:cs="Arial"/>
        </w:rPr>
        <w:t xml:space="preserve">ertificate of </w:t>
      </w:r>
      <w:r w:rsidR="00B17C7E" w:rsidRPr="00113364">
        <w:rPr>
          <w:rFonts w:ascii="Arial" w:hAnsi="Arial" w:cs="Arial"/>
        </w:rPr>
        <w:t>E</w:t>
      </w:r>
      <w:r w:rsidRPr="00113364">
        <w:rPr>
          <w:rFonts w:ascii="Arial" w:hAnsi="Arial" w:cs="Arial"/>
        </w:rPr>
        <w:t xml:space="preserve">ligibility. For that reason, the CDE presented the Regional Educational Laboratory (REL) at WestEd’s </w:t>
      </w:r>
      <w:r w:rsidRPr="00113364">
        <w:rPr>
          <w:rFonts w:ascii="Arial" w:hAnsi="Arial" w:cs="Arial"/>
          <w:i/>
          <w:iCs/>
        </w:rPr>
        <w:t xml:space="preserve">Parental </w:t>
      </w:r>
      <w:r w:rsidRPr="00113364">
        <w:rPr>
          <w:rFonts w:ascii="Arial" w:hAnsi="Arial" w:cs="Arial"/>
          <w:i/>
          <w:iCs/>
        </w:rPr>
        <w:lastRenderedPageBreak/>
        <w:t xml:space="preserve">Involvement and Family Engagement: A Snapshot of California’s 2019 Local Indicator Data </w:t>
      </w:r>
      <w:r w:rsidRPr="00113364">
        <w:rPr>
          <w:rFonts w:ascii="Arial" w:hAnsi="Arial" w:cs="Arial"/>
        </w:rPr>
        <w:t>for review where parents were specifically interested in the focus areas for improvement</w:t>
      </w:r>
      <w:r w:rsidR="0027366D" w:rsidRPr="00113364">
        <w:rPr>
          <w:rFonts w:ascii="Arial" w:hAnsi="Arial" w:cs="Arial"/>
        </w:rPr>
        <w:t>. The CNA SDP Committee also took time to discuss their experiences and their challenges to help identify specific needs. The two prioritized needs for the Parent and Family Engagement focus area include building awareness of the MEP and enhancing communication between schools and migratory parents.</w:t>
      </w:r>
    </w:p>
    <w:p w14:paraId="42CC3DA9" w14:textId="67F27686" w:rsidR="00263BCC" w:rsidRPr="00113364" w:rsidRDefault="003F5A71" w:rsidP="002F5498">
      <w:pPr>
        <w:pStyle w:val="Heading4"/>
        <w:rPr>
          <w:rFonts w:cs="Arial"/>
        </w:rPr>
      </w:pPr>
      <w:r w:rsidRPr="00113364">
        <w:t>Parent and Family Engagement Focus Area</w:t>
      </w:r>
      <w:r w:rsidR="006143B6" w:rsidRPr="00113364">
        <w:t xml:space="preserve">: </w:t>
      </w:r>
      <w:r w:rsidR="00F2023D" w:rsidRPr="00113364">
        <w:rPr>
          <w:rFonts w:cs="Arial"/>
        </w:rPr>
        <w:t>Building Awareness</w:t>
      </w:r>
    </w:p>
    <w:p w14:paraId="743A2F9D" w14:textId="50F9147A" w:rsidR="00CC69DE" w:rsidRPr="00113364" w:rsidRDefault="00CC69DE" w:rsidP="00CC69DE">
      <w:pPr>
        <w:spacing w:after="240"/>
        <w:rPr>
          <w:rFonts w:ascii="Arial" w:hAnsi="Arial" w:cs="Arial"/>
        </w:rPr>
      </w:pPr>
      <w:r w:rsidRPr="00113364">
        <w:rPr>
          <w:rFonts w:ascii="Arial" w:hAnsi="Arial" w:cs="Arial"/>
        </w:rPr>
        <w:t>Parent members of the CNA SDP Committee, which included the SPAC members, felt that there was a lack of awareness among parents regarding the purpose of the MEP</w:t>
      </w:r>
      <w:r w:rsidR="0027366D" w:rsidRPr="00113364">
        <w:rPr>
          <w:rFonts w:ascii="Arial" w:hAnsi="Arial" w:cs="Arial"/>
        </w:rPr>
        <w:t xml:space="preserve"> and the services that it provides. Table </w:t>
      </w:r>
      <w:r w:rsidR="004D30F4">
        <w:rPr>
          <w:rFonts w:ascii="Arial" w:hAnsi="Arial" w:cs="Arial"/>
        </w:rPr>
        <w:t>21</w:t>
      </w:r>
      <w:r w:rsidR="0027366D" w:rsidRPr="00113364">
        <w:rPr>
          <w:rFonts w:ascii="Arial" w:hAnsi="Arial" w:cs="Arial"/>
        </w:rPr>
        <w:t xml:space="preserve"> outlines the data, concern, and need identified by the CNA SDP Committee for building awareness of the MEP.</w:t>
      </w:r>
    </w:p>
    <w:p w14:paraId="3BA39757" w14:textId="366EF261" w:rsidR="008B0200" w:rsidRPr="00113364" w:rsidRDefault="008B0200" w:rsidP="002F5498">
      <w:pPr>
        <w:pStyle w:val="Heading5"/>
        <w:spacing w:after="0"/>
        <w:rPr>
          <w:b/>
          <w:bCs/>
          <w:i w:val="0"/>
          <w:iCs/>
          <w:sz w:val="24"/>
        </w:rPr>
      </w:pPr>
      <w:bookmarkStart w:id="54" w:name="_Toc204755357"/>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21</w:t>
      </w:r>
      <w:r w:rsidR="00C46CA6" w:rsidRPr="00113364">
        <w:rPr>
          <w:b/>
          <w:bCs/>
          <w:i w:val="0"/>
          <w:iCs/>
          <w:noProof/>
          <w:sz w:val="24"/>
        </w:rPr>
        <w:fldChar w:fldCharType="end"/>
      </w:r>
      <w:r w:rsidRPr="00113364">
        <w:rPr>
          <w:b/>
          <w:bCs/>
          <w:i w:val="0"/>
          <w:iCs/>
          <w:sz w:val="24"/>
        </w:rPr>
        <w:t>. Data Summary, Concern Statement</w:t>
      </w:r>
      <w:r w:rsidR="00A117E0" w:rsidRPr="00113364">
        <w:rPr>
          <w:b/>
          <w:bCs/>
          <w:i w:val="0"/>
          <w:iCs/>
          <w:sz w:val="24"/>
        </w:rPr>
        <w:t>, and Need</w:t>
      </w:r>
      <w:r w:rsidRPr="00113364">
        <w:rPr>
          <w:b/>
          <w:bCs/>
          <w:i w:val="0"/>
          <w:iCs/>
          <w:sz w:val="24"/>
        </w:rPr>
        <w:t xml:space="preserve"> Statement for Parent and Family Engagement: Capacity Building</w:t>
      </w:r>
      <w:bookmarkEnd w:id="54"/>
    </w:p>
    <w:tbl>
      <w:tblPr>
        <w:tblStyle w:val="GridTable4-Accent1"/>
        <w:tblpPr w:leftFromText="180" w:rightFromText="180" w:vertAnchor="text" w:horzAnchor="margin" w:tblpY="8"/>
        <w:tblW w:w="0" w:type="auto"/>
        <w:tblLook w:val="0420" w:firstRow="1" w:lastRow="0" w:firstColumn="0" w:lastColumn="0" w:noHBand="0" w:noVBand="1"/>
        <w:tblDescription w:val="Data Summary, Concern Statement, and Need Statement for Parent and Family Engagement: Capacity Building"/>
      </w:tblPr>
      <w:tblGrid>
        <w:gridCol w:w="4945"/>
        <w:gridCol w:w="2160"/>
        <w:gridCol w:w="2245"/>
      </w:tblGrid>
      <w:tr w:rsidR="0027366D" w:rsidRPr="00113364" w14:paraId="13A82C61" w14:textId="77777777" w:rsidTr="0027366D">
        <w:trPr>
          <w:cnfStyle w:val="100000000000" w:firstRow="1" w:lastRow="0" w:firstColumn="0" w:lastColumn="0" w:oddVBand="0" w:evenVBand="0" w:oddHBand="0" w:evenHBand="0" w:firstRowFirstColumn="0" w:firstRowLastColumn="0" w:lastRowFirstColumn="0" w:lastRowLastColumn="0"/>
          <w:cantSplit/>
          <w:tblHeader/>
        </w:trPr>
        <w:tc>
          <w:tcPr>
            <w:tcW w:w="4945" w:type="dxa"/>
            <w:tcBorders>
              <w:right w:val="single" w:sz="4" w:space="0" w:color="4472C4"/>
            </w:tcBorders>
            <w:shd w:val="clear" w:color="auto" w:fill="1F3864" w:themeFill="accent5" w:themeFillShade="80"/>
            <w:vAlign w:val="center"/>
          </w:tcPr>
          <w:p w14:paraId="4F0AE4C7" w14:textId="77777777" w:rsidR="0027366D" w:rsidRPr="00113364" w:rsidRDefault="0027366D" w:rsidP="0027366D">
            <w:pPr>
              <w:jc w:val="center"/>
              <w:rPr>
                <w:rFonts w:ascii="Arial" w:hAnsi="Arial" w:cs="Arial"/>
                <w:b w:val="0"/>
                <w:color w:val="FFFFFF"/>
              </w:rPr>
            </w:pPr>
            <w:r w:rsidRPr="00113364">
              <w:rPr>
                <w:rFonts w:ascii="Arial" w:hAnsi="Arial" w:cs="Arial"/>
                <w:color w:val="FFFFFF"/>
              </w:rPr>
              <w:t>Data Summary:</w:t>
            </w:r>
          </w:p>
          <w:p w14:paraId="6FF77471" w14:textId="77777777" w:rsidR="0027366D" w:rsidRPr="00113364" w:rsidRDefault="0027366D" w:rsidP="0027366D">
            <w:pPr>
              <w:jc w:val="center"/>
              <w:rPr>
                <w:rFonts w:ascii="Arial" w:hAnsi="Arial" w:cs="Arial"/>
                <w:color w:val="FFFFFF"/>
              </w:rPr>
            </w:pPr>
            <w:r w:rsidRPr="00113364">
              <w:rPr>
                <w:rFonts w:ascii="Arial" w:hAnsi="Arial" w:cs="Arial"/>
              </w:rPr>
              <w:t>Qualitative Data from the CNA SDP Committee</w:t>
            </w:r>
          </w:p>
        </w:tc>
        <w:tc>
          <w:tcPr>
            <w:tcW w:w="2160" w:type="dxa"/>
            <w:tcBorders>
              <w:left w:val="single" w:sz="4" w:space="0" w:color="4472C4"/>
              <w:right w:val="single" w:sz="4" w:space="0" w:color="4472C4"/>
            </w:tcBorders>
            <w:shd w:val="clear" w:color="auto" w:fill="1F3864" w:themeFill="accent5" w:themeFillShade="80"/>
            <w:vAlign w:val="center"/>
          </w:tcPr>
          <w:p w14:paraId="033AFE34" w14:textId="77777777" w:rsidR="0027366D" w:rsidRPr="00113364" w:rsidRDefault="0027366D" w:rsidP="0027366D">
            <w:pPr>
              <w:pStyle w:val="ListParagraph"/>
              <w:ind w:left="-14"/>
              <w:jc w:val="center"/>
              <w:rPr>
                <w:rFonts w:ascii="Arial" w:hAnsi="Arial" w:cs="Arial"/>
                <w:color w:val="FFFFFF"/>
              </w:rPr>
            </w:pPr>
            <w:r w:rsidRPr="00113364">
              <w:rPr>
                <w:rFonts w:ascii="Arial" w:hAnsi="Arial" w:cs="Arial"/>
                <w:color w:val="FFFFFF"/>
              </w:rPr>
              <w:t>Concern Statement</w:t>
            </w:r>
          </w:p>
        </w:tc>
        <w:tc>
          <w:tcPr>
            <w:tcW w:w="2245" w:type="dxa"/>
            <w:tcBorders>
              <w:left w:val="single" w:sz="4" w:space="0" w:color="4472C4"/>
            </w:tcBorders>
            <w:shd w:val="clear" w:color="auto" w:fill="1F3864" w:themeFill="accent5" w:themeFillShade="80"/>
            <w:vAlign w:val="center"/>
          </w:tcPr>
          <w:p w14:paraId="0936BAC7" w14:textId="77777777" w:rsidR="0027366D" w:rsidRPr="00113364" w:rsidRDefault="0027366D" w:rsidP="0027366D">
            <w:pPr>
              <w:pStyle w:val="ListParagraph"/>
              <w:ind w:left="-14"/>
              <w:jc w:val="center"/>
              <w:rPr>
                <w:rFonts w:ascii="Arial" w:hAnsi="Arial" w:cs="Arial"/>
                <w:color w:val="FFFFFF"/>
              </w:rPr>
            </w:pPr>
            <w:r w:rsidRPr="00113364">
              <w:rPr>
                <w:rFonts w:ascii="Arial" w:hAnsi="Arial" w:cs="Arial"/>
                <w:color w:val="FFFFFF"/>
              </w:rPr>
              <w:t>Need Statement</w:t>
            </w:r>
          </w:p>
        </w:tc>
      </w:tr>
      <w:tr w:rsidR="0027366D" w:rsidRPr="00113364" w14:paraId="7FF43BD7" w14:textId="77777777" w:rsidTr="0027366D">
        <w:trPr>
          <w:cnfStyle w:val="000000100000" w:firstRow="0" w:lastRow="0" w:firstColumn="0" w:lastColumn="0" w:oddVBand="0" w:evenVBand="0" w:oddHBand="1" w:evenHBand="0" w:firstRowFirstColumn="0" w:firstRowLastColumn="0" w:lastRowFirstColumn="0" w:lastRowLastColumn="0"/>
          <w:cantSplit/>
          <w:trHeight w:val="251"/>
        </w:trPr>
        <w:tc>
          <w:tcPr>
            <w:tcW w:w="4945" w:type="dxa"/>
          </w:tcPr>
          <w:p w14:paraId="35BB45AB" w14:textId="77777777" w:rsidR="0027366D" w:rsidRPr="00113364" w:rsidRDefault="0027366D">
            <w:pPr>
              <w:pStyle w:val="ListParagraph"/>
              <w:numPr>
                <w:ilvl w:val="0"/>
                <w:numId w:val="17"/>
              </w:numPr>
              <w:spacing w:after="120"/>
              <w:ind w:left="331"/>
              <w:contextualSpacing w:val="0"/>
              <w:rPr>
                <w:rFonts w:ascii="Arial" w:hAnsi="Arial" w:cs="Arial"/>
              </w:rPr>
            </w:pPr>
            <w:r w:rsidRPr="00113364">
              <w:rPr>
                <w:rFonts w:ascii="Arial" w:hAnsi="Arial" w:cs="Arial"/>
              </w:rPr>
              <w:t>Schools should survey parents to identify what days/times work best for parents to participate in activities/events (e.g., after school and on Saturdays).</w:t>
            </w:r>
          </w:p>
          <w:p w14:paraId="6C6C83CD" w14:textId="77777777" w:rsidR="0027366D" w:rsidRPr="00113364" w:rsidRDefault="0027366D">
            <w:pPr>
              <w:pStyle w:val="ListParagraph"/>
              <w:numPr>
                <w:ilvl w:val="0"/>
                <w:numId w:val="17"/>
              </w:numPr>
              <w:spacing w:after="120"/>
              <w:ind w:left="331"/>
              <w:contextualSpacing w:val="0"/>
              <w:rPr>
                <w:rFonts w:ascii="Arial" w:hAnsi="Arial" w:cs="Arial"/>
              </w:rPr>
            </w:pPr>
            <w:r w:rsidRPr="00113364">
              <w:rPr>
                <w:rFonts w:ascii="Arial" w:hAnsi="Arial" w:cs="Arial"/>
              </w:rPr>
              <w:t xml:space="preserve">There’s a lack of information and </w:t>
            </w:r>
            <w:proofErr w:type="gramStart"/>
            <w:r w:rsidRPr="00113364">
              <w:rPr>
                <w:rFonts w:ascii="Arial" w:hAnsi="Arial" w:cs="Arial"/>
              </w:rPr>
              <w:t>supports</w:t>
            </w:r>
            <w:proofErr w:type="gramEnd"/>
            <w:r w:rsidRPr="00113364">
              <w:rPr>
                <w:rFonts w:ascii="Arial" w:hAnsi="Arial" w:cs="Arial"/>
              </w:rPr>
              <w:t xml:space="preserve"> for parents to participate more.</w:t>
            </w:r>
          </w:p>
          <w:p w14:paraId="1A094D5B" w14:textId="77777777" w:rsidR="0027366D" w:rsidRPr="00113364" w:rsidRDefault="0027366D">
            <w:pPr>
              <w:pStyle w:val="ListParagraph"/>
              <w:numPr>
                <w:ilvl w:val="0"/>
                <w:numId w:val="17"/>
              </w:numPr>
              <w:spacing w:after="120"/>
              <w:ind w:left="331"/>
              <w:contextualSpacing w:val="0"/>
              <w:rPr>
                <w:rFonts w:ascii="Arial" w:hAnsi="Arial" w:cs="Arial"/>
              </w:rPr>
            </w:pPr>
            <w:r w:rsidRPr="00113364">
              <w:rPr>
                <w:rFonts w:ascii="Arial" w:hAnsi="Arial" w:cs="Arial"/>
              </w:rPr>
              <w:t>Parents are hesitant to ask for information for fear of being discriminated against.</w:t>
            </w:r>
          </w:p>
        </w:tc>
        <w:tc>
          <w:tcPr>
            <w:tcW w:w="2160" w:type="dxa"/>
          </w:tcPr>
          <w:p w14:paraId="71E95587" w14:textId="1E70B25B" w:rsidR="0027366D" w:rsidRPr="00113364" w:rsidRDefault="0027366D" w:rsidP="00E75DD3">
            <w:pPr>
              <w:spacing w:after="240"/>
              <w:ind w:right="3"/>
              <w:rPr>
                <w:rFonts w:ascii="Arial" w:hAnsi="Arial" w:cs="Arial"/>
              </w:rPr>
            </w:pPr>
            <w:r w:rsidRPr="00113364">
              <w:rPr>
                <w:rFonts w:ascii="Arial" w:hAnsi="Arial" w:cs="Arial"/>
              </w:rPr>
              <w:t xml:space="preserve">We are concerned that workshops and </w:t>
            </w:r>
            <w:proofErr w:type="gramStart"/>
            <w:r w:rsidRPr="00113364">
              <w:rPr>
                <w:rFonts w:ascii="Arial" w:hAnsi="Arial" w:cs="Arial"/>
              </w:rPr>
              <w:t>training</w:t>
            </w:r>
            <w:r w:rsidR="003F0CBE">
              <w:rPr>
                <w:rFonts w:ascii="Arial" w:hAnsi="Arial" w:cs="Arial"/>
              </w:rPr>
              <w:t>s</w:t>
            </w:r>
            <w:proofErr w:type="gramEnd"/>
            <w:r w:rsidRPr="00113364">
              <w:rPr>
                <w:rFonts w:ascii="Arial" w:hAnsi="Arial" w:cs="Arial"/>
              </w:rPr>
              <w:t xml:space="preserve"> are not provided to migratory families.</w:t>
            </w:r>
          </w:p>
        </w:tc>
        <w:tc>
          <w:tcPr>
            <w:tcW w:w="2245" w:type="dxa"/>
          </w:tcPr>
          <w:p w14:paraId="1F830219" w14:textId="67EACF08" w:rsidR="0027366D" w:rsidRPr="00113364" w:rsidRDefault="00E75DD3" w:rsidP="0027366D">
            <w:pPr>
              <w:rPr>
                <w:rFonts w:ascii="Arial" w:hAnsi="Arial" w:cs="Arial"/>
              </w:rPr>
            </w:pPr>
            <w:r w:rsidRPr="00113364">
              <w:rPr>
                <w:rFonts w:ascii="Arial" w:hAnsi="Arial" w:cs="Arial"/>
              </w:rPr>
              <w:t>Local education agencies (</w:t>
            </w:r>
            <w:r w:rsidR="0027366D" w:rsidRPr="00113364">
              <w:rPr>
                <w:rFonts w:ascii="Arial" w:hAnsi="Arial" w:cs="Arial"/>
              </w:rPr>
              <w:t>LEAs</w:t>
            </w:r>
            <w:r w:rsidRPr="00113364">
              <w:rPr>
                <w:rFonts w:ascii="Arial" w:hAnsi="Arial" w:cs="Arial"/>
              </w:rPr>
              <w:t>)</w:t>
            </w:r>
            <w:r w:rsidR="0027366D" w:rsidRPr="00113364">
              <w:rPr>
                <w:rFonts w:ascii="Arial" w:hAnsi="Arial" w:cs="Arial"/>
              </w:rPr>
              <w:t xml:space="preserve"> need to offer workshops with appropriate scheduling (e.g., school or district–when parents are available) and use various methods to communicate with parents.</w:t>
            </w:r>
          </w:p>
        </w:tc>
      </w:tr>
    </w:tbl>
    <w:p w14:paraId="7C4A6EA0" w14:textId="13DC8D95" w:rsidR="0027366D" w:rsidRPr="00113364" w:rsidRDefault="0027366D" w:rsidP="0027366D">
      <w:pPr>
        <w:spacing w:before="240" w:after="240"/>
        <w:rPr>
          <w:rFonts w:ascii="Arial" w:hAnsi="Arial" w:cs="Arial"/>
        </w:rPr>
      </w:pPr>
      <w:r w:rsidRPr="00113364">
        <w:rPr>
          <w:rFonts w:ascii="Arial" w:hAnsi="Arial" w:cs="Arial"/>
        </w:rPr>
        <w:t>Building awareness of the program with parents is important, but parents also noted that schools their children attended did</w:t>
      </w:r>
      <w:r w:rsidR="00C27AAB" w:rsidRPr="00113364">
        <w:rPr>
          <w:rFonts w:ascii="Arial" w:hAnsi="Arial" w:cs="Arial"/>
        </w:rPr>
        <w:t xml:space="preserve"> no</w:t>
      </w:r>
      <w:r w:rsidRPr="00113364">
        <w:rPr>
          <w:rFonts w:ascii="Arial" w:hAnsi="Arial" w:cs="Arial"/>
        </w:rPr>
        <w:t xml:space="preserve">t have a lot of knowledge of the program. </w:t>
      </w:r>
      <w:r w:rsidR="00752091" w:rsidRPr="00113364">
        <w:rPr>
          <w:rFonts w:ascii="Arial" w:hAnsi="Arial" w:cs="Arial"/>
        </w:rPr>
        <w:t>In</w:t>
      </w:r>
      <w:r w:rsidRPr="00113364">
        <w:rPr>
          <w:rFonts w:ascii="Arial" w:hAnsi="Arial" w:cs="Arial"/>
        </w:rPr>
        <w:t xml:space="preserve"> some cases, the school staff themselves did not know there was </w:t>
      </w:r>
      <w:proofErr w:type="gramStart"/>
      <w:r w:rsidRPr="00113364">
        <w:rPr>
          <w:rFonts w:ascii="Arial" w:hAnsi="Arial" w:cs="Arial"/>
        </w:rPr>
        <w:t>a MEP</w:t>
      </w:r>
      <w:proofErr w:type="gramEnd"/>
      <w:r w:rsidRPr="00113364">
        <w:rPr>
          <w:rFonts w:ascii="Arial" w:hAnsi="Arial" w:cs="Arial"/>
        </w:rPr>
        <w:t xml:space="preserve"> in the area. </w:t>
      </w:r>
      <w:r w:rsidR="00752091" w:rsidRPr="00113364">
        <w:rPr>
          <w:rFonts w:ascii="Arial" w:hAnsi="Arial" w:cs="Arial"/>
        </w:rPr>
        <w:t>Alternate communication methods and dissemination of informational materials may help with these initial efforts.</w:t>
      </w:r>
    </w:p>
    <w:p w14:paraId="037934F7" w14:textId="18467C93" w:rsidR="0023211E" w:rsidRPr="00113364" w:rsidRDefault="0023211E" w:rsidP="002F5498">
      <w:pPr>
        <w:pStyle w:val="Heading4"/>
      </w:pPr>
      <w:r w:rsidRPr="00113364">
        <w:t>Parent and Family Engagement Focus Area: C</w:t>
      </w:r>
      <w:r w:rsidR="00F2023D" w:rsidRPr="00113364">
        <w:t>ommunication</w:t>
      </w:r>
    </w:p>
    <w:p w14:paraId="7F4F7A8B" w14:textId="7B4F5BB2" w:rsidR="00752091" w:rsidRPr="00113364" w:rsidRDefault="00752091" w:rsidP="00752091">
      <w:pPr>
        <w:spacing w:after="240"/>
        <w:rPr>
          <w:rFonts w:ascii="Arial" w:hAnsi="Arial" w:cs="Arial"/>
        </w:rPr>
      </w:pPr>
      <w:r w:rsidRPr="00113364">
        <w:rPr>
          <w:rFonts w:ascii="Arial" w:hAnsi="Arial" w:cs="Arial"/>
        </w:rPr>
        <w:t>In addition to brin</w:t>
      </w:r>
      <w:r w:rsidR="00C27AAB" w:rsidRPr="00113364">
        <w:rPr>
          <w:rFonts w:ascii="Arial" w:hAnsi="Arial" w:cs="Arial"/>
        </w:rPr>
        <w:t>g</w:t>
      </w:r>
      <w:r w:rsidRPr="00113364">
        <w:rPr>
          <w:rFonts w:ascii="Arial" w:hAnsi="Arial" w:cs="Arial"/>
        </w:rPr>
        <w:t>ing higher awareness of the program to parents and schools, the committee also saw</w:t>
      </w:r>
      <w:r w:rsidR="00331262" w:rsidRPr="00113364">
        <w:rPr>
          <w:rFonts w:ascii="Arial" w:hAnsi="Arial" w:cs="Arial"/>
        </w:rPr>
        <w:t xml:space="preserve"> an opportunity to improve communication between parents and the schools and MEP. Table 2</w:t>
      </w:r>
      <w:r w:rsidR="004D30F4">
        <w:rPr>
          <w:rFonts w:ascii="Arial" w:hAnsi="Arial" w:cs="Arial"/>
        </w:rPr>
        <w:t>2</w:t>
      </w:r>
      <w:r w:rsidR="00331262" w:rsidRPr="00113364">
        <w:rPr>
          <w:rFonts w:ascii="Arial" w:hAnsi="Arial" w:cs="Arial"/>
        </w:rPr>
        <w:t xml:space="preserve"> illustrates the need for improved communications using the 2018 REL data and the last three bullets including parent experiences within their schools. Table 20 identifies the concern and need statements based on these data.</w:t>
      </w:r>
    </w:p>
    <w:p w14:paraId="5BF19164" w14:textId="5CABDF71" w:rsidR="0023211E" w:rsidRPr="00113364" w:rsidRDefault="0023211E" w:rsidP="002F5498">
      <w:pPr>
        <w:pStyle w:val="Heading5"/>
        <w:spacing w:after="0"/>
        <w:rPr>
          <w:b/>
          <w:bCs/>
          <w:i w:val="0"/>
          <w:iCs/>
          <w:sz w:val="24"/>
        </w:rPr>
      </w:pPr>
      <w:bookmarkStart w:id="55" w:name="_Toc204755358"/>
      <w:r w:rsidRPr="00113364">
        <w:rPr>
          <w:b/>
          <w:bCs/>
          <w:i w:val="0"/>
          <w:iCs/>
          <w:sz w:val="24"/>
        </w:rPr>
        <w:lastRenderedPageBreak/>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22</w:t>
      </w:r>
      <w:r w:rsidR="00C46CA6" w:rsidRPr="00113364">
        <w:rPr>
          <w:b/>
          <w:bCs/>
          <w:i w:val="0"/>
          <w:iCs/>
          <w:noProof/>
          <w:sz w:val="24"/>
        </w:rPr>
        <w:fldChar w:fldCharType="end"/>
      </w:r>
      <w:r w:rsidRPr="00113364">
        <w:rPr>
          <w:b/>
          <w:bCs/>
          <w:i w:val="0"/>
          <w:iCs/>
          <w:sz w:val="24"/>
        </w:rPr>
        <w:t xml:space="preserve">. Data Summary, Concern Statement, and Need Statement for Parent and Family Engagement: Battling Information </w:t>
      </w:r>
      <w:r w:rsidR="00067DE7" w:rsidRPr="00113364">
        <w:rPr>
          <w:b/>
          <w:bCs/>
          <w:i w:val="0"/>
          <w:iCs/>
          <w:sz w:val="24"/>
        </w:rPr>
        <w:t>Asymmetry</w:t>
      </w:r>
      <w:bookmarkEnd w:id="55"/>
      <w:r w:rsidRPr="00113364">
        <w:rPr>
          <w:b/>
          <w:bCs/>
          <w:i w:val="0"/>
          <w:iCs/>
          <w:sz w:val="24"/>
        </w:rPr>
        <w:t xml:space="preserve"> </w:t>
      </w:r>
    </w:p>
    <w:tbl>
      <w:tblPr>
        <w:tblStyle w:val="GridTable4-Accent1"/>
        <w:tblW w:w="0" w:type="auto"/>
        <w:tblLook w:val="0420" w:firstRow="1" w:lastRow="0" w:firstColumn="0" w:lastColumn="0" w:noHBand="0" w:noVBand="1"/>
        <w:tblDescription w:val="Data Summary, Concern Statement, and Need Statement for Parent and Family Engagement: Capacity Building"/>
      </w:tblPr>
      <w:tblGrid>
        <w:gridCol w:w="4404"/>
        <w:gridCol w:w="2521"/>
        <w:gridCol w:w="2425"/>
      </w:tblGrid>
      <w:tr w:rsidR="0023211E" w:rsidRPr="00113364" w14:paraId="50B55454" w14:textId="77777777" w:rsidTr="0027366D">
        <w:trPr>
          <w:cnfStyle w:val="100000000000" w:firstRow="1" w:lastRow="0" w:firstColumn="0" w:lastColumn="0" w:oddVBand="0" w:evenVBand="0" w:oddHBand="0" w:evenHBand="0" w:firstRowFirstColumn="0" w:firstRowLastColumn="0" w:lastRowFirstColumn="0" w:lastRowLastColumn="0"/>
          <w:cantSplit/>
          <w:tblHeader/>
        </w:trPr>
        <w:tc>
          <w:tcPr>
            <w:tcW w:w="4404" w:type="dxa"/>
            <w:tcBorders>
              <w:right w:val="single" w:sz="4" w:space="0" w:color="4472C4"/>
            </w:tcBorders>
            <w:shd w:val="clear" w:color="auto" w:fill="1F3864" w:themeFill="accent5" w:themeFillShade="80"/>
            <w:vAlign w:val="center"/>
          </w:tcPr>
          <w:p w14:paraId="5D6382DE" w14:textId="77777777" w:rsidR="0023211E" w:rsidRPr="00113364" w:rsidRDefault="0023211E" w:rsidP="002371CB">
            <w:pPr>
              <w:jc w:val="center"/>
              <w:rPr>
                <w:rFonts w:ascii="Arial" w:hAnsi="Arial" w:cs="Arial"/>
                <w:b w:val="0"/>
                <w:color w:val="FFFFFF"/>
              </w:rPr>
            </w:pPr>
            <w:r w:rsidRPr="00113364">
              <w:rPr>
                <w:rFonts w:ascii="Arial" w:hAnsi="Arial" w:cs="Arial"/>
                <w:color w:val="FFFFFF"/>
              </w:rPr>
              <w:t>Data Summary:</w:t>
            </w:r>
          </w:p>
          <w:p w14:paraId="0E6AA33D" w14:textId="77777777" w:rsidR="0027366D" w:rsidRPr="00113364" w:rsidRDefault="0027366D" w:rsidP="0027366D">
            <w:pPr>
              <w:jc w:val="center"/>
              <w:rPr>
                <w:rFonts w:ascii="Arial" w:hAnsi="Arial" w:cs="Arial"/>
                <w:b w:val="0"/>
                <w:bCs w:val="0"/>
                <w:i/>
                <w:iCs/>
              </w:rPr>
            </w:pPr>
            <w:r w:rsidRPr="00113364">
              <w:rPr>
                <w:rFonts w:ascii="Arial" w:hAnsi="Arial" w:cs="Arial"/>
                <w:color w:val="FFFFFF"/>
              </w:rPr>
              <w:t xml:space="preserve">2019 REL </w:t>
            </w:r>
            <w:r w:rsidRPr="00113364">
              <w:rPr>
                <w:rFonts w:ascii="Arial" w:hAnsi="Arial" w:cs="Arial"/>
                <w:i/>
                <w:iCs/>
              </w:rPr>
              <w:t xml:space="preserve">Parental Involvement and Family Engagement </w:t>
            </w:r>
            <w:r w:rsidRPr="00113364">
              <w:rPr>
                <w:rFonts w:ascii="Arial" w:hAnsi="Arial" w:cs="Arial"/>
              </w:rPr>
              <w:t>and</w:t>
            </w:r>
          </w:p>
          <w:p w14:paraId="4DA05ACF" w14:textId="7315A669" w:rsidR="0023211E" w:rsidRPr="00113364" w:rsidRDefault="00F2023D" w:rsidP="002371CB">
            <w:pPr>
              <w:jc w:val="center"/>
              <w:rPr>
                <w:rFonts w:ascii="Arial" w:hAnsi="Arial" w:cs="Arial"/>
                <w:color w:val="FFFFFF"/>
              </w:rPr>
            </w:pPr>
            <w:r w:rsidRPr="00113364">
              <w:rPr>
                <w:rFonts w:ascii="Arial" w:hAnsi="Arial" w:cs="Arial"/>
                <w:color w:val="FFFFFF"/>
              </w:rPr>
              <w:t>Qualitative Data from CNA SDP Committee</w:t>
            </w:r>
          </w:p>
        </w:tc>
        <w:tc>
          <w:tcPr>
            <w:tcW w:w="2521" w:type="dxa"/>
            <w:tcBorders>
              <w:left w:val="single" w:sz="4" w:space="0" w:color="4472C4"/>
              <w:right w:val="single" w:sz="4" w:space="0" w:color="4472C4"/>
            </w:tcBorders>
            <w:shd w:val="clear" w:color="auto" w:fill="1F3864" w:themeFill="accent5" w:themeFillShade="80"/>
            <w:vAlign w:val="center"/>
          </w:tcPr>
          <w:p w14:paraId="1BC8A113" w14:textId="77777777" w:rsidR="0023211E" w:rsidRPr="00113364" w:rsidRDefault="0023211E" w:rsidP="00EB4984">
            <w:pPr>
              <w:pStyle w:val="ListParagraph"/>
              <w:ind w:left="-14"/>
              <w:jc w:val="center"/>
              <w:rPr>
                <w:rFonts w:ascii="Arial" w:hAnsi="Arial" w:cs="Arial"/>
                <w:color w:val="FFFFFF"/>
              </w:rPr>
            </w:pPr>
            <w:r w:rsidRPr="00113364">
              <w:rPr>
                <w:rFonts w:ascii="Arial" w:hAnsi="Arial" w:cs="Arial"/>
                <w:color w:val="FFFFFF"/>
              </w:rPr>
              <w:t>Concern Statement</w:t>
            </w:r>
          </w:p>
        </w:tc>
        <w:tc>
          <w:tcPr>
            <w:tcW w:w="2425" w:type="dxa"/>
            <w:tcBorders>
              <w:left w:val="single" w:sz="4" w:space="0" w:color="4472C4"/>
            </w:tcBorders>
            <w:shd w:val="clear" w:color="auto" w:fill="1F3864" w:themeFill="accent5" w:themeFillShade="80"/>
            <w:vAlign w:val="center"/>
          </w:tcPr>
          <w:p w14:paraId="7AD822A0" w14:textId="77777777" w:rsidR="0023211E" w:rsidRPr="00113364" w:rsidRDefault="0023211E" w:rsidP="00EB4984">
            <w:pPr>
              <w:pStyle w:val="ListParagraph"/>
              <w:ind w:left="-14"/>
              <w:jc w:val="center"/>
              <w:rPr>
                <w:rFonts w:ascii="Arial" w:hAnsi="Arial" w:cs="Arial"/>
                <w:color w:val="FFFFFF"/>
              </w:rPr>
            </w:pPr>
            <w:r w:rsidRPr="00113364">
              <w:rPr>
                <w:rFonts w:ascii="Arial" w:hAnsi="Arial" w:cs="Arial"/>
                <w:color w:val="FFFFFF"/>
              </w:rPr>
              <w:t>Need Statement</w:t>
            </w:r>
          </w:p>
        </w:tc>
      </w:tr>
      <w:tr w:rsidR="0023211E" w:rsidRPr="00113364" w14:paraId="6A16C75A" w14:textId="77777777" w:rsidTr="0027366D">
        <w:trPr>
          <w:cnfStyle w:val="000000100000" w:firstRow="0" w:lastRow="0" w:firstColumn="0" w:lastColumn="0" w:oddVBand="0" w:evenVBand="0" w:oddHBand="1" w:evenHBand="0" w:firstRowFirstColumn="0" w:firstRowLastColumn="0" w:lastRowFirstColumn="0" w:lastRowLastColumn="0"/>
          <w:cantSplit/>
          <w:trHeight w:val="251"/>
        </w:trPr>
        <w:tc>
          <w:tcPr>
            <w:tcW w:w="4404" w:type="dxa"/>
          </w:tcPr>
          <w:p w14:paraId="11464D6B" w14:textId="77777777" w:rsidR="00CC69DE" w:rsidRPr="00113364" w:rsidRDefault="00CC69DE">
            <w:pPr>
              <w:pStyle w:val="ListParagraph"/>
              <w:numPr>
                <w:ilvl w:val="0"/>
                <w:numId w:val="17"/>
              </w:numPr>
              <w:spacing w:after="120"/>
              <w:ind w:left="330"/>
              <w:contextualSpacing w:val="0"/>
              <w:rPr>
                <w:rFonts w:ascii="Arial" w:hAnsi="Arial" w:cs="Arial"/>
              </w:rPr>
            </w:pPr>
            <w:r w:rsidRPr="00113364">
              <w:rPr>
                <w:rFonts w:ascii="Arial" w:hAnsi="Arial" w:cs="Arial"/>
              </w:rPr>
              <w:t>Only 26 percent of LEAs supported underrepresented students and families.</w:t>
            </w:r>
          </w:p>
          <w:p w14:paraId="5114AADB" w14:textId="77777777" w:rsidR="00CC69DE" w:rsidRPr="00113364" w:rsidRDefault="00CC69DE">
            <w:pPr>
              <w:pStyle w:val="ListParagraph"/>
              <w:numPr>
                <w:ilvl w:val="0"/>
                <w:numId w:val="17"/>
              </w:numPr>
              <w:spacing w:after="120"/>
              <w:ind w:left="330"/>
              <w:contextualSpacing w:val="0"/>
              <w:rPr>
                <w:rFonts w:ascii="Arial" w:hAnsi="Arial" w:cs="Arial"/>
              </w:rPr>
            </w:pPr>
            <w:r w:rsidRPr="00113364">
              <w:rPr>
                <w:rFonts w:ascii="Arial" w:hAnsi="Arial" w:cs="Arial"/>
              </w:rPr>
              <w:t>Only 24 percent of LEAs engage underrepresented families.</w:t>
            </w:r>
          </w:p>
          <w:p w14:paraId="36DD63B3" w14:textId="77777777" w:rsidR="00CC69DE" w:rsidRPr="00113364" w:rsidRDefault="00CC69DE">
            <w:pPr>
              <w:pStyle w:val="ListParagraph"/>
              <w:numPr>
                <w:ilvl w:val="0"/>
                <w:numId w:val="17"/>
              </w:numPr>
              <w:spacing w:after="120"/>
              <w:ind w:left="331"/>
              <w:contextualSpacing w:val="0"/>
              <w:rPr>
                <w:rFonts w:ascii="Arial" w:hAnsi="Arial" w:cs="Arial"/>
              </w:rPr>
            </w:pPr>
            <w:r w:rsidRPr="00113364">
              <w:rPr>
                <w:rFonts w:ascii="Arial" w:hAnsi="Arial" w:cs="Arial"/>
              </w:rPr>
              <w:t>Thirty-six percent of LEAs provide families with opportunities to give input.</w:t>
            </w:r>
          </w:p>
          <w:p w14:paraId="734AD030" w14:textId="6FE171F3" w:rsidR="00F2023D" w:rsidRPr="00113364" w:rsidRDefault="00F2023D">
            <w:pPr>
              <w:pStyle w:val="ListParagraph"/>
              <w:numPr>
                <w:ilvl w:val="0"/>
                <w:numId w:val="17"/>
              </w:numPr>
              <w:spacing w:after="120"/>
              <w:ind w:left="331"/>
              <w:contextualSpacing w:val="0"/>
              <w:rPr>
                <w:rFonts w:ascii="Arial" w:hAnsi="Arial" w:cs="Arial"/>
              </w:rPr>
            </w:pPr>
            <w:r w:rsidRPr="00113364">
              <w:rPr>
                <w:rFonts w:ascii="Arial" w:hAnsi="Arial" w:cs="Arial"/>
              </w:rPr>
              <w:t xml:space="preserve">Parents noted that communication is a high area of need indicating that school staffs’ communication could be better all around. </w:t>
            </w:r>
          </w:p>
          <w:p w14:paraId="501D73FA" w14:textId="68B4E4A6" w:rsidR="00F2023D" w:rsidRPr="00113364" w:rsidRDefault="00F2023D">
            <w:pPr>
              <w:pStyle w:val="ListParagraph"/>
              <w:numPr>
                <w:ilvl w:val="0"/>
                <w:numId w:val="17"/>
              </w:numPr>
              <w:spacing w:after="120"/>
              <w:ind w:left="331"/>
              <w:contextualSpacing w:val="0"/>
              <w:rPr>
                <w:rFonts w:ascii="Arial" w:hAnsi="Arial" w:cs="Arial"/>
              </w:rPr>
            </w:pPr>
            <w:r w:rsidRPr="00113364">
              <w:rPr>
                <w:rFonts w:ascii="Arial" w:hAnsi="Arial" w:cs="Arial"/>
              </w:rPr>
              <w:t xml:space="preserve">Parents reported feeling unwelcome and feelings of discrimination from office staff based on language and origin. </w:t>
            </w:r>
          </w:p>
          <w:p w14:paraId="249AED95" w14:textId="2E0A60B4" w:rsidR="00F2023D" w:rsidRPr="00113364" w:rsidRDefault="00F2023D">
            <w:pPr>
              <w:pStyle w:val="ListParagraph"/>
              <w:numPr>
                <w:ilvl w:val="0"/>
                <w:numId w:val="17"/>
              </w:numPr>
              <w:spacing w:after="120"/>
              <w:ind w:left="331"/>
              <w:contextualSpacing w:val="0"/>
              <w:rPr>
                <w:rFonts w:ascii="Arial" w:hAnsi="Arial" w:cs="Arial"/>
              </w:rPr>
            </w:pPr>
            <w:r w:rsidRPr="00113364">
              <w:rPr>
                <w:rFonts w:ascii="Arial" w:hAnsi="Arial" w:cs="Arial"/>
              </w:rPr>
              <w:t>A few parents said that meetings or events were only held in English which limited parents’ participation.</w:t>
            </w:r>
          </w:p>
          <w:p w14:paraId="731BEB21" w14:textId="6325DC61" w:rsidR="0023211E" w:rsidRPr="00113364" w:rsidRDefault="00F2023D">
            <w:pPr>
              <w:pStyle w:val="ListParagraph"/>
              <w:numPr>
                <w:ilvl w:val="0"/>
                <w:numId w:val="17"/>
              </w:numPr>
              <w:spacing w:after="120"/>
              <w:ind w:left="331"/>
              <w:contextualSpacing w:val="0"/>
              <w:rPr>
                <w:rFonts w:ascii="Arial" w:hAnsi="Arial" w:cs="Arial"/>
                <w:sz w:val="20"/>
                <w:szCs w:val="20"/>
              </w:rPr>
            </w:pPr>
            <w:r w:rsidRPr="00113364">
              <w:rPr>
                <w:rFonts w:ascii="Arial" w:hAnsi="Arial" w:cs="Arial"/>
              </w:rPr>
              <w:t xml:space="preserve">Many parents identified a need for the MEP to disseminate more information on services and events to parents. </w:t>
            </w:r>
          </w:p>
        </w:tc>
        <w:tc>
          <w:tcPr>
            <w:tcW w:w="2521" w:type="dxa"/>
          </w:tcPr>
          <w:p w14:paraId="1118437B" w14:textId="0B91B302" w:rsidR="0023211E" w:rsidRPr="00113364" w:rsidRDefault="00CC69DE" w:rsidP="00CC69DE">
            <w:pPr>
              <w:rPr>
                <w:rFonts w:ascii="Arial" w:hAnsi="Arial" w:cs="Arial"/>
              </w:rPr>
            </w:pPr>
            <w:r w:rsidRPr="00113364">
              <w:rPr>
                <w:rFonts w:ascii="Arial" w:hAnsi="Arial" w:cs="Arial"/>
              </w:rPr>
              <w:t>We are concerned that the districts and parents don’t have information about the MEP and the services it offers.</w:t>
            </w:r>
          </w:p>
        </w:tc>
        <w:tc>
          <w:tcPr>
            <w:tcW w:w="2425" w:type="dxa"/>
          </w:tcPr>
          <w:p w14:paraId="6AE18E23" w14:textId="78E6CA27" w:rsidR="0023211E" w:rsidRPr="00113364" w:rsidRDefault="00CC69DE" w:rsidP="00CC69DE">
            <w:pPr>
              <w:ind w:left="-20"/>
              <w:rPr>
                <w:rFonts w:ascii="Arial" w:hAnsi="Arial" w:cs="Arial"/>
              </w:rPr>
            </w:pPr>
            <w:r w:rsidRPr="00113364">
              <w:rPr>
                <w:rFonts w:ascii="Arial" w:hAnsi="Arial" w:cs="Arial"/>
              </w:rPr>
              <w:t>More parents and district personnel need to be informed of the MEP and what services are offered.</w:t>
            </w:r>
          </w:p>
        </w:tc>
      </w:tr>
    </w:tbl>
    <w:p w14:paraId="03BD0964" w14:textId="15821964" w:rsidR="00DA37CE" w:rsidRPr="00113364" w:rsidRDefault="00DA37CE" w:rsidP="002F5498">
      <w:pPr>
        <w:spacing w:before="240" w:after="240"/>
        <w:rPr>
          <w:rFonts w:ascii="Arial" w:hAnsi="Arial" w:cs="Arial"/>
        </w:rPr>
      </w:pPr>
      <w:r w:rsidRPr="00113364">
        <w:rPr>
          <w:rFonts w:ascii="Arial" w:hAnsi="Arial" w:cs="Arial"/>
        </w:rPr>
        <w:t xml:space="preserve">When parents and caregivers invest in school by attending meetings and events, it is much easier to engage students. Parents understand that proficiency in core content areas </w:t>
      </w:r>
      <w:r w:rsidR="00217787" w:rsidRPr="00113364">
        <w:rPr>
          <w:rFonts w:ascii="Arial" w:hAnsi="Arial" w:cs="Arial"/>
        </w:rPr>
        <w:t>leads</w:t>
      </w:r>
      <w:r w:rsidRPr="00113364">
        <w:rPr>
          <w:rFonts w:ascii="Arial" w:hAnsi="Arial" w:cs="Arial"/>
        </w:rPr>
        <w:t xml:space="preserve"> to greater educational and career opportunities when their children become adults. Parents assist schools by getting their kids to school, but schools need to keep them engaged so they keep coming back. Student engagement is an essential component to academic achievement. </w:t>
      </w:r>
    </w:p>
    <w:p w14:paraId="5E93E171" w14:textId="0B52D4DE" w:rsidR="00AB3788" w:rsidRPr="00113364" w:rsidRDefault="00AB3788" w:rsidP="003F0CBE">
      <w:pPr>
        <w:pStyle w:val="Heading3"/>
      </w:pPr>
      <w:bookmarkStart w:id="56" w:name="_Toc203568846"/>
      <w:r w:rsidRPr="00113364">
        <w:t>Student Engag</w:t>
      </w:r>
      <w:r w:rsidR="00C47B13" w:rsidRPr="00113364">
        <w:t>e</w:t>
      </w:r>
      <w:r w:rsidRPr="00113364">
        <w:t>ment</w:t>
      </w:r>
      <w:bookmarkEnd w:id="56"/>
    </w:p>
    <w:p w14:paraId="6A3C92DA" w14:textId="283B2D29" w:rsidR="00DD3E01" w:rsidRPr="00113364" w:rsidRDefault="00DD3E01" w:rsidP="00DD3E01">
      <w:pPr>
        <w:pStyle w:val="NormalWeb"/>
        <w:spacing w:before="0" w:beforeAutospacing="0" w:after="0" w:afterAutospacing="0"/>
        <w:rPr>
          <w:rFonts w:ascii="Arial" w:hAnsi="Arial" w:cs="Arial"/>
          <w:color w:val="000000"/>
        </w:rPr>
      </w:pPr>
      <w:r w:rsidRPr="00113364">
        <w:rPr>
          <w:rFonts w:ascii="Arial" w:hAnsi="Arial" w:cs="Arial"/>
          <w:color w:val="000000"/>
        </w:rPr>
        <w:t>California’s Local Control Funding Formula lists graduation rate and chronic absenteeism as the state indicators for student engagement</w:t>
      </w:r>
      <w:r w:rsidR="00197B32" w:rsidRPr="00113364">
        <w:rPr>
          <w:rFonts w:ascii="Arial" w:hAnsi="Arial" w:cs="Arial"/>
          <w:color w:val="000000"/>
        </w:rPr>
        <w:t xml:space="preserve">. </w:t>
      </w:r>
      <w:r w:rsidR="00D5654A" w:rsidRPr="00113364">
        <w:rPr>
          <w:rFonts w:ascii="Arial" w:hAnsi="Arial" w:cs="Arial"/>
          <w:color w:val="000000"/>
        </w:rPr>
        <w:t xml:space="preserve">The Student Engagement </w:t>
      </w:r>
      <w:r w:rsidR="00D5654A" w:rsidRPr="00113364">
        <w:rPr>
          <w:rFonts w:ascii="Arial" w:hAnsi="Arial" w:cs="Arial"/>
          <w:color w:val="000000"/>
        </w:rPr>
        <w:lastRenderedPageBreak/>
        <w:t>subcommittee reviewed</w:t>
      </w:r>
      <w:r w:rsidR="00A117E0" w:rsidRPr="00113364">
        <w:rPr>
          <w:rFonts w:ascii="Arial" w:hAnsi="Arial" w:cs="Arial"/>
          <w:color w:val="000000"/>
        </w:rPr>
        <w:t xml:space="preserve"> chronic absenteeism data </w:t>
      </w:r>
      <w:r w:rsidR="0023211E" w:rsidRPr="00113364">
        <w:rPr>
          <w:rFonts w:ascii="Arial" w:hAnsi="Arial" w:cs="Arial"/>
          <w:color w:val="000000"/>
        </w:rPr>
        <w:t>from 2018 through 2023</w:t>
      </w:r>
      <w:r w:rsidRPr="00113364">
        <w:rPr>
          <w:rFonts w:ascii="Arial" w:hAnsi="Arial" w:cs="Arial"/>
          <w:color w:val="000000"/>
        </w:rPr>
        <w:t>, the CDE reviewed high school graduation and dropout rates as well as data on school climate and connectedness from the California Healthy Kids Survey.</w:t>
      </w:r>
      <w:r w:rsidR="00905DD0" w:rsidRPr="00113364">
        <w:rPr>
          <w:rFonts w:ascii="Arial" w:hAnsi="Arial" w:cs="Arial"/>
          <w:color w:val="000000"/>
        </w:rPr>
        <w:t xml:space="preserve"> Subgrantees should utilize an asset-based model of instruction that i</w:t>
      </w:r>
      <w:r w:rsidR="00E506A2" w:rsidRPr="00113364">
        <w:rPr>
          <w:rFonts w:ascii="Arial" w:hAnsi="Arial" w:cs="Arial"/>
          <w:color w:val="000000"/>
        </w:rPr>
        <w:t>ntegrate</w:t>
      </w:r>
      <w:r w:rsidR="00905DD0" w:rsidRPr="00113364">
        <w:rPr>
          <w:rFonts w:ascii="Arial" w:hAnsi="Arial" w:cs="Arial"/>
          <w:color w:val="000000"/>
        </w:rPr>
        <w:t xml:space="preserve">s Latino culture by using it as a resource. An asset-based model encourages teachers to </w:t>
      </w:r>
      <w:r w:rsidR="00AC45A5" w:rsidRPr="00113364">
        <w:rPr>
          <w:rFonts w:ascii="Arial" w:hAnsi="Arial" w:cs="Arial"/>
          <w:color w:val="000000"/>
        </w:rPr>
        <w:t>understand</w:t>
      </w:r>
      <w:r w:rsidR="00905DD0" w:rsidRPr="00113364">
        <w:rPr>
          <w:rFonts w:ascii="Arial" w:hAnsi="Arial" w:cs="Arial"/>
          <w:color w:val="000000"/>
        </w:rPr>
        <w:t xml:space="preserve">, </w:t>
      </w:r>
      <w:r w:rsidR="00E506A2" w:rsidRPr="00113364">
        <w:rPr>
          <w:rFonts w:ascii="Arial" w:hAnsi="Arial" w:cs="Arial"/>
          <w:color w:val="000000"/>
        </w:rPr>
        <w:t>value</w:t>
      </w:r>
      <w:r w:rsidR="00A117E0" w:rsidRPr="00113364">
        <w:rPr>
          <w:rFonts w:ascii="Arial" w:hAnsi="Arial" w:cs="Arial"/>
          <w:color w:val="000000"/>
        </w:rPr>
        <w:t>,</w:t>
      </w:r>
      <w:r w:rsidR="00905DD0" w:rsidRPr="00113364">
        <w:rPr>
          <w:rFonts w:ascii="Arial" w:hAnsi="Arial" w:cs="Arial"/>
          <w:color w:val="000000"/>
        </w:rPr>
        <w:t xml:space="preserve"> and </w:t>
      </w:r>
      <w:r w:rsidR="00E506A2" w:rsidRPr="00113364">
        <w:rPr>
          <w:rFonts w:ascii="Arial" w:hAnsi="Arial" w:cs="Arial"/>
          <w:color w:val="000000"/>
        </w:rPr>
        <w:t>incorporate</w:t>
      </w:r>
      <w:r w:rsidR="00905DD0" w:rsidRPr="00113364">
        <w:rPr>
          <w:rFonts w:ascii="Arial" w:hAnsi="Arial" w:cs="Arial"/>
          <w:color w:val="000000"/>
        </w:rPr>
        <w:t xml:space="preserve"> the many assets (e.g., language, </w:t>
      </w:r>
      <w:r w:rsidR="00E506A2" w:rsidRPr="00113364">
        <w:rPr>
          <w:rFonts w:ascii="Arial" w:hAnsi="Arial" w:cs="Arial"/>
          <w:color w:val="000000"/>
        </w:rPr>
        <w:t xml:space="preserve">traditions, </w:t>
      </w:r>
      <w:r w:rsidR="00AC45A5" w:rsidRPr="00113364">
        <w:rPr>
          <w:rFonts w:ascii="Arial" w:hAnsi="Arial" w:cs="Arial"/>
          <w:color w:val="000000"/>
        </w:rPr>
        <w:t xml:space="preserve">etc.) </w:t>
      </w:r>
      <w:r w:rsidR="00905DD0" w:rsidRPr="00113364">
        <w:rPr>
          <w:rFonts w:ascii="Arial" w:hAnsi="Arial" w:cs="Arial"/>
          <w:color w:val="000000"/>
        </w:rPr>
        <w:t>that migratory children bring to the classroom.</w:t>
      </w:r>
    </w:p>
    <w:p w14:paraId="30DA9721" w14:textId="7265F867" w:rsidR="006143B6" w:rsidRPr="00113364" w:rsidRDefault="00D5654A" w:rsidP="002F5498">
      <w:pPr>
        <w:pStyle w:val="Heading4"/>
      </w:pPr>
      <w:r w:rsidRPr="00113364">
        <w:t>Student Engagement Focus Area</w:t>
      </w:r>
      <w:r w:rsidR="006143B6" w:rsidRPr="00113364">
        <w:t xml:space="preserve">: </w:t>
      </w:r>
      <w:r w:rsidR="00CD4EEB" w:rsidRPr="00113364">
        <w:t>Elementary Student Participation</w:t>
      </w:r>
    </w:p>
    <w:p w14:paraId="07F2C034" w14:textId="3DD9E9F6" w:rsidR="00BA3383" w:rsidRPr="00113364" w:rsidRDefault="00BA3383" w:rsidP="00BA3383">
      <w:pPr>
        <w:spacing w:after="240"/>
        <w:rPr>
          <w:rFonts w:ascii="Arial" w:hAnsi="Arial" w:cs="Arial"/>
        </w:rPr>
      </w:pPr>
      <w:r w:rsidRPr="00113364">
        <w:rPr>
          <w:rFonts w:ascii="Arial" w:hAnsi="Arial" w:cs="Arial"/>
        </w:rPr>
        <w:t>During the previous SDP (2017), the CDE implement</w:t>
      </w:r>
      <w:r w:rsidR="00246D7E" w:rsidRPr="00113364">
        <w:rPr>
          <w:rFonts w:ascii="Arial" w:hAnsi="Arial" w:cs="Arial"/>
        </w:rPr>
        <w:t xml:space="preserve">ed a professional learning network (PLN) in which we focused on sustained </w:t>
      </w:r>
      <w:r w:rsidR="002D31DC" w:rsidRPr="00113364">
        <w:rPr>
          <w:rFonts w:ascii="Arial" w:hAnsi="Arial" w:cs="Arial"/>
        </w:rPr>
        <w:t xml:space="preserve">student attendance (i.e., attending the full 30 hours of an ELA or </w:t>
      </w:r>
      <w:r w:rsidR="00E7492F" w:rsidRPr="00113364">
        <w:rPr>
          <w:rFonts w:ascii="Arial" w:hAnsi="Arial" w:cs="Arial"/>
        </w:rPr>
        <w:t>mathematics</w:t>
      </w:r>
      <w:r w:rsidR="002D31DC" w:rsidRPr="00113364">
        <w:rPr>
          <w:rFonts w:ascii="Arial" w:hAnsi="Arial" w:cs="Arial"/>
        </w:rPr>
        <w:t xml:space="preserve"> service). The CDE provided this service participation data for both ELA and </w:t>
      </w:r>
      <w:r w:rsidR="00E7492F" w:rsidRPr="00113364">
        <w:rPr>
          <w:rFonts w:ascii="Arial" w:hAnsi="Arial" w:cs="Arial"/>
        </w:rPr>
        <w:t>mathematics</w:t>
      </w:r>
      <w:r w:rsidR="002D31DC" w:rsidRPr="00113364">
        <w:rPr>
          <w:rFonts w:ascii="Arial" w:hAnsi="Arial" w:cs="Arial"/>
        </w:rPr>
        <w:t xml:space="preserve"> services that aligned </w:t>
      </w:r>
      <w:r w:rsidR="00E05335" w:rsidRPr="00113364">
        <w:rPr>
          <w:rFonts w:ascii="Arial" w:hAnsi="Arial" w:cs="Arial"/>
        </w:rPr>
        <w:t>to</w:t>
      </w:r>
      <w:r w:rsidR="002D31DC" w:rsidRPr="00113364">
        <w:rPr>
          <w:rFonts w:ascii="Arial" w:hAnsi="Arial" w:cs="Arial"/>
        </w:rPr>
        <w:t xml:space="preserve"> the SDP (2017)</w:t>
      </w:r>
      <w:r w:rsidR="00E05335" w:rsidRPr="00113364">
        <w:rPr>
          <w:rFonts w:ascii="Arial" w:hAnsi="Arial" w:cs="Arial"/>
        </w:rPr>
        <w:t xml:space="preserve"> </w:t>
      </w:r>
      <w:r w:rsidR="00D13255" w:rsidRPr="00113364">
        <w:rPr>
          <w:rFonts w:ascii="Arial" w:hAnsi="Arial" w:cs="Arial"/>
        </w:rPr>
        <w:t xml:space="preserve">principal </w:t>
      </w:r>
      <w:r w:rsidR="00E05335" w:rsidRPr="00113364">
        <w:rPr>
          <w:rFonts w:ascii="Arial" w:hAnsi="Arial" w:cs="Arial"/>
        </w:rPr>
        <w:t xml:space="preserve">ELA and </w:t>
      </w:r>
      <w:r w:rsidR="00E7492F" w:rsidRPr="00113364">
        <w:rPr>
          <w:rFonts w:ascii="Arial" w:hAnsi="Arial" w:cs="Arial"/>
        </w:rPr>
        <w:t>mathematics</w:t>
      </w:r>
      <w:r w:rsidR="00E05335" w:rsidRPr="00113364">
        <w:rPr>
          <w:rFonts w:ascii="Arial" w:hAnsi="Arial" w:cs="Arial"/>
        </w:rPr>
        <w:t xml:space="preserve"> strategies. Service participation data by grade spans</w:t>
      </w:r>
      <w:r w:rsidR="00D13255" w:rsidRPr="00113364">
        <w:rPr>
          <w:rFonts w:ascii="Arial" w:hAnsi="Arial" w:cs="Arial"/>
        </w:rPr>
        <w:t xml:space="preserve"> from kindergarten through twelfth grade</w:t>
      </w:r>
      <w:r w:rsidR="00E05335" w:rsidRPr="00113364">
        <w:rPr>
          <w:rFonts w:ascii="Arial" w:hAnsi="Arial" w:cs="Arial"/>
        </w:rPr>
        <w:t xml:space="preserve"> illustrated that </w:t>
      </w:r>
      <w:proofErr w:type="gramStart"/>
      <w:r w:rsidR="00E05335" w:rsidRPr="00113364">
        <w:rPr>
          <w:rFonts w:ascii="Arial" w:hAnsi="Arial" w:cs="Arial"/>
        </w:rPr>
        <w:t>a majority of</w:t>
      </w:r>
      <w:proofErr w:type="gramEnd"/>
      <w:r w:rsidR="00E05335" w:rsidRPr="00113364">
        <w:rPr>
          <w:rFonts w:ascii="Arial" w:hAnsi="Arial" w:cs="Arial"/>
        </w:rPr>
        <w:t xml:space="preserve"> the students who are below standard are not participating in any ELA or </w:t>
      </w:r>
      <w:r w:rsidR="00E7492F" w:rsidRPr="00113364">
        <w:rPr>
          <w:rFonts w:ascii="Arial" w:hAnsi="Arial" w:cs="Arial"/>
        </w:rPr>
        <w:t>mathematics</w:t>
      </w:r>
      <w:r w:rsidR="00E05335" w:rsidRPr="00113364">
        <w:rPr>
          <w:rFonts w:ascii="Arial" w:hAnsi="Arial" w:cs="Arial"/>
        </w:rPr>
        <w:t xml:space="preserve"> services based on their need.</w:t>
      </w:r>
      <w:r w:rsidR="00246D7E" w:rsidRPr="00113364">
        <w:rPr>
          <w:rFonts w:ascii="Arial" w:hAnsi="Arial" w:cs="Arial"/>
        </w:rPr>
        <w:t xml:space="preserve"> </w:t>
      </w:r>
      <w:r w:rsidR="00D13255" w:rsidRPr="00113364">
        <w:rPr>
          <w:rFonts w:ascii="Arial" w:hAnsi="Arial" w:cs="Arial"/>
        </w:rPr>
        <w:t>Concern and need statements derived from the PLN e</w:t>
      </w:r>
      <w:r w:rsidRPr="00113364">
        <w:rPr>
          <w:rFonts w:ascii="Arial" w:hAnsi="Arial" w:cs="Arial"/>
        </w:rPr>
        <w:t xml:space="preserve">lementary migratory </w:t>
      </w:r>
      <w:r w:rsidR="00D13255" w:rsidRPr="00113364">
        <w:rPr>
          <w:rFonts w:ascii="Arial" w:hAnsi="Arial" w:cs="Arial"/>
        </w:rPr>
        <w:t>student participation data for ELA are outlined below.</w:t>
      </w:r>
    </w:p>
    <w:p w14:paraId="4CE48FF9" w14:textId="6D4B240C" w:rsidR="008B0200" w:rsidRPr="00113364" w:rsidRDefault="008B0200" w:rsidP="00E7492F">
      <w:pPr>
        <w:pStyle w:val="Heading5"/>
        <w:spacing w:after="0"/>
        <w:rPr>
          <w:b/>
          <w:bCs/>
          <w:i w:val="0"/>
          <w:iCs/>
          <w:sz w:val="24"/>
        </w:rPr>
      </w:pPr>
      <w:bookmarkStart w:id="57" w:name="_Toc204755359"/>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23</w:t>
      </w:r>
      <w:r w:rsidR="00C46CA6" w:rsidRPr="00113364">
        <w:rPr>
          <w:b/>
          <w:bCs/>
          <w:i w:val="0"/>
          <w:iCs/>
          <w:noProof/>
          <w:sz w:val="24"/>
        </w:rPr>
        <w:fldChar w:fldCharType="end"/>
      </w:r>
      <w:r w:rsidRPr="00113364">
        <w:rPr>
          <w:b/>
          <w:bCs/>
          <w:i w:val="0"/>
          <w:iCs/>
          <w:sz w:val="24"/>
        </w:rPr>
        <w:t>. Data Summary, Concern Statement</w:t>
      </w:r>
      <w:r w:rsidR="00A117E0" w:rsidRPr="00113364">
        <w:rPr>
          <w:b/>
          <w:bCs/>
          <w:i w:val="0"/>
          <w:iCs/>
          <w:sz w:val="24"/>
        </w:rPr>
        <w:t>, and Need</w:t>
      </w:r>
      <w:r w:rsidRPr="00113364">
        <w:rPr>
          <w:b/>
          <w:bCs/>
          <w:i w:val="0"/>
          <w:iCs/>
          <w:sz w:val="24"/>
        </w:rPr>
        <w:t xml:space="preserve"> Statement for Student Engagement: </w:t>
      </w:r>
      <w:r w:rsidR="00387225" w:rsidRPr="00113364">
        <w:rPr>
          <w:b/>
          <w:bCs/>
          <w:i w:val="0"/>
          <w:iCs/>
          <w:sz w:val="24"/>
        </w:rPr>
        <w:t>Elementary Student Participation in English Language Arts Services</w:t>
      </w:r>
      <w:bookmarkEnd w:id="57"/>
    </w:p>
    <w:tbl>
      <w:tblPr>
        <w:tblStyle w:val="GridTable4-Accent1"/>
        <w:tblW w:w="9463" w:type="dxa"/>
        <w:tblLook w:val="0420" w:firstRow="1" w:lastRow="0" w:firstColumn="0" w:lastColumn="0" w:noHBand="0" w:noVBand="1"/>
        <w:tblDescription w:val="Data Summary, Concern Statement, and Need Statement for Student Engagement: Self and Cultural Pride"/>
      </w:tblPr>
      <w:tblGrid>
        <w:gridCol w:w="5125"/>
        <w:gridCol w:w="2250"/>
        <w:gridCol w:w="2088"/>
      </w:tblGrid>
      <w:tr w:rsidR="00B42DD9" w:rsidRPr="00113364" w14:paraId="6DD060F4" w14:textId="77777777" w:rsidTr="00E05335">
        <w:trPr>
          <w:cnfStyle w:val="100000000000" w:firstRow="1" w:lastRow="0" w:firstColumn="0" w:lastColumn="0" w:oddVBand="0" w:evenVBand="0" w:oddHBand="0" w:evenHBand="0" w:firstRowFirstColumn="0" w:firstRowLastColumn="0" w:lastRowFirstColumn="0" w:lastRowLastColumn="0"/>
          <w:cantSplit/>
          <w:tblHeader/>
        </w:trPr>
        <w:tc>
          <w:tcPr>
            <w:tcW w:w="5125" w:type="dxa"/>
            <w:tcBorders>
              <w:right w:val="single" w:sz="4" w:space="0" w:color="4472C4"/>
            </w:tcBorders>
            <w:shd w:val="clear" w:color="auto" w:fill="1F3864" w:themeFill="accent5" w:themeFillShade="80"/>
            <w:vAlign w:val="center"/>
          </w:tcPr>
          <w:p w14:paraId="77742C21" w14:textId="0B8E25DC" w:rsidR="0073568C" w:rsidRPr="00113364" w:rsidRDefault="00B42DD9" w:rsidP="002371CB">
            <w:pPr>
              <w:ind w:left="240" w:hanging="270"/>
              <w:jc w:val="center"/>
              <w:rPr>
                <w:rFonts w:ascii="Arial" w:hAnsi="Arial" w:cs="Arial"/>
                <w:b w:val="0"/>
                <w:color w:val="FFFFFF"/>
              </w:rPr>
            </w:pPr>
            <w:r w:rsidRPr="00113364">
              <w:rPr>
                <w:rFonts w:ascii="Arial" w:hAnsi="Arial" w:cs="Arial"/>
                <w:color w:val="FFFFFF"/>
              </w:rPr>
              <w:t>Data Summary:</w:t>
            </w:r>
          </w:p>
          <w:p w14:paraId="3ECDE4AD" w14:textId="25BEA22E" w:rsidR="00B42DD9" w:rsidRPr="00113364" w:rsidRDefault="005369BC" w:rsidP="002371CB">
            <w:pPr>
              <w:ind w:left="240" w:hanging="270"/>
              <w:jc w:val="center"/>
              <w:rPr>
                <w:rFonts w:ascii="Arial" w:hAnsi="Arial" w:cs="Arial"/>
                <w:b w:val="0"/>
                <w:color w:val="FFFFFF"/>
              </w:rPr>
            </w:pPr>
            <w:r w:rsidRPr="00113364">
              <w:rPr>
                <w:rFonts w:ascii="Arial" w:hAnsi="Arial" w:cs="Arial"/>
                <w:color w:val="FFFFFF"/>
              </w:rPr>
              <w:t>202</w:t>
            </w:r>
            <w:r w:rsidR="00D13255" w:rsidRPr="00113364">
              <w:rPr>
                <w:rFonts w:ascii="Arial" w:hAnsi="Arial" w:cs="Arial"/>
                <w:color w:val="FFFFFF"/>
              </w:rPr>
              <w:t>1</w:t>
            </w:r>
            <w:r w:rsidRPr="00113364">
              <w:rPr>
                <w:rFonts w:ascii="Arial" w:hAnsi="Arial" w:cs="Arial"/>
                <w:color w:val="FFFFFF"/>
              </w:rPr>
              <w:t>–22 Service Data from MSIN Database</w:t>
            </w:r>
          </w:p>
        </w:tc>
        <w:tc>
          <w:tcPr>
            <w:tcW w:w="2250" w:type="dxa"/>
            <w:tcBorders>
              <w:left w:val="single" w:sz="4" w:space="0" w:color="4472C4"/>
              <w:right w:val="single" w:sz="4" w:space="0" w:color="4472C4"/>
            </w:tcBorders>
            <w:shd w:val="clear" w:color="auto" w:fill="1F3864" w:themeFill="accent5" w:themeFillShade="80"/>
            <w:vAlign w:val="center"/>
          </w:tcPr>
          <w:p w14:paraId="7BCA8FE5" w14:textId="77777777" w:rsidR="00B42DD9" w:rsidRPr="00113364" w:rsidRDefault="00B42DD9" w:rsidP="00E53F38">
            <w:pPr>
              <w:pStyle w:val="ListParagraph"/>
              <w:ind w:left="0"/>
              <w:jc w:val="center"/>
              <w:rPr>
                <w:rFonts w:ascii="Arial" w:hAnsi="Arial" w:cs="Arial"/>
                <w:color w:val="FFFFFF"/>
              </w:rPr>
            </w:pPr>
            <w:r w:rsidRPr="00113364">
              <w:rPr>
                <w:rFonts w:ascii="Arial" w:hAnsi="Arial" w:cs="Arial"/>
                <w:color w:val="FFFFFF"/>
              </w:rPr>
              <w:t>Concern Statement</w:t>
            </w:r>
          </w:p>
        </w:tc>
        <w:tc>
          <w:tcPr>
            <w:tcW w:w="2088" w:type="dxa"/>
            <w:tcBorders>
              <w:left w:val="single" w:sz="4" w:space="0" w:color="4472C4"/>
            </w:tcBorders>
            <w:shd w:val="clear" w:color="auto" w:fill="1F3864" w:themeFill="accent5" w:themeFillShade="80"/>
            <w:vAlign w:val="center"/>
          </w:tcPr>
          <w:p w14:paraId="24FF363C" w14:textId="77777777" w:rsidR="00B42DD9" w:rsidRPr="00113364" w:rsidRDefault="00B42DD9" w:rsidP="00E53F38">
            <w:pPr>
              <w:pStyle w:val="ListParagraph"/>
              <w:ind w:left="0"/>
              <w:jc w:val="center"/>
              <w:rPr>
                <w:rFonts w:ascii="Arial" w:hAnsi="Arial" w:cs="Arial"/>
                <w:color w:val="FFFFFF"/>
              </w:rPr>
            </w:pPr>
            <w:r w:rsidRPr="00113364">
              <w:rPr>
                <w:rFonts w:ascii="Arial" w:hAnsi="Arial" w:cs="Arial"/>
                <w:color w:val="FFFFFF"/>
              </w:rPr>
              <w:t>Need Statement</w:t>
            </w:r>
          </w:p>
        </w:tc>
      </w:tr>
      <w:tr w:rsidR="00B42DD9" w:rsidRPr="00113364" w14:paraId="2BE06F95" w14:textId="77777777" w:rsidTr="00E05335">
        <w:trPr>
          <w:cnfStyle w:val="000000100000" w:firstRow="0" w:lastRow="0" w:firstColumn="0" w:lastColumn="0" w:oddVBand="0" w:evenVBand="0" w:oddHBand="1" w:evenHBand="0" w:firstRowFirstColumn="0" w:firstRowLastColumn="0" w:lastRowFirstColumn="0" w:lastRowLastColumn="0"/>
          <w:cantSplit/>
          <w:trHeight w:val="251"/>
        </w:trPr>
        <w:tc>
          <w:tcPr>
            <w:tcW w:w="5125" w:type="dxa"/>
          </w:tcPr>
          <w:p w14:paraId="6D2D3EC3" w14:textId="3E175103" w:rsidR="002371CB" w:rsidRPr="00113364" w:rsidRDefault="002371CB">
            <w:pPr>
              <w:pStyle w:val="ListParagraph"/>
              <w:numPr>
                <w:ilvl w:val="0"/>
                <w:numId w:val="43"/>
              </w:numPr>
              <w:spacing w:after="120"/>
              <w:ind w:left="331"/>
              <w:contextualSpacing w:val="0"/>
              <w:rPr>
                <w:rFonts w:ascii="Arial" w:hAnsi="Arial" w:cs="Arial"/>
              </w:rPr>
            </w:pPr>
            <w:r w:rsidRPr="00113364">
              <w:rPr>
                <w:rFonts w:ascii="Arial" w:hAnsi="Arial" w:cs="Arial"/>
              </w:rPr>
              <w:t xml:space="preserve">In 2021–22, 68 percent of students in kindergarten through </w:t>
            </w:r>
            <w:r w:rsidR="0078677C" w:rsidRPr="00113364">
              <w:rPr>
                <w:rFonts w:ascii="Arial" w:hAnsi="Arial" w:cs="Arial"/>
              </w:rPr>
              <w:t>third</w:t>
            </w:r>
            <w:r w:rsidRPr="00113364">
              <w:rPr>
                <w:rFonts w:ascii="Arial" w:hAnsi="Arial" w:cs="Arial"/>
              </w:rPr>
              <w:t xml:space="preserve"> grade (K–3) who are below proficiency in ELA did not participate in an ELA service as identified in the SDP</w:t>
            </w:r>
            <w:r w:rsidR="00246D7E" w:rsidRPr="00113364">
              <w:rPr>
                <w:rFonts w:ascii="Arial" w:hAnsi="Arial" w:cs="Arial"/>
              </w:rPr>
              <w:t xml:space="preserve"> (2017)</w:t>
            </w:r>
            <w:r w:rsidRPr="00113364">
              <w:rPr>
                <w:rFonts w:ascii="Arial" w:hAnsi="Arial" w:cs="Arial"/>
              </w:rPr>
              <w:t xml:space="preserve"> </w:t>
            </w:r>
            <w:r w:rsidR="00246D7E" w:rsidRPr="00113364">
              <w:rPr>
                <w:rFonts w:ascii="Arial" w:hAnsi="Arial" w:cs="Arial"/>
              </w:rPr>
              <w:t>PLN</w:t>
            </w:r>
            <w:r w:rsidRPr="00113364">
              <w:rPr>
                <w:rFonts w:ascii="Arial" w:hAnsi="Arial" w:cs="Arial"/>
              </w:rPr>
              <w:t xml:space="preserve"> participation distribution data for MPO</w:t>
            </w:r>
            <w:r w:rsidR="00246D7E" w:rsidRPr="00113364">
              <w:rPr>
                <w:rFonts w:ascii="Arial" w:hAnsi="Arial" w:cs="Arial"/>
              </w:rPr>
              <w:t> </w:t>
            </w:r>
            <w:r w:rsidRPr="00113364">
              <w:rPr>
                <w:rFonts w:ascii="Arial" w:hAnsi="Arial" w:cs="Arial"/>
              </w:rPr>
              <w:t>1.0.</w:t>
            </w:r>
          </w:p>
          <w:p w14:paraId="7E2EBE76" w14:textId="0863C816" w:rsidR="00B42DD9" w:rsidRPr="00113364" w:rsidRDefault="002371CB">
            <w:pPr>
              <w:pStyle w:val="ListParagraph"/>
              <w:numPr>
                <w:ilvl w:val="0"/>
                <w:numId w:val="43"/>
              </w:numPr>
              <w:spacing w:after="120"/>
              <w:ind w:left="331"/>
              <w:contextualSpacing w:val="0"/>
              <w:rPr>
                <w:rFonts w:ascii="Arial" w:hAnsi="Arial" w:cs="Arial"/>
              </w:rPr>
            </w:pPr>
            <w:r w:rsidRPr="00113364">
              <w:rPr>
                <w:rFonts w:ascii="Arial" w:hAnsi="Arial" w:cs="Arial"/>
              </w:rPr>
              <w:t xml:space="preserve">Six percent of migratory K–3 grade students participated between </w:t>
            </w:r>
            <w:r w:rsidR="00E05335" w:rsidRPr="00113364">
              <w:rPr>
                <w:rFonts w:ascii="Arial" w:hAnsi="Arial" w:cs="Arial"/>
              </w:rPr>
              <w:t>one and nine</w:t>
            </w:r>
            <w:r w:rsidRPr="00113364">
              <w:rPr>
                <w:rFonts w:ascii="Arial" w:hAnsi="Arial" w:cs="Arial"/>
              </w:rPr>
              <w:t xml:space="preserve"> hours and an additional </w:t>
            </w:r>
            <w:r w:rsidR="00C306F4">
              <w:rPr>
                <w:rFonts w:ascii="Arial" w:hAnsi="Arial" w:cs="Arial"/>
              </w:rPr>
              <w:t>six</w:t>
            </w:r>
            <w:r w:rsidRPr="00113364">
              <w:rPr>
                <w:rFonts w:ascii="Arial" w:hAnsi="Arial" w:cs="Arial"/>
              </w:rPr>
              <w:t xml:space="preserve"> percent participated between 10–19 hours</w:t>
            </w:r>
            <w:r w:rsidR="00896144" w:rsidRPr="00113364">
              <w:rPr>
                <w:rFonts w:ascii="Arial" w:hAnsi="Arial" w:cs="Arial"/>
              </w:rPr>
              <w:t xml:space="preserve"> for ELA services</w:t>
            </w:r>
            <w:r w:rsidRPr="00113364">
              <w:rPr>
                <w:rFonts w:ascii="Arial" w:hAnsi="Arial" w:cs="Arial"/>
              </w:rPr>
              <w:t>.</w:t>
            </w:r>
          </w:p>
          <w:p w14:paraId="6E246394" w14:textId="3CBD98BB" w:rsidR="005369BC" w:rsidRPr="00113364" w:rsidRDefault="005369BC">
            <w:pPr>
              <w:pStyle w:val="ListParagraph"/>
              <w:numPr>
                <w:ilvl w:val="0"/>
                <w:numId w:val="43"/>
              </w:numPr>
              <w:spacing w:after="120"/>
              <w:ind w:left="331"/>
              <w:contextualSpacing w:val="0"/>
              <w:rPr>
                <w:rFonts w:cs="Arial"/>
              </w:rPr>
            </w:pPr>
            <w:r w:rsidRPr="00113364">
              <w:rPr>
                <w:rFonts w:ascii="Arial" w:hAnsi="Arial" w:cs="Arial"/>
              </w:rPr>
              <w:t xml:space="preserve">Five percent of migratory K–3 graders attended 20 to 29 hours while 15 percent of migratory K–3 graders completed the 30-hour requirement </w:t>
            </w:r>
            <w:r w:rsidR="00896144" w:rsidRPr="00113364">
              <w:rPr>
                <w:rFonts w:ascii="Arial" w:hAnsi="Arial" w:cs="Arial"/>
              </w:rPr>
              <w:t xml:space="preserve">for ELA </w:t>
            </w:r>
            <w:r w:rsidRPr="00113364">
              <w:rPr>
                <w:rFonts w:ascii="Arial" w:hAnsi="Arial" w:cs="Arial"/>
              </w:rPr>
              <w:t>during the regular school year.</w:t>
            </w:r>
          </w:p>
        </w:tc>
        <w:tc>
          <w:tcPr>
            <w:tcW w:w="2250" w:type="dxa"/>
          </w:tcPr>
          <w:p w14:paraId="050D172F" w14:textId="1BDEEDD8" w:rsidR="00B42DD9" w:rsidRPr="00113364" w:rsidRDefault="002371CB" w:rsidP="002371CB">
            <w:pPr>
              <w:spacing w:after="240"/>
              <w:ind w:right="105"/>
              <w:rPr>
                <w:rFonts w:ascii="Arial" w:hAnsi="Arial" w:cs="Arial"/>
              </w:rPr>
            </w:pPr>
            <w:r w:rsidRPr="00113364">
              <w:rPr>
                <w:rFonts w:ascii="Arial" w:hAnsi="Arial" w:cs="Arial"/>
              </w:rPr>
              <w:t xml:space="preserve">We are concerned 68 percent of MEP K–3 students scoring below standard on the CAASPP ELA Overall standards are not attending MEP services in </w:t>
            </w:r>
            <w:r w:rsidR="00EB4984">
              <w:rPr>
                <w:rFonts w:ascii="Arial" w:hAnsi="Arial" w:cs="Arial"/>
              </w:rPr>
              <w:t xml:space="preserve">the </w:t>
            </w:r>
            <w:r w:rsidRPr="00113364">
              <w:rPr>
                <w:rFonts w:ascii="Arial" w:hAnsi="Arial" w:cs="Arial"/>
              </w:rPr>
              <w:t xml:space="preserve">regular school year. </w:t>
            </w:r>
          </w:p>
        </w:tc>
        <w:tc>
          <w:tcPr>
            <w:tcW w:w="2088" w:type="dxa"/>
          </w:tcPr>
          <w:p w14:paraId="623F27A2" w14:textId="43919899" w:rsidR="00B42DD9" w:rsidRPr="00113364" w:rsidRDefault="002371CB" w:rsidP="002371CB">
            <w:pPr>
              <w:spacing w:after="240"/>
              <w:ind w:left="-20" w:right="105"/>
              <w:rPr>
                <w:rFonts w:ascii="Arial" w:hAnsi="Arial" w:cs="Arial"/>
              </w:rPr>
            </w:pPr>
            <w:r w:rsidRPr="00113364">
              <w:rPr>
                <w:rFonts w:ascii="Arial" w:hAnsi="Arial" w:cs="Arial"/>
              </w:rPr>
              <w:t>An additional 18 percent of migratory K–3 students who are below proficiency need to attend ELA services.</w:t>
            </w:r>
          </w:p>
        </w:tc>
      </w:tr>
    </w:tbl>
    <w:p w14:paraId="63BDA28F" w14:textId="756A9163" w:rsidR="00067DE7" w:rsidRPr="00113364" w:rsidRDefault="00067DE7" w:rsidP="002F5498">
      <w:pPr>
        <w:pStyle w:val="Heading4"/>
      </w:pPr>
      <w:r w:rsidRPr="00113364">
        <w:lastRenderedPageBreak/>
        <w:t xml:space="preserve">Student Engagement Focus Area: </w:t>
      </w:r>
      <w:r w:rsidR="00CD4EEB" w:rsidRPr="00113364">
        <w:t>High School Student Participation</w:t>
      </w:r>
    </w:p>
    <w:p w14:paraId="2B4B82F4" w14:textId="3F427347" w:rsidR="00D13255" w:rsidRPr="00113364" w:rsidRDefault="00D13255" w:rsidP="00D13255">
      <w:pPr>
        <w:rPr>
          <w:rFonts w:ascii="Arial" w:hAnsi="Arial" w:cs="Arial"/>
        </w:rPr>
      </w:pPr>
      <w:r w:rsidRPr="00113364">
        <w:rPr>
          <w:rFonts w:ascii="Arial" w:hAnsi="Arial" w:cs="Arial"/>
        </w:rPr>
        <w:t>The Student Engagement subcommittee also prioritized high school participation in ELA and math</w:t>
      </w:r>
      <w:r w:rsidR="002D2891" w:rsidRPr="00113364">
        <w:rPr>
          <w:rFonts w:ascii="Arial" w:hAnsi="Arial" w:cs="Arial"/>
        </w:rPr>
        <w:t>ematics</w:t>
      </w:r>
      <w:r w:rsidRPr="00113364">
        <w:rPr>
          <w:rFonts w:ascii="Arial" w:hAnsi="Arial" w:cs="Arial"/>
        </w:rPr>
        <w:t xml:space="preserve"> services as a high need area.</w:t>
      </w:r>
      <w:r w:rsidR="002D2891" w:rsidRPr="00113364">
        <w:rPr>
          <w:rFonts w:ascii="Arial" w:hAnsi="Arial" w:cs="Arial"/>
        </w:rPr>
        <w:t xml:space="preserve"> Of those students who scored below proficient, fewer attended mathematics services than ELA; however, both percentages were low. The Student Engagement subcommittee recognized the need for students to attend classes to build their content knowledge and skills so migratory students can gain proficiency and have greater opportunities available to them.</w:t>
      </w:r>
      <w:r w:rsidR="004D30F4">
        <w:rPr>
          <w:rFonts w:ascii="Arial" w:hAnsi="Arial" w:cs="Arial"/>
        </w:rPr>
        <w:t xml:space="preserve"> Table 24 identifies the concern and needs for high school participation in ELA and math services.</w:t>
      </w:r>
    </w:p>
    <w:p w14:paraId="7D122E39" w14:textId="6CF67513" w:rsidR="00067DE7" w:rsidRPr="00113364" w:rsidRDefault="00067DE7" w:rsidP="002F5498">
      <w:pPr>
        <w:pStyle w:val="Heading5"/>
        <w:spacing w:after="0"/>
        <w:rPr>
          <w:b/>
          <w:bCs/>
          <w:i w:val="0"/>
          <w:iCs/>
          <w:sz w:val="24"/>
        </w:rPr>
      </w:pPr>
      <w:bookmarkStart w:id="58" w:name="_Toc204755360"/>
      <w:r w:rsidRPr="00113364">
        <w:rPr>
          <w:b/>
          <w:bCs/>
          <w:i w:val="0"/>
          <w:iCs/>
          <w:sz w:val="24"/>
        </w:rPr>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24</w:t>
      </w:r>
      <w:r w:rsidR="00C46CA6" w:rsidRPr="00113364">
        <w:rPr>
          <w:b/>
          <w:bCs/>
          <w:i w:val="0"/>
          <w:iCs/>
          <w:noProof/>
          <w:sz w:val="24"/>
        </w:rPr>
        <w:fldChar w:fldCharType="end"/>
      </w:r>
      <w:r w:rsidRPr="00113364">
        <w:rPr>
          <w:b/>
          <w:bCs/>
          <w:i w:val="0"/>
          <w:iCs/>
          <w:sz w:val="24"/>
        </w:rPr>
        <w:t xml:space="preserve">. Data Summary, Concern Statement, and Need Statement for Student Engagement: </w:t>
      </w:r>
      <w:r w:rsidR="00387225" w:rsidRPr="00113364">
        <w:rPr>
          <w:b/>
          <w:bCs/>
          <w:i w:val="0"/>
          <w:iCs/>
          <w:sz w:val="24"/>
        </w:rPr>
        <w:t>High School</w:t>
      </w:r>
      <w:r w:rsidR="005369BC" w:rsidRPr="00113364">
        <w:rPr>
          <w:b/>
          <w:bCs/>
          <w:i w:val="0"/>
          <w:iCs/>
          <w:sz w:val="24"/>
        </w:rPr>
        <w:t xml:space="preserve"> Student Participation in English Language Arts and </w:t>
      </w:r>
      <w:r w:rsidR="00E7492F" w:rsidRPr="00113364">
        <w:rPr>
          <w:b/>
          <w:bCs/>
          <w:i w:val="0"/>
          <w:iCs/>
          <w:sz w:val="24"/>
        </w:rPr>
        <w:t>Mathematics</w:t>
      </w:r>
      <w:r w:rsidR="005369BC" w:rsidRPr="00113364">
        <w:rPr>
          <w:b/>
          <w:bCs/>
          <w:i w:val="0"/>
          <w:iCs/>
          <w:sz w:val="24"/>
        </w:rPr>
        <w:t xml:space="preserve"> Services</w:t>
      </w:r>
      <w:bookmarkEnd w:id="58"/>
    </w:p>
    <w:tbl>
      <w:tblPr>
        <w:tblStyle w:val="GridTable4-Accent1"/>
        <w:tblW w:w="0" w:type="auto"/>
        <w:tblLook w:val="0420" w:firstRow="1" w:lastRow="0" w:firstColumn="0" w:lastColumn="0" w:noHBand="0" w:noVBand="1"/>
        <w:tblDescription w:val="Data Summary, Concern Statement, and Need Statement for Student Engagement: Self and Cultural Pride"/>
      </w:tblPr>
      <w:tblGrid>
        <w:gridCol w:w="3362"/>
        <w:gridCol w:w="2663"/>
        <w:gridCol w:w="3325"/>
      </w:tblGrid>
      <w:tr w:rsidR="00067DE7" w:rsidRPr="00113364" w14:paraId="2B90F77C" w14:textId="77777777" w:rsidTr="009A087F">
        <w:trPr>
          <w:cnfStyle w:val="100000000000" w:firstRow="1" w:lastRow="0" w:firstColumn="0" w:lastColumn="0" w:oddVBand="0" w:evenVBand="0" w:oddHBand="0" w:evenHBand="0" w:firstRowFirstColumn="0" w:firstRowLastColumn="0" w:lastRowFirstColumn="0" w:lastRowLastColumn="0"/>
          <w:cantSplit/>
          <w:tblHeader/>
        </w:trPr>
        <w:tc>
          <w:tcPr>
            <w:tcW w:w="3362" w:type="dxa"/>
            <w:tcBorders>
              <w:right w:val="single" w:sz="4" w:space="0" w:color="4472C4"/>
            </w:tcBorders>
            <w:shd w:val="clear" w:color="auto" w:fill="1F3864" w:themeFill="accent5" w:themeFillShade="80"/>
            <w:vAlign w:val="center"/>
          </w:tcPr>
          <w:p w14:paraId="3D843E96" w14:textId="77777777" w:rsidR="00067DE7" w:rsidRPr="00113364" w:rsidRDefault="00067DE7" w:rsidP="00EB4984">
            <w:pPr>
              <w:jc w:val="center"/>
              <w:rPr>
                <w:rFonts w:ascii="Arial" w:hAnsi="Arial" w:cs="Arial"/>
                <w:b w:val="0"/>
                <w:color w:val="FFFFFF"/>
              </w:rPr>
            </w:pPr>
            <w:r w:rsidRPr="00113364">
              <w:rPr>
                <w:rFonts w:ascii="Arial" w:hAnsi="Arial" w:cs="Arial"/>
                <w:color w:val="FFFFFF"/>
              </w:rPr>
              <w:t>Data Summary:</w:t>
            </w:r>
          </w:p>
          <w:p w14:paraId="1561E054" w14:textId="06C5C781" w:rsidR="00067DE7" w:rsidRPr="00113364" w:rsidRDefault="005369BC" w:rsidP="00EB4984">
            <w:pPr>
              <w:jc w:val="center"/>
              <w:rPr>
                <w:rFonts w:ascii="Arial" w:hAnsi="Arial" w:cs="Arial"/>
                <w:b w:val="0"/>
                <w:color w:val="FFFFFF"/>
              </w:rPr>
            </w:pPr>
            <w:r w:rsidRPr="00113364">
              <w:rPr>
                <w:rFonts w:ascii="Arial" w:hAnsi="Arial" w:cs="Arial"/>
                <w:color w:val="FFFFFF"/>
              </w:rPr>
              <w:t>202</w:t>
            </w:r>
            <w:r w:rsidR="009E4486" w:rsidRPr="00113364">
              <w:rPr>
                <w:rFonts w:ascii="Arial" w:hAnsi="Arial" w:cs="Arial"/>
                <w:color w:val="FFFFFF"/>
              </w:rPr>
              <w:t>1</w:t>
            </w:r>
            <w:r w:rsidRPr="00113364">
              <w:rPr>
                <w:rFonts w:ascii="Arial" w:hAnsi="Arial" w:cs="Arial"/>
                <w:color w:val="FFFFFF"/>
              </w:rPr>
              <w:t>–22 Service Data from MSIN Database</w:t>
            </w:r>
          </w:p>
        </w:tc>
        <w:tc>
          <w:tcPr>
            <w:tcW w:w="2663" w:type="dxa"/>
            <w:tcBorders>
              <w:left w:val="single" w:sz="4" w:space="0" w:color="4472C4"/>
              <w:right w:val="single" w:sz="4" w:space="0" w:color="4472C4"/>
            </w:tcBorders>
            <w:shd w:val="clear" w:color="auto" w:fill="1F3864" w:themeFill="accent5" w:themeFillShade="80"/>
            <w:vAlign w:val="center"/>
          </w:tcPr>
          <w:p w14:paraId="66E7B634" w14:textId="77777777" w:rsidR="00067DE7" w:rsidRPr="00113364" w:rsidRDefault="00067DE7" w:rsidP="00EB4984">
            <w:pPr>
              <w:pStyle w:val="ListParagraph"/>
              <w:ind w:left="0"/>
              <w:jc w:val="center"/>
              <w:rPr>
                <w:rFonts w:ascii="Arial" w:hAnsi="Arial" w:cs="Arial"/>
                <w:color w:val="FFFFFF"/>
              </w:rPr>
            </w:pPr>
            <w:r w:rsidRPr="00113364">
              <w:rPr>
                <w:rFonts w:ascii="Arial" w:hAnsi="Arial" w:cs="Arial"/>
                <w:color w:val="FFFFFF"/>
              </w:rPr>
              <w:t>Concern Statement</w:t>
            </w:r>
          </w:p>
        </w:tc>
        <w:tc>
          <w:tcPr>
            <w:tcW w:w="3325" w:type="dxa"/>
            <w:tcBorders>
              <w:left w:val="single" w:sz="4" w:space="0" w:color="4472C4"/>
            </w:tcBorders>
            <w:shd w:val="clear" w:color="auto" w:fill="1F3864" w:themeFill="accent5" w:themeFillShade="80"/>
            <w:vAlign w:val="center"/>
          </w:tcPr>
          <w:p w14:paraId="6245D1DD" w14:textId="77777777" w:rsidR="00067DE7" w:rsidRPr="00113364" w:rsidRDefault="00067DE7" w:rsidP="00EB4984">
            <w:pPr>
              <w:pStyle w:val="ListParagraph"/>
              <w:ind w:left="0"/>
              <w:jc w:val="center"/>
              <w:rPr>
                <w:rFonts w:ascii="Arial" w:hAnsi="Arial" w:cs="Arial"/>
                <w:color w:val="FFFFFF"/>
              </w:rPr>
            </w:pPr>
            <w:r w:rsidRPr="00113364">
              <w:rPr>
                <w:rFonts w:ascii="Arial" w:hAnsi="Arial" w:cs="Arial"/>
                <w:color w:val="FFFFFF"/>
              </w:rPr>
              <w:t>Need Statement</w:t>
            </w:r>
          </w:p>
        </w:tc>
      </w:tr>
      <w:tr w:rsidR="00067DE7" w:rsidRPr="00113364" w14:paraId="09C31AF9" w14:textId="77777777" w:rsidTr="009A087F">
        <w:trPr>
          <w:cnfStyle w:val="000000100000" w:firstRow="0" w:lastRow="0" w:firstColumn="0" w:lastColumn="0" w:oddVBand="0" w:evenVBand="0" w:oddHBand="1" w:evenHBand="0" w:firstRowFirstColumn="0" w:firstRowLastColumn="0" w:lastRowFirstColumn="0" w:lastRowLastColumn="0"/>
          <w:cantSplit/>
          <w:trHeight w:val="251"/>
        </w:trPr>
        <w:tc>
          <w:tcPr>
            <w:tcW w:w="3362" w:type="dxa"/>
          </w:tcPr>
          <w:p w14:paraId="7D845328" w14:textId="5454AD86" w:rsidR="00387225" w:rsidRPr="00113364" w:rsidRDefault="00387225">
            <w:pPr>
              <w:pStyle w:val="ListParagraph"/>
              <w:numPr>
                <w:ilvl w:val="0"/>
                <w:numId w:val="43"/>
              </w:numPr>
              <w:tabs>
                <w:tab w:val="left" w:pos="465"/>
              </w:tabs>
              <w:spacing w:after="120"/>
              <w:ind w:left="331"/>
              <w:contextualSpacing w:val="0"/>
              <w:rPr>
                <w:rFonts w:ascii="Arial" w:hAnsi="Arial" w:cs="Arial"/>
              </w:rPr>
            </w:pPr>
            <w:r w:rsidRPr="00113364">
              <w:rPr>
                <w:rFonts w:ascii="Arial" w:hAnsi="Arial" w:cs="Arial"/>
              </w:rPr>
              <w:t xml:space="preserve">Eleven percent of migratory </w:t>
            </w:r>
            <w:r w:rsidR="00896144" w:rsidRPr="00113364">
              <w:rPr>
                <w:rFonts w:ascii="Arial" w:hAnsi="Arial" w:cs="Arial"/>
              </w:rPr>
              <w:t>ninth</w:t>
            </w:r>
            <w:r w:rsidRPr="00113364">
              <w:rPr>
                <w:rFonts w:ascii="Arial" w:hAnsi="Arial" w:cs="Arial"/>
              </w:rPr>
              <w:t xml:space="preserve"> and</w:t>
            </w:r>
            <w:r w:rsidR="00896144" w:rsidRPr="00113364">
              <w:rPr>
                <w:rFonts w:ascii="Arial" w:hAnsi="Arial" w:cs="Arial"/>
              </w:rPr>
              <w:t xml:space="preserve"> ten</w:t>
            </w:r>
            <w:r w:rsidRPr="00113364">
              <w:rPr>
                <w:rFonts w:ascii="Arial" w:hAnsi="Arial" w:cs="Arial"/>
              </w:rPr>
              <w:t>th graders who are not proficient participated in an ELA service during the 2021–22 performance period.</w:t>
            </w:r>
          </w:p>
          <w:p w14:paraId="73730E9C" w14:textId="785A868B" w:rsidR="00067DE7" w:rsidRPr="00113364" w:rsidRDefault="00387225">
            <w:pPr>
              <w:pStyle w:val="ListParagraph"/>
              <w:numPr>
                <w:ilvl w:val="0"/>
                <w:numId w:val="43"/>
              </w:numPr>
              <w:tabs>
                <w:tab w:val="left" w:pos="465"/>
              </w:tabs>
              <w:spacing w:after="120"/>
              <w:ind w:left="331"/>
              <w:contextualSpacing w:val="0"/>
              <w:rPr>
                <w:rFonts w:ascii="Arial" w:hAnsi="Arial" w:cs="Arial"/>
              </w:rPr>
            </w:pPr>
            <w:r w:rsidRPr="00113364">
              <w:rPr>
                <w:rFonts w:ascii="Arial" w:hAnsi="Arial" w:cs="Arial"/>
              </w:rPr>
              <w:t xml:space="preserve">Five percent of migratory </w:t>
            </w:r>
            <w:r w:rsidR="00896144" w:rsidRPr="00113364">
              <w:rPr>
                <w:rFonts w:ascii="Arial" w:hAnsi="Arial" w:cs="Arial"/>
              </w:rPr>
              <w:t>ninth</w:t>
            </w:r>
            <w:r w:rsidRPr="00113364">
              <w:rPr>
                <w:rFonts w:ascii="Arial" w:hAnsi="Arial" w:cs="Arial"/>
              </w:rPr>
              <w:t xml:space="preserve"> and </w:t>
            </w:r>
            <w:r w:rsidR="00896144" w:rsidRPr="00113364">
              <w:rPr>
                <w:rFonts w:ascii="Arial" w:hAnsi="Arial" w:cs="Arial"/>
              </w:rPr>
              <w:t>ten</w:t>
            </w:r>
            <w:r w:rsidRPr="00113364">
              <w:rPr>
                <w:rFonts w:ascii="Arial" w:hAnsi="Arial" w:cs="Arial"/>
              </w:rPr>
              <w:t xml:space="preserve">th graders who are not proficient attended a </w:t>
            </w:r>
            <w:r w:rsidR="00E7492F" w:rsidRPr="00113364">
              <w:rPr>
                <w:rFonts w:ascii="Arial" w:hAnsi="Arial" w:cs="Arial"/>
              </w:rPr>
              <w:t>mathematics</w:t>
            </w:r>
            <w:r w:rsidRPr="00113364">
              <w:rPr>
                <w:rFonts w:ascii="Arial" w:hAnsi="Arial" w:cs="Arial"/>
              </w:rPr>
              <w:t xml:space="preserve"> service.</w:t>
            </w:r>
          </w:p>
        </w:tc>
        <w:tc>
          <w:tcPr>
            <w:tcW w:w="2663" w:type="dxa"/>
          </w:tcPr>
          <w:p w14:paraId="20046A37" w14:textId="50E8E809" w:rsidR="00067DE7" w:rsidRPr="00113364" w:rsidRDefault="00387225" w:rsidP="00387225">
            <w:pPr>
              <w:spacing w:after="240"/>
              <w:ind w:right="15"/>
              <w:rPr>
                <w:rFonts w:ascii="Arial" w:hAnsi="Arial" w:cs="Arial"/>
              </w:rPr>
            </w:pPr>
            <w:r w:rsidRPr="00113364">
              <w:rPr>
                <w:rFonts w:ascii="Arial" w:hAnsi="Arial" w:cs="Arial"/>
              </w:rPr>
              <w:t>We are concerned that 89 percent of ninth and tenth graders did not participate in a</w:t>
            </w:r>
            <w:r w:rsidR="00C306F4">
              <w:rPr>
                <w:rFonts w:ascii="Arial" w:hAnsi="Arial" w:cs="Arial"/>
              </w:rPr>
              <w:t xml:space="preserve"> regular school year</w:t>
            </w:r>
            <w:r w:rsidRPr="00113364">
              <w:rPr>
                <w:rFonts w:ascii="Arial" w:hAnsi="Arial" w:cs="Arial"/>
              </w:rPr>
              <w:t xml:space="preserve"> ELA service and 95 percent did not participate in a </w:t>
            </w:r>
            <w:r w:rsidR="00E7492F" w:rsidRPr="00113364">
              <w:rPr>
                <w:rFonts w:ascii="Arial" w:hAnsi="Arial" w:cs="Arial"/>
              </w:rPr>
              <w:t>mathematics</w:t>
            </w:r>
            <w:r w:rsidRPr="00113364">
              <w:rPr>
                <w:rFonts w:ascii="Arial" w:hAnsi="Arial" w:cs="Arial"/>
              </w:rPr>
              <w:t xml:space="preserve"> service in 2021–22.</w:t>
            </w:r>
          </w:p>
        </w:tc>
        <w:tc>
          <w:tcPr>
            <w:tcW w:w="3325" w:type="dxa"/>
          </w:tcPr>
          <w:p w14:paraId="646B770D" w14:textId="197108A2" w:rsidR="00067DE7" w:rsidRPr="00113364" w:rsidRDefault="00387225" w:rsidP="00387225">
            <w:pPr>
              <w:spacing w:after="240"/>
              <w:ind w:left="-20"/>
              <w:rPr>
                <w:rFonts w:ascii="Arial" w:hAnsi="Arial" w:cs="Arial"/>
              </w:rPr>
            </w:pPr>
            <w:r w:rsidRPr="00113364">
              <w:rPr>
                <w:rFonts w:ascii="Arial" w:hAnsi="Arial" w:cs="Arial"/>
              </w:rPr>
              <w:t xml:space="preserve">An additional 14 percent of migratory ninth and tenth graders who are below proficiency in ELA need to participate in an ELA service. An additional 20 percent of migratory students in grades ninth and tenth who are below proficiency in </w:t>
            </w:r>
            <w:r w:rsidR="00E7492F" w:rsidRPr="00113364">
              <w:rPr>
                <w:rFonts w:ascii="Arial" w:hAnsi="Arial" w:cs="Arial"/>
              </w:rPr>
              <w:t>mathematics</w:t>
            </w:r>
            <w:r w:rsidRPr="00113364">
              <w:rPr>
                <w:rFonts w:ascii="Arial" w:hAnsi="Arial" w:cs="Arial"/>
              </w:rPr>
              <w:t xml:space="preserve"> need to participate in a </w:t>
            </w:r>
            <w:r w:rsidR="00E7492F" w:rsidRPr="00113364">
              <w:rPr>
                <w:rFonts w:ascii="Arial" w:hAnsi="Arial" w:cs="Arial"/>
              </w:rPr>
              <w:t>mathematics</w:t>
            </w:r>
            <w:r w:rsidRPr="00113364">
              <w:rPr>
                <w:rFonts w:ascii="Arial" w:hAnsi="Arial" w:cs="Arial"/>
              </w:rPr>
              <w:t xml:space="preserve"> service.</w:t>
            </w:r>
          </w:p>
        </w:tc>
      </w:tr>
    </w:tbl>
    <w:p w14:paraId="1CEE6F7E" w14:textId="704CAF47" w:rsidR="00067DE7" w:rsidRPr="00113364" w:rsidRDefault="00067DE7" w:rsidP="00B11C5E">
      <w:pPr>
        <w:pStyle w:val="Heading4"/>
      </w:pPr>
      <w:r w:rsidRPr="00113364">
        <w:t xml:space="preserve">Student Engagement Focus Area: </w:t>
      </w:r>
      <w:r w:rsidR="00A07A84" w:rsidRPr="00113364">
        <w:t>Meaningful Participation in School</w:t>
      </w:r>
    </w:p>
    <w:p w14:paraId="27C4A22E" w14:textId="74DBFD34" w:rsidR="002D2891" w:rsidRPr="00113364" w:rsidRDefault="002D2891" w:rsidP="002D2891">
      <w:pPr>
        <w:rPr>
          <w:rFonts w:ascii="Arial" w:hAnsi="Arial" w:cs="Arial"/>
        </w:rPr>
      </w:pPr>
      <w:r w:rsidRPr="00113364">
        <w:rPr>
          <w:rFonts w:ascii="Arial" w:hAnsi="Arial" w:cs="Arial"/>
        </w:rPr>
        <w:t xml:space="preserve">Besides looking at MEP service participation data, the </w:t>
      </w:r>
      <w:r w:rsidR="00EF7863" w:rsidRPr="00113364">
        <w:rPr>
          <w:rFonts w:ascii="Arial" w:hAnsi="Arial" w:cs="Arial"/>
        </w:rPr>
        <w:t xml:space="preserve">Student Engagement subcommittee reviewed the </w:t>
      </w:r>
      <w:r w:rsidRPr="00113364">
        <w:rPr>
          <w:rFonts w:ascii="Arial" w:hAnsi="Arial" w:cs="Arial"/>
        </w:rPr>
        <w:t>California Healthy Kids Survey</w:t>
      </w:r>
      <w:r w:rsidR="00EB6991">
        <w:rPr>
          <w:rFonts w:ascii="Arial" w:hAnsi="Arial" w:cs="Arial"/>
        </w:rPr>
        <w:t xml:space="preserve"> and</w:t>
      </w:r>
      <w:r w:rsidRPr="00113364">
        <w:rPr>
          <w:rFonts w:ascii="Arial" w:hAnsi="Arial" w:cs="Arial"/>
        </w:rPr>
        <w:t xml:space="preserve"> discussed meaningful participation at school. </w:t>
      </w:r>
      <w:r w:rsidR="00B5285A" w:rsidRPr="00113364">
        <w:rPr>
          <w:rFonts w:ascii="Arial" w:hAnsi="Arial" w:cs="Arial"/>
        </w:rPr>
        <w:t xml:space="preserve">Meaningful participation includes questions about whether teachers engage with students about their ideas, what they want to learn about, the activities they want to participate in, and if students are given a chance to </w:t>
      </w:r>
      <w:proofErr w:type="gramStart"/>
      <w:r w:rsidR="00B5285A" w:rsidRPr="00113364">
        <w:rPr>
          <w:rFonts w:ascii="Arial" w:hAnsi="Arial" w:cs="Arial"/>
        </w:rPr>
        <w:t>help out</w:t>
      </w:r>
      <w:proofErr w:type="gramEnd"/>
      <w:r w:rsidR="00B5285A" w:rsidRPr="00113364">
        <w:rPr>
          <w:rFonts w:ascii="Arial" w:hAnsi="Arial" w:cs="Arial"/>
        </w:rPr>
        <w:t xml:space="preserve"> and/or solve problems in the classroom or at school. Table 2</w:t>
      </w:r>
      <w:r w:rsidR="004D30F4">
        <w:rPr>
          <w:rFonts w:ascii="Arial" w:hAnsi="Arial" w:cs="Arial"/>
        </w:rPr>
        <w:t>5</w:t>
      </w:r>
      <w:r w:rsidR="00B5285A" w:rsidRPr="00113364">
        <w:rPr>
          <w:rFonts w:ascii="Arial" w:hAnsi="Arial" w:cs="Arial"/>
        </w:rPr>
        <w:t xml:space="preserve"> outlines key decisions for the third concern for the Student Engagement focus area.</w:t>
      </w:r>
    </w:p>
    <w:p w14:paraId="0237EE9F" w14:textId="703C3D8C" w:rsidR="00067DE7" w:rsidRPr="00113364" w:rsidRDefault="00067DE7" w:rsidP="00B11C5E">
      <w:pPr>
        <w:pStyle w:val="Heading5"/>
        <w:spacing w:after="0"/>
        <w:rPr>
          <w:b/>
          <w:bCs/>
          <w:i w:val="0"/>
          <w:iCs/>
          <w:sz w:val="24"/>
        </w:rPr>
      </w:pPr>
      <w:bookmarkStart w:id="59" w:name="_Toc204755361"/>
      <w:r w:rsidRPr="00113364">
        <w:rPr>
          <w:b/>
          <w:bCs/>
          <w:i w:val="0"/>
          <w:iCs/>
          <w:sz w:val="24"/>
        </w:rPr>
        <w:lastRenderedPageBreak/>
        <w:t xml:space="preserve">Table </w:t>
      </w:r>
      <w:r w:rsidR="00C46CA6" w:rsidRPr="00113364">
        <w:rPr>
          <w:b/>
          <w:bCs/>
          <w:i w:val="0"/>
          <w:iCs/>
          <w:sz w:val="24"/>
        </w:rPr>
        <w:fldChar w:fldCharType="begin"/>
      </w:r>
      <w:r w:rsidR="00C46CA6" w:rsidRPr="00113364">
        <w:rPr>
          <w:b/>
          <w:bCs/>
          <w:i w:val="0"/>
          <w:iCs/>
          <w:sz w:val="24"/>
        </w:rPr>
        <w:instrText xml:space="preserve"> SEQ Table \* ARABIC </w:instrText>
      </w:r>
      <w:r w:rsidR="00C46CA6" w:rsidRPr="00113364">
        <w:rPr>
          <w:b/>
          <w:bCs/>
          <w:i w:val="0"/>
          <w:iCs/>
          <w:sz w:val="24"/>
        </w:rPr>
        <w:fldChar w:fldCharType="separate"/>
      </w:r>
      <w:r w:rsidR="001362A0">
        <w:rPr>
          <w:b/>
          <w:bCs/>
          <w:i w:val="0"/>
          <w:iCs/>
          <w:noProof/>
          <w:sz w:val="24"/>
        </w:rPr>
        <w:t>25</w:t>
      </w:r>
      <w:r w:rsidR="00C46CA6" w:rsidRPr="00113364">
        <w:rPr>
          <w:b/>
          <w:bCs/>
          <w:i w:val="0"/>
          <w:iCs/>
          <w:noProof/>
          <w:sz w:val="24"/>
        </w:rPr>
        <w:fldChar w:fldCharType="end"/>
      </w:r>
      <w:r w:rsidRPr="00113364">
        <w:rPr>
          <w:b/>
          <w:bCs/>
          <w:i w:val="0"/>
          <w:iCs/>
          <w:sz w:val="24"/>
        </w:rPr>
        <w:t xml:space="preserve">. Data Summary, Concern Statement, and Need Statement for Student Engagement: </w:t>
      </w:r>
      <w:r w:rsidR="00975DDC" w:rsidRPr="00113364">
        <w:rPr>
          <w:b/>
          <w:bCs/>
          <w:i w:val="0"/>
          <w:iCs/>
          <w:sz w:val="24"/>
        </w:rPr>
        <w:t>Meaningful Participation in School</w:t>
      </w:r>
      <w:bookmarkEnd w:id="59"/>
    </w:p>
    <w:tbl>
      <w:tblPr>
        <w:tblStyle w:val="GridTable4-Accent1"/>
        <w:tblW w:w="0" w:type="auto"/>
        <w:tblLook w:val="0420" w:firstRow="1" w:lastRow="0" w:firstColumn="0" w:lastColumn="0" w:noHBand="0" w:noVBand="1"/>
        <w:tblDescription w:val="Data Summary, Concern Statement, and Need Statement for Student Engagement: Self and Cultural Pride"/>
      </w:tblPr>
      <w:tblGrid>
        <w:gridCol w:w="4225"/>
        <w:gridCol w:w="2468"/>
        <w:gridCol w:w="2657"/>
      </w:tblGrid>
      <w:tr w:rsidR="00067DE7" w:rsidRPr="00113364" w14:paraId="5D922BBC" w14:textId="77777777" w:rsidTr="00B5285A">
        <w:trPr>
          <w:cnfStyle w:val="100000000000" w:firstRow="1" w:lastRow="0" w:firstColumn="0" w:lastColumn="0" w:oddVBand="0" w:evenVBand="0" w:oddHBand="0" w:evenHBand="0" w:firstRowFirstColumn="0" w:firstRowLastColumn="0" w:lastRowFirstColumn="0" w:lastRowLastColumn="0"/>
          <w:cantSplit/>
          <w:tblHeader/>
        </w:trPr>
        <w:tc>
          <w:tcPr>
            <w:tcW w:w="4225" w:type="dxa"/>
            <w:tcBorders>
              <w:right w:val="single" w:sz="4" w:space="0" w:color="4472C4"/>
            </w:tcBorders>
            <w:shd w:val="clear" w:color="auto" w:fill="1F3864" w:themeFill="accent5" w:themeFillShade="80"/>
            <w:vAlign w:val="center"/>
          </w:tcPr>
          <w:p w14:paraId="36CA05EE" w14:textId="77777777" w:rsidR="00067DE7" w:rsidRPr="00113364" w:rsidRDefault="00067DE7" w:rsidP="00EB4984">
            <w:pPr>
              <w:jc w:val="center"/>
              <w:rPr>
                <w:rFonts w:ascii="Arial" w:hAnsi="Arial" w:cs="Arial"/>
                <w:b w:val="0"/>
                <w:color w:val="FFFFFF"/>
              </w:rPr>
            </w:pPr>
            <w:r w:rsidRPr="00113364">
              <w:rPr>
                <w:rFonts w:ascii="Arial" w:hAnsi="Arial" w:cs="Arial"/>
                <w:color w:val="FFFFFF"/>
              </w:rPr>
              <w:t>Data Summary:</w:t>
            </w:r>
          </w:p>
          <w:p w14:paraId="7F524FD4" w14:textId="72CD34F1" w:rsidR="00067DE7" w:rsidRPr="00113364" w:rsidRDefault="00975DDC" w:rsidP="00EB4984">
            <w:pPr>
              <w:jc w:val="center"/>
              <w:rPr>
                <w:rFonts w:ascii="Arial" w:hAnsi="Arial" w:cs="Arial"/>
                <w:b w:val="0"/>
                <w:color w:val="FFFFFF"/>
              </w:rPr>
            </w:pPr>
            <w:r w:rsidRPr="00113364">
              <w:rPr>
                <w:rFonts w:ascii="Arial" w:hAnsi="Arial" w:cs="Arial"/>
                <w:color w:val="FFFFFF"/>
              </w:rPr>
              <w:t>2024 California Health Kids Survey</w:t>
            </w:r>
          </w:p>
        </w:tc>
        <w:tc>
          <w:tcPr>
            <w:tcW w:w="2468" w:type="dxa"/>
            <w:tcBorders>
              <w:left w:val="single" w:sz="4" w:space="0" w:color="4472C4"/>
              <w:right w:val="single" w:sz="4" w:space="0" w:color="4472C4"/>
            </w:tcBorders>
            <w:shd w:val="clear" w:color="auto" w:fill="1F3864" w:themeFill="accent5" w:themeFillShade="80"/>
            <w:vAlign w:val="center"/>
          </w:tcPr>
          <w:p w14:paraId="13CD7D17" w14:textId="77777777" w:rsidR="00067DE7" w:rsidRPr="00113364" w:rsidRDefault="00067DE7" w:rsidP="00EB4984">
            <w:pPr>
              <w:pStyle w:val="ListParagraph"/>
              <w:ind w:left="0"/>
              <w:jc w:val="center"/>
              <w:rPr>
                <w:rFonts w:ascii="Arial" w:hAnsi="Arial" w:cs="Arial"/>
                <w:color w:val="FFFFFF"/>
              </w:rPr>
            </w:pPr>
            <w:r w:rsidRPr="00113364">
              <w:rPr>
                <w:rFonts w:ascii="Arial" w:hAnsi="Arial" w:cs="Arial"/>
                <w:color w:val="FFFFFF"/>
              </w:rPr>
              <w:t>Concern Statement</w:t>
            </w:r>
          </w:p>
        </w:tc>
        <w:tc>
          <w:tcPr>
            <w:tcW w:w="2657" w:type="dxa"/>
            <w:tcBorders>
              <w:left w:val="single" w:sz="4" w:space="0" w:color="4472C4"/>
            </w:tcBorders>
            <w:shd w:val="clear" w:color="auto" w:fill="1F3864" w:themeFill="accent5" w:themeFillShade="80"/>
            <w:vAlign w:val="center"/>
          </w:tcPr>
          <w:p w14:paraId="4D44A59C" w14:textId="77777777" w:rsidR="00067DE7" w:rsidRPr="00113364" w:rsidRDefault="00067DE7" w:rsidP="00EB4984">
            <w:pPr>
              <w:pStyle w:val="ListParagraph"/>
              <w:ind w:left="0"/>
              <w:jc w:val="center"/>
              <w:rPr>
                <w:rFonts w:ascii="Arial" w:hAnsi="Arial" w:cs="Arial"/>
                <w:color w:val="FFFFFF"/>
              </w:rPr>
            </w:pPr>
            <w:r w:rsidRPr="00113364">
              <w:rPr>
                <w:rFonts w:ascii="Arial" w:hAnsi="Arial" w:cs="Arial"/>
                <w:color w:val="FFFFFF"/>
              </w:rPr>
              <w:t>Need Statement</w:t>
            </w:r>
          </w:p>
        </w:tc>
      </w:tr>
      <w:tr w:rsidR="00067DE7" w:rsidRPr="00113364" w14:paraId="61EE0FC1" w14:textId="77777777" w:rsidTr="00B5285A">
        <w:trPr>
          <w:cnfStyle w:val="000000100000" w:firstRow="0" w:lastRow="0" w:firstColumn="0" w:lastColumn="0" w:oddVBand="0" w:evenVBand="0" w:oddHBand="1" w:evenHBand="0" w:firstRowFirstColumn="0" w:firstRowLastColumn="0" w:lastRowFirstColumn="0" w:lastRowLastColumn="0"/>
          <w:cantSplit/>
          <w:trHeight w:val="251"/>
        </w:trPr>
        <w:tc>
          <w:tcPr>
            <w:tcW w:w="4225" w:type="dxa"/>
          </w:tcPr>
          <w:p w14:paraId="52EF4473" w14:textId="77777777" w:rsidR="005369BC" w:rsidRPr="00113364" w:rsidRDefault="005369BC">
            <w:pPr>
              <w:pStyle w:val="ListParagraph"/>
              <w:numPr>
                <w:ilvl w:val="0"/>
                <w:numId w:val="43"/>
              </w:numPr>
              <w:spacing w:after="120"/>
              <w:ind w:left="331"/>
              <w:contextualSpacing w:val="0"/>
              <w:rPr>
                <w:rFonts w:ascii="Arial" w:hAnsi="Arial" w:cs="Arial"/>
              </w:rPr>
            </w:pPr>
            <w:r w:rsidRPr="00113364">
              <w:rPr>
                <w:rFonts w:ascii="Arial" w:hAnsi="Arial" w:cs="Arial"/>
              </w:rPr>
              <w:t>Fifty-five percent of elementary school students feel like they do not participate meaningfully in school.</w:t>
            </w:r>
          </w:p>
          <w:p w14:paraId="4BA4B1E0" w14:textId="04DB21A3" w:rsidR="00067DE7" w:rsidRPr="00113364" w:rsidRDefault="005369BC">
            <w:pPr>
              <w:pStyle w:val="ListParagraph"/>
              <w:numPr>
                <w:ilvl w:val="0"/>
                <w:numId w:val="43"/>
              </w:numPr>
              <w:spacing w:after="120"/>
              <w:ind w:left="331"/>
              <w:contextualSpacing w:val="0"/>
              <w:rPr>
                <w:rFonts w:ascii="Arial" w:hAnsi="Arial" w:cs="Arial"/>
              </w:rPr>
            </w:pPr>
            <w:r w:rsidRPr="00113364">
              <w:rPr>
                <w:rFonts w:ascii="Arial" w:hAnsi="Arial" w:cs="Arial"/>
              </w:rPr>
              <w:t>Seventy-seven percent of high school students feel like they do not participate meaningfully in school.</w:t>
            </w:r>
          </w:p>
        </w:tc>
        <w:tc>
          <w:tcPr>
            <w:tcW w:w="2468" w:type="dxa"/>
          </w:tcPr>
          <w:p w14:paraId="0848AB68" w14:textId="1609D5B7" w:rsidR="00067DE7" w:rsidRPr="00113364" w:rsidRDefault="005369BC" w:rsidP="005369BC">
            <w:pPr>
              <w:spacing w:after="240"/>
              <w:rPr>
                <w:rFonts w:ascii="Arial" w:hAnsi="Arial" w:cs="Arial"/>
              </w:rPr>
            </w:pPr>
            <w:r w:rsidRPr="00113364">
              <w:rPr>
                <w:rFonts w:ascii="Arial" w:hAnsi="Arial" w:cs="Arial"/>
              </w:rPr>
              <w:t xml:space="preserve">We are concerned that only 45 percent of elementary and 23 percent of high school students indicated they experience meaningful participation in school. </w:t>
            </w:r>
          </w:p>
        </w:tc>
        <w:tc>
          <w:tcPr>
            <w:tcW w:w="2657" w:type="dxa"/>
          </w:tcPr>
          <w:p w14:paraId="66E45DC4" w14:textId="4F1B5112" w:rsidR="00067DE7" w:rsidRPr="00113364" w:rsidRDefault="005369BC" w:rsidP="005369BC">
            <w:pPr>
              <w:spacing w:after="240"/>
              <w:ind w:left="-20"/>
              <w:rPr>
                <w:rFonts w:ascii="Arial" w:hAnsi="Arial" w:cs="Arial"/>
              </w:rPr>
            </w:pPr>
            <w:r w:rsidRPr="00113364">
              <w:rPr>
                <w:rFonts w:ascii="Arial" w:hAnsi="Arial" w:cs="Arial"/>
              </w:rPr>
              <w:t>An additional 15 percent of elementary and an additional 17 percent of high school students should experience meaningful participation in school.</w:t>
            </w:r>
          </w:p>
        </w:tc>
      </w:tr>
    </w:tbl>
    <w:p w14:paraId="21697C8E" w14:textId="77777777" w:rsidR="00D35D28" w:rsidRPr="00113364" w:rsidRDefault="00D35D28" w:rsidP="00D35D28">
      <w:pPr>
        <w:spacing w:before="240"/>
        <w:rPr>
          <w:rFonts w:ascii="Arial" w:hAnsi="Arial" w:cs="Arial"/>
        </w:rPr>
      </w:pPr>
      <w:r w:rsidRPr="00EB6991">
        <w:rPr>
          <w:rFonts w:ascii="Arial" w:hAnsi="Arial" w:cs="Arial"/>
        </w:rPr>
        <w:t>The CNA SDP Committee identified several concerns and needs per focus area based on quantitative and qualitative data; however, due to the multitude of needs and the number of resources subgrantees would need to collect data and report to the CDE, the CDE Management and Data Team limited the number of migratory needs the State would address to two needs per focus area. Where appropriate, the CDE merged concerns and needs that would address several needs. For example, in the next section, there is an identified need to increase migratory students’ overall ELA achievement.</w:t>
      </w:r>
      <w:r w:rsidRPr="00113364">
        <w:rPr>
          <w:rFonts w:ascii="Arial" w:hAnsi="Arial" w:cs="Arial"/>
        </w:rPr>
        <w:t xml:space="preserve"> </w:t>
      </w:r>
    </w:p>
    <w:p w14:paraId="24A0C97A" w14:textId="3DA275E6" w:rsidR="00A4228D" w:rsidRPr="00113364" w:rsidRDefault="00A4228D" w:rsidP="007D74B3">
      <w:pPr>
        <w:rPr>
          <w:rFonts w:ascii="Arial" w:hAnsi="Arial" w:cs="Arial"/>
        </w:rPr>
      </w:pPr>
      <w:r w:rsidRPr="00113364">
        <w:rPr>
          <w:rFonts w:ascii="Arial" w:hAnsi="Arial" w:cs="Arial"/>
        </w:rPr>
        <w:br w:type="page"/>
      </w:r>
    </w:p>
    <w:p w14:paraId="475E0F2F" w14:textId="77777777" w:rsidR="00A858C1" w:rsidRPr="00113364" w:rsidRDefault="00293E5D" w:rsidP="00C6453E">
      <w:pPr>
        <w:pStyle w:val="Heading2"/>
      </w:pPr>
      <w:bookmarkStart w:id="60" w:name="_Toc203568847"/>
      <w:r w:rsidRPr="00113364">
        <w:lastRenderedPageBreak/>
        <w:t xml:space="preserve">Section III: </w:t>
      </w:r>
      <w:r w:rsidR="00AB5388" w:rsidRPr="00113364">
        <w:t xml:space="preserve">General Framework: </w:t>
      </w:r>
      <w:r w:rsidR="00A858C1" w:rsidRPr="00113364">
        <w:t>State Service Delivery Plan</w:t>
      </w:r>
      <w:bookmarkEnd w:id="60"/>
    </w:p>
    <w:p w14:paraId="6BF03146" w14:textId="4B418455" w:rsidR="009C504F" w:rsidRPr="00113364" w:rsidRDefault="009C504F" w:rsidP="009C504F">
      <w:pPr>
        <w:spacing w:before="240"/>
        <w:rPr>
          <w:rFonts w:ascii="Arial" w:hAnsi="Arial" w:cs="Arial"/>
        </w:rPr>
      </w:pPr>
      <w:r w:rsidRPr="00113364">
        <w:rPr>
          <w:rFonts w:ascii="Arial" w:hAnsi="Arial" w:cs="Arial"/>
        </w:rPr>
        <w:t xml:space="preserve">Parent involvement was extremely important to the CNA and SDP development process; however, the CDE encountered difficulties obtaining parent participation on the committee. As noted in the CNA, limited parent participation on the committee offered an alternative in employing the SPAC to serve as an extension of the committee. The SPAC completed the same process as their counterparts on the CNA SDP Committee, just during SPAC meetings to allow for robust parent consultation. All CNA SDP Committee meetings, including SPAC meetings, included interpreters </w:t>
      </w:r>
      <w:r w:rsidR="00DF4AB6" w:rsidRPr="00113364">
        <w:rPr>
          <w:rFonts w:ascii="Arial" w:hAnsi="Arial" w:cs="Arial"/>
        </w:rPr>
        <w:t>and</w:t>
      </w:r>
      <w:r w:rsidRPr="00113364">
        <w:rPr>
          <w:rFonts w:ascii="Arial" w:hAnsi="Arial" w:cs="Arial"/>
        </w:rPr>
        <w:t xml:space="preserve"> translated materials. Most of the meetings focused on the development of the CNA</w:t>
      </w:r>
      <w:r w:rsidR="00E46670">
        <w:rPr>
          <w:rFonts w:ascii="Arial" w:hAnsi="Arial" w:cs="Arial"/>
        </w:rPr>
        <w:t xml:space="preserve"> as it serves as the foundation of the SDP. Committee members </w:t>
      </w:r>
      <w:r w:rsidRPr="00113364">
        <w:rPr>
          <w:rFonts w:ascii="Arial" w:hAnsi="Arial" w:cs="Arial"/>
        </w:rPr>
        <w:t>review</w:t>
      </w:r>
      <w:r w:rsidR="00E46670">
        <w:rPr>
          <w:rFonts w:ascii="Arial" w:hAnsi="Arial" w:cs="Arial"/>
        </w:rPr>
        <w:t>ed</w:t>
      </w:r>
      <w:r w:rsidRPr="00113364">
        <w:rPr>
          <w:rFonts w:ascii="Arial" w:hAnsi="Arial" w:cs="Arial"/>
        </w:rPr>
        <w:t xml:space="preserve"> data for areas of high need as identified by MEP staff, MEP staff, and student achievement and INA data; developing concern and need statements; and reviewing best practices to select strategies that would address the identified need</w:t>
      </w:r>
      <w:r w:rsidR="00E46670">
        <w:rPr>
          <w:rFonts w:ascii="Arial" w:hAnsi="Arial" w:cs="Arial"/>
        </w:rPr>
        <w:t>.</w:t>
      </w:r>
    </w:p>
    <w:p w14:paraId="110375E1" w14:textId="77777777" w:rsidR="009C504F" w:rsidRPr="00113364" w:rsidRDefault="009C504F" w:rsidP="008B6E9C">
      <w:pPr>
        <w:rPr>
          <w:rFonts w:ascii="Arial" w:hAnsi="Arial" w:cs="Arial"/>
        </w:rPr>
      </w:pPr>
    </w:p>
    <w:p w14:paraId="7E794AF2" w14:textId="1BE99E29" w:rsidR="00283543" w:rsidRPr="00113364" w:rsidRDefault="00DF4AB6" w:rsidP="003F0CBE">
      <w:pPr>
        <w:spacing w:after="240"/>
        <w:rPr>
          <w:rFonts w:ascii="Arial" w:hAnsi="Arial" w:cs="Arial"/>
        </w:rPr>
      </w:pPr>
      <w:r w:rsidRPr="00113364">
        <w:rPr>
          <w:rFonts w:ascii="Arial" w:hAnsi="Arial" w:cs="Arial"/>
        </w:rPr>
        <w:t xml:space="preserve">After </w:t>
      </w:r>
      <w:r w:rsidR="0015145A" w:rsidRPr="00113364">
        <w:rPr>
          <w:rFonts w:ascii="Arial" w:hAnsi="Arial" w:cs="Arial"/>
        </w:rPr>
        <w:t>completion of the CDE’s statewide CNA, the CD</w:t>
      </w:r>
      <w:r w:rsidR="008C078B" w:rsidRPr="00113364">
        <w:rPr>
          <w:rFonts w:ascii="Arial" w:hAnsi="Arial" w:cs="Arial"/>
        </w:rPr>
        <w:t>E</w:t>
      </w:r>
      <w:r w:rsidR="0015145A" w:rsidRPr="00113364">
        <w:rPr>
          <w:rFonts w:ascii="Arial" w:hAnsi="Arial" w:cs="Arial"/>
        </w:rPr>
        <w:t xml:space="preserve"> </w:t>
      </w:r>
      <w:r w:rsidR="00A91DF9" w:rsidRPr="00113364">
        <w:rPr>
          <w:rFonts w:ascii="Arial" w:hAnsi="Arial" w:cs="Arial"/>
        </w:rPr>
        <w:t>used the key decision points identified during the f</w:t>
      </w:r>
      <w:r w:rsidR="008C078B" w:rsidRPr="00113364">
        <w:rPr>
          <w:rFonts w:ascii="Arial" w:hAnsi="Arial" w:cs="Arial"/>
        </w:rPr>
        <w:t>ive</w:t>
      </w:r>
      <w:r w:rsidR="00A91DF9" w:rsidRPr="00113364">
        <w:rPr>
          <w:rFonts w:ascii="Arial" w:hAnsi="Arial" w:cs="Arial"/>
        </w:rPr>
        <w:t xml:space="preserve"> CNA meetings to </w:t>
      </w:r>
      <w:r w:rsidR="008C078B" w:rsidRPr="00113364">
        <w:rPr>
          <w:rFonts w:ascii="Arial" w:hAnsi="Arial" w:cs="Arial"/>
        </w:rPr>
        <w:t>finalize the SDP strategies and the</w:t>
      </w:r>
      <w:r w:rsidR="005751CA" w:rsidRPr="00113364">
        <w:rPr>
          <w:rFonts w:ascii="Arial" w:hAnsi="Arial" w:cs="Arial"/>
        </w:rPr>
        <w:t>ir</w:t>
      </w:r>
      <w:r w:rsidR="008C078B" w:rsidRPr="00113364">
        <w:rPr>
          <w:rFonts w:ascii="Arial" w:hAnsi="Arial" w:cs="Arial"/>
        </w:rPr>
        <w:t xml:space="preserve"> aligning MPOs </w:t>
      </w:r>
      <w:r w:rsidR="00A91DF9" w:rsidRPr="00113364">
        <w:rPr>
          <w:rFonts w:ascii="Arial" w:hAnsi="Arial" w:cs="Arial"/>
        </w:rPr>
        <w:t>for each concern prioritized by the committee.</w:t>
      </w:r>
      <w:r w:rsidR="008C078B" w:rsidRPr="00113364">
        <w:rPr>
          <w:rFonts w:ascii="Arial" w:hAnsi="Arial" w:cs="Arial"/>
        </w:rPr>
        <w:t xml:space="preserve"> This final draft was presented to the CNA SDP Committee and to the SPAC for a </w:t>
      </w:r>
      <w:r w:rsidR="005751CA" w:rsidRPr="00113364">
        <w:rPr>
          <w:rFonts w:ascii="Arial" w:hAnsi="Arial" w:cs="Arial"/>
        </w:rPr>
        <w:t xml:space="preserve">final </w:t>
      </w:r>
      <w:r w:rsidR="008C078B" w:rsidRPr="00113364">
        <w:rPr>
          <w:rFonts w:ascii="Arial" w:hAnsi="Arial" w:cs="Arial"/>
        </w:rPr>
        <w:t>round of feedback</w:t>
      </w:r>
      <w:r w:rsidR="005751CA" w:rsidRPr="00113364">
        <w:rPr>
          <w:rFonts w:ascii="Arial" w:hAnsi="Arial" w:cs="Arial"/>
        </w:rPr>
        <w:t xml:space="preserve"> during the last three meetings</w:t>
      </w:r>
      <w:r w:rsidR="008C078B" w:rsidRPr="00113364">
        <w:rPr>
          <w:rFonts w:ascii="Arial" w:hAnsi="Arial" w:cs="Arial"/>
        </w:rPr>
        <w:t>.</w:t>
      </w:r>
      <w:r w:rsidR="00A91DF9" w:rsidRPr="00113364">
        <w:rPr>
          <w:rFonts w:ascii="Arial" w:hAnsi="Arial" w:cs="Arial"/>
        </w:rPr>
        <w:t xml:space="preserve"> </w:t>
      </w:r>
      <w:r w:rsidR="005751CA" w:rsidRPr="00113364">
        <w:rPr>
          <w:rFonts w:ascii="Arial" w:hAnsi="Arial" w:cs="Arial"/>
        </w:rPr>
        <w:t>Once the group’s revisions were integrated into the draft SDP</w:t>
      </w:r>
      <w:r w:rsidR="00274D6B" w:rsidRPr="00113364">
        <w:rPr>
          <w:rFonts w:ascii="Arial" w:hAnsi="Arial" w:cs="Arial"/>
        </w:rPr>
        <w:t>, the CDE Management</w:t>
      </w:r>
      <w:r w:rsidR="00D4454C" w:rsidRPr="00113364">
        <w:rPr>
          <w:rFonts w:ascii="Arial" w:hAnsi="Arial" w:cs="Arial"/>
        </w:rPr>
        <w:t xml:space="preserve"> and Data</w:t>
      </w:r>
      <w:r w:rsidR="00274D6B" w:rsidRPr="00113364">
        <w:rPr>
          <w:rFonts w:ascii="Arial" w:hAnsi="Arial" w:cs="Arial"/>
        </w:rPr>
        <w:t xml:space="preserve"> </w:t>
      </w:r>
      <w:r w:rsidR="00D4454C" w:rsidRPr="00113364">
        <w:rPr>
          <w:rFonts w:ascii="Arial" w:hAnsi="Arial" w:cs="Arial"/>
        </w:rPr>
        <w:t>T</w:t>
      </w:r>
      <w:r w:rsidR="00274D6B" w:rsidRPr="00113364">
        <w:rPr>
          <w:rFonts w:ascii="Arial" w:hAnsi="Arial" w:cs="Arial"/>
        </w:rPr>
        <w:t>eam discussed methodologies to develop</w:t>
      </w:r>
      <w:r w:rsidR="009075A5" w:rsidRPr="00113364">
        <w:rPr>
          <w:rFonts w:ascii="Arial" w:hAnsi="Arial" w:cs="Arial"/>
        </w:rPr>
        <w:t xml:space="preserve"> appropriate</w:t>
      </w:r>
      <w:r w:rsidR="00A91DF9" w:rsidRPr="00113364">
        <w:rPr>
          <w:rFonts w:ascii="Arial" w:hAnsi="Arial" w:cs="Arial"/>
        </w:rPr>
        <w:t xml:space="preserve"> performance targets for</w:t>
      </w:r>
      <w:r w:rsidR="005751CA" w:rsidRPr="00113364">
        <w:rPr>
          <w:rFonts w:ascii="Arial" w:hAnsi="Arial" w:cs="Arial"/>
        </w:rPr>
        <w:t xml:space="preserve"> each focus area given</w:t>
      </w:r>
      <w:r w:rsidR="00A91DF9" w:rsidRPr="00113364">
        <w:rPr>
          <w:rFonts w:ascii="Arial" w:hAnsi="Arial" w:cs="Arial"/>
        </w:rPr>
        <w:t xml:space="preserve"> </w:t>
      </w:r>
      <w:r w:rsidR="00E57DBF" w:rsidRPr="00113364">
        <w:rPr>
          <w:rFonts w:ascii="Arial" w:hAnsi="Arial" w:cs="Arial"/>
        </w:rPr>
        <w:t xml:space="preserve">the MEP </w:t>
      </w:r>
      <w:r w:rsidR="005751CA" w:rsidRPr="00113364">
        <w:rPr>
          <w:rFonts w:ascii="Arial" w:hAnsi="Arial" w:cs="Arial"/>
        </w:rPr>
        <w:t>i</w:t>
      </w:r>
      <w:r w:rsidR="00E57DBF" w:rsidRPr="00113364">
        <w:rPr>
          <w:rFonts w:ascii="Arial" w:hAnsi="Arial" w:cs="Arial"/>
        </w:rPr>
        <w:t xml:space="preserve">s </w:t>
      </w:r>
      <w:r w:rsidR="00AD548B" w:rsidRPr="00113364">
        <w:rPr>
          <w:rFonts w:ascii="Arial" w:hAnsi="Arial" w:cs="Arial"/>
        </w:rPr>
        <w:t>a</w:t>
      </w:r>
      <w:r w:rsidR="00E57DBF" w:rsidRPr="00113364">
        <w:rPr>
          <w:rFonts w:ascii="Arial" w:hAnsi="Arial" w:cs="Arial"/>
        </w:rPr>
        <w:t xml:space="preserve"> supplementary program.</w:t>
      </w:r>
      <w:r w:rsidR="00656E9F" w:rsidRPr="00113364">
        <w:rPr>
          <w:rFonts w:ascii="Arial" w:hAnsi="Arial" w:cs="Arial"/>
        </w:rPr>
        <w:t xml:space="preserve"> Section III outlines the strategies subgrantees must implement in each focus area to address the need for that focus area identified in Section II of this document. Measurable program objectives accompany strategies in each focus area and support annual evaluation of strategy implementation. Section III will also detail the progress California will strive to mee</w:t>
      </w:r>
      <w:r w:rsidRPr="00113364">
        <w:rPr>
          <w:rFonts w:ascii="Arial" w:hAnsi="Arial" w:cs="Arial"/>
        </w:rPr>
        <w:t>t</w:t>
      </w:r>
      <w:r w:rsidR="00656E9F" w:rsidRPr="00113364">
        <w:rPr>
          <w:rFonts w:ascii="Arial" w:hAnsi="Arial" w:cs="Arial"/>
        </w:rPr>
        <w:t xml:space="preserve"> </w:t>
      </w:r>
      <w:r w:rsidR="000740DA" w:rsidRPr="00113364">
        <w:rPr>
          <w:rFonts w:ascii="Arial" w:hAnsi="Arial" w:cs="Arial"/>
        </w:rPr>
        <w:t>by</w:t>
      </w:r>
      <w:r w:rsidR="00656E9F" w:rsidRPr="00113364">
        <w:rPr>
          <w:rFonts w:ascii="Arial" w:hAnsi="Arial" w:cs="Arial"/>
        </w:rPr>
        <w:t xml:space="preserve"> the end of the SDP’s implementation, also known as the performance target for each focus area. </w:t>
      </w:r>
    </w:p>
    <w:p w14:paraId="5D02C697" w14:textId="69C4532C" w:rsidR="004F6691" w:rsidRPr="00113364" w:rsidRDefault="004F6691" w:rsidP="003F0CBE">
      <w:pPr>
        <w:pStyle w:val="Heading3"/>
      </w:pPr>
      <w:bookmarkStart w:id="61" w:name="_Toc203568848"/>
      <w:r w:rsidRPr="00113364">
        <w:t>Service Delivery Strategies</w:t>
      </w:r>
      <w:r w:rsidR="00E52B34" w:rsidRPr="00113364">
        <w:t>,</w:t>
      </w:r>
      <w:r w:rsidR="003027F1" w:rsidRPr="00113364">
        <w:t xml:space="preserve"> </w:t>
      </w:r>
      <w:r w:rsidR="0011033B" w:rsidRPr="00113364">
        <w:t>Measurable Program Objectives</w:t>
      </w:r>
      <w:r w:rsidR="00656E9F" w:rsidRPr="00113364">
        <w:t>, and Performance Targets</w:t>
      </w:r>
      <w:bookmarkEnd w:id="61"/>
      <w:r w:rsidRPr="00113364">
        <w:t xml:space="preserve"> </w:t>
      </w:r>
    </w:p>
    <w:p w14:paraId="4E896FF6" w14:textId="71A266D0" w:rsidR="00C742C1" w:rsidRPr="00113364" w:rsidRDefault="00A51B9E" w:rsidP="00C742C1">
      <w:pPr>
        <w:rPr>
          <w:rFonts w:ascii="Arial" w:eastAsia="Times New Roman" w:hAnsi="Arial" w:cs="Arial"/>
          <w:color w:val="000000"/>
        </w:rPr>
      </w:pPr>
      <w:r w:rsidRPr="00113364">
        <w:rPr>
          <w:rFonts w:ascii="Arial" w:hAnsi="Arial" w:cs="Arial"/>
        </w:rPr>
        <w:t xml:space="preserve">In March 2017, the </w:t>
      </w:r>
      <w:r w:rsidR="00D4454C" w:rsidRPr="00113364">
        <w:rPr>
          <w:rFonts w:ascii="Arial" w:hAnsi="Arial" w:cs="Arial"/>
        </w:rPr>
        <w:t xml:space="preserve">California </w:t>
      </w:r>
      <w:r w:rsidRPr="00113364">
        <w:rPr>
          <w:rFonts w:ascii="Arial" w:hAnsi="Arial" w:cs="Arial"/>
        </w:rPr>
        <w:t xml:space="preserve">State Board of Education (SBE) and the CDE launched a new accountability system to replace the </w:t>
      </w:r>
      <w:r w:rsidR="00C742C1" w:rsidRPr="00113364">
        <w:rPr>
          <w:rFonts w:ascii="Arial" w:hAnsi="Arial" w:cs="Arial"/>
        </w:rPr>
        <w:t>Academic Performance Index</w:t>
      </w:r>
      <w:r w:rsidRPr="00113364">
        <w:rPr>
          <w:rFonts w:ascii="Arial" w:hAnsi="Arial" w:cs="Arial"/>
        </w:rPr>
        <w:t xml:space="preserve"> </w:t>
      </w:r>
      <w:r w:rsidR="00C742C1" w:rsidRPr="00113364">
        <w:rPr>
          <w:rFonts w:ascii="Arial" w:hAnsi="Arial" w:cs="Arial"/>
        </w:rPr>
        <w:t xml:space="preserve">(API) </w:t>
      </w:r>
      <w:r w:rsidRPr="00113364">
        <w:rPr>
          <w:rFonts w:ascii="Arial" w:hAnsi="Arial" w:cs="Arial"/>
        </w:rPr>
        <w:t xml:space="preserve">to better measure </w:t>
      </w:r>
      <w:r w:rsidR="00C742C1" w:rsidRPr="00113364">
        <w:rPr>
          <w:rFonts w:ascii="Arial" w:hAnsi="Arial" w:cs="Arial"/>
        </w:rPr>
        <w:t>California’s</w:t>
      </w:r>
      <w:r w:rsidRPr="00113364">
        <w:rPr>
          <w:rFonts w:ascii="Arial" w:hAnsi="Arial" w:cs="Arial"/>
        </w:rPr>
        <w:t xml:space="preserve"> educational goals. </w:t>
      </w:r>
      <w:r w:rsidR="00C742C1" w:rsidRPr="00113364">
        <w:rPr>
          <w:rFonts w:ascii="Arial" w:eastAsia="Times New Roman" w:hAnsi="Arial" w:cs="Arial"/>
          <w:color w:val="000000"/>
        </w:rPr>
        <w:t xml:space="preserve">Instead of relying exclusively on test scores as the previous accountability system did, the </w:t>
      </w:r>
      <w:r w:rsidR="00D4454C" w:rsidRPr="00113364">
        <w:rPr>
          <w:rFonts w:ascii="Arial" w:eastAsia="Times New Roman" w:hAnsi="Arial" w:cs="Arial"/>
          <w:color w:val="000000"/>
        </w:rPr>
        <w:t xml:space="preserve">new </w:t>
      </w:r>
      <w:r w:rsidR="00C742C1" w:rsidRPr="00113364">
        <w:rPr>
          <w:rFonts w:ascii="Arial" w:eastAsia="Times New Roman" w:hAnsi="Arial" w:cs="Arial"/>
          <w:color w:val="000000"/>
        </w:rPr>
        <w:t>California School Dashboard (Dash</w:t>
      </w:r>
      <w:r w:rsidR="00D4454C" w:rsidRPr="00113364">
        <w:rPr>
          <w:rFonts w:ascii="Arial" w:eastAsia="Times New Roman" w:hAnsi="Arial" w:cs="Arial"/>
          <w:color w:val="000000"/>
        </w:rPr>
        <w:t xml:space="preserve">board) provides a snapshot of various </w:t>
      </w:r>
      <w:r w:rsidR="00C742C1" w:rsidRPr="00113364">
        <w:rPr>
          <w:rFonts w:ascii="Arial" w:eastAsia="Times New Roman" w:hAnsi="Arial" w:cs="Arial"/>
          <w:color w:val="000000"/>
        </w:rPr>
        <w:t>indicators, including high school graduation rates, career and college readiness, English learner</w:t>
      </w:r>
      <w:r w:rsidR="00055F45" w:rsidRPr="00113364">
        <w:rPr>
          <w:rFonts w:ascii="Arial" w:eastAsia="Times New Roman" w:hAnsi="Arial" w:cs="Arial"/>
          <w:color w:val="000000"/>
        </w:rPr>
        <w:t xml:space="preserve"> </w:t>
      </w:r>
      <w:r w:rsidR="00C742C1" w:rsidRPr="00113364">
        <w:rPr>
          <w:rFonts w:ascii="Arial" w:eastAsia="Times New Roman" w:hAnsi="Arial" w:cs="Arial"/>
          <w:color w:val="000000"/>
        </w:rPr>
        <w:t>progress</w:t>
      </w:r>
      <w:r w:rsidR="0036670F" w:rsidRPr="00113364">
        <w:rPr>
          <w:rFonts w:ascii="Arial" w:eastAsia="Times New Roman" w:hAnsi="Arial" w:cs="Arial"/>
          <w:color w:val="000000"/>
        </w:rPr>
        <w:t>,</w:t>
      </w:r>
      <w:r w:rsidR="00C742C1" w:rsidRPr="00113364">
        <w:rPr>
          <w:rFonts w:ascii="Arial" w:eastAsia="Times New Roman" w:hAnsi="Arial" w:cs="Arial"/>
          <w:color w:val="000000"/>
        </w:rPr>
        <w:t xml:space="preserve"> and suspension rates in addition to test scores.</w:t>
      </w:r>
    </w:p>
    <w:p w14:paraId="517F4A06" w14:textId="6E6887A7" w:rsidR="008A3778" w:rsidRPr="00113364" w:rsidRDefault="00830931" w:rsidP="00ED7338">
      <w:pPr>
        <w:widowControl w:val="0"/>
        <w:autoSpaceDE w:val="0"/>
        <w:autoSpaceDN w:val="0"/>
        <w:adjustRightInd w:val="0"/>
        <w:spacing w:before="240"/>
        <w:rPr>
          <w:rFonts w:ascii="Arial" w:hAnsi="Arial" w:cs="Arial"/>
        </w:rPr>
      </w:pPr>
      <w:r w:rsidRPr="00113364">
        <w:rPr>
          <w:rFonts w:ascii="Arial" w:hAnsi="Arial" w:cs="Arial"/>
        </w:rPr>
        <w:t>While the</w:t>
      </w:r>
      <w:r w:rsidR="00C742C1" w:rsidRPr="00113364">
        <w:rPr>
          <w:rFonts w:ascii="Arial" w:hAnsi="Arial" w:cs="Arial"/>
        </w:rPr>
        <w:t xml:space="preserve"> Dashboard</w:t>
      </w:r>
      <w:r w:rsidR="009D6284" w:rsidRPr="00113364">
        <w:rPr>
          <w:rFonts w:ascii="Arial" w:hAnsi="Arial" w:cs="Arial"/>
        </w:rPr>
        <w:t xml:space="preserve"> was </w:t>
      </w:r>
      <w:r w:rsidR="003D21DE" w:rsidRPr="00113364">
        <w:rPr>
          <w:rFonts w:ascii="Arial" w:hAnsi="Arial" w:cs="Arial"/>
        </w:rPr>
        <w:t>in development</w:t>
      </w:r>
      <w:r w:rsidR="00C742C1" w:rsidRPr="00113364">
        <w:rPr>
          <w:rFonts w:ascii="Arial" w:hAnsi="Arial" w:cs="Arial"/>
        </w:rPr>
        <w:t xml:space="preserve">, </w:t>
      </w:r>
      <w:r w:rsidR="0036670F" w:rsidRPr="00113364">
        <w:rPr>
          <w:rFonts w:ascii="Arial" w:hAnsi="Arial" w:cs="Arial"/>
        </w:rPr>
        <w:t xml:space="preserve">the SBE approved </w:t>
      </w:r>
      <w:r w:rsidR="004D40F3" w:rsidRPr="00113364">
        <w:rPr>
          <w:rFonts w:ascii="Arial" w:hAnsi="Arial" w:cs="Arial"/>
        </w:rPr>
        <w:t xml:space="preserve">the </w:t>
      </w:r>
      <w:r w:rsidR="0036670F" w:rsidRPr="00113364">
        <w:rPr>
          <w:rFonts w:ascii="Arial" w:hAnsi="Arial" w:cs="Arial"/>
        </w:rPr>
        <w:t>suspension of</w:t>
      </w:r>
      <w:r w:rsidR="00A51B9E" w:rsidRPr="00113364">
        <w:rPr>
          <w:rFonts w:ascii="Arial" w:hAnsi="Arial" w:cs="Arial"/>
        </w:rPr>
        <w:t xml:space="preserve"> the calculation of the API for </w:t>
      </w:r>
      <w:r w:rsidR="00C306F4">
        <w:rPr>
          <w:rFonts w:ascii="Arial" w:hAnsi="Arial" w:cs="Arial"/>
        </w:rPr>
        <w:t>LEAs</w:t>
      </w:r>
      <w:r w:rsidR="00A51B9E" w:rsidRPr="00113364">
        <w:rPr>
          <w:rFonts w:ascii="Arial" w:hAnsi="Arial" w:cs="Arial"/>
        </w:rPr>
        <w:t xml:space="preserve"> and schools. As a result, the last API report was produced in 2013.</w:t>
      </w:r>
      <w:r w:rsidR="00C742C1" w:rsidRPr="00113364">
        <w:rPr>
          <w:rFonts w:ascii="Arial" w:hAnsi="Arial" w:cs="Arial"/>
        </w:rPr>
        <w:t xml:space="preserve"> </w:t>
      </w:r>
      <w:r w:rsidR="00F6400C" w:rsidRPr="00113364">
        <w:rPr>
          <w:rFonts w:ascii="Arial" w:hAnsi="Arial" w:cs="Arial"/>
        </w:rPr>
        <w:t>The CDE</w:t>
      </w:r>
      <w:r w:rsidR="00C73697" w:rsidRPr="00113364">
        <w:rPr>
          <w:rFonts w:ascii="Arial" w:hAnsi="Arial" w:cs="Arial"/>
        </w:rPr>
        <w:t xml:space="preserve"> developed a multiple-</w:t>
      </w:r>
      <w:r w:rsidR="008A3778" w:rsidRPr="00113364">
        <w:rPr>
          <w:rFonts w:ascii="Arial" w:hAnsi="Arial" w:cs="Arial"/>
        </w:rPr>
        <w:t xml:space="preserve">measures accountability system that uses percentile distributions to create a five-by-five grid. </w:t>
      </w:r>
      <w:r w:rsidR="00F6400C" w:rsidRPr="00113364">
        <w:rPr>
          <w:rFonts w:ascii="Arial" w:hAnsi="Arial" w:cs="Arial"/>
        </w:rPr>
        <w:t>This</w:t>
      </w:r>
      <w:r w:rsidR="008A3778" w:rsidRPr="00113364">
        <w:rPr>
          <w:rFonts w:ascii="Arial" w:hAnsi="Arial" w:cs="Arial"/>
        </w:rPr>
        <w:t xml:space="preserve"> five</w:t>
      </w:r>
      <w:r w:rsidR="00F6400C" w:rsidRPr="00113364">
        <w:rPr>
          <w:rFonts w:ascii="Arial" w:hAnsi="Arial" w:cs="Arial"/>
        </w:rPr>
        <w:t>-by-</w:t>
      </w:r>
      <w:r w:rsidR="008A3778" w:rsidRPr="00113364">
        <w:rPr>
          <w:rFonts w:ascii="Arial" w:hAnsi="Arial" w:cs="Arial"/>
        </w:rPr>
        <w:t xml:space="preserve">five grid </w:t>
      </w:r>
      <w:r w:rsidR="00F6400C" w:rsidRPr="00113364">
        <w:rPr>
          <w:rFonts w:ascii="Arial" w:hAnsi="Arial" w:cs="Arial"/>
        </w:rPr>
        <w:t>identifies</w:t>
      </w:r>
      <w:r w:rsidR="008A3778" w:rsidRPr="00113364">
        <w:rPr>
          <w:rFonts w:ascii="Arial" w:hAnsi="Arial" w:cs="Arial"/>
        </w:rPr>
        <w:t xml:space="preserve"> 25 results that combine “</w:t>
      </w:r>
      <w:r w:rsidR="00054459" w:rsidRPr="00113364">
        <w:rPr>
          <w:rFonts w:ascii="Arial" w:hAnsi="Arial" w:cs="Arial"/>
        </w:rPr>
        <w:t>s</w:t>
      </w:r>
      <w:r w:rsidR="008A3778" w:rsidRPr="00113364">
        <w:rPr>
          <w:rFonts w:ascii="Arial" w:hAnsi="Arial" w:cs="Arial"/>
        </w:rPr>
        <w:t>tatus” and “</w:t>
      </w:r>
      <w:r w:rsidR="00054459" w:rsidRPr="00113364">
        <w:rPr>
          <w:rFonts w:ascii="Arial" w:hAnsi="Arial" w:cs="Arial"/>
        </w:rPr>
        <w:t>c</w:t>
      </w:r>
      <w:r w:rsidR="008A3778" w:rsidRPr="00113364">
        <w:rPr>
          <w:rFonts w:ascii="Arial" w:hAnsi="Arial" w:cs="Arial"/>
        </w:rPr>
        <w:t xml:space="preserve">hange” </w:t>
      </w:r>
      <w:r w:rsidR="00F6400C" w:rsidRPr="00113364">
        <w:rPr>
          <w:rFonts w:ascii="Arial" w:hAnsi="Arial" w:cs="Arial"/>
        </w:rPr>
        <w:t>providing</w:t>
      </w:r>
      <w:r w:rsidR="008A3778" w:rsidRPr="00113364">
        <w:rPr>
          <w:rFonts w:ascii="Arial" w:hAnsi="Arial" w:cs="Arial"/>
        </w:rPr>
        <w:t xml:space="preserve"> an overall determination for </w:t>
      </w:r>
      <w:r w:rsidR="008A3778" w:rsidRPr="00113364">
        <w:rPr>
          <w:rFonts w:ascii="Arial" w:hAnsi="Arial" w:cs="Arial"/>
        </w:rPr>
        <w:lastRenderedPageBreak/>
        <w:t xml:space="preserve">each </w:t>
      </w:r>
      <w:r w:rsidR="00F6400C" w:rsidRPr="00113364">
        <w:rPr>
          <w:rFonts w:ascii="Arial" w:hAnsi="Arial" w:cs="Arial"/>
        </w:rPr>
        <w:t>indicator where “</w:t>
      </w:r>
      <w:r w:rsidR="00054459" w:rsidRPr="00113364">
        <w:rPr>
          <w:rFonts w:ascii="Arial" w:hAnsi="Arial" w:cs="Arial"/>
        </w:rPr>
        <w:t>s</w:t>
      </w:r>
      <w:r w:rsidR="00F6400C" w:rsidRPr="00113364">
        <w:rPr>
          <w:rFonts w:ascii="Arial" w:hAnsi="Arial" w:cs="Arial"/>
        </w:rPr>
        <w:t>tatus” and “</w:t>
      </w:r>
      <w:r w:rsidR="00054459" w:rsidRPr="00113364">
        <w:rPr>
          <w:rFonts w:ascii="Arial" w:hAnsi="Arial" w:cs="Arial"/>
        </w:rPr>
        <w:t>c</w:t>
      </w:r>
      <w:r w:rsidR="00F6400C" w:rsidRPr="00113364">
        <w:rPr>
          <w:rFonts w:ascii="Arial" w:hAnsi="Arial" w:cs="Arial"/>
        </w:rPr>
        <w:t>hange” are weighted equally</w:t>
      </w:r>
      <w:r w:rsidR="008A3778" w:rsidRPr="00113364">
        <w:rPr>
          <w:rFonts w:ascii="Arial" w:hAnsi="Arial" w:cs="Arial"/>
        </w:rPr>
        <w:t>.</w:t>
      </w:r>
      <w:r w:rsidR="00ED7338" w:rsidRPr="00113364">
        <w:rPr>
          <w:rFonts w:ascii="Arial" w:hAnsi="Arial" w:cs="Arial"/>
        </w:rPr>
        <w:t xml:space="preserve"> </w:t>
      </w:r>
      <w:r w:rsidR="00F6400C" w:rsidRPr="00113364">
        <w:rPr>
          <w:rFonts w:ascii="Arial" w:hAnsi="Arial" w:cs="Arial"/>
        </w:rPr>
        <w:t>C</w:t>
      </w:r>
      <w:r w:rsidR="008A3778" w:rsidRPr="00113364">
        <w:rPr>
          <w:rFonts w:ascii="Arial" w:hAnsi="Arial" w:cs="Arial"/>
        </w:rPr>
        <w:t>urrent year performance</w:t>
      </w:r>
      <w:r w:rsidR="001A25A1" w:rsidRPr="00113364">
        <w:rPr>
          <w:rFonts w:ascii="Arial" w:hAnsi="Arial" w:cs="Arial"/>
        </w:rPr>
        <w:t xml:space="preserve"> for any given indicator</w:t>
      </w:r>
      <w:r w:rsidR="00F6400C" w:rsidRPr="00113364">
        <w:rPr>
          <w:rFonts w:ascii="Arial" w:hAnsi="Arial" w:cs="Arial"/>
        </w:rPr>
        <w:t xml:space="preserve"> is considered</w:t>
      </w:r>
      <w:r w:rsidR="004138D4" w:rsidRPr="00113364">
        <w:rPr>
          <w:rFonts w:ascii="Arial" w:hAnsi="Arial" w:cs="Arial"/>
        </w:rPr>
        <w:t xml:space="preserve"> the</w:t>
      </w:r>
      <w:r w:rsidR="00F6400C" w:rsidRPr="00113364">
        <w:rPr>
          <w:rFonts w:ascii="Arial" w:hAnsi="Arial" w:cs="Arial"/>
        </w:rPr>
        <w:t xml:space="preserve"> “</w:t>
      </w:r>
      <w:r w:rsidR="00054459" w:rsidRPr="00113364">
        <w:rPr>
          <w:rFonts w:ascii="Arial" w:hAnsi="Arial" w:cs="Arial"/>
        </w:rPr>
        <w:t>s</w:t>
      </w:r>
      <w:r w:rsidR="00F6400C" w:rsidRPr="00113364">
        <w:rPr>
          <w:rFonts w:ascii="Arial" w:hAnsi="Arial" w:cs="Arial"/>
        </w:rPr>
        <w:t>tatus” while</w:t>
      </w:r>
      <w:r w:rsidR="008A3778" w:rsidRPr="00113364">
        <w:rPr>
          <w:rFonts w:ascii="Arial" w:hAnsi="Arial" w:cs="Arial"/>
        </w:rPr>
        <w:t xml:space="preserve"> “</w:t>
      </w:r>
      <w:r w:rsidR="00054459" w:rsidRPr="00113364">
        <w:rPr>
          <w:rFonts w:ascii="Arial" w:hAnsi="Arial" w:cs="Arial"/>
        </w:rPr>
        <w:t>c</w:t>
      </w:r>
      <w:r w:rsidR="008A3778" w:rsidRPr="00113364">
        <w:rPr>
          <w:rFonts w:ascii="Arial" w:hAnsi="Arial" w:cs="Arial"/>
        </w:rPr>
        <w:t xml:space="preserve">hange” is </w:t>
      </w:r>
      <w:r w:rsidR="004138D4" w:rsidRPr="00113364">
        <w:rPr>
          <w:rFonts w:ascii="Arial" w:hAnsi="Arial" w:cs="Arial"/>
        </w:rPr>
        <w:t xml:space="preserve">defined as </w:t>
      </w:r>
      <w:r w:rsidR="008A3778" w:rsidRPr="00113364">
        <w:rPr>
          <w:rFonts w:ascii="Arial" w:hAnsi="Arial" w:cs="Arial"/>
        </w:rPr>
        <w:t xml:space="preserve">the difference between performance from the current year and the </w:t>
      </w:r>
      <w:r w:rsidR="001A25A1" w:rsidRPr="00113364">
        <w:rPr>
          <w:rFonts w:ascii="Arial" w:hAnsi="Arial" w:cs="Arial"/>
        </w:rPr>
        <w:t>previous year</w:t>
      </w:r>
      <w:r w:rsidR="008A3778" w:rsidRPr="00113364">
        <w:rPr>
          <w:rFonts w:ascii="Arial" w:hAnsi="Arial" w:cs="Arial"/>
        </w:rPr>
        <w:t>.</w:t>
      </w:r>
    </w:p>
    <w:p w14:paraId="1B47BABF" w14:textId="75D46069" w:rsidR="008A3778" w:rsidRPr="00113364" w:rsidRDefault="008A3778" w:rsidP="00CB2C23">
      <w:pPr>
        <w:spacing w:before="240"/>
        <w:rPr>
          <w:rFonts w:ascii="Arial" w:hAnsi="Arial" w:cs="Arial"/>
        </w:rPr>
      </w:pPr>
      <w:r w:rsidRPr="00113364">
        <w:rPr>
          <w:rFonts w:ascii="Arial" w:hAnsi="Arial" w:cs="Arial"/>
        </w:rPr>
        <w:t>Each indicator has</w:t>
      </w:r>
      <w:r w:rsidR="004138D4" w:rsidRPr="00113364">
        <w:rPr>
          <w:rFonts w:ascii="Arial" w:hAnsi="Arial" w:cs="Arial"/>
        </w:rPr>
        <w:t xml:space="preserve"> an</w:t>
      </w:r>
      <w:r w:rsidRPr="00113364">
        <w:rPr>
          <w:rFonts w:ascii="Arial" w:hAnsi="Arial" w:cs="Arial"/>
        </w:rPr>
        <w:t xml:space="preserve"> </w:t>
      </w:r>
      <w:r w:rsidR="004138D4" w:rsidRPr="00113364">
        <w:rPr>
          <w:rFonts w:ascii="Arial" w:hAnsi="Arial" w:cs="Arial"/>
        </w:rPr>
        <w:t>individual</w:t>
      </w:r>
      <w:r w:rsidRPr="00113364">
        <w:rPr>
          <w:rFonts w:ascii="Arial" w:hAnsi="Arial" w:cs="Arial"/>
        </w:rPr>
        <w:t xml:space="preserve"> set of cut</w:t>
      </w:r>
      <w:r w:rsidR="004138D4" w:rsidRPr="00113364">
        <w:rPr>
          <w:rFonts w:ascii="Arial" w:hAnsi="Arial" w:cs="Arial"/>
        </w:rPr>
        <w:t>-off</w:t>
      </w:r>
      <w:r w:rsidRPr="00113364">
        <w:rPr>
          <w:rFonts w:ascii="Arial" w:hAnsi="Arial" w:cs="Arial"/>
        </w:rPr>
        <w:t xml:space="preserve"> points for “</w:t>
      </w:r>
      <w:r w:rsidR="00054459" w:rsidRPr="00113364">
        <w:rPr>
          <w:rFonts w:ascii="Arial" w:hAnsi="Arial" w:cs="Arial"/>
        </w:rPr>
        <w:t>s</w:t>
      </w:r>
      <w:r w:rsidRPr="00113364">
        <w:rPr>
          <w:rFonts w:ascii="Arial" w:hAnsi="Arial" w:cs="Arial"/>
        </w:rPr>
        <w:t>tatus” and “</w:t>
      </w:r>
      <w:r w:rsidR="00054459" w:rsidRPr="00113364">
        <w:rPr>
          <w:rFonts w:ascii="Arial" w:hAnsi="Arial" w:cs="Arial"/>
        </w:rPr>
        <w:t>c</w:t>
      </w:r>
      <w:r w:rsidRPr="00113364">
        <w:rPr>
          <w:rFonts w:ascii="Arial" w:hAnsi="Arial" w:cs="Arial"/>
        </w:rPr>
        <w:t>hange</w:t>
      </w:r>
      <w:r w:rsidR="00F6400C" w:rsidRPr="00113364">
        <w:rPr>
          <w:rFonts w:ascii="Arial" w:hAnsi="Arial" w:cs="Arial"/>
        </w:rPr>
        <w:t>.”</w:t>
      </w:r>
      <w:r w:rsidRPr="00113364">
        <w:rPr>
          <w:rFonts w:ascii="Arial" w:hAnsi="Arial" w:cs="Arial"/>
        </w:rPr>
        <w:t xml:space="preserve"> The cut points </w:t>
      </w:r>
      <w:r w:rsidR="004138D4" w:rsidRPr="00113364">
        <w:rPr>
          <w:rFonts w:ascii="Arial" w:hAnsi="Arial" w:cs="Arial"/>
        </w:rPr>
        <w:t>should</w:t>
      </w:r>
      <w:r w:rsidRPr="00113364">
        <w:rPr>
          <w:rFonts w:ascii="Arial" w:hAnsi="Arial" w:cs="Arial"/>
        </w:rPr>
        <w:t xml:space="preserve"> remain in place for seven years</w:t>
      </w:r>
      <w:r w:rsidR="004138D4" w:rsidRPr="00113364">
        <w:rPr>
          <w:rFonts w:ascii="Arial" w:hAnsi="Arial" w:cs="Arial"/>
        </w:rPr>
        <w:t>; however,</w:t>
      </w:r>
      <w:r w:rsidRPr="00113364">
        <w:rPr>
          <w:rFonts w:ascii="Arial" w:hAnsi="Arial" w:cs="Arial"/>
        </w:rPr>
        <w:t xml:space="preserve"> the SBE may </w:t>
      </w:r>
      <w:proofErr w:type="gramStart"/>
      <w:r w:rsidR="004138D4" w:rsidRPr="00113364">
        <w:rPr>
          <w:rFonts w:ascii="Arial" w:hAnsi="Arial" w:cs="Arial"/>
        </w:rPr>
        <w:t>make</w:t>
      </w:r>
      <w:r w:rsidR="00E22DE5">
        <w:rPr>
          <w:rFonts w:ascii="Arial" w:hAnsi="Arial" w:cs="Arial"/>
        </w:rPr>
        <w:t xml:space="preserve"> </w:t>
      </w:r>
      <w:r w:rsidR="004138D4" w:rsidRPr="00113364">
        <w:rPr>
          <w:rFonts w:ascii="Arial" w:hAnsi="Arial" w:cs="Arial"/>
        </w:rPr>
        <w:t>adjustments</w:t>
      </w:r>
      <w:proofErr w:type="gramEnd"/>
      <w:r w:rsidRPr="00113364">
        <w:rPr>
          <w:rFonts w:ascii="Arial" w:hAnsi="Arial" w:cs="Arial"/>
        </w:rPr>
        <w:t xml:space="preserve"> if statewide data demonstrate that </w:t>
      </w:r>
      <w:r w:rsidR="004138D4" w:rsidRPr="00113364">
        <w:rPr>
          <w:rFonts w:ascii="Arial" w:hAnsi="Arial" w:cs="Arial"/>
        </w:rPr>
        <w:t>current</w:t>
      </w:r>
      <w:r w:rsidRPr="00113364">
        <w:rPr>
          <w:rFonts w:ascii="Arial" w:hAnsi="Arial" w:cs="Arial"/>
        </w:rPr>
        <w:t xml:space="preserve"> cut</w:t>
      </w:r>
      <w:r w:rsidR="004138D4" w:rsidRPr="00113364">
        <w:rPr>
          <w:rFonts w:ascii="Arial" w:hAnsi="Arial" w:cs="Arial"/>
        </w:rPr>
        <w:t>-off</w:t>
      </w:r>
      <w:r w:rsidRPr="00113364">
        <w:rPr>
          <w:rFonts w:ascii="Arial" w:hAnsi="Arial" w:cs="Arial"/>
        </w:rPr>
        <w:t xml:space="preserve"> points no longer support meaningful differentiation of schools. By combining the results of both “</w:t>
      </w:r>
      <w:r w:rsidR="00054459" w:rsidRPr="00113364">
        <w:rPr>
          <w:rFonts w:ascii="Arial" w:hAnsi="Arial" w:cs="Arial"/>
        </w:rPr>
        <w:t>s</w:t>
      </w:r>
      <w:r w:rsidRPr="00113364">
        <w:rPr>
          <w:rFonts w:ascii="Arial" w:hAnsi="Arial" w:cs="Arial"/>
        </w:rPr>
        <w:t>tatus” and “</w:t>
      </w:r>
      <w:r w:rsidR="00054459" w:rsidRPr="00113364">
        <w:rPr>
          <w:rFonts w:ascii="Arial" w:hAnsi="Arial" w:cs="Arial"/>
        </w:rPr>
        <w:t>c</w:t>
      </w:r>
      <w:r w:rsidRPr="00113364">
        <w:rPr>
          <w:rFonts w:ascii="Arial" w:hAnsi="Arial" w:cs="Arial"/>
        </w:rPr>
        <w:t>hange,” one of five color-coded “Performance Levels” can be assigned for each indicator:</w:t>
      </w:r>
      <w:r w:rsidR="000D024C" w:rsidRPr="00113364">
        <w:rPr>
          <w:rFonts w:ascii="Arial" w:hAnsi="Arial" w:cs="Arial"/>
        </w:rPr>
        <w:t xml:space="preserve"> blue, green, yellow, orange</w:t>
      </w:r>
      <w:r w:rsidR="000F2B65" w:rsidRPr="00113364">
        <w:rPr>
          <w:rFonts w:ascii="Arial" w:hAnsi="Arial" w:cs="Arial"/>
        </w:rPr>
        <w:t>,</w:t>
      </w:r>
      <w:r w:rsidR="000D024C" w:rsidRPr="00113364">
        <w:rPr>
          <w:rFonts w:ascii="Arial" w:hAnsi="Arial" w:cs="Arial"/>
        </w:rPr>
        <w:t xml:space="preserve"> and red (blue being the most desirable level and red being the least desirable level).</w:t>
      </w:r>
      <w:r w:rsidR="005049C8" w:rsidRPr="00113364">
        <w:rPr>
          <w:rFonts w:ascii="Arial" w:hAnsi="Arial" w:cs="Arial"/>
        </w:rPr>
        <w:t xml:space="preserve"> </w:t>
      </w:r>
      <w:r w:rsidR="000D024C" w:rsidRPr="00113364">
        <w:rPr>
          <w:rFonts w:ascii="Arial" w:hAnsi="Arial" w:cs="Arial"/>
        </w:rPr>
        <w:t>The</w:t>
      </w:r>
      <w:r w:rsidRPr="00113364">
        <w:rPr>
          <w:rFonts w:ascii="Arial" w:hAnsi="Arial" w:cs="Arial"/>
        </w:rPr>
        <w:t xml:space="preserve"> five-by-five </w:t>
      </w:r>
      <w:r w:rsidR="005049C8" w:rsidRPr="00113364">
        <w:rPr>
          <w:rFonts w:ascii="Arial" w:hAnsi="Arial" w:cs="Arial"/>
        </w:rPr>
        <w:t xml:space="preserve">example </w:t>
      </w:r>
      <w:r w:rsidRPr="00113364">
        <w:rPr>
          <w:rFonts w:ascii="Arial" w:hAnsi="Arial" w:cs="Arial"/>
        </w:rPr>
        <w:t>grid</w:t>
      </w:r>
      <w:r w:rsidR="000D024C" w:rsidRPr="00113364">
        <w:rPr>
          <w:rFonts w:ascii="Arial" w:hAnsi="Arial" w:cs="Arial"/>
        </w:rPr>
        <w:t xml:space="preserve"> below </w:t>
      </w:r>
      <w:r w:rsidRPr="00113364">
        <w:rPr>
          <w:rFonts w:ascii="Arial" w:hAnsi="Arial" w:cs="Arial"/>
        </w:rPr>
        <w:t>illustrate</w:t>
      </w:r>
      <w:r w:rsidR="005049C8" w:rsidRPr="00113364">
        <w:rPr>
          <w:rFonts w:ascii="Arial" w:hAnsi="Arial" w:cs="Arial"/>
        </w:rPr>
        <w:t>s</w:t>
      </w:r>
      <w:r w:rsidRPr="00113364">
        <w:rPr>
          <w:rFonts w:ascii="Arial" w:hAnsi="Arial" w:cs="Arial"/>
        </w:rPr>
        <w:t xml:space="preserve"> school, LEA</w:t>
      </w:r>
      <w:r w:rsidR="000F2B65" w:rsidRPr="00113364">
        <w:rPr>
          <w:rFonts w:ascii="Arial" w:hAnsi="Arial" w:cs="Arial"/>
        </w:rPr>
        <w:t>,</w:t>
      </w:r>
      <w:r w:rsidRPr="00113364">
        <w:rPr>
          <w:rFonts w:ascii="Arial" w:hAnsi="Arial" w:cs="Arial"/>
        </w:rPr>
        <w:t xml:space="preserve"> and student group performance relative to each indicator:</w:t>
      </w:r>
    </w:p>
    <w:p w14:paraId="29D400D0" w14:textId="7CACA5A0" w:rsidR="008A3778" w:rsidRPr="00113364" w:rsidRDefault="00C53BC8" w:rsidP="00330CD6">
      <w:pPr>
        <w:pStyle w:val="Heading4"/>
        <w:spacing w:after="0"/>
        <w:rPr>
          <w:rFonts w:cs="Arial"/>
          <w:sz w:val="24"/>
        </w:rPr>
      </w:pPr>
      <w:bookmarkStart w:id="62" w:name="_Toc204755362"/>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26</w:t>
      </w:r>
      <w:r w:rsidR="00C46CA6" w:rsidRPr="00113364">
        <w:rPr>
          <w:noProof/>
          <w:sz w:val="24"/>
        </w:rPr>
        <w:fldChar w:fldCharType="end"/>
      </w:r>
      <w:r w:rsidRPr="00113364">
        <w:rPr>
          <w:sz w:val="24"/>
        </w:rPr>
        <w:t>. Sample Five-by-Five Grid</w:t>
      </w:r>
      <w:bookmarkEnd w:id="62"/>
    </w:p>
    <w:tbl>
      <w:tblPr>
        <w:tblStyle w:val="TableGrid"/>
        <w:tblW w:w="9445" w:type="dxa"/>
        <w:tblLook w:val="0620" w:firstRow="1" w:lastRow="0" w:firstColumn="0" w:lastColumn="0" w:noHBand="1" w:noVBand="1"/>
        <w:tblDescription w:val="Sample five by five grid for combining the results of status and change for each indicator."/>
      </w:tblPr>
      <w:tblGrid>
        <w:gridCol w:w="2027"/>
        <w:gridCol w:w="1658"/>
        <w:gridCol w:w="1310"/>
        <w:gridCol w:w="1470"/>
        <w:gridCol w:w="1337"/>
        <w:gridCol w:w="1643"/>
      </w:tblGrid>
      <w:tr w:rsidR="005047D0" w:rsidRPr="00113364" w14:paraId="5D4BFAB9" w14:textId="77777777" w:rsidTr="00C53BC8">
        <w:trPr>
          <w:cantSplit/>
          <w:trHeight w:val="395"/>
          <w:tblHeader/>
        </w:trPr>
        <w:tc>
          <w:tcPr>
            <w:tcW w:w="2027" w:type="dxa"/>
            <w:tcBorders>
              <w:right w:val="single" w:sz="4" w:space="0" w:color="4472C4"/>
            </w:tcBorders>
            <w:shd w:val="clear" w:color="auto" w:fill="1F3864" w:themeFill="accent5" w:themeFillShade="80"/>
            <w:vAlign w:val="center"/>
          </w:tcPr>
          <w:p w14:paraId="452FF3B8" w14:textId="77777777" w:rsidR="008A3778" w:rsidRPr="00113364" w:rsidRDefault="00E009EA" w:rsidP="00E53F38">
            <w:pPr>
              <w:jc w:val="center"/>
              <w:rPr>
                <w:rFonts w:ascii="Arial" w:hAnsi="Arial" w:cs="Arial"/>
                <w:color w:val="FFFFFF" w:themeColor="background1"/>
              </w:rPr>
            </w:pPr>
            <w:r w:rsidRPr="00113364">
              <w:rPr>
                <w:rFonts w:ascii="Arial" w:hAnsi="Arial" w:cs="Arial"/>
                <w:b/>
                <w:color w:val="FFFFFF" w:themeColor="background1"/>
              </w:rPr>
              <w:t>Levels</w:t>
            </w:r>
          </w:p>
        </w:tc>
        <w:tc>
          <w:tcPr>
            <w:tcW w:w="1658" w:type="dxa"/>
            <w:tcBorders>
              <w:left w:val="single" w:sz="4" w:space="0" w:color="4472C4"/>
              <w:right w:val="single" w:sz="4" w:space="0" w:color="4472C4"/>
            </w:tcBorders>
            <w:shd w:val="clear" w:color="auto" w:fill="1F3864" w:themeFill="accent5" w:themeFillShade="80"/>
            <w:vAlign w:val="center"/>
          </w:tcPr>
          <w:p w14:paraId="5BA5B09C" w14:textId="77777777" w:rsidR="008A3778" w:rsidRPr="00113364" w:rsidRDefault="00B42DD9" w:rsidP="00E53F38">
            <w:pPr>
              <w:jc w:val="center"/>
              <w:rPr>
                <w:rFonts w:ascii="Arial" w:hAnsi="Arial" w:cs="Arial"/>
                <w:b/>
                <w:color w:val="FFFFFF" w:themeColor="background1"/>
              </w:rPr>
            </w:pPr>
            <w:r w:rsidRPr="00113364">
              <w:rPr>
                <w:rFonts w:ascii="Arial" w:hAnsi="Arial" w:cs="Arial"/>
                <w:b/>
                <w:color w:val="FFFFFF" w:themeColor="background1"/>
              </w:rPr>
              <w:t xml:space="preserve">Change </w:t>
            </w:r>
            <w:r w:rsidR="008A3778" w:rsidRPr="00113364">
              <w:rPr>
                <w:rFonts w:ascii="Arial" w:hAnsi="Arial" w:cs="Arial"/>
                <w:b/>
                <w:color w:val="FFFFFF" w:themeColor="background1"/>
              </w:rPr>
              <w:t>Declined Significantly</w:t>
            </w:r>
          </w:p>
        </w:tc>
        <w:tc>
          <w:tcPr>
            <w:tcW w:w="1310" w:type="dxa"/>
            <w:tcBorders>
              <w:left w:val="single" w:sz="4" w:space="0" w:color="4472C4"/>
              <w:right w:val="single" w:sz="4" w:space="0" w:color="4472C4"/>
            </w:tcBorders>
            <w:shd w:val="clear" w:color="auto" w:fill="1F3864" w:themeFill="accent5" w:themeFillShade="80"/>
            <w:vAlign w:val="center"/>
          </w:tcPr>
          <w:p w14:paraId="7E75378C" w14:textId="77777777" w:rsidR="008A3778" w:rsidRPr="00113364" w:rsidRDefault="00B42DD9" w:rsidP="00E53F38">
            <w:pPr>
              <w:jc w:val="center"/>
              <w:rPr>
                <w:rFonts w:ascii="Arial" w:hAnsi="Arial" w:cs="Arial"/>
                <w:b/>
                <w:color w:val="FFFFFF" w:themeColor="background1"/>
              </w:rPr>
            </w:pPr>
            <w:r w:rsidRPr="00113364">
              <w:rPr>
                <w:rFonts w:ascii="Arial" w:hAnsi="Arial" w:cs="Arial"/>
                <w:b/>
                <w:color w:val="FFFFFF" w:themeColor="background1"/>
              </w:rPr>
              <w:t xml:space="preserve">Change </w:t>
            </w:r>
            <w:r w:rsidR="008A3778" w:rsidRPr="00113364">
              <w:rPr>
                <w:rFonts w:ascii="Arial" w:hAnsi="Arial" w:cs="Arial"/>
                <w:b/>
                <w:color w:val="FFFFFF" w:themeColor="background1"/>
              </w:rPr>
              <w:t>Declined</w:t>
            </w:r>
          </w:p>
        </w:tc>
        <w:tc>
          <w:tcPr>
            <w:tcW w:w="1470" w:type="dxa"/>
            <w:tcBorders>
              <w:left w:val="single" w:sz="4" w:space="0" w:color="4472C4"/>
              <w:right w:val="single" w:sz="4" w:space="0" w:color="4472C4"/>
            </w:tcBorders>
            <w:shd w:val="clear" w:color="auto" w:fill="1F3864" w:themeFill="accent5" w:themeFillShade="80"/>
            <w:vAlign w:val="center"/>
          </w:tcPr>
          <w:p w14:paraId="71E0DEC2" w14:textId="77777777" w:rsidR="008A3778" w:rsidRPr="00113364" w:rsidRDefault="00B42DD9" w:rsidP="00E53F38">
            <w:pPr>
              <w:jc w:val="center"/>
              <w:rPr>
                <w:rFonts w:ascii="Arial" w:hAnsi="Arial" w:cs="Arial"/>
                <w:b/>
                <w:color w:val="FFFFFF" w:themeColor="background1"/>
              </w:rPr>
            </w:pPr>
            <w:r w:rsidRPr="00113364">
              <w:rPr>
                <w:rFonts w:ascii="Arial" w:hAnsi="Arial" w:cs="Arial"/>
                <w:b/>
                <w:color w:val="FFFFFF" w:themeColor="background1"/>
              </w:rPr>
              <w:t xml:space="preserve">Change </w:t>
            </w:r>
            <w:r w:rsidR="008A3778" w:rsidRPr="00113364">
              <w:rPr>
                <w:rFonts w:ascii="Arial" w:hAnsi="Arial" w:cs="Arial"/>
                <w:b/>
                <w:color w:val="FFFFFF" w:themeColor="background1"/>
              </w:rPr>
              <w:t>Maintained</w:t>
            </w:r>
          </w:p>
        </w:tc>
        <w:tc>
          <w:tcPr>
            <w:tcW w:w="1337" w:type="dxa"/>
            <w:tcBorders>
              <w:left w:val="single" w:sz="4" w:space="0" w:color="4472C4"/>
              <w:right w:val="single" w:sz="4" w:space="0" w:color="4472C4"/>
            </w:tcBorders>
            <w:shd w:val="clear" w:color="auto" w:fill="1F3864" w:themeFill="accent5" w:themeFillShade="80"/>
            <w:vAlign w:val="center"/>
          </w:tcPr>
          <w:p w14:paraId="5ACE9DB4" w14:textId="3BD2FEBE" w:rsidR="008A3778" w:rsidRPr="00113364" w:rsidRDefault="00B42DD9" w:rsidP="00E53F38">
            <w:pPr>
              <w:jc w:val="center"/>
              <w:rPr>
                <w:rFonts w:ascii="Arial" w:hAnsi="Arial" w:cs="Arial"/>
                <w:b/>
                <w:color w:val="FFFFFF" w:themeColor="background1"/>
              </w:rPr>
            </w:pPr>
            <w:r w:rsidRPr="00113364">
              <w:rPr>
                <w:rFonts w:ascii="Arial" w:hAnsi="Arial" w:cs="Arial"/>
                <w:b/>
                <w:color w:val="FFFFFF" w:themeColor="background1"/>
              </w:rPr>
              <w:t xml:space="preserve">Change </w:t>
            </w:r>
            <w:r w:rsidR="008A3778" w:rsidRPr="00113364">
              <w:rPr>
                <w:rFonts w:ascii="Arial" w:hAnsi="Arial" w:cs="Arial"/>
                <w:b/>
                <w:color w:val="FFFFFF" w:themeColor="background1"/>
              </w:rPr>
              <w:t>Increased</w:t>
            </w:r>
          </w:p>
        </w:tc>
        <w:tc>
          <w:tcPr>
            <w:tcW w:w="1643" w:type="dxa"/>
            <w:tcBorders>
              <w:left w:val="single" w:sz="4" w:space="0" w:color="4472C4"/>
            </w:tcBorders>
            <w:shd w:val="clear" w:color="auto" w:fill="1F3864" w:themeFill="accent5" w:themeFillShade="80"/>
            <w:vAlign w:val="center"/>
          </w:tcPr>
          <w:p w14:paraId="4384EB84" w14:textId="77777777" w:rsidR="008A3778" w:rsidRPr="00113364" w:rsidRDefault="00B42DD9" w:rsidP="00E53F38">
            <w:pPr>
              <w:jc w:val="center"/>
              <w:rPr>
                <w:rFonts w:ascii="Arial" w:hAnsi="Arial" w:cs="Arial"/>
                <w:b/>
                <w:color w:val="FFFFFF" w:themeColor="background1"/>
              </w:rPr>
            </w:pPr>
            <w:r w:rsidRPr="00113364">
              <w:rPr>
                <w:rFonts w:ascii="Arial" w:hAnsi="Arial" w:cs="Arial"/>
                <w:b/>
                <w:color w:val="FFFFFF" w:themeColor="background1"/>
              </w:rPr>
              <w:t xml:space="preserve">Change </w:t>
            </w:r>
            <w:r w:rsidR="008A3778" w:rsidRPr="00113364">
              <w:rPr>
                <w:rFonts w:ascii="Arial" w:hAnsi="Arial" w:cs="Arial"/>
                <w:b/>
                <w:color w:val="FFFFFF" w:themeColor="background1"/>
              </w:rPr>
              <w:t>Increased Significantly</w:t>
            </w:r>
          </w:p>
        </w:tc>
      </w:tr>
      <w:tr w:rsidR="00E009EA" w:rsidRPr="00113364" w14:paraId="1DF52C4A" w14:textId="77777777" w:rsidTr="00C53BC8">
        <w:trPr>
          <w:cantSplit/>
          <w:trHeight w:val="188"/>
        </w:trPr>
        <w:tc>
          <w:tcPr>
            <w:tcW w:w="2027" w:type="dxa"/>
            <w:tcBorders>
              <w:right w:val="single" w:sz="4" w:space="0" w:color="4472C4"/>
            </w:tcBorders>
          </w:tcPr>
          <w:p w14:paraId="16D7591C" w14:textId="705A154C" w:rsidR="00C53BC8" w:rsidRPr="00113364" w:rsidRDefault="00E009EA" w:rsidP="008A3778">
            <w:pPr>
              <w:jc w:val="center"/>
              <w:rPr>
                <w:rFonts w:ascii="Arial" w:hAnsi="Arial" w:cs="Arial"/>
                <w:b/>
              </w:rPr>
            </w:pPr>
            <w:r w:rsidRPr="00113364">
              <w:rPr>
                <w:rFonts w:ascii="Arial" w:hAnsi="Arial" w:cs="Arial"/>
                <w:b/>
              </w:rPr>
              <w:t xml:space="preserve">Status </w:t>
            </w:r>
            <w:r w:rsidR="00EB4984">
              <w:rPr>
                <w:rFonts w:ascii="Arial" w:hAnsi="Arial" w:cs="Arial"/>
                <w:b/>
              </w:rPr>
              <w:t>-</w:t>
            </w:r>
          </w:p>
          <w:p w14:paraId="46DE67E5" w14:textId="07D5241E" w:rsidR="00E009EA" w:rsidRPr="00113364" w:rsidRDefault="00E009EA" w:rsidP="008A3778">
            <w:pPr>
              <w:jc w:val="center"/>
              <w:rPr>
                <w:rFonts w:ascii="Arial" w:hAnsi="Arial" w:cs="Arial"/>
                <w:b/>
              </w:rPr>
            </w:pPr>
            <w:r w:rsidRPr="00113364">
              <w:rPr>
                <w:rFonts w:ascii="Arial" w:hAnsi="Arial" w:cs="Arial"/>
                <w:b/>
              </w:rPr>
              <w:t>Very High</w:t>
            </w:r>
          </w:p>
        </w:tc>
        <w:tc>
          <w:tcPr>
            <w:tcW w:w="1658" w:type="dxa"/>
            <w:tcBorders>
              <w:left w:val="single" w:sz="4" w:space="0" w:color="4472C4"/>
              <w:right w:val="single" w:sz="4" w:space="0" w:color="4472C4"/>
            </w:tcBorders>
            <w:shd w:val="clear" w:color="auto" w:fill="FFFF00"/>
          </w:tcPr>
          <w:p w14:paraId="5D448A1E" w14:textId="77777777" w:rsidR="00E009EA" w:rsidRPr="00113364" w:rsidRDefault="00E009EA" w:rsidP="008A3778">
            <w:pPr>
              <w:jc w:val="center"/>
              <w:rPr>
                <w:rFonts w:ascii="Arial" w:hAnsi="Arial" w:cs="Arial"/>
              </w:rPr>
            </w:pPr>
            <w:r w:rsidRPr="00113364">
              <w:rPr>
                <w:rFonts w:ascii="Arial" w:hAnsi="Arial" w:cs="Arial"/>
              </w:rPr>
              <w:t>Yellow</w:t>
            </w:r>
          </w:p>
        </w:tc>
        <w:tc>
          <w:tcPr>
            <w:tcW w:w="1310" w:type="dxa"/>
            <w:tcBorders>
              <w:left w:val="single" w:sz="4" w:space="0" w:color="4472C4"/>
              <w:right w:val="single" w:sz="4" w:space="0" w:color="4472C4"/>
            </w:tcBorders>
            <w:shd w:val="clear" w:color="auto" w:fill="00B050"/>
          </w:tcPr>
          <w:p w14:paraId="29737725" w14:textId="77777777" w:rsidR="00E009EA" w:rsidRPr="00113364" w:rsidRDefault="00E009EA" w:rsidP="008A3778">
            <w:pPr>
              <w:jc w:val="center"/>
              <w:rPr>
                <w:rFonts w:ascii="Arial" w:hAnsi="Arial" w:cs="Arial"/>
                <w:color w:val="FFFFFF"/>
              </w:rPr>
            </w:pPr>
            <w:r w:rsidRPr="00113364">
              <w:rPr>
                <w:rFonts w:ascii="Arial" w:hAnsi="Arial" w:cs="Arial"/>
              </w:rPr>
              <w:t>Green</w:t>
            </w:r>
          </w:p>
        </w:tc>
        <w:tc>
          <w:tcPr>
            <w:tcW w:w="1470" w:type="dxa"/>
            <w:tcBorders>
              <w:left w:val="single" w:sz="4" w:space="0" w:color="4472C4"/>
              <w:right w:val="single" w:sz="4" w:space="0" w:color="4472C4"/>
            </w:tcBorders>
            <w:shd w:val="clear" w:color="auto" w:fill="002060"/>
          </w:tcPr>
          <w:p w14:paraId="4DAE7C8A" w14:textId="77777777" w:rsidR="00E009EA" w:rsidRPr="00113364" w:rsidRDefault="00E009EA" w:rsidP="008A3778">
            <w:pPr>
              <w:jc w:val="center"/>
              <w:rPr>
                <w:rFonts w:ascii="Arial" w:hAnsi="Arial" w:cs="Arial"/>
                <w:color w:val="FFFFFF"/>
              </w:rPr>
            </w:pPr>
            <w:r w:rsidRPr="00113364">
              <w:rPr>
                <w:rFonts w:ascii="Arial" w:hAnsi="Arial" w:cs="Arial"/>
                <w:color w:val="FFFFFF"/>
              </w:rPr>
              <w:t>Blue</w:t>
            </w:r>
          </w:p>
        </w:tc>
        <w:tc>
          <w:tcPr>
            <w:tcW w:w="1337" w:type="dxa"/>
            <w:tcBorders>
              <w:left w:val="single" w:sz="4" w:space="0" w:color="4472C4"/>
              <w:right w:val="single" w:sz="4" w:space="0" w:color="4472C4"/>
            </w:tcBorders>
            <w:shd w:val="clear" w:color="auto" w:fill="002060"/>
          </w:tcPr>
          <w:p w14:paraId="39EC9984" w14:textId="77777777" w:rsidR="00E009EA" w:rsidRPr="00113364" w:rsidRDefault="00E009EA" w:rsidP="008A3778">
            <w:pPr>
              <w:jc w:val="center"/>
              <w:rPr>
                <w:rFonts w:ascii="Arial" w:hAnsi="Arial" w:cs="Arial"/>
                <w:color w:val="FFFFFF"/>
              </w:rPr>
            </w:pPr>
            <w:r w:rsidRPr="00113364">
              <w:rPr>
                <w:rFonts w:ascii="Arial" w:hAnsi="Arial" w:cs="Arial"/>
                <w:color w:val="FFFFFF"/>
              </w:rPr>
              <w:t>Blue</w:t>
            </w:r>
          </w:p>
        </w:tc>
        <w:tc>
          <w:tcPr>
            <w:tcW w:w="1643" w:type="dxa"/>
            <w:tcBorders>
              <w:left w:val="single" w:sz="4" w:space="0" w:color="4472C4"/>
            </w:tcBorders>
            <w:shd w:val="clear" w:color="auto" w:fill="002060"/>
          </w:tcPr>
          <w:p w14:paraId="44CA3F8F" w14:textId="77777777" w:rsidR="00E009EA" w:rsidRPr="00113364" w:rsidRDefault="00E009EA" w:rsidP="008A3778">
            <w:pPr>
              <w:jc w:val="center"/>
              <w:rPr>
                <w:rFonts w:ascii="Arial" w:hAnsi="Arial" w:cs="Arial"/>
              </w:rPr>
            </w:pPr>
            <w:r w:rsidRPr="00113364">
              <w:rPr>
                <w:rFonts w:ascii="Arial" w:hAnsi="Arial" w:cs="Arial"/>
                <w:color w:val="FFFFFF"/>
              </w:rPr>
              <w:t>Blue</w:t>
            </w:r>
          </w:p>
        </w:tc>
      </w:tr>
      <w:tr w:rsidR="00E009EA" w:rsidRPr="00113364" w14:paraId="01C3D234" w14:textId="77777777" w:rsidTr="00C53BC8">
        <w:trPr>
          <w:cantSplit/>
          <w:trHeight w:val="170"/>
        </w:trPr>
        <w:tc>
          <w:tcPr>
            <w:tcW w:w="2027" w:type="dxa"/>
            <w:tcBorders>
              <w:right w:val="single" w:sz="4" w:space="0" w:color="4472C4"/>
            </w:tcBorders>
          </w:tcPr>
          <w:p w14:paraId="61B0D677" w14:textId="4D24621F" w:rsidR="00E009EA" w:rsidRPr="00113364" w:rsidRDefault="00E009EA" w:rsidP="008A3778">
            <w:pPr>
              <w:jc w:val="center"/>
              <w:rPr>
                <w:rFonts w:ascii="Arial" w:hAnsi="Arial" w:cs="Arial"/>
                <w:b/>
              </w:rPr>
            </w:pPr>
            <w:r w:rsidRPr="00113364">
              <w:rPr>
                <w:rFonts w:ascii="Arial" w:hAnsi="Arial" w:cs="Arial"/>
                <w:b/>
              </w:rPr>
              <w:t>Status -</w:t>
            </w:r>
            <w:r w:rsidR="00C53BC8" w:rsidRPr="00113364">
              <w:rPr>
                <w:rFonts w:ascii="Arial" w:hAnsi="Arial" w:cs="Arial"/>
                <w:b/>
              </w:rPr>
              <w:t xml:space="preserve"> </w:t>
            </w:r>
            <w:r w:rsidRPr="00113364">
              <w:rPr>
                <w:rFonts w:ascii="Arial" w:hAnsi="Arial" w:cs="Arial"/>
                <w:b/>
              </w:rPr>
              <w:t>High</w:t>
            </w:r>
          </w:p>
        </w:tc>
        <w:tc>
          <w:tcPr>
            <w:tcW w:w="1658" w:type="dxa"/>
            <w:tcBorders>
              <w:left w:val="single" w:sz="4" w:space="0" w:color="4472C4"/>
              <w:right w:val="single" w:sz="4" w:space="0" w:color="4472C4"/>
            </w:tcBorders>
            <w:shd w:val="clear" w:color="auto" w:fill="ED7D31" w:themeFill="accent2"/>
          </w:tcPr>
          <w:p w14:paraId="58208D4A" w14:textId="77777777" w:rsidR="00E009EA" w:rsidRPr="00113364" w:rsidRDefault="00E009EA" w:rsidP="008A3778">
            <w:pPr>
              <w:jc w:val="center"/>
              <w:rPr>
                <w:rFonts w:ascii="Arial" w:hAnsi="Arial" w:cs="Arial"/>
                <w:color w:val="FFFFFF"/>
              </w:rPr>
            </w:pPr>
            <w:r w:rsidRPr="00113364">
              <w:rPr>
                <w:rFonts w:ascii="Arial" w:hAnsi="Arial" w:cs="Arial"/>
              </w:rPr>
              <w:t>Orange</w:t>
            </w:r>
          </w:p>
        </w:tc>
        <w:tc>
          <w:tcPr>
            <w:tcW w:w="1310" w:type="dxa"/>
            <w:tcBorders>
              <w:left w:val="single" w:sz="4" w:space="0" w:color="4472C4"/>
            </w:tcBorders>
            <w:shd w:val="clear" w:color="auto" w:fill="FFFF00"/>
          </w:tcPr>
          <w:p w14:paraId="73D92599" w14:textId="77777777" w:rsidR="00E009EA" w:rsidRPr="00113364" w:rsidRDefault="00E009EA" w:rsidP="008A3778">
            <w:pPr>
              <w:jc w:val="center"/>
              <w:rPr>
                <w:rFonts w:ascii="Arial" w:hAnsi="Arial" w:cs="Arial"/>
              </w:rPr>
            </w:pPr>
            <w:r w:rsidRPr="00113364">
              <w:rPr>
                <w:rFonts w:ascii="Arial" w:hAnsi="Arial" w:cs="Arial"/>
              </w:rPr>
              <w:t>Yellow</w:t>
            </w:r>
          </w:p>
        </w:tc>
        <w:tc>
          <w:tcPr>
            <w:tcW w:w="1470" w:type="dxa"/>
            <w:tcBorders>
              <w:right w:val="single" w:sz="4" w:space="0" w:color="4472C4"/>
            </w:tcBorders>
            <w:shd w:val="clear" w:color="auto" w:fill="00B050"/>
          </w:tcPr>
          <w:p w14:paraId="6C8456FD" w14:textId="77777777" w:rsidR="00E009EA" w:rsidRPr="00113364" w:rsidRDefault="00E009EA" w:rsidP="008A3778">
            <w:pPr>
              <w:jc w:val="center"/>
              <w:rPr>
                <w:rFonts w:ascii="Arial" w:hAnsi="Arial" w:cs="Arial"/>
                <w:color w:val="FFFFFF"/>
              </w:rPr>
            </w:pPr>
            <w:r w:rsidRPr="00113364">
              <w:rPr>
                <w:rFonts w:ascii="Arial" w:hAnsi="Arial" w:cs="Arial"/>
              </w:rPr>
              <w:t>Green</w:t>
            </w:r>
          </w:p>
        </w:tc>
        <w:tc>
          <w:tcPr>
            <w:tcW w:w="1337" w:type="dxa"/>
            <w:tcBorders>
              <w:left w:val="single" w:sz="4" w:space="0" w:color="4472C4"/>
              <w:right w:val="single" w:sz="4" w:space="0" w:color="4472C4"/>
            </w:tcBorders>
            <w:shd w:val="clear" w:color="auto" w:fill="00B050"/>
          </w:tcPr>
          <w:p w14:paraId="2C0A2438" w14:textId="77777777" w:rsidR="00E009EA" w:rsidRPr="00113364" w:rsidRDefault="00E009EA" w:rsidP="008A3778">
            <w:pPr>
              <w:jc w:val="center"/>
              <w:rPr>
                <w:rFonts w:ascii="Arial" w:hAnsi="Arial" w:cs="Arial"/>
              </w:rPr>
            </w:pPr>
            <w:r w:rsidRPr="00113364">
              <w:rPr>
                <w:rFonts w:ascii="Arial" w:hAnsi="Arial" w:cs="Arial"/>
              </w:rPr>
              <w:t>Green</w:t>
            </w:r>
          </w:p>
        </w:tc>
        <w:tc>
          <w:tcPr>
            <w:tcW w:w="1643" w:type="dxa"/>
            <w:tcBorders>
              <w:left w:val="single" w:sz="4" w:space="0" w:color="4472C4"/>
            </w:tcBorders>
            <w:shd w:val="clear" w:color="auto" w:fill="002060"/>
          </w:tcPr>
          <w:p w14:paraId="1C1C3902" w14:textId="77777777" w:rsidR="00E009EA" w:rsidRPr="00113364" w:rsidRDefault="00E009EA" w:rsidP="008A3778">
            <w:pPr>
              <w:jc w:val="center"/>
              <w:rPr>
                <w:rFonts w:ascii="Arial" w:hAnsi="Arial" w:cs="Arial"/>
              </w:rPr>
            </w:pPr>
            <w:r w:rsidRPr="00113364">
              <w:rPr>
                <w:rFonts w:ascii="Arial" w:hAnsi="Arial" w:cs="Arial"/>
                <w:color w:val="FFFFFF"/>
              </w:rPr>
              <w:t>Blue</w:t>
            </w:r>
          </w:p>
        </w:tc>
      </w:tr>
      <w:tr w:rsidR="00E009EA" w:rsidRPr="00113364" w14:paraId="3D7DC632" w14:textId="77777777" w:rsidTr="00C53BC8">
        <w:trPr>
          <w:cantSplit/>
          <w:trHeight w:val="152"/>
        </w:trPr>
        <w:tc>
          <w:tcPr>
            <w:tcW w:w="2027" w:type="dxa"/>
            <w:tcBorders>
              <w:right w:val="single" w:sz="4" w:space="0" w:color="4472C4"/>
            </w:tcBorders>
          </w:tcPr>
          <w:p w14:paraId="5063CB83" w14:textId="5257252D" w:rsidR="00E009EA" w:rsidRPr="00113364" w:rsidRDefault="00E009EA" w:rsidP="008A3778">
            <w:pPr>
              <w:jc w:val="center"/>
              <w:rPr>
                <w:rFonts w:ascii="Arial" w:hAnsi="Arial" w:cs="Arial"/>
                <w:b/>
              </w:rPr>
            </w:pPr>
            <w:r w:rsidRPr="00113364">
              <w:rPr>
                <w:rFonts w:ascii="Arial" w:hAnsi="Arial" w:cs="Arial"/>
                <w:b/>
              </w:rPr>
              <w:t>Status -</w:t>
            </w:r>
            <w:r w:rsidR="00EB4984">
              <w:rPr>
                <w:rFonts w:ascii="Arial" w:hAnsi="Arial" w:cs="Arial"/>
                <w:b/>
              </w:rPr>
              <w:t xml:space="preserve"> </w:t>
            </w:r>
            <w:r w:rsidRPr="00113364">
              <w:rPr>
                <w:rFonts w:ascii="Arial" w:hAnsi="Arial" w:cs="Arial"/>
                <w:b/>
              </w:rPr>
              <w:t>Medium</w:t>
            </w:r>
          </w:p>
        </w:tc>
        <w:tc>
          <w:tcPr>
            <w:tcW w:w="1658" w:type="dxa"/>
            <w:tcBorders>
              <w:left w:val="single" w:sz="4" w:space="0" w:color="4472C4"/>
              <w:right w:val="single" w:sz="4" w:space="0" w:color="4472C4"/>
            </w:tcBorders>
            <w:shd w:val="clear" w:color="auto" w:fill="ED7D31" w:themeFill="accent2"/>
          </w:tcPr>
          <w:p w14:paraId="1F834A65" w14:textId="77777777" w:rsidR="00E009EA" w:rsidRPr="00113364" w:rsidRDefault="00E009EA" w:rsidP="008A3778">
            <w:pPr>
              <w:jc w:val="center"/>
              <w:rPr>
                <w:rFonts w:ascii="Arial" w:hAnsi="Arial" w:cs="Arial"/>
              </w:rPr>
            </w:pPr>
            <w:r w:rsidRPr="00113364">
              <w:rPr>
                <w:rFonts w:ascii="Arial" w:hAnsi="Arial" w:cs="Arial"/>
              </w:rPr>
              <w:t>Orange</w:t>
            </w:r>
          </w:p>
        </w:tc>
        <w:tc>
          <w:tcPr>
            <w:tcW w:w="1310" w:type="dxa"/>
            <w:tcBorders>
              <w:left w:val="single" w:sz="4" w:space="0" w:color="4472C4"/>
              <w:right w:val="single" w:sz="4" w:space="0" w:color="4472C4"/>
            </w:tcBorders>
            <w:shd w:val="clear" w:color="auto" w:fill="ED7D31" w:themeFill="accent2"/>
          </w:tcPr>
          <w:p w14:paraId="0AC9BB18" w14:textId="77777777" w:rsidR="00E009EA" w:rsidRPr="00113364" w:rsidRDefault="00E009EA" w:rsidP="008A3778">
            <w:pPr>
              <w:jc w:val="center"/>
              <w:rPr>
                <w:rFonts w:ascii="Arial" w:hAnsi="Arial" w:cs="Arial"/>
              </w:rPr>
            </w:pPr>
            <w:r w:rsidRPr="00113364">
              <w:rPr>
                <w:rFonts w:ascii="Arial" w:hAnsi="Arial" w:cs="Arial"/>
              </w:rPr>
              <w:t>Orange</w:t>
            </w:r>
          </w:p>
        </w:tc>
        <w:tc>
          <w:tcPr>
            <w:tcW w:w="1470" w:type="dxa"/>
            <w:tcBorders>
              <w:left w:val="single" w:sz="4" w:space="0" w:color="4472C4"/>
              <w:right w:val="single" w:sz="4" w:space="0" w:color="4472C4"/>
            </w:tcBorders>
            <w:shd w:val="clear" w:color="auto" w:fill="FFFF00"/>
          </w:tcPr>
          <w:p w14:paraId="781B363F" w14:textId="77777777" w:rsidR="00E009EA" w:rsidRPr="00113364" w:rsidRDefault="00E009EA" w:rsidP="008A3778">
            <w:pPr>
              <w:jc w:val="center"/>
              <w:rPr>
                <w:rFonts w:ascii="Arial" w:hAnsi="Arial" w:cs="Arial"/>
              </w:rPr>
            </w:pPr>
            <w:r w:rsidRPr="00113364">
              <w:rPr>
                <w:rFonts w:ascii="Arial" w:hAnsi="Arial" w:cs="Arial"/>
              </w:rPr>
              <w:t>Yellow</w:t>
            </w:r>
          </w:p>
        </w:tc>
        <w:tc>
          <w:tcPr>
            <w:tcW w:w="1337" w:type="dxa"/>
            <w:tcBorders>
              <w:left w:val="single" w:sz="4" w:space="0" w:color="4472C4"/>
              <w:right w:val="single" w:sz="4" w:space="0" w:color="4472C4"/>
            </w:tcBorders>
            <w:shd w:val="clear" w:color="auto" w:fill="00B050"/>
          </w:tcPr>
          <w:p w14:paraId="46FD075F" w14:textId="77777777" w:rsidR="00E009EA" w:rsidRPr="00113364" w:rsidRDefault="00E009EA" w:rsidP="008A3778">
            <w:pPr>
              <w:jc w:val="center"/>
              <w:rPr>
                <w:rFonts w:ascii="Arial" w:hAnsi="Arial" w:cs="Arial"/>
              </w:rPr>
            </w:pPr>
            <w:r w:rsidRPr="00113364">
              <w:rPr>
                <w:rFonts w:ascii="Arial" w:hAnsi="Arial" w:cs="Arial"/>
              </w:rPr>
              <w:t>Green</w:t>
            </w:r>
          </w:p>
        </w:tc>
        <w:tc>
          <w:tcPr>
            <w:tcW w:w="1643" w:type="dxa"/>
            <w:tcBorders>
              <w:left w:val="single" w:sz="4" w:space="0" w:color="4472C4"/>
            </w:tcBorders>
            <w:shd w:val="clear" w:color="auto" w:fill="00B050"/>
          </w:tcPr>
          <w:p w14:paraId="7410A458" w14:textId="77777777" w:rsidR="00E009EA" w:rsidRPr="00113364" w:rsidRDefault="00E009EA" w:rsidP="008A3778">
            <w:pPr>
              <w:jc w:val="center"/>
              <w:rPr>
                <w:rFonts w:ascii="Arial" w:hAnsi="Arial" w:cs="Arial"/>
                <w:color w:val="FFFFFF"/>
              </w:rPr>
            </w:pPr>
            <w:r w:rsidRPr="00113364">
              <w:rPr>
                <w:rFonts w:ascii="Arial" w:hAnsi="Arial" w:cs="Arial"/>
              </w:rPr>
              <w:t>Green</w:t>
            </w:r>
          </w:p>
        </w:tc>
      </w:tr>
      <w:tr w:rsidR="00E009EA" w:rsidRPr="00113364" w14:paraId="379B9640" w14:textId="77777777" w:rsidTr="00C53BC8">
        <w:trPr>
          <w:cantSplit/>
          <w:trHeight w:val="70"/>
        </w:trPr>
        <w:tc>
          <w:tcPr>
            <w:tcW w:w="2027" w:type="dxa"/>
            <w:tcBorders>
              <w:right w:val="single" w:sz="4" w:space="0" w:color="4472C4"/>
            </w:tcBorders>
          </w:tcPr>
          <w:p w14:paraId="1D293A51" w14:textId="77777777" w:rsidR="00E009EA" w:rsidRPr="00113364" w:rsidRDefault="00E009EA" w:rsidP="008A3778">
            <w:pPr>
              <w:jc w:val="center"/>
              <w:rPr>
                <w:rFonts w:ascii="Arial" w:hAnsi="Arial" w:cs="Arial"/>
                <w:b/>
              </w:rPr>
            </w:pPr>
            <w:r w:rsidRPr="00113364">
              <w:rPr>
                <w:rFonts w:ascii="Arial" w:hAnsi="Arial" w:cs="Arial"/>
                <w:b/>
              </w:rPr>
              <w:t>Status - Low</w:t>
            </w:r>
          </w:p>
        </w:tc>
        <w:tc>
          <w:tcPr>
            <w:tcW w:w="1658" w:type="dxa"/>
            <w:tcBorders>
              <w:left w:val="single" w:sz="4" w:space="0" w:color="4472C4"/>
              <w:right w:val="single" w:sz="4" w:space="0" w:color="4472C4"/>
            </w:tcBorders>
            <w:shd w:val="clear" w:color="auto" w:fill="C00000"/>
          </w:tcPr>
          <w:p w14:paraId="51AEFA36" w14:textId="77777777" w:rsidR="00E009EA" w:rsidRPr="00113364" w:rsidRDefault="00E009EA" w:rsidP="008A3778">
            <w:pPr>
              <w:jc w:val="center"/>
              <w:rPr>
                <w:rFonts w:ascii="Arial" w:hAnsi="Arial" w:cs="Arial"/>
              </w:rPr>
            </w:pPr>
            <w:r w:rsidRPr="00113364">
              <w:rPr>
                <w:rFonts w:ascii="Arial" w:hAnsi="Arial" w:cs="Arial"/>
                <w:color w:val="FFFFFF" w:themeColor="background1"/>
              </w:rPr>
              <w:t>Red</w:t>
            </w:r>
          </w:p>
        </w:tc>
        <w:tc>
          <w:tcPr>
            <w:tcW w:w="1310" w:type="dxa"/>
            <w:tcBorders>
              <w:left w:val="single" w:sz="4" w:space="0" w:color="4472C4"/>
              <w:right w:val="single" w:sz="4" w:space="0" w:color="4472C4"/>
            </w:tcBorders>
            <w:shd w:val="clear" w:color="auto" w:fill="ED7D31" w:themeFill="accent2"/>
          </w:tcPr>
          <w:p w14:paraId="40C1B9B7" w14:textId="77777777" w:rsidR="00E009EA" w:rsidRPr="00113364" w:rsidRDefault="00E009EA" w:rsidP="008A3778">
            <w:pPr>
              <w:jc w:val="center"/>
              <w:rPr>
                <w:rFonts w:ascii="Arial" w:hAnsi="Arial" w:cs="Arial"/>
              </w:rPr>
            </w:pPr>
            <w:r w:rsidRPr="00113364">
              <w:rPr>
                <w:rFonts w:ascii="Arial" w:hAnsi="Arial" w:cs="Arial"/>
              </w:rPr>
              <w:t>Orange</w:t>
            </w:r>
          </w:p>
        </w:tc>
        <w:tc>
          <w:tcPr>
            <w:tcW w:w="1470" w:type="dxa"/>
            <w:tcBorders>
              <w:left w:val="single" w:sz="4" w:space="0" w:color="4472C4"/>
              <w:right w:val="single" w:sz="4" w:space="0" w:color="4472C4"/>
            </w:tcBorders>
            <w:shd w:val="clear" w:color="auto" w:fill="ED7D31" w:themeFill="accent2"/>
          </w:tcPr>
          <w:p w14:paraId="62FE81FC" w14:textId="77777777" w:rsidR="00E009EA" w:rsidRPr="00113364" w:rsidRDefault="00E009EA" w:rsidP="008A3778">
            <w:pPr>
              <w:jc w:val="center"/>
              <w:rPr>
                <w:rFonts w:ascii="Arial" w:hAnsi="Arial" w:cs="Arial"/>
              </w:rPr>
            </w:pPr>
            <w:r w:rsidRPr="00113364">
              <w:rPr>
                <w:rFonts w:ascii="Arial" w:hAnsi="Arial" w:cs="Arial"/>
              </w:rPr>
              <w:t>Orange</w:t>
            </w:r>
          </w:p>
        </w:tc>
        <w:tc>
          <w:tcPr>
            <w:tcW w:w="1337" w:type="dxa"/>
            <w:tcBorders>
              <w:left w:val="single" w:sz="4" w:space="0" w:color="4472C4"/>
              <w:right w:val="single" w:sz="4" w:space="0" w:color="4472C4"/>
            </w:tcBorders>
            <w:shd w:val="clear" w:color="auto" w:fill="FFFF00"/>
          </w:tcPr>
          <w:p w14:paraId="58CD9EF3" w14:textId="77777777" w:rsidR="00E009EA" w:rsidRPr="00113364" w:rsidRDefault="00E009EA" w:rsidP="008A3778">
            <w:pPr>
              <w:jc w:val="center"/>
              <w:rPr>
                <w:rFonts w:ascii="Arial" w:hAnsi="Arial" w:cs="Arial"/>
              </w:rPr>
            </w:pPr>
            <w:r w:rsidRPr="00113364">
              <w:rPr>
                <w:rFonts w:ascii="Arial" w:hAnsi="Arial" w:cs="Arial"/>
              </w:rPr>
              <w:t>Yellow</w:t>
            </w:r>
          </w:p>
        </w:tc>
        <w:tc>
          <w:tcPr>
            <w:tcW w:w="1643" w:type="dxa"/>
            <w:tcBorders>
              <w:left w:val="single" w:sz="4" w:space="0" w:color="4472C4"/>
            </w:tcBorders>
            <w:shd w:val="clear" w:color="auto" w:fill="FFFF00"/>
          </w:tcPr>
          <w:p w14:paraId="6357BA86" w14:textId="77777777" w:rsidR="00E009EA" w:rsidRPr="00113364" w:rsidRDefault="00E009EA" w:rsidP="008A3778">
            <w:pPr>
              <w:jc w:val="center"/>
              <w:rPr>
                <w:rFonts w:ascii="Arial" w:hAnsi="Arial" w:cs="Arial"/>
              </w:rPr>
            </w:pPr>
            <w:r w:rsidRPr="00113364">
              <w:rPr>
                <w:rFonts w:ascii="Arial" w:hAnsi="Arial" w:cs="Arial"/>
              </w:rPr>
              <w:t>Yellow</w:t>
            </w:r>
          </w:p>
        </w:tc>
      </w:tr>
      <w:tr w:rsidR="00E009EA" w:rsidRPr="00113364" w14:paraId="7D9CA703" w14:textId="77777777" w:rsidTr="00C53BC8">
        <w:trPr>
          <w:cantSplit/>
          <w:trHeight w:val="215"/>
        </w:trPr>
        <w:tc>
          <w:tcPr>
            <w:tcW w:w="2027" w:type="dxa"/>
            <w:tcBorders>
              <w:right w:val="single" w:sz="4" w:space="0" w:color="4472C4"/>
            </w:tcBorders>
          </w:tcPr>
          <w:p w14:paraId="5877B552" w14:textId="74A4F4ED" w:rsidR="00C53BC8" w:rsidRPr="00113364" w:rsidRDefault="00E009EA" w:rsidP="008A3778">
            <w:pPr>
              <w:jc w:val="center"/>
              <w:rPr>
                <w:rFonts w:ascii="Arial" w:hAnsi="Arial" w:cs="Arial"/>
                <w:b/>
              </w:rPr>
            </w:pPr>
            <w:r w:rsidRPr="00113364">
              <w:rPr>
                <w:rFonts w:ascii="Arial" w:hAnsi="Arial" w:cs="Arial"/>
                <w:b/>
              </w:rPr>
              <w:t xml:space="preserve">Status </w:t>
            </w:r>
            <w:r w:rsidR="00EB4984">
              <w:rPr>
                <w:rFonts w:ascii="Arial" w:hAnsi="Arial" w:cs="Arial"/>
                <w:b/>
              </w:rPr>
              <w:t>-</w:t>
            </w:r>
          </w:p>
          <w:p w14:paraId="66DFDA7B" w14:textId="3102EE2B" w:rsidR="00E009EA" w:rsidRPr="00113364" w:rsidRDefault="00E009EA" w:rsidP="008A3778">
            <w:pPr>
              <w:jc w:val="center"/>
              <w:rPr>
                <w:rFonts w:ascii="Arial" w:hAnsi="Arial" w:cs="Arial"/>
                <w:b/>
              </w:rPr>
            </w:pPr>
            <w:r w:rsidRPr="00113364">
              <w:rPr>
                <w:rFonts w:ascii="Arial" w:hAnsi="Arial" w:cs="Arial"/>
                <w:b/>
              </w:rPr>
              <w:t>Very Low</w:t>
            </w:r>
          </w:p>
        </w:tc>
        <w:tc>
          <w:tcPr>
            <w:tcW w:w="1658" w:type="dxa"/>
            <w:tcBorders>
              <w:left w:val="single" w:sz="4" w:space="0" w:color="4472C4"/>
              <w:right w:val="single" w:sz="4" w:space="0" w:color="4472C4"/>
            </w:tcBorders>
            <w:shd w:val="clear" w:color="auto" w:fill="C00000"/>
          </w:tcPr>
          <w:p w14:paraId="34CD9A98" w14:textId="77777777" w:rsidR="00E009EA" w:rsidRPr="00113364" w:rsidRDefault="00E009EA" w:rsidP="008A3778">
            <w:pPr>
              <w:jc w:val="center"/>
              <w:rPr>
                <w:rFonts w:ascii="Arial" w:hAnsi="Arial" w:cs="Arial"/>
              </w:rPr>
            </w:pPr>
            <w:r w:rsidRPr="00113364">
              <w:rPr>
                <w:rFonts w:ascii="Arial" w:hAnsi="Arial" w:cs="Arial"/>
              </w:rPr>
              <w:t>Red</w:t>
            </w:r>
          </w:p>
        </w:tc>
        <w:tc>
          <w:tcPr>
            <w:tcW w:w="1310" w:type="dxa"/>
            <w:tcBorders>
              <w:left w:val="single" w:sz="4" w:space="0" w:color="4472C4"/>
              <w:right w:val="single" w:sz="4" w:space="0" w:color="4472C4"/>
            </w:tcBorders>
            <w:shd w:val="clear" w:color="auto" w:fill="C00000"/>
          </w:tcPr>
          <w:p w14:paraId="4EB08100" w14:textId="77777777" w:rsidR="00E009EA" w:rsidRPr="00113364" w:rsidRDefault="00E009EA" w:rsidP="008A3778">
            <w:pPr>
              <w:jc w:val="center"/>
              <w:rPr>
                <w:rFonts w:ascii="Arial" w:hAnsi="Arial" w:cs="Arial"/>
              </w:rPr>
            </w:pPr>
            <w:r w:rsidRPr="00113364">
              <w:rPr>
                <w:rFonts w:ascii="Arial" w:hAnsi="Arial" w:cs="Arial"/>
              </w:rPr>
              <w:t>Red</w:t>
            </w:r>
          </w:p>
        </w:tc>
        <w:tc>
          <w:tcPr>
            <w:tcW w:w="1470" w:type="dxa"/>
            <w:tcBorders>
              <w:left w:val="single" w:sz="4" w:space="0" w:color="4472C4"/>
              <w:right w:val="single" w:sz="4" w:space="0" w:color="4472C4"/>
            </w:tcBorders>
            <w:shd w:val="clear" w:color="auto" w:fill="C00000"/>
          </w:tcPr>
          <w:p w14:paraId="6451B749" w14:textId="77777777" w:rsidR="00E009EA" w:rsidRPr="00113364" w:rsidRDefault="00E009EA" w:rsidP="008A3778">
            <w:pPr>
              <w:jc w:val="center"/>
              <w:rPr>
                <w:rFonts w:ascii="Arial" w:hAnsi="Arial" w:cs="Arial"/>
              </w:rPr>
            </w:pPr>
            <w:r w:rsidRPr="00113364">
              <w:rPr>
                <w:rFonts w:ascii="Arial" w:hAnsi="Arial" w:cs="Arial"/>
              </w:rPr>
              <w:t>Red</w:t>
            </w:r>
          </w:p>
        </w:tc>
        <w:tc>
          <w:tcPr>
            <w:tcW w:w="1337" w:type="dxa"/>
            <w:tcBorders>
              <w:left w:val="single" w:sz="4" w:space="0" w:color="4472C4"/>
              <w:right w:val="single" w:sz="4" w:space="0" w:color="4472C4"/>
            </w:tcBorders>
            <w:shd w:val="clear" w:color="auto" w:fill="ED7D31" w:themeFill="accent2"/>
          </w:tcPr>
          <w:p w14:paraId="2DF16701" w14:textId="77777777" w:rsidR="00E009EA" w:rsidRPr="00113364" w:rsidRDefault="00E009EA" w:rsidP="008A3778">
            <w:pPr>
              <w:jc w:val="center"/>
              <w:rPr>
                <w:rFonts w:ascii="Arial" w:hAnsi="Arial" w:cs="Arial"/>
              </w:rPr>
            </w:pPr>
            <w:r w:rsidRPr="00113364">
              <w:rPr>
                <w:rFonts w:ascii="Arial" w:hAnsi="Arial" w:cs="Arial"/>
              </w:rPr>
              <w:t>Orange</w:t>
            </w:r>
          </w:p>
        </w:tc>
        <w:tc>
          <w:tcPr>
            <w:tcW w:w="1643" w:type="dxa"/>
            <w:tcBorders>
              <w:left w:val="single" w:sz="4" w:space="0" w:color="4472C4"/>
            </w:tcBorders>
            <w:shd w:val="clear" w:color="auto" w:fill="FFFF00"/>
          </w:tcPr>
          <w:p w14:paraId="21095207" w14:textId="77777777" w:rsidR="00E009EA" w:rsidRPr="00113364" w:rsidRDefault="00E009EA" w:rsidP="008A3778">
            <w:pPr>
              <w:jc w:val="center"/>
              <w:rPr>
                <w:rFonts w:ascii="Arial" w:hAnsi="Arial" w:cs="Arial"/>
              </w:rPr>
            </w:pPr>
            <w:r w:rsidRPr="00113364">
              <w:rPr>
                <w:rFonts w:ascii="Arial" w:hAnsi="Arial" w:cs="Arial"/>
              </w:rPr>
              <w:t>Yellow</w:t>
            </w:r>
          </w:p>
        </w:tc>
      </w:tr>
    </w:tbl>
    <w:p w14:paraId="7DC02170" w14:textId="74227C41" w:rsidR="008A3778" w:rsidRPr="00113364" w:rsidRDefault="00F6400C" w:rsidP="008A3778">
      <w:pPr>
        <w:widowControl w:val="0"/>
        <w:kinsoku w:val="0"/>
        <w:overflowPunct w:val="0"/>
        <w:autoSpaceDE w:val="0"/>
        <w:autoSpaceDN w:val="0"/>
        <w:adjustRightInd w:val="0"/>
        <w:rPr>
          <w:rFonts w:ascii="Arial" w:hAnsi="Arial" w:cs="Arial"/>
        </w:rPr>
      </w:pPr>
      <w:r w:rsidRPr="00113364">
        <w:rPr>
          <w:rFonts w:ascii="Arial" w:hAnsi="Arial" w:cs="Arial"/>
        </w:rPr>
        <w:t>Source: California ESSA State Plan</w:t>
      </w:r>
      <w:r w:rsidR="004138D4" w:rsidRPr="00113364">
        <w:rPr>
          <w:rFonts w:ascii="Arial" w:hAnsi="Arial" w:cs="Arial"/>
        </w:rPr>
        <w:t xml:space="preserve"> (SBE approved)</w:t>
      </w:r>
      <w:r w:rsidR="000F2B65" w:rsidRPr="00113364">
        <w:rPr>
          <w:rFonts w:ascii="Arial" w:hAnsi="Arial" w:cs="Arial"/>
        </w:rPr>
        <w:t xml:space="preserve"> </w:t>
      </w:r>
    </w:p>
    <w:p w14:paraId="4413469B" w14:textId="77777777" w:rsidR="002A4978" w:rsidRPr="00113364" w:rsidRDefault="002A4978" w:rsidP="002A4978">
      <w:pPr>
        <w:spacing w:before="240"/>
        <w:rPr>
          <w:rFonts w:ascii="Arial" w:hAnsi="Arial" w:cs="Arial"/>
          <w:highlight w:val="yellow"/>
        </w:rPr>
      </w:pPr>
      <w:r w:rsidRPr="00113364">
        <w:rPr>
          <w:rFonts w:ascii="Arial" w:hAnsi="Arial" w:cs="Arial"/>
        </w:rPr>
        <w:t>Various combinations of colors on the indicators allow differentiation of performance for all students and each student group. With the implementation of California’s new accountability system, statewide performance targets are no longer singular targets, but rather a culmination of indicators that affect students’ career and college readiness. As a result of this change in accountability, the CDE developed migratory student specific performance targets as required by OME.</w:t>
      </w:r>
    </w:p>
    <w:p w14:paraId="32888140" w14:textId="77777777" w:rsidR="002A4978" w:rsidRPr="00113364" w:rsidRDefault="002A4978" w:rsidP="002A4978">
      <w:pPr>
        <w:widowControl w:val="0"/>
        <w:autoSpaceDE w:val="0"/>
        <w:autoSpaceDN w:val="0"/>
        <w:adjustRightInd w:val="0"/>
        <w:spacing w:before="240"/>
        <w:rPr>
          <w:rFonts w:ascii="Arial" w:hAnsi="Arial" w:cs="Arial"/>
          <w:color w:val="000000"/>
        </w:rPr>
      </w:pPr>
      <w:r w:rsidRPr="00113364">
        <w:rPr>
          <w:rFonts w:ascii="Arial" w:hAnsi="Arial" w:cs="Arial"/>
          <w:color w:val="000000"/>
        </w:rPr>
        <w:t xml:space="preserve">Discussion of the ten focus areas includes a table exploring key information for each focus area’s strategies and goals. Essential focus area information includes the state indicator (aligned with the CDE’s accountability system and Dashboard where applicable), prioritized data informing migratory students’ need, the outcome or output the CDE wishes to achieve, the SDP strategies for implementation, and the MPOs and performance targets related to these strategies. </w:t>
      </w:r>
    </w:p>
    <w:p w14:paraId="39D33F07" w14:textId="5B67D68C" w:rsidR="002A4978" w:rsidRPr="00113364" w:rsidRDefault="002A4978" w:rsidP="002A4978">
      <w:pPr>
        <w:widowControl w:val="0"/>
        <w:autoSpaceDE w:val="0"/>
        <w:autoSpaceDN w:val="0"/>
        <w:adjustRightInd w:val="0"/>
        <w:spacing w:before="240"/>
        <w:rPr>
          <w:rFonts w:ascii="Arial" w:hAnsi="Arial" w:cs="Arial"/>
        </w:rPr>
      </w:pPr>
      <w:r w:rsidRPr="00113364">
        <w:rPr>
          <w:rFonts w:ascii="Arial" w:hAnsi="Arial" w:cs="Arial"/>
        </w:rPr>
        <w:t xml:space="preserve">Through the CNA SDP Committee meetings, several SDP initial strategies were selected for each need in every focus area. Of those initial strategies, the committee and the CDE Management and Data Team further finalized the SDP strategies and </w:t>
      </w:r>
      <w:r w:rsidRPr="00113364">
        <w:rPr>
          <w:rFonts w:ascii="Arial" w:hAnsi="Arial" w:cs="Arial"/>
        </w:rPr>
        <w:lastRenderedPageBreak/>
        <w:t>MPOs to address the needs identified in the CNA.</w:t>
      </w:r>
      <w:r w:rsidRPr="00113364">
        <w:rPr>
          <w:rStyle w:val="FootnoteReference"/>
          <w:rFonts w:ascii="Arial" w:hAnsi="Arial" w:cs="Arial"/>
        </w:rPr>
        <w:footnoteReference w:id="16"/>
      </w:r>
      <w:r w:rsidRPr="00113364">
        <w:rPr>
          <w:rFonts w:ascii="Arial" w:hAnsi="Arial" w:cs="Arial"/>
        </w:rPr>
        <w:t xml:space="preserve"> While all final SDP strategies can be evaluated at the state and local level, several of the initial strategies listed in the CNA could not be implemented and/or evaluated </w:t>
      </w:r>
      <w:r w:rsidR="004D40F3" w:rsidRPr="00113364">
        <w:rPr>
          <w:rFonts w:ascii="Arial" w:hAnsi="Arial" w:cs="Arial"/>
        </w:rPr>
        <w:t>because of</w:t>
      </w:r>
      <w:r w:rsidRPr="00113364">
        <w:rPr>
          <w:rFonts w:ascii="Arial" w:hAnsi="Arial" w:cs="Arial"/>
        </w:rPr>
        <w:t xml:space="preserve"> resource limitations and thus were eliminated. All focus area strategies listed within this report will be implemented by the California MEP and monitored by the CDE. </w:t>
      </w:r>
      <w:r w:rsidRPr="00113364">
        <w:rPr>
          <w:rFonts w:ascii="Arial" w:hAnsi="Arial" w:cs="Arial"/>
          <w:color w:val="000000"/>
        </w:rPr>
        <w:t>The following tables provide details to address each of the statewide needs of migratory children.</w:t>
      </w:r>
    </w:p>
    <w:p w14:paraId="7825D405" w14:textId="3B28F1A7" w:rsidR="002A4978" w:rsidRPr="00113364" w:rsidRDefault="003310CE" w:rsidP="002A4978">
      <w:pPr>
        <w:spacing w:before="240" w:after="240"/>
        <w:rPr>
          <w:rFonts w:ascii="Arial" w:hAnsi="Arial" w:cs="Arial"/>
        </w:rPr>
      </w:pPr>
      <w:r w:rsidRPr="00113364">
        <w:rPr>
          <w:rFonts w:ascii="Arial" w:hAnsi="Arial" w:cs="Arial"/>
        </w:rPr>
        <w:t>Before</w:t>
      </w:r>
      <w:r w:rsidR="002A4978" w:rsidRPr="00113364">
        <w:rPr>
          <w:rFonts w:ascii="Arial" w:hAnsi="Arial" w:cs="Arial"/>
        </w:rPr>
        <w:t xml:space="preserve"> reviewing the outcomes, indicators, and performance targets for the different focus areas and their subsequent goal areas, a review of the terminology is necessary. During the last iteration, the CDE aligned common language across all migrant education materials to limit the variation in the language used for program evaluation which caused some confusion in the past. The following provides a mini glossary of sorts for the local MEPs to support program </w:t>
      </w:r>
      <w:r w:rsidR="008410BE" w:rsidRPr="00113364">
        <w:rPr>
          <w:rFonts w:ascii="Arial" w:hAnsi="Arial" w:cs="Arial"/>
        </w:rPr>
        <w:t>evaluation,</w:t>
      </w:r>
      <w:r w:rsidR="002A4978" w:rsidRPr="00113364">
        <w:rPr>
          <w:rFonts w:ascii="Arial" w:hAnsi="Arial" w:cs="Arial"/>
        </w:rPr>
        <w:t xml:space="preserve"> and </w:t>
      </w:r>
      <w:r w:rsidR="00054459" w:rsidRPr="00113364">
        <w:rPr>
          <w:rFonts w:ascii="Arial" w:hAnsi="Arial" w:cs="Arial"/>
        </w:rPr>
        <w:t>a shared understanding of terminology used</w:t>
      </w:r>
      <w:r w:rsidR="002A4978" w:rsidRPr="00113364">
        <w:rPr>
          <w:rFonts w:ascii="Arial" w:hAnsi="Arial" w:cs="Arial"/>
        </w:rPr>
        <w:t>:</w:t>
      </w:r>
    </w:p>
    <w:p w14:paraId="50E77041" w14:textId="5A2483A2" w:rsidR="00C53BC8" w:rsidRPr="00113364" w:rsidRDefault="00C53BC8" w:rsidP="00330CD6">
      <w:pPr>
        <w:pStyle w:val="Heading4"/>
        <w:spacing w:after="0"/>
        <w:rPr>
          <w:sz w:val="24"/>
        </w:rPr>
      </w:pPr>
      <w:bookmarkStart w:id="63" w:name="_Toc204755363"/>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27</w:t>
      </w:r>
      <w:r w:rsidR="00C46CA6" w:rsidRPr="00113364">
        <w:rPr>
          <w:noProof/>
          <w:sz w:val="24"/>
        </w:rPr>
        <w:fldChar w:fldCharType="end"/>
      </w:r>
      <w:r w:rsidRPr="00113364">
        <w:rPr>
          <w:sz w:val="24"/>
        </w:rPr>
        <w:t>. Program Evaluation Terms and Definitions</w:t>
      </w:r>
      <w:bookmarkEnd w:id="63"/>
    </w:p>
    <w:tbl>
      <w:tblPr>
        <w:tblStyle w:val="GridTable4-Accent1"/>
        <w:tblW w:w="9307" w:type="dxa"/>
        <w:tblLook w:val="0420" w:firstRow="1" w:lastRow="0" w:firstColumn="0" w:lastColumn="0" w:noHBand="0" w:noVBand="1"/>
        <w:tblDescription w:val="Terms and definitions used throughout the Migrant Education Program."/>
      </w:tblPr>
      <w:tblGrid>
        <w:gridCol w:w="1795"/>
        <w:gridCol w:w="7512"/>
      </w:tblGrid>
      <w:tr w:rsidR="00B42DD9" w:rsidRPr="00113364" w14:paraId="30993077" w14:textId="77777777" w:rsidTr="00172AE1">
        <w:trPr>
          <w:cnfStyle w:val="100000000000" w:firstRow="1" w:lastRow="0" w:firstColumn="0" w:lastColumn="0" w:oddVBand="0" w:evenVBand="0" w:oddHBand="0" w:evenHBand="0" w:firstRowFirstColumn="0" w:firstRowLastColumn="0" w:lastRowFirstColumn="0" w:lastRowLastColumn="0"/>
          <w:cantSplit/>
          <w:tblHeader/>
        </w:trPr>
        <w:tc>
          <w:tcPr>
            <w:tcW w:w="1795" w:type="dxa"/>
            <w:tcBorders>
              <w:right w:val="single" w:sz="4" w:space="0" w:color="4472C4"/>
            </w:tcBorders>
            <w:shd w:val="clear" w:color="auto" w:fill="1F3864" w:themeFill="accent5" w:themeFillShade="80"/>
          </w:tcPr>
          <w:p w14:paraId="6B253614" w14:textId="77777777" w:rsidR="00CB2C23" w:rsidRPr="00113364" w:rsidRDefault="00CB2C23" w:rsidP="00F62746">
            <w:pPr>
              <w:contextualSpacing/>
              <w:jc w:val="center"/>
              <w:rPr>
                <w:rFonts w:ascii="Arial" w:hAnsi="Arial" w:cs="Arial"/>
                <w:b w:val="0"/>
                <w:color w:val="FFFFFF"/>
              </w:rPr>
            </w:pPr>
            <w:r w:rsidRPr="00113364">
              <w:rPr>
                <w:rFonts w:ascii="Arial" w:hAnsi="Arial" w:cs="Arial"/>
                <w:color w:val="FFFFFF"/>
              </w:rPr>
              <w:t>Term</w:t>
            </w:r>
          </w:p>
        </w:tc>
        <w:tc>
          <w:tcPr>
            <w:tcW w:w="7512" w:type="dxa"/>
            <w:tcBorders>
              <w:left w:val="single" w:sz="4" w:space="0" w:color="4472C4"/>
            </w:tcBorders>
            <w:shd w:val="clear" w:color="auto" w:fill="1F3864" w:themeFill="accent5" w:themeFillShade="80"/>
          </w:tcPr>
          <w:p w14:paraId="0D988E56" w14:textId="77777777" w:rsidR="00CB2C23" w:rsidRPr="00113364" w:rsidRDefault="00CB2C23" w:rsidP="00F62746">
            <w:pPr>
              <w:contextualSpacing/>
              <w:jc w:val="center"/>
              <w:rPr>
                <w:rFonts w:ascii="Arial" w:hAnsi="Arial" w:cs="Arial"/>
                <w:b w:val="0"/>
                <w:color w:val="FFFFFF"/>
              </w:rPr>
            </w:pPr>
            <w:r w:rsidRPr="00113364">
              <w:rPr>
                <w:rFonts w:ascii="Arial" w:hAnsi="Arial" w:cs="Arial"/>
                <w:color w:val="FFFFFF"/>
              </w:rPr>
              <w:t>Definition</w:t>
            </w:r>
          </w:p>
        </w:tc>
      </w:tr>
      <w:tr w:rsidR="000B4D06" w:rsidRPr="00113364" w14:paraId="6CCCC93C"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1795" w:type="dxa"/>
          </w:tcPr>
          <w:p w14:paraId="7FE51A0C" w14:textId="77777777" w:rsidR="000B4D06" w:rsidRPr="00113364" w:rsidRDefault="000B4D06" w:rsidP="00A021B9">
            <w:pPr>
              <w:contextualSpacing/>
              <w:rPr>
                <w:rFonts w:ascii="Arial" w:hAnsi="Arial" w:cs="Arial"/>
              </w:rPr>
            </w:pPr>
            <w:r w:rsidRPr="00113364">
              <w:rPr>
                <w:rFonts w:ascii="Arial" w:hAnsi="Arial" w:cs="Arial"/>
              </w:rPr>
              <w:t>Outcome</w:t>
            </w:r>
          </w:p>
        </w:tc>
        <w:tc>
          <w:tcPr>
            <w:tcW w:w="7512" w:type="dxa"/>
          </w:tcPr>
          <w:p w14:paraId="13252FE1" w14:textId="77777777" w:rsidR="000B4D06" w:rsidRPr="00113364" w:rsidRDefault="000B4D06" w:rsidP="00A021B9">
            <w:pPr>
              <w:contextualSpacing/>
              <w:rPr>
                <w:rFonts w:ascii="Arial" w:hAnsi="Arial" w:cs="Arial"/>
              </w:rPr>
            </w:pPr>
            <w:r w:rsidRPr="00113364">
              <w:rPr>
                <w:rFonts w:ascii="Arial" w:hAnsi="Arial" w:cs="Arial"/>
              </w:rPr>
              <w:t>Changes in knowledge, skills, behaviors, attitudes, and cond</w:t>
            </w:r>
            <w:r w:rsidR="000F2B65" w:rsidRPr="00113364">
              <w:rPr>
                <w:rFonts w:ascii="Arial" w:hAnsi="Arial" w:cs="Arial"/>
              </w:rPr>
              <w:t>itions</w:t>
            </w:r>
          </w:p>
          <w:p w14:paraId="14AA8569" w14:textId="77777777" w:rsidR="000B4D06" w:rsidRPr="00113364" w:rsidRDefault="000B4D06" w:rsidP="00A021B9">
            <w:pPr>
              <w:contextualSpacing/>
              <w:rPr>
                <w:rFonts w:ascii="Arial" w:hAnsi="Arial" w:cs="Arial"/>
              </w:rPr>
            </w:pPr>
          </w:p>
        </w:tc>
      </w:tr>
      <w:tr w:rsidR="000B4D06" w:rsidRPr="00113364" w14:paraId="08E4B2D6" w14:textId="77777777" w:rsidTr="00940787">
        <w:trPr>
          <w:cantSplit/>
        </w:trPr>
        <w:tc>
          <w:tcPr>
            <w:tcW w:w="1795" w:type="dxa"/>
          </w:tcPr>
          <w:p w14:paraId="0750F691" w14:textId="77777777" w:rsidR="000B4D06" w:rsidRPr="00113364" w:rsidRDefault="000B4D06" w:rsidP="00A021B9">
            <w:pPr>
              <w:contextualSpacing/>
              <w:rPr>
                <w:rFonts w:ascii="Arial" w:hAnsi="Arial" w:cs="Arial"/>
              </w:rPr>
            </w:pPr>
            <w:r w:rsidRPr="00113364">
              <w:rPr>
                <w:rFonts w:ascii="Arial" w:hAnsi="Arial" w:cs="Arial"/>
              </w:rPr>
              <w:t>Output</w:t>
            </w:r>
          </w:p>
        </w:tc>
        <w:tc>
          <w:tcPr>
            <w:tcW w:w="7512" w:type="dxa"/>
          </w:tcPr>
          <w:p w14:paraId="480FBE37" w14:textId="77777777" w:rsidR="000B4D06" w:rsidRPr="00113364" w:rsidRDefault="000B4D06" w:rsidP="00A021B9">
            <w:pPr>
              <w:contextualSpacing/>
              <w:rPr>
                <w:rFonts w:ascii="Arial" w:hAnsi="Arial" w:cs="Arial"/>
              </w:rPr>
            </w:pPr>
            <w:r w:rsidRPr="00113364">
              <w:rPr>
                <w:rFonts w:ascii="Arial" w:hAnsi="Arial" w:cs="Arial"/>
              </w:rPr>
              <w:t>What the program produces thro</w:t>
            </w:r>
            <w:r w:rsidR="000F2B65" w:rsidRPr="00113364">
              <w:rPr>
                <w:rFonts w:ascii="Arial" w:hAnsi="Arial" w:cs="Arial"/>
              </w:rPr>
              <w:t>ugh its services and activities</w:t>
            </w:r>
          </w:p>
          <w:p w14:paraId="1F011DE6" w14:textId="77777777" w:rsidR="000B4D06" w:rsidRPr="00113364" w:rsidRDefault="000B4D06" w:rsidP="00A021B9">
            <w:pPr>
              <w:contextualSpacing/>
              <w:rPr>
                <w:rFonts w:ascii="Arial" w:hAnsi="Arial" w:cs="Arial"/>
              </w:rPr>
            </w:pPr>
          </w:p>
        </w:tc>
      </w:tr>
      <w:tr w:rsidR="000B4D06" w:rsidRPr="00113364" w14:paraId="426D0B53"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1795" w:type="dxa"/>
          </w:tcPr>
          <w:p w14:paraId="48AD6AA6" w14:textId="77777777" w:rsidR="000B4D06" w:rsidRPr="00113364" w:rsidRDefault="000B4D06" w:rsidP="00A021B9">
            <w:pPr>
              <w:contextualSpacing/>
              <w:rPr>
                <w:rFonts w:ascii="Arial" w:hAnsi="Arial" w:cs="Arial"/>
              </w:rPr>
            </w:pPr>
            <w:r w:rsidRPr="00113364">
              <w:rPr>
                <w:rFonts w:ascii="Arial" w:hAnsi="Arial" w:cs="Arial"/>
              </w:rPr>
              <w:t>Strategy</w:t>
            </w:r>
          </w:p>
        </w:tc>
        <w:tc>
          <w:tcPr>
            <w:tcW w:w="7512" w:type="dxa"/>
          </w:tcPr>
          <w:p w14:paraId="3FE130E8" w14:textId="77777777" w:rsidR="000B4D06" w:rsidRPr="00113364" w:rsidRDefault="000B4D06" w:rsidP="00A021B9">
            <w:pPr>
              <w:contextualSpacing/>
              <w:rPr>
                <w:rFonts w:ascii="Arial" w:hAnsi="Arial" w:cs="Arial"/>
              </w:rPr>
            </w:pPr>
            <w:r w:rsidRPr="00113364">
              <w:rPr>
                <w:rFonts w:ascii="Arial" w:hAnsi="Arial" w:cs="Arial"/>
              </w:rPr>
              <w:t>An ac</w:t>
            </w:r>
            <w:r w:rsidR="000F2B65" w:rsidRPr="00113364">
              <w:rPr>
                <w:rFonts w:ascii="Arial" w:hAnsi="Arial" w:cs="Arial"/>
              </w:rPr>
              <w:t>tion, or set of actions, that are</w:t>
            </w:r>
            <w:r w:rsidRPr="00113364">
              <w:rPr>
                <w:rFonts w:ascii="Arial" w:hAnsi="Arial" w:cs="Arial"/>
              </w:rPr>
              <w:t xml:space="preserve"> implement</w:t>
            </w:r>
            <w:r w:rsidR="000F2B65" w:rsidRPr="00113364">
              <w:rPr>
                <w:rFonts w:ascii="Arial" w:hAnsi="Arial" w:cs="Arial"/>
              </w:rPr>
              <w:t>ed to address migratory student needs in a specific focus area</w:t>
            </w:r>
          </w:p>
          <w:p w14:paraId="3D1DFC83" w14:textId="77777777" w:rsidR="000B4D06" w:rsidRPr="00113364" w:rsidRDefault="000B4D06" w:rsidP="00A021B9">
            <w:pPr>
              <w:contextualSpacing/>
              <w:rPr>
                <w:rFonts w:ascii="Arial" w:hAnsi="Arial" w:cs="Arial"/>
              </w:rPr>
            </w:pPr>
          </w:p>
        </w:tc>
      </w:tr>
      <w:tr w:rsidR="000B4D06" w:rsidRPr="00113364" w14:paraId="0B909EDF" w14:textId="77777777" w:rsidTr="00940787">
        <w:trPr>
          <w:cantSplit/>
        </w:trPr>
        <w:tc>
          <w:tcPr>
            <w:tcW w:w="1795" w:type="dxa"/>
          </w:tcPr>
          <w:p w14:paraId="6C5851E8" w14:textId="77777777" w:rsidR="000B4D06" w:rsidRPr="00113364" w:rsidRDefault="000B4D06" w:rsidP="00A021B9">
            <w:pPr>
              <w:contextualSpacing/>
              <w:rPr>
                <w:rFonts w:ascii="Arial" w:hAnsi="Arial" w:cs="Arial"/>
              </w:rPr>
            </w:pPr>
            <w:r w:rsidRPr="00113364">
              <w:rPr>
                <w:rFonts w:ascii="Arial" w:hAnsi="Arial" w:cs="Arial"/>
              </w:rPr>
              <w:t>Indicator</w:t>
            </w:r>
          </w:p>
        </w:tc>
        <w:tc>
          <w:tcPr>
            <w:tcW w:w="7512" w:type="dxa"/>
          </w:tcPr>
          <w:p w14:paraId="134B1A8F" w14:textId="77777777" w:rsidR="000B4D06" w:rsidRPr="00113364" w:rsidRDefault="000B4D06" w:rsidP="00A021B9">
            <w:pPr>
              <w:contextualSpacing/>
              <w:rPr>
                <w:rFonts w:ascii="Arial" w:hAnsi="Arial" w:cs="Arial"/>
              </w:rPr>
            </w:pPr>
            <w:r w:rsidRPr="00113364">
              <w:rPr>
                <w:rFonts w:ascii="Arial" w:hAnsi="Arial" w:cs="Arial"/>
              </w:rPr>
              <w:t>A measure that tells you whether you are meeting your outcome.</w:t>
            </w:r>
          </w:p>
          <w:p w14:paraId="43469B5E" w14:textId="77777777" w:rsidR="000B4D06" w:rsidRPr="00113364" w:rsidRDefault="000B4D06" w:rsidP="00A021B9">
            <w:pPr>
              <w:contextualSpacing/>
              <w:rPr>
                <w:rFonts w:ascii="Arial" w:hAnsi="Arial" w:cs="Arial"/>
              </w:rPr>
            </w:pPr>
            <w:r w:rsidRPr="00113364">
              <w:rPr>
                <w:rFonts w:ascii="Arial" w:hAnsi="Arial" w:cs="Arial"/>
              </w:rPr>
              <w:t>HINT: Your measurement tool</w:t>
            </w:r>
          </w:p>
          <w:p w14:paraId="06C34091" w14:textId="77777777" w:rsidR="000B4D06" w:rsidRPr="00113364" w:rsidRDefault="000B4D06" w:rsidP="00A021B9">
            <w:pPr>
              <w:contextualSpacing/>
              <w:rPr>
                <w:rFonts w:ascii="Arial" w:hAnsi="Arial" w:cs="Arial"/>
              </w:rPr>
            </w:pPr>
          </w:p>
        </w:tc>
      </w:tr>
      <w:tr w:rsidR="000B4D06" w:rsidRPr="00113364" w14:paraId="7FB88E42"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1795" w:type="dxa"/>
          </w:tcPr>
          <w:p w14:paraId="462B7A39" w14:textId="47796F03" w:rsidR="000B4D06" w:rsidRPr="00113364" w:rsidRDefault="0011033B" w:rsidP="00A021B9">
            <w:pPr>
              <w:contextualSpacing/>
              <w:rPr>
                <w:rFonts w:ascii="Arial" w:hAnsi="Arial" w:cs="Arial"/>
              </w:rPr>
            </w:pPr>
            <w:r w:rsidRPr="00113364">
              <w:rPr>
                <w:rFonts w:ascii="Arial" w:hAnsi="Arial" w:cs="Arial"/>
              </w:rPr>
              <w:t>Measurable Program Objective</w:t>
            </w:r>
            <w:r w:rsidR="00C53BC8" w:rsidRPr="00113364">
              <w:rPr>
                <w:rStyle w:val="FootnoteReference"/>
                <w:rFonts w:ascii="Arial" w:hAnsi="Arial" w:cs="Arial"/>
              </w:rPr>
              <w:footnoteReference w:id="17"/>
            </w:r>
          </w:p>
          <w:p w14:paraId="0CFCB2CE" w14:textId="77777777" w:rsidR="00214CC0" w:rsidRPr="00113364" w:rsidRDefault="00214CC0" w:rsidP="00A021B9">
            <w:pPr>
              <w:contextualSpacing/>
              <w:rPr>
                <w:rFonts w:ascii="Arial" w:hAnsi="Arial" w:cs="Arial"/>
              </w:rPr>
            </w:pPr>
          </w:p>
        </w:tc>
        <w:tc>
          <w:tcPr>
            <w:tcW w:w="7512" w:type="dxa"/>
          </w:tcPr>
          <w:p w14:paraId="556430FF" w14:textId="009BD7D9" w:rsidR="000B4D06" w:rsidRPr="00113364" w:rsidRDefault="00961FF5" w:rsidP="008E3AFA">
            <w:pPr>
              <w:contextualSpacing/>
              <w:rPr>
                <w:rFonts w:ascii="Arial" w:hAnsi="Arial" w:cs="Arial"/>
              </w:rPr>
            </w:pPr>
            <w:r w:rsidRPr="00113364">
              <w:rPr>
                <w:rFonts w:ascii="Arial" w:hAnsi="Arial" w:cs="Arial"/>
              </w:rPr>
              <w:t>Measures annual implementation of the strategy; an annual implementation goal</w:t>
            </w:r>
          </w:p>
        </w:tc>
      </w:tr>
      <w:tr w:rsidR="000B4D06" w:rsidRPr="00113364" w14:paraId="7E0DE7F9" w14:textId="77777777" w:rsidTr="00940787">
        <w:trPr>
          <w:cantSplit/>
        </w:trPr>
        <w:tc>
          <w:tcPr>
            <w:tcW w:w="1795" w:type="dxa"/>
          </w:tcPr>
          <w:p w14:paraId="66368232" w14:textId="77777777" w:rsidR="000B4D06" w:rsidRPr="00113364" w:rsidRDefault="000B4D06" w:rsidP="00A021B9">
            <w:pPr>
              <w:contextualSpacing/>
              <w:rPr>
                <w:rFonts w:ascii="Arial" w:hAnsi="Arial" w:cs="Arial"/>
              </w:rPr>
            </w:pPr>
            <w:r w:rsidRPr="00113364">
              <w:rPr>
                <w:rFonts w:ascii="Arial" w:hAnsi="Arial" w:cs="Arial"/>
              </w:rPr>
              <w:t>Performance Target</w:t>
            </w:r>
          </w:p>
        </w:tc>
        <w:tc>
          <w:tcPr>
            <w:tcW w:w="7512" w:type="dxa"/>
          </w:tcPr>
          <w:p w14:paraId="542D9AB2" w14:textId="77777777" w:rsidR="000B4D06" w:rsidRPr="00113364" w:rsidRDefault="000F2B65" w:rsidP="00A021B9">
            <w:pPr>
              <w:contextualSpacing/>
              <w:rPr>
                <w:rFonts w:ascii="Arial" w:hAnsi="Arial" w:cs="Arial"/>
              </w:rPr>
            </w:pPr>
            <w:r w:rsidRPr="00113364">
              <w:rPr>
                <w:rFonts w:ascii="Arial" w:hAnsi="Arial" w:cs="Arial"/>
              </w:rPr>
              <w:t>A milestone set for a given indicator</w:t>
            </w:r>
            <w:r w:rsidR="000B4D06" w:rsidRPr="00113364">
              <w:rPr>
                <w:rFonts w:ascii="Arial" w:hAnsi="Arial" w:cs="Arial"/>
              </w:rPr>
              <w:t xml:space="preserve"> </w:t>
            </w:r>
          </w:p>
          <w:p w14:paraId="74947308" w14:textId="77777777" w:rsidR="000B4D06" w:rsidRPr="00113364" w:rsidRDefault="000B4D06" w:rsidP="000F2B65">
            <w:pPr>
              <w:contextualSpacing/>
              <w:rPr>
                <w:rFonts w:ascii="Arial" w:hAnsi="Arial" w:cs="Arial"/>
              </w:rPr>
            </w:pPr>
            <w:r w:rsidRPr="00113364">
              <w:rPr>
                <w:rFonts w:ascii="Arial" w:hAnsi="Arial" w:cs="Arial"/>
              </w:rPr>
              <w:t>HINT: A targeted incremental change over time</w:t>
            </w:r>
            <w:r w:rsidR="000F2B65" w:rsidRPr="00113364">
              <w:rPr>
                <w:rFonts w:ascii="Arial" w:hAnsi="Arial" w:cs="Arial"/>
              </w:rPr>
              <w:t>, that m</w:t>
            </w:r>
            <w:r w:rsidRPr="00113364">
              <w:rPr>
                <w:rFonts w:ascii="Arial" w:hAnsi="Arial" w:cs="Arial"/>
              </w:rPr>
              <w:t>ust b</w:t>
            </w:r>
            <w:r w:rsidR="000F2B65" w:rsidRPr="00113364">
              <w:rPr>
                <w:rFonts w:ascii="Arial" w:hAnsi="Arial" w:cs="Arial"/>
              </w:rPr>
              <w:t xml:space="preserve">e for a specific </w:t>
            </w:r>
            <w:proofErr w:type="gramStart"/>
            <w:r w:rsidR="000F2B65" w:rsidRPr="00113364">
              <w:rPr>
                <w:rFonts w:ascii="Arial" w:hAnsi="Arial" w:cs="Arial"/>
              </w:rPr>
              <w:t>period of time</w:t>
            </w:r>
            <w:proofErr w:type="gramEnd"/>
          </w:p>
        </w:tc>
      </w:tr>
    </w:tbl>
    <w:p w14:paraId="76893536" w14:textId="682F7B07" w:rsidR="002955A0" w:rsidRPr="00113364" w:rsidRDefault="004138D4" w:rsidP="00CB2C23">
      <w:pPr>
        <w:spacing w:before="240"/>
        <w:rPr>
          <w:rFonts w:ascii="Arial" w:hAnsi="Arial" w:cs="Arial"/>
        </w:rPr>
      </w:pPr>
      <w:r w:rsidRPr="00113364">
        <w:rPr>
          <w:rFonts w:ascii="Arial" w:hAnsi="Arial" w:cs="Arial"/>
        </w:rPr>
        <w:t>The CDE Management and Data Team develop</w:t>
      </w:r>
      <w:r w:rsidR="00C53BC8" w:rsidRPr="00113364">
        <w:rPr>
          <w:rFonts w:ascii="Arial" w:hAnsi="Arial" w:cs="Arial"/>
        </w:rPr>
        <w:t>ed</w:t>
      </w:r>
      <w:r w:rsidRPr="00113364">
        <w:rPr>
          <w:rFonts w:ascii="Arial" w:hAnsi="Arial" w:cs="Arial"/>
        </w:rPr>
        <w:t xml:space="preserve"> performance targets for each focus area in accordance with federal guidance</w:t>
      </w:r>
      <w:r w:rsidR="00C53BC8" w:rsidRPr="00113364">
        <w:rPr>
          <w:rFonts w:ascii="Arial" w:hAnsi="Arial" w:cs="Arial"/>
        </w:rPr>
        <w:t xml:space="preserve">, the results of the independent evaluation conducted for the previous SDP (2017), and </w:t>
      </w:r>
      <w:r w:rsidR="00492F6E" w:rsidRPr="00113364">
        <w:rPr>
          <w:rFonts w:ascii="Arial" w:hAnsi="Arial" w:cs="Arial"/>
        </w:rPr>
        <w:t>feedback from the committee and the field</w:t>
      </w:r>
      <w:r w:rsidRPr="00113364">
        <w:rPr>
          <w:rFonts w:ascii="Arial" w:hAnsi="Arial" w:cs="Arial"/>
        </w:rPr>
        <w:t xml:space="preserve">. While setting singular targets for each focus area does not align with California’s current </w:t>
      </w:r>
      <w:r w:rsidRPr="00113364">
        <w:rPr>
          <w:rFonts w:ascii="Arial" w:hAnsi="Arial" w:cs="Arial"/>
        </w:rPr>
        <w:lastRenderedPageBreak/>
        <w:t xml:space="preserve">accountability system, the CDE will </w:t>
      </w:r>
      <w:r w:rsidR="00492F6E" w:rsidRPr="00113364">
        <w:rPr>
          <w:rFonts w:ascii="Arial" w:hAnsi="Arial" w:cs="Arial"/>
        </w:rPr>
        <w:t xml:space="preserve">continue to implement </w:t>
      </w:r>
      <w:r w:rsidR="006B6D3A" w:rsidRPr="00113364">
        <w:rPr>
          <w:rFonts w:ascii="Arial" w:hAnsi="Arial" w:cs="Arial"/>
        </w:rPr>
        <w:t xml:space="preserve">its </w:t>
      </w:r>
      <w:r w:rsidR="00492F6E" w:rsidRPr="00113364">
        <w:rPr>
          <w:rFonts w:ascii="Arial" w:hAnsi="Arial" w:cs="Arial"/>
        </w:rPr>
        <w:t xml:space="preserve">annual continuous improvement </w:t>
      </w:r>
      <w:r w:rsidR="006B6D3A" w:rsidRPr="00113364">
        <w:rPr>
          <w:rFonts w:ascii="Arial" w:hAnsi="Arial" w:cs="Arial"/>
        </w:rPr>
        <w:t>cycle</w:t>
      </w:r>
      <w:r w:rsidR="00492F6E" w:rsidRPr="00113364">
        <w:rPr>
          <w:rFonts w:ascii="Arial" w:hAnsi="Arial" w:cs="Arial"/>
        </w:rPr>
        <w:t xml:space="preserve"> (i.e., Plan-Do-Study-Act cycle) where annual progress towards MPOs and performance targets are evaluated jointly by the CDE and individual subgrantees. During this annual re</w:t>
      </w:r>
      <w:r w:rsidRPr="00113364">
        <w:rPr>
          <w:rFonts w:ascii="Arial" w:hAnsi="Arial" w:cs="Arial"/>
        </w:rPr>
        <w:t>view</w:t>
      </w:r>
      <w:r w:rsidR="00492F6E" w:rsidRPr="00113364">
        <w:rPr>
          <w:rFonts w:ascii="Arial" w:hAnsi="Arial" w:cs="Arial"/>
        </w:rPr>
        <w:t>, MEP subgrantees and the CDE review individual performance on strategy implementation (i.e., meeting the MPOs) and progress towards</w:t>
      </w:r>
      <w:r w:rsidRPr="00113364">
        <w:rPr>
          <w:rFonts w:ascii="Arial" w:hAnsi="Arial" w:cs="Arial"/>
        </w:rPr>
        <w:t xml:space="preserve"> performance targe</w:t>
      </w:r>
      <w:r w:rsidR="006B6D3A" w:rsidRPr="00113364">
        <w:rPr>
          <w:rFonts w:ascii="Arial" w:hAnsi="Arial" w:cs="Arial"/>
        </w:rPr>
        <w:t>t</w:t>
      </w:r>
      <w:r w:rsidR="00492F6E" w:rsidRPr="00113364">
        <w:rPr>
          <w:rFonts w:ascii="Arial" w:hAnsi="Arial" w:cs="Arial"/>
        </w:rPr>
        <w:t xml:space="preserve">s with the purpose </w:t>
      </w:r>
      <w:r w:rsidR="006B6D3A" w:rsidRPr="00113364">
        <w:rPr>
          <w:rFonts w:ascii="Arial" w:hAnsi="Arial" w:cs="Arial"/>
        </w:rPr>
        <w:t>of developing an action plan for areas of need that still need to be addressed.</w:t>
      </w:r>
      <w:r w:rsidR="00492F6E" w:rsidRPr="00113364">
        <w:rPr>
          <w:rFonts w:ascii="Arial" w:hAnsi="Arial" w:cs="Arial"/>
        </w:rPr>
        <w:t xml:space="preserve"> </w:t>
      </w:r>
      <w:r w:rsidR="006B6D3A" w:rsidRPr="00113364">
        <w:rPr>
          <w:rFonts w:ascii="Arial" w:hAnsi="Arial" w:cs="Arial"/>
        </w:rPr>
        <w:t>Areas of student need (</w:t>
      </w:r>
      <w:r w:rsidR="00961FF5" w:rsidRPr="00113364">
        <w:rPr>
          <w:rFonts w:ascii="Arial" w:hAnsi="Arial" w:cs="Arial"/>
        </w:rPr>
        <w:t>i.e.</w:t>
      </w:r>
      <w:r w:rsidR="006B6D3A" w:rsidRPr="00113364">
        <w:rPr>
          <w:rFonts w:ascii="Arial" w:hAnsi="Arial" w:cs="Arial"/>
        </w:rPr>
        <w:t xml:space="preserve">, MPOs) that were not met by subgrantees are included in </w:t>
      </w:r>
      <w:r w:rsidR="00961FF5" w:rsidRPr="00113364">
        <w:rPr>
          <w:rFonts w:ascii="Arial" w:hAnsi="Arial" w:cs="Arial"/>
        </w:rPr>
        <w:t>the annual</w:t>
      </w:r>
      <w:r w:rsidR="006B6D3A" w:rsidRPr="00113364">
        <w:rPr>
          <w:rFonts w:ascii="Arial" w:hAnsi="Arial" w:cs="Arial"/>
        </w:rPr>
        <w:t xml:space="preserve"> professional learning sessions provided by the CDE to support subgrantees’ ability to increase progress towards meetings students’ needs and MPOs. </w:t>
      </w:r>
    </w:p>
    <w:p w14:paraId="010BAACF" w14:textId="579AE20E" w:rsidR="00D50E2C" w:rsidRPr="00113364" w:rsidRDefault="006B6D3A" w:rsidP="003F0CBE">
      <w:pPr>
        <w:spacing w:before="120" w:after="240"/>
        <w:rPr>
          <w:rFonts w:ascii="Arial" w:hAnsi="Arial" w:cs="Arial"/>
        </w:rPr>
      </w:pPr>
      <w:r w:rsidRPr="00113364">
        <w:rPr>
          <w:rFonts w:ascii="Arial" w:hAnsi="Arial" w:cs="Arial"/>
        </w:rPr>
        <w:t>D</w:t>
      </w:r>
      <w:r w:rsidR="004138D4" w:rsidRPr="00113364">
        <w:rPr>
          <w:rFonts w:ascii="Arial" w:hAnsi="Arial" w:cs="Arial"/>
        </w:rPr>
        <w:t xml:space="preserve">eveloping the MEP statewide performance targets was </w:t>
      </w:r>
      <w:r w:rsidRPr="00113364">
        <w:rPr>
          <w:rFonts w:ascii="Arial" w:hAnsi="Arial" w:cs="Arial"/>
        </w:rPr>
        <w:t>challenging</w:t>
      </w:r>
      <w:r w:rsidR="004138D4" w:rsidRPr="00113364">
        <w:rPr>
          <w:rFonts w:ascii="Arial" w:hAnsi="Arial" w:cs="Arial"/>
        </w:rPr>
        <w:t xml:space="preserve"> given the MEP is a supplemental program and cannot be expected to close the achievement gap unilaterally. </w:t>
      </w:r>
      <w:r w:rsidR="00EA65C5" w:rsidRPr="00113364">
        <w:rPr>
          <w:rFonts w:ascii="Arial" w:hAnsi="Arial" w:cs="Arial"/>
        </w:rPr>
        <w:t>The CDE reviewed longitudinal data from 2016–17</w:t>
      </w:r>
      <w:r w:rsidR="006732D3" w:rsidRPr="00113364">
        <w:rPr>
          <w:rFonts w:ascii="Arial" w:hAnsi="Arial" w:cs="Arial"/>
        </w:rPr>
        <w:t xml:space="preserve"> through 2022–23 for all available CAASPP and graduation outcome data. After a review, the data was inputted into a platform to project the five-year outcomes based on the annual change data. However, those projections do not </w:t>
      </w:r>
      <w:proofErr w:type="gramStart"/>
      <w:r w:rsidR="006732D3" w:rsidRPr="00113364">
        <w:rPr>
          <w:rFonts w:ascii="Arial" w:hAnsi="Arial" w:cs="Arial"/>
        </w:rPr>
        <w:t>take into account</w:t>
      </w:r>
      <w:proofErr w:type="gramEnd"/>
      <w:r w:rsidR="006732D3" w:rsidRPr="00113364">
        <w:rPr>
          <w:rFonts w:ascii="Arial" w:hAnsi="Arial" w:cs="Arial"/>
        </w:rPr>
        <w:t xml:space="preserve"> the SDP strategies that are expected to positively affect students’ academic outcomes. Therefore, the projected data using average change over time was inappropriate given the outcomes continued to decrease. Reflecting on the past data, the CDE Management and Data Team made incremental</w:t>
      </w:r>
      <w:r w:rsidR="00C1386E" w:rsidRPr="00113364">
        <w:rPr>
          <w:rFonts w:ascii="Arial" w:hAnsi="Arial" w:cs="Arial"/>
        </w:rPr>
        <w:t xml:space="preserve"> annual</w:t>
      </w:r>
      <w:r w:rsidR="006732D3" w:rsidRPr="00113364">
        <w:rPr>
          <w:rFonts w:ascii="Arial" w:hAnsi="Arial" w:cs="Arial"/>
        </w:rPr>
        <w:t xml:space="preserve"> improvements for the projected performance target</w:t>
      </w:r>
      <w:r w:rsidR="00EB4984">
        <w:rPr>
          <w:rFonts w:ascii="Arial" w:hAnsi="Arial" w:cs="Arial"/>
        </w:rPr>
        <w:t>s.</w:t>
      </w:r>
      <w:r w:rsidR="006732D3" w:rsidRPr="00113364">
        <w:rPr>
          <w:rFonts w:ascii="Arial" w:hAnsi="Arial" w:cs="Arial"/>
        </w:rPr>
        <w:t xml:space="preserve"> </w:t>
      </w:r>
    </w:p>
    <w:p w14:paraId="7D1276E9" w14:textId="31EA354D" w:rsidR="00BA5C6E" w:rsidRPr="00113364" w:rsidRDefault="00BA5C6E" w:rsidP="003F0CBE">
      <w:pPr>
        <w:pStyle w:val="Heading3"/>
      </w:pPr>
      <w:bookmarkStart w:id="64" w:name="_Toc203568849"/>
      <w:r w:rsidRPr="00113364">
        <w:t>English Language Arts</w:t>
      </w:r>
      <w:bookmarkEnd w:id="64"/>
    </w:p>
    <w:p w14:paraId="00E7829F" w14:textId="2CCB615F" w:rsidR="00617EE3" w:rsidRPr="00113364" w:rsidRDefault="00EA3FA3" w:rsidP="00617EE3">
      <w:pPr>
        <w:spacing w:after="240"/>
        <w:rPr>
          <w:rFonts w:ascii="Arial" w:hAnsi="Arial" w:cs="Arial"/>
        </w:rPr>
      </w:pPr>
      <w:r w:rsidRPr="00113364">
        <w:rPr>
          <w:rFonts w:ascii="Arial" w:hAnsi="Arial" w:cs="Arial"/>
        </w:rPr>
        <w:t>The</w:t>
      </w:r>
      <w:r w:rsidR="00A317B7" w:rsidRPr="00113364">
        <w:rPr>
          <w:rFonts w:ascii="Arial" w:hAnsi="Arial" w:cs="Arial"/>
        </w:rPr>
        <w:t xml:space="preserve"> three</w:t>
      </w:r>
      <w:r w:rsidRPr="00113364">
        <w:rPr>
          <w:rFonts w:ascii="Arial" w:hAnsi="Arial" w:cs="Arial"/>
        </w:rPr>
        <w:t xml:space="preserve"> concerns and needs outlined in the C</w:t>
      </w:r>
      <w:r w:rsidR="002F6438">
        <w:rPr>
          <w:rFonts w:ascii="Arial" w:hAnsi="Arial" w:cs="Arial"/>
        </w:rPr>
        <w:t>NA</w:t>
      </w:r>
      <w:r w:rsidRPr="00113364">
        <w:rPr>
          <w:rFonts w:ascii="Arial" w:hAnsi="Arial" w:cs="Arial"/>
        </w:rPr>
        <w:t xml:space="preserve"> Findings section</w:t>
      </w:r>
      <w:r w:rsidR="00617EE3" w:rsidRPr="00113364">
        <w:rPr>
          <w:rFonts w:ascii="Arial" w:hAnsi="Arial" w:cs="Arial"/>
        </w:rPr>
        <w:t xml:space="preserve"> for ELA</w:t>
      </w:r>
      <w:r w:rsidRPr="00113364">
        <w:rPr>
          <w:rFonts w:ascii="Arial" w:hAnsi="Arial" w:cs="Arial"/>
        </w:rPr>
        <w:t xml:space="preserve"> </w:t>
      </w:r>
      <w:r w:rsidR="00A317B7" w:rsidRPr="00113364">
        <w:rPr>
          <w:rFonts w:ascii="Arial" w:hAnsi="Arial" w:cs="Arial"/>
        </w:rPr>
        <w:t xml:space="preserve">include the need to: </w:t>
      </w:r>
      <w:r w:rsidR="00475ABE" w:rsidRPr="00113364">
        <w:rPr>
          <w:rFonts w:ascii="Arial" w:hAnsi="Arial" w:cs="Arial"/>
        </w:rPr>
        <w:t>(</w:t>
      </w:r>
      <w:r w:rsidR="00A317B7" w:rsidRPr="00113364">
        <w:rPr>
          <w:rFonts w:ascii="Arial" w:hAnsi="Arial" w:cs="Arial"/>
        </w:rPr>
        <w:t xml:space="preserve">1) increase overall ELA achievement, </w:t>
      </w:r>
      <w:r w:rsidR="00475ABE" w:rsidRPr="00113364">
        <w:rPr>
          <w:rFonts w:ascii="Arial" w:hAnsi="Arial" w:cs="Arial"/>
        </w:rPr>
        <w:t>(</w:t>
      </w:r>
      <w:r w:rsidR="00A317B7" w:rsidRPr="00113364">
        <w:rPr>
          <w:rFonts w:ascii="Arial" w:hAnsi="Arial" w:cs="Arial"/>
        </w:rPr>
        <w:t xml:space="preserve">2) strengthen migratory students’ </w:t>
      </w:r>
      <w:r w:rsidR="00EC142B" w:rsidRPr="00113364">
        <w:rPr>
          <w:rFonts w:ascii="Arial" w:hAnsi="Arial" w:cs="Arial"/>
        </w:rPr>
        <w:t>reading achievement</w:t>
      </w:r>
      <w:r w:rsidR="00A317B7" w:rsidRPr="00113364">
        <w:rPr>
          <w:rFonts w:ascii="Arial" w:hAnsi="Arial" w:cs="Arial"/>
        </w:rPr>
        <w:t xml:space="preserve"> (</w:t>
      </w:r>
      <w:r w:rsidR="00617EE3" w:rsidRPr="00113364">
        <w:rPr>
          <w:rFonts w:ascii="Arial" w:hAnsi="Arial" w:cs="Arial"/>
        </w:rPr>
        <w:t>c</w:t>
      </w:r>
      <w:r w:rsidR="00A317B7" w:rsidRPr="00113364">
        <w:rPr>
          <w:rFonts w:ascii="Arial" w:hAnsi="Arial" w:cs="Arial"/>
        </w:rPr>
        <w:t xml:space="preserve">laim 1), and </w:t>
      </w:r>
      <w:r w:rsidR="00475ABE" w:rsidRPr="00113364">
        <w:rPr>
          <w:rFonts w:ascii="Arial" w:hAnsi="Arial" w:cs="Arial"/>
        </w:rPr>
        <w:t>(</w:t>
      </w:r>
      <w:r w:rsidR="00A317B7" w:rsidRPr="00113364">
        <w:rPr>
          <w:rFonts w:ascii="Arial" w:hAnsi="Arial" w:cs="Arial"/>
        </w:rPr>
        <w:t xml:space="preserve">3) </w:t>
      </w:r>
      <w:r w:rsidR="00EC142B" w:rsidRPr="00113364">
        <w:rPr>
          <w:rFonts w:ascii="Arial" w:hAnsi="Arial" w:cs="Arial"/>
        </w:rPr>
        <w:t>improve</w:t>
      </w:r>
      <w:r w:rsidR="00A317B7" w:rsidRPr="00113364">
        <w:rPr>
          <w:rFonts w:ascii="Arial" w:hAnsi="Arial" w:cs="Arial"/>
        </w:rPr>
        <w:t xml:space="preserve"> student </w:t>
      </w:r>
      <w:r w:rsidR="00EC142B" w:rsidRPr="00113364">
        <w:rPr>
          <w:rFonts w:ascii="Arial" w:hAnsi="Arial" w:cs="Arial"/>
        </w:rPr>
        <w:t>writing</w:t>
      </w:r>
      <w:r w:rsidR="00A317B7" w:rsidRPr="00113364">
        <w:rPr>
          <w:rFonts w:ascii="Arial" w:hAnsi="Arial" w:cs="Arial"/>
        </w:rPr>
        <w:t xml:space="preserve"> (</w:t>
      </w:r>
      <w:r w:rsidR="00617EE3" w:rsidRPr="00113364">
        <w:rPr>
          <w:rFonts w:ascii="Arial" w:hAnsi="Arial" w:cs="Arial"/>
        </w:rPr>
        <w:t>c</w:t>
      </w:r>
      <w:r w:rsidR="00A317B7" w:rsidRPr="00113364">
        <w:rPr>
          <w:rFonts w:ascii="Arial" w:hAnsi="Arial" w:cs="Arial"/>
        </w:rPr>
        <w:t xml:space="preserve">laim 2). </w:t>
      </w:r>
      <w:r w:rsidR="00EB08C3" w:rsidRPr="00113364">
        <w:rPr>
          <w:rFonts w:ascii="Arial" w:hAnsi="Arial" w:cs="Arial"/>
        </w:rPr>
        <w:t xml:space="preserve">When finalizing strategies to include in this report, the CDE Management and Data Team was conscious </w:t>
      </w:r>
      <w:r w:rsidR="008560F1" w:rsidRPr="00113364">
        <w:rPr>
          <w:rFonts w:ascii="Arial" w:hAnsi="Arial" w:cs="Arial"/>
        </w:rPr>
        <w:t xml:space="preserve">of not requiring excessive </w:t>
      </w:r>
      <w:r w:rsidR="00410659" w:rsidRPr="00113364">
        <w:rPr>
          <w:rFonts w:ascii="Arial" w:hAnsi="Arial" w:cs="Arial"/>
        </w:rPr>
        <w:t xml:space="preserve">reporting by </w:t>
      </w:r>
      <w:r w:rsidR="00C52B3A" w:rsidRPr="00113364">
        <w:rPr>
          <w:rFonts w:ascii="Arial" w:hAnsi="Arial" w:cs="Arial"/>
        </w:rPr>
        <w:t xml:space="preserve">the local </w:t>
      </w:r>
      <w:r w:rsidR="00D27D53" w:rsidRPr="00113364">
        <w:rPr>
          <w:rFonts w:ascii="Arial" w:hAnsi="Arial" w:cs="Arial"/>
        </w:rPr>
        <w:t>programs</w:t>
      </w:r>
      <w:r w:rsidR="00C52B3A" w:rsidRPr="00113364">
        <w:rPr>
          <w:rFonts w:ascii="Arial" w:hAnsi="Arial" w:cs="Arial"/>
        </w:rPr>
        <w:t xml:space="preserve"> </w:t>
      </w:r>
      <w:r w:rsidR="00410659" w:rsidRPr="00113364">
        <w:rPr>
          <w:rFonts w:ascii="Arial" w:hAnsi="Arial" w:cs="Arial"/>
        </w:rPr>
        <w:t xml:space="preserve">or being too prescriptive with program guidance. </w:t>
      </w:r>
      <w:r w:rsidR="00A317B7" w:rsidRPr="00113364">
        <w:rPr>
          <w:rFonts w:ascii="Arial" w:hAnsi="Arial" w:cs="Arial"/>
        </w:rPr>
        <w:t xml:space="preserve">Raising student achievement in either </w:t>
      </w:r>
      <w:r w:rsidR="00EC142B" w:rsidRPr="00113364">
        <w:rPr>
          <w:rFonts w:ascii="Arial" w:hAnsi="Arial" w:cs="Arial"/>
        </w:rPr>
        <w:t>claim</w:t>
      </w:r>
      <w:r w:rsidR="00D27D53" w:rsidRPr="00113364">
        <w:rPr>
          <w:rFonts w:ascii="Arial" w:hAnsi="Arial" w:cs="Arial"/>
        </w:rPr>
        <w:t xml:space="preserve"> (reading or writing)</w:t>
      </w:r>
      <w:r w:rsidR="00A317B7" w:rsidRPr="00113364">
        <w:rPr>
          <w:rFonts w:ascii="Arial" w:hAnsi="Arial" w:cs="Arial"/>
        </w:rPr>
        <w:t xml:space="preserve"> will increase migratory students’ overall ELA achievement. </w:t>
      </w:r>
      <w:proofErr w:type="gramStart"/>
      <w:r w:rsidR="00252C7A" w:rsidRPr="00113364">
        <w:rPr>
          <w:rFonts w:ascii="Arial" w:hAnsi="Arial" w:cs="Arial"/>
        </w:rPr>
        <w:t>Similar to</w:t>
      </w:r>
      <w:proofErr w:type="gramEnd"/>
      <w:r w:rsidR="00252C7A" w:rsidRPr="00113364">
        <w:rPr>
          <w:rFonts w:ascii="Arial" w:hAnsi="Arial" w:cs="Arial"/>
        </w:rPr>
        <w:t xml:space="preserve"> SDP (2017)</w:t>
      </w:r>
      <w:r w:rsidR="00410659" w:rsidRPr="00113364">
        <w:rPr>
          <w:rFonts w:ascii="Arial" w:hAnsi="Arial" w:cs="Arial"/>
        </w:rPr>
        <w:t xml:space="preserve">, the CDE combined strategies to address overall </w:t>
      </w:r>
      <w:r w:rsidR="00EC142B" w:rsidRPr="00113364">
        <w:rPr>
          <w:rFonts w:ascii="Arial" w:hAnsi="Arial" w:cs="Arial"/>
        </w:rPr>
        <w:t xml:space="preserve">ELA </w:t>
      </w:r>
      <w:r w:rsidR="00410659" w:rsidRPr="00113364">
        <w:rPr>
          <w:rFonts w:ascii="Arial" w:hAnsi="Arial" w:cs="Arial"/>
        </w:rPr>
        <w:t xml:space="preserve">achievement with a focus on both </w:t>
      </w:r>
      <w:r w:rsidR="00617EE3" w:rsidRPr="00113364">
        <w:rPr>
          <w:rFonts w:ascii="Arial" w:hAnsi="Arial" w:cs="Arial"/>
        </w:rPr>
        <w:t>c</w:t>
      </w:r>
      <w:r w:rsidR="00410659" w:rsidRPr="00113364">
        <w:rPr>
          <w:rFonts w:ascii="Arial" w:hAnsi="Arial" w:cs="Arial"/>
        </w:rPr>
        <w:t>laim</w:t>
      </w:r>
      <w:r w:rsidR="00EC142B" w:rsidRPr="00113364">
        <w:rPr>
          <w:rFonts w:ascii="Arial" w:hAnsi="Arial" w:cs="Arial"/>
        </w:rPr>
        <w:t>s</w:t>
      </w:r>
      <w:r w:rsidR="00410659" w:rsidRPr="00113364">
        <w:rPr>
          <w:rFonts w:ascii="Arial" w:hAnsi="Arial" w:cs="Arial"/>
        </w:rPr>
        <w:t xml:space="preserve"> 1 and 2</w:t>
      </w:r>
      <w:r w:rsidR="00C43613" w:rsidRPr="00113364">
        <w:rPr>
          <w:rFonts w:ascii="Arial" w:hAnsi="Arial" w:cs="Arial"/>
        </w:rPr>
        <w:t>.</w:t>
      </w:r>
    </w:p>
    <w:p w14:paraId="76896307" w14:textId="52A4893B" w:rsidR="0005472F" w:rsidRPr="00113364" w:rsidRDefault="0005472F" w:rsidP="00617EE3">
      <w:pPr>
        <w:spacing w:after="240"/>
        <w:rPr>
          <w:rFonts w:ascii="Arial" w:hAnsi="Arial" w:cs="Arial"/>
        </w:rPr>
      </w:pPr>
      <w:r w:rsidRPr="00113364">
        <w:rPr>
          <w:rFonts w:ascii="Arial" w:hAnsi="Arial" w:cs="Arial"/>
        </w:rPr>
        <w:t>As noted in Section II, the following key data points from the 20</w:t>
      </w:r>
      <w:r w:rsidR="00252C7A" w:rsidRPr="00113364">
        <w:rPr>
          <w:rFonts w:ascii="Arial" w:hAnsi="Arial" w:cs="Arial"/>
        </w:rPr>
        <w:t>22</w:t>
      </w:r>
      <w:r w:rsidRPr="00113364">
        <w:rPr>
          <w:rFonts w:ascii="Arial" w:hAnsi="Arial" w:cs="Arial"/>
        </w:rPr>
        <w:t>–</w:t>
      </w:r>
      <w:r w:rsidR="00252C7A" w:rsidRPr="00113364">
        <w:rPr>
          <w:rFonts w:ascii="Arial" w:hAnsi="Arial" w:cs="Arial"/>
        </w:rPr>
        <w:t>23</w:t>
      </w:r>
      <w:r w:rsidRPr="00113364">
        <w:rPr>
          <w:rFonts w:ascii="Arial" w:hAnsi="Arial" w:cs="Arial"/>
        </w:rPr>
        <w:t xml:space="preserve"> Smarter Balanced </w:t>
      </w:r>
      <w:r w:rsidR="00252C7A" w:rsidRPr="00113364">
        <w:rPr>
          <w:rFonts w:ascii="Arial" w:hAnsi="Arial" w:cs="Arial"/>
        </w:rPr>
        <w:t xml:space="preserve">Summative </w:t>
      </w:r>
      <w:r w:rsidRPr="00113364">
        <w:rPr>
          <w:rFonts w:ascii="Arial" w:hAnsi="Arial" w:cs="Arial"/>
        </w:rPr>
        <w:t>Assessment led to the committee prioritizing the need to increase overall ELA achievement by focusing on</w:t>
      </w:r>
      <w:r w:rsidR="00617EE3" w:rsidRPr="00113364">
        <w:rPr>
          <w:rFonts w:ascii="Arial" w:hAnsi="Arial" w:cs="Arial"/>
        </w:rPr>
        <w:t xml:space="preserve"> the two other priority needs in ELA:</w:t>
      </w:r>
      <w:r w:rsidRPr="00113364">
        <w:rPr>
          <w:rFonts w:ascii="Arial" w:hAnsi="Arial" w:cs="Arial"/>
        </w:rPr>
        <w:t xml:space="preserve"> reading and writing:</w:t>
      </w:r>
    </w:p>
    <w:p w14:paraId="4BE99C49" w14:textId="2AC7F7E9" w:rsidR="002412E5" w:rsidRPr="00113364" w:rsidRDefault="002412E5">
      <w:pPr>
        <w:pStyle w:val="ListParagraph"/>
        <w:numPr>
          <w:ilvl w:val="0"/>
          <w:numId w:val="59"/>
        </w:numPr>
        <w:spacing w:after="240"/>
        <w:contextualSpacing w:val="0"/>
        <w:rPr>
          <w:rFonts w:ascii="Arial" w:hAnsi="Arial" w:cs="Arial"/>
        </w:rPr>
      </w:pPr>
      <w:r w:rsidRPr="00113364">
        <w:rPr>
          <w:rFonts w:ascii="Arial" w:hAnsi="Arial" w:cs="Arial"/>
        </w:rPr>
        <w:t>In 2022–23, 23.4 percent of migratory students and 15.4</w:t>
      </w:r>
      <w:r w:rsidR="00AF666E" w:rsidRPr="00113364">
        <w:rPr>
          <w:rFonts w:ascii="Arial" w:hAnsi="Arial" w:cs="Arial"/>
        </w:rPr>
        <w:t> </w:t>
      </w:r>
      <w:r w:rsidRPr="00113364">
        <w:rPr>
          <w:rFonts w:ascii="Arial" w:hAnsi="Arial" w:cs="Arial"/>
        </w:rPr>
        <w:t xml:space="preserve">percent of migratory PFS students were proficient on the CAASPP Smarter Balanced </w:t>
      </w:r>
      <w:r w:rsidR="00D85085" w:rsidRPr="00113364">
        <w:rPr>
          <w:rFonts w:ascii="Arial" w:hAnsi="Arial" w:cs="Arial"/>
        </w:rPr>
        <w:t>o</w:t>
      </w:r>
      <w:r w:rsidRPr="00113364">
        <w:rPr>
          <w:rFonts w:ascii="Arial" w:hAnsi="Arial" w:cs="Arial"/>
        </w:rPr>
        <w:t xml:space="preserve">verall ELA </w:t>
      </w:r>
      <w:r w:rsidR="00D85085" w:rsidRPr="00113364">
        <w:rPr>
          <w:rFonts w:ascii="Arial" w:hAnsi="Arial" w:cs="Arial"/>
        </w:rPr>
        <w:t>achievement</w:t>
      </w:r>
      <w:r w:rsidRPr="00113364">
        <w:rPr>
          <w:rFonts w:ascii="Arial" w:hAnsi="Arial" w:cs="Arial"/>
        </w:rPr>
        <w:t>.</w:t>
      </w:r>
    </w:p>
    <w:p w14:paraId="6FBD2B53" w14:textId="4116454F" w:rsidR="002412E5" w:rsidRPr="00113364" w:rsidRDefault="002412E5">
      <w:pPr>
        <w:pStyle w:val="ListParagraph"/>
        <w:numPr>
          <w:ilvl w:val="1"/>
          <w:numId w:val="59"/>
        </w:numPr>
        <w:spacing w:after="240"/>
        <w:contextualSpacing w:val="0"/>
        <w:rPr>
          <w:rFonts w:ascii="Arial" w:hAnsi="Arial" w:cs="Arial"/>
        </w:rPr>
      </w:pPr>
      <w:r w:rsidRPr="00113364">
        <w:rPr>
          <w:rFonts w:ascii="Arial" w:hAnsi="Arial" w:cs="Arial"/>
        </w:rPr>
        <w:t xml:space="preserve">Demonstrating a 23.2 percent gap with migratory students’ proficiency level, 46.6 percent of all students were proficient on the CAASPP Smarter Balanced </w:t>
      </w:r>
      <w:r w:rsidR="00D85085" w:rsidRPr="00113364">
        <w:rPr>
          <w:rFonts w:ascii="Arial" w:hAnsi="Arial" w:cs="Arial"/>
        </w:rPr>
        <w:t>o</w:t>
      </w:r>
      <w:r w:rsidRPr="00113364">
        <w:rPr>
          <w:rFonts w:ascii="Arial" w:hAnsi="Arial" w:cs="Arial"/>
        </w:rPr>
        <w:t xml:space="preserve">verall ELA </w:t>
      </w:r>
      <w:r w:rsidR="00D85085" w:rsidRPr="00113364">
        <w:rPr>
          <w:rFonts w:ascii="Arial" w:hAnsi="Arial" w:cs="Arial"/>
        </w:rPr>
        <w:t>achievement</w:t>
      </w:r>
      <w:r w:rsidRPr="00113364">
        <w:rPr>
          <w:rFonts w:ascii="Arial" w:hAnsi="Arial" w:cs="Arial"/>
        </w:rPr>
        <w:t xml:space="preserve"> in 2022–23. </w:t>
      </w:r>
    </w:p>
    <w:p w14:paraId="080D7274" w14:textId="7E6BA94B" w:rsidR="00AF666E" w:rsidRPr="00113364" w:rsidRDefault="00AF666E">
      <w:pPr>
        <w:pStyle w:val="ListParagraph"/>
        <w:numPr>
          <w:ilvl w:val="0"/>
          <w:numId w:val="59"/>
        </w:numPr>
        <w:spacing w:after="240"/>
        <w:contextualSpacing w:val="0"/>
        <w:rPr>
          <w:rFonts w:ascii="Arial" w:hAnsi="Arial" w:cs="Arial"/>
        </w:rPr>
      </w:pPr>
      <w:r w:rsidRPr="00113364">
        <w:rPr>
          <w:rFonts w:ascii="Arial" w:hAnsi="Arial" w:cs="Arial"/>
        </w:rPr>
        <w:lastRenderedPageBreak/>
        <w:t>In 2022–23, 6.8 percent of migratory and approximately 19 percent of all students scored above standard on the reading claim.</w:t>
      </w:r>
    </w:p>
    <w:p w14:paraId="2457F846" w14:textId="1D2D0404" w:rsidR="00AF666E" w:rsidRPr="00113364" w:rsidRDefault="00AF666E">
      <w:pPr>
        <w:pStyle w:val="ListParagraph"/>
        <w:numPr>
          <w:ilvl w:val="1"/>
          <w:numId w:val="59"/>
        </w:numPr>
        <w:spacing w:after="240"/>
        <w:contextualSpacing w:val="0"/>
        <w:rPr>
          <w:rFonts w:ascii="Arial" w:hAnsi="Arial" w:cs="Arial"/>
        </w:rPr>
      </w:pPr>
      <w:r w:rsidRPr="00113364">
        <w:rPr>
          <w:rFonts w:ascii="Arial" w:hAnsi="Arial" w:cs="Arial"/>
        </w:rPr>
        <w:t>Only 3.3 percent of migratory PFS students scored above standard on the reading claim.</w:t>
      </w:r>
    </w:p>
    <w:p w14:paraId="7D7964F4" w14:textId="5FF9FB55" w:rsidR="00AF666E" w:rsidRPr="00113364" w:rsidRDefault="00AF666E">
      <w:pPr>
        <w:pStyle w:val="ListParagraph"/>
        <w:numPr>
          <w:ilvl w:val="0"/>
          <w:numId w:val="59"/>
        </w:numPr>
        <w:spacing w:after="240"/>
        <w:contextualSpacing w:val="0"/>
        <w:rPr>
          <w:rFonts w:ascii="Arial" w:hAnsi="Arial" w:cs="Arial"/>
        </w:rPr>
      </w:pPr>
      <w:proofErr w:type="gramStart"/>
      <w:r w:rsidRPr="00113364">
        <w:rPr>
          <w:rFonts w:ascii="Arial" w:hAnsi="Arial" w:cs="Arial"/>
        </w:rPr>
        <w:t>Similar to</w:t>
      </w:r>
      <w:proofErr w:type="gramEnd"/>
      <w:r w:rsidRPr="00113364">
        <w:rPr>
          <w:rFonts w:ascii="Arial" w:hAnsi="Arial" w:cs="Arial"/>
        </w:rPr>
        <w:t xml:space="preserve"> the reading claim, only 6.8 percent of migratory and 19.2 percent of all students scored above standard on the 2022–23 CAASPP ELA writing claim.</w:t>
      </w:r>
    </w:p>
    <w:p w14:paraId="16C55514" w14:textId="74F69698" w:rsidR="00AF666E" w:rsidRPr="00113364" w:rsidRDefault="00AF666E">
      <w:pPr>
        <w:pStyle w:val="List-Level1"/>
        <w:numPr>
          <w:ilvl w:val="0"/>
          <w:numId w:val="59"/>
        </w:numPr>
        <w:spacing w:after="240" w:line="240" w:lineRule="auto"/>
        <w:rPr>
          <w:rFonts w:cs="Arial"/>
        </w:rPr>
      </w:pPr>
      <w:r w:rsidRPr="00113364">
        <w:rPr>
          <w:rFonts w:cs="Arial"/>
          <w:color w:val="auto"/>
        </w:rPr>
        <w:t>Of the four claims, migratory PFS students had the second to lowest proficiency (3.6 percent) rate in writing after the reading claim (3.3</w:t>
      </w:r>
      <w:r w:rsidRPr="00113364">
        <w:rPr>
          <w:rFonts w:cs="Arial"/>
        </w:rPr>
        <w:t> </w:t>
      </w:r>
      <w:r w:rsidRPr="00113364">
        <w:rPr>
          <w:rFonts w:cs="Arial"/>
          <w:color w:val="auto"/>
        </w:rPr>
        <w:t>percent).</w:t>
      </w:r>
    </w:p>
    <w:p w14:paraId="1367F96E" w14:textId="1B04D74D" w:rsidR="00C43613" w:rsidRPr="00113364" w:rsidRDefault="003F318B" w:rsidP="00B575DD">
      <w:pPr>
        <w:spacing w:after="240"/>
        <w:rPr>
          <w:rFonts w:ascii="Arial" w:hAnsi="Arial" w:cs="Arial"/>
        </w:rPr>
      </w:pPr>
      <w:r w:rsidRPr="00113364">
        <w:rPr>
          <w:rFonts w:ascii="Arial" w:hAnsi="Arial" w:cs="Arial"/>
        </w:rPr>
        <w:t xml:space="preserve">MEP subgrantees will implement the following strategies to support increasing migratory students’ ELA proficiency. Each strategy includes a corresponding MPO which measures annual strategy implementation. The aligning MPO represents the annual goal California seeks to obtain in addressing the specific need identified in the MPO (e.g., increase students’ knowledge </w:t>
      </w:r>
      <w:r w:rsidR="00A3276A" w:rsidRPr="00113364">
        <w:rPr>
          <w:rFonts w:ascii="Arial" w:hAnsi="Arial" w:cs="Arial"/>
        </w:rPr>
        <w:t>of and skillset for genre writing)</w:t>
      </w:r>
      <w:r w:rsidRPr="00113364">
        <w:rPr>
          <w:rFonts w:ascii="Arial" w:hAnsi="Arial" w:cs="Arial"/>
        </w:rPr>
        <w:t>.</w:t>
      </w:r>
      <w:r w:rsidR="00226EDD" w:rsidRPr="00113364">
        <w:rPr>
          <w:rFonts w:ascii="Arial" w:hAnsi="Arial" w:cs="Arial"/>
        </w:rPr>
        <w:t xml:space="preserve"> Table 2</w:t>
      </w:r>
      <w:r w:rsidR="00617EE3" w:rsidRPr="00113364">
        <w:rPr>
          <w:rFonts w:ascii="Arial" w:hAnsi="Arial" w:cs="Arial"/>
        </w:rPr>
        <w:t>8</w:t>
      </w:r>
      <w:r w:rsidR="00226EDD" w:rsidRPr="00113364">
        <w:rPr>
          <w:rFonts w:ascii="Arial" w:hAnsi="Arial" w:cs="Arial"/>
        </w:rPr>
        <w:t xml:space="preserve"> describes the strategies and MPOs for the ELA focus area</w:t>
      </w:r>
      <w:r w:rsidR="00B575DD" w:rsidRPr="00113364">
        <w:rPr>
          <w:rFonts w:ascii="Arial" w:hAnsi="Arial" w:cs="Arial"/>
        </w:rPr>
        <w:t xml:space="preserve"> for </w:t>
      </w:r>
      <w:r w:rsidR="00D85085" w:rsidRPr="00113364">
        <w:rPr>
          <w:rFonts w:ascii="Arial" w:hAnsi="Arial" w:cs="Arial"/>
        </w:rPr>
        <w:t>o</w:t>
      </w:r>
      <w:r w:rsidR="00B575DD" w:rsidRPr="00113364">
        <w:rPr>
          <w:rFonts w:ascii="Arial" w:hAnsi="Arial" w:cs="Arial"/>
        </w:rPr>
        <w:t xml:space="preserve">verall ELA </w:t>
      </w:r>
      <w:r w:rsidR="00D85085" w:rsidRPr="00113364">
        <w:rPr>
          <w:rFonts w:ascii="Arial" w:hAnsi="Arial" w:cs="Arial"/>
        </w:rPr>
        <w:t>a</w:t>
      </w:r>
      <w:r w:rsidR="00B575DD" w:rsidRPr="00113364">
        <w:rPr>
          <w:rFonts w:ascii="Arial" w:hAnsi="Arial" w:cs="Arial"/>
        </w:rPr>
        <w:t>chievement</w:t>
      </w:r>
      <w:r w:rsidR="00226EDD" w:rsidRPr="00113364">
        <w:rPr>
          <w:rFonts w:ascii="Arial" w:hAnsi="Arial" w:cs="Arial"/>
        </w:rPr>
        <w:t>.</w:t>
      </w:r>
      <w:r w:rsidR="00C43613" w:rsidRPr="00113364">
        <w:rPr>
          <w:rFonts w:ascii="Arial" w:hAnsi="Arial" w:cs="Arial"/>
        </w:rPr>
        <w:t xml:space="preserve"> The MEP-specific performance target follows table 2</w:t>
      </w:r>
      <w:r w:rsidR="00617EE3" w:rsidRPr="00113364">
        <w:rPr>
          <w:rFonts w:ascii="Arial" w:hAnsi="Arial" w:cs="Arial"/>
        </w:rPr>
        <w:t>8</w:t>
      </w:r>
      <w:r w:rsidR="00C43613" w:rsidRPr="00113364">
        <w:rPr>
          <w:rFonts w:ascii="Arial" w:hAnsi="Arial" w:cs="Arial"/>
        </w:rPr>
        <w:t>.</w:t>
      </w:r>
    </w:p>
    <w:p w14:paraId="1820A8A4" w14:textId="2AD560AE" w:rsidR="0079618A" w:rsidRPr="00113364" w:rsidRDefault="0054625A" w:rsidP="00330CD6">
      <w:pPr>
        <w:pStyle w:val="Heading4"/>
        <w:spacing w:after="0"/>
        <w:rPr>
          <w:sz w:val="24"/>
        </w:rPr>
      </w:pPr>
      <w:bookmarkStart w:id="65" w:name="_Toc204755364"/>
      <w:r w:rsidRPr="00113364">
        <w:rPr>
          <w:sz w:val="24"/>
        </w:rPr>
        <w:t xml:space="preserve">Table </w:t>
      </w:r>
      <w:r w:rsidR="00610248" w:rsidRPr="00113364">
        <w:rPr>
          <w:sz w:val="24"/>
        </w:rPr>
        <w:fldChar w:fldCharType="begin"/>
      </w:r>
      <w:r w:rsidR="00610248" w:rsidRPr="00113364">
        <w:rPr>
          <w:sz w:val="24"/>
        </w:rPr>
        <w:instrText xml:space="preserve"> SEQ Table \* ARABIC </w:instrText>
      </w:r>
      <w:r w:rsidR="00610248" w:rsidRPr="00113364">
        <w:rPr>
          <w:sz w:val="24"/>
        </w:rPr>
        <w:fldChar w:fldCharType="separate"/>
      </w:r>
      <w:r w:rsidR="001362A0">
        <w:rPr>
          <w:noProof/>
          <w:sz w:val="24"/>
        </w:rPr>
        <w:t>28</w:t>
      </w:r>
      <w:r w:rsidR="00610248" w:rsidRPr="00113364">
        <w:rPr>
          <w:noProof/>
          <w:sz w:val="24"/>
        </w:rPr>
        <w:fldChar w:fldCharType="end"/>
      </w:r>
      <w:r w:rsidR="00514084" w:rsidRPr="00113364">
        <w:rPr>
          <w:sz w:val="24"/>
        </w:rPr>
        <w:t xml:space="preserve">. Strategies and </w:t>
      </w:r>
      <w:r w:rsidR="0011033B" w:rsidRPr="00113364">
        <w:rPr>
          <w:sz w:val="24"/>
        </w:rPr>
        <w:t>Measurable Program Objectives</w:t>
      </w:r>
      <w:r w:rsidRPr="00113364">
        <w:rPr>
          <w:sz w:val="24"/>
        </w:rPr>
        <w:t xml:space="preserve"> Increasing Overall E</w:t>
      </w:r>
      <w:r w:rsidR="002F6438">
        <w:rPr>
          <w:sz w:val="24"/>
        </w:rPr>
        <w:t xml:space="preserve">nglish </w:t>
      </w:r>
      <w:r w:rsidRPr="00113364">
        <w:rPr>
          <w:sz w:val="24"/>
        </w:rPr>
        <w:t>L</w:t>
      </w:r>
      <w:r w:rsidR="002F6438">
        <w:rPr>
          <w:sz w:val="24"/>
        </w:rPr>
        <w:t xml:space="preserve">anguage </w:t>
      </w:r>
      <w:r w:rsidRPr="00113364">
        <w:rPr>
          <w:sz w:val="24"/>
        </w:rPr>
        <w:t>A</w:t>
      </w:r>
      <w:r w:rsidR="002F6438">
        <w:rPr>
          <w:sz w:val="24"/>
        </w:rPr>
        <w:t>rts</w:t>
      </w:r>
      <w:r w:rsidRPr="00113364">
        <w:rPr>
          <w:sz w:val="24"/>
        </w:rPr>
        <w:t xml:space="preserve"> Achievement</w:t>
      </w:r>
      <w:bookmarkEnd w:id="65"/>
    </w:p>
    <w:tbl>
      <w:tblPr>
        <w:tblStyle w:val="GridTable4-Accent1"/>
        <w:tblW w:w="0" w:type="auto"/>
        <w:tblLook w:val="0420" w:firstRow="1" w:lastRow="0" w:firstColumn="0" w:lastColumn="0" w:noHBand="0" w:noVBand="1"/>
        <w:tblDescription w:val="Strategies and Measurable Program Objectives Increasing Overall ELA Achievement"/>
      </w:tblPr>
      <w:tblGrid>
        <w:gridCol w:w="5215"/>
        <w:gridCol w:w="4050"/>
      </w:tblGrid>
      <w:tr w:rsidR="0005472F" w:rsidRPr="00113364" w14:paraId="2035D579" w14:textId="77777777" w:rsidTr="006603FA">
        <w:trPr>
          <w:cnfStyle w:val="100000000000" w:firstRow="1" w:lastRow="0" w:firstColumn="0" w:lastColumn="0" w:oddVBand="0" w:evenVBand="0" w:oddHBand="0" w:evenHBand="0" w:firstRowFirstColumn="0" w:firstRowLastColumn="0" w:lastRowFirstColumn="0" w:lastRowLastColumn="0"/>
          <w:cantSplit/>
          <w:trHeight w:val="251"/>
          <w:tblHeader/>
        </w:trPr>
        <w:tc>
          <w:tcPr>
            <w:tcW w:w="5215" w:type="dxa"/>
            <w:tcBorders>
              <w:right w:val="single" w:sz="4" w:space="0" w:color="4472C4"/>
            </w:tcBorders>
            <w:shd w:val="clear" w:color="auto" w:fill="1F3864" w:themeFill="accent5" w:themeFillShade="80"/>
            <w:vAlign w:val="center"/>
          </w:tcPr>
          <w:p w14:paraId="37F247C9" w14:textId="77777777" w:rsidR="0005472F" w:rsidRPr="00113364" w:rsidRDefault="0005472F" w:rsidP="00E53F38">
            <w:pPr>
              <w:spacing w:after="120"/>
              <w:ind w:left="-23"/>
              <w:rPr>
                <w:rFonts w:ascii="Arial" w:hAnsi="Arial" w:cs="Arial"/>
                <w:b w:val="0"/>
                <w:color w:val="FFFFFF"/>
              </w:rPr>
            </w:pPr>
            <w:r w:rsidRPr="00113364">
              <w:rPr>
                <w:rFonts w:ascii="Arial" w:hAnsi="Arial" w:cs="Arial"/>
                <w:color w:val="FFFFFF"/>
              </w:rPr>
              <w:t>Strateg</w:t>
            </w:r>
            <w:r w:rsidR="00021FEA" w:rsidRPr="00113364">
              <w:rPr>
                <w:rFonts w:ascii="Arial" w:hAnsi="Arial" w:cs="Arial"/>
                <w:color w:val="FFFFFF"/>
              </w:rPr>
              <w:t>ies</w:t>
            </w:r>
          </w:p>
        </w:tc>
        <w:tc>
          <w:tcPr>
            <w:tcW w:w="4050" w:type="dxa"/>
            <w:tcBorders>
              <w:left w:val="single" w:sz="4" w:space="0" w:color="4472C4"/>
            </w:tcBorders>
            <w:shd w:val="clear" w:color="auto" w:fill="1F3864" w:themeFill="accent5" w:themeFillShade="80"/>
            <w:vAlign w:val="center"/>
          </w:tcPr>
          <w:p w14:paraId="64B8CA4D" w14:textId="77777777" w:rsidR="0005472F" w:rsidRPr="00113364" w:rsidRDefault="0005472F" w:rsidP="00E53F38">
            <w:pPr>
              <w:spacing w:after="120"/>
              <w:ind w:left="-23"/>
              <w:rPr>
                <w:rFonts w:ascii="Arial" w:hAnsi="Arial" w:cs="Arial"/>
                <w:b w:val="0"/>
                <w:color w:val="FFFFFF"/>
              </w:rPr>
            </w:pPr>
            <w:r w:rsidRPr="00113364">
              <w:rPr>
                <w:rFonts w:ascii="Arial" w:hAnsi="Arial" w:cs="Arial"/>
                <w:color w:val="FFFFFF"/>
              </w:rPr>
              <w:t>Measurable Program Objective</w:t>
            </w:r>
            <w:r w:rsidR="00021FEA" w:rsidRPr="00113364">
              <w:rPr>
                <w:rFonts w:ascii="Arial" w:hAnsi="Arial" w:cs="Arial"/>
                <w:color w:val="FFFFFF"/>
              </w:rPr>
              <w:t>s</w:t>
            </w:r>
          </w:p>
        </w:tc>
      </w:tr>
      <w:tr w:rsidR="008B53C6" w:rsidRPr="00113364" w14:paraId="7582130A" w14:textId="77777777" w:rsidTr="006603FA">
        <w:trPr>
          <w:cnfStyle w:val="000000100000" w:firstRow="0" w:lastRow="0" w:firstColumn="0" w:lastColumn="0" w:oddVBand="0" w:evenVBand="0" w:oddHBand="1" w:evenHBand="0" w:firstRowFirstColumn="0" w:firstRowLastColumn="0" w:lastRowFirstColumn="0" w:lastRowLastColumn="0"/>
          <w:cantSplit/>
          <w:trHeight w:val="679"/>
        </w:trPr>
        <w:tc>
          <w:tcPr>
            <w:tcW w:w="5215" w:type="dxa"/>
          </w:tcPr>
          <w:p w14:paraId="4C4B5334" w14:textId="551CAB41" w:rsidR="008B53C6" w:rsidRPr="00113364" w:rsidRDefault="008B53C6" w:rsidP="008B53C6">
            <w:pPr>
              <w:spacing w:after="120"/>
              <w:ind w:left="-23"/>
              <w:rPr>
                <w:rFonts w:ascii="Arial" w:hAnsi="Arial" w:cs="Arial"/>
              </w:rPr>
            </w:pPr>
            <w:bookmarkStart w:id="66" w:name="_Hlk209515714"/>
            <w:r w:rsidRPr="00113364">
              <w:rPr>
                <w:rFonts w:ascii="Arial" w:hAnsi="Arial" w:cs="Arial"/>
                <w:b/>
              </w:rPr>
              <w:t>Strategy 1.0</w:t>
            </w:r>
            <w:r w:rsidRPr="00113364">
              <w:rPr>
                <w:rFonts w:ascii="Arial" w:hAnsi="Arial" w:cs="Arial"/>
              </w:rPr>
              <w:t>: Each year the MEP will offer ELA services that focus on foundational literacy skills (e.g., phonological awareness, phonics, concepts of print, language comprehension, reading fluency, and writing).</w:t>
            </w:r>
            <w:bookmarkEnd w:id="66"/>
            <w:r w:rsidR="00281F22">
              <w:rPr>
                <w:rStyle w:val="FootnoteReference"/>
                <w:rFonts w:ascii="Arial" w:hAnsi="Arial" w:cs="Arial"/>
              </w:rPr>
              <w:footnoteReference w:id="18"/>
            </w:r>
          </w:p>
        </w:tc>
        <w:tc>
          <w:tcPr>
            <w:tcW w:w="4050" w:type="dxa"/>
          </w:tcPr>
          <w:p w14:paraId="00C3E057" w14:textId="6203AB46" w:rsidR="008B53C6" w:rsidRPr="00113364" w:rsidRDefault="008B53C6" w:rsidP="008B53C6">
            <w:pPr>
              <w:spacing w:after="120"/>
              <w:rPr>
                <w:rFonts w:ascii="Arial" w:hAnsi="Arial" w:cs="Arial"/>
              </w:rPr>
            </w:pPr>
            <w:bookmarkStart w:id="67" w:name="_Hlk209515735"/>
            <w:r w:rsidRPr="00113364">
              <w:rPr>
                <w:rFonts w:ascii="Arial" w:hAnsi="Arial" w:cs="Arial"/>
                <w:b/>
              </w:rPr>
              <w:t>Measurable Program Objective 1.0</w:t>
            </w:r>
            <w:r w:rsidRPr="00113364">
              <w:rPr>
                <w:rFonts w:ascii="Arial" w:hAnsi="Arial" w:cs="Arial"/>
              </w:rPr>
              <w:t>: With baseline data collected in grant year 2026–27, the MEP will increase the percentage of K–12 students who are below proficiency that participate in an ELA service by three percent annually.</w:t>
            </w:r>
            <w:bookmarkEnd w:id="67"/>
          </w:p>
        </w:tc>
      </w:tr>
      <w:tr w:rsidR="008B53C6" w:rsidRPr="00113364" w14:paraId="0487E5ED" w14:textId="77777777" w:rsidTr="006603FA">
        <w:trPr>
          <w:cantSplit/>
          <w:trHeight w:val="1556"/>
        </w:trPr>
        <w:tc>
          <w:tcPr>
            <w:tcW w:w="5215" w:type="dxa"/>
          </w:tcPr>
          <w:p w14:paraId="29EA3557" w14:textId="204DE00E" w:rsidR="00D75F36" w:rsidRPr="00113364" w:rsidRDefault="008B53C6" w:rsidP="006603FA">
            <w:pPr>
              <w:spacing w:after="240"/>
              <w:rPr>
                <w:rFonts w:ascii="Arial" w:hAnsi="Arial" w:cs="Arial"/>
              </w:rPr>
            </w:pPr>
            <w:bookmarkStart w:id="68" w:name="_Hlk209515765"/>
            <w:r w:rsidRPr="00113364">
              <w:rPr>
                <w:rFonts w:ascii="Arial" w:hAnsi="Arial" w:cs="Arial"/>
                <w:b/>
              </w:rPr>
              <w:lastRenderedPageBreak/>
              <w:t>Strategy 1.1</w:t>
            </w:r>
            <w:r w:rsidRPr="00113364">
              <w:rPr>
                <w:rFonts w:ascii="Arial" w:hAnsi="Arial" w:cs="Arial"/>
              </w:rPr>
              <w:t xml:space="preserve">: Every year, during reading instruction, teach the purpose, structure, and typical language of at least one </w:t>
            </w:r>
            <w:r w:rsidR="004C29A8" w:rsidRPr="00113364">
              <w:rPr>
                <w:rFonts w:ascii="Arial" w:hAnsi="Arial" w:cs="Arial"/>
              </w:rPr>
              <w:t xml:space="preserve">subgenre </w:t>
            </w:r>
            <w:r w:rsidRPr="00113364">
              <w:rPr>
                <w:rFonts w:ascii="Arial" w:hAnsi="Arial" w:cs="Arial"/>
              </w:rPr>
              <w:t>of th</w:t>
            </w:r>
            <w:r w:rsidR="004C29A8" w:rsidRPr="00113364">
              <w:rPr>
                <w:rFonts w:ascii="Arial" w:hAnsi="Arial" w:cs="Arial"/>
              </w:rPr>
              <w:t>e informational</w:t>
            </w:r>
            <w:r w:rsidRPr="00113364">
              <w:rPr>
                <w:rFonts w:ascii="Arial" w:hAnsi="Arial" w:cs="Arial"/>
              </w:rPr>
              <w:t xml:space="preserve"> genre</w:t>
            </w:r>
            <w:r w:rsidR="004C29A8" w:rsidRPr="00113364">
              <w:rPr>
                <w:rFonts w:ascii="Arial" w:hAnsi="Arial" w:cs="Arial"/>
              </w:rPr>
              <w:t>. U</w:t>
            </w:r>
            <w:r w:rsidRPr="00113364">
              <w:rPr>
                <w:rFonts w:ascii="Arial" w:hAnsi="Arial" w:cs="Arial"/>
              </w:rPr>
              <w:t>se model texts of the genre when teaching reading. This same text should also be used as a model text for the writing strategy.</w:t>
            </w:r>
          </w:p>
          <w:p w14:paraId="190D21AD" w14:textId="41CE89AD" w:rsidR="00D75F36" w:rsidRPr="00113364" w:rsidRDefault="00D75F36">
            <w:pPr>
              <w:pStyle w:val="ListParagraph"/>
              <w:numPr>
                <w:ilvl w:val="2"/>
                <w:numId w:val="58"/>
              </w:numPr>
              <w:ind w:left="690"/>
              <w:contextualSpacing w:val="0"/>
              <w:rPr>
                <w:rFonts w:ascii="Arial" w:hAnsi="Arial" w:cs="Arial"/>
              </w:rPr>
            </w:pPr>
            <w:r w:rsidRPr="00113364">
              <w:rPr>
                <w:rFonts w:ascii="Arial" w:hAnsi="Arial" w:cs="Arial"/>
              </w:rPr>
              <w:t>Informational (</w:t>
            </w:r>
            <w:r w:rsidR="002F6438">
              <w:rPr>
                <w:rFonts w:ascii="Arial" w:hAnsi="Arial" w:cs="Arial"/>
              </w:rPr>
              <w:t>k</w:t>
            </w:r>
            <w:r w:rsidRPr="00113364">
              <w:rPr>
                <w:rFonts w:ascii="Arial" w:hAnsi="Arial" w:cs="Arial"/>
              </w:rPr>
              <w:t xml:space="preserve">indergarten through fifth grade) </w:t>
            </w:r>
          </w:p>
          <w:p w14:paraId="27D19FDF" w14:textId="77777777" w:rsidR="00D75F36" w:rsidRPr="00113364" w:rsidRDefault="00D75F36">
            <w:pPr>
              <w:pStyle w:val="ListParagraph"/>
              <w:numPr>
                <w:ilvl w:val="3"/>
                <w:numId w:val="58"/>
              </w:numPr>
              <w:spacing w:after="240"/>
              <w:ind w:left="1050"/>
              <w:contextualSpacing w:val="0"/>
              <w:rPr>
                <w:rFonts w:ascii="Arial" w:hAnsi="Arial" w:cs="Arial"/>
              </w:rPr>
            </w:pPr>
            <w:r w:rsidRPr="00113364">
              <w:rPr>
                <w:rFonts w:ascii="Arial" w:hAnsi="Arial" w:cs="Arial"/>
              </w:rPr>
              <w:t>Literary Nonfiction (e.g., biographies and autobiographies; books about history, social studies, science and the arts; technical texts, including directions, forms, and information displayed in graphs, charts, or maps; and digital sources on a range of topics).</w:t>
            </w:r>
          </w:p>
          <w:p w14:paraId="2FEF066E" w14:textId="77777777" w:rsidR="00D75F36" w:rsidRPr="00113364" w:rsidRDefault="00D75F36">
            <w:pPr>
              <w:pStyle w:val="ListParagraph"/>
              <w:numPr>
                <w:ilvl w:val="2"/>
                <w:numId w:val="58"/>
              </w:numPr>
              <w:ind w:left="690"/>
              <w:contextualSpacing w:val="0"/>
              <w:rPr>
                <w:rFonts w:ascii="Arial" w:hAnsi="Arial" w:cs="Arial"/>
              </w:rPr>
            </w:pPr>
            <w:r w:rsidRPr="00113364">
              <w:rPr>
                <w:rFonts w:ascii="Arial" w:hAnsi="Arial" w:cs="Arial"/>
              </w:rPr>
              <w:t xml:space="preserve">Informational (sixth through twelfth grade) </w:t>
            </w:r>
          </w:p>
          <w:p w14:paraId="1A2151A2" w14:textId="56091544" w:rsidR="00D75F36" w:rsidRPr="00113364" w:rsidRDefault="00D75F36">
            <w:pPr>
              <w:pStyle w:val="ListParagraph"/>
              <w:numPr>
                <w:ilvl w:val="2"/>
                <w:numId w:val="58"/>
              </w:numPr>
              <w:spacing w:after="160"/>
              <w:ind w:left="1050"/>
              <w:contextualSpacing w:val="0"/>
              <w:rPr>
                <w:rFonts w:ascii="Arial" w:hAnsi="Arial" w:cs="Arial"/>
              </w:rPr>
            </w:pPr>
            <w:r w:rsidRPr="00113364">
              <w:rPr>
                <w:rFonts w:ascii="Arial" w:hAnsi="Arial" w:cs="Arial"/>
              </w:rPr>
              <w:t>Literary Nonfiction (e.g., expository, argument, and functional text in the form of personal essays, speeches, opinion pieces, essays about art or literature, biographies, memoirs, journalism, historical, scientific, technical or economic accounts).</w:t>
            </w:r>
          </w:p>
        </w:tc>
        <w:tc>
          <w:tcPr>
            <w:tcW w:w="4050" w:type="dxa"/>
          </w:tcPr>
          <w:p w14:paraId="0B45818E" w14:textId="705F2330" w:rsidR="008B53C6" w:rsidRPr="00113364" w:rsidRDefault="008B53C6" w:rsidP="008B53C6">
            <w:pPr>
              <w:spacing w:after="120"/>
              <w:rPr>
                <w:rFonts w:ascii="Arial" w:hAnsi="Arial" w:cs="Arial"/>
              </w:rPr>
            </w:pPr>
            <w:bookmarkStart w:id="69" w:name="_Hlk209515801"/>
            <w:r w:rsidRPr="00113364">
              <w:rPr>
                <w:rFonts w:ascii="Arial" w:hAnsi="Arial" w:cs="Arial"/>
                <w:b/>
              </w:rPr>
              <w:t>Measurable Program Objective 1.1</w:t>
            </w:r>
            <w:r w:rsidRPr="00113364">
              <w:rPr>
                <w:rFonts w:ascii="Arial" w:hAnsi="Arial" w:cs="Arial"/>
              </w:rPr>
              <w:t>: Each year, the MEP must teach the purpose, structure, and typical language</w:t>
            </w:r>
            <w:r w:rsidR="00281F22">
              <w:rPr>
                <w:rFonts w:ascii="Arial" w:hAnsi="Arial" w:cs="Arial"/>
              </w:rPr>
              <w:t xml:space="preserve"> (e.g., genre specific and standards-based vocabulary)</w:t>
            </w:r>
            <w:r w:rsidRPr="00113364">
              <w:rPr>
                <w:rFonts w:ascii="Arial" w:hAnsi="Arial" w:cs="Arial"/>
              </w:rPr>
              <w:t xml:space="preserve"> of at least one </w:t>
            </w:r>
            <w:r w:rsidR="004C29A8" w:rsidRPr="00113364">
              <w:rPr>
                <w:rFonts w:ascii="Arial" w:hAnsi="Arial" w:cs="Arial"/>
              </w:rPr>
              <w:t>sub</w:t>
            </w:r>
            <w:r w:rsidRPr="00113364">
              <w:rPr>
                <w:rFonts w:ascii="Arial" w:hAnsi="Arial" w:cs="Arial"/>
              </w:rPr>
              <w:t xml:space="preserve">genre </w:t>
            </w:r>
            <w:r w:rsidR="004C29A8" w:rsidRPr="00113364">
              <w:rPr>
                <w:rFonts w:ascii="Arial" w:hAnsi="Arial" w:cs="Arial"/>
              </w:rPr>
              <w:t xml:space="preserve">of informational writing </w:t>
            </w:r>
            <w:r w:rsidRPr="00113364">
              <w:rPr>
                <w:rFonts w:ascii="Arial" w:hAnsi="Arial" w:cs="Arial"/>
              </w:rPr>
              <w:t>using model texts for support in reading instruction.</w:t>
            </w:r>
            <w:bookmarkEnd w:id="69"/>
          </w:p>
        </w:tc>
      </w:tr>
      <w:tr w:rsidR="008B53C6" w:rsidRPr="00113364" w14:paraId="44F6E993" w14:textId="77777777" w:rsidTr="006603FA">
        <w:trPr>
          <w:cnfStyle w:val="000000100000" w:firstRow="0" w:lastRow="0" w:firstColumn="0" w:lastColumn="0" w:oddVBand="0" w:evenVBand="0" w:oddHBand="1" w:evenHBand="0" w:firstRowFirstColumn="0" w:firstRowLastColumn="0" w:lastRowFirstColumn="0" w:lastRowLastColumn="0"/>
          <w:cantSplit/>
          <w:trHeight w:val="620"/>
        </w:trPr>
        <w:tc>
          <w:tcPr>
            <w:tcW w:w="5215" w:type="dxa"/>
          </w:tcPr>
          <w:p w14:paraId="6C8C778F" w14:textId="720E74DF" w:rsidR="00082BFF" w:rsidRPr="00113364" w:rsidRDefault="008B53C6" w:rsidP="008B53C6">
            <w:pPr>
              <w:rPr>
                <w:rFonts w:ascii="Arial" w:hAnsi="Arial" w:cs="Arial"/>
              </w:rPr>
            </w:pPr>
            <w:bookmarkStart w:id="70" w:name="_Hlk178611486"/>
            <w:bookmarkEnd w:id="68"/>
            <w:r w:rsidRPr="00113364">
              <w:rPr>
                <w:rFonts w:ascii="Arial" w:hAnsi="Arial" w:cs="Arial"/>
                <w:b/>
              </w:rPr>
              <w:t>Strategy 1.2</w:t>
            </w:r>
            <w:r w:rsidRPr="00113364">
              <w:rPr>
                <w:rFonts w:ascii="Arial" w:hAnsi="Arial" w:cs="Arial"/>
              </w:rPr>
              <w:t xml:space="preserve">: Provide thorough, explicit writing instruction for one </w:t>
            </w:r>
            <w:r w:rsidR="006603FA" w:rsidRPr="00113364">
              <w:rPr>
                <w:rFonts w:ascii="Arial" w:hAnsi="Arial" w:cs="Arial"/>
              </w:rPr>
              <w:t>informational sub</w:t>
            </w:r>
            <w:r w:rsidRPr="00113364">
              <w:rPr>
                <w:rFonts w:ascii="Arial" w:hAnsi="Arial" w:cs="Arial"/>
              </w:rPr>
              <w:t xml:space="preserve">genre of writing </w:t>
            </w:r>
            <w:r w:rsidR="006603FA" w:rsidRPr="00113364">
              <w:rPr>
                <w:rFonts w:ascii="Arial" w:hAnsi="Arial" w:cs="Arial"/>
              </w:rPr>
              <w:t>(see examples by grade level in Strategy 1.1</w:t>
            </w:r>
            <w:r w:rsidRPr="00113364">
              <w:rPr>
                <w:rFonts w:ascii="Arial" w:hAnsi="Arial" w:cs="Arial"/>
              </w:rPr>
              <w:t>) using the writing process, using a model text from the reading strategy, and using a student-friendly rubric.</w:t>
            </w:r>
            <w:bookmarkEnd w:id="70"/>
          </w:p>
        </w:tc>
        <w:tc>
          <w:tcPr>
            <w:tcW w:w="4050" w:type="dxa"/>
          </w:tcPr>
          <w:p w14:paraId="63D38735" w14:textId="28E10A2E" w:rsidR="008B53C6" w:rsidRPr="00113364" w:rsidRDefault="008B53C6" w:rsidP="008B53C6">
            <w:pPr>
              <w:rPr>
                <w:rFonts w:ascii="Arial" w:hAnsi="Arial" w:cs="Arial"/>
              </w:rPr>
            </w:pPr>
            <w:bookmarkStart w:id="71" w:name="_Hlk209515868"/>
            <w:r w:rsidRPr="00113364">
              <w:rPr>
                <w:rFonts w:ascii="Arial" w:hAnsi="Arial" w:cs="Arial"/>
                <w:b/>
              </w:rPr>
              <w:t>Measurable Program Objective 1.2</w:t>
            </w:r>
            <w:r w:rsidRPr="00113364">
              <w:rPr>
                <w:rFonts w:ascii="Arial" w:hAnsi="Arial" w:cs="Arial"/>
              </w:rPr>
              <w:t>: Every year the MEP must include explicit instruction of at least one genre of writing and the writing process including use of a student-friendly rubric.</w:t>
            </w:r>
            <w:bookmarkEnd w:id="71"/>
          </w:p>
        </w:tc>
      </w:tr>
    </w:tbl>
    <w:p w14:paraId="3C732F46" w14:textId="3C992ACA" w:rsidR="0005472F" w:rsidRPr="00113364" w:rsidRDefault="00BD3CAE" w:rsidP="00694080">
      <w:pPr>
        <w:spacing w:before="240"/>
        <w:rPr>
          <w:rFonts w:ascii="Arial" w:hAnsi="Arial" w:cs="Arial"/>
        </w:rPr>
      </w:pPr>
      <w:r w:rsidRPr="00113364">
        <w:rPr>
          <w:rFonts w:ascii="Arial" w:hAnsi="Arial" w:cs="Arial"/>
        </w:rPr>
        <w:t>P</w:t>
      </w:r>
      <w:r w:rsidR="0005472F" w:rsidRPr="00113364">
        <w:rPr>
          <w:rFonts w:ascii="Arial" w:hAnsi="Arial" w:cs="Arial"/>
        </w:rPr>
        <w:t xml:space="preserve">erformance target for </w:t>
      </w:r>
      <w:r w:rsidRPr="00113364">
        <w:rPr>
          <w:rFonts w:ascii="Arial" w:hAnsi="Arial" w:cs="Arial"/>
        </w:rPr>
        <w:t>the ELA focus area</w:t>
      </w:r>
      <w:r w:rsidR="0005472F" w:rsidRPr="00113364">
        <w:rPr>
          <w:rFonts w:ascii="Arial" w:hAnsi="Arial" w:cs="Arial"/>
        </w:rPr>
        <w:t xml:space="preserve">: </w:t>
      </w:r>
      <w:r w:rsidRPr="00113364">
        <w:rPr>
          <w:rFonts w:ascii="Arial" w:hAnsi="Arial" w:cs="Arial"/>
        </w:rPr>
        <w:t>By September 2031, 28.5 percent of migratory students will score at level 3 – standard met and level 4 – standard exceeded on overall ELA achievement.</w:t>
      </w:r>
    </w:p>
    <w:p w14:paraId="004BDDE4" w14:textId="5176922D" w:rsidR="00C5686C" w:rsidRPr="00113364" w:rsidRDefault="00783E21" w:rsidP="00694080">
      <w:pPr>
        <w:spacing w:before="240"/>
        <w:rPr>
          <w:rFonts w:ascii="Arial" w:hAnsi="Arial" w:cs="Arial"/>
        </w:rPr>
      </w:pPr>
      <w:r w:rsidRPr="00113364">
        <w:rPr>
          <w:rFonts w:ascii="Arial" w:hAnsi="Arial" w:cs="Arial"/>
        </w:rPr>
        <w:t>Migrant Education Program subgrantees have the option to integrate all ELA strategies into services aligned to SDP Strategy 1.0, or Strategies 1.1 and 1.2 can be used independently in other services.</w:t>
      </w:r>
      <w:r w:rsidR="004A30D5" w:rsidRPr="00113364">
        <w:rPr>
          <w:rFonts w:ascii="Arial" w:hAnsi="Arial" w:cs="Arial"/>
        </w:rPr>
        <w:t xml:space="preserve"> As discussed later in Section III, student </w:t>
      </w:r>
      <w:r w:rsidR="00A514A0" w:rsidRPr="00113364">
        <w:rPr>
          <w:rFonts w:ascii="Arial" w:hAnsi="Arial" w:cs="Arial"/>
        </w:rPr>
        <w:t xml:space="preserve">engagement is key to increasing migratory students’ participation in services which potentially leads to </w:t>
      </w:r>
      <w:r w:rsidR="00A514A0" w:rsidRPr="00113364">
        <w:rPr>
          <w:rFonts w:ascii="Arial" w:hAnsi="Arial" w:cs="Arial"/>
        </w:rPr>
        <w:lastRenderedPageBreak/>
        <w:t xml:space="preserve">increased proficiency making the way for broader access to opportunities. </w:t>
      </w:r>
      <w:r w:rsidR="00546FD1" w:rsidRPr="00113364">
        <w:rPr>
          <w:rFonts w:ascii="Arial" w:hAnsi="Arial" w:cs="Arial"/>
        </w:rPr>
        <w:t xml:space="preserve">The purpose of SDP Strategy 1.0 is to build foundational skills in both reading and writing to make it easier for students to access more challenging content as they progress through elementary and secondary education. </w:t>
      </w:r>
      <w:r w:rsidR="00A514A0" w:rsidRPr="00113364">
        <w:rPr>
          <w:rFonts w:ascii="Arial" w:hAnsi="Arial" w:cs="Arial"/>
        </w:rPr>
        <w:t xml:space="preserve">Although ELA (and ELD) standards are the foundation </w:t>
      </w:r>
      <w:r w:rsidR="00C5686C" w:rsidRPr="00113364">
        <w:rPr>
          <w:rFonts w:ascii="Arial" w:hAnsi="Arial" w:cs="Arial"/>
        </w:rPr>
        <w:t>for</w:t>
      </w:r>
      <w:r w:rsidR="00A514A0" w:rsidRPr="00113364">
        <w:rPr>
          <w:rFonts w:ascii="Arial" w:hAnsi="Arial" w:cs="Arial"/>
        </w:rPr>
        <w:t xml:space="preserve"> services aligned to SDP Strategy 1.0, these standards can be taught across content areas and interests to engage students. If students are interested in science, instruction can center around science as long as reading fluency and comprehension</w:t>
      </w:r>
      <w:r w:rsidR="00546FD1" w:rsidRPr="00113364">
        <w:rPr>
          <w:rFonts w:ascii="Arial" w:hAnsi="Arial" w:cs="Arial"/>
        </w:rPr>
        <w:t xml:space="preserve"> as well as writing </w:t>
      </w:r>
      <w:r w:rsidR="0088380B" w:rsidRPr="00113364">
        <w:rPr>
          <w:rFonts w:ascii="Arial" w:hAnsi="Arial" w:cs="Arial"/>
        </w:rPr>
        <w:t xml:space="preserve">standards found in the </w:t>
      </w:r>
      <w:hyperlink r:id="rId29" w:history="1">
        <w:r w:rsidR="0088380B" w:rsidRPr="00113364">
          <w:rPr>
            <w:rStyle w:val="Hyperlink"/>
            <w:rFonts w:ascii="Arial" w:hAnsi="Arial" w:cs="Arial"/>
            <w:i/>
            <w:iCs/>
          </w:rPr>
          <w:t>California Common Core State Standards: English Language Arts and Literacy in History/Social Studies, Science, and Technical Subjects</w:t>
        </w:r>
      </w:hyperlink>
      <w:r w:rsidR="0088380B" w:rsidRPr="00113364">
        <w:rPr>
          <w:rFonts w:ascii="Arial" w:hAnsi="Arial" w:cs="Arial"/>
        </w:rPr>
        <w:t xml:space="preserve"> (</w:t>
      </w:r>
      <w:r w:rsidR="0088380B" w:rsidRPr="00113364">
        <w:rPr>
          <w:rFonts w:ascii="Arial" w:hAnsi="Arial" w:cs="Arial"/>
          <w:i/>
          <w:iCs/>
        </w:rPr>
        <w:t>California CCSS ELA and Literacy</w:t>
      </w:r>
      <w:r w:rsidR="0088380B" w:rsidRPr="00113364">
        <w:rPr>
          <w:rFonts w:ascii="Arial" w:hAnsi="Arial" w:cs="Arial"/>
        </w:rPr>
        <w:t xml:space="preserve">) </w:t>
      </w:r>
      <w:r w:rsidR="00546FD1" w:rsidRPr="00113364">
        <w:rPr>
          <w:rFonts w:ascii="Arial" w:hAnsi="Arial" w:cs="Arial"/>
        </w:rPr>
        <w:t xml:space="preserve">are the service’s main objectives. </w:t>
      </w:r>
    </w:p>
    <w:p w14:paraId="2E4E335B" w14:textId="0B74E313" w:rsidR="002412E5" w:rsidRPr="00113364" w:rsidRDefault="00546FD1" w:rsidP="00694080">
      <w:pPr>
        <w:spacing w:before="240"/>
        <w:rPr>
          <w:rFonts w:ascii="Arial" w:hAnsi="Arial" w:cs="Arial"/>
        </w:rPr>
      </w:pPr>
      <w:r w:rsidRPr="00113364">
        <w:rPr>
          <w:rFonts w:ascii="Arial" w:hAnsi="Arial" w:cs="Arial"/>
        </w:rPr>
        <w:t>For example,</w:t>
      </w:r>
      <w:r w:rsidR="00CF4ECB" w:rsidRPr="00113364">
        <w:rPr>
          <w:rFonts w:ascii="Arial" w:hAnsi="Arial" w:cs="Arial"/>
        </w:rPr>
        <w:t xml:space="preserve"> an ELA service aligned to SDP Strategy 1.0 may start with a list of independent or grouped activities from which students select to reinforce phonics lessons, vocabulary development, or reading comprehension while the teacher provides a short phonics lesson to a small group of students needing more support with phonics</w:t>
      </w:r>
      <w:r w:rsidR="00C5686C" w:rsidRPr="00113364">
        <w:rPr>
          <w:rFonts w:ascii="Arial" w:hAnsi="Arial" w:cs="Arial"/>
        </w:rPr>
        <w:t xml:space="preserve"> (using the </w:t>
      </w:r>
      <w:r w:rsidR="00D82126" w:rsidRPr="00113364">
        <w:rPr>
          <w:rFonts w:ascii="Arial" w:hAnsi="Arial" w:cs="Arial"/>
          <w:i/>
          <w:iCs/>
        </w:rPr>
        <w:t>California CCSS ELA and Literacy</w:t>
      </w:r>
      <w:r w:rsidR="00D82126" w:rsidRPr="00113364">
        <w:rPr>
          <w:rFonts w:ascii="Arial" w:hAnsi="Arial" w:cs="Arial"/>
        </w:rPr>
        <w:t xml:space="preserve">, </w:t>
      </w:r>
      <w:r w:rsidR="00C5686C" w:rsidRPr="00113364">
        <w:rPr>
          <w:rFonts w:ascii="Arial" w:hAnsi="Arial" w:cs="Arial"/>
        </w:rPr>
        <w:t xml:space="preserve">ELA Reading Standards for Foundational Skills K-5, </w:t>
      </w:r>
      <w:r w:rsidR="00BA62E7" w:rsidRPr="00113364">
        <w:rPr>
          <w:rFonts w:ascii="Arial" w:hAnsi="Arial" w:cs="Arial"/>
        </w:rPr>
        <w:t>p</w:t>
      </w:r>
      <w:r w:rsidR="00C5686C" w:rsidRPr="00113364">
        <w:rPr>
          <w:rFonts w:ascii="Arial" w:hAnsi="Arial" w:cs="Arial"/>
        </w:rPr>
        <w:t>p. 17–19)</w:t>
      </w:r>
      <w:r w:rsidR="00CF4ECB" w:rsidRPr="00113364">
        <w:rPr>
          <w:rFonts w:ascii="Arial" w:hAnsi="Arial" w:cs="Arial"/>
        </w:rPr>
        <w:t>. Third through fifth grader</w:t>
      </w:r>
      <w:r w:rsidR="00C5686C" w:rsidRPr="00113364">
        <w:rPr>
          <w:rFonts w:ascii="Arial" w:hAnsi="Arial" w:cs="Arial"/>
        </w:rPr>
        <w:t xml:space="preserve"> teacher</w:t>
      </w:r>
      <w:r w:rsidR="00CF4ECB" w:rsidRPr="00113364">
        <w:rPr>
          <w:rFonts w:ascii="Arial" w:hAnsi="Arial" w:cs="Arial"/>
        </w:rPr>
        <w:t>s can</w:t>
      </w:r>
      <w:r w:rsidR="00C5686C" w:rsidRPr="00113364">
        <w:rPr>
          <w:rFonts w:ascii="Arial" w:hAnsi="Arial" w:cs="Arial"/>
        </w:rPr>
        <w:t xml:space="preserve"> provide standards-based</w:t>
      </w:r>
      <w:r w:rsidR="00BA62E7" w:rsidRPr="00113364">
        <w:rPr>
          <w:rFonts w:ascii="Arial" w:hAnsi="Arial" w:cs="Arial"/>
        </w:rPr>
        <w:t xml:space="preserve"> reading</w:t>
      </w:r>
      <w:r w:rsidR="00C5686C" w:rsidRPr="00113364">
        <w:rPr>
          <w:rFonts w:ascii="Arial" w:hAnsi="Arial" w:cs="Arial"/>
        </w:rPr>
        <w:t xml:space="preserve"> instruction on </w:t>
      </w:r>
      <w:r w:rsidR="00CF4ECB" w:rsidRPr="00113364">
        <w:rPr>
          <w:rFonts w:ascii="Arial" w:hAnsi="Arial" w:cs="Arial"/>
        </w:rPr>
        <w:t>informational texts about different types of energy and how to convert energy from one form to another t</w:t>
      </w:r>
      <w:r w:rsidRPr="00113364">
        <w:rPr>
          <w:rFonts w:ascii="Arial" w:hAnsi="Arial" w:cs="Arial"/>
        </w:rPr>
        <w:t xml:space="preserve">o align with the </w:t>
      </w:r>
      <w:hyperlink r:id="rId30" w:history="1">
        <w:r w:rsidRPr="00113364">
          <w:rPr>
            <w:rStyle w:val="Hyperlink"/>
            <w:rFonts w:ascii="Arial" w:hAnsi="Arial" w:cs="Arial"/>
          </w:rPr>
          <w:t>Next Generation Science Standards</w:t>
        </w:r>
      </w:hyperlink>
      <w:r w:rsidR="00CF4ECB" w:rsidRPr="00113364">
        <w:rPr>
          <w:rFonts w:ascii="Arial" w:hAnsi="Arial" w:cs="Arial"/>
        </w:rPr>
        <w:t xml:space="preserve">. </w:t>
      </w:r>
      <w:r w:rsidR="00C5686C" w:rsidRPr="00113364">
        <w:rPr>
          <w:rFonts w:ascii="Arial" w:hAnsi="Arial" w:cs="Arial"/>
        </w:rPr>
        <w:t>Using the</w:t>
      </w:r>
      <w:r w:rsidR="0088380B" w:rsidRPr="00113364">
        <w:rPr>
          <w:rFonts w:ascii="Arial" w:hAnsi="Arial" w:cs="Arial"/>
        </w:rPr>
        <w:t xml:space="preserve"> ELA </w:t>
      </w:r>
      <w:r w:rsidR="00BA62E7" w:rsidRPr="00113364">
        <w:rPr>
          <w:rFonts w:ascii="Arial" w:hAnsi="Arial" w:cs="Arial"/>
        </w:rPr>
        <w:t>Writing Standards K–5, (</w:t>
      </w:r>
      <w:r w:rsidR="0088380B" w:rsidRPr="00113364">
        <w:rPr>
          <w:rFonts w:ascii="Arial" w:hAnsi="Arial" w:cs="Arial"/>
          <w:i/>
          <w:iCs/>
        </w:rPr>
        <w:t>California CCSS ELA and Literacy</w:t>
      </w:r>
      <w:r w:rsidR="00BA62E7" w:rsidRPr="00113364">
        <w:rPr>
          <w:rFonts w:ascii="Arial" w:hAnsi="Arial" w:cs="Arial"/>
        </w:rPr>
        <w:t>, pp. 21–25)</w:t>
      </w:r>
      <w:r w:rsidR="0088380B" w:rsidRPr="00113364">
        <w:rPr>
          <w:rFonts w:ascii="Arial" w:hAnsi="Arial" w:cs="Arial"/>
        </w:rPr>
        <w:t xml:space="preserve">. Throughout the service students can participate in experiential learning by building circuits, designing and testing devices that convert energy from one form to another. There are so many options to infuse a lot of fun into teaching and learning. Subgrantees </w:t>
      </w:r>
      <w:r w:rsidR="00D82126" w:rsidRPr="00113364">
        <w:rPr>
          <w:rFonts w:ascii="Arial" w:hAnsi="Arial" w:cs="Arial"/>
        </w:rPr>
        <w:t>can focus</w:t>
      </w:r>
      <w:r w:rsidR="0088380B" w:rsidRPr="00113364">
        <w:rPr>
          <w:rFonts w:ascii="Arial" w:hAnsi="Arial" w:cs="Arial"/>
        </w:rPr>
        <w:t xml:space="preserve"> on enhancing the curriculum over time. With the previous SDP, services are already aligned with the reading and writing requirements; now the focus shifts to sustained student attendance. </w:t>
      </w:r>
      <w:r w:rsidR="00D82126" w:rsidRPr="00113364">
        <w:rPr>
          <w:rFonts w:ascii="Arial" w:hAnsi="Arial" w:cs="Arial"/>
        </w:rPr>
        <w:t xml:space="preserve">Another area in which sustained student attendance is needed is in the </w:t>
      </w:r>
      <w:proofErr w:type="gramStart"/>
      <w:r w:rsidR="00D82126" w:rsidRPr="00113364">
        <w:rPr>
          <w:rFonts w:ascii="Arial" w:hAnsi="Arial" w:cs="Arial"/>
        </w:rPr>
        <w:t>Math</w:t>
      </w:r>
      <w:r w:rsidR="00B117EB">
        <w:rPr>
          <w:rFonts w:ascii="Arial" w:hAnsi="Arial" w:cs="Arial"/>
        </w:rPr>
        <w:t>ematics</w:t>
      </w:r>
      <w:proofErr w:type="gramEnd"/>
      <w:r w:rsidR="00D82126" w:rsidRPr="00113364">
        <w:rPr>
          <w:rFonts w:ascii="Arial" w:hAnsi="Arial" w:cs="Arial"/>
        </w:rPr>
        <w:t xml:space="preserve"> focus area. Strategies that seek to increase migratory student participation and eventual proficiency</w:t>
      </w:r>
      <w:r w:rsidR="00733583" w:rsidRPr="00113364">
        <w:rPr>
          <w:rFonts w:ascii="Arial" w:hAnsi="Arial" w:cs="Arial"/>
        </w:rPr>
        <w:t xml:space="preserve"> in mathematics</w:t>
      </w:r>
      <w:r w:rsidR="00D82126" w:rsidRPr="00113364">
        <w:rPr>
          <w:rFonts w:ascii="Arial" w:hAnsi="Arial" w:cs="Arial"/>
        </w:rPr>
        <w:t xml:space="preserve"> are reviewed next.</w:t>
      </w:r>
    </w:p>
    <w:p w14:paraId="29E95D28" w14:textId="77777777" w:rsidR="00BA5C6E" w:rsidRPr="00113364" w:rsidRDefault="00BA5C6E" w:rsidP="00767B67">
      <w:pPr>
        <w:pStyle w:val="Heading3"/>
        <w:spacing w:before="240"/>
      </w:pPr>
      <w:bookmarkStart w:id="72" w:name="_Toc203568850"/>
      <w:r w:rsidRPr="00113364">
        <w:t>Mathematics</w:t>
      </w:r>
      <w:bookmarkEnd w:id="72"/>
    </w:p>
    <w:p w14:paraId="78A7A15E" w14:textId="690759CC" w:rsidR="00205F4B" w:rsidRPr="00113364" w:rsidRDefault="00101A85" w:rsidP="00205F4B">
      <w:pPr>
        <w:rPr>
          <w:rFonts w:ascii="Arial" w:hAnsi="Arial" w:cs="Arial"/>
        </w:rPr>
      </w:pPr>
      <w:r w:rsidRPr="00113364">
        <w:rPr>
          <w:rFonts w:ascii="Arial" w:hAnsi="Arial" w:cs="Arial"/>
        </w:rPr>
        <w:t>Like</w:t>
      </w:r>
      <w:r w:rsidR="00205F4B" w:rsidRPr="00113364">
        <w:rPr>
          <w:rFonts w:ascii="Arial" w:hAnsi="Arial" w:cs="Arial"/>
        </w:rPr>
        <w:t xml:space="preserve"> ELA, </w:t>
      </w:r>
      <w:r w:rsidR="00940589" w:rsidRPr="00113364">
        <w:rPr>
          <w:rFonts w:ascii="Arial" w:hAnsi="Arial" w:cs="Arial"/>
        </w:rPr>
        <w:t xml:space="preserve">the </w:t>
      </w:r>
      <w:r w:rsidR="004D4FC7" w:rsidRPr="00113364">
        <w:rPr>
          <w:rFonts w:ascii="Arial" w:hAnsi="Arial" w:cs="Arial"/>
        </w:rPr>
        <w:t>CNA SDP</w:t>
      </w:r>
      <w:r w:rsidR="00940589" w:rsidRPr="00113364">
        <w:rPr>
          <w:rFonts w:ascii="Arial" w:hAnsi="Arial" w:cs="Arial"/>
        </w:rPr>
        <w:t xml:space="preserve"> Committee </w:t>
      </w:r>
      <w:r w:rsidR="003F318B" w:rsidRPr="00113364">
        <w:rPr>
          <w:rFonts w:ascii="Arial" w:hAnsi="Arial" w:cs="Arial"/>
        </w:rPr>
        <w:t>prioritized</w:t>
      </w:r>
      <w:r w:rsidR="00205F4B" w:rsidRPr="00113364">
        <w:rPr>
          <w:rFonts w:ascii="Arial" w:hAnsi="Arial" w:cs="Arial"/>
        </w:rPr>
        <w:t xml:space="preserve"> </w:t>
      </w:r>
      <w:r w:rsidR="003F318B" w:rsidRPr="00113364">
        <w:rPr>
          <w:rFonts w:ascii="Arial" w:hAnsi="Arial" w:cs="Arial"/>
        </w:rPr>
        <w:t xml:space="preserve">two </w:t>
      </w:r>
      <w:r w:rsidR="00205F4B" w:rsidRPr="00113364">
        <w:rPr>
          <w:rFonts w:ascii="Arial" w:hAnsi="Arial" w:cs="Arial"/>
        </w:rPr>
        <w:t xml:space="preserve">needs </w:t>
      </w:r>
      <w:r w:rsidR="003F318B" w:rsidRPr="00113364">
        <w:rPr>
          <w:rFonts w:ascii="Arial" w:hAnsi="Arial" w:cs="Arial"/>
        </w:rPr>
        <w:t>for mathematics</w:t>
      </w:r>
      <w:r w:rsidR="00205F4B" w:rsidRPr="00113364">
        <w:rPr>
          <w:rFonts w:ascii="Arial" w:hAnsi="Arial" w:cs="Arial"/>
        </w:rPr>
        <w:t>. The t</w:t>
      </w:r>
      <w:r w:rsidR="003F318B" w:rsidRPr="00113364">
        <w:rPr>
          <w:rFonts w:ascii="Arial" w:hAnsi="Arial" w:cs="Arial"/>
        </w:rPr>
        <w:t>wo</w:t>
      </w:r>
      <w:r w:rsidR="00205F4B" w:rsidRPr="00113364">
        <w:rPr>
          <w:rFonts w:ascii="Arial" w:hAnsi="Arial" w:cs="Arial"/>
        </w:rPr>
        <w:t xml:space="preserve"> needs </w:t>
      </w:r>
      <w:r w:rsidR="00EC142B" w:rsidRPr="00113364">
        <w:rPr>
          <w:rFonts w:ascii="Arial" w:hAnsi="Arial" w:cs="Arial"/>
        </w:rPr>
        <w:t>prioritized</w:t>
      </w:r>
      <w:r w:rsidR="00205F4B" w:rsidRPr="00113364">
        <w:rPr>
          <w:rFonts w:ascii="Arial" w:hAnsi="Arial" w:cs="Arial"/>
        </w:rPr>
        <w:t xml:space="preserve"> in the </w:t>
      </w:r>
      <w:r w:rsidR="004B7E42" w:rsidRPr="00113364">
        <w:rPr>
          <w:rFonts w:ascii="Arial" w:hAnsi="Arial" w:cs="Arial"/>
        </w:rPr>
        <w:t>previous chapter</w:t>
      </w:r>
      <w:r w:rsidR="00205F4B" w:rsidRPr="00113364">
        <w:rPr>
          <w:rFonts w:ascii="Arial" w:hAnsi="Arial" w:cs="Arial"/>
        </w:rPr>
        <w:t xml:space="preserve"> included</w:t>
      </w:r>
      <w:r w:rsidR="004B7E42" w:rsidRPr="00113364">
        <w:rPr>
          <w:rFonts w:ascii="Arial" w:hAnsi="Arial" w:cs="Arial"/>
        </w:rPr>
        <w:t xml:space="preserve">: </w:t>
      </w:r>
      <w:r w:rsidR="009308A3" w:rsidRPr="00113364">
        <w:rPr>
          <w:rFonts w:ascii="Arial" w:hAnsi="Arial" w:cs="Arial"/>
        </w:rPr>
        <w:t>(</w:t>
      </w:r>
      <w:r w:rsidR="004B7E42" w:rsidRPr="00113364">
        <w:rPr>
          <w:rFonts w:ascii="Arial" w:hAnsi="Arial" w:cs="Arial"/>
        </w:rPr>
        <w:t>1) increas</w:t>
      </w:r>
      <w:r w:rsidR="007736A6" w:rsidRPr="00113364">
        <w:rPr>
          <w:rFonts w:ascii="Arial" w:hAnsi="Arial" w:cs="Arial"/>
        </w:rPr>
        <w:t>ing</w:t>
      </w:r>
      <w:r w:rsidR="004B7E42" w:rsidRPr="00113364">
        <w:rPr>
          <w:rFonts w:ascii="Arial" w:hAnsi="Arial" w:cs="Arial"/>
        </w:rPr>
        <w:t xml:space="preserve"> overall math</w:t>
      </w:r>
      <w:r w:rsidR="00E7492F" w:rsidRPr="00113364">
        <w:rPr>
          <w:rFonts w:ascii="Arial" w:hAnsi="Arial" w:cs="Arial"/>
        </w:rPr>
        <w:t>ematics</w:t>
      </w:r>
      <w:r w:rsidR="00205F4B" w:rsidRPr="00113364">
        <w:rPr>
          <w:rFonts w:ascii="Arial" w:hAnsi="Arial" w:cs="Arial"/>
        </w:rPr>
        <w:t xml:space="preserve"> achievement,</w:t>
      </w:r>
      <w:r w:rsidR="003F318B" w:rsidRPr="00113364">
        <w:rPr>
          <w:rFonts w:ascii="Arial" w:hAnsi="Arial" w:cs="Arial"/>
        </w:rPr>
        <w:t xml:space="preserve"> and</w:t>
      </w:r>
      <w:r w:rsidR="00205F4B" w:rsidRPr="00113364">
        <w:rPr>
          <w:rFonts w:ascii="Arial" w:hAnsi="Arial" w:cs="Arial"/>
        </w:rPr>
        <w:t xml:space="preserve"> </w:t>
      </w:r>
      <w:r w:rsidR="009308A3" w:rsidRPr="00113364">
        <w:rPr>
          <w:rFonts w:ascii="Arial" w:hAnsi="Arial" w:cs="Arial"/>
        </w:rPr>
        <w:t>(</w:t>
      </w:r>
      <w:r w:rsidR="00205F4B" w:rsidRPr="00113364">
        <w:rPr>
          <w:rFonts w:ascii="Arial" w:hAnsi="Arial" w:cs="Arial"/>
        </w:rPr>
        <w:t>2</w:t>
      </w:r>
      <w:r w:rsidR="009308A3" w:rsidRPr="00113364">
        <w:rPr>
          <w:rFonts w:ascii="Arial" w:hAnsi="Arial" w:cs="Arial"/>
        </w:rPr>
        <w:t>) strengthen</w:t>
      </w:r>
      <w:r w:rsidR="007736A6" w:rsidRPr="00113364">
        <w:rPr>
          <w:rFonts w:ascii="Arial" w:hAnsi="Arial" w:cs="Arial"/>
        </w:rPr>
        <w:t>ing</w:t>
      </w:r>
      <w:r w:rsidR="009308A3" w:rsidRPr="00113364">
        <w:rPr>
          <w:rFonts w:ascii="Arial" w:hAnsi="Arial" w:cs="Arial"/>
        </w:rPr>
        <w:t xml:space="preserve"> migratory student</w:t>
      </w:r>
      <w:r w:rsidR="00205F4B" w:rsidRPr="00113364">
        <w:rPr>
          <w:rFonts w:ascii="Arial" w:hAnsi="Arial" w:cs="Arial"/>
        </w:rPr>
        <w:t xml:space="preserve"> knowledge of concepts and procedures (</w:t>
      </w:r>
      <w:r w:rsidR="007736A6" w:rsidRPr="00113364">
        <w:rPr>
          <w:rFonts w:ascii="Arial" w:hAnsi="Arial" w:cs="Arial"/>
        </w:rPr>
        <w:t>c</w:t>
      </w:r>
      <w:r w:rsidR="00205F4B" w:rsidRPr="00113364">
        <w:rPr>
          <w:rFonts w:ascii="Arial" w:hAnsi="Arial" w:cs="Arial"/>
        </w:rPr>
        <w:t xml:space="preserve">laim 1). </w:t>
      </w:r>
      <w:r w:rsidR="00EC142B" w:rsidRPr="00113364">
        <w:rPr>
          <w:rFonts w:ascii="Arial" w:hAnsi="Arial" w:cs="Arial"/>
        </w:rPr>
        <w:t>Increasing</w:t>
      </w:r>
      <w:r w:rsidR="00205F4B" w:rsidRPr="00113364">
        <w:rPr>
          <w:rFonts w:ascii="Arial" w:hAnsi="Arial" w:cs="Arial"/>
        </w:rPr>
        <w:t xml:space="preserve"> student achievement in </w:t>
      </w:r>
      <w:r w:rsidR="007736A6" w:rsidRPr="00113364">
        <w:rPr>
          <w:rFonts w:ascii="Arial" w:hAnsi="Arial" w:cs="Arial"/>
        </w:rPr>
        <w:t>c</w:t>
      </w:r>
      <w:r w:rsidR="00205F4B" w:rsidRPr="00113364">
        <w:rPr>
          <w:rFonts w:ascii="Arial" w:hAnsi="Arial" w:cs="Arial"/>
        </w:rPr>
        <w:t>laim 1 will increase migratory students’</w:t>
      </w:r>
      <w:r w:rsidR="00EC142B" w:rsidRPr="00113364">
        <w:rPr>
          <w:rFonts w:ascii="Arial" w:hAnsi="Arial" w:cs="Arial"/>
        </w:rPr>
        <w:t xml:space="preserve"> overall </w:t>
      </w:r>
      <w:r w:rsidR="00E7492F" w:rsidRPr="00113364">
        <w:rPr>
          <w:rFonts w:ascii="Arial" w:hAnsi="Arial" w:cs="Arial"/>
        </w:rPr>
        <w:t>mathematics</w:t>
      </w:r>
      <w:r w:rsidR="00205F4B" w:rsidRPr="00113364">
        <w:rPr>
          <w:rFonts w:ascii="Arial" w:hAnsi="Arial" w:cs="Arial"/>
        </w:rPr>
        <w:t xml:space="preserve"> achievement. For this reason, the CDE combined </w:t>
      </w:r>
      <w:r w:rsidR="00C54245" w:rsidRPr="00113364">
        <w:rPr>
          <w:rFonts w:ascii="Arial" w:hAnsi="Arial" w:cs="Arial"/>
        </w:rPr>
        <w:t>migratory student needs</w:t>
      </w:r>
      <w:r w:rsidR="00205F4B" w:rsidRPr="00113364">
        <w:rPr>
          <w:rFonts w:ascii="Arial" w:hAnsi="Arial" w:cs="Arial"/>
        </w:rPr>
        <w:t xml:space="preserve"> to address overall achievement with a focus on </w:t>
      </w:r>
      <w:r w:rsidR="007736A6" w:rsidRPr="00113364">
        <w:rPr>
          <w:rFonts w:ascii="Arial" w:hAnsi="Arial" w:cs="Arial"/>
        </w:rPr>
        <w:t>c</w:t>
      </w:r>
      <w:r w:rsidR="00205F4B" w:rsidRPr="00113364">
        <w:rPr>
          <w:rFonts w:ascii="Arial" w:hAnsi="Arial" w:cs="Arial"/>
        </w:rPr>
        <w:t>laim 1</w:t>
      </w:r>
      <w:r w:rsidR="007736A6" w:rsidRPr="00113364">
        <w:rPr>
          <w:rFonts w:ascii="Arial" w:hAnsi="Arial" w:cs="Arial"/>
        </w:rPr>
        <w:t>. It should be noted that MEP subgrantees have flexibility on which claims to focus instruction. There may be regions and/or districts with a greater need in claim</w:t>
      </w:r>
      <w:r w:rsidR="0048317D" w:rsidRPr="00113364">
        <w:rPr>
          <w:rFonts w:ascii="Arial" w:hAnsi="Arial" w:cs="Arial"/>
        </w:rPr>
        <w:t>s 2 or</w:t>
      </w:r>
      <w:r w:rsidR="007736A6" w:rsidRPr="00113364">
        <w:rPr>
          <w:rFonts w:ascii="Arial" w:hAnsi="Arial" w:cs="Arial"/>
        </w:rPr>
        <w:t xml:space="preserve"> 3; therefore, MEP subgrantees should evaluate the local needs as identified in the Smarter Balanced Assessment or local benchmark assessments if available. Ta</w:t>
      </w:r>
      <w:r w:rsidR="00EF15DD" w:rsidRPr="00113364">
        <w:rPr>
          <w:rFonts w:ascii="Arial" w:hAnsi="Arial" w:cs="Arial"/>
        </w:rPr>
        <w:t>ble 2</w:t>
      </w:r>
      <w:r w:rsidR="00812DE5">
        <w:rPr>
          <w:rFonts w:ascii="Arial" w:hAnsi="Arial" w:cs="Arial"/>
        </w:rPr>
        <w:t>9</w:t>
      </w:r>
      <w:r w:rsidR="00205F4B" w:rsidRPr="00113364">
        <w:rPr>
          <w:rFonts w:ascii="Arial" w:hAnsi="Arial" w:cs="Arial"/>
        </w:rPr>
        <w:t xml:space="preserve"> identifies the strategies</w:t>
      </w:r>
      <w:r w:rsidR="00021FEA" w:rsidRPr="00113364">
        <w:rPr>
          <w:rFonts w:ascii="Arial" w:hAnsi="Arial" w:cs="Arial"/>
        </w:rPr>
        <w:t xml:space="preserve"> and</w:t>
      </w:r>
      <w:r w:rsidR="00205F4B" w:rsidRPr="00113364">
        <w:rPr>
          <w:rFonts w:ascii="Arial" w:hAnsi="Arial" w:cs="Arial"/>
        </w:rPr>
        <w:t xml:space="preserve"> </w:t>
      </w:r>
      <w:r w:rsidR="0011033B" w:rsidRPr="00113364">
        <w:rPr>
          <w:rFonts w:ascii="Arial" w:hAnsi="Arial" w:cs="Arial"/>
        </w:rPr>
        <w:t>MPOs</w:t>
      </w:r>
      <w:r w:rsidR="00205F4B" w:rsidRPr="00113364">
        <w:rPr>
          <w:rFonts w:ascii="Arial" w:hAnsi="Arial" w:cs="Arial"/>
        </w:rPr>
        <w:t xml:space="preserve"> for increasing</w:t>
      </w:r>
      <w:r w:rsidR="00EC142B" w:rsidRPr="00113364">
        <w:rPr>
          <w:rFonts w:ascii="Arial" w:hAnsi="Arial" w:cs="Arial"/>
        </w:rPr>
        <w:t xml:space="preserve"> </w:t>
      </w:r>
      <w:r w:rsidR="000847A1" w:rsidRPr="00113364">
        <w:rPr>
          <w:rFonts w:ascii="Arial" w:hAnsi="Arial" w:cs="Arial"/>
        </w:rPr>
        <w:t>o</w:t>
      </w:r>
      <w:r w:rsidR="00EC142B" w:rsidRPr="00113364">
        <w:rPr>
          <w:rFonts w:ascii="Arial" w:hAnsi="Arial" w:cs="Arial"/>
        </w:rPr>
        <w:t>vera</w:t>
      </w:r>
      <w:r w:rsidR="000847A1" w:rsidRPr="00113364">
        <w:rPr>
          <w:rFonts w:ascii="Arial" w:hAnsi="Arial" w:cs="Arial"/>
        </w:rPr>
        <w:t xml:space="preserve">ll </w:t>
      </w:r>
      <w:r w:rsidR="00E7492F" w:rsidRPr="00113364">
        <w:rPr>
          <w:rFonts w:ascii="Arial" w:hAnsi="Arial" w:cs="Arial"/>
        </w:rPr>
        <w:t>mathematics</w:t>
      </w:r>
      <w:r w:rsidR="00EC142B" w:rsidRPr="00113364">
        <w:rPr>
          <w:rFonts w:ascii="Arial" w:hAnsi="Arial" w:cs="Arial"/>
        </w:rPr>
        <w:t xml:space="preserve"> </w:t>
      </w:r>
      <w:r w:rsidR="000847A1" w:rsidRPr="00113364">
        <w:rPr>
          <w:rFonts w:ascii="Arial" w:hAnsi="Arial" w:cs="Arial"/>
        </w:rPr>
        <w:t>a</w:t>
      </w:r>
      <w:r w:rsidR="00205F4B" w:rsidRPr="00113364">
        <w:rPr>
          <w:rFonts w:ascii="Arial" w:hAnsi="Arial" w:cs="Arial"/>
        </w:rPr>
        <w:t>chievement</w:t>
      </w:r>
      <w:r w:rsidR="000847A1" w:rsidRPr="00113364">
        <w:rPr>
          <w:rFonts w:ascii="Arial" w:hAnsi="Arial" w:cs="Arial"/>
        </w:rPr>
        <w:t>,</w:t>
      </w:r>
      <w:r w:rsidR="007736A6" w:rsidRPr="00113364">
        <w:rPr>
          <w:rFonts w:ascii="Arial" w:hAnsi="Arial" w:cs="Arial"/>
        </w:rPr>
        <w:t xml:space="preserve"> </w:t>
      </w:r>
      <w:r w:rsidR="0048317D" w:rsidRPr="00113364">
        <w:rPr>
          <w:rFonts w:ascii="Arial" w:hAnsi="Arial" w:cs="Arial"/>
        </w:rPr>
        <w:t xml:space="preserve">including </w:t>
      </w:r>
      <w:r w:rsidR="0048317D" w:rsidRPr="00113364">
        <w:rPr>
          <w:rFonts w:ascii="Arial" w:hAnsi="Arial" w:cs="Arial"/>
        </w:rPr>
        <w:lastRenderedPageBreak/>
        <w:t>concepts and procedures</w:t>
      </w:r>
      <w:r w:rsidR="000847A1" w:rsidRPr="00113364">
        <w:rPr>
          <w:rFonts w:ascii="Arial" w:hAnsi="Arial" w:cs="Arial"/>
        </w:rPr>
        <w:t>. T</w:t>
      </w:r>
      <w:r w:rsidR="00DE1273" w:rsidRPr="00113364">
        <w:rPr>
          <w:rFonts w:ascii="Arial" w:hAnsi="Arial" w:cs="Arial"/>
        </w:rPr>
        <w:t xml:space="preserve">he </w:t>
      </w:r>
      <w:r w:rsidR="007736A6" w:rsidRPr="00113364">
        <w:rPr>
          <w:rFonts w:ascii="Arial" w:hAnsi="Arial" w:cs="Arial"/>
        </w:rPr>
        <w:t xml:space="preserve">performance target for the </w:t>
      </w:r>
      <w:proofErr w:type="gramStart"/>
      <w:r w:rsidR="007736A6" w:rsidRPr="00113364">
        <w:rPr>
          <w:rFonts w:ascii="Arial" w:hAnsi="Arial" w:cs="Arial"/>
        </w:rPr>
        <w:t>Mathematics</w:t>
      </w:r>
      <w:proofErr w:type="gramEnd"/>
      <w:r w:rsidR="007736A6" w:rsidRPr="00113364">
        <w:rPr>
          <w:rFonts w:ascii="Arial" w:hAnsi="Arial" w:cs="Arial"/>
        </w:rPr>
        <w:t xml:space="preserve"> </w:t>
      </w:r>
      <w:r w:rsidR="00AD0D2B" w:rsidRPr="00113364">
        <w:rPr>
          <w:rFonts w:ascii="Arial" w:hAnsi="Arial" w:cs="Arial"/>
        </w:rPr>
        <w:t>f</w:t>
      </w:r>
      <w:r w:rsidR="007736A6" w:rsidRPr="00113364">
        <w:rPr>
          <w:rFonts w:ascii="Arial" w:hAnsi="Arial" w:cs="Arial"/>
        </w:rPr>
        <w:t xml:space="preserve">ocus </w:t>
      </w:r>
      <w:r w:rsidR="00AD0D2B" w:rsidRPr="00113364">
        <w:rPr>
          <w:rFonts w:ascii="Arial" w:hAnsi="Arial" w:cs="Arial"/>
        </w:rPr>
        <w:t>a</w:t>
      </w:r>
      <w:r w:rsidR="007736A6" w:rsidRPr="00113364">
        <w:rPr>
          <w:rFonts w:ascii="Arial" w:hAnsi="Arial" w:cs="Arial"/>
        </w:rPr>
        <w:t>rea follows table 2</w:t>
      </w:r>
      <w:r w:rsidR="00812DE5">
        <w:rPr>
          <w:rFonts w:ascii="Arial" w:hAnsi="Arial" w:cs="Arial"/>
        </w:rPr>
        <w:t>9</w:t>
      </w:r>
      <w:r w:rsidR="00021FEA" w:rsidRPr="00113364">
        <w:rPr>
          <w:rFonts w:ascii="Arial" w:hAnsi="Arial" w:cs="Arial"/>
        </w:rPr>
        <w:t>.</w:t>
      </w:r>
    </w:p>
    <w:p w14:paraId="51E68B2F" w14:textId="782104B3" w:rsidR="0005472F" w:rsidRPr="00113364" w:rsidRDefault="0005472F" w:rsidP="00694080">
      <w:pPr>
        <w:spacing w:before="240" w:after="240"/>
        <w:rPr>
          <w:rFonts w:ascii="Arial" w:hAnsi="Arial" w:cs="Arial"/>
        </w:rPr>
      </w:pPr>
      <w:r w:rsidRPr="00113364">
        <w:rPr>
          <w:rFonts w:ascii="Arial" w:hAnsi="Arial" w:cs="Arial"/>
        </w:rPr>
        <w:t>As noted in Section II, the following key data points from the 20</w:t>
      </w:r>
      <w:r w:rsidR="00DB0DF8" w:rsidRPr="00113364">
        <w:rPr>
          <w:rFonts w:ascii="Arial" w:hAnsi="Arial" w:cs="Arial"/>
        </w:rPr>
        <w:t>22</w:t>
      </w:r>
      <w:r w:rsidRPr="00113364">
        <w:rPr>
          <w:rFonts w:ascii="Arial" w:hAnsi="Arial" w:cs="Arial"/>
        </w:rPr>
        <w:t>–</w:t>
      </w:r>
      <w:r w:rsidR="00DB0DF8" w:rsidRPr="00113364">
        <w:rPr>
          <w:rFonts w:ascii="Arial" w:hAnsi="Arial" w:cs="Arial"/>
        </w:rPr>
        <w:t>23</w:t>
      </w:r>
      <w:r w:rsidRPr="00113364">
        <w:rPr>
          <w:rFonts w:ascii="Arial" w:hAnsi="Arial" w:cs="Arial"/>
        </w:rPr>
        <w:t xml:space="preserve"> Smarter Balanced </w:t>
      </w:r>
      <w:r w:rsidR="000C143F" w:rsidRPr="00113364">
        <w:rPr>
          <w:rFonts w:ascii="Arial" w:hAnsi="Arial" w:cs="Arial"/>
        </w:rPr>
        <w:t xml:space="preserve">Summative </w:t>
      </w:r>
      <w:r w:rsidRPr="00113364">
        <w:rPr>
          <w:rFonts w:ascii="Arial" w:hAnsi="Arial" w:cs="Arial"/>
        </w:rPr>
        <w:t xml:space="preserve">Assessment led to the committee prioritizing the need to increase </w:t>
      </w:r>
      <w:r w:rsidR="000847A1" w:rsidRPr="00113364">
        <w:rPr>
          <w:rFonts w:ascii="Arial" w:hAnsi="Arial" w:cs="Arial"/>
        </w:rPr>
        <w:t>o</w:t>
      </w:r>
      <w:r w:rsidRPr="00113364">
        <w:rPr>
          <w:rFonts w:ascii="Arial" w:hAnsi="Arial" w:cs="Arial"/>
        </w:rPr>
        <w:t xml:space="preserve">verall </w:t>
      </w:r>
      <w:r w:rsidR="00E7492F" w:rsidRPr="00113364">
        <w:rPr>
          <w:rFonts w:ascii="Arial" w:hAnsi="Arial" w:cs="Arial"/>
        </w:rPr>
        <w:t>mathematics</w:t>
      </w:r>
      <w:r w:rsidRPr="00113364">
        <w:rPr>
          <w:rFonts w:ascii="Arial" w:hAnsi="Arial" w:cs="Arial"/>
        </w:rPr>
        <w:t xml:space="preserve"> </w:t>
      </w:r>
      <w:r w:rsidR="000847A1" w:rsidRPr="00113364">
        <w:rPr>
          <w:rFonts w:ascii="Arial" w:hAnsi="Arial" w:cs="Arial"/>
        </w:rPr>
        <w:t>a</w:t>
      </w:r>
      <w:r w:rsidRPr="00113364">
        <w:rPr>
          <w:rFonts w:ascii="Arial" w:hAnsi="Arial" w:cs="Arial"/>
        </w:rPr>
        <w:t xml:space="preserve">chievement by focusing on </w:t>
      </w:r>
      <w:r w:rsidR="00DB0DF8" w:rsidRPr="00113364">
        <w:rPr>
          <w:rFonts w:ascii="Arial" w:hAnsi="Arial" w:cs="Arial"/>
        </w:rPr>
        <w:t>c</w:t>
      </w:r>
      <w:r w:rsidRPr="00113364">
        <w:rPr>
          <w:rFonts w:ascii="Arial" w:hAnsi="Arial" w:cs="Arial"/>
        </w:rPr>
        <w:t xml:space="preserve">laim 1 – </w:t>
      </w:r>
      <w:r w:rsidR="00DB0DF8" w:rsidRPr="00113364">
        <w:rPr>
          <w:rFonts w:ascii="Arial" w:hAnsi="Arial" w:cs="Arial"/>
        </w:rPr>
        <w:t>c</w:t>
      </w:r>
      <w:r w:rsidRPr="00113364">
        <w:rPr>
          <w:rFonts w:ascii="Arial" w:hAnsi="Arial" w:cs="Arial"/>
        </w:rPr>
        <w:t xml:space="preserve">oncepts and </w:t>
      </w:r>
      <w:r w:rsidR="00DB0DF8" w:rsidRPr="00113364">
        <w:rPr>
          <w:rFonts w:ascii="Arial" w:hAnsi="Arial" w:cs="Arial"/>
        </w:rPr>
        <w:t>p</w:t>
      </w:r>
      <w:r w:rsidRPr="00113364">
        <w:rPr>
          <w:rFonts w:ascii="Arial" w:hAnsi="Arial" w:cs="Arial"/>
        </w:rPr>
        <w:t>rocedures:</w:t>
      </w:r>
    </w:p>
    <w:p w14:paraId="3988A520" w14:textId="531497B2" w:rsidR="00DB0DF8" w:rsidRPr="00113364" w:rsidRDefault="00DB0DF8">
      <w:pPr>
        <w:pStyle w:val="List-Level1"/>
        <w:numPr>
          <w:ilvl w:val="0"/>
          <w:numId w:val="45"/>
        </w:numPr>
        <w:spacing w:after="240" w:line="240" w:lineRule="auto"/>
        <w:rPr>
          <w:rFonts w:cs="Arial"/>
          <w:color w:val="auto"/>
        </w:rPr>
      </w:pPr>
      <w:r w:rsidRPr="00113364">
        <w:rPr>
          <w:rFonts w:cs="Arial"/>
          <w:color w:val="auto"/>
        </w:rPr>
        <w:t>In 2022–23, 14.3</w:t>
      </w:r>
      <w:r w:rsidRPr="00113364">
        <w:rPr>
          <w:rFonts w:cs="Arial"/>
        </w:rPr>
        <w:t> </w:t>
      </w:r>
      <w:r w:rsidRPr="00113364">
        <w:rPr>
          <w:rFonts w:cs="Arial"/>
          <w:color w:val="auto"/>
        </w:rPr>
        <w:t xml:space="preserve">percent of migratory students met or exceeded the CAASPP </w:t>
      </w:r>
      <w:r w:rsidR="000847A1" w:rsidRPr="00113364">
        <w:rPr>
          <w:rFonts w:cs="Arial"/>
          <w:color w:val="auto"/>
        </w:rPr>
        <w:t>o</w:t>
      </w:r>
      <w:r w:rsidRPr="00113364">
        <w:rPr>
          <w:rFonts w:cs="Arial"/>
          <w:color w:val="auto"/>
        </w:rPr>
        <w:t xml:space="preserve">verall </w:t>
      </w:r>
      <w:r w:rsidR="00E7492F" w:rsidRPr="00113364">
        <w:rPr>
          <w:rFonts w:cs="Arial"/>
          <w:color w:val="auto"/>
        </w:rPr>
        <w:t>mathematics</w:t>
      </w:r>
      <w:r w:rsidRPr="00113364">
        <w:rPr>
          <w:rFonts w:cs="Arial"/>
          <w:color w:val="auto"/>
        </w:rPr>
        <w:t xml:space="preserve"> </w:t>
      </w:r>
      <w:r w:rsidR="00E7492F" w:rsidRPr="00113364">
        <w:rPr>
          <w:rFonts w:cs="Arial"/>
          <w:color w:val="auto"/>
        </w:rPr>
        <w:t>achievement</w:t>
      </w:r>
      <w:r w:rsidRPr="00113364">
        <w:rPr>
          <w:rFonts w:cs="Arial"/>
          <w:color w:val="auto"/>
        </w:rPr>
        <w:t xml:space="preserve"> while 34.6</w:t>
      </w:r>
      <w:r w:rsidRPr="00113364">
        <w:rPr>
          <w:rFonts w:cs="Arial"/>
        </w:rPr>
        <w:t> </w:t>
      </w:r>
      <w:r w:rsidRPr="00113364">
        <w:rPr>
          <w:rFonts w:cs="Arial"/>
          <w:color w:val="auto"/>
        </w:rPr>
        <w:t xml:space="preserve">percent of all students met or exceeded the standards. </w:t>
      </w:r>
    </w:p>
    <w:p w14:paraId="33091A0A" w14:textId="6FDFAE32" w:rsidR="0005472F" w:rsidRPr="00113364" w:rsidRDefault="00DB0DF8">
      <w:pPr>
        <w:pStyle w:val="ListParagraph"/>
        <w:numPr>
          <w:ilvl w:val="0"/>
          <w:numId w:val="45"/>
        </w:numPr>
        <w:spacing w:after="240"/>
        <w:contextualSpacing w:val="0"/>
        <w:rPr>
          <w:rFonts w:ascii="Arial" w:hAnsi="Arial" w:cs="Arial"/>
        </w:rPr>
      </w:pPr>
      <w:r w:rsidRPr="00113364">
        <w:rPr>
          <w:rFonts w:ascii="Arial" w:hAnsi="Arial" w:cs="Arial"/>
        </w:rPr>
        <w:t xml:space="preserve">In 2022–23, migratory PFS students were 27.8 percentage points less likely than all students to score at standard met or standard exceeded on overall </w:t>
      </w:r>
      <w:r w:rsidR="00E7492F" w:rsidRPr="00113364">
        <w:rPr>
          <w:rFonts w:ascii="Arial" w:hAnsi="Arial" w:cs="Arial"/>
        </w:rPr>
        <w:t>mathematics</w:t>
      </w:r>
      <w:r w:rsidRPr="00113364">
        <w:rPr>
          <w:rFonts w:ascii="Arial" w:hAnsi="Arial" w:cs="Arial"/>
        </w:rPr>
        <w:t xml:space="preserve"> achievement</w:t>
      </w:r>
      <w:r w:rsidR="0005472F" w:rsidRPr="00113364">
        <w:rPr>
          <w:rFonts w:ascii="Arial" w:hAnsi="Arial" w:cs="Arial"/>
        </w:rPr>
        <w:t>.</w:t>
      </w:r>
    </w:p>
    <w:p w14:paraId="0DD88938" w14:textId="23DB4B4E" w:rsidR="003F318B" w:rsidRPr="00113364" w:rsidRDefault="003F318B">
      <w:pPr>
        <w:pStyle w:val="ListParagraph"/>
        <w:numPr>
          <w:ilvl w:val="0"/>
          <w:numId w:val="45"/>
        </w:numPr>
        <w:spacing w:after="240"/>
        <w:contextualSpacing w:val="0"/>
        <w:rPr>
          <w:rFonts w:ascii="Arial" w:hAnsi="Arial" w:cs="Arial"/>
        </w:rPr>
      </w:pPr>
      <w:r w:rsidRPr="00113364">
        <w:rPr>
          <w:rFonts w:ascii="Arial" w:hAnsi="Arial" w:cs="Arial"/>
        </w:rPr>
        <w:t>Just over 19 percent of all students, 5.8 percent of migratory students, and 2.2 percent of migratory PFS students scored above standard on the mathematics concepts and procedures claim for all grades.</w:t>
      </w:r>
    </w:p>
    <w:p w14:paraId="7F38BE5B" w14:textId="1AE5F596" w:rsidR="0005472F" w:rsidRPr="00113364" w:rsidRDefault="00DB0DF8" w:rsidP="0005472F">
      <w:pPr>
        <w:spacing w:after="240"/>
        <w:rPr>
          <w:rFonts w:ascii="Arial" w:hAnsi="Arial" w:cs="Arial"/>
        </w:rPr>
      </w:pPr>
      <w:r w:rsidRPr="00113364">
        <w:rPr>
          <w:rFonts w:ascii="Arial" w:hAnsi="Arial" w:cs="Arial"/>
        </w:rPr>
        <w:t>T</w:t>
      </w:r>
      <w:r w:rsidR="0005472F" w:rsidRPr="00113364">
        <w:rPr>
          <w:rFonts w:ascii="Arial" w:hAnsi="Arial" w:cs="Arial"/>
        </w:rPr>
        <w:t xml:space="preserve">he California MEP </w:t>
      </w:r>
      <w:r w:rsidRPr="00113364">
        <w:rPr>
          <w:rFonts w:ascii="Arial" w:hAnsi="Arial" w:cs="Arial"/>
        </w:rPr>
        <w:t>will implement t</w:t>
      </w:r>
      <w:r w:rsidR="008B4578" w:rsidRPr="00113364">
        <w:rPr>
          <w:rFonts w:ascii="Arial" w:hAnsi="Arial" w:cs="Arial"/>
        </w:rPr>
        <w:t xml:space="preserve">wo </w:t>
      </w:r>
      <w:r w:rsidRPr="00113364">
        <w:rPr>
          <w:rFonts w:ascii="Arial" w:hAnsi="Arial" w:cs="Arial"/>
        </w:rPr>
        <w:t>strategies to support in</w:t>
      </w:r>
      <w:r w:rsidR="0005472F" w:rsidRPr="00113364">
        <w:rPr>
          <w:rFonts w:ascii="Arial" w:hAnsi="Arial" w:cs="Arial"/>
        </w:rPr>
        <w:t>creas</w:t>
      </w:r>
      <w:r w:rsidRPr="00113364">
        <w:rPr>
          <w:rFonts w:ascii="Arial" w:hAnsi="Arial" w:cs="Arial"/>
        </w:rPr>
        <w:t>ing</w:t>
      </w:r>
      <w:r w:rsidR="0005472F" w:rsidRPr="00113364">
        <w:rPr>
          <w:rFonts w:ascii="Arial" w:hAnsi="Arial" w:cs="Arial"/>
        </w:rPr>
        <w:t xml:space="preserve"> migratory students’ </w:t>
      </w:r>
      <w:r w:rsidR="008B4578" w:rsidRPr="00113364">
        <w:rPr>
          <w:rFonts w:ascii="Arial" w:hAnsi="Arial" w:cs="Arial"/>
        </w:rPr>
        <w:t xml:space="preserve">overall </w:t>
      </w:r>
      <w:r w:rsidR="0005472F" w:rsidRPr="00113364">
        <w:rPr>
          <w:rFonts w:ascii="Arial" w:hAnsi="Arial" w:cs="Arial"/>
        </w:rPr>
        <w:t>math</w:t>
      </w:r>
      <w:r w:rsidR="008B4578" w:rsidRPr="00113364">
        <w:rPr>
          <w:rFonts w:ascii="Arial" w:hAnsi="Arial" w:cs="Arial"/>
        </w:rPr>
        <w:t>ematics</w:t>
      </w:r>
      <w:r w:rsidR="0005472F" w:rsidRPr="00113364">
        <w:rPr>
          <w:rFonts w:ascii="Arial" w:hAnsi="Arial" w:cs="Arial"/>
        </w:rPr>
        <w:t xml:space="preserve"> proficiency</w:t>
      </w:r>
      <w:r w:rsidR="008B4578" w:rsidRPr="00113364">
        <w:rPr>
          <w:rFonts w:ascii="Arial" w:hAnsi="Arial" w:cs="Arial"/>
        </w:rPr>
        <w:t xml:space="preserve"> with enhanced improvement in concepts and procedures</w:t>
      </w:r>
      <w:r w:rsidR="0005472F" w:rsidRPr="00113364">
        <w:rPr>
          <w:rFonts w:ascii="Arial" w:hAnsi="Arial" w:cs="Arial"/>
        </w:rPr>
        <w:t>.</w:t>
      </w:r>
      <w:r w:rsidRPr="00113364">
        <w:rPr>
          <w:rFonts w:ascii="Arial" w:hAnsi="Arial" w:cs="Arial"/>
        </w:rPr>
        <w:t xml:space="preserve"> </w:t>
      </w:r>
      <w:r w:rsidR="008B4578" w:rsidRPr="00113364">
        <w:rPr>
          <w:rFonts w:ascii="Arial" w:hAnsi="Arial" w:cs="Arial"/>
        </w:rPr>
        <w:t>As discussed</w:t>
      </w:r>
      <w:r w:rsidR="00101A85" w:rsidRPr="00113364">
        <w:rPr>
          <w:rFonts w:ascii="Arial" w:hAnsi="Arial" w:cs="Arial"/>
        </w:rPr>
        <w:t xml:space="preserve"> in the ELA section, e</w:t>
      </w:r>
      <w:r w:rsidRPr="00113364">
        <w:rPr>
          <w:rFonts w:ascii="Arial" w:hAnsi="Arial" w:cs="Arial"/>
        </w:rPr>
        <w:t xml:space="preserve">ach strategy </w:t>
      </w:r>
      <w:r w:rsidR="008B4578" w:rsidRPr="00113364">
        <w:rPr>
          <w:rFonts w:ascii="Arial" w:hAnsi="Arial" w:cs="Arial"/>
        </w:rPr>
        <w:t xml:space="preserve">is accompanied by a </w:t>
      </w:r>
      <w:r w:rsidR="000C143F" w:rsidRPr="00113364">
        <w:rPr>
          <w:rFonts w:ascii="Arial" w:hAnsi="Arial" w:cs="Arial"/>
        </w:rPr>
        <w:t>corresponding</w:t>
      </w:r>
      <w:r w:rsidRPr="00113364">
        <w:rPr>
          <w:rFonts w:ascii="Arial" w:hAnsi="Arial" w:cs="Arial"/>
        </w:rPr>
        <w:t xml:space="preserve"> MPO which measures annual implementation</w:t>
      </w:r>
      <w:r w:rsidR="00101A85" w:rsidRPr="00113364">
        <w:rPr>
          <w:rFonts w:ascii="Arial" w:hAnsi="Arial" w:cs="Arial"/>
        </w:rPr>
        <w:t>, or</w:t>
      </w:r>
      <w:r w:rsidRPr="00113364">
        <w:rPr>
          <w:rFonts w:ascii="Arial" w:hAnsi="Arial" w:cs="Arial"/>
        </w:rPr>
        <w:t xml:space="preserve"> </w:t>
      </w:r>
      <w:r w:rsidR="003F318B" w:rsidRPr="00113364">
        <w:rPr>
          <w:rFonts w:ascii="Arial" w:hAnsi="Arial" w:cs="Arial"/>
        </w:rPr>
        <w:t xml:space="preserve">the annual goal California </w:t>
      </w:r>
      <w:r w:rsidR="008B4578" w:rsidRPr="00113364">
        <w:rPr>
          <w:rFonts w:ascii="Arial" w:hAnsi="Arial" w:cs="Arial"/>
        </w:rPr>
        <w:t>pursues</w:t>
      </w:r>
      <w:r w:rsidR="003F318B" w:rsidRPr="00113364">
        <w:rPr>
          <w:rFonts w:ascii="Arial" w:hAnsi="Arial" w:cs="Arial"/>
        </w:rPr>
        <w:t xml:space="preserve"> </w:t>
      </w:r>
      <w:r w:rsidR="008B4578" w:rsidRPr="00113364">
        <w:rPr>
          <w:rFonts w:ascii="Arial" w:hAnsi="Arial" w:cs="Arial"/>
        </w:rPr>
        <w:t xml:space="preserve">to </w:t>
      </w:r>
      <w:r w:rsidR="003F318B" w:rsidRPr="00113364">
        <w:rPr>
          <w:rFonts w:ascii="Arial" w:hAnsi="Arial" w:cs="Arial"/>
        </w:rPr>
        <w:t xml:space="preserve">address the </w:t>
      </w:r>
      <w:r w:rsidR="008B4578" w:rsidRPr="00113364">
        <w:rPr>
          <w:rFonts w:ascii="Arial" w:hAnsi="Arial" w:cs="Arial"/>
        </w:rPr>
        <w:t>identified</w:t>
      </w:r>
      <w:r w:rsidR="003F318B" w:rsidRPr="00113364">
        <w:rPr>
          <w:rFonts w:ascii="Arial" w:hAnsi="Arial" w:cs="Arial"/>
        </w:rPr>
        <w:t xml:space="preserve"> need (e.g., instruction in concepts and procedures).</w:t>
      </w:r>
      <w:r w:rsidR="008B4578" w:rsidRPr="00113364">
        <w:rPr>
          <w:rFonts w:ascii="Arial" w:hAnsi="Arial" w:cs="Arial"/>
        </w:rPr>
        <w:t xml:space="preserve"> These strategies and MPOs</w:t>
      </w:r>
      <w:r w:rsidR="00B575DD" w:rsidRPr="00113364">
        <w:rPr>
          <w:rFonts w:ascii="Arial" w:hAnsi="Arial" w:cs="Arial"/>
        </w:rPr>
        <w:t xml:space="preserve"> for </w:t>
      </w:r>
      <w:r w:rsidR="00AD0D2B" w:rsidRPr="00113364">
        <w:rPr>
          <w:rFonts w:ascii="Arial" w:hAnsi="Arial" w:cs="Arial"/>
        </w:rPr>
        <w:t>o</w:t>
      </w:r>
      <w:r w:rsidR="00B575DD" w:rsidRPr="00113364">
        <w:rPr>
          <w:rFonts w:ascii="Arial" w:hAnsi="Arial" w:cs="Arial"/>
        </w:rPr>
        <w:t xml:space="preserve">verall </w:t>
      </w:r>
      <w:r w:rsidR="00AD0D2B" w:rsidRPr="00113364">
        <w:rPr>
          <w:rFonts w:ascii="Arial" w:hAnsi="Arial" w:cs="Arial"/>
        </w:rPr>
        <w:t>m</w:t>
      </w:r>
      <w:r w:rsidR="00E7492F" w:rsidRPr="00113364">
        <w:rPr>
          <w:rFonts w:ascii="Arial" w:hAnsi="Arial" w:cs="Arial"/>
        </w:rPr>
        <w:t>athematics</w:t>
      </w:r>
      <w:r w:rsidR="00B575DD" w:rsidRPr="00113364">
        <w:rPr>
          <w:rFonts w:ascii="Arial" w:hAnsi="Arial" w:cs="Arial"/>
        </w:rPr>
        <w:t xml:space="preserve"> </w:t>
      </w:r>
      <w:r w:rsidR="00AD0D2B" w:rsidRPr="00113364">
        <w:rPr>
          <w:rFonts w:ascii="Arial" w:hAnsi="Arial" w:cs="Arial"/>
        </w:rPr>
        <w:t>a</w:t>
      </w:r>
      <w:r w:rsidR="00B575DD" w:rsidRPr="00113364">
        <w:rPr>
          <w:rFonts w:ascii="Arial" w:hAnsi="Arial" w:cs="Arial"/>
        </w:rPr>
        <w:t>chievement</w:t>
      </w:r>
      <w:r w:rsidR="008B4578" w:rsidRPr="00113364">
        <w:rPr>
          <w:rFonts w:ascii="Arial" w:hAnsi="Arial" w:cs="Arial"/>
        </w:rPr>
        <w:t xml:space="preserve"> are outlined in table 29 below.</w:t>
      </w:r>
    </w:p>
    <w:p w14:paraId="48AECAB5" w14:textId="0DBE1D7C" w:rsidR="00BD3CAE" w:rsidRPr="00113364" w:rsidRDefault="00BD3CAE" w:rsidP="00330CD6">
      <w:pPr>
        <w:pStyle w:val="Heading4"/>
        <w:spacing w:after="0"/>
        <w:rPr>
          <w:i/>
          <w:sz w:val="24"/>
        </w:rPr>
      </w:pPr>
      <w:bookmarkStart w:id="73" w:name="_Toc193815154"/>
      <w:bookmarkStart w:id="74" w:name="_Toc204755365"/>
      <w:r w:rsidRPr="00113364">
        <w:rPr>
          <w:sz w:val="24"/>
        </w:rPr>
        <w:t xml:space="preserve">Table </w:t>
      </w:r>
      <w:r w:rsidRPr="00113364">
        <w:rPr>
          <w:i/>
          <w:sz w:val="24"/>
        </w:rPr>
        <w:fldChar w:fldCharType="begin"/>
      </w:r>
      <w:r w:rsidRPr="00113364">
        <w:rPr>
          <w:sz w:val="24"/>
        </w:rPr>
        <w:instrText xml:space="preserve"> SEQ Table \* ARABIC </w:instrText>
      </w:r>
      <w:r w:rsidRPr="00113364">
        <w:rPr>
          <w:i/>
          <w:sz w:val="24"/>
        </w:rPr>
        <w:fldChar w:fldCharType="separate"/>
      </w:r>
      <w:r w:rsidR="001362A0">
        <w:rPr>
          <w:noProof/>
          <w:sz w:val="24"/>
        </w:rPr>
        <w:t>29</w:t>
      </w:r>
      <w:r w:rsidRPr="00113364">
        <w:rPr>
          <w:i/>
          <w:noProof/>
          <w:sz w:val="24"/>
        </w:rPr>
        <w:fldChar w:fldCharType="end"/>
      </w:r>
      <w:r w:rsidRPr="00113364">
        <w:rPr>
          <w:sz w:val="24"/>
        </w:rPr>
        <w:t xml:space="preserve">. Strategies and Measurable Program Objectives for Increasing Overall </w:t>
      </w:r>
      <w:r w:rsidR="00E7492F" w:rsidRPr="00113364">
        <w:rPr>
          <w:sz w:val="24"/>
        </w:rPr>
        <w:t>Mathematics</w:t>
      </w:r>
      <w:r w:rsidRPr="00113364">
        <w:rPr>
          <w:sz w:val="24"/>
        </w:rPr>
        <w:t xml:space="preserve"> Achievement</w:t>
      </w:r>
      <w:bookmarkEnd w:id="73"/>
      <w:bookmarkEnd w:id="74"/>
    </w:p>
    <w:tbl>
      <w:tblPr>
        <w:tblStyle w:val="GridTable4-Accent1"/>
        <w:tblW w:w="0" w:type="auto"/>
        <w:tblLook w:val="0420" w:firstRow="1" w:lastRow="0" w:firstColumn="0" w:lastColumn="0" w:noHBand="0" w:noVBand="1"/>
        <w:tblDescription w:val="Strategies and Measurable Program Objectives for Increasing Overall Math Achievement"/>
      </w:tblPr>
      <w:tblGrid>
        <w:gridCol w:w="3822"/>
        <w:gridCol w:w="5443"/>
      </w:tblGrid>
      <w:tr w:rsidR="00BD3CAE" w:rsidRPr="00113364" w14:paraId="14122141" w14:textId="77777777" w:rsidTr="00EB4984">
        <w:trPr>
          <w:cnfStyle w:val="100000000000" w:firstRow="1" w:lastRow="0" w:firstColumn="0" w:lastColumn="0" w:oddVBand="0" w:evenVBand="0" w:oddHBand="0" w:evenHBand="0" w:firstRowFirstColumn="0" w:firstRowLastColumn="0" w:lastRowFirstColumn="0" w:lastRowLastColumn="0"/>
          <w:cantSplit/>
          <w:tblHeader/>
        </w:trPr>
        <w:tc>
          <w:tcPr>
            <w:tcW w:w="3822" w:type="dxa"/>
            <w:tcBorders>
              <w:right w:val="single" w:sz="4" w:space="0" w:color="4472C4"/>
            </w:tcBorders>
            <w:shd w:val="clear" w:color="auto" w:fill="1F3864" w:themeFill="accent5" w:themeFillShade="80"/>
          </w:tcPr>
          <w:p w14:paraId="74A35CF0" w14:textId="77777777" w:rsidR="00BD3CAE" w:rsidRPr="00113364" w:rsidRDefault="00BD3CAE" w:rsidP="00EB4984">
            <w:pPr>
              <w:spacing w:after="120"/>
              <w:rPr>
                <w:rFonts w:ascii="Arial" w:hAnsi="Arial" w:cs="Arial"/>
                <w:color w:val="FFFFFF"/>
              </w:rPr>
            </w:pPr>
            <w:r w:rsidRPr="00113364">
              <w:rPr>
                <w:rFonts w:ascii="Arial" w:hAnsi="Arial" w:cs="Arial"/>
                <w:color w:val="FFFFFF"/>
              </w:rPr>
              <w:t>Strategies</w:t>
            </w:r>
          </w:p>
        </w:tc>
        <w:tc>
          <w:tcPr>
            <w:tcW w:w="5443" w:type="dxa"/>
            <w:tcBorders>
              <w:left w:val="single" w:sz="4" w:space="0" w:color="4472C4"/>
            </w:tcBorders>
            <w:shd w:val="clear" w:color="auto" w:fill="1F3864" w:themeFill="accent5" w:themeFillShade="80"/>
          </w:tcPr>
          <w:p w14:paraId="3A316590" w14:textId="77777777" w:rsidR="00BD3CAE" w:rsidRPr="00113364" w:rsidRDefault="00BD3CAE" w:rsidP="00EB4984">
            <w:pPr>
              <w:spacing w:after="120"/>
              <w:rPr>
                <w:rFonts w:ascii="Arial" w:hAnsi="Arial" w:cs="Arial"/>
                <w:color w:val="FFFFFF"/>
              </w:rPr>
            </w:pPr>
            <w:r w:rsidRPr="00113364">
              <w:rPr>
                <w:rFonts w:ascii="Arial" w:hAnsi="Arial" w:cs="Arial"/>
                <w:color w:val="FFFFFF"/>
              </w:rPr>
              <w:t>Measurable Program Objectives</w:t>
            </w:r>
          </w:p>
        </w:tc>
      </w:tr>
      <w:tr w:rsidR="00BD3CAE" w:rsidRPr="00113364" w14:paraId="405C150A" w14:textId="77777777" w:rsidTr="00EB4984">
        <w:trPr>
          <w:cnfStyle w:val="000000100000" w:firstRow="0" w:lastRow="0" w:firstColumn="0" w:lastColumn="0" w:oddVBand="0" w:evenVBand="0" w:oddHBand="1" w:evenHBand="0" w:firstRowFirstColumn="0" w:firstRowLastColumn="0" w:lastRowFirstColumn="0" w:lastRowLastColumn="0"/>
          <w:cantSplit/>
        </w:trPr>
        <w:tc>
          <w:tcPr>
            <w:tcW w:w="3822" w:type="dxa"/>
          </w:tcPr>
          <w:p w14:paraId="16926939" w14:textId="02DC530B" w:rsidR="00BD3CAE" w:rsidRPr="00113364" w:rsidRDefault="00BD3CAE" w:rsidP="00EB4984">
            <w:pPr>
              <w:spacing w:after="120"/>
              <w:rPr>
                <w:rFonts w:ascii="Arial" w:hAnsi="Arial" w:cs="Arial"/>
              </w:rPr>
            </w:pPr>
            <w:bookmarkStart w:id="75" w:name="_Hlk209515891"/>
            <w:r w:rsidRPr="00113364">
              <w:rPr>
                <w:rFonts w:ascii="Arial" w:hAnsi="Arial" w:cs="Arial"/>
                <w:b/>
              </w:rPr>
              <w:t xml:space="preserve">Strategy 2.0: </w:t>
            </w:r>
            <w:r w:rsidRPr="00113364">
              <w:rPr>
                <w:rFonts w:ascii="Arial" w:hAnsi="Arial" w:cs="Arial"/>
              </w:rPr>
              <w:t xml:space="preserve">Offer innovative </w:t>
            </w:r>
            <w:r w:rsidR="00E7492F" w:rsidRPr="00113364">
              <w:rPr>
                <w:rFonts w:ascii="Arial" w:hAnsi="Arial" w:cs="Arial"/>
              </w:rPr>
              <w:t>mathematics</w:t>
            </w:r>
            <w:r w:rsidRPr="00113364">
              <w:rPr>
                <w:rFonts w:ascii="Arial" w:hAnsi="Arial" w:cs="Arial"/>
              </w:rPr>
              <w:t xml:space="preserve"> services that focus on locally identified standards-based, data-driven needs (e.g., </w:t>
            </w:r>
            <w:r w:rsidR="00E7492F" w:rsidRPr="00113364">
              <w:rPr>
                <w:rFonts w:ascii="Arial" w:hAnsi="Arial" w:cs="Arial"/>
              </w:rPr>
              <w:t>mathematics</w:t>
            </w:r>
            <w:r w:rsidRPr="00113364">
              <w:rPr>
                <w:rFonts w:ascii="Arial" w:hAnsi="Arial" w:cs="Arial"/>
              </w:rPr>
              <w:t xml:space="preserve"> claims with largest achievement gap, </w:t>
            </w:r>
            <w:r w:rsidR="00E7492F" w:rsidRPr="00113364">
              <w:rPr>
                <w:rFonts w:ascii="Arial" w:hAnsi="Arial" w:cs="Arial"/>
              </w:rPr>
              <w:t>mathematics</w:t>
            </w:r>
            <w:r w:rsidRPr="00113364">
              <w:rPr>
                <w:rFonts w:ascii="Arial" w:hAnsi="Arial" w:cs="Arial"/>
              </w:rPr>
              <w:t xml:space="preserve"> benchmark data) with a focus on foundational skills.</w:t>
            </w:r>
            <w:bookmarkEnd w:id="75"/>
            <w:r w:rsidR="00281F22">
              <w:rPr>
                <w:rStyle w:val="FootnoteReference"/>
                <w:rFonts w:ascii="Arial" w:hAnsi="Arial" w:cs="Arial"/>
              </w:rPr>
              <w:footnoteReference w:id="19"/>
            </w:r>
          </w:p>
        </w:tc>
        <w:tc>
          <w:tcPr>
            <w:tcW w:w="5443" w:type="dxa"/>
          </w:tcPr>
          <w:p w14:paraId="09DB6270" w14:textId="2B84853F" w:rsidR="00BD3CAE" w:rsidRPr="00113364" w:rsidRDefault="00BD3CAE" w:rsidP="00EB4984">
            <w:pPr>
              <w:rPr>
                <w:rFonts w:ascii="Arial" w:hAnsi="Arial" w:cs="Arial"/>
              </w:rPr>
            </w:pPr>
            <w:bookmarkStart w:id="76" w:name="_Hlk209515901"/>
            <w:r w:rsidRPr="00113364">
              <w:rPr>
                <w:rFonts w:ascii="Arial" w:hAnsi="Arial" w:cs="Arial"/>
                <w:b/>
              </w:rPr>
              <w:t xml:space="preserve">Measurable Program Objective 2.0: </w:t>
            </w:r>
            <w:r w:rsidRPr="00113364">
              <w:rPr>
                <w:rFonts w:ascii="Arial" w:hAnsi="Arial" w:cs="Arial"/>
              </w:rPr>
              <w:t xml:space="preserve">Starting with baseline data collection in 2026–27, the MEP will increase the percentage of </w:t>
            </w:r>
            <w:r w:rsidR="00AD0D2B" w:rsidRPr="00113364">
              <w:rPr>
                <w:rFonts w:ascii="Arial" w:hAnsi="Arial" w:cs="Arial"/>
              </w:rPr>
              <w:t>kindergarten through twelfth grade</w:t>
            </w:r>
            <w:r w:rsidRPr="00113364">
              <w:rPr>
                <w:rFonts w:ascii="Arial" w:hAnsi="Arial" w:cs="Arial"/>
              </w:rPr>
              <w:t xml:space="preserve"> students who are below proficiency to participate in a </w:t>
            </w:r>
            <w:r w:rsidR="00E7492F" w:rsidRPr="00113364">
              <w:rPr>
                <w:rFonts w:ascii="Arial" w:hAnsi="Arial" w:cs="Arial"/>
              </w:rPr>
              <w:t>mathematics</w:t>
            </w:r>
            <w:r w:rsidRPr="00113364">
              <w:rPr>
                <w:rFonts w:ascii="Arial" w:hAnsi="Arial" w:cs="Arial"/>
              </w:rPr>
              <w:t xml:space="preserve"> service by </w:t>
            </w:r>
            <w:r w:rsidR="002F6438">
              <w:rPr>
                <w:rFonts w:ascii="Arial" w:hAnsi="Arial" w:cs="Arial"/>
              </w:rPr>
              <w:t>three</w:t>
            </w:r>
            <w:r w:rsidRPr="00113364">
              <w:rPr>
                <w:rFonts w:ascii="Arial" w:hAnsi="Arial" w:cs="Arial"/>
              </w:rPr>
              <w:t> percent annually.</w:t>
            </w:r>
            <w:bookmarkEnd w:id="76"/>
          </w:p>
        </w:tc>
      </w:tr>
      <w:tr w:rsidR="00BD3CAE" w:rsidRPr="00113364" w14:paraId="1F40AE74" w14:textId="77777777" w:rsidTr="00EB4984">
        <w:trPr>
          <w:cantSplit/>
          <w:trHeight w:val="341"/>
        </w:trPr>
        <w:tc>
          <w:tcPr>
            <w:tcW w:w="3822" w:type="dxa"/>
          </w:tcPr>
          <w:p w14:paraId="279FFCDF" w14:textId="4A22AAAD" w:rsidR="00BD3CAE" w:rsidRPr="00113364" w:rsidRDefault="00BD3CAE" w:rsidP="00EB4984">
            <w:pPr>
              <w:rPr>
                <w:rFonts w:ascii="Arial" w:hAnsi="Arial" w:cs="Arial"/>
              </w:rPr>
            </w:pPr>
            <w:bookmarkStart w:id="77" w:name="_Hlk209515963"/>
            <w:r w:rsidRPr="00113364">
              <w:rPr>
                <w:rFonts w:ascii="Arial" w:hAnsi="Arial" w:cs="Arial"/>
                <w:b/>
              </w:rPr>
              <w:lastRenderedPageBreak/>
              <w:t xml:space="preserve">Strategy 2.1: </w:t>
            </w:r>
            <w:r w:rsidRPr="00113364">
              <w:rPr>
                <w:rFonts w:ascii="Arial" w:hAnsi="Arial" w:cs="Arial"/>
                <w:bCs/>
              </w:rPr>
              <w:t xml:space="preserve">Offer </w:t>
            </w:r>
            <w:r w:rsidR="00E7492F" w:rsidRPr="00113364">
              <w:rPr>
                <w:rFonts w:ascii="Arial" w:hAnsi="Arial" w:cs="Arial"/>
              </w:rPr>
              <w:t>mathematics</w:t>
            </w:r>
            <w:r w:rsidRPr="00113364">
              <w:rPr>
                <w:rFonts w:ascii="Arial" w:hAnsi="Arial" w:cs="Arial"/>
              </w:rPr>
              <w:t xml:space="preserve"> literacy activities for parents and families focused on understanding student assessment data, why proficiency is important, and how parents can support student achievement.</w:t>
            </w:r>
            <w:bookmarkEnd w:id="77"/>
          </w:p>
        </w:tc>
        <w:tc>
          <w:tcPr>
            <w:tcW w:w="5443" w:type="dxa"/>
          </w:tcPr>
          <w:p w14:paraId="3FB4C17E" w14:textId="78B54840" w:rsidR="00BD3CAE" w:rsidRPr="00113364" w:rsidRDefault="00BD3CAE" w:rsidP="00EB4984">
            <w:pPr>
              <w:spacing w:after="240"/>
              <w:rPr>
                <w:rFonts w:ascii="Arial" w:hAnsi="Arial" w:cs="Arial"/>
              </w:rPr>
            </w:pPr>
            <w:bookmarkStart w:id="78" w:name="_Hlk209515985"/>
            <w:r w:rsidRPr="00113364">
              <w:rPr>
                <w:rFonts w:ascii="Arial" w:hAnsi="Arial" w:cs="Arial"/>
                <w:b/>
              </w:rPr>
              <w:t xml:space="preserve">Measurable Program Objective 2.1: </w:t>
            </w:r>
            <w:r w:rsidRPr="00113364">
              <w:rPr>
                <w:rFonts w:ascii="Arial" w:hAnsi="Arial" w:cs="Arial"/>
              </w:rPr>
              <w:t xml:space="preserve">Every year the MEP must provide two workshops on developing parents’ </w:t>
            </w:r>
            <w:r w:rsidR="00E7492F" w:rsidRPr="00113364">
              <w:rPr>
                <w:rFonts w:ascii="Arial" w:hAnsi="Arial" w:cs="Arial"/>
              </w:rPr>
              <w:t>mathematics</w:t>
            </w:r>
            <w:r w:rsidRPr="00113364">
              <w:rPr>
                <w:rFonts w:ascii="Arial" w:hAnsi="Arial" w:cs="Arial"/>
              </w:rPr>
              <w:t xml:space="preserve"> literacy in support of increasing student achievement in </w:t>
            </w:r>
            <w:r w:rsidR="00E7492F" w:rsidRPr="00113364">
              <w:rPr>
                <w:rFonts w:ascii="Arial" w:hAnsi="Arial" w:cs="Arial"/>
              </w:rPr>
              <w:t>mathematics</w:t>
            </w:r>
            <w:r w:rsidRPr="00113364">
              <w:rPr>
                <w:rFonts w:ascii="Arial" w:hAnsi="Arial" w:cs="Arial"/>
              </w:rPr>
              <w:t>.</w:t>
            </w:r>
          </w:p>
          <w:bookmarkEnd w:id="78"/>
          <w:p w14:paraId="146FC762" w14:textId="15F87BBC" w:rsidR="00BD3CAE" w:rsidRPr="00113364" w:rsidRDefault="00BD3CAE" w:rsidP="00EB4984">
            <w:pPr>
              <w:rPr>
                <w:rFonts w:ascii="Arial" w:hAnsi="Arial" w:cs="Arial"/>
              </w:rPr>
            </w:pPr>
            <w:r w:rsidRPr="00113364">
              <w:rPr>
                <w:rFonts w:ascii="Arial" w:hAnsi="Arial" w:cs="Arial"/>
              </w:rPr>
              <w:t xml:space="preserve">Workshops can be targeted </w:t>
            </w:r>
            <w:proofErr w:type="gramStart"/>
            <w:r w:rsidRPr="00113364">
              <w:rPr>
                <w:rFonts w:ascii="Arial" w:hAnsi="Arial" w:cs="Arial"/>
              </w:rPr>
              <w:t>toward</w:t>
            </w:r>
            <w:proofErr w:type="gramEnd"/>
            <w:r w:rsidRPr="00113364">
              <w:rPr>
                <w:rFonts w:ascii="Arial" w:hAnsi="Arial" w:cs="Arial"/>
              </w:rPr>
              <w:t xml:space="preserve"> parents only or you can offer </w:t>
            </w:r>
            <w:r w:rsidR="00E7492F" w:rsidRPr="00113364">
              <w:rPr>
                <w:rFonts w:ascii="Arial" w:hAnsi="Arial" w:cs="Arial"/>
              </w:rPr>
              <w:t>Mathematics</w:t>
            </w:r>
            <w:r w:rsidRPr="00113364">
              <w:rPr>
                <w:rFonts w:ascii="Arial" w:hAnsi="Arial" w:cs="Arial"/>
              </w:rPr>
              <w:t xml:space="preserve"> Family Literacy Nights that also cover the content identified in the strategy.</w:t>
            </w:r>
          </w:p>
        </w:tc>
      </w:tr>
    </w:tbl>
    <w:p w14:paraId="0F71664B" w14:textId="78AF9776" w:rsidR="00BD3CAE" w:rsidRPr="00113364" w:rsidRDefault="00BD3CAE" w:rsidP="00BD3CAE">
      <w:pPr>
        <w:spacing w:before="240"/>
        <w:rPr>
          <w:rFonts w:ascii="Arial" w:hAnsi="Arial" w:cs="Arial"/>
        </w:rPr>
      </w:pPr>
      <w:r w:rsidRPr="00113364">
        <w:rPr>
          <w:rFonts w:ascii="Arial" w:hAnsi="Arial" w:cs="Arial"/>
        </w:rPr>
        <w:t xml:space="preserve">Performance </w:t>
      </w:r>
      <w:r w:rsidR="002F6438">
        <w:rPr>
          <w:rFonts w:ascii="Arial" w:hAnsi="Arial" w:cs="Arial"/>
        </w:rPr>
        <w:t>t</w:t>
      </w:r>
      <w:r w:rsidRPr="00113364">
        <w:rPr>
          <w:rFonts w:ascii="Arial" w:hAnsi="Arial" w:cs="Arial"/>
        </w:rPr>
        <w:t xml:space="preserve">arget for the </w:t>
      </w:r>
      <w:proofErr w:type="gramStart"/>
      <w:r w:rsidRPr="00113364">
        <w:rPr>
          <w:rFonts w:ascii="Arial" w:hAnsi="Arial" w:cs="Arial"/>
        </w:rPr>
        <w:t>Mathematics</w:t>
      </w:r>
      <w:proofErr w:type="gramEnd"/>
      <w:r w:rsidRPr="00113364">
        <w:rPr>
          <w:rFonts w:ascii="Arial" w:hAnsi="Arial" w:cs="Arial"/>
        </w:rPr>
        <w:t xml:space="preserve"> focus area: By September 2031, 20.5 percent of migratory students will score at proficient levels (scoring at level 3 or level 4).</w:t>
      </w:r>
    </w:p>
    <w:p w14:paraId="0C6E1009" w14:textId="214387D5" w:rsidR="00BD3CAE" w:rsidRPr="00113364" w:rsidRDefault="00BD3CAE" w:rsidP="00BD3CAE">
      <w:pPr>
        <w:spacing w:before="240" w:after="240"/>
        <w:rPr>
          <w:rFonts w:ascii="Arial" w:hAnsi="Arial" w:cs="Arial"/>
        </w:rPr>
      </w:pPr>
      <w:r w:rsidRPr="00113364">
        <w:rPr>
          <w:rFonts w:ascii="Arial" w:hAnsi="Arial" w:cs="Arial"/>
        </w:rPr>
        <w:t xml:space="preserve">The CNA SDP committee noted the importance of offering engaging services that include project-based learning opportunities and integration of content areas. For example, if teachers want to integrate </w:t>
      </w:r>
      <w:r w:rsidR="009704AF" w:rsidRPr="00113364">
        <w:rPr>
          <w:rFonts w:ascii="Arial" w:hAnsi="Arial" w:cs="Arial"/>
        </w:rPr>
        <w:t xml:space="preserve">standards-based </w:t>
      </w:r>
      <w:r w:rsidR="00E7492F" w:rsidRPr="00113364">
        <w:rPr>
          <w:rFonts w:ascii="Arial" w:hAnsi="Arial" w:cs="Arial"/>
        </w:rPr>
        <w:t>mathematics</w:t>
      </w:r>
      <w:r w:rsidR="009704AF" w:rsidRPr="00113364">
        <w:rPr>
          <w:rFonts w:ascii="Arial" w:hAnsi="Arial" w:cs="Arial"/>
        </w:rPr>
        <w:t xml:space="preserve"> instruction</w:t>
      </w:r>
      <w:r w:rsidRPr="00113364">
        <w:rPr>
          <w:rFonts w:ascii="Arial" w:hAnsi="Arial" w:cs="Arial"/>
        </w:rPr>
        <w:t xml:space="preserve"> and music after mastering basic fractions, </w:t>
      </w:r>
      <w:r w:rsidR="00E7492F" w:rsidRPr="00113364">
        <w:rPr>
          <w:rFonts w:ascii="Arial" w:hAnsi="Arial" w:cs="Arial"/>
        </w:rPr>
        <w:t>mathematics</w:t>
      </w:r>
      <w:r w:rsidRPr="00113364">
        <w:rPr>
          <w:rFonts w:ascii="Arial" w:hAnsi="Arial" w:cs="Arial"/>
        </w:rPr>
        <w:t xml:space="preserve"> services might include teaching students how to read music and play a couple of songs on the recorder. Project-based learning </w:t>
      </w:r>
      <w:r w:rsidR="009704AF" w:rsidRPr="00113364">
        <w:rPr>
          <w:rFonts w:ascii="Arial" w:hAnsi="Arial" w:cs="Arial"/>
        </w:rPr>
        <w:t xml:space="preserve">for fractions </w:t>
      </w:r>
      <w:r w:rsidRPr="00113364">
        <w:rPr>
          <w:rFonts w:ascii="Arial" w:hAnsi="Arial" w:cs="Arial"/>
        </w:rPr>
        <w:t xml:space="preserve">might include student groups who receive a fictional amount of funding to open a pizzeria. Students engage in a planning </w:t>
      </w:r>
      <w:r w:rsidR="00B15083" w:rsidRPr="00113364">
        <w:rPr>
          <w:rFonts w:ascii="Arial" w:hAnsi="Arial" w:cs="Arial"/>
        </w:rPr>
        <w:t>process where</w:t>
      </w:r>
      <w:r w:rsidRPr="00113364">
        <w:rPr>
          <w:rFonts w:ascii="Arial" w:hAnsi="Arial" w:cs="Arial"/>
        </w:rPr>
        <w:t xml:space="preserve"> they identify a space to build the restaurant, develop recipes based on the number of people served, identify costs for their menu using wholesale discounts, and practice word problems based on customers’ orders. </w:t>
      </w:r>
    </w:p>
    <w:p w14:paraId="7569D300" w14:textId="3DA328F9" w:rsidR="00BD3CAE" w:rsidRPr="00113364" w:rsidRDefault="00BD3CAE" w:rsidP="00767B67">
      <w:pPr>
        <w:spacing w:after="240"/>
      </w:pPr>
      <w:r w:rsidRPr="00113364">
        <w:rPr>
          <w:rFonts w:ascii="Arial" w:hAnsi="Arial" w:cs="Arial"/>
        </w:rPr>
        <w:t xml:space="preserve">As always, </w:t>
      </w:r>
      <w:r w:rsidR="00E7492F" w:rsidRPr="00113364">
        <w:rPr>
          <w:rFonts w:ascii="Arial" w:hAnsi="Arial" w:cs="Arial"/>
        </w:rPr>
        <w:t>mathematics</w:t>
      </w:r>
      <w:r w:rsidRPr="00113364">
        <w:rPr>
          <w:rFonts w:ascii="Arial" w:hAnsi="Arial" w:cs="Arial"/>
        </w:rPr>
        <w:t xml:space="preserve"> instruction should be based on the needs of students and data. Although the second prioritized need identified in the statewide CNA focuses on claim 1 – concepts and procedures, that might not be the greatest need locally. Subgrantees have the flexibility to focus on standards-based instruction for the </w:t>
      </w:r>
      <w:r w:rsidR="00E7492F" w:rsidRPr="00113364">
        <w:rPr>
          <w:rFonts w:ascii="Arial" w:hAnsi="Arial" w:cs="Arial"/>
        </w:rPr>
        <w:t>mathematics</w:t>
      </w:r>
      <w:r w:rsidRPr="00113364">
        <w:rPr>
          <w:rFonts w:ascii="Arial" w:hAnsi="Arial" w:cs="Arial"/>
        </w:rPr>
        <w:t xml:space="preserve"> claim(s) with the largest achievement gap. Agreeing with the data, parents and MEP staff responded to the initial needs survey that </w:t>
      </w:r>
      <w:r w:rsidR="00E7492F" w:rsidRPr="00113364">
        <w:rPr>
          <w:rFonts w:ascii="Arial" w:hAnsi="Arial" w:cs="Arial"/>
        </w:rPr>
        <w:t>mathematics</w:t>
      </w:r>
      <w:r w:rsidRPr="00113364">
        <w:rPr>
          <w:rFonts w:ascii="Arial" w:hAnsi="Arial" w:cs="Arial"/>
        </w:rPr>
        <w:t xml:space="preserve"> was a high priority need for school-aged youth. Following mathematics, the third highest instructional priority according to MEP staff and parents is ELD</w:t>
      </w:r>
      <w:r w:rsidR="009704AF" w:rsidRPr="00113364">
        <w:rPr>
          <w:rFonts w:ascii="Arial" w:hAnsi="Arial" w:cs="Arial"/>
        </w:rPr>
        <w:t xml:space="preserve"> which is also integrated into all mathematics services</w:t>
      </w:r>
      <w:r w:rsidRPr="00113364">
        <w:rPr>
          <w:rFonts w:ascii="Arial" w:hAnsi="Arial" w:cs="Arial"/>
        </w:rPr>
        <w:t>. The strategies to address the needs of migratory multilingual children and youth are reviewed next.</w:t>
      </w:r>
    </w:p>
    <w:p w14:paraId="2A548190" w14:textId="6A67C5D0" w:rsidR="00BA5C6E" w:rsidRPr="00113364" w:rsidRDefault="00BA5C6E" w:rsidP="003F0CBE">
      <w:pPr>
        <w:pStyle w:val="Heading3"/>
      </w:pPr>
      <w:bookmarkStart w:id="79" w:name="_Toc203568851"/>
      <w:r w:rsidRPr="00113364">
        <w:t>English Language Development</w:t>
      </w:r>
      <w:bookmarkEnd w:id="79"/>
    </w:p>
    <w:p w14:paraId="06FB4191" w14:textId="7C3E99F5" w:rsidR="001E44C7" w:rsidRPr="00113364" w:rsidRDefault="001E44C7" w:rsidP="00261292">
      <w:pPr>
        <w:spacing w:before="240" w:after="240"/>
        <w:rPr>
          <w:rFonts w:ascii="Arial" w:hAnsi="Arial" w:cs="Arial"/>
        </w:rPr>
      </w:pPr>
      <w:r w:rsidRPr="00113364">
        <w:rPr>
          <w:rFonts w:ascii="Arial" w:hAnsi="Arial" w:cs="Arial"/>
        </w:rPr>
        <w:t xml:space="preserve">For </w:t>
      </w:r>
      <w:r w:rsidR="00A07033" w:rsidRPr="00113364">
        <w:rPr>
          <w:rFonts w:ascii="Arial" w:hAnsi="Arial" w:cs="Arial"/>
        </w:rPr>
        <w:t>multilingual</w:t>
      </w:r>
      <w:r w:rsidRPr="00113364">
        <w:rPr>
          <w:rFonts w:ascii="Arial" w:hAnsi="Arial" w:cs="Arial"/>
        </w:rPr>
        <w:t xml:space="preserve"> students, ELD is essential to accessing the content and developing students’ skills, abilities, and knowledge in literacy, language, and content areas. The California ELD Standards “emphasize the same cross-disciplinary and meaningful interactions with complex texts and </w:t>
      </w:r>
      <w:r w:rsidR="00A07033" w:rsidRPr="00113364">
        <w:rPr>
          <w:rFonts w:ascii="Arial" w:hAnsi="Arial" w:cs="Arial"/>
        </w:rPr>
        <w:t>intellectually rich</w:t>
      </w:r>
      <w:r w:rsidRPr="00113364">
        <w:rPr>
          <w:rFonts w:ascii="Arial" w:hAnsi="Arial" w:cs="Arial"/>
        </w:rPr>
        <w:t xml:space="preserve"> tasks” as demonstrated in the California Common Core State Standards with a commitment to making content fully </w:t>
      </w:r>
      <w:r w:rsidRPr="00113364">
        <w:rPr>
          <w:rFonts w:ascii="Arial" w:hAnsi="Arial" w:cs="Arial"/>
        </w:rPr>
        <w:lastRenderedPageBreak/>
        <w:t xml:space="preserve">accessible to </w:t>
      </w:r>
      <w:r w:rsidR="00A07033" w:rsidRPr="00113364">
        <w:rPr>
          <w:rFonts w:ascii="Arial" w:hAnsi="Arial" w:cs="Arial"/>
        </w:rPr>
        <w:t>multilingual</w:t>
      </w:r>
      <w:r w:rsidRPr="00113364">
        <w:rPr>
          <w:rFonts w:ascii="Arial" w:hAnsi="Arial" w:cs="Arial"/>
        </w:rPr>
        <w:t xml:space="preserve"> students. The </w:t>
      </w:r>
      <w:r w:rsidRPr="00F01299">
        <w:rPr>
          <w:rFonts w:ascii="Arial" w:hAnsi="Arial" w:cs="Arial"/>
          <w:i/>
          <w:iCs/>
        </w:rPr>
        <w:t>California ELA/ELD Standards</w:t>
      </w:r>
      <w:r w:rsidRPr="00113364">
        <w:rPr>
          <w:rFonts w:ascii="Arial" w:hAnsi="Arial" w:cs="Arial"/>
        </w:rPr>
        <w:t xml:space="preserve"> are built on three premises and inform how instruction for </w:t>
      </w:r>
      <w:r w:rsidR="00A07033" w:rsidRPr="00113364">
        <w:rPr>
          <w:rFonts w:ascii="Arial" w:hAnsi="Arial" w:cs="Arial"/>
        </w:rPr>
        <w:t>multilingual</w:t>
      </w:r>
      <w:r w:rsidRPr="00113364">
        <w:rPr>
          <w:rFonts w:ascii="Arial" w:hAnsi="Arial" w:cs="Arial"/>
        </w:rPr>
        <w:t xml:space="preserve"> students is developed: 1) use English purposefully, 2) interacting in meaningful ways, and 3) understanding how English works.</w:t>
      </w:r>
      <w:r w:rsidR="003F7897" w:rsidRPr="00113364">
        <w:rPr>
          <w:rFonts w:ascii="Arial" w:hAnsi="Arial" w:cs="Arial"/>
        </w:rPr>
        <w:t xml:space="preserve"> Developing teaching and learning activities using the ELD standards supports learning the specific content scaffolding students’ ability to engage with the content and their peers.</w:t>
      </w:r>
    </w:p>
    <w:p w14:paraId="1F9C4B7D" w14:textId="0FB5CFCE" w:rsidR="00867ABA" w:rsidRPr="00113364" w:rsidRDefault="001E44C7" w:rsidP="000926F8">
      <w:pPr>
        <w:spacing w:after="240"/>
        <w:rPr>
          <w:rFonts w:ascii="Arial" w:hAnsi="Arial" w:cs="Arial"/>
        </w:rPr>
      </w:pPr>
      <w:r w:rsidRPr="00113364">
        <w:rPr>
          <w:rFonts w:ascii="Arial" w:hAnsi="Arial" w:cs="Arial"/>
        </w:rPr>
        <w:t xml:space="preserve">Upon analysis of the ELPAC </w:t>
      </w:r>
      <w:r w:rsidR="00530E1D" w:rsidRPr="00113364">
        <w:rPr>
          <w:rFonts w:ascii="Arial" w:hAnsi="Arial" w:cs="Arial"/>
        </w:rPr>
        <w:t xml:space="preserve">overall and domain specific </w:t>
      </w:r>
      <w:r w:rsidRPr="00113364">
        <w:rPr>
          <w:rFonts w:ascii="Arial" w:hAnsi="Arial" w:cs="Arial"/>
        </w:rPr>
        <w:t>data, the C</w:t>
      </w:r>
      <w:r w:rsidR="00A07033" w:rsidRPr="00113364">
        <w:rPr>
          <w:rFonts w:ascii="Arial" w:hAnsi="Arial" w:cs="Arial"/>
        </w:rPr>
        <w:t>NA SDP Committee p</w:t>
      </w:r>
      <w:r w:rsidRPr="00113364">
        <w:rPr>
          <w:rFonts w:ascii="Arial" w:hAnsi="Arial" w:cs="Arial"/>
        </w:rPr>
        <w:t xml:space="preserve">rioritized the </w:t>
      </w:r>
      <w:r w:rsidR="002B6E96" w:rsidRPr="00113364">
        <w:rPr>
          <w:rFonts w:ascii="Arial" w:hAnsi="Arial" w:cs="Arial"/>
        </w:rPr>
        <w:t xml:space="preserve">top two </w:t>
      </w:r>
      <w:r w:rsidRPr="00113364">
        <w:rPr>
          <w:rFonts w:ascii="Arial" w:hAnsi="Arial" w:cs="Arial"/>
        </w:rPr>
        <w:t>ELP needs of migratory children</w:t>
      </w:r>
      <w:r w:rsidR="002B6E96" w:rsidRPr="00113364">
        <w:rPr>
          <w:rFonts w:ascii="Arial" w:hAnsi="Arial" w:cs="Arial"/>
        </w:rPr>
        <w:t xml:space="preserve">: overall </w:t>
      </w:r>
      <w:r w:rsidR="00B03119">
        <w:rPr>
          <w:rFonts w:ascii="Arial" w:hAnsi="Arial" w:cs="Arial"/>
        </w:rPr>
        <w:t>ELP</w:t>
      </w:r>
      <w:r w:rsidR="002B6E96" w:rsidRPr="00113364">
        <w:rPr>
          <w:rFonts w:ascii="Arial" w:hAnsi="Arial" w:cs="Arial"/>
        </w:rPr>
        <w:t xml:space="preserve"> and reading proficiency</w:t>
      </w:r>
      <w:r w:rsidRPr="00113364">
        <w:rPr>
          <w:rFonts w:ascii="Arial" w:hAnsi="Arial" w:cs="Arial"/>
        </w:rPr>
        <w:t xml:space="preserve">. </w:t>
      </w:r>
      <w:r w:rsidR="000926F8" w:rsidRPr="00113364">
        <w:rPr>
          <w:rFonts w:ascii="Arial" w:hAnsi="Arial" w:cs="Arial"/>
        </w:rPr>
        <w:t>A review of the k</w:t>
      </w:r>
      <w:r w:rsidR="00A555F3" w:rsidRPr="00113364">
        <w:rPr>
          <w:rFonts w:ascii="Arial" w:hAnsi="Arial" w:cs="Arial"/>
        </w:rPr>
        <w:t>ey data points</w:t>
      </w:r>
      <w:r w:rsidR="000926F8" w:rsidRPr="00113364">
        <w:rPr>
          <w:rFonts w:ascii="Arial" w:hAnsi="Arial" w:cs="Arial"/>
        </w:rPr>
        <w:t xml:space="preserve"> from the 2022–23 ELPAC</w:t>
      </w:r>
      <w:r w:rsidR="00A555F3" w:rsidRPr="00113364">
        <w:rPr>
          <w:rFonts w:ascii="Arial" w:hAnsi="Arial" w:cs="Arial"/>
        </w:rPr>
        <w:t xml:space="preserve"> determining the needs are articulated below</w:t>
      </w:r>
      <w:r w:rsidR="007F00D9" w:rsidRPr="00113364">
        <w:rPr>
          <w:rFonts w:ascii="Arial" w:hAnsi="Arial" w:cs="Arial"/>
        </w:rPr>
        <w:t>:</w:t>
      </w:r>
    </w:p>
    <w:p w14:paraId="7DEC1C49" w14:textId="0BDC17E6" w:rsidR="007F00D9" w:rsidRPr="00113364" w:rsidRDefault="007F00D9" w:rsidP="007F00D9">
      <w:pPr>
        <w:spacing w:after="240"/>
        <w:rPr>
          <w:rFonts w:ascii="Arial" w:hAnsi="Arial" w:cs="Arial"/>
        </w:rPr>
      </w:pPr>
      <w:r w:rsidRPr="00113364">
        <w:rPr>
          <w:rFonts w:ascii="Arial" w:hAnsi="Arial" w:cs="Arial"/>
        </w:rPr>
        <w:t>20</w:t>
      </w:r>
      <w:r w:rsidR="00F44052" w:rsidRPr="00113364">
        <w:rPr>
          <w:rFonts w:ascii="Arial" w:hAnsi="Arial" w:cs="Arial"/>
        </w:rPr>
        <w:t>22</w:t>
      </w:r>
      <w:r w:rsidRPr="00113364">
        <w:rPr>
          <w:rFonts w:ascii="Arial" w:hAnsi="Arial" w:cs="Arial"/>
        </w:rPr>
        <w:t>–</w:t>
      </w:r>
      <w:r w:rsidR="00F44052" w:rsidRPr="00113364">
        <w:rPr>
          <w:rFonts w:ascii="Arial" w:hAnsi="Arial" w:cs="Arial"/>
        </w:rPr>
        <w:t>23</w:t>
      </w:r>
      <w:r w:rsidRPr="00113364">
        <w:rPr>
          <w:rFonts w:ascii="Arial" w:hAnsi="Arial" w:cs="Arial"/>
        </w:rPr>
        <w:t xml:space="preserve"> ELPAC Overall </w:t>
      </w:r>
      <w:r w:rsidR="000926F8" w:rsidRPr="00113364">
        <w:rPr>
          <w:rFonts w:ascii="Arial" w:hAnsi="Arial" w:cs="Arial"/>
        </w:rPr>
        <w:t xml:space="preserve">Proficiency </w:t>
      </w:r>
    </w:p>
    <w:p w14:paraId="431D36B7" w14:textId="77777777" w:rsidR="00F44052" w:rsidRPr="00113364" w:rsidRDefault="00F44052">
      <w:pPr>
        <w:pStyle w:val="ListParagraph"/>
        <w:numPr>
          <w:ilvl w:val="0"/>
          <w:numId w:val="54"/>
        </w:numPr>
        <w:spacing w:after="240"/>
        <w:contextualSpacing w:val="0"/>
        <w:rPr>
          <w:rFonts w:ascii="Arial" w:hAnsi="Arial" w:cs="Arial"/>
        </w:rPr>
      </w:pPr>
      <w:bookmarkStart w:id="80" w:name="_Hlk180398082"/>
      <w:r w:rsidRPr="00113364">
        <w:rPr>
          <w:rFonts w:ascii="Arial" w:hAnsi="Arial" w:cs="Arial"/>
        </w:rPr>
        <w:t>From 2018–19 to 2022–23, the gap between all and migratory students decreased from 4.9 percent to 4.7 percent.</w:t>
      </w:r>
    </w:p>
    <w:p w14:paraId="52C8DA94" w14:textId="4CF1CCBB" w:rsidR="00F44052" w:rsidRPr="00113364" w:rsidRDefault="00F44052">
      <w:pPr>
        <w:pStyle w:val="ListParagraph"/>
        <w:numPr>
          <w:ilvl w:val="0"/>
          <w:numId w:val="54"/>
        </w:numPr>
        <w:spacing w:after="240"/>
        <w:contextualSpacing w:val="0"/>
        <w:rPr>
          <w:rFonts w:ascii="Arial" w:hAnsi="Arial" w:cs="Arial"/>
        </w:rPr>
      </w:pPr>
      <w:r w:rsidRPr="00113364">
        <w:rPr>
          <w:rFonts w:ascii="Arial" w:hAnsi="Arial" w:cs="Arial"/>
        </w:rPr>
        <w:t>In 2022–23</w:t>
      </w:r>
      <w:r w:rsidR="002F6438">
        <w:rPr>
          <w:rFonts w:ascii="Arial" w:hAnsi="Arial" w:cs="Arial"/>
        </w:rPr>
        <w:t>,</w:t>
      </w:r>
      <w:r w:rsidRPr="00113364">
        <w:rPr>
          <w:rFonts w:ascii="Arial" w:hAnsi="Arial" w:cs="Arial"/>
        </w:rPr>
        <w:t xml:space="preserve"> 11.8 percent of migratory students were proficient overall on the ELPAC.</w:t>
      </w:r>
    </w:p>
    <w:p w14:paraId="7E764045" w14:textId="77777777" w:rsidR="00F44052" w:rsidRPr="00113364" w:rsidRDefault="00F44052">
      <w:pPr>
        <w:pStyle w:val="ListParagraph"/>
        <w:numPr>
          <w:ilvl w:val="0"/>
          <w:numId w:val="54"/>
        </w:numPr>
        <w:spacing w:after="240"/>
        <w:contextualSpacing w:val="0"/>
        <w:rPr>
          <w:rFonts w:ascii="Arial" w:hAnsi="Arial" w:cs="Arial"/>
        </w:rPr>
      </w:pPr>
      <w:r w:rsidRPr="00113364">
        <w:rPr>
          <w:rFonts w:ascii="Arial" w:hAnsi="Arial" w:cs="Arial"/>
        </w:rPr>
        <w:t>Sixteen and a half percent of all students were proficient overall on the ELPAC in 2022–23.</w:t>
      </w:r>
    </w:p>
    <w:bookmarkEnd w:id="80"/>
    <w:p w14:paraId="4A08C1D1" w14:textId="0EE6E6CF" w:rsidR="00867ABA" w:rsidRPr="00113364" w:rsidRDefault="00387F46" w:rsidP="007F00D9">
      <w:pPr>
        <w:spacing w:after="240"/>
        <w:rPr>
          <w:rFonts w:ascii="Arial" w:hAnsi="Arial" w:cs="Arial"/>
        </w:rPr>
      </w:pPr>
      <w:r w:rsidRPr="00113364">
        <w:rPr>
          <w:rFonts w:ascii="Arial" w:hAnsi="Arial" w:cs="Arial"/>
        </w:rPr>
        <w:t xml:space="preserve">2022–23 ELPAC </w:t>
      </w:r>
      <w:r w:rsidR="00F44052" w:rsidRPr="00113364">
        <w:rPr>
          <w:rFonts w:ascii="Arial" w:hAnsi="Arial" w:cs="Arial"/>
        </w:rPr>
        <w:t>Reading</w:t>
      </w:r>
      <w:r w:rsidR="007F00D9" w:rsidRPr="00113364">
        <w:rPr>
          <w:rFonts w:ascii="Arial" w:hAnsi="Arial" w:cs="Arial"/>
        </w:rPr>
        <w:t xml:space="preserve"> </w:t>
      </w:r>
      <w:r w:rsidR="000926F8" w:rsidRPr="00113364">
        <w:rPr>
          <w:rFonts w:ascii="Arial" w:hAnsi="Arial" w:cs="Arial"/>
        </w:rPr>
        <w:t>Proficiency</w:t>
      </w:r>
    </w:p>
    <w:p w14:paraId="0DC2B239" w14:textId="5D078B45" w:rsidR="00F44052" w:rsidRPr="00113364" w:rsidRDefault="00387F46">
      <w:pPr>
        <w:pStyle w:val="ListParagraph"/>
        <w:numPr>
          <w:ilvl w:val="0"/>
          <w:numId w:val="55"/>
        </w:numPr>
        <w:spacing w:after="240"/>
        <w:contextualSpacing w:val="0"/>
        <w:rPr>
          <w:rFonts w:ascii="Arial" w:hAnsi="Arial" w:cs="Arial"/>
        </w:rPr>
      </w:pPr>
      <w:r w:rsidRPr="00113364">
        <w:rPr>
          <w:rFonts w:ascii="Arial" w:hAnsi="Arial" w:cs="Arial"/>
        </w:rPr>
        <w:t>In 2022–23</w:t>
      </w:r>
      <w:r w:rsidR="002F6438">
        <w:rPr>
          <w:rFonts w:ascii="Arial" w:hAnsi="Arial" w:cs="Arial"/>
        </w:rPr>
        <w:t>,</w:t>
      </w:r>
      <w:r w:rsidRPr="00113364">
        <w:rPr>
          <w:rFonts w:ascii="Arial" w:hAnsi="Arial" w:cs="Arial"/>
        </w:rPr>
        <w:t xml:space="preserve"> </w:t>
      </w:r>
      <w:r w:rsidR="00F44052" w:rsidRPr="00113364">
        <w:rPr>
          <w:rFonts w:ascii="Arial" w:hAnsi="Arial" w:cs="Arial"/>
        </w:rPr>
        <w:t xml:space="preserve">7.8 percent of migratory students </w:t>
      </w:r>
      <w:r w:rsidRPr="00113364">
        <w:rPr>
          <w:rFonts w:ascii="Arial" w:hAnsi="Arial" w:cs="Arial"/>
        </w:rPr>
        <w:t>we</w:t>
      </w:r>
      <w:r w:rsidR="00F44052" w:rsidRPr="00113364">
        <w:rPr>
          <w:rFonts w:ascii="Arial" w:hAnsi="Arial" w:cs="Arial"/>
        </w:rPr>
        <w:t xml:space="preserve">re proficient </w:t>
      </w:r>
      <w:r w:rsidRPr="00113364">
        <w:rPr>
          <w:rFonts w:ascii="Arial" w:hAnsi="Arial" w:cs="Arial"/>
        </w:rPr>
        <w:t>on</w:t>
      </w:r>
      <w:r w:rsidR="00F44052" w:rsidRPr="00113364">
        <w:rPr>
          <w:rFonts w:ascii="Arial" w:hAnsi="Arial" w:cs="Arial"/>
        </w:rPr>
        <w:t xml:space="preserve"> the </w:t>
      </w:r>
      <w:r w:rsidRPr="00113364">
        <w:rPr>
          <w:rFonts w:ascii="Arial" w:hAnsi="Arial" w:cs="Arial"/>
        </w:rPr>
        <w:t>ELPAC</w:t>
      </w:r>
      <w:r w:rsidR="00F44052" w:rsidRPr="00113364">
        <w:rPr>
          <w:rFonts w:ascii="Arial" w:hAnsi="Arial" w:cs="Arial"/>
        </w:rPr>
        <w:t xml:space="preserve"> reading domain.</w:t>
      </w:r>
    </w:p>
    <w:p w14:paraId="013BDB74" w14:textId="2C7998F5" w:rsidR="00F44052" w:rsidRPr="00113364" w:rsidRDefault="00387F46">
      <w:pPr>
        <w:pStyle w:val="ListParagraph"/>
        <w:numPr>
          <w:ilvl w:val="0"/>
          <w:numId w:val="55"/>
        </w:numPr>
        <w:spacing w:after="240"/>
        <w:contextualSpacing w:val="0"/>
        <w:rPr>
          <w:rFonts w:ascii="Arial" w:hAnsi="Arial" w:cs="Arial"/>
        </w:rPr>
      </w:pPr>
      <w:r w:rsidRPr="00113364">
        <w:rPr>
          <w:rFonts w:ascii="Arial" w:hAnsi="Arial" w:cs="Arial"/>
        </w:rPr>
        <w:t>Eleven</w:t>
      </w:r>
      <w:r w:rsidR="00F44052" w:rsidRPr="00113364">
        <w:rPr>
          <w:rFonts w:ascii="Arial" w:hAnsi="Arial" w:cs="Arial"/>
        </w:rPr>
        <w:t xml:space="preserve"> percent of all students </w:t>
      </w:r>
      <w:r w:rsidRPr="00113364">
        <w:rPr>
          <w:rFonts w:ascii="Arial" w:hAnsi="Arial" w:cs="Arial"/>
        </w:rPr>
        <w:t>we</w:t>
      </w:r>
      <w:r w:rsidR="00F44052" w:rsidRPr="00113364">
        <w:rPr>
          <w:rFonts w:ascii="Arial" w:hAnsi="Arial" w:cs="Arial"/>
        </w:rPr>
        <w:t>re proficient in the ELPAC reading domain.</w:t>
      </w:r>
    </w:p>
    <w:p w14:paraId="2C5B1D62" w14:textId="02226035" w:rsidR="007F00D9" w:rsidRPr="00113364" w:rsidRDefault="007F00D9" w:rsidP="007F00D9">
      <w:pPr>
        <w:spacing w:after="240"/>
        <w:rPr>
          <w:rFonts w:ascii="Arial" w:hAnsi="Arial" w:cs="Arial"/>
        </w:rPr>
      </w:pPr>
      <w:r w:rsidRPr="00113364">
        <w:rPr>
          <w:rFonts w:ascii="Arial" w:hAnsi="Arial" w:cs="Arial"/>
        </w:rPr>
        <w:t>Implementing the strategies listed below</w:t>
      </w:r>
      <w:r w:rsidR="004D30F4">
        <w:rPr>
          <w:rFonts w:ascii="Arial" w:hAnsi="Arial" w:cs="Arial"/>
        </w:rPr>
        <w:t xml:space="preserve"> in table 30</w:t>
      </w:r>
      <w:r w:rsidRPr="00113364">
        <w:rPr>
          <w:rFonts w:ascii="Arial" w:hAnsi="Arial" w:cs="Arial"/>
        </w:rPr>
        <w:t xml:space="preserve">, the California MEP expects an increase in migratory students’ </w:t>
      </w:r>
      <w:r w:rsidR="00B03119">
        <w:rPr>
          <w:rFonts w:ascii="Arial" w:hAnsi="Arial" w:cs="Arial"/>
        </w:rPr>
        <w:t>ELP</w:t>
      </w:r>
      <w:r w:rsidRPr="00113364">
        <w:rPr>
          <w:rFonts w:ascii="Arial" w:hAnsi="Arial" w:cs="Arial"/>
        </w:rPr>
        <w:t xml:space="preserve"> </w:t>
      </w:r>
      <w:r w:rsidR="00D03809">
        <w:rPr>
          <w:rFonts w:ascii="Arial" w:hAnsi="Arial" w:cs="Arial"/>
        </w:rPr>
        <w:t xml:space="preserve">scores </w:t>
      </w:r>
      <w:r w:rsidRPr="00113364">
        <w:rPr>
          <w:rFonts w:ascii="Arial" w:hAnsi="Arial" w:cs="Arial"/>
        </w:rPr>
        <w:t>as illustrated by the EL</w:t>
      </w:r>
      <w:r w:rsidR="002F6438">
        <w:rPr>
          <w:rFonts w:ascii="Arial" w:hAnsi="Arial" w:cs="Arial"/>
        </w:rPr>
        <w:t>P</w:t>
      </w:r>
      <w:r w:rsidRPr="00113364">
        <w:rPr>
          <w:rFonts w:ascii="Arial" w:hAnsi="Arial" w:cs="Arial"/>
        </w:rPr>
        <w:t>AC results for Overall Achievement.</w:t>
      </w:r>
      <w:r w:rsidR="004D30F4">
        <w:rPr>
          <w:rFonts w:ascii="Arial" w:hAnsi="Arial" w:cs="Arial"/>
        </w:rPr>
        <w:t xml:space="preserve"> </w:t>
      </w:r>
    </w:p>
    <w:p w14:paraId="535F9576" w14:textId="566C3D8A" w:rsidR="0054625A" w:rsidRPr="00113364" w:rsidRDefault="0054625A" w:rsidP="00330CD6">
      <w:pPr>
        <w:pStyle w:val="Heading4"/>
        <w:spacing w:after="0"/>
        <w:rPr>
          <w:sz w:val="24"/>
        </w:rPr>
      </w:pPr>
      <w:bookmarkStart w:id="81" w:name="_Toc204755366"/>
      <w:r w:rsidRPr="00113364">
        <w:rPr>
          <w:sz w:val="24"/>
        </w:rPr>
        <w:lastRenderedPageBreak/>
        <w:t xml:space="preserve">Table </w:t>
      </w:r>
      <w:r w:rsidR="00BD3CAE" w:rsidRPr="00113364">
        <w:rPr>
          <w:sz w:val="24"/>
        </w:rPr>
        <w:fldChar w:fldCharType="begin"/>
      </w:r>
      <w:r w:rsidR="00BD3CAE" w:rsidRPr="00113364">
        <w:rPr>
          <w:sz w:val="24"/>
        </w:rPr>
        <w:instrText xml:space="preserve"> SEQ Table \* ARABIC </w:instrText>
      </w:r>
      <w:r w:rsidR="00BD3CAE" w:rsidRPr="00113364">
        <w:rPr>
          <w:sz w:val="24"/>
        </w:rPr>
        <w:fldChar w:fldCharType="separate"/>
      </w:r>
      <w:r w:rsidR="001362A0">
        <w:rPr>
          <w:noProof/>
          <w:sz w:val="24"/>
        </w:rPr>
        <w:t>30</w:t>
      </w:r>
      <w:r w:rsidR="00BD3CAE" w:rsidRPr="00113364">
        <w:rPr>
          <w:noProof/>
          <w:sz w:val="24"/>
        </w:rPr>
        <w:fldChar w:fldCharType="end"/>
      </w:r>
      <w:r w:rsidRPr="00113364">
        <w:rPr>
          <w:sz w:val="24"/>
        </w:rPr>
        <w:t xml:space="preserve">. </w:t>
      </w:r>
      <w:r w:rsidR="00514084" w:rsidRPr="00113364">
        <w:rPr>
          <w:sz w:val="24"/>
        </w:rPr>
        <w:t xml:space="preserve">Strategies and </w:t>
      </w:r>
      <w:r w:rsidR="009074C7" w:rsidRPr="00113364">
        <w:rPr>
          <w:sz w:val="24"/>
        </w:rPr>
        <w:t>Measurable Program Objectives</w:t>
      </w:r>
      <w:r w:rsidRPr="00113364">
        <w:rPr>
          <w:sz w:val="24"/>
        </w:rPr>
        <w:t xml:space="preserve"> for Increasing English Language Proficiency</w:t>
      </w:r>
      <w:bookmarkEnd w:id="81"/>
    </w:p>
    <w:tbl>
      <w:tblPr>
        <w:tblStyle w:val="GridTable4-Accent1"/>
        <w:tblW w:w="9355" w:type="dxa"/>
        <w:tblLook w:val="0420" w:firstRow="1" w:lastRow="0" w:firstColumn="0" w:lastColumn="0" w:noHBand="0" w:noVBand="1"/>
        <w:tblDescription w:val="Strategies and Measurable Program Objectives for Increasing English Language Proficiency in Grades 7–12"/>
      </w:tblPr>
      <w:tblGrid>
        <w:gridCol w:w="5125"/>
        <w:gridCol w:w="4230"/>
      </w:tblGrid>
      <w:tr w:rsidR="0005472F" w:rsidRPr="00113364" w14:paraId="7EC9D47B" w14:textId="77777777" w:rsidTr="00380628">
        <w:trPr>
          <w:cnfStyle w:val="100000000000" w:firstRow="1" w:lastRow="0" w:firstColumn="0" w:lastColumn="0" w:oddVBand="0" w:evenVBand="0" w:oddHBand="0" w:evenHBand="0" w:firstRowFirstColumn="0" w:firstRowLastColumn="0" w:lastRowFirstColumn="0" w:lastRowLastColumn="0"/>
          <w:cantSplit/>
          <w:tblHeader/>
        </w:trPr>
        <w:tc>
          <w:tcPr>
            <w:tcW w:w="5125" w:type="dxa"/>
            <w:tcBorders>
              <w:right w:val="single" w:sz="4" w:space="0" w:color="4472C4"/>
            </w:tcBorders>
            <w:shd w:val="clear" w:color="auto" w:fill="1F3864" w:themeFill="accent5" w:themeFillShade="80"/>
          </w:tcPr>
          <w:p w14:paraId="14F5BE9D" w14:textId="77777777" w:rsidR="0005472F" w:rsidRPr="00113364" w:rsidRDefault="0005472F" w:rsidP="007D443E">
            <w:pPr>
              <w:spacing w:after="120"/>
              <w:rPr>
                <w:rFonts w:ascii="Arial" w:hAnsi="Arial" w:cs="Arial"/>
                <w:color w:val="FFFFFF"/>
              </w:rPr>
            </w:pPr>
            <w:r w:rsidRPr="00113364">
              <w:rPr>
                <w:rFonts w:ascii="Arial" w:hAnsi="Arial" w:cs="Arial"/>
                <w:color w:val="FFFFFF"/>
              </w:rPr>
              <w:t>Strategies</w:t>
            </w:r>
          </w:p>
        </w:tc>
        <w:tc>
          <w:tcPr>
            <w:tcW w:w="4230" w:type="dxa"/>
            <w:tcBorders>
              <w:left w:val="single" w:sz="4" w:space="0" w:color="4472C4"/>
            </w:tcBorders>
            <w:shd w:val="clear" w:color="auto" w:fill="1F3864" w:themeFill="accent5" w:themeFillShade="80"/>
          </w:tcPr>
          <w:p w14:paraId="329E5258" w14:textId="77777777" w:rsidR="0005472F" w:rsidRPr="00113364" w:rsidRDefault="0005472F" w:rsidP="007D443E">
            <w:pPr>
              <w:spacing w:after="120"/>
              <w:rPr>
                <w:rFonts w:ascii="Arial" w:hAnsi="Arial" w:cs="Arial"/>
                <w:color w:val="FFFFFF"/>
              </w:rPr>
            </w:pPr>
            <w:r w:rsidRPr="00113364">
              <w:rPr>
                <w:rFonts w:ascii="Arial" w:hAnsi="Arial" w:cs="Arial"/>
                <w:color w:val="FFFFFF"/>
              </w:rPr>
              <w:t>Measurable Program Objectives</w:t>
            </w:r>
          </w:p>
        </w:tc>
      </w:tr>
      <w:tr w:rsidR="00380628" w:rsidRPr="00113364" w14:paraId="62E6C856" w14:textId="77777777" w:rsidTr="00380628">
        <w:trPr>
          <w:cnfStyle w:val="000000100000" w:firstRow="0" w:lastRow="0" w:firstColumn="0" w:lastColumn="0" w:oddVBand="0" w:evenVBand="0" w:oddHBand="1" w:evenHBand="0" w:firstRowFirstColumn="0" w:firstRowLastColumn="0" w:lastRowFirstColumn="0" w:lastRowLastColumn="0"/>
          <w:cantSplit/>
        </w:trPr>
        <w:tc>
          <w:tcPr>
            <w:tcW w:w="5125" w:type="dxa"/>
          </w:tcPr>
          <w:p w14:paraId="7CC77455" w14:textId="467C6FEE" w:rsidR="00380628" w:rsidRPr="00113364" w:rsidRDefault="00380628" w:rsidP="00387F46">
            <w:pPr>
              <w:spacing w:after="240"/>
              <w:rPr>
                <w:rFonts w:ascii="Arial" w:hAnsi="Arial" w:cs="Arial"/>
              </w:rPr>
            </w:pPr>
            <w:bookmarkStart w:id="82" w:name="_Hlk209516055"/>
            <w:r w:rsidRPr="00113364">
              <w:rPr>
                <w:rFonts w:ascii="Arial" w:hAnsi="Arial" w:cs="Arial"/>
                <w:b/>
              </w:rPr>
              <w:t xml:space="preserve">Strategy 3.0: </w:t>
            </w:r>
            <w:r w:rsidRPr="00113364">
              <w:rPr>
                <w:rFonts w:ascii="Arial" w:hAnsi="Arial" w:cs="Arial"/>
              </w:rPr>
              <w:t>All instructional services provide integrated ELD to support academic language development and content knowledge. Be sure that integrated ELD:</w:t>
            </w:r>
          </w:p>
          <w:p w14:paraId="0AC6EB46" w14:textId="001A2472" w:rsidR="00380628" w:rsidRPr="00113364" w:rsidRDefault="00380628">
            <w:pPr>
              <w:pStyle w:val="ListParagraph"/>
              <w:numPr>
                <w:ilvl w:val="0"/>
                <w:numId w:val="63"/>
              </w:numPr>
              <w:spacing w:after="120"/>
              <w:ind w:left="330"/>
              <w:contextualSpacing w:val="0"/>
              <w:rPr>
                <w:rFonts w:ascii="Arial" w:hAnsi="Arial" w:cs="Arial"/>
              </w:rPr>
            </w:pPr>
            <w:proofErr w:type="gramStart"/>
            <w:r w:rsidRPr="00113364">
              <w:rPr>
                <w:rFonts w:ascii="Arial" w:hAnsi="Arial" w:cs="Arial"/>
              </w:rPr>
              <w:t>Is</w:t>
            </w:r>
            <w:proofErr w:type="gramEnd"/>
            <w:r w:rsidRPr="00113364">
              <w:rPr>
                <w:rFonts w:ascii="Arial" w:hAnsi="Arial" w:cs="Arial"/>
              </w:rPr>
              <w:t xml:space="preserve"> aligned to </w:t>
            </w:r>
            <w:r w:rsidR="009607AD" w:rsidRPr="00113364">
              <w:rPr>
                <w:rFonts w:ascii="Arial" w:hAnsi="Arial" w:cs="Arial"/>
              </w:rPr>
              <w:t>California</w:t>
            </w:r>
            <w:r w:rsidRPr="00113364">
              <w:rPr>
                <w:rFonts w:ascii="Arial" w:hAnsi="Arial" w:cs="Arial"/>
              </w:rPr>
              <w:t xml:space="preserve"> ELD Standards and content standards.</w:t>
            </w:r>
          </w:p>
          <w:p w14:paraId="0C3CA2CA" w14:textId="02B12C7F" w:rsidR="00380628" w:rsidRPr="00113364" w:rsidRDefault="00380628">
            <w:pPr>
              <w:pStyle w:val="ListParagraph"/>
              <w:numPr>
                <w:ilvl w:val="0"/>
                <w:numId w:val="63"/>
              </w:numPr>
              <w:spacing w:after="120"/>
              <w:ind w:left="330"/>
              <w:contextualSpacing w:val="0"/>
              <w:rPr>
                <w:rFonts w:ascii="Arial" w:hAnsi="Arial" w:cs="Arial"/>
              </w:rPr>
            </w:pPr>
            <w:proofErr w:type="gramStart"/>
            <w:r w:rsidRPr="00113364">
              <w:rPr>
                <w:rFonts w:ascii="Arial" w:hAnsi="Arial" w:cs="Arial"/>
              </w:rPr>
              <w:t>Is</w:t>
            </w:r>
            <w:proofErr w:type="gramEnd"/>
            <w:r w:rsidRPr="00113364">
              <w:rPr>
                <w:rFonts w:ascii="Arial" w:hAnsi="Arial" w:cs="Arial"/>
              </w:rPr>
              <w:t xml:space="preserve"> differentiated according to student lang</w:t>
            </w:r>
            <w:r w:rsidR="00D03809">
              <w:rPr>
                <w:rFonts w:ascii="Arial" w:hAnsi="Arial" w:cs="Arial"/>
              </w:rPr>
              <w:t>uage</w:t>
            </w:r>
            <w:r w:rsidRPr="00113364">
              <w:rPr>
                <w:rFonts w:ascii="Arial" w:hAnsi="Arial" w:cs="Arial"/>
              </w:rPr>
              <w:t xml:space="preserve"> proficiency levels (e.g., student grouping, Bloom’s taxonomy, and scaffolds).</w:t>
            </w:r>
          </w:p>
          <w:p w14:paraId="0D3DE85E" w14:textId="10F16A1F" w:rsidR="00380628" w:rsidRPr="00113364" w:rsidRDefault="00380628">
            <w:pPr>
              <w:pStyle w:val="ListParagraph"/>
              <w:numPr>
                <w:ilvl w:val="0"/>
                <w:numId w:val="63"/>
              </w:numPr>
              <w:spacing w:after="120"/>
              <w:ind w:left="330"/>
              <w:contextualSpacing w:val="0"/>
              <w:rPr>
                <w:rFonts w:ascii="Arial" w:hAnsi="Arial" w:cs="Arial"/>
              </w:rPr>
            </w:pPr>
            <w:proofErr w:type="gramStart"/>
            <w:r w:rsidRPr="00113364">
              <w:rPr>
                <w:rFonts w:ascii="Arial" w:hAnsi="Arial" w:cs="Arial"/>
              </w:rPr>
              <w:t>Is</w:t>
            </w:r>
            <w:proofErr w:type="gramEnd"/>
            <w:r w:rsidRPr="00113364">
              <w:rPr>
                <w:rFonts w:ascii="Arial" w:hAnsi="Arial" w:cs="Arial"/>
              </w:rPr>
              <w:t xml:space="preserve"> integrating and making connections among the four domains: listening, speaking, reading, and writing.</w:t>
            </w:r>
          </w:p>
          <w:p w14:paraId="1D2B815E" w14:textId="6204B417" w:rsidR="009338DC" w:rsidRPr="00113364" w:rsidRDefault="00380628">
            <w:pPr>
              <w:pStyle w:val="ListParagraph"/>
              <w:numPr>
                <w:ilvl w:val="0"/>
                <w:numId w:val="63"/>
              </w:numPr>
              <w:spacing w:after="120"/>
              <w:ind w:left="330"/>
              <w:contextualSpacing w:val="0"/>
              <w:rPr>
                <w:rFonts w:ascii="Arial" w:hAnsi="Arial" w:cs="Arial"/>
              </w:rPr>
            </w:pPr>
            <w:r w:rsidRPr="00113364">
              <w:rPr>
                <w:rFonts w:ascii="Arial" w:hAnsi="Arial" w:cs="Arial"/>
              </w:rPr>
              <w:t xml:space="preserve">Teaches all three parts of the ELD Standards (i.e., Interacting in Meaningful Ways, </w:t>
            </w:r>
            <w:proofErr w:type="gramStart"/>
            <w:r w:rsidRPr="00113364">
              <w:rPr>
                <w:rFonts w:ascii="Arial" w:hAnsi="Arial" w:cs="Arial"/>
              </w:rPr>
              <w:t>Learning</w:t>
            </w:r>
            <w:proofErr w:type="gramEnd"/>
            <w:r w:rsidRPr="00113364">
              <w:rPr>
                <w:rFonts w:ascii="Arial" w:hAnsi="Arial" w:cs="Arial"/>
              </w:rPr>
              <w:t xml:space="preserve"> about How English Works, and Foundational Literacy S</w:t>
            </w:r>
            <w:r w:rsidR="00D03809">
              <w:rPr>
                <w:rFonts w:ascii="Arial" w:hAnsi="Arial" w:cs="Arial"/>
              </w:rPr>
              <w:t>k</w:t>
            </w:r>
            <w:r w:rsidRPr="00113364">
              <w:rPr>
                <w:rFonts w:ascii="Arial" w:hAnsi="Arial" w:cs="Arial"/>
              </w:rPr>
              <w:t>ills) including independent word learning skills and phonological awareness as applicable.</w:t>
            </w:r>
          </w:p>
          <w:p w14:paraId="1FE95CB6" w14:textId="323E5ABB" w:rsidR="00380628" w:rsidRPr="00113364" w:rsidRDefault="00380628">
            <w:pPr>
              <w:pStyle w:val="ListParagraph"/>
              <w:numPr>
                <w:ilvl w:val="0"/>
                <w:numId w:val="63"/>
              </w:numPr>
              <w:spacing w:after="120"/>
              <w:ind w:left="330"/>
              <w:contextualSpacing w:val="0"/>
              <w:rPr>
                <w:rFonts w:ascii="Arial" w:hAnsi="Arial" w:cs="Arial"/>
              </w:rPr>
            </w:pPr>
            <w:r w:rsidRPr="00113364">
              <w:rPr>
                <w:rFonts w:ascii="Arial" w:hAnsi="Arial" w:cs="Arial"/>
              </w:rPr>
              <w:t>Provide opportunities for students to learn through collaboration and academic discourse.</w:t>
            </w:r>
            <w:bookmarkEnd w:id="82"/>
          </w:p>
        </w:tc>
        <w:tc>
          <w:tcPr>
            <w:tcW w:w="4230" w:type="dxa"/>
          </w:tcPr>
          <w:p w14:paraId="5696667E" w14:textId="6E751F58" w:rsidR="00380628" w:rsidRPr="00113364" w:rsidRDefault="00380628" w:rsidP="00380628">
            <w:pPr>
              <w:spacing w:after="120"/>
              <w:rPr>
                <w:rFonts w:ascii="Arial" w:hAnsi="Arial" w:cs="Arial"/>
              </w:rPr>
            </w:pPr>
            <w:bookmarkStart w:id="83" w:name="_Hlk209516102"/>
            <w:r w:rsidRPr="00113364">
              <w:rPr>
                <w:rFonts w:ascii="Arial" w:hAnsi="Arial" w:cs="Arial"/>
                <w:b/>
              </w:rPr>
              <w:t xml:space="preserve">Measurable Program Objectives 3.0: </w:t>
            </w:r>
            <w:r w:rsidRPr="00113364">
              <w:rPr>
                <w:rFonts w:ascii="Arial" w:hAnsi="Arial" w:cs="Arial"/>
              </w:rPr>
              <w:t xml:space="preserve">All instructional services for core content areas (e.g., ELA, </w:t>
            </w:r>
            <w:r w:rsidR="00E7492F" w:rsidRPr="00113364">
              <w:rPr>
                <w:rFonts w:ascii="Arial" w:hAnsi="Arial" w:cs="Arial"/>
              </w:rPr>
              <w:t>mathematics</w:t>
            </w:r>
            <w:r w:rsidRPr="00113364">
              <w:rPr>
                <w:rFonts w:ascii="Arial" w:hAnsi="Arial" w:cs="Arial"/>
              </w:rPr>
              <w:t>, history, science, civics), excluding credit accrual services, must include integrated ELD.</w:t>
            </w:r>
            <w:bookmarkEnd w:id="83"/>
          </w:p>
        </w:tc>
      </w:tr>
    </w:tbl>
    <w:p w14:paraId="7A939EE9" w14:textId="1A75C56E" w:rsidR="00D50E2C" w:rsidRPr="00113364" w:rsidRDefault="00BD3CAE" w:rsidP="002B6E96">
      <w:pPr>
        <w:spacing w:before="120" w:after="240"/>
        <w:rPr>
          <w:rFonts w:ascii="Arial" w:hAnsi="Arial" w:cs="Arial"/>
        </w:rPr>
      </w:pPr>
      <w:r w:rsidRPr="00113364">
        <w:rPr>
          <w:rFonts w:ascii="Arial" w:hAnsi="Arial" w:cs="Arial"/>
        </w:rPr>
        <w:t>Performance target for the ELD focus area</w:t>
      </w:r>
      <w:r w:rsidR="00096581" w:rsidRPr="00113364">
        <w:rPr>
          <w:rFonts w:ascii="Arial" w:hAnsi="Arial" w:cs="Arial"/>
        </w:rPr>
        <w:t xml:space="preserve">: </w:t>
      </w:r>
      <w:r w:rsidRPr="00113364">
        <w:rPr>
          <w:rFonts w:ascii="Arial" w:hAnsi="Arial" w:cs="Arial"/>
        </w:rPr>
        <w:t>By September 2031, 1</w:t>
      </w:r>
      <w:r w:rsidR="00C36BF6" w:rsidRPr="00113364">
        <w:rPr>
          <w:rFonts w:ascii="Arial" w:hAnsi="Arial" w:cs="Arial"/>
        </w:rPr>
        <w:t>2.9</w:t>
      </w:r>
      <w:r w:rsidRPr="00113364">
        <w:rPr>
          <w:rFonts w:ascii="Arial" w:hAnsi="Arial" w:cs="Arial"/>
        </w:rPr>
        <w:t xml:space="preserve"> percent of migratory students will score at proficiency (level 4) on the ELPAC</w:t>
      </w:r>
      <w:r w:rsidRPr="00113364">
        <w:rPr>
          <w:rFonts w:ascii="Calibri" w:hAnsi="Calibri" w:cs="Calibri"/>
        </w:rPr>
        <w:t>.</w:t>
      </w:r>
    </w:p>
    <w:p w14:paraId="71A6BD7E" w14:textId="357526E3" w:rsidR="00D2472D" w:rsidRPr="00113364" w:rsidRDefault="001C1FDF" w:rsidP="002B6E96">
      <w:pPr>
        <w:spacing w:before="120" w:after="240"/>
        <w:rPr>
          <w:rFonts w:ascii="Arial" w:hAnsi="Arial" w:cs="Arial"/>
        </w:rPr>
      </w:pPr>
      <w:r w:rsidRPr="00113364">
        <w:rPr>
          <w:rFonts w:ascii="Arial" w:hAnsi="Arial" w:cs="Arial"/>
        </w:rPr>
        <w:t xml:space="preserve">The CNA SDP Committee discussed the importance of integrated ELD and the need to offer thorough instruction in building </w:t>
      </w:r>
      <w:r w:rsidR="00B03119">
        <w:rPr>
          <w:rFonts w:ascii="Arial" w:hAnsi="Arial" w:cs="Arial"/>
        </w:rPr>
        <w:t>ELP</w:t>
      </w:r>
      <w:r w:rsidRPr="00113364">
        <w:rPr>
          <w:rFonts w:ascii="Arial" w:hAnsi="Arial" w:cs="Arial"/>
        </w:rPr>
        <w:t>; however, some committee members raised concerns about having to update curricul</w:t>
      </w:r>
      <w:r w:rsidR="000950CE" w:rsidRPr="00113364">
        <w:rPr>
          <w:rFonts w:ascii="Arial" w:hAnsi="Arial" w:cs="Arial"/>
        </w:rPr>
        <w:t xml:space="preserve">a. </w:t>
      </w:r>
      <w:r w:rsidR="00D85085" w:rsidRPr="00113364">
        <w:rPr>
          <w:rFonts w:ascii="Arial" w:hAnsi="Arial" w:cs="Arial"/>
        </w:rPr>
        <w:t>To</w:t>
      </w:r>
      <w:r w:rsidR="000950CE" w:rsidRPr="00113364">
        <w:rPr>
          <w:rFonts w:ascii="Arial" w:hAnsi="Arial" w:cs="Arial"/>
        </w:rPr>
        <w:t xml:space="preserve"> meet the needs of migratory students, the MEP will have to enhance instruction in ways that might be new to some of us. Curricula including units of study and lesson plans will also need to be updated </w:t>
      </w:r>
      <w:r w:rsidR="00C87D86">
        <w:rPr>
          <w:rFonts w:ascii="Arial" w:hAnsi="Arial" w:cs="Arial"/>
        </w:rPr>
        <w:t>based on specific instructional needs like the inclusion of integrated ELD</w:t>
      </w:r>
      <w:r w:rsidR="000950CE" w:rsidRPr="00113364">
        <w:rPr>
          <w:rFonts w:ascii="Arial" w:hAnsi="Arial" w:cs="Arial"/>
        </w:rPr>
        <w:t>. Administrators</w:t>
      </w:r>
      <w:r w:rsidR="000926F8" w:rsidRPr="00113364">
        <w:rPr>
          <w:rFonts w:ascii="Arial" w:hAnsi="Arial" w:cs="Arial"/>
        </w:rPr>
        <w:t xml:space="preserve"> are encouraged</w:t>
      </w:r>
      <w:r w:rsidR="000950CE" w:rsidRPr="00113364">
        <w:rPr>
          <w:rFonts w:ascii="Arial" w:hAnsi="Arial" w:cs="Arial"/>
        </w:rPr>
        <w:t xml:space="preserve"> to set aside </w:t>
      </w:r>
      <w:r w:rsidR="000926F8" w:rsidRPr="00113364">
        <w:rPr>
          <w:rFonts w:ascii="Arial" w:hAnsi="Arial" w:cs="Arial"/>
        </w:rPr>
        <w:t xml:space="preserve">collaborative </w:t>
      </w:r>
      <w:r w:rsidR="000950CE" w:rsidRPr="00113364">
        <w:rPr>
          <w:rFonts w:ascii="Arial" w:hAnsi="Arial" w:cs="Arial"/>
        </w:rPr>
        <w:t>time to update</w:t>
      </w:r>
      <w:r w:rsidR="000926F8" w:rsidRPr="00113364">
        <w:rPr>
          <w:rFonts w:ascii="Arial" w:hAnsi="Arial" w:cs="Arial"/>
        </w:rPr>
        <w:t xml:space="preserve"> and restructure</w:t>
      </w:r>
      <w:r w:rsidR="000950CE" w:rsidRPr="00113364">
        <w:rPr>
          <w:rFonts w:ascii="Arial" w:hAnsi="Arial" w:cs="Arial"/>
        </w:rPr>
        <w:t xml:space="preserve"> materials to ensure instructional staff have the necessary support to offer high-quality teaching and learning within their classrooms. </w:t>
      </w:r>
      <w:r w:rsidR="000926F8" w:rsidRPr="00113364">
        <w:rPr>
          <w:rFonts w:ascii="Arial" w:hAnsi="Arial" w:cs="Arial"/>
        </w:rPr>
        <w:t xml:space="preserve">While resources may limit the speed at which improvements can be made, continuous improvement is an ongoing process. Integrated ELD, implementing the ELD standards in tandem with content area standards, have proven to </w:t>
      </w:r>
      <w:r w:rsidR="000926F8" w:rsidRPr="00113364">
        <w:rPr>
          <w:rFonts w:ascii="Arial" w:hAnsi="Arial" w:cs="Arial"/>
        </w:rPr>
        <w:lastRenderedPageBreak/>
        <w:t>support and accelerate student learning when strategic planning and thorough implementation occurs.</w:t>
      </w:r>
      <w:r w:rsidR="00494059" w:rsidRPr="00113364">
        <w:rPr>
          <w:rFonts w:ascii="Arial" w:hAnsi="Arial" w:cs="Arial"/>
        </w:rPr>
        <w:t xml:space="preserve"> </w:t>
      </w:r>
    </w:p>
    <w:p w14:paraId="60BEE7EF" w14:textId="6A619047" w:rsidR="002B6E96" w:rsidRPr="00113364" w:rsidRDefault="00494059" w:rsidP="002B6E96">
      <w:pPr>
        <w:spacing w:before="120" w:after="240"/>
        <w:rPr>
          <w:rFonts w:ascii="Arial" w:hAnsi="Arial" w:cs="Arial"/>
        </w:rPr>
      </w:pPr>
      <w:r w:rsidRPr="00113364">
        <w:rPr>
          <w:rFonts w:ascii="Arial" w:hAnsi="Arial" w:cs="Arial"/>
        </w:rPr>
        <w:t>M</w:t>
      </w:r>
      <w:r w:rsidR="002F6438">
        <w:rPr>
          <w:rFonts w:ascii="Arial" w:hAnsi="Arial" w:cs="Arial"/>
        </w:rPr>
        <w:t>EP</w:t>
      </w:r>
      <w:r w:rsidRPr="00113364">
        <w:rPr>
          <w:rFonts w:ascii="Arial" w:hAnsi="Arial" w:cs="Arial"/>
        </w:rPr>
        <w:t xml:space="preserve"> administrators should provide specific feedback on integrated ELD when reviewing lesson plans and observing instruction. Specific and timely feedback is an important piece of professional learning in which staff receive differentiated support. Providing feedback is also an opportunity to support staff and administrator relationships when delivered in a constructive way. It is important for administrators to follow up with a secondary review of lesson plans or observing instruction to ensure best practices are implemented as discussed. This follow-up illustrates a commitment to continuous improvement and sets an expectation that continuous improvement is everyone’s responsibility. </w:t>
      </w:r>
    </w:p>
    <w:p w14:paraId="27A3929F" w14:textId="2533E2E9" w:rsidR="00494059" w:rsidRPr="00113364" w:rsidRDefault="00494059" w:rsidP="002B6E96">
      <w:pPr>
        <w:spacing w:before="120" w:after="240"/>
        <w:rPr>
          <w:rFonts w:ascii="Arial" w:hAnsi="Arial" w:cs="Arial"/>
        </w:rPr>
      </w:pPr>
      <w:r w:rsidRPr="00113364">
        <w:rPr>
          <w:rFonts w:ascii="Arial" w:hAnsi="Arial" w:cs="Arial"/>
        </w:rPr>
        <w:t xml:space="preserve">Integrated ELD is not a standalone service, rather it is a practice that is embedded in other instructional services. Teachers integrate ELD standards into content-based services like ELA, </w:t>
      </w:r>
      <w:r w:rsidR="00E7492F" w:rsidRPr="00113364">
        <w:rPr>
          <w:rFonts w:ascii="Arial" w:hAnsi="Arial" w:cs="Arial"/>
        </w:rPr>
        <w:t>mathematics</w:t>
      </w:r>
      <w:r w:rsidRPr="00113364">
        <w:rPr>
          <w:rFonts w:ascii="Arial" w:hAnsi="Arial" w:cs="Arial"/>
        </w:rPr>
        <w:t xml:space="preserve">, or science with the content-specific standards. </w:t>
      </w:r>
      <w:r w:rsidR="003F7897" w:rsidRPr="00113364">
        <w:rPr>
          <w:rFonts w:ascii="Arial" w:hAnsi="Arial" w:cs="Arial"/>
        </w:rPr>
        <w:t>Like integrated ELD, SEL is not necessarily a standalone service.</w:t>
      </w:r>
    </w:p>
    <w:p w14:paraId="2D580F3F" w14:textId="0DFB0993" w:rsidR="00380628" w:rsidRPr="00113364" w:rsidRDefault="00380628" w:rsidP="003F0CBE">
      <w:pPr>
        <w:pStyle w:val="Heading3"/>
      </w:pPr>
      <w:bookmarkStart w:id="84" w:name="_Toc203568852"/>
      <w:r w:rsidRPr="00113364">
        <w:t>Social and Emotional Learning</w:t>
      </w:r>
      <w:bookmarkEnd w:id="84"/>
    </w:p>
    <w:p w14:paraId="22B17E6D" w14:textId="7711B9B3" w:rsidR="00B5189D" w:rsidRPr="00113364" w:rsidRDefault="00D40849" w:rsidP="00B575DD">
      <w:pPr>
        <w:spacing w:after="240"/>
        <w:rPr>
          <w:rFonts w:ascii="Arial" w:hAnsi="Arial" w:cs="Arial"/>
        </w:rPr>
      </w:pPr>
      <w:r w:rsidRPr="00113364">
        <w:rPr>
          <w:rFonts w:ascii="Arial" w:hAnsi="Arial" w:cs="Arial"/>
        </w:rPr>
        <w:t xml:space="preserve">As mentioned in Section II, SEL offers learners the ability to develop healthy identities, manage emotions, achieve personal and collective goals, possess empathy, develop and maintain healthy relationships, and make responsible decisions. </w:t>
      </w:r>
      <w:r w:rsidR="00380628" w:rsidRPr="00113364">
        <w:rPr>
          <w:rFonts w:ascii="Arial" w:hAnsi="Arial" w:cs="Arial"/>
        </w:rPr>
        <w:t>SEL was a highly rated need for migratory children and youths regardless of grade level.</w:t>
      </w:r>
      <w:r w:rsidR="00B575DD" w:rsidRPr="00113364">
        <w:rPr>
          <w:rFonts w:ascii="Arial" w:hAnsi="Arial" w:cs="Arial"/>
        </w:rPr>
        <w:t xml:space="preserve"> Table 31 identifies the strategies and corresponding MPOs to build SEL knowledge and skills for MEP staff and eligible children, youths, and families.</w:t>
      </w:r>
    </w:p>
    <w:p w14:paraId="7F8455E6" w14:textId="6033CD8D" w:rsidR="00B5189D" w:rsidRPr="00113364" w:rsidRDefault="00B5189D" w:rsidP="00330CD6">
      <w:pPr>
        <w:pStyle w:val="Heading4"/>
        <w:spacing w:after="0"/>
        <w:rPr>
          <w:sz w:val="24"/>
        </w:rPr>
      </w:pPr>
      <w:bookmarkStart w:id="85" w:name="_Toc204755367"/>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31</w:t>
      </w:r>
      <w:r w:rsidR="00C46CA6" w:rsidRPr="00113364">
        <w:rPr>
          <w:noProof/>
          <w:sz w:val="24"/>
        </w:rPr>
        <w:fldChar w:fldCharType="end"/>
      </w:r>
      <w:r w:rsidRPr="00113364">
        <w:rPr>
          <w:sz w:val="24"/>
        </w:rPr>
        <w:t>. Strategies and Measurable Program Objectives for Increasing Social and Emotional Learning</w:t>
      </w:r>
      <w:bookmarkEnd w:id="85"/>
    </w:p>
    <w:tbl>
      <w:tblPr>
        <w:tblStyle w:val="GridTable4-Accent1"/>
        <w:tblW w:w="9895" w:type="dxa"/>
        <w:tblLook w:val="0420" w:firstRow="1" w:lastRow="0" w:firstColumn="0" w:lastColumn="0" w:noHBand="0" w:noVBand="1"/>
        <w:tblDescription w:val="Strategies and Measurable Program Objectives for Increasing the High School Graduation Rate"/>
      </w:tblPr>
      <w:tblGrid>
        <w:gridCol w:w="4675"/>
        <w:gridCol w:w="5220"/>
      </w:tblGrid>
      <w:tr w:rsidR="00B5189D" w:rsidRPr="00113364" w14:paraId="3C6CC526" w14:textId="77777777" w:rsidTr="00B729BF">
        <w:trPr>
          <w:cnfStyle w:val="100000000000" w:firstRow="1" w:lastRow="0" w:firstColumn="0" w:lastColumn="0" w:oddVBand="0" w:evenVBand="0" w:oddHBand="0" w:evenHBand="0" w:firstRowFirstColumn="0" w:firstRowLastColumn="0" w:lastRowFirstColumn="0" w:lastRowLastColumn="0"/>
          <w:cantSplit/>
          <w:tblHeader/>
        </w:trPr>
        <w:tc>
          <w:tcPr>
            <w:tcW w:w="4675" w:type="dxa"/>
            <w:tcBorders>
              <w:right w:val="single" w:sz="4" w:space="0" w:color="4472C4"/>
            </w:tcBorders>
            <w:shd w:val="clear" w:color="auto" w:fill="1F3864" w:themeFill="accent5" w:themeFillShade="80"/>
          </w:tcPr>
          <w:p w14:paraId="12E05B88" w14:textId="77777777" w:rsidR="00B5189D" w:rsidRPr="00113364" w:rsidRDefault="00B5189D" w:rsidP="00EB4984">
            <w:pPr>
              <w:spacing w:line="276" w:lineRule="auto"/>
              <w:rPr>
                <w:rFonts w:ascii="Arial" w:hAnsi="Arial" w:cs="Arial"/>
                <w:color w:val="FFFFFF"/>
              </w:rPr>
            </w:pPr>
            <w:r w:rsidRPr="00113364">
              <w:rPr>
                <w:rFonts w:ascii="Arial" w:hAnsi="Arial" w:cs="Arial"/>
                <w:color w:val="FFFFFF"/>
              </w:rPr>
              <w:t>Strategies</w:t>
            </w:r>
          </w:p>
        </w:tc>
        <w:tc>
          <w:tcPr>
            <w:tcW w:w="5220" w:type="dxa"/>
            <w:tcBorders>
              <w:left w:val="single" w:sz="4" w:space="0" w:color="4472C4"/>
            </w:tcBorders>
            <w:shd w:val="clear" w:color="auto" w:fill="1F3864" w:themeFill="accent5" w:themeFillShade="80"/>
          </w:tcPr>
          <w:p w14:paraId="4424375D" w14:textId="77777777" w:rsidR="00B5189D" w:rsidRPr="00113364" w:rsidRDefault="00B5189D" w:rsidP="00EB4984">
            <w:pPr>
              <w:spacing w:line="276" w:lineRule="auto"/>
              <w:rPr>
                <w:rFonts w:ascii="Arial" w:hAnsi="Arial" w:cs="Arial"/>
                <w:color w:val="FFFFFF"/>
              </w:rPr>
            </w:pPr>
            <w:r w:rsidRPr="00113364">
              <w:rPr>
                <w:rFonts w:ascii="Arial" w:hAnsi="Arial" w:cs="Arial"/>
                <w:color w:val="FFFFFF"/>
              </w:rPr>
              <w:t>Measurable Program Objectives</w:t>
            </w:r>
          </w:p>
        </w:tc>
      </w:tr>
      <w:tr w:rsidR="00A447BC" w:rsidRPr="00113364" w14:paraId="24E04426" w14:textId="77777777" w:rsidTr="00B729BF">
        <w:trPr>
          <w:cnfStyle w:val="000000100000" w:firstRow="0" w:lastRow="0" w:firstColumn="0" w:lastColumn="0" w:oddVBand="0" w:evenVBand="0" w:oddHBand="1" w:evenHBand="0" w:firstRowFirstColumn="0" w:firstRowLastColumn="0" w:lastRowFirstColumn="0" w:lastRowLastColumn="0"/>
          <w:cantSplit/>
        </w:trPr>
        <w:tc>
          <w:tcPr>
            <w:tcW w:w="4675" w:type="dxa"/>
          </w:tcPr>
          <w:p w14:paraId="33D41EE5" w14:textId="7357645E" w:rsidR="00A447BC" w:rsidRPr="00113364" w:rsidRDefault="00A447BC" w:rsidP="00A447BC">
            <w:pPr>
              <w:spacing w:after="120"/>
              <w:rPr>
                <w:rFonts w:ascii="Arial" w:hAnsi="Arial" w:cs="Arial"/>
              </w:rPr>
            </w:pPr>
            <w:bookmarkStart w:id="86" w:name="_Hlk209516145"/>
            <w:r w:rsidRPr="00113364">
              <w:rPr>
                <w:rFonts w:ascii="Arial" w:hAnsi="Arial" w:cs="Arial"/>
                <w:b/>
              </w:rPr>
              <w:t xml:space="preserve">Strategy 4.0: </w:t>
            </w:r>
            <w:r w:rsidRPr="00113364">
              <w:rPr>
                <w:rFonts w:ascii="Arial" w:hAnsi="Arial" w:cs="Arial"/>
              </w:rPr>
              <w:t xml:space="preserve">Provide evidence-based, developmentally appropriate </w:t>
            </w:r>
            <w:r w:rsidR="005872E5">
              <w:rPr>
                <w:rFonts w:ascii="Arial" w:hAnsi="Arial" w:cs="Arial"/>
              </w:rPr>
              <w:t xml:space="preserve">sessions </w:t>
            </w:r>
            <w:r w:rsidRPr="00113364">
              <w:rPr>
                <w:rFonts w:ascii="Arial" w:hAnsi="Arial" w:cs="Arial"/>
              </w:rPr>
              <w:t xml:space="preserve">for parents, students, and OSY. </w:t>
            </w:r>
            <w:r w:rsidR="005872E5">
              <w:rPr>
                <w:rFonts w:ascii="Arial" w:hAnsi="Arial" w:cs="Arial"/>
              </w:rPr>
              <w:t>Sessions</w:t>
            </w:r>
            <w:r w:rsidRPr="00113364">
              <w:rPr>
                <w:rFonts w:ascii="Arial" w:hAnsi="Arial" w:cs="Arial"/>
              </w:rPr>
              <w:t xml:space="preserve"> need to include resources for parents, OSY, and students.</w:t>
            </w:r>
            <w:bookmarkEnd w:id="86"/>
          </w:p>
        </w:tc>
        <w:tc>
          <w:tcPr>
            <w:tcW w:w="5220" w:type="dxa"/>
          </w:tcPr>
          <w:p w14:paraId="6BB1F3BB" w14:textId="7D996E39" w:rsidR="00A447BC" w:rsidRPr="00113364" w:rsidRDefault="00A447BC" w:rsidP="00A447BC">
            <w:pPr>
              <w:spacing w:after="120"/>
              <w:rPr>
                <w:rFonts w:ascii="Arial" w:hAnsi="Arial" w:cs="Arial"/>
              </w:rPr>
            </w:pPr>
            <w:bookmarkStart w:id="87" w:name="_Hlk209516160"/>
            <w:r w:rsidRPr="00113364">
              <w:rPr>
                <w:rFonts w:ascii="Arial" w:hAnsi="Arial" w:cs="Arial"/>
                <w:b/>
              </w:rPr>
              <w:t xml:space="preserve">Measurable Program Objective 4.0: </w:t>
            </w:r>
            <w:r w:rsidRPr="00113364">
              <w:rPr>
                <w:rFonts w:ascii="Arial" w:hAnsi="Arial" w:cs="Arial"/>
              </w:rPr>
              <w:t>Each year, the MEP</w:t>
            </w:r>
            <w:r w:rsidR="00014433">
              <w:rPr>
                <w:rFonts w:ascii="Arial" w:hAnsi="Arial" w:cs="Arial"/>
              </w:rPr>
              <w:t xml:space="preserve"> region</w:t>
            </w:r>
            <w:r w:rsidRPr="00113364">
              <w:rPr>
                <w:rFonts w:ascii="Arial" w:hAnsi="Arial" w:cs="Arial"/>
              </w:rPr>
              <w:t xml:space="preserve"> will provide at least one evidence-based, developmentally appropriate SEL workshop</w:t>
            </w:r>
            <w:r w:rsidR="005872E5">
              <w:rPr>
                <w:rFonts w:ascii="Arial" w:hAnsi="Arial" w:cs="Arial"/>
              </w:rPr>
              <w:t>/session</w:t>
            </w:r>
            <w:r w:rsidRPr="00113364">
              <w:rPr>
                <w:rFonts w:ascii="Arial" w:hAnsi="Arial" w:cs="Arial"/>
              </w:rPr>
              <w:t xml:space="preserve"> and one </w:t>
            </w:r>
            <w:r w:rsidR="00014433">
              <w:rPr>
                <w:rFonts w:ascii="Arial" w:hAnsi="Arial" w:cs="Arial"/>
              </w:rPr>
              <w:t xml:space="preserve">will be provided by one of </w:t>
            </w:r>
            <w:r w:rsidRPr="00113364">
              <w:rPr>
                <w:rFonts w:ascii="Arial" w:hAnsi="Arial" w:cs="Arial"/>
              </w:rPr>
              <w:t xml:space="preserve">the top two populous districts. Direct-funded districts will provide one </w:t>
            </w:r>
            <w:r w:rsidR="005872E5">
              <w:rPr>
                <w:rFonts w:ascii="Arial" w:hAnsi="Arial" w:cs="Arial"/>
              </w:rPr>
              <w:t>SEL session</w:t>
            </w:r>
            <w:r w:rsidRPr="00113364">
              <w:rPr>
                <w:rFonts w:ascii="Arial" w:hAnsi="Arial" w:cs="Arial"/>
              </w:rPr>
              <w:t>.</w:t>
            </w:r>
            <w:bookmarkEnd w:id="87"/>
          </w:p>
        </w:tc>
      </w:tr>
      <w:tr w:rsidR="00B729BF" w:rsidRPr="00113364" w14:paraId="652BE6D7" w14:textId="77777777" w:rsidTr="00B729BF">
        <w:trPr>
          <w:cantSplit/>
          <w:trHeight w:val="251"/>
        </w:trPr>
        <w:tc>
          <w:tcPr>
            <w:tcW w:w="4675" w:type="dxa"/>
          </w:tcPr>
          <w:p w14:paraId="4AA318FB" w14:textId="720DB901" w:rsidR="00B729BF" w:rsidRPr="00113364" w:rsidRDefault="00B729BF" w:rsidP="00B729BF">
            <w:pPr>
              <w:spacing w:after="120"/>
              <w:rPr>
                <w:rFonts w:ascii="Arial" w:hAnsi="Arial" w:cs="Arial"/>
              </w:rPr>
            </w:pPr>
            <w:bookmarkStart w:id="88" w:name="_Hlk209516172"/>
            <w:r w:rsidRPr="00113364">
              <w:rPr>
                <w:rFonts w:ascii="Arial" w:hAnsi="Arial" w:cs="Arial"/>
                <w:b/>
                <w:bCs/>
              </w:rPr>
              <w:t xml:space="preserve">Strategy 4.1: </w:t>
            </w:r>
            <w:r w:rsidRPr="00113364">
              <w:rPr>
                <w:rFonts w:ascii="Arial" w:hAnsi="Arial" w:cs="Arial"/>
              </w:rPr>
              <w:t xml:space="preserve">Integrate SEL lessons (focus on </w:t>
            </w:r>
            <w:r w:rsidR="000054DA">
              <w:rPr>
                <w:rFonts w:ascii="Arial" w:hAnsi="Arial" w:cs="Arial"/>
              </w:rPr>
              <w:t>the Collaborative for Academic, Social, and Emotional Learning</w:t>
            </w:r>
            <w:r w:rsidRPr="00113364">
              <w:rPr>
                <w:rFonts w:ascii="Arial" w:hAnsi="Arial" w:cs="Arial"/>
              </w:rPr>
              <w:t>’s framework) into supplemental instructional services.</w:t>
            </w:r>
            <w:bookmarkEnd w:id="88"/>
          </w:p>
        </w:tc>
        <w:tc>
          <w:tcPr>
            <w:tcW w:w="5220" w:type="dxa"/>
          </w:tcPr>
          <w:p w14:paraId="6E023158" w14:textId="5163F5DF" w:rsidR="00B729BF" w:rsidRPr="00113364" w:rsidRDefault="00B729BF" w:rsidP="00B729BF">
            <w:pPr>
              <w:spacing w:after="120"/>
              <w:rPr>
                <w:rFonts w:ascii="Arial" w:hAnsi="Arial" w:cs="Arial"/>
              </w:rPr>
            </w:pPr>
            <w:bookmarkStart w:id="89" w:name="_Hlk209516186"/>
            <w:r w:rsidRPr="00113364">
              <w:rPr>
                <w:rFonts w:ascii="Arial" w:hAnsi="Arial" w:cs="Arial"/>
                <w:b/>
                <w:bCs/>
              </w:rPr>
              <w:t xml:space="preserve">Measurable Program Objective 4.1: </w:t>
            </w:r>
            <w:r w:rsidRPr="00113364">
              <w:rPr>
                <w:rFonts w:ascii="Arial" w:hAnsi="Arial" w:cs="Arial"/>
              </w:rPr>
              <w:t xml:space="preserve">Each year, the MEP will incorporate SEL into </w:t>
            </w:r>
            <w:r w:rsidR="00281F22">
              <w:rPr>
                <w:rFonts w:ascii="Arial" w:hAnsi="Arial" w:cs="Arial"/>
              </w:rPr>
              <w:t xml:space="preserve">25 percent of </w:t>
            </w:r>
            <w:r w:rsidRPr="00113364">
              <w:rPr>
                <w:rFonts w:ascii="Arial" w:hAnsi="Arial" w:cs="Arial"/>
              </w:rPr>
              <w:t xml:space="preserve">instructional services excluding credit accrual services, and any services using state codes (e.g., </w:t>
            </w:r>
            <w:r w:rsidR="009607AD" w:rsidRPr="00113364">
              <w:rPr>
                <w:rFonts w:ascii="Arial" w:hAnsi="Arial" w:cs="Arial"/>
              </w:rPr>
              <w:t>California</w:t>
            </w:r>
            <w:r w:rsidR="00387F46" w:rsidRPr="00113364">
              <w:rPr>
                <w:rFonts w:ascii="Arial" w:hAnsi="Arial" w:cs="Arial"/>
              </w:rPr>
              <w:t xml:space="preserve"> Mini-Corps</w:t>
            </w:r>
            <w:r w:rsidRPr="00113364">
              <w:rPr>
                <w:rFonts w:ascii="Arial" w:hAnsi="Arial" w:cs="Arial"/>
              </w:rPr>
              <w:t>)</w:t>
            </w:r>
            <w:r w:rsidR="00387F46" w:rsidRPr="00113364">
              <w:rPr>
                <w:rFonts w:ascii="Arial" w:hAnsi="Arial" w:cs="Arial"/>
              </w:rPr>
              <w:t>.</w:t>
            </w:r>
            <w:bookmarkEnd w:id="89"/>
          </w:p>
        </w:tc>
      </w:tr>
      <w:tr w:rsidR="00B729BF" w:rsidRPr="00113364" w14:paraId="7516BD6B" w14:textId="77777777" w:rsidTr="00B729BF">
        <w:trPr>
          <w:cnfStyle w:val="000000100000" w:firstRow="0" w:lastRow="0" w:firstColumn="0" w:lastColumn="0" w:oddVBand="0" w:evenVBand="0" w:oddHBand="1" w:evenHBand="0" w:firstRowFirstColumn="0" w:firstRowLastColumn="0" w:lastRowFirstColumn="0" w:lastRowLastColumn="0"/>
          <w:cantSplit/>
          <w:trHeight w:val="251"/>
        </w:trPr>
        <w:tc>
          <w:tcPr>
            <w:tcW w:w="4675" w:type="dxa"/>
          </w:tcPr>
          <w:p w14:paraId="154606F0" w14:textId="62652CCC" w:rsidR="00B729BF" w:rsidRPr="00113364" w:rsidRDefault="00B729BF" w:rsidP="00B729BF">
            <w:pPr>
              <w:spacing w:after="120"/>
              <w:rPr>
                <w:rFonts w:ascii="Arial" w:hAnsi="Arial" w:cs="Arial"/>
              </w:rPr>
            </w:pPr>
            <w:r w:rsidRPr="00113364">
              <w:rPr>
                <w:rFonts w:ascii="Arial" w:hAnsi="Arial" w:cs="Arial"/>
                <w:b/>
                <w:bCs/>
              </w:rPr>
              <w:lastRenderedPageBreak/>
              <w:t xml:space="preserve">Strategy 4.2: </w:t>
            </w:r>
            <w:r w:rsidRPr="00113364">
              <w:rPr>
                <w:rFonts w:ascii="Arial" w:hAnsi="Arial" w:cs="Arial"/>
              </w:rPr>
              <w:t>Provide professional learning opportunities using evidence-based SEL curriculum and strategies learning how to integrate it into supplemental instructional services. Professional learning must include:</w:t>
            </w:r>
          </w:p>
          <w:p w14:paraId="3A84D24C" w14:textId="77777777" w:rsidR="00B729BF" w:rsidRPr="00113364" w:rsidRDefault="00B729BF">
            <w:pPr>
              <w:pStyle w:val="ListParagraph"/>
              <w:numPr>
                <w:ilvl w:val="0"/>
                <w:numId w:val="64"/>
              </w:numPr>
              <w:spacing w:after="120"/>
              <w:ind w:left="330"/>
              <w:contextualSpacing w:val="0"/>
              <w:rPr>
                <w:rFonts w:ascii="Arial" w:hAnsi="Arial" w:cs="Arial"/>
              </w:rPr>
            </w:pPr>
            <w:r w:rsidRPr="00113364">
              <w:rPr>
                <w:rFonts w:ascii="Arial" w:hAnsi="Arial" w:cs="Arial"/>
              </w:rPr>
              <w:t>Overview and benefits of incorporating SEL into lessons</w:t>
            </w:r>
          </w:p>
          <w:p w14:paraId="14846E6D" w14:textId="77777777" w:rsidR="00B729BF" w:rsidRPr="00113364" w:rsidRDefault="00B729BF">
            <w:pPr>
              <w:pStyle w:val="ListParagraph"/>
              <w:numPr>
                <w:ilvl w:val="0"/>
                <w:numId w:val="64"/>
              </w:numPr>
              <w:spacing w:after="120"/>
              <w:ind w:left="330"/>
              <w:contextualSpacing w:val="0"/>
              <w:rPr>
                <w:rFonts w:ascii="Arial" w:hAnsi="Arial" w:cs="Arial"/>
              </w:rPr>
            </w:pPr>
            <w:r w:rsidRPr="00113364">
              <w:rPr>
                <w:rFonts w:ascii="Arial" w:hAnsi="Arial" w:cs="Arial"/>
              </w:rPr>
              <w:t>SEL focus for the year (changes annually to build capacity)</w:t>
            </w:r>
          </w:p>
          <w:p w14:paraId="4EDECEA3" w14:textId="77777777" w:rsidR="009850FC" w:rsidRDefault="00B729BF" w:rsidP="00B729BF">
            <w:pPr>
              <w:pStyle w:val="ListParagraph"/>
              <w:numPr>
                <w:ilvl w:val="0"/>
                <w:numId w:val="64"/>
              </w:numPr>
              <w:spacing w:after="120"/>
              <w:ind w:left="330"/>
              <w:contextualSpacing w:val="0"/>
              <w:rPr>
                <w:rFonts w:ascii="Arial" w:hAnsi="Arial" w:cs="Arial"/>
              </w:rPr>
            </w:pPr>
            <w:r w:rsidRPr="00113364">
              <w:rPr>
                <w:rFonts w:ascii="Arial" w:hAnsi="Arial" w:cs="Arial"/>
              </w:rPr>
              <w:t>Building routines using SEL</w:t>
            </w:r>
          </w:p>
          <w:p w14:paraId="17DF0B43" w14:textId="248CF6A5" w:rsidR="00B729BF" w:rsidRPr="009850FC" w:rsidRDefault="00B729BF" w:rsidP="00B729BF">
            <w:pPr>
              <w:pStyle w:val="ListParagraph"/>
              <w:numPr>
                <w:ilvl w:val="0"/>
                <w:numId w:val="64"/>
              </w:numPr>
              <w:spacing w:after="120"/>
              <w:ind w:left="330"/>
              <w:contextualSpacing w:val="0"/>
              <w:rPr>
                <w:rFonts w:ascii="Arial" w:hAnsi="Arial" w:cs="Arial"/>
              </w:rPr>
            </w:pPr>
            <w:r w:rsidRPr="009850FC">
              <w:rPr>
                <w:rFonts w:ascii="Arial" w:hAnsi="Arial" w:cs="Arial"/>
              </w:rPr>
              <w:t>Resources for staff, parents, OSY, and students</w:t>
            </w:r>
          </w:p>
        </w:tc>
        <w:tc>
          <w:tcPr>
            <w:tcW w:w="5220" w:type="dxa"/>
          </w:tcPr>
          <w:p w14:paraId="62BFD9E3" w14:textId="7A1B114A" w:rsidR="00B729BF" w:rsidRPr="00113364" w:rsidRDefault="00B729BF" w:rsidP="00B729BF">
            <w:pPr>
              <w:spacing w:after="120"/>
              <w:rPr>
                <w:rFonts w:ascii="Arial" w:hAnsi="Arial" w:cs="Arial"/>
                <w:b/>
                <w:bCs/>
              </w:rPr>
            </w:pPr>
            <w:r w:rsidRPr="00113364">
              <w:rPr>
                <w:rFonts w:ascii="Arial" w:hAnsi="Arial" w:cs="Arial"/>
                <w:b/>
                <w:bCs/>
              </w:rPr>
              <w:t xml:space="preserve">Measurable Program Objective 4.2: </w:t>
            </w:r>
            <w:r w:rsidRPr="00113364">
              <w:rPr>
                <w:rFonts w:ascii="Arial" w:hAnsi="Arial" w:cs="Arial"/>
              </w:rPr>
              <w:t xml:space="preserve">Each year, the MEP provides at least one professional learning opportunity </w:t>
            </w:r>
            <w:r w:rsidR="003D614F">
              <w:rPr>
                <w:rFonts w:ascii="Arial" w:hAnsi="Arial" w:cs="Arial"/>
              </w:rPr>
              <w:t>for</w:t>
            </w:r>
            <w:r w:rsidRPr="00113364">
              <w:rPr>
                <w:rFonts w:ascii="Arial" w:hAnsi="Arial" w:cs="Arial"/>
              </w:rPr>
              <w:t xml:space="preserve"> staff to build the knowledge and skills to implement SEL into their lessons.</w:t>
            </w:r>
          </w:p>
        </w:tc>
      </w:tr>
    </w:tbl>
    <w:p w14:paraId="687665FA" w14:textId="6DC6DAF9" w:rsidR="00B5189D" w:rsidRPr="00113364" w:rsidRDefault="00E92A6A" w:rsidP="00330CD6">
      <w:pPr>
        <w:spacing w:before="240" w:after="240"/>
        <w:rPr>
          <w:rFonts w:ascii="Arial" w:hAnsi="Arial" w:cs="Arial"/>
        </w:rPr>
      </w:pPr>
      <w:r w:rsidRPr="00113364">
        <w:rPr>
          <w:rFonts w:ascii="Arial" w:hAnsi="Arial" w:cs="Arial"/>
        </w:rPr>
        <w:t>Performance target for the SEL focus area:</w:t>
      </w:r>
      <w:r w:rsidR="003F7897" w:rsidRPr="00113364">
        <w:rPr>
          <w:rFonts w:ascii="Arial" w:hAnsi="Arial" w:cs="Arial"/>
        </w:rPr>
        <w:t xml:space="preserve"> </w:t>
      </w:r>
      <w:r w:rsidR="002D617D" w:rsidRPr="00113364">
        <w:rPr>
          <w:rFonts w:ascii="Arial" w:hAnsi="Arial" w:cs="Arial"/>
        </w:rPr>
        <w:t>By September 2031, 50 percent of migratory students will participate in at least one instructional service, excluding credit accrual services, that include SEL.</w:t>
      </w:r>
    </w:p>
    <w:p w14:paraId="4341122C" w14:textId="65A5F836" w:rsidR="009607AD" w:rsidRPr="00113364" w:rsidRDefault="009704AF" w:rsidP="00330CD6">
      <w:pPr>
        <w:spacing w:before="240" w:after="240"/>
        <w:rPr>
          <w:rFonts w:ascii="Arial" w:hAnsi="Arial" w:cs="Arial"/>
        </w:rPr>
      </w:pPr>
      <w:r w:rsidRPr="00113364">
        <w:rPr>
          <w:rFonts w:ascii="Arial" w:hAnsi="Arial" w:cs="Arial"/>
        </w:rPr>
        <w:t xml:space="preserve">Given the CNA SDP Committee’s feedback on the need to build staff capacity in SEL and the work of revising services to enhance student engagement, </w:t>
      </w:r>
      <w:proofErr w:type="gramStart"/>
      <w:r w:rsidRPr="00113364">
        <w:rPr>
          <w:rFonts w:ascii="Arial" w:hAnsi="Arial" w:cs="Arial"/>
        </w:rPr>
        <w:t>the CDE</w:t>
      </w:r>
      <w:proofErr w:type="gramEnd"/>
      <w:r w:rsidRPr="00113364">
        <w:rPr>
          <w:rFonts w:ascii="Arial" w:hAnsi="Arial" w:cs="Arial"/>
        </w:rPr>
        <w:t xml:space="preserve"> </w:t>
      </w:r>
      <w:r w:rsidR="00B656B3" w:rsidRPr="00113364">
        <w:rPr>
          <w:rFonts w:ascii="Arial" w:hAnsi="Arial" w:cs="Arial"/>
        </w:rPr>
        <w:t xml:space="preserve">will provide support whenever possible. </w:t>
      </w:r>
      <w:r w:rsidR="00593271">
        <w:rPr>
          <w:rFonts w:ascii="Arial" w:hAnsi="Arial" w:cs="Arial"/>
        </w:rPr>
        <w:t>T</w:t>
      </w:r>
      <w:r w:rsidR="00B656B3" w:rsidRPr="00113364">
        <w:rPr>
          <w:rFonts w:ascii="Arial" w:hAnsi="Arial" w:cs="Arial"/>
        </w:rPr>
        <w:t xml:space="preserve">he CDE </w:t>
      </w:r>
      <w:r w:rsidRPr="00113364">
        <w:rPr>
          <w:rFonts w:ascii="Arial" w:hAnsi="Arial" w:cs="Arial"/>
        </w:rPr>
        <w:t xml:space="preserve">will develop </w:t>
      </w:r>
      <w:r w:rsidR="00593271">
        <w:rPr>
          <w:rFonts w:ascii="Arial" w:hAnsi="Arial" w:cs="Arial"/>
        </w:rPr>
        <w:t xml:space="preserve">as many </w:t>
      </w:r>
      <w:r w:rsidRPr="00113364">
        <w:rPr>
          <w:rFonts w:ascii="Arial" w:hAnsi="Arial" w:cs="Arial"/>
        </w:rPr>
        <w:t xml:space="preserve">resources </w:t>
      </w:r>
      <w:r w:rsidR="00593271">
        <w:rPr>
          <w:rFonts w:ascii="Arial" w:hAnsi="Arial" w:cs="Arial"/>
        </w:rPr>
        <w:t xml:space="preserve">as feasible </w:t>
      </w:r>
      <w:r w:rsidRPr="00113364">
        <w:rPr>
          <w:rFonts w:ascii="Arial" w:hAnsi="Arial" w:cs="Arial"/>
        </w:rPr>
        <w:t xml:space="preserve">to support </w:t>
      </w:r>
      <w:r w:rsidR="00B656B3" w:rsidRPr="00113364">
        <w:rPr>
          <w:rFonts w:ascii="Arial" w:hAnsi="Arial" w:cs="Arial"/>
        </w:rPr>
        <w:t xml:space="preserve">building MEP staff’s capacity to implement SEL and provide differentiated materials for parent workshops. </w:t>
      </w:r>
      <w:r w:rsidR="009607AD" w:rsidRPr="00113364">
        <w:rPr>
          <w:rFonts w:ascii="Arial" w:hAnsi="Arial" w:cs="Arial"/>
        </w:rPr>
        <w:t xml:space="preserve">Social and emotional learning strategies will be included in instructional services for kindergarten through twelfth </w:t>
      </w:r>
      <w:proofErr w:type="gramStart"/>
      <w:r w:rsidR="009607AD" w:rsidRPr="00113364">
        <w:rPr>
          <w:rFonts w:ascii="Arial" w:hAnsi="Arial" w:cs="Arial"/>
        </w:rPr>
        <w:t>grades</w:t>
      </w:r>
      <w:proofErr w:type="gramEnd"/>
      <w:r w:rsidR="009607AD" w:rsidRPr="00113364">
        <w:rPr>
          <w:rFonts w:ascii="Arial" w:hAnsi="Arial" w:cs="Arial"/>
        </w:rPr>
        <w:t xml:space="preserve">. Many of the focus areas include both primary and secondary levels. Meaning that even though </w:t>
      </w:r>
      <w:r w:rsidR="007D0F04" w:rsidRPr="00113364">
        <w:rPr>
          <w:rFonts w:ascii="Arial" w:hAnsi="Arial" w:cs="Arial"/>
        </w:rPr>
        <w:t>there is</w:t>
      </w:r>
      <w:r w:rsidR="009607AD" w:rsidRPr="00113364">
        <w:rPr>
          <w:rFonts w:ascii="Arial" w:hAnsi="Arial" w:cs="Arial"/>
        </w:rPr>
        <w:t xml:space="preserve"> a separate focus area on high school outcomes, strategies in many other focus areas also address the needs of migratory students. </w:t>
      </w:r>
    </w:p>
    <w:p w14:paraId="7FFF75F0" w14:textId="30CC7963" w:rsidR="00BA5C6E" w:rsidRPr="00113364" w:rsidRDefault="00BA5C6E" w:rsidP="003F0CBE">
      <w:pPr>
        <w:pStyle w:val="Heading3"/>
      </w:pPr>
      <w:bookmarkStart w:id="90" w:name="_Toc203568853"/>
      <w:r w:rsidRPr="00113364">
        <w:t xml:space="preserve">High School </w:t>
      </w:r>
      <w:r w:rsidR="00100C2F" w:rsidRPr="00113364">
        <w:t>Outcomes</w:t>
      </w:r>
      <w:bookmarkEnd w:id="90"/>
    </w:p>
    <w:p w14:paraId="065C85F5" w14:textId="4BA792C5" w:rsidR="00B4591E" w:rsidRPr="00113364" w:rsidRDefault="003D458E" w:rsidP="00DA1AA0">
      <w:pPr>
        <w:spacing w:after="240"/>
        <w:rPr>
          <w:rFonts w:ascii="Arial" w:hAnsi="Arial" w:cs="Arial"/>
        </w:rPr>
      </w:pPr>
      <w:r w:rsidRPr="00113364">
        <w:rPr>
          <w:rFonts w:ascii="Arial" w:hAnsi="Arial" w:cs="Arial"/>
        </w:rPr>
        <w:t xml:space="preserve">Migratory students </w:t>
      </w:r>
      <w:r w:rsidR="00DA1AA0" w:rsidRPr="00113364">
        <w:rPr>
          <w:rFonts w:ascii="Arial" w:hAnsi="Arial" w:cs="Arial"/>
        </w:rPr>
        <w:t>we</w:t>
      </w:r>
      <w:r w:rsidRPr="00113364">
        <w:rPr>
          <w:rFonts w:ascii="Arial" w:hAnsi="Arial" w:cs="Arial"/>
        </w:rPr>
        <w:t>re closing the high school graduation gap</w:t>
      </w:r>
      <w:r w:rsidR="00DA1AA0" w:rsidRPr="00113364">
        <w:rPr>
          <w:rFonts w:ascii="Arial" w:hAnsi="Arial" w:cs="Arial"/>
        </w:rPr>
        <w:t xml:space="preserve"> prior to 2020</w:t>
      </w:r>
      <w:r w:rsidRPr="00113364">
        <w:rPr>
          <w:rFonts w:ascii="Arial" w:hAnsi="Arial" w:cs="Arial"/>
        </w:rPr>
        <w:t>, but the</w:t>
      </w:r>
      <w:r w:rsidR="00DA1AA0" w:rsidRPr="00113364">
        <w:rPr>
          <w:rFonts w:ascii="Arial" w:hAnsi="Arial" w:cs="Arial"/>
        </w:rPr>
        <w:t>n</w:t>
      </w:r>
      <w:r w:rsidRPr="00113364">
        <w:rPr>
          <w:rFonts w:ascii="Arial" w:hAnsi="Arial" w:cs="Arial"/>
        </w:rPr>
        <w:t xml:space="preserve"> </w:t>
      </w:r>
      <w:r w:rsidR="00DA1AA0" w:rsidRPr="00113364">
        <w:rPr>
          <w:rFonts w:ascii="Arial" w:hAnsi="Arial" w:cs="Arial"/>
        </w:rPr>
        <w:t>COVID</w:t>
      </w:r>
      <w:r w:rsidR="000054DA">
        <w:rPr>
          <w:rFonts w:ascii="Arial" w:hAnsi="Arial" w:cs="Arial"/>
        </w:rPr>
        <w:t>-19</w:t>
      </w:r>
      <w:r w:rsidR="00DA1AA0" w:rsidRPr="00113364">
        <w:rPr>
          <w:rFonts w:ascii="Arial" w:hAnsi="Arial" w:cs="Arial"/>
        </w:rPr>
        <w:t xml:space="preserve"> </w:t>
      </w:r>
      <w:r w:rsidR="00477F1E" w:rsidRPr="00113364">
        <w:rPr>
          <w:rFonts w:ascii="Arial" w:hAnsi="Arial" w:cs="Arial"/>
        </w:rPr>
        <w:t>shocked the system</w:t>
      </w:r>
      <w:r w:rsidR="00DA1AA0" w:rsidRPr="00113364">
        <w:rPr>
          <w:rFonts w:ascii="Arial" w:hAnsi="Arial" w:cs="Arial"/>
        </w:rPr>
        <w:t>, and students experienced a range of effects affect</w:t>
      </w:r>
      <w:r w:rsidR="00477F1E" w:rsidRPr="00113364">
        <w:rPr>
          <w:rFonts w:ascii="Arial" w:hAnsi="Arial" w:cs="Arial"/>
        </w:rPr>
        <w:t>ing</w:t>
      </w:r>
      <w:r w:rsidR="00DA1AA0" w:rsidRPr="00113364">
        <w:rPr>
          <w:rFonts w:ascii="Arial" w:hAnsi="Arial" w:cs="Arial"/>
        </w:rPr>
        <w:t xml:space="preserve"> their ability to participate in school (e.g., a year of virtual learning leading to severe learning loss, unreliable internet connection, inadequate supports to improve </w:t>
      </w:r>
      <w:r w:rsidR="00B03119">
        <w:rPr>
          <w:rFonts w:ascii="Arial" w:hAnsi="Arial" w:cs="Arial"/>
        </w:rPr>
        <w:t>ELP</w:t>
      </w:r>
      <w:r w:rsidR="00DA1AA0" w:rsidRPr="00113364">
        <w:rPr>
          <w:rFonts w:ascii="Arial" w:hAnsi="Arial" w:cs="Arial"/>
        </w:rPr>
        <w:t>, social isolation, mental health issues, etc.)</w:t>
      </w:r>
      <w:r w:rsidRPr="00113364">
        <w:rPr>
          <w:rFonts w:ascii="Arial" w:hAnsi="Arial" w:cs="Arial"/>
        </w:rPr>
        <w:t xml:space="preserve">. </w:t>
      </w:r>
      <w:r w:rsidR="006105E8" w:rsidRPr="00113364">
        <w:rPr>
          <w:rFonts w:ascii="Arial" w:hAnsi="Arial" w:cs="Arial"/>
        </w:rPr>
        <w:t xml:space="preserve">Although graduation and dropout rates did not change significantly, the CDE is required </w:t>
      </w:r>
      <w:r w:rsidR="00593271">
        <w:rPr>
          <w:rFonts w:ascii="Arial" w:hAnsi="Arial" w:cs="Arial"/>
        </w:rPr>
        <w:t xml:space="preserve">by federal law </w:t>
      </w:r>
      <w:r w:rsidR="006105E8" w:rsidRPr="00113364">
        <w:rPr>
          <w:rFonts w:ascii="Arial" w:hAnsi="Arial" w:cs="Arial"/>
        </w:rPr>
        <w:t xml:space="preserve">to focus on these two measurements for the High School Outcomes focus area. The CNA SDP Committee </w:t>
      </w:r>
      <w:r w:rsidR="0007494A" w:rsidRPr="00113364">
        <w:rPr>
          <w:rFonts w:ascii="Arial" w:hAnsi="Arial" w:cs="Arial"/>
        </w:rPr>
        <w:t>identif</w:t>
      </w:r>
      <w:r w:rsidR="00387F46" w:rsidRPr="00113364">
        <w:rPr>
          <w:rFonts w:ascii="Arial" w:hAnsi="Arial" w:cs="Arial"/>
        </w:rPr>
        <w:t>ie</w:t>
      </w:r>
      <w:r w:rsidR="006105E8" w:rsidRPr="00113364">
        <w:rPr>
          <w:rFonts w:ascii="Arial" w:hAnsi="Arial" w:cs="Arial"/>
        </w:rPr>
        <w:t>d</w:t>
      </w:r>
      <w:r w:rsidR="00B4591E" w:rsidRPr="00113364">
        <w:rPr>
          <w:rFonts w:ascii="Arial" w:hAnsi="Arial" w:cs="Arial"/>
        </w:rPr>
        <w:t xml:space="preserve"> </w:t>
      </w:r>
      <w:r w:rsidR="006105E8" w:rsidRPr="00113364">
        <w:rPr>
          <w:rFonts w:ascii="Arial" w:hAnsi="Arial" w:cs="Arial"/>
        </w:rPr>
        <w:t>a need to</w:t>
      </w:r>
      <w:r w:rsidR="00B4591E" w:rsidRPr="00113364">
        <w:rPr>
          <w:rFonts w:ascii="Arial" w:hAnsi="Arial" w:cs="Arial"/>
        </w:rPr>
        <w:t xml:space="preserve"> </w:t>
      </w:r>
      <w:r w:rsidR="00DA1AA0" w:rsidRPr="00113364">
        <w:rPr>
          <w:rFonts w:ascii="Arial" w:hAnsi="Arial" w:cs="Arial"/>
        </w:rPr>
        <w:t>increas</w:t>
      </w:r>
      <w:r w:rsidR="006105E8" w:rsidRPr="00113364">
        <w:rPr>
          <w:rFonts w:ascii="Arial" w:hAnsi="Arial" w:cs="Arial"/>
        </w:rPr>
        <w:t>e</w:t>
      </w:r>
      <w:r w:rsidR="00DA1AA0" w:rsidRPr="00113364">
        <w:rPr>
          <w:rFonts w:ascii="Arial" w:hAnsi="Arial" w:cs="Arial"/>
        </w:rPr>
        <w:t xml:space="preserve"> the percentage of migratory students who meet the UC/ CSU requirements.</w:t>
      </w:r>
      <w:r w:rsidR="00021FEA" w:rsidRPr="00113364">
        <w:rPr>
          <w:rFonts w:ascii="Arial" w:hAnsi="Arial" w:cs="Arial"/>
        </w:rPr>
        <w:t xml:space="preserve"> </w:t>
      </w:r>
      <w:r w:rsidR="002D617D" w:rsidRPr="00113364">
        <w:rPr>
          <w:rFonts w:ascii="Arial" w:hAnsi="Arial" w:cs="Arial"/>
        </w:rPr>
        <w:t>To</w:t>
      </w:r>
      <w:r w:rsidR="00964BBB" w:rsidRPr="00113364">
        <w:rPr>
          <w:rFonts w:ascii="Arial" w:hAnsi="Arial" w:cs="Arial"/>
        </w:rPr>
        <w:t xml:space="preserve"> meet these requirements, students must also meet their high school graduation requirements, so strategies to address the need to increase the number of migratory students who meet the UC/CSU requirements will also support </w:t>
      </w:r>
      <w:r w:rsidR="00964BBB" w:rsidRPr="00113364">
        <w:rPr>
          <w:rFonts w:ascii="Arial" w:hAnsi="Arial" w:cs="Arial"/>
        </w:rPr>
        <w:lastRenderedPageBreak/>
        <w:t xml:space="preserve">graduation and discourage dropping out. Even so, the committee’s second priority </w:t>
      </w:r>
      <w:proofErr w:type="gramStart"/>
      <w:r w:rsidR="00964BBB" w:rsidRPr="00113364">
        <w:rPr>
          <w:rFonts w:ascii="Arial" w:hAnsi="Arial" w:cs="Arial"/>
        </w:rPr>
        <w:t>need</w:t>
      </w:r>
      <w:proofErr w:type="gramEnd"/>
      <w:r w:rsidR="00964BBB" w:rsidRPr="00113364">
        <w:rPr>
          <w:rFonts w:ascii="Arial" w:hAnsi="Arial" w:cs="Arial"/>
        </w:rPr>
        <w:t xml:space="preserve"> revolved around decreasing the dropout rate for migratory students. </w:t>
      </w:r>
    </w:p>
    <w:p w14:paraId="5B45CC75" w14:textId="77777777" w:rsidR="00F954B3" w:rsidRPr="00113364" w:rsidRDefault="00F954B3" w:rsidP="00F954B3">
      <w:pPr>
        <w:spacing w:before="240" w:after="240"/>
        <w:rPr>
          <w:rFonts w:ascii="Arial" w:hAnsi="Arial" w:cs="Arial"/>
        </w:rPr>
      </w:pPr>
      <w:r w:rsidRPr="00113364">
        <w:rPr>
          <w:rFonts w:ascii="Arial" w:hAnsi="Arial" w:cs="Arial"/>
        </w:rPr>
        <w:t>The CNA SDP Committee reviewed graduation outcome data that showed a large gap between migratory and all student groups of high school graduates that met the UC/CSU requirements. As identified by the DataQuest 2022–23 Four-Year Adjusted Cohort Graduation Rate Report:</w:t>
      </w:r>
    </w:p>
    <w:p w14:paraId="1FC17D4C" w14:textId="29CD9729" w:rsidR="00F954B3" w:rsidRPr="00113364" w:rsidRDefault="00F954B3">
      <w:pPr>
        <w:pStyle w:val="ListParagraph"/>
        <w:numPr>
          <w:ilvl w:val="0"/>
          <w:numId w:val="54"/>
        </w:numPr>
        <w:spacing w:after="240"/>
        <w:contextualSpacing w:val="0"/>
        <w:rPr>
          <w:rFonts w:ascii="Arial" w:hAnsi="Arial" w:cs="Arial"/>
        </w:rPr>
      </w:pPr>
      <w:r w:rsidRPr="00113364">
        <w:rPr>
          <w:rFonts w:ascii="Arial" w:hAnsi="Arial" w:cs="Arial"/>
        </w:rPr>
        <w:t>In 2022–23, only 31.1</w:t>
      </w:r>
      <w:r w:rsidR="006105E8" w:rsidRPr="00113364">
        <w:rPr>
          <w:rFonts w:ascii="Arial" w:hAnsi="Arial" w:cs="Arial"/>
        </w:rPr>
        <w:t> </w:t>
      </w:r>
      <w:r w:rsidRPr="00113364">
        <w:rPr>
          <w:rFonts w:ascii="Arial" w:hAnsi="Arial" w:cs="Arial"/>
        </w:rPr>
        <w:t xml:space="preserve">percent of migratory students met the UC/CSU requirements. </w:t>
      </w:r>
    </w:p>
    <w:p w14:paraId="5CF08973" w14:textId="2DBA0698" w:rsidR="00F954B3" w:rsidRPr="00113364" w:rsidRDefault="00F954B3">
      <w:pPr>
        <w:pStyle w:val="ListParagraph"/>
        <w:numPr>
          <w:ilvl w:val="0"/>
          <w:numId w:val="54"/>
        </w:numPr>
        <w:spacing w:after="240"/>
        <w:contextualSpacing w:val="0"/>
        <w:rPr>
          <w:rFonts w:ascii="Arial" w:hAnsi="Arial" w:cs="Arial"/>
        </w:rPr>
      </w:pPr>
      <w:r w:rsidRPr="00113364">
        <w:rPr>
          <w:rFonts w:ascii="Arial" w:hAnsi="Arial" w:cs="Arial"/>
        </w:rPr>
        <w:t>In 2022–23, 52.4</w:t>
      </w:r>
      <w:r w:rsidR="006105E8" w:rsidRPr="00113364">
        <w:rPr>
          <w:rFonts w:ascii="Arial" w:hAnsi="Arial" w:cs="Arial"/>
        </w:rPr>
        <w:t> </w:t>
      </w:r>
      <w:r w:rsidRPr="00113364">
        <w:rPr>
          <w:rFonts w:ascii="Arial" w:hAnsi="Arial" w:cs="Arial"/>
        </w:rPr>
        <w:t xml:space="preserve">percent of all students met the UC/CSU requirements. </w:t>
      </w:r>
    </w:p>
    <w:p w14:paraId="7B1F79D9" w14:textId="2810B8E5" w:rsidR="00674EA8" w:rsidRPr="00113364" w:rsidRDefault="00674EA8" w:rsidP="00674EA8">
      <w:pPr>
        <w:spacing w:after="240"/>
        <w:rPr>
          <w:rFonts w:ascii="Arial" w:hAnsi="Arial" w:cs="Arial"/>
        </w:rPr>
      </w:pPr>
      <w:r w:rsidRPr="00113364">
        <w:rPr>
          <w:rFonts w:ascii="Arial" w:hAnsi="Arial" w:cs="Arial"/>
        </w:rPr>
        <w:t>Additionally, the CNA SDP Committee reviewed graduation and dropout data from 2018–19 through 2022–23. As identified by the DataQuest 2022–23 Four-Year Adjusted Cohort Outcome Data:</w:t>
      </w:r>
    </w:p>
    <w:p w14:paraId="01926702" w14:textId="768EB933" w:rsidR="00674EA8" w:rsidRPr="00113364" w:rsidRDefault="00674EA8">
      <w:pPr>
        <w:pStyle w:val="ListParagraph"/>
        <w:numPr>
          <w:ilvl w:val="0"/>
          <w:numId w:val="54"/>
        </w:numPr>
        <w:spacing w:after="240"/>
        <w:contextualSpacing w:val="0"/>
        <w:rPr>
          <w:rFonts w:ascii="Arial" w:hAnsi="Arial" w:cs="Arial"/>
        </w:rPr>
      </w:pPr>
      <w:r w:rsidRPr="00113364">
        <w:rPr>
          <w:rFonts w:ascii="Arial" w:hAnsi="Arial" w:cs="Arial"/>
        </w:rPr>
        <w:t>The four-year cohort dropout rate for migratory students was 10.1</w:t>
      </w:r>
      <w:r w:rsidR="006105E8" w:rsidRPr="00113364">
        <w:rPr>
          <w:rFonts w:ascii="Arial" w:hAnsi="Arial" w:cs="Arial"/>
        </w:rPr>
        <w:t> </w:t>
      </w:r>
      <w:r w:rsidRPr="00113364">
        <w:rPr>
          <w:rFonts w:ascii="Arial" w:hAnsi="Arial" w:cs="Arial"/>
        </w:rPr>
        <w:t>percent.</w:t>
      </w:r>
    </w:p>
    <w:p w14:paraId="68865DDD" w14:textId="7AC1EDFD" w:rsidR="00674EA8" w:rsidRPr="00113364" w:rsidRDefault="00674EA8">
      <w:pPr>
        <w:pStyle w:val="ListParagraph"/>
        <w:numPr>
          <w:ilvl w:val="0"/>
          <w:numId w:val="54"/>
        </w:numPr>
        <w:spacing w:after="240"/>
        <w:contextualSpacing w:val="0"/>
        <w:rPr>
          <w:rFonts w:ascii="Arial" w:hAnsi="Arial" w:cs="Arial"/>
        </w:rPr>
      </w:pPr>
      <w:r w:rsidRPr="00113364">
        <w:rPr>
          <w:rFonts w:ascii="Arial" w:hAnsi="Arial" w:cs="Arial"/>
        </w:rPr>
        <w:t>When comparing student groups, a 1.9 percent gap exists between migratory and all students with the four-year cohort dropout rate for all students at 8.2</w:t>
      </w:r>
      <w:r w:rsidR="006105E8" w:rsidRPr="00113364">
        <w:rPr>
          <w:rFonts w:ascii="Arial" w:hAnsi="Arial" w:cs="Arial"/>
        </w:rPr>
        <w:t> </w:t>
      </w:r>
      <w:r w:rsidRPr="00113364">
        <w:rPr>
          <w:rFonts w:ascii="Arial" w:hAnsi="Arial" w:cs="Arial"/>
        </w:rPr>
        <w:t>percent.</w:t>
      </w:r>
    </w:p>
    <w:p w14:paraId="05CBD296" w14:textId="77777777" w:rsidR="00674EA8" w:rsidRPr="00113364" w:rsidRDefault="00674EA8" w:rsidP="00674EA8">
      <w:pPr>
        <w:spacing w:after="240"/>
        <w:rPr>
          <w:rFonts w:ascii="Arial" w:hAnsi="Arial" w:cs="Arial"/>
        </w:rPr>
      </w:pPr>
      <w:r w:rsidRPr="00113364">
        <w:rPr>
          <w:rFonts w:ascii="Arial" w:hAnsi="Arial" w:cs="Arial"/>
        </w:rPr>
        <w:t>Implementing the strategies listed below (identical for graduation and dropout), the California MEP expects to increase migratory students’ graduation rate while decreasing the dropout rate. The MEP-specific performance target is identified following each table.</w:t>
      </w:r>
    </w:p>
    <w:p w14:paraId="49546527" w14:textId="3F4C6977" w:rsidR="0005472F" w:rsidRPr="00113364" w:rsidRDefault="00477F1E" w:rsidP="004259A9">
      <w:pPr>
        <w:spacing w:after="240"/>
        <w:rPr>
          <w:rFonts w:ascii="Arial" w:hAnsi="Arial" w:cs="Arial"/>
        </w:rPr>
      </w:pPr>
      <w:r w:rsidRPr="00113364">
        <w:rPr>
          <w:rFonts w:ascii="Arial" w:hAnsi="Arial" w:cs="Arial"/>
        </w:rPr>
        <w:t xml:space="preserve">Table 32 identifies one strategy and </w:t>
      </w:r>
      <w:r w:rsidR="007D0F04" w:rsidRPr="00113364">
        <w:rPr>
          <w:rFonts w:ascii="Arial" w:hAnsi="Arial" w:cs="Arial"/>
        </w:rPr>
        <w:t>corresponding</w:t>
      </w:r>
      <w:r w:rsidRPr="00113364">
        <w:rPr>
          <w:rFonts w:ascii="Arial" w:hAnsi="Arial" w:cs="Arial"/>
        </w:rPr>
        <w:t xml:space="preserve"> MPO for decreasing dropout rates while simultaneously increasing high school graduation rates as well as increasing the percentage of migratory students who meet the U</w:t>
      </w:r>
      <w:r w:rsidR="007D0F04" w:rsidRPr="00113364">
        <w:rPr>
          <w:rFonts w:ascii="Arial" w:hAnsi="Arial" w:cs="Arial"/>
        </w:rPr>
        <w:t>C</w:t>
      </w:r>
      <w:r w:rsidRPr="00113364">
        <w:rPr>
          <w:rFonts w:ascii="Arial" w:hAnsi="Arial" w:cs="Arial"/>
        </w:rPr>
        <w:t xml:space="preserve">/CSU requirements. MEP-specific performance targets follow each table. </w:t>
      </w:r>
    </w:p>
    <w:p w14:paraId="0BCBBAF3" w14:textId="2B0EC8D6" w:rsidR="00F954B3" w:rsidRPr="00113364" w:rsidRDefault="0054625A" w:rsidP="00D330A6">
      <w:pPr>
        <w:pStyle w:val="Heading4"/>
        <w:spacing w:after="0"/>
        <w:rPr>
          <w:sz w:val="24"/>
        </w:rPr>
      </w:pPr>
      <w:bookmarkStart w:id="91" w:name="_Toc204755368"/>
      <w:r w:rsidRPr="00113364">
        <w:rPr>
          <w:sz w:val="24"/>
        </w:rPr>
        <w:lastRenderedPageBreak/>
        <w:t xml:space="preserve">Table </w:t>
      </w:r>
      <w:r w:rsidR="00E92A6A" w:rsidRPr="00113364">
        <w:rPr>
          <w:sz w:val="24"/>
        </w:rPr>
        <w:fldChar w:fldCharType="begin"/>
      </w:r>
      <w:r w:rsidR="00E92A6A" w:rsidRPr="00113364">
        <w:rPr>
          <w:sz w:val="24"/>
        </w:rPr>
        <w:instrText xml:space="preserve"> SEQ Table \* ARABIC </w:instrText>
      </w:r>
      <w:r w:rsidR="00E92A6A" w:rsidRPr="00113364">
        <w:rPr>
          <w:sz w:val="24"/>
        </w:rPr>
        <w:fldChar w:fldCharType="separate"/>
      </w:r>
      <w:r w:rsidR="001362A0">
        <w:rPr>
          <w:noProof/>
          <w:sz w:val="24"/>
        </w:rPr>
        <w:t>32</w:t>
      </w:r>
      <w:r w:rsidR="00E92A6A" w:rsidRPr="00113364">
        <w:rPr>
          <w:noProof/>
          <w:sz w:val="24"/>
        </w:rPr>
        <w:fldChar w:fldCharType="end"/>
      </w:r>
      <w:r w:rsidR="002535A7" w:rsidRPr="00113364">
        <w:rPr>
          <w:sz w:val="24"/>
        </w:rPr>
        <w:t>. Strategie</w:t>
      </w:r>
      <w:r w:rsidR="00514084" w:rsidRPr="00113364">
        <w:rPr>
          <w:sz w:val="24"/>
        </w:rPr>
        <w:t xml:space="preserve">s and </w:t>
      </w:r>
      <w:r w:rsidR="009074C7" w:rsidRPr="00113364">
        <w:rPr>
          <w:sz w:val="24"/>
        </w:rPr>
        <w:t>Measurable Program Objectives</w:t>
      </w:r>
      <w:r w:rsidR="002E7853" w:rsidRPr="00113364">
        <w:rPr>
          <w:sz w:val="24"/>
        </w:rPr>
        <w:t xml:space="preserve"> for </w:t>
      </w:r>
      <w:r w:rsidR="00F954B3" w:rsidRPr="00113364">
        <w:rPr>
          <w:sz w:val="24"/>
        </w:rPr>
        <w:t xml:space="preserve">Increasing the Percentage of Migratory High School Students </w:t>
      </w:r>
      <w:r w:rsidR="00D2472D" w:rsidRPr="00113364">
        <w:rPr>
          <w:sz w:val="24"/>
        </w:rPr>
        <w:t>W</w:t>
      </w:r>
      <w:r w:rsidR="00F954B3" w:rsidRPr="00113364">
        <w:rPr>
          <w:sz w:val="24"/>
        </w:rPr>
        <w:t>ho Graduate Meeting the U</w:t>
      </w:r>
      <w:r w:rsidR="000054DA">
        <w:rPr>
          <w:sz w:val="24"/>
        </w:rPr>
        <w:t xml:space="preserve">niversity of </w:t>
      </w:r>
      <w:r w:rsidR="00F954B3" w:rsidRPr="00113364">
        <w:rPr>
          <w:sz w:val="24"/>
        </w:rPr>
        <w:t>C</w:t>
      </w:r>
      <w:r w:rsidR="000054DA">
        <w:rPr>
          <w:sz w:val="24"/>
        </w:rPr>
        <w:t>alifornia</w:t>
      </w:r>
      <w:r w:rsidR="00F954B3" w:rsidRPr="00113364">
        <w:rPr>
          <w:sz w:val="24"/>
        </w:rPr>
        <w:t>/C</w:t>
      </w:r>
      <w:r w:rsidR="000054DA">
        <w:rPr>
          <w:sz w:val="24"/>
        </w:rPr>
        <w:t xml:space="preserve">alifornia </w:t>
      </w:r>
      <w:r w:rsidR="00F954B3" w:rsidRPr="00113364">
        <w:rPr>
          <w:sz w:val="24"/>
        </w:rPr>
        <w:t>S</w:t>
      </w:r>
      <w:r w:rsidR="000054DA">
        <w:rPr>
          <w:sz w:val="24"/>
        </w:rPr>
        <w:t xml:space="preserve">tate </w:t>
      </w:r>
      <w:r w:rsidR="00F954B3" w:rsidRPr="00113364">
        <w:rPr>
          <w:sz w:val="24"/>
        </w:rPr>
        <w:t>U</w:t>
      </w:r>
      <w:r w:rsidR="000054DA">
        <w:rPr>
          <w:sz w:val="24"/>
        </w:rPr>
        <w:t>niversity</w:t>
      </w:r>
      <w:r w:rsidR="00F954B3" w:rsidRPr="00113364">
        <w:rPr>
          <w:sz w:val="24"/>
        </w:rPr>
        <w:t xml:space="preserve"> Requirements</w:t>
      </w:r>
      <w:bookmarkEnd w:id="91"/>
    </w:p>
    <w:tbl>
      <w:tblPr>
        <w:tblStyle w:val="GridTable4-Accent1"/>
        <w:tblW w:w="9895" w:type="dxa"/>
        <w:tblLook w:val="0420" w:firstRow="1" w:lastRow="0" w:firstColumn="0" w:lastColumn="0" w:noHBand="0" w:noVBand="1"/>
        <w:tblDescription w:val="Strategies and Measurable Program Objectives for Increasing the High School Graduation Rate"/>
      </w:tblPr>
      <w:tblGrid>
        <w:gridCol w:w="5575"/>
        <w:gridCol w:w="4320"/>
      </w:tblGrid>
      <w:tr w:rsidR="0005472F" w:rsidRPr="00113364" w14:paraId="11F78878" w14:textId="77777777" w:rsidTr="00477F1E">
        <w:trPr>
          <w:cnfStyle w:val="100000000000" w:firstRow="1" w:lastRow="0" w:firstColumn="0" w:lastColumn="0" w:oddVBand="0" w:evenVBand="0" w:oddHBand="0" w:evenHBand="0" w:firstRowFirstColumn="0" w:firstRowLastColumn="0" w:lastRowFirstColumn="0" w:lastRowLastColumn="0"/>
          <w:cantSplit/>
          <w:tblHeader/>
        </w:trPr>
        <w:tc>
          <w:tcPr>
            <w:tcW w:w="5575" w:type="dxa"/>
            <w:tcBorders>
              <w:right w:val="single" w:sz="4" w:space="0" w:color="4472C4"/>
            </w:tcBorders>
            <w:shd w:val="clear" w:color="auto" w:fill="1F3864" w:themeFill="accent5" w:themeFillShade="80"/>
          </w:tcPr>
          <w:p w14:paraId="73156109" w14:textId="177FF97B" w:rsidR="0005472F" w:rsidRPr="00113364" w:rsidRDefault="0005472F" w:rsidP="007D443E">
            <w:pPr>
              <w:spacing w:line="276" w:lineRule="auto"/>
              <w:rPr>
                <w:rFonts w:ascii="Arial" w:hAnsi="Arial" w:cs="Arial"/>
                <w:color w:val="FFFFFF"/>
              </w:rPr>
            </w:pPr>
            <w:r w:rsidRPr="00113364">
              <w:rPr>
                <w:rFonts w:ascii="Arial" w:hAnsi="Arial" w:cs="Arial"/>
                <w:color w:val="FFFFFF"/>
              </w:rPr>
              <w:t>Strateg</w:t>
            </w:r>
            <w:r w:rsidR="00477F1E" w:rsidRPr="00113364">
              <w:rPr>
                <w:rFonts w:ascii="Arial" w:hAnsi="Arial" w:cs="Arial"/>
                <w:color w:val="FFFFFF"/>
              </w:rPr>
              <w:t>y</w:t>
            </w:r>
          </w:p>
        </w:tc>
        <w:tc>
          <w:tcPr>
            <w:tcW w:w="4320" w:type="dxa"/>
            <w:tcBorders>
              <w:left w:val="single" w:sz="4" w:space="0" w:color="4472C4"/>
            </w:tcBorders>
            <w:shd w:val="clear" w:color="auto" w:fill="1F3864" w:themeFill="accent5" w:themeFillShade="80"/>
          </w:tcPr>
          <w:p w14:paraId="1638894A" w14:textId="2392AFF6" w:rsidR="0005472F" w:rsidRPr="00113364" w:rsidRDefault="0005472F" w:rsidP="007D443E">
            <w:pPr>
              <w:spacing w:line="276" w:lineRule="auto"/>
              <w:rPr>
                <w:rFonts w:ascii="Arial" w:hAnsi="Arial" w:cs="Arial"/>
                <w:color w:val="FFFFFF"/>
              </w:rPr>
            </w:pPr>
            <w:r w:rsidRPr="00113364">
              <w:rPr>
                <w:rFonts w:ascii="Arial" w:hAnsi="Arial" w:cs="Arial"/>
                <w:color w:val="FFFFFF"/>
              </w:rPr>
              <w:t>Measurable Program Objective</w:t>
            </w:r>
          </w:p>
        </w:tc>
      </w:tr>
      <w:tr w:rsidR="00B729BF" w:rsidRPr="00113364" w14:paraId="616A15BE" w14:textId="77777777" w:rsidTr="00477F1E">
        <w:trPr>
          <w:cnfStyle w:val="000000100000" w:firstRow="0" w:lastRow="0" w:firstColumn="0" w:lastColumn="0" w:oddVBand="0" w:evenVBand="0" w:oddHBand="1" w:evenHBand="0" w:firstRowFirstColumn="0" w:firstRowLastColumn="0" w:lastRowFirstColumn="0" w:lastRowLastColumn="0"/>
          <w:cantSplit/>
        </w:trPr>
        <w:tc>
          <w:tcPr>
            <w:tcW w:w="5575" w:type="dxa"/>
          </w:tcPr>
          <w:p w14:paraId="2B836D09" w14:textId="4FDE409F" w:rsidR="00B729BF" w:rsidRPr="00113364" w:rsidRDefault="00B729BF" w:rsidP="00B729BF">
            <w:pPr>
              <w:spacing w:after="120"/>
              <w:rPr>
                <w:rFonts w:ascii="Arial" w:hAnsi="Arial" w:cs="Arial"/>
              </w:rPr>
            </w:pPr>
            <w:r w:rsidRPr="00113364">
              <w:rPr>
                <w:rFonts w:ascii="Arial" w:hAnsi="Arial" w:cs="Arial"/>
                <w:b/>
                <w:bCs/>
              </w:rPr>
              <w:t>Strategy 5.0:</w:t>
            </w:r>
            <w:r w:rsidR="00021248" w:rsidRPr="00113364">
              <w:rPr>
                <w:rFonts w:ascii="Arial" w:hAnsi="Arial" w:cs="Arial"/>
                <w:b/>
                <w:bCs/>
              </w:rPr>
              <w:t xml:space="preserve"> </w:t>
            </w:r>
            <w:r w:rsidR="00021248" w:rsidRPr="00113364">
              <w:rPr>
                <w:rFonts w:ascii="Arial" w:hAnsi="Arial" w:cs="Arial"/>
              </w:rPr>
              <w:t>Collaborate with school counselors to provide a needs-based</w:t>
            </w:r>
            <w:r w:rsidRPr="00113364">
              <w:rPr>
                <w:rFonts w:ascii="Arial" w:hAnsi="Arial" w:cs="Arial"/>
              </w:rPr>
              <w:t xml:space="preserve"> case management </w:t>
            </w:r>
            <w:r w:rsidR="00021248" w:rsidRPr="00113364">
              <w:rPr>
                <w:rFonts w:ascii="Arial" w:hAnsi="Arial" w:cs="Arial"/>
              </w:rPr>
              <w:t>service</w:t>
            </w:r>
            <w:r w:rsidRPr="00113364">
              <w:rPr>
                <w:rFonts w:ascii="Arial" w:hAnsi="Arial" w:cs="Arial"/>
              </w:rPr>
              <w:t xml:space="preserve"> that </w:t>
            </w:r>
            <w:r w:rsidR="00021248" w:rsidRPr="00113364">
              <w:rPr>
                <w:rFonts w:ascii="Arial" w:hAnsi="Arial" w:cs="Arial"/>
              </w:rPr>
              <w:t xml:space="preserve">includes setting goals to minimize current gaps in knowledge/skillset and for future career or higher education. Depending on goals, potential topics </w:t>
            </w:r>
            <w:r w:rsidR="001C2FC7" w:rsidRPr="00113364">
              <w:rPr>
                <w:rFonts w:ascii="Arial" w:hAnsi="Arial" w:cs="Arial"/>
              </w:rPr>
              <w:t>for this service could include</w:t>
            </w:r>
            <w:r w:rsidRPr="00113364">
              <w:rPr>
                <w:rFonts w:ascii="Arial" w:hAnsi="Arial" w:cs="Arial"/>
              </w:rPr>
              <w:t>:</w:t>
            </w:r>
          </w:p>
          <w:p w14:paraId="6BFAC3A4" w14:textId="58FDF4DE" w:rsidR="00B729BF" w:rsidRPr="00113364" w:rsidRDefault="00B729BF">
            <w:pPr>
              <w:pStyle w:val="ListParagraph"/>
              <w:numPr>
                <w:ilvl w:val="0"/>
                <w:numId w:val="65"/>
              </w:numPr>
              <w:spacing w:after="120"/>
              <w:ind w:left="330"/>
              <w:contextualSpacing w:val="0"/>
              <w:rPr>
                <w:rFonts w:ascii="Arial" w:hAnsi="Arial" w:cs="Arial"/>
              </w:rPr>
            </w:pPr>
            <w:r w:rsidRPr="00113364">
              <w:rPr>
                <w:rFonts w:ascii="Arial" w:hAnsi="Arial" w:cs="Arial"/>
              </w:rPr>
              <w:t xml:space="preserve">A-G </w:t>
            </w:r>
            <w:r w:rsidR="00021248" w:rsidRPr="00113364">
              <w:rPr>
                <w:rFonts w:ascii="Arial" w:hAnsi="Arial" w:cs="Arial"/>
              </w:rPr>
              <w:t xml:space="preserve">and local high school </w:t>
            </w:r>
            <w:r w:rsidRPr="00113364">
              <w:rPr>
                <w:rFonts w:ascii="Arial" w:hAnsi="Arial" w:cs="Arial"/>
              </w:rPr>
              <w:t>requirements</w:t>
            </w:r>
          </w:p>
          <w:p w14:paraId="0E304E76" w14:textId="1B0877E1" w:rsidR="00B729BF" w:rsidRPr="00113364" w:rsidRDefault="00021248">
            <w:pPr>
              <w:pStyle w:val="ListParagraph"/>
              <w:numPr>
                <w:ilvl w:val="0"/>
                <w:numId w:val="65"/>
              </w:numPr>
              <w:spacing w:after="120"/>
              <w:ind w:left="330"/>
              <w:contextualSpacing w:val="0"/>
              <w:rPr>
                <w:rFonts w:ascii="Arial" w:hAnsi="Arial" w:cs="Arial"/>
              </w:rPr>
            </w:pPr>
            <w:r w:rsidRPr="00113364">
              <w:rPr>
                <w:rFonts w:ascii="Arial" w:hAnsi="Arial" w:cs="Arial"/>
              </w:rPr>
              <w:t>T</w:t>
            </w:r>
            <w:r w:rsidR="00B729BF" w:rsidRPr="00113364">
              <w:rPr>
                <w:rFonts w:ascii="Arial" w:hAnsi="Arial" w:cs="Arial"/>
              </w:rPr>
              <w:t>ranscript</w:t>
            </w:r>
            <w:r w:rsidRPr="00113364">
              <w:rPr>
                <w:rFonts w:ascii="Arial" w:hAnsi="Arial" w:cs="Arial"/>
              </w:rPr>
              <w:t xml:space="preserve"> review</w:t>
            </w:r>
            <w:r w:rsidR="00B729BF" w:rsidRPr="00113364">
              <w:rPr>
                <w:rFonts w:ascii="Arial" w:hAnsi="Arial" w:cs="Arial"/>
              </w:rPr>
              <w:t xml:space="preserve"> to identify areas of need and unaddressed credit </w:t>
            </w:r>
            <w:r w:rsidR="00F954B3" w:rsidRPr="00113364">
              <w:rPr>
                <w:rFonts w:ascii="Arial" w:hAnsi="Arial" w:cs="Arial"/>
              </w:rPr>
              <w:t>deficiencies</w:t>
            </w:r>
          </w:p>
          <w:p w14:paraId="250EB2B8" w14:textId="5347B158" w:rsidR="003F3D2C" w:rsidRPr="00113364" w:rsidRDefault="003F3D2C">
            <w:pPr>
              <w:pStyle w:val="ListParagraph"/>
              <w:numPr>
                <w:ilvl w:val="0"/>
                <w:numId w:val="65"/>
              </w:numPr>
              <w:spacing w:after="120"/>
              <w:ind w:left="330"/>
              <w:contextualSpacing w:val="0"/>
              <w:rPr>
                <w:rFonts w:ascii="Arial" w:hAnsi="Arial" w:cs="Arial"/>
              </w:rPr>
            </w:pPr>
            <w:r w:rsidRPr="00113364">
              <w:rPr>
                <w:rFonts w:ascii="Arial" w:hAnsi="Arial" w:cs="Arial"/>
              </w:rPr>
              <w:t>Ask students if they have a meaningful connection to school (e.g., relationships with teachers, peers, etc.)</w:t>
            </w:r>
          </w:p>
          <w:p w14:paraId="6E3EBD49" w14:textId="77777777" w:rsidR="00B729BF" w:rsidRPr="00113364" w:rsidRDefault="00B729BF">
            <w:pPr>
              <w:pStyle w:val="ListParagraph"/>
              <w:numPr>
                <w:ilvl w:val="0"/>
                <w:numId w:val="65"/>
              </w:numPr>
              <w:spacing w:after="120"/>
              <w:ind w:left="330"/>
              <w:contextualSpacing w:val="0"/>
              <w:rPr>
                <w:rFonts w:ascii="Arial" w:hAnsi="Arial" w:cs="Arial"/>
              </w:rPr>
            </w:pPr>
            <w:r w:rsidRPr="00113364">
              <w:rPr>
                <w:rFonts w:ascii="Arial" w:hAnsi="Arial" w:cs="Arial"/>
              </w:rPr>
              <w:t>UC/CSU requirements</w:t>
            </w:r>
          </w:p>
          <w:p w14:paraId="77F0911A" w14:textId="218D94A0" w:rsidR="00B729BF" w:rsidRPr="00113364" w:rsidRDefault="00B729BF">
            <w:pPr>
              <w:pStyle w:val="ListParagraph"/>
              <w:numPr>
                <w:ilvl w:val="0"/>
                <w:numId w:val="65"/>
              </w:numPr>
              <w:spacing w:after="120"/>
              <w:ind w:left="330"/>
              <w:contextualSpacing w:val="0"/>
              <w:rPr>
                <w:rFonts w:ascii="Arial" w:hAnsi="Arial" w:cs="Arial"/>
              </w:rPr>
            </w:pPr>
            <w:r w:rsidRPr="00113364">
              <w:rPr>
                <w:rFonts w:ascii="Arial" w:hAnsi="Arial" w:cs="Arial"/>
              </w:rPr>
              <w:t>CTE programs in the area</w:t>
            </w:r>
          </w:p>
          <w:p w14:paraId="62FB8EC0" w14:textId="22A6D4A1" w:rsidR="00B729BF" w:rsidRPr="00113364" w:rsidRDefault="00021248">
            <w:pPr>
              <w:pStyle w:val="ListParagraph"/>
              <w:numPr>
                <w:ilvl w:val="0"/>
                <w:numId w:val="65"/>
              </w:numPr>
              <w:spacing w:after="120"/>
              <w:ind w:left="330"/>
              <w:contextualSpacing w:val="0"/>
              <w:rPr>
                <w:rFonts w:ascii="Arial" w:hAnsi="Arial" w:cs="Arial"/>
              </w:rPr>
            </w:pPr>
            <w:r w:rsidRPr="00113364">
              <w:rPr>
                <w:rFonts w:ascii="Arial" w:hAnsi="Arial" w:cs="Arial"/>
              </w:rPr>
              <w:t>E</w:t>
            </w:r>
            <w:r w:rsidR="00B729BF" w:rsidRPr="00113364">
              <w:rPr>
                <w:rFonts w:ascii="Arial" w:hAnsi="Arial" w:cs="Arial"/>
              </w:rPr>
              <w:t>nroll</w:t>
            </w:r>
            <w:r w:rsidRPr="00113364">
              <w:rPr>
                <w:rFonts w:ascii="Arial" w:hAnsi="Arial" w:cs="Arial"/>
              </w:rPr>
              <w:t>ment</w:t>
            </w:r>
            <w:r w:rsidR="00B729BF" w:rsidRPr="00113364">
              <w:rPr>
                <w:rFonts w:ascii="Arial" w:hAnsi="Arial" w:cs="Arial"/>
              </w:rPr>
              <w:t xml:space="preserve"> in appropriate classes (not being overlooked because they are migrant; ideally students will complete algebra by </w:t>
            </w:r>
            <w:r w:rsidR="0078677C" w:rsidRPr="00113364">
              <w:rPr>
                <w:rFonts w:ascii="Arial" w:hAnsi="Arial" w:cs="Arial"/>
              </w:rPr>
              <w:t>eleventh</w:t>
            </w:r>
            <w:r w:rsidR="00B729BF" w:rsidRPr="00113364">
              <w:rPr>
                <w:rFonts w:ascii="Arial" w:hAnsi="Arial" w:cs="Arial"/>
              </w:rPr>
              <w:t xml:space="preserve"> grade)</w:t>
            </w:r>
          </w:p>
          <w:p w14:paraId="603B19FD" w14:textId="600EDD4F" w:rsidR="00B729BF" w:rsidRPr="00113364" w:rsidRDefault="00B729BF">
            <w:pPr>
              <w:pStyle w:val="ListParagraph"/>
              <w:numPr>
                <w:ilvl w:val="0"/>
                <w:numId w:val="65"/>
              </w:numPr>
              <w:spacing w:after="120"/>
              <w:ind w:left="330"/>
              <w:contextualSpacing w:val="0"/>
              <w:rPr>
                <w:rFonts w:ascii="Arial" w:hAnsi="Arial" w:cs="Arial"/>
              </w:rPr>
            </w:pPr>
            <w:r w:rsidRPr="00113364">
              <w:rPr>
                <w:rFonts w:ascii="Arial" w:hAnsi="Arial" w:cs="Arial"/>
              </w:rPr>
              <w:t>State Seal of Biliteracy requirement</w:t>
            </w:r>
          </w:p>
        </w:tc>
        <w:tc>
          <w:tcPr>
            <w:tcW w:w="4320" w:type="dxa"/>
          </w:tcPr>
          <w:p w14:paraId="5660FA2B" w14:textId="3150EE6D" w:rsidR="00B729BF" w:rsidRPr="00113364" w:rsidRDefault="00B729BF" w:rsidP="00B729BF">
            <w:pPr>
              <w:spacing w:after="120"/>
              <w:rPr>
                <w:rFonts w:ascii="Arial" w:hAnsi="Arial" w:cs="Arial"/>
              </w:rPr>
            </w:pPr>
            <w:r w:rsidRPr="00113364">
              <w:rPr>
                <w:rFonts w:ascii="Arial" w:hAnsi="Arial" w:cs="Arial"/>
                <w:b/>
              </w:rPr>
              <w:t xml:space="preserve">Measurable Program Objective 5.0: </w:t>
            </w:r>
            <w:r w:rsidRPr="00113364">
              <w:rPr>
                <w:rFonts w:ascii="Arial" w:hAnsi="Arial" w:cs="Arial"/>
              </w:rPr>
              <w:t>Each year, the MEP will provide case management services to 40 percent of</w:t>
            </w:r>
            <w:r w:rsidR="0078677C" w:rsidRPr="00113364">
              <w:rPr>
                <w:rFonts w:ascii="Arial" w:hAnsi="Arial" w:cs="Arial"/>
              </w:rPr>
              <w:t xml:space="preserve"> ninth through twelfth</w:t>
            </w:r>
            <w:r w:rsidRPr="00113364">
              <w:rPr>
                <w:rFonts w:ascii="Arial" w:hAnsi="Arial" w:cs="Arial"/>
              </w:rPr>
              <w:t xml:space="preserve"> grade students who are credit deficient or are at-risk of being credit deficient.</w:t>
            </w:r>
          </w:p>
        </w:tc>
      </w:tr>
    </w:tbl>
    <w:p w14:paraId="28DA2F07" w14:textId="074A3943" w:rsidR="0005472F" w:rsidRPr="00113364" w:rsidRDefault="00E92A6A" w:rsidP="00694080">
      <w:pPr>
        <w:spacing w:before="240" w:after="240"/>
        <w:rPr>
          <w:rFonts w:ascii="Arial" w:hAnsi="Arial" w:cs="Arial"/>
        </w:rPr>
      </w:pPr>
      <w:r w:rsidRPr="00113364">
        <w:rPr>
          <w:rFonts w:ascii="Arial" w:hAnsi="Arial" w:cs="Arial"/>
        </w:rPr>
        <w:t>Performance target for the High School Outcomes (graduation) focus area: By September 2031, migratory students will have a graduation rate of at least 8</w:t>
      </w:r>
      <w:r w:rsidR="00C36BF6" w:rsidRPr="00113364">
        <w:rPr>
          <w:rFonts w:ascii="Arial" w:hAnsi="Arial" w:cs="Arial"/>
        </w:rPr>
        <w:t>7.5</w:t>
      </w:r>
      <w:r w:rsidRPr="00113364">
        <w:rPr>
          <w:rFonts w:ascii="Arial" w:hAnsi="Arial" w:cs="Arial"/>
        </w:rPr>
        <w:t xml:space="preserve"> percent.</w:t>
      </w:r>
    </w:p>
    <w:p w14:paraId="7176E035" w14:textId="50D939D1" w:rsidR="00B656B3" w:rsidRPr="00113364" w:rsidRDefault="00B656B3" w:rsidP="00B656B3">
      <w:pPr>
        <w:spacing w:after="240"/>
        <w:rPr>
          <w:rFonts w:ascii="Arial" w:hAnsi="Arial" w:cs="Arial"/>
        </w:rPr>
      </w:pPr>
      <w:r w:rsidRPr="00113364">
        <w:rPr>
          <w:rFonts w:ascii="Arial" w:hAnsi="Arial" w:cs="Arial"/>
        </w:rPr>
        <w:t xml:space="preserve">Case management services are meant to monitor student progress towards high school graduation requirements. Another advantage to case management is that this service is designed to be individualized, meaning MEP staff facilitate goal setting in the short term (i.e., for high school) and in the long term (i.e., after high school); therefore, a focus on meeting the UC/CSU requirements is included in the service. </w:t>
      </w:r>
      <w:r w:rsidR="005E13F7" w:rsidRPr="00113364">
        <w:rPr>
          <w:rFonts w:ascii="Arial" w:hAnsi="Arial" w:cs="Arial"/>
        </w:rPr>
        <w:t xml:space="preserve">Depending on student needs, MEP staff may meet multiple times with specific migratory students who need some additional support to reach their goals. If new information (e.g., recent credit deficiency or health need) is provided during the case management service, MEP staff should update </w:t>
      </w:r>
      <w:r w:rsidR="00EA137B" w:rsidRPr="00113364">
        <w:rPr>
          <w:rFonts w:ascii="Arial" w:hAnsi="Arial" w:cs="Arial"/>
        </w:rPr>
        <w:t>each</w:t>
      </w:r>
      <w:r w:rsidR="005E13F7" w:rsidRPr="00113364">
        <w:rPr>
          <w:rFonts w:ascii="Arial" w:hAnsi="Arial" w:cs="Arial"/>
        </w:rPr>
        <w:t xml:space="preserve"> student’s INA during the meeting to ensure the need and any services are documented</w:t>
      </w:r>
      <w:r w:rsidR="00EA137B" w:rsidRPr="00113364">
        <w:rPr>
          <w:rFonts w:ascii="Arial" w:hAnsi="Arial" w:cs="Arial"/>
        </w:rPr>
        <w:t xml:space="preserve"> in the INA/ILP</w:t>
      </w:r>
      <w:r w:rsidR="005E13F7" w:rsidRPr="00113364">
        <w:rPr>
          <w:rFonts w:ascii="Arial" w:hAnsi="Arial" w:cs="Arial"/>
        </w:rPr>
        <w:t xml:space="preserve">. </w:t>
      </w:r>
    </w:p>
    <w:p w14:paraId="10DCFA65" w14:textId="21545968" w:rsidR="00964BBB" w:rsidRPr="00113364" w:rsidRDefault="00964BBB" w:rsidP="00B656B3">
      <w:pPr>
        <w:spacing w:after="240"/>
        <w:rPr>
          <w:rFonts w:ascii="Arial" w:hAnsi="Arial" w:cs="Arial"/>
        </w:rPr>
      </w:pPr>
      <w:r w:rsidRPr="00113364">
        <w:rPr>
          <w:rFonts w:ascii="Arial" w:hAnsi="Arial" w:cs="Arial"/>
        </w:rPr>
        <w:t>Table 3</w:t>
      </w:r>
      <w:r w:rsidR="008140F8" w:rsidRPr="00113364">
        <w:rPr>
          <w:rFonts w:ascii="Arial" w:hAnsi="Arial" w:cs="Arial"/>
        </w:rPr>
        <w:t xml:space="preserve">3 identifies the strategy and MPO focused on reducing the migratory student high school dropout rate. </w:t>
      </w:r>
      <w:r w:rsidR="00B94482" w:rsidRPr="00113364">
        <w:rPr>
          <w:rFonts w:ascii="Arial" w:hAnsi="Arial" w:cs="Arial"/>
        </w:rPr>
        <w:t>Like Strategy 5.0</w:t>
      </w:r>
      <w:r w:rsidR="00A92D3B" w:rsidRPr="00113364">
        <w:rPr>
          <w:rFonts w:ascii="Arial" w:hAnsi="Arial" w:cs="Arial"/>
        </w:rPr>
        <w:t xml:space="preserve">, SDP Strategy 6.0 simultaneously </w:t>
      </w:r>
      <w:r w:rsidR="000C73B3" w:rsidRPr="00113364">
        <w:rPr>
          <w:rFonts w:ascii="Arial" w:hAnsi="Arial" w:cs="Arial"/>
        </w:rPr>
        <w:t xml:space="preserve">focuses on </w:t>
      </w:r>
      <w:r w:rsidR="00FF5EB2" w:rsidRPr="00113364">
        <w:rPr>
          <w:rFonts w:ascii="Arial" w:hAnsi="Arial" w:cs="Arial"/>
        </w:rPr>
        <w:t xml:space="preserve">addressing </w:t>
      </w:r>
      <w:r w:rsidR="000C73B3" w:rsidRPr="00113364">
        <w:rPr>
          <w:rFonts w:ascii="Arial" w:hAnsi="Arial" w:cs="Arial"/>
        </w:rPr>
        <w:t xml:space="preserve">the identified need </w:t>
      </w:r>
      <w:r w:rsidR="00FF5EB2" w:rsidRPr="00113364">
        <w:rPr>
          <w:rFonts w:ascii="Arial" w:hAnsi="Arial" w:cs="Arial"/>
        </w:rPr>
        <w:t>while</w:t>
      </w:r>
      <w:r w:rsidR="000C73B3" w:rsidRPr="00113364">
        <w:rPr>
          <w:rFonts w:ascii="Arial" w:hAnsi="Arial" w:cs="Arial"/>
        </w:rPr>
        <w:t xml:space="preserve"> providing </w:t>
      </w:r>
      <w:proofErr w:type="gramStart"/>
      <w:r w:rsidR="000C73B3" w:rsidRPr="00113364">
        <w:rPr>
          <w:rFonts w:ascii="Arial" w:hAnsi="Arial" w:cs="Arial"/>
        </w:rPr>
        <w:t>supports</w:t>
      </w:r>
      <w:proofErr w:type="gramEnd"/>
      <w:r w:rsidR="000C73B3" w:rsidRPr="00113364">
        <w:rPr>
          <w:rFonts w:ascii="Arial" w:hAnsi="Arial" w:cs="Arial"/>
        </w:rPr>
        <w:t xml:space="preserve"> towards </w:t>
      </w:r>
      <w:r w:rsidR="00FF5EB2" w:rsidRPr="00113364">
        <w:rPr>
          <w:rFonts w:ascii="Arial" w:hAnsi="Arial" w:cs="Arial"/>
        </w:rPr>
        <w:t xml:space="preserve">increasing the </w:t>
      </w:r>
      <w:r w:rsidR="00FF5EB2" w:rsidRPr="00113364">
        <w:rPr>
          <w:rFonts w:ascii="Arial" w:hAnsi="Arial" w:cs="Arial"/>
        </w:rPr>
        <w:lastRenderedPageBreak/>
        <w:t>percentage of migratory students who</w:t>
      </w:r>
      <w:r w:rsidR="000C73B3" w:rsidRPr="00113364">
        <w:rPr>
          <w:rFonts w:ascii="Arial" w:hAnsi="Arial" w:cs="Arial"/>
        </w:rPr>
        <w:t xml:space="preserve"> graduat</w:t>
      </w:r>
      <w:r w:rsidR="0094318B" w:rsidRPr="00113364">
        <w:rPr>
          <w:rFonts w:ascii="Arial" w:hAnsi="Arial" w:cs="Arial"/>
        </w:rPr>
        <w:t>e</w:t>
      </w:r>
      <w:r w:rsidR="00FF5EB2" w:rsidRPr="00113364">
        <w:rPr>
          <w:rFonts w:ascii="Arial" w:hAnsi="Arial" w:cs="Arial"/>
        </w:rPr>
        <w:t xml:space="preserve"> high school</w:t>
      </w:r>
      <w:r w:rsidR="000C73B3" w:rsidRPr="00113364">
        <w:rPr>
          <w:rFonts w:ascii="Arial" w:hAnsi="Arial" w:cs="Arial"/>
        </w:rPr>
        <w:t>.</w:t>
      </w:r>
      <w:r w:rsidR="008140F8" w:rsidRPr="00113364">
        <w:rPr>
          <w:rFonts w:ascii="Arial" w:hAnsi="Arial" w:cs="Arial"/>
        </w:rPr>
        <w:t xml:space="preserve"> </w:t>
      </w:r>
      <w:r w:rsidR="00B656B3" w:rsidRPr="00113364">
        <w:rPr>
          <w:rFonts w:ascii="Arial" w:hAnsi="Arial" w:cs="Arial"/>
        </w:rPr>
        <w:t xml:space="preserve">MEP-specific performance targets focusing on the OME requirements (i.e., high school graduation and dropout rates) follow each table. </w:t>
      </w:r>
    </w:p>
    <w:p w14:paraId="1D8792AE" w14:textId="09771B14" w:rsidR="00A00E0C" w:rsidRPr="00113364" w:rsidRDefault="0054625A" w:rsidP="00D330A6">
      <w:pPr>
        <w:pStyle w:val="Heading4"/>
        <w:spacing w:after="0"/>
        <w:rPr>
          <w:sz w:val="24"/>
        </w:rPr>
      </w:pPr>
      <w:bookmarkStart w:id="92" w:name="_Toc204755369"/>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33</w:t>
      </w:r>
      <w:r w:rsidR="00C46CA6" w:rsidRPr="00113364">
        <w:rPr>
          <w:noProof/>
          <w:sz w:val="24"/>
        </w:rPr>
        <w:fldChar w:fldCharType="end"/>
      </w:r>
      <w:r w:rsidRPr="00113364">
        <w:rPr>
          <w:sz w:val="24"/>
        </w:rPr>
        <w:t xml:space="preserve">. </w:t>
      </w:r>
      <w:r w:rsidR="00514084" w:rsidRPr="00113364">
        <w:rPr>
          <w:sz w:val="24"/>
        </w:rPr>
        <w:t xml:space="preserve">Strategies and </w:t>
      </w:r>
      <w:r w:rsidR="009074C7" w:rsidRPr="00113364">
        <w:rPr>
          <w:sz w:val="24"/>
        </w:rPr>
        <w:t>Measurable Program Objectives</w:t>
      </w:r>
      <w:r w:rsidRPr="00113364">
        <w:rPr>
          <w:sz w:val="24"/>
        </w:rPr>
        <w:t xml:space="preserve"> for </w:t>
      </w:r>
      <w:r w:rsidR="0059615E" w:rsidRPr="00113364">
        <w:rPr>
          <w:sz w:val="24"/>
        </w:rPr>
        <w:t>Decreasing the Dropout Rate</w:t>
      </w:r>
      <w:bookmarkEnd w:id="92"/>
    </w:p>
    <w:tbl>
      <w:tblPr>
        <w:tblStyle w:val="GridTable4-Accent1"/>
        <w:tblW w:w="9355" w:type="dxa"/>
        <w:tblLook w:val="0420" w:firstRow="1" w:lastRow="0" w:firstColumn="0" w:lastColumn="0" w:noHBand="0" w:noVBand="1"/>
        <w:tblDescription w:val="Strategies and Measurable Program Objectives for Decreasing the High School Dropout Rate"/>
      </w:tblPr>
      <w:tblGrid>
        <w:gridCol w:w="4495"/>
        <w:gridCol w:w="4860"/>
      </w:tblGrid>
      <w:tr w:rsidR="0005472F" w:rsidRPr="00113364" w14:paraId="6FFF1157" w14:textId="77777777" w:rsidTr="00FF5EB2">
        <w:trPr>
          <w:cnfStyle w:val="100000000000" w:firstRow="1" w:lastRow="0" w:firstColumn="0" w:lastColumn="0" w:oddVBand="0" w:evenVBand="0" w:oddHBand="0" w:evenHBand="0" w:firstRowFirstColumn="0" w:firstRowLastColumn="0" w:lastRowFirstColumn="0" w:lastRowLastColumn="0"/>
          <w:cantSplit/>
          <w:tblHeader/>
        </w:trPr>
        <w:tc>
          <w:tcPr>
            <w:tcW w:w="4495" w:type="dxa"/>
            <w:tcBorders>
              <w:right w:val="single" w:sz="4" w:space="0" w:color="4472C4"/>
            </w:tcBorders>
            <w:shd w:val="clear" w:color="auto" w:fill="1F3864" w:themeFill="accent5" w:themeFillShade="80"/>
          </w:tcPr>
          <w:p w14:paraId="7512DFAB" w14:textId="77777777" w:rsidR="0005472F" w:rsidRPr="00113364" w:rsidRDefault="0005472F" w:rsidP="007D443E">
            <w:pPr>
              <w:spacing w:line="276" w:lineRule="auto"/>
              <w:rPr>
                <w:rFonts w:ascii="Arial" w:hAnsi="Arial" w:cs="Arial"/>
                <w:color w:val="FFFFFF"/>
              </w:rPr>
            </w:pPr>
            <w:r w:rsidRPr="00113364">
              <w:rPr>
                <w:rFonts w:ascii="Arial" w:hAnsi="Arial" w:cs="Arial"/>
                <w:color w:val="FFFFFF"/>
              </w:rPr>
              <w:t>Strategies</w:t>
            </w:r>
          </w:p>
        </w:tc>
        <w:tc>
          <w:tcPr>
            <w:tcW w:w="4860" w:type="dxa"/>
            <w:tcBorders>
              <w:left w:val="single" w:sz="4" w:space="0" w:color="4472C4"/>
            </w:tcBorders>
            <w:shd w:val="clear" w:color="auto" w:fill="1F3864" w:themeFill="accent5" w:themeFillShade="80"/>
          </w:tcPr>
          <w:p w14:paraId="701BA7BE" w14:textId="77777777" w:rsidR="0005472F" w:rsidRPr="00113364" w:rsidRDefault="0005472F" w:rsidP="007D443E">
            <w:pPr>
              <w:spacing w:line="276" w:lineRule="auto"/>
              <w:rPr>
                <w:rFonts w:ascii="Arial" w:hAnsi="Arial" w:cs="Arial"/>
                <w:color w:val="FFFFFF"/>
              </w:rPr>
            </w:pPr>
            <w:r w:rsidRPr="00113364">
              <w:rPr>
                <w:rFonts w:ascii="Arial" w:hAnsi="Arial" w:cs="Arial"/>
                <w:color w:val="FFFFFF"/>
              </w:rPr>
              <w:t>Measurable Program Objectives</w:t>
            </w:r>
          </w:p>
        </w:tc>
      </w:tr>
      <w:tr w:rsidR="00F954B3" w:rsidRPr="00113364" w14:paraId="043D8EA1" w14:textId="77777777" w:rsidTr="00FF5EB2">
        <w:trPr>
          <w:cnfStyle w:val="000000100000" w:firstRow="0" w:lastRow="0" w:firstColumn="0" w:lastColumn="0" w:oddVBand="0" w:evenVBand="0" w:oddHBand="1" w:evenHBand="0" w:firstRowFirstColumn="0" w:firstRowLastColumn="0" w:lastRowFirstColumn="0" w:lastRowLastColumn="0"/>
          <w:cantSplit/>
          <w:trHeight w:val="251"/>
        </w:trPr>
        <w:tc>
          <w:tcPr>
            <w:tcW w:w="4495" w:type="dxa"/>
          </w:tcPr>
          <w:p w14:paraId="25DAD1F4" w14:textId="56F81D36" w:rsidR="00F954B3" w:rsidRPr="00113364" w:rsidRDefault="00F954B3" w:rsidP="00EB4984">
            <w:pPr>
              <w:spacing w:after="120"/>
              <w:rPr>
                <w:rFonts w:ascii="Arial" w:hAnsi="Arial" w:cs="Arial"/>
              </w:rPr>
            </w:pPr>
            <w:bookmarkStart w:id="93" w:name="_Hlk209516807"/>
            <w:r w:rsidRPr="00113364">
              <w:rPr>
                <w:rFonts w:ascii="Arial" w:hAnsi="Arial" w:cs="Arial"/>
                <w:b/>
                <w:bCs/>
              </w:rPr>
              <w:t xml:space="preserve">Strategy 6.0: </w:t>
            </w:r>
            <w:r w:rsidRPr="00113364">
              <w:rPr>
                <w:rFonts w:ascii="Arial" w:hAnsi="Arial" w:cs="Arial"/>
              </w:rPr>
              <w:t>The MEP will provide multiple pathways for students to recover credits based on learning needs, local partnerships, and available (school board approved) curriculum. All opportunities must be approved by the local school board as the district is the only entity able to award credits.</w:t>
            </w:r>
            <w:bookmarkEnd w:id="93"/>
          </w:p>
        </w:tc>
        <w:tc>
          <w:tcPr>
            <w:tcW w:w="4860" w:type="dxa"/>
          </w:tcPr>
          <w:p w14:paraId="56B54C50" w14:textId="0373C197" w:rsidR="00F954B3" w:rsidRPr="00113364" w:rsidRDefault="00F954B3" w:rsidP="00EB4984">
            <w:pPr>
              <w:spacing w:after="120"/>
              <w:rPr>
                <w:rFonts w:ascii="Arial" w:hAnsi="Arial" w:cs="Arial"/>
              </w:rPr>
            </w:pPr>
            <w:bookmarkStart w:id="94" w:name="_Hlk209516820"/>
            <w:r w:rsidRPr="00113364">
              <w:rPr>
                <w:rFonts w:ascii="Arial" w:hAnsi="Arial" w:cs="Arial"/>
                <w:b/>
              </w:rPr>
              <w:t xml:space="preserve">Measurable Program Objective 6.0: </w:t>
            </w:r>
            <w:r w:rsidRPr="00113364">
              <w:rPr>
                <w:rFonts w:ascii="Arial" w:hAnsi="Arial" w:cs="Arial"/>
              </w:rPr>
              <w:t>Each year the MEP will provide credit accrual services to 50 percent of students with an unaddressed credit deficiency need as identified by the INA. INAs must be updated during case management services if new “unaddressed” credit deficiency needs arise.</w:t>
            </w:r>
            <w:bookmarkEnd w:id="94"/>
          </w:p>
        </w:tc>
      </w:tr>
    </w:tbl>
    <w:p w14:paraId="772E8165" w14:textId="77777777" w:rsidR="00E92A6A" w:rsidRPr="00113364" w:rsidRDefault="00E92A6A" w:rsidP="00E92A6A">
      <w:pPr>
        <w:spacing w:before="240"/>
        <w:rPr>
          <w:rFonts w:ascii="Arial" w:hAnsi="Arial" w:cs="Arial"/>
        </w:rPr>
      </w:pPr>
      <w:r w:rsidRPr="00113364">
        <w:rPr>
          <w:rFonts w:ascii="Arial" w:hAnsi="Arial" w:cs="Arial"/>
        </w:rPr>
        <w:t>Performance target for the High School Outcomes (dropout) focus area: By September 2031, the migratory student dropout rate will decrease to nine percent.</w:t>
      </w:r>
    </w:p>
    <w:p w14:paraId="0CEDB4EE" w14:textId="1EC3E659" w:rsidR="009074C7" w:rsidRPr="00113364" w:rsidRDefault="009074C7" w:rsidP="002B2029">
      <w:pPr>
        <w:spacing w:before="240"/>
        <w:rPr>
          <w:rFonts w:ascii="Arial" w:hAnsi="Arial" w:cs="Arial"/>
        </w:rPr>
      </w:pPr>
      <w:r w:rsidRPr="00113364">
        <w:rPr>
          <w:rFonts w:ascii="Arial" w:hAnsi="Arial" w:cs="Arial"/>
        </w:rPr>
        <w:t xml:space="preserve">Additionally, </w:t>
      </w:r>
      <w:r w:rsidR="00940589" w:rsidRPr="00113364">
        <w:rPr>
          <w:rFonts w:ascii="Arial" w:hAnsi="Arial" w:cs="Arial"/>
        </w:rPr>
        <w:t xml:space="preserve">the committee </w:t>
      </w:r>
      <w:r w:rsidRPr="00113364">
        <w:rPr>
          <w:rFonts w:ascii="Arial" w:hAnsi="Arial" w:cs="Arial"/>
        </w:rPr>
        <w:t>recommend</w:t>
      </w:r>
      <w:r w:rsidR="00D03809">
        <w:rPr>
          <w:rFonts w:ascii="Arial" w:hAnsi="Arial" w:cs="Arial"/>
        </w:rPr>
        <w:t>s</w:t>
      </w:r>
      <w:r w:rsidRPr="00113364">
        <w:rPr>
          <w:rFonts w:ascii="Arial" w:hAnsi="Arial" w:cs="Arial"/>
        </w:rPr>
        <w:t xml:space="preserve"> regular communication with parents of students who are at-risk of not graduating high school or dropping out. Parent and family engagement is critical to increasing </w:t>
      </w:r>
      <w:r w:rsidR="005F4B32" w:rsidRPr="00113364">
        <w:rPr>
          <w:rFonts w:ascii="Arial" w:hAnsi="Arial" w:cs="Arial"/>
        </w:rPr>
        <w:t>student</w:t>
      </w:r>
      <w:r w:rsidRPr="00113364">
        <w:rPr>
          <w:rFonts w:ascii="Arial" w:hAnsi="Arial" w:cs="Arial"/>
        </w:rPr>
        <w:t xml:space="preserve"> academic achievement. MEPs should be sure to invite the parents of students at risk of not graduating to all workshops pertaining to supporting migratory students graduating high school.</w:t>
      </w:r>
    </w:p>
    <w:p w14:paraId="1642BFEB" w14:textId="60201E29" w:rsidR="00A00E0C" w:rsidRPr="00113364" w:rsidRDefault="00FB70B3" w:rsidP="00A00E0C">
      <w:pPr>
        <w:pStyle w:val="NormalWeb"/>
        <w:shd w:val="clear" w:color="auto" w:fill="FFFFFF"/>
        <w:rPr>
          <w:rFonts w:ascii="Arial" w:hAnsi="Arial" w:cs="Arial"/>
          <w:color w:val="000000"/>
        </w:rPr>
      </w:pPr>
      <w:r w:rsidRPr="00113364">
        <w:rPr>
          <w:rFonts w:ascii="Arial" w:hAnsi="Arial" w:cs="Arial"/>
          <w:color w:val="000000"/>
        </w:rPr>
        <w:t xml:space="preserve">Once a student has graduated or turns </w:t>
      </w:r>
      <w:r w:rsidR="002A3DCB" w:rsidRPr="00113364">
        <w:rPr>
          <w:rFonts w:ascii="Arial" w:hAnsi="Arial" w:cs="Arial"/>
          <w:color w:val="000000"/>
        </w:rPr>
        <w:t>twenty-</w:t>
      </w:r>
      <w:r w:rsidR="00697333">
        <w:rPr>
          <w:rFonts w:ascii="Arial" w:hAnsi="Arial" w:cs="Arial"/>
          <w:color w:val="000000"/>
        </w:rPr>
        <w:t>two</w:t>
      </w:r>
      <w:r w:rsidR="002A3DCB" w:rsidRPr="00113364">
        <w:rPr>
          <w:rFonts w:ascii="Arial" w:hAnsi="Arial" w:cs="Arial"/>
          <w:color w:val="000000"/>
        </w:rPr>
        <w:t xml:space="preserve"> </w:t>
      </w:r>
      <w:r w:rsidRPr="00113364">
        <w:rPr>
          <w:rFonts w:ascii="Arial" w:hAnsi="Arial" w:cs="Arial"/>
          <w:color w:val="000000"/>
        </w:rPr>
        <w:t>years old, they are no longer eligible for the MEP; however, federal funding is available for those who may have dropped out or graduated and enrolled in a</w:t>
      </w:r>
      <w:r w:rsidR="00E46670">
        <w:rPr>
          <w:rFonts w:ascii="Arial" w:hAnsi="Arial" w:cs="Arial"/>
          <w:color w:val="000000"/>
        </w:rPr>
        <w:t xml:space="preserve"> community</w:t>
      </w:r>
      <w:r w:rsidRPr="00113364">
        <w:rPr>
          <w:rFonts w:ascii="Arial" w:hAnsi="Arial" w:cs="Arial"/>
          <w:color w:val="000000"/>
        </w:rPr>
        <w:t xml:space="preserve"> college within California. </w:t>
      </w:r>
      <w:r w:rsidR="00A00E0C" w:rsidRPr="00113364">
        <w:rPr>
          <w:rFonts w:ascii="Arial" w:hAnsi="Arial" w:cs="Arial"/>
          <w:color w:val="000000"/>
        </w:rPr>
        <w:t xml:space="preserve">The federal government provides funding to assist </w:t>
      </w:r>
      <w:r w:rsidR="005F4B32" w:rsidRPr="00113364">
        <w:rPr>
          <w:rFonts w:ascii="Arial" w:hAnsi="Arial" w:cs="Arial"/>
          <w:color w:val="000000"/>
        </w:rPr>
        <w:t xml:space="preserve">migratory </w:t>
      </w:r>
      <w:r w:rsidR="00A00E0C" w:rsidRPr="00113364">
        <w:rPr>
          <w:rFonts w:ascii="Arial" w:hAnsi="Arial" w:cs="Arial"/>
          <w:color w:val="000000"/>
        </w:rPr>
        <w:t>students who would like</w:t>
      </w:r>
      <w:r w:rsidR="005F4B32" w:rsidRPr="00113364">
        <w:rPr>
          <w:rFonts w:ascii="Arial" w:hAnsi="Arial" w:cs="Arial"/>
          <w:color w:val="000000"/>
        </w:rPr>
        <w:t xml:space="preserve"> to obtain</w:t>
      </w:r>
      <w:r w:rsidR="00A00E0C" w:rsidRPr="00113364">
        <w:rPr>
          <w:rFonts w:ascii="Arial" w:hAnsi="Arial" w:cs="Arial"/>
          <w:color w:val="000000"/>
        </w:rPr>
        <w:t xml:space="preserve"> their</w:t>
      </w:r>
      <w:r w:rsidR="001C47E4" w:rsidRPr="00113364">
        <w:rPr>
          <w:rFonts w:ascii="Arial" w:hAnsi="Arial" w:cs="Arial"/>
          <w:color w:val="000000"/>
        </w:rPr>
        <w:t xml:space="preserve"> </w:t>
      </w:r>
      <w:r w:rsidR="00A00E0C" w:rsidRPr="00113364">
        <w:rPr>
          <w:rFonts w:ascii="Arial" w:hAnsi="Arial" w:cs="Arial"/>
          <w:color w:val="000000"/>
        </w:rPr>
        <w:t xml:space="preserve">GED. </w:t>
      </w:r>
      <w:r w:rsidRPr="00113364">
        <w:rPr>
          <w:rFonts w:ascii="Arial" w:hAnsi="Arial" w:cs="Arial"/>
          <w:color w:val="000000"/>
        </w:rPr>
        <w:t>The High School Equivalency Program (HEP)</w:t>
      </w:r>
      <w:r w:rsidR="00A00E0C" w:rsidRPr="00113364">
        <w:rPr>
          <w:rFonts w:ascii="Arial" w:hAnsi="Arial" w:cs="Arial"/>
          <w:color w:val="000000"/>
        </w:rPr>
        <w:t xml:space="preserve"> prepares </w:t>
      </w:r>
      <w:r w:rsidRPr="00113364">
        <w:rPr>
          <w:rFonts w:ascii="Arial" w:hAnsi="Arial" w:cs="Arial"/>
          <w:color w:val="000000"/>
        </w:rPr>
        <w:t xml:space="preserve">high school-aged </w:t>
      </w:r>
      <w:r w:rsidR="005F4B32" w:rsidRPr="00113364">
        <w:rPr>
          <w:rFonts w:ascii="Arial" w:hAnsi="Arial" w:cs="Arial"/>
          <w:color w:val="000000"/>
        </w:rPr>
        <w:t>migratory students and O</w:t>
      </w:r>
      <w:r w:rsidR="000054DA">
        <w:rPr>
          <w:rFonts w:ascii="Arial" w:hAnsi="Arial" w:cs="Arial"/>
          <w:color w:val="000000"/>
        </w:rPr>
        <w:t>SY</w:t>
      </w:r>
      <w:r w:rsidR="005F4B32" w:rsidRPr="00113364">
        <w:rPr>
          <w:rFonts w:ascii="Arial" w:hAnsi="Arial" w:cs="Arial"/>
          <w:color w:val="000000"/>
        </w:rPr>
        <w:t xml:space="preserve"> to take</w:t>
      </w:r>
      <w:r w:rsidRPr="00113364">
        <w:rPr>
          <w:rFonts w:ascii="Arial" w:hAnsi="Arial" w:cs="Arial"/>
          <w:color w:val="000000"/>
        </w:rPr>
        <w:t xml:space="preserve"> and pass</w:t>
      </w:r>
      <w:r w:rsidR="005F4B32" w:rsidRPr="00113364">
        <w:rPr>
          <w:rFonts w:ascii="Arial" w:hAnsi="Arial" w:cs="Arial"/>
          <w:color w:val="000000"/>
        </w:rPr>
        <w:t xml:space="preserve"> each part of the </w:t>
      </w:r>
      <w:proofErr w:type="spellStart"/>
      <w:r w:rsidR="005F4B32" w:rsidRPr="00113364">
        <w:rPr>
          <w:rFonts w:ascii="Arial" w:hAnsi="Arial" w:cs="Arial"/>
          <w:color w:val="000000"/>
        </w:rPr>
        <w:t>HiSET</w:t>
      </w:r>
      <w:proofErr w:type="spellEnd"/>
      <w:r w:rsidR="005F4B32" w:rsidRPr="00113364">
        <w:rPr>
          <w:rFonts w:ascii="Arial" w:hAnsi="Arial" w:cs="Arial"/>
          <w:color w:val="000000"/>
        </w:rPr>
        <w:t xml:space="preserve"> or GED exam</w:t>
      </w:r>
      <w:r w:rsidR="00A00E0C" w:rsidRPr="00113364">
        <w:rPr>
          <w:rFonts w:ascii="Arial" w:hAnsi="Arial" w:cs="Arial"/>
          <w:color w:val="000000"/>
        </w:rPr>
        <w:t xml:space="preserve">. </w:t>
      </w:r>
      <w:r w:rsidRPr="00113364">
        <w:rPr>
          <w:rFonts w:ascii="Arial" w:hAnsi="Arial" w:cs="Arial"/>
          <w:color w:val="000000"/>
        </w:rPr>
        <w:t>M</w:t>
      </w:r>
      <w:r w:rsidR="000054DA">
        <w:rPr>
          <w:rFonts w:ascii="Arial" w:hAnsi="Arial" w:cs="Arial"/>
          <w:color w:val="000000"/>
        </w:rPr>
        <w:t>EP</w:t>
      </w:r>
      <w:r w:rsidRPr="00113364">
        <w:rPr>
          <w:rFonts w:ascii="Arial" w:hAnsi="Arial" w:cs="Arial"/>
          <w:color w:val="000000"/>
        </w:rPr>
        <w:t xml:space="preserve"> subgrantees should reach out to the federally funded HEP offices in their areas. </w:t>
      </w:r>
      <w:r w:rsidR="00A00E0C" w:rsidRPr="00113364">
        <w:rPr>
          <w:rFonts w:ascii="Arial" w:hAnsi="Arial" w:cs="Arial"/>
          <w:color w:val="000000"/>
        </w:rPr>
        <w:t>HEP offices are in various parts of the state</w:t>
      </w:r>
      <w:r w:rsidRPr="00113364">
        <w:rPr>
          <w:rFonts w:ascii="Arial" w:hAnsi="Arial" w:cs="Arial"/>
          <w:color w:val="000000"/>
        </w:rPr>
        <w:t>; any MEP not currently collaborating with HEP should reach out to see if additional programs have been added in the program area</w:t>
      </w:r>
      <w:r w:rsidR="00A00E0C" w:rsidRPr="00113364">
        <w:rPr>
          <w:rFonts w:ascii="Arial" w:hAnsi="Arial" w:cs="Arial"/>
          <w:color w:val="000000"/>
        </w:rPr>
        <w:t>.</w:t>
      </w:r>
    </w:p>
    <w:p w14:paraId="19C9495B" w14:textId="2C432543" w:rsidR="00A00E0C" w:rsidRPr="00113364" w:rsidRDefault="00A00E0C" w:rsidP="00A00E0C">
      <w:pPr>
        <w:shd w:val="clear" w:color="auto" w:fill="FFFFFF"/>
        <w:rPr>
          <w:rFonts w:ascii="Arial" w:eastAsia="Times New Roman" w:hAnsi="Arial" w:cs="Arial"/>
        </w:rPr>
      </w:pPr>
      <w:r w:rsidRPr="00113364">
        <w:rPr>
          <w:rFonts w:ascii="Arial" w:eastAsia="Times New Roman" w:hAnsi="Arial" w:cs="Arial"/>
        </w:rPr>
        <w:t>The College Assistance Migrant Program (CAMP) is a federally funded program designed to help students from migrat</w:t>
      </w:r>
      <w:r w:rsidR="00FB70B3" w:rsidRPr="00113364">
        <w:rPr>
          <w:rFonts w:ascii="Arial" w:eastAsia="Times New Roman" w:hAnsi="Arial" w:cs="Arial"/>
        </w:rPr>
        <w:t>ory</w:t>
      </w:r>
      <w:r w:rsidRPr="00113364">
        <w:rPr>
          <w:rFonts w:ascii="Arial" w:eastAsia="Times New Roman" w:hAnsi="Arial" w:cs="Arial"/>
        </w:rPr>
        <w:t xml:space="preserve"> and seasonal farm-worker backgrounds succeed in college. CAMP’s mission is to increase the number </w:t>
      </w:r>
      <w:proofErr w:type="gramStart"/>
      <w:r w:rsidRPr="00113364">
        <w:rPr>
          <w:rFonts w:ascii="Arial" w:eastAsia="Times New Roman" w:hAnsi="Arial" w:cs="Arial"/>
        </w:rPr>
        <w:t>of students from</w:t>
      </w:r>
      <w:proofErr w:type="gramEnd"/>
      <w:r w:rsidRPr="00113364">
        <w:rPr>
          <w:rFonts w:ascii="Arial" w:eastAsia="Times New Roman" w:hAnsi="Arial" w:cs="Arial"/>
        </w:rPr>
        <w:t xml:space="preserve"> migrant and seasonal farm-worker backgrounds</w:t>
      </w:r>
      <w:r w:rsidR="00B854DC">
        <w:rPr>
          <w:rFonts w:ascii="Arial" w:eastAsia="Times New Roman" w:hAnsi="Arial" w:cs="Arial"/>
        </w:rPr>
        <w:t xml:space="preserve"> that</w:t>
      </w:r>
      <w:r w:rsidRPr="00113364">
        <w:rPr>
          <w:rFonts w:ascii="Arial" w:eastAsia="Times New Roman" w:hAnsi="Arial" w:cs="Arial"/>
        </w:rPr>
        <w:t xml:space="preserve"> transform their lives by attending a four-year college and attaining a post-secondary degree. CAMP offers a variety of services including:</w:t>
      </w:r>
    </w:p>
    <w:p w14:paraId="5A0FD743" w14:textId="39C531AD" w:rsidR="00A00E0C" w:rsidRPr="00113364" w:rsidRDefault="00D2472D">
      <w:pPr>
        <w:numPr>
          <w:ilvl w:val="0"/>
          <w:numId w:val="47"/>
        </w:numPr>
        <w:shd w:val="clear" w:color="auto" w:fill="FFFFFF"/>
        <w:spacing w:before="120" w:after="240"/>
        <w:rPr>
          <w:rFonts w:ascii="Arial" w:eastAsia="Times New Roman" w:hAnsi="Arial" w:cs="Arial"/>
        </w:rPr>
      </w:pPr>
      <w:r w:rsidRPr="00113364">
        <w:rPr>
          <w:rFonts w:ascii="Arial" w:eastAsia="Times New Roman" w:hAnsi="Arial" w:cs="Arial"/>
        </w:rPr>
        <w:t>E</w:t>
      </w:r>
      <w:r w:rsidR="00A00E0C" w:rsidRPr="00113364">
        <w:rPr>
          <w:rFonts w:ascii="Arial" w:eastAsia="Times New Roman" w:hAnsi="Arial" w:cs="Arial"/>
        </w:rPr>
        <w:t>arly outreach for senior high school students helping them navigate the admissions process including financial aid</w:t>
      </w:r>
    </w:p>
    <w:p w14:paraId="2CC20FD0" w14:textId="4744AD1D" w:rsidR="00A00E0C" w:rsidRPr="00113364" w:rsidRDefault="00D2472D">
      <w:pPr>
        <w:numPr>
          <w:ilvl w:val="0"/>
          <w:numId w:val="47"/>
        </w:numPr>
        <w:shd w:val="clear" w:color="auto" w:fill="FFFFFF"/>
        <w:spacing w:before="100" w:beforeAutospacing="1" w:after="240"/>
        <w:rPr>
          <w:rFonts w:ascii="Arial" w:eastAsia="Times New Roman" w:hAnsi="Arial" w:cs="Arial"/>
        </w:rPr>
      </w:pPr>
      <w:r w:rsidRPr="00113364">
        <w:rPr>
          <w:rFonts w:ascii="Arial" w:eastAsia="Times New Roman" w:hAnsi="Arial" w:cs="Arial"/>
        </w:rPr>
        <w:lastRenderedPageBreak/>
        <w:t>H</w:t>
      </w:r>
      <w:r w:rsidR="00A00E0C" w:rsidRPr="00113364">
        <w:rPr>
          <w:rFonts w:ascii="Arial" w:eastAsia="Times New Roman" w:hAnsi="Arial" w:cs="Arial"/>
        </w:rPr>
        <w:t>ousing assistance</w:t>
      </w:r>
    </w:p>
    <w:p w14:paraId="2BE57CAD" w14:textId="69C277D7" w:rsidR="00A00E0C" w:rsidRPr="00113364" w:rsidRDefault="00D2472D">
      <w:pPr>
        <w:numPr>
          <w:ilvl w:val="0"/>
          <w:numId w:val="47"/>
        </w:numPr>
        <w:shd w:val="clear" w:color="auto" w:fill="FFFFFF"/>
        <w:spacing w:before="100" w:beforeAutospacing="1" w:after="240"/>
        <w:rPr>
          <w:rFonts w:ascii="Arial" w:eastAsia="Times New Roman" w:hAnsi="Arial" w:cs="Arial"/>
        </w:rPr>
      </w:pPr>
      <w:r w:rsidRPr="00113364">
        <w:rPr>
          <w:rFonts w:ascii="Arial" w:eastAsia="Times New Roman" w:hAnsi="Arial" w:cs="Arial"/>
        </w:rPr>
        <w:t>O</w:t>
      </w:r>
      <w:r w:rsidR="00A00E0C" w:rsidRPr="00113364">
        <w:rPr>
          <w:rFonts w:ascii="Arial" w:eastAsia="Times New Roman" w:hAnsi="Arial" w:cs="Arial"/>
        </w:rPr>
        <w:t>pportunities to participate in activities and course</w:t>
      </w:r>
      <w:r w:rsidR="00FF5EB2" w:rsidRPr="00113364">
        <w:rPr>
          <w:rFonts w:ascii="Arial" w:eastAsia="Times New Roman" w:hAnsi="Arial" w:cs="Arial"/>
        </w:rPr>
        <w:t>s</w:t>
      </w:r>
      <w:r w:rsidR="00A00E0C" w:rsidRPr="00113364">
        <w:rPr>
          <w:rFonts w:ascii="Arial" w:eastAsia="Times New Roman" w:hAnsi="Arial" w:cs="Arial"/>
        </w:rPr>
        <w:t xml:space="preserve"> with other CAMP participants</w:t>
      </w:r>
    </w:p>
    <w:p w14:paraId="1DECB1B8" w14:textId="77777777" w:rsidR="00A00E0C" w:rsidRPr="00113364" w:rsidRDefault="00A00E0C">
      <w:pPr>
        <w:numPr>
          <w:ilvl w:val="0"/>
          <w:numId w:val="47"/>
        </w:numPr>
        <w:shd w:val="clear" w:color="auto" w:fill="FFFFFF"/>
        <w:spacing w:before="100" w:beforeAutospacing="1" w:after="240"/>
        <w:rPr>
          <w:rFonts w:ascii="Arial" w:eastAsia="Times New Roman" w:hAnsi="Arial" w:cs="Arial"/>
        </w:rPr>
      </w:pPr>
      <w:r w:rsidRPr="00113364">
        <w:rPr>
          <w:rFonts w:ascii="Arial" w:eastAsia="Times New Roman" w:hAnsi="Arial" w:cs="Arial"/>
        </w:rPr>
        <w:t>Mentorship relationships</w:t>
      </w:r>
    </w:p>
    <w:p w14:paraId="1C6AB484" w14:textId="77777777" w:rsidR="00A00E0C" w:rsidRPr="00113364" w:rsidRDefault="00A00E0C">
      <w:pPr>
        <w:numPr>
          <w:ilvl w:val="0"/>
          <w:numId w:val="47"/>
        </w:numPr>
        <w:shd w:val="clear" w:color="auto" w:fill="FFFFFF"/>
        <w:spacing w:before="100" w:beforeAutospacing="1" w:after="240"/>
        <w:rPr>
          <w:rFonts w:ascii="Arial" w:eastAsia="Times New Roman" w:hAnsi="Arial" w:cs="Arial"/>
        </w:rPr>
      </w:pPr>
      <w:r w:rsidRPr="00113364">
        <w:rPr>
          <w:rFonts w:ascii="Arial" w:eastAsia="Times New Roman" w:hAnsi="Arial" w:cs="Arial"/>
        </w:rPr>
        <w:t>Academic advising to establish short- and long-term educational goals</w:t>
      </w:r>
    </w:p>
    <w:p w14:paraId="449BE92B" w14:textId="77777777" w:rsidR="00A00E0C" w:rsidRPr="00113364" w:rsidRDefault="00A00E0C">
      <w:pPr>
        <w:numPr>
          <w:ilvl w:val="0"/>
          <w:numId w:val="47"/>
        </w:numPr>
        <w:shd w:val="clear" w:color="auto" w:fill="FFFFFF"/>
        <w:spacing w:before="100" w:beforeAutospacing="1" w:after="240"/>
        <w:rPr>
          <w:rFonts w:ascii="Arial" w:eastAsia="Times New Roman" w:hAnsi="Arial" w:cs="Arial"/>
        </w:rPr>
      </w:pPr>
      <w:r w:rsidRPr="00113364">
        <w:rPr>
          <w:rFonts w:ascii="Arial" w:eastAsia="Times New Roman" w:hAnsi="Arial" w:cs="Arial"/>
        </w:rPr>
        <w:t>Tutoring</w:t>
      </w:r>
    </w:p>
    <w:p w14:paraId="2C4CFFD2" w14:textId="77777777" w:rsidR="00A00E0C" w:rsidRPr="00113364" w:rsidRDefault="00A00E0C">
      <w:pPr>
        <w:numPr>
          <w:ilvl w:val="0"/>
          <w:numId w:val="47"/>
        </w:numPr>
        <w:shd w:val="clear" w:color="auto" w:fill="FFFFFF"/>
        <w:spacing w:before="100" w:beforeAutospacing="1" w:after="240"/>
        <w:rPr>
          <w:rFonts w:ascii="Arial" w:eastAsia="Times New Roman" w:hAnsi="Arial" w:cs="Arial"/>
        </w:rPr>
      </w:pPr>
      <w:r w:rsidRPr="00113364">
        <w:rPr>
          <w:rFonts w:ascii="Arial" w:eastAsia="Times New Roman" w:hAnsi="Arial" w:cs="Arial"/>
        </w:rPr>
        <w:t>Leadership skill development</w:t>
      </w:r>
    </w:p>
    <w:p w14:paraId="43C0BC5E" w14:textId="4B31F01F" w:rsidR="00FB70B3" w:rsidRPr="00113364" w:rsidRDefault="00FB70B3" w:rsidP="00FB70B3">
      <w:pPr>
        <w:shd w:val="clear" w:color="auto" w:fill="FFFFFF"/>
        <w:spacing w:before="100" w:beforeAutospacing="1" w:after="120"/>
        <w:rPr>
          <w:rFonts w:ascii="Arial" w:eastAsia="Times New Roman" w:hAnsi="Arial" w:cs="Arial"/>
        </w:rPr>
      </w:pPr>
      <w:r w:rsidRPr="00113364">
        <w:rPr>
          <w:rFonts w:ascii="Arial" w:eastAsia="Times New Roman" w:hAnsi="Arial" w:cs="Arial"/>
        </w:rPr>
        <w:t xml:space="preserve">Connecting graduating high school seniors with CAMP offices prior to graduation </w:t>
      </w:r>
      <w:r w:rsidR="001E3B5E" w:rsidRPr="00113364">
        <w:rPr>
          <w:rFonts w:ascii="Arial" w:eastAsia="Times New Roman" w:hAnsi="Arial" w:cs="Arial"/>
        </w:rPr>
        <w:t>provides</w:t>
      </w:r>
      <w:r w:rsidRPr="00113364">
        <w:rPr>
          <w:rFonts w:ascii="Arial" w:eastAsia="Times New Roman" w:hAnsi="Arial" w:cs="Arial"/>
        </w:rPr>
        <w:t xml:space="preserve"> continuity of support that can increase a student’s success in college.</w:t>
      </w:r>
      <w:r w:rsidR="00513679" w:rsidRPr="00113364">
        <w:rPr>
          <w:rFonts w:ascii="Arial" w:eastAsia="Times New Roman" w:hAnsi="Arial" w:cs="Arial"/>
        </w:rPr>
        <w:t xml:space="preserve"> </w:t>
      </w:r>
      <w:r w:rsidR="007334E6" w:rsidRPr="00113364">
        <w:rPr>
          <w:rFonts w:ascii="Arial" w:eastAsia="Times New Roman" w:hAnsi="Arial" w:cs="Arial"/>
        </w:rPr>
        <w:t xml:space="preserve">With a focus on the importance of high school graduation, California knows success in school starts in preschool. </w:t>
      </w:r>
      <w:r w:rsidR="00513679" w:rsidRPr="00113364">
        <w:rPr>
          <w:rFonts w:ascii="Arial" w:eastAsia="Times New Roman" w:hAnsi="Arial" w:cs="Arial"/>
        </w:rPr>
        <w:t>The CDE is the leading educational data contributor to the Cradle-to-Career Data System.</w:t>
      </w:r>
      <w:r w:rsidR="00695349" w:rsidRPr="00113364">
        <w:rPr>
          <w:rFonts w:ascii="Arial" w:eastAsia="Times New Roman" w:hAnsi="Arial" w:cs="Arial"/>
        </w:rPr>
        <w:t xml:space="preserve"> In addition to providing access to a wide range of data resources, the State Superintendent of Public Instruction increased access to early learning opportunities through the Universal </w:t>
      </w:r>
      <w:r w:rsidR="00113364" w:rsidRPr="00113364">
        <w:rPr>
          <w:rFonts w:ascii="Arial" w:eastAsia="Times New Roman" w:hAnsi="Arial" w:cs="Arial"/>
        </w:rPr>
        <w:t>Pre</w:t>
      </w:r>
      <w:r w:rsidR="000054DA">
        <w:rPr>
          <w:rFonts w:ascii="Arial" w:eastAsia="Times New Roman" w:hAnsi="Arial" w:cs="Arial"/>
        </w:rPr>
        <w:t>K</w:t>
      </w:r>
      <w:r w:rsidR="00695349" w:rsidRPr="00113364">
        <w:rPr>
          <w:rFonts w:ascii="Arial" w:eastAsia="Times New Roman" w:hAnsi="Arial" w:cs="Arial"/>
        </w:rPr>
        <w:t xml:space="preserve"> initiative which includes TK and the </w:t>
      </w:r>
      <w:r w:rsidR="009607AD" w:rsidRPr="00113364">
        <w:rPr>
          <w:rFonts w:ascii="Arial" w:eastAsia="Times New Roman" w:hAnsi="Arial" w:cs="Arial"/>
        </w:rPr>
        <w:t>California</w:t>
      </w:r>
      <w:r w:rsidR="00695349" w:rsidRPr="00113364">
        <w:rPr>
          <w:rFonts w:ascii="Arial" w:eastAsia="Times New Roman" w:hAnsi="Arial" w:cs="Arial"/>
        </w:rPr>
        <w:t xml:space="preserve"> State Preschool Program </w:t>
      </w:r>
      <w:r w:rsidR="00D2472D" w:rsidRPr="00113364">
        <w:rPr>
          <w:rFonts w:ascii="Arial" w:eastAsia="Times New Roman" w:hAnsi="Arial" w:cs="Arial"/>
        </w:rPr>
        <w:t>and</w:t>
      </w:r>
      <w:r w:rsidR="00695349" w:rsidRPr="00113364">
        <w:rPr>
          <w:rFonts w:ascii="Arial" w:eastAsia="Times New Roman" w:hAnsi="Arial" w:cs="Arial"/>
        </w:rPr>
        <w:t xml:space="preserve"> federally funded, private, and expanded learning programs</w:t>
      </w:r>
      <w:r w:rsidR="007334E6" w:rsidRPr="00113364">
        <w:rPr>
          <w:rFonts w:ascii="Arial" w:eastAsia="Times New Roman" w:hAnsi="Arial" w:cs="Arial"/>
        </w:rPr>
        <w:t xml:space="preserve"> including MEP School Readiness programs.</w:t>
      </w:r>
    </w:p>
    <w:p w14:paraId="68708FC0" w14:textId="77777777" w:rsidR="00BA5C6E" w:rsidRPr="00113364" w:rsidRDefault="00BA5C6E" w:rsidP="003F0CBE">
      <w:pPr>
        <w:pStyle w:val="Heading3"/>
      </w:pPr>
      <w:bookmarkStart w:id="95" w:name="_Toc203568854"/>
      <w:r w:rsidRPr="00113364">
        <w:t>School Readiness</w:t>
      </w:r>
      <w:bookmarkEnd w:id="95"/>
    </w:p>
    <w:p w14:paraId="6CA391E4" w14:textId="0DEA2CC1" w:rsidR="00AB3046" w:rsidRPr="00113364" w:rsidRDefault="00D32E6E" w:rsidP="008A2397">
      <w:pPr>
        <w:spacing w:after="240"/>
        <w:rPr>
          <w:rFonts w:ascii="Arial" w:hAnsi="Arial" w:cs="Arial"/>
        </w:rPr>
      </w:pPr>
      <w:r w:rsidRPr="00113364">
        <w:rPr>
          <w:rFonts w:ascii="Arial" w:hAnsi="Arial" w:cs="Arial"/>
        </w:rPr>
        <w:t xml:space="preserve">School readiness </w:t>
      </w:r>
      <w:r w:rsidR="00A23F39" w:rsidRPr="00113364">
        <w:rPr>
          <w:rFonts w:ascii="Arial" w:hAnsi="Arial" w:cs="Arial"/>
        </w:rPr>
        <w:t xml:space="preserve">skills </w:t>
      </w:r>
      <w:r w:rsidR="00DF04F9" w:rsidRPr="00113364">
        <w:rPr>
          <w:rFonts w:ascii="Arial" w:hAnsi="Arial" w:cs="Arial"/>
        </w:rPr>
        <w:t xml:space="preserve">are essential </w:t>
      </w:r>
      <w:r w:rsidR="0012057C" w:rsidRPr="00113364">
        <w:rPr>
          <w:rFonts w:ascii="Arial" w:hAnsi="Arial" w:cs="Arial"/>
        </w:rPr>
        <w:t>to establishing</w:t>
      </w:r>
      <w:r w:rsidR="001022AE" w:rsidRPr="00113364">
        <w:rPr>
          <w:rFonts w:ascii="Arial" w:hAnsi="Arial" w:cs="Arial"/>
        </w:rPr>
        <w:t xml:space="preserve"> a solid academic foundation for students as they progress through the </w:t>
      </w:r>
      <w:r w:rsidR="00461D1A" w:rsidRPr="00113364">
        <w:rPr>
          <w:rFonts w:ascii="Arial" w:hAnsi="Arial" w:cs="Arial"/>
        </w:rPr>
        <w:t xml:space="preserve">education </w:t>
      </w:r>
      <w:r w:rsidR="001022AE" w:rsidRPr="00113364">
        <w:rPr>
          <w:rFonts w:ascii="Arial" w:hAnsi="Arial" w:cs="Arial"/>
        </w:rPr>
        <w:t xml:space="preserve">system. </w:t>
      </w:r>
      <w:r w:rsidR="00872C26" w:rsidRPr="00113364">
        <w:rPr>
          <w:rFonts w:ascii="Arial" w:eastAsia="Times New Roman" w:hAnsi="Arial" w:cs="Arial"/>
        </w:rPr>
        <w:t xml:space="preserve">The MEP’s first role in school readiness is to ensure that </w:t>
      </w:r>
      <w:r w:rsidR="0078677C" w:rsidRPr="00113364">
        <w:rPr>
          <w:rFonts w:ascii="Arial" w:eastAsia="Times New Roman" w:hAnsi="Arial" w:cs="Arial"/>
        </w:rPr>
        <w:t>Pre</w:t>
      </w:r>
      <w:r w:rsidR="00872C26" w:rsidRPr="00113364">
        <w:rPr>
          <w:rFonts w:ascii="Arial" w:eastAsia="Times New Roman" w:hAnsi="Arial" w:cs="Arial"/>
        </w:rPr>
        <w:t xml:space="preserve">K students are enrolled in a </w:t>
      </w:r>
      <w:r w:rsidR="00FB70B3" w:rsidRPr="00113364">
        <w:rPr>
          <w:rFonts w:ascii="Arial" w:eastAsia="Times New Roman" w:hAnsi="Arial" w:cs="Arial"/>
        </w:rPr>
        <w:t>high-quality</w:t>
      </w:r>
      <w:r w:rsidR="00872C26" w:rsidRPr="00113364">
        <w:rPr>
          <w:rFonts w:ascii="Arial" w:eastAsia="Times New Roman" w:hAnsi="Arial" w:cs="Arial"/>
        </w:rPr>
        <w:t xml:space="preserve"> preschool. If, for whatever reason, the child is unable to attend, the MEP provides school readiness services to the migratory children within their program area. </w:t>
      </w:r>
      <w:r w:rsidR="00434F22" w:rsidRPr="00113364">
        <w:rPr>
          <w:rFonts w:ascii="Arial" w:eastAsia="Times New Roman" w:hAnsi="Arial" w:cs="Arial"/>
        </w:rPr>
        <w:t>During the development of the CN</w:t>
      </w:r>
      <w:r w:rsidR="00CC59FF" w:rsidRPr="00113364">
        <w:rPr>
          <w:rFonts w:ascii="Arial" w:eastAsia="Times New Roman" w:hAnsi="Arial" w:cs="Arial"/>
        </w:rPr>
        <w:t>A</w:t>
      </w:r>
      <w:r w:rsidR="00434F22" w:rsidRPr="00113364">
        <w:rPr>
          <w:rFonts w:ascii="Arial" w:eastAsia="Times New Roman" w:hAnsi="Arial" w:cs="Arial"/>
        </w:rPr>
        <w:t>, the committee identified t</w:t>
      </w:r>
      <w:r w:rsidR="00513679" w:rsidRPr="00113364">
        <w:rPr>
          <w:rFonts w:ascii="Arial" w:eastAsia="Times New Roman" w:hAnsi="Arial" w:cs="Arial"/>
        </w:rPr>
        <w:t>hree</w:t>
      </w:r>
      <w:r w:rsidR="00434F22" w:rsidRPr="00113364">
        <w:rPr>
          <w:rFonts w:ascii="Arial" w:eastAsia="Times New Roman" w:hAnsi="Arial" w:cs="Arial"/>
        </w:rPr>
        <w:t xml:space="preserve"> priority needs: 1) building </w:t>
      </w:r>
      <w:r w:rsidR="00513679" w:rsidRPr="00113364">
        <w:rPr>
          <w:rFonts w:ascii="Arial" w:eastAsia="Times New Roman" w:hAnsi="Arial" w:cs="Arial"/>
        </w:rPr>
        <w:t xml:space="preserve">ELP, </w:t>
      </w:r>
      <w:r w:rsidR="00434F22" w:rsidRPr="00113364">
        <w:rPr>
          <w:rFonts w:ascii="Arial" w:eastAsia="Times New Roman" w:hAnsi="Arial" w:cs="Arial"/>
        </w:rPr>
        <w:t xml:space="preserve">2) </w:t>
      </w:r>
      <w:r w:rsidR="00513679" w:rsidRPr="00113364">
        <w:rPr>
          <w:rFonts w:ascii="Arial" w:eastAsia="Times New Roman" w:hAnsi="Arial" w:cs="Arial"/>
        </w:rPr>
        <w:t xml:space="preserve">increasing ELA knowledge and skills, and 3) developing </w:t>
      </w:r>
      <w:r w:rsidR="00E7492F" w:rsidRPr="00113364">
        <w:rPr>
          <w:rFonts w:ascii="Arial" w:eastAsia="Times New Roman" w:hAnsi="Arial" w:cs="Arial"/>
        </w:rPr>
        <w:t>mathematics</w:t>
      </w:r>
      <w:r w:rsidR="00513679" w:rsidRPr="00113364">
        <w:rPr>
          <w:rFonts w:ascii="Arial" w:eastAsia="Times New Roman" w:hAnsi="Arial" w:cs="Arial"/>
        </w:rPr>
        <w:t xml:space="preserve"> knowledge and skills.</w:t>
      </w:r>
      <w:r w:rsidR="00434F22" w:rsidRPr="00113364">
        <w:rPr>
          <w:rFonts w:ascii="Arial" w:eastAsia="Times New Roman" w:hAnsi="Arial" w:cs="Arial"/>
        </w:rPr>
        <w:t xml:space="preserve"> </w:t>
      </w:r>
      <w:r w:rsidR="00461D1A" w:rsidRPr="00113364">
        <w:rPr>
          <w:rFonts w:ascii="Arial" w:hAnsi="Arial" w:cs="Arial"/>
        </w:rPr>
        <w:t xml:space="preserve">The School Readiness </w:t>
      </w:r>
      <w:r w:rsidR="00AB3046" w:rsidRPr="00113364">
        <w:rPr>
          <w:rFonts w:ascii="Arial" w:hAnsi="Arial" w:cs="Arial"/>
        </w:rPr>
        <w:t>s</w:t>
      </w:r>
      <w:r w:rsidR="00461D1A" w:rsidRPr="00113364">
        <w:rPr>
          <w:rFonts w:ascii="Arial" w:hAnsi="Arial" w:cs="Arial"/>
        </w:rPr>
        <w:t xml:space="preserve">ubcommittee </w:t>
      </w:r>
      <w:r w:rsidR="00695349" w:rsidRPr="00113364">
        <w:rPr>
          <w:rFonts w:ascii="Arial" w:hAnsi="Arial" w:cs="Arial"/>
        </w:rPr>
        <w:t>prioritized</w:t>
      </w:r>
      <w:r w:rsidR="00461D1A" w:rsidRPr="00113364">
        <w:rPr>
          <w:rFonts w:ascii="Arial" w:hAnsi="Arial" w:cs="Arial"/>
        </w:rPr>
        <w:t xml:space="preserve"> </w:t>
      </w:r>
      <w:r w:rsidR="00695349" w:rsidRPr="00113364">
        <w:rPr>
          <w:rFonts w:ascii="Arial" w:hAnsi="Arial" w:cs="Arial"/>
        </w:rPr>
        <w:t>these needs from</w:t>
      </w:r>
      <w:r w:rsidR="00A1306A" w:rsidRPr="00113364">
        <w:rPr>
          <w:rFonts w:ascii="Arial" w:hAnsi="Arial" w:cs="Arial"/>
        </w:rPr>
        <w:t xml:space="preserve"> the data below:</w:t>
      </w:r>
    </w:p>
    <w:p w14:paraId="5A20B94F" w14:textId="20D91F81" w:rsidR="00AB3046" w:rsidRPr="00113364" w:rsidRDefault="00A1306A">
      <w:pPr>
        <w:pStyle w:val="ListParagraph"/>
        <w:numPr>
          <w:ilvl w:val="0"/>
          <w:numId w:val="54"/>
        </w:numPr>
        <w:spacing w:after="240"/>
        <w:contextualSpacing w:val="0"/>
        <w:rPr>
          <w:rFonts w:ascii="Arial" w:hAnsi="Arial" w:cs="Arial"/>
        </w:rPr>
      </w:pPr>
      <w:r w:rsidRPr="00113364">
        <w:rPr>
          <w:rFonts w:ascii="Arial" w:hAnsi="Arial" w:cs="Arial"/>
        </w:rPr>
        <w:t xml:space="preserve">In 2022–23, </w:t>
      </w:r>
      <w:r w:rsidR="00AB3046" w:rsidRPr="00113364">
        <w:rPr>
          <w:rFonts w:ascii="Arial" w:hAnsi="Arial" w:cs="Arial"/>
        </w:rPr>
        <w:t>7.9</w:t>
      </w:r>
      <w:r w:rsidR="009756AE" w:rsidRPr="00113364">
        <w:rPr>
          <w:rFonts w:ascii="Arial" w:hAnsi="Arial" w:cs="Arial"/>
        </w:rPr>
        <w:t> </w:t>
      </w:r>
      <w:r w:rsidR="00AB3046" w:rsidRPr="00113364">
        <w:rPr>
          <w:rFonts w:ascii="Arial" w:hAnsi="Arial" w:cs="Arial"/>
        </w:rPr>
        <w:t xml:space="preserve">percent of migratory kindergarten students </w:t>
      </w:r>
      <w:r w:rsidR="009A6258" w:rsidRPr="00113364">
        <w:rPr>
          <w:rFonts w:ascii="Arial" w:hAnsi="Arial" w:cs="Arial"/>
        </w:rPr>
        <w:t xml:space="preserve">and 16 percent of all kindergarten students </w:t>
      </w:r>
      <w:r w:rsidR="00AB3046" w:rsidRPr="00113364">
        <w:rPr>
          <w:rFonts w:ascii="Arial" w:hAnsi="Arial" w:cs="Arial"/>
        </w:rPr>
        <w:t xml:space="preserve">who were identified as </w:t>
      </w:r>
      <w:r w:rsidR="0078677C" w:rsidRPr="00113364">
        <w:rPr>
          <w:rFonts w:ascii="Arial" w:hAnsi="Arial" w:cs="Arial"/>
        </w:rPr>
        <w:t>multilingual</w:t>
      </w:r>
      <w:r w:rsidR="00AB3046" w:rsidRPr="00113364">
        <w:rPr>
          <w:rFonts w:ascii="Arial" w:hAnsi="Arial" w:cs="Arial"/>
        </w:rPr>
        <w:t xml:space="preserve"> students were proficient on the ELPAC overall.</w:t>
      </w:r>
    </w:p>
    <w:p w14:paraId="3FEC2154" w14:textId="55D5BE4F" w:rsidR="009756AE" w:rsidRPr="00113364" w:rsidRDefault="002B46CB">
      <w:pPr>
        <w:pStyle w:val="ListParagraph"/>
        <w:numPr>
          <w:ilvl w:val="0"/>
          <w:numId w:val="54"/>
        </w:numPr>
        <w:spacing w:after="240"/>
        <w:contextualSpacing w:val="0"/>
        <w:rPr>
          <w:rFonts w:ascii="Arial" w:hAnsi="Arial" w:cs="Arial"/>
        </w:rPr>
      </w:pPr>
      <w:r w:rsidRPr="00113364">
        <w:rPr>
          <w:rFonts w:ascii="Arial" w:hAnsi="Arial" w:cs="Arial"/>
        </w:rPr>
        <w:t>With an approximate gap of 26 percent, 17 percent of</w:t>
      </w:r>
      <w:r w:rsidR="009A6258" w:rsidRPr="00113364">
        <w:rPr>
          <w:rFonts w:ascii="Arial" w:hAnsi="Arial" w:cs="Arial"/>
        </w:rPr>
        <w:t xml:space="preserve"> migratory students </w:t>
      </w:r>
      <w:r w:rsidRPr="00113364">
        <w:rPr>
          <w:rFonts w:ascii="Arial" w:hAnsi="Arial" w:cs="Arial"/>
        </w:rPr>
        <w:t xml:space="preserve">and </w:t>
      </w:r>
      <w:r w:rsidR="009756AE" w:rsidRPr="00113364">
        <w:rPr>
          <w:rFonts w:ascii="Arial" w:hAnsi="Arial" w:cs="Arial"/>
        </w:rPr>
        <w:t>42.9</w:t>
      </w:r>
      <w:r w:rsidRPr="00113364">
        <w:rPr>
          <w:rFonts w:ascii="Arial" w:hAnsi="Arial" w:cs="Arial"/>
        </w:rPr>
        <w:t> </w:t>
      </w:r>
      <w:r w:rsidR="009756AE" w:rsidRPr="00113364">
        <w:rPr>
          <w:rFonts w:ascii="Arial" w:hAnsi="Arial" w:cs="Arial"/>
        </w:rPr>
        <w:t xml:space="preserve">percent of all students were proficient </w:t>
      </w:r>
      <w:r w:rsidRPr="00113364">
        <w:rPr>
          <w:rFonts w:ascii="Arial" w:hAnsi="Arial" w:cs="Arial"/>
        </w:rPr>
        <w:t>on the Overall ELA proficiency on the Smarter Balanced Summative</w:t>
      </w:r>
      <w:r w:rsidR="009756AE" w:rsidRPr="00113364">
        <w:rPr>
          <w:rFonts w:ascii="Arial" w:hAnsi="Arial" w:cs="Arial"/>
        </w:rPr>
        <w:t xml:space="preserve"> </w:t>
      </w:r>
      <w:r w:rsidR="00DC0884" w:rsidRPr="00113364">
        <w:rPr>
          <w:rFonts w:ascii="Arial" w:hAnsi="Arial" w:cs="Arial"/>
        </w:rPr>
        <w:t xml:space="preserve">Assessment </w:t>
      </w:r>
      <w:r w:rsidR="009756AE" w:rsidRPr="00113364">
        <w:rPr>
          <w:rFonts w:ascii="Arial" w:hAnsi="Arial" w:cs="Arial"/>
        </w:rPr>
        <w:t>by the end of third grad</w:t>
      </w:r>
      <w:r w:rsidR="00DC0884" w:rsidRPr="00113364">
        <w:rPr>
          <w:rFonts w:ascii="Arial" w:hAnsi="Arial" w:cs="Arial"/>
        </w:rPr>
        <w:t>e</w:t>
      </w:r>
      <w:r w:rsidRPr="00113364">
        <w:rPr>
          <w:rFonts w:ascii="Arial" w:hAnsi="Arial" w:cs="Arial"/>
        </w:rPr>
        <w:t xml:space="preserve"> in 2022–23</w:t>
      </w:r>
      <w:r w:rsidR="009756AE" w:rsidRPr="00113364">
        <w:rPr>
          <w:rFonts w:ascii="Arial" w:hAnsi="Arial" w:cs="Arial"/>
        </w:rPr>
        <w:t>.</w:t>
      </w:r>
    </w:p>
    <w:p w14:paraId="3F9D259B" w14:textId="73265468" w:rsidR="00E12F1D" w:rsidRPr="00113364" w:rsidRDefault="00DC0884">
      <w:pPr>
        <w:pStyle w:val="ListParagraph"/>
        <w:numPr>
          <w:ilvl w:val="0"/>
          <w:numId w:val="54"/>
        </w:numPr>
        <w:spacing w:after="240"/>
        <w:contextualSpacing w:val="0"/>
        <w:rPr>
          <w:rFonts w:ascii="Arial" w:hAnsi="Arial" w:cs="Arial"/>
        </w:rPr>
      </w:pPr>
      <w:r w:rsidRPr="00113364">
        <w:rPr>
          <w:rFonts w:ascii="Arial" w:hAnsi="Arial" w:cs="Arial"/>
        </w:rPr>
        <w:t>Twenty-one</w:t>
      </w:r>
      <w:r w:rsidR="00E12F1D" w:rsidRPr="00113364">
        <w:rPr>
          <w:rFonts w:ascii="Arial" w:hAnsi="Arial" w:cs="Arial"/>
        </w:rPr>
        <w:t xml:space="preserve"> percent of migratory students </w:t>
      </w:r>
      <w:r w:rsidRPr="00113364">
        <w:rPr>
          <w:rFonts w:ascii="Arial" w:hAnsi="Arial" w:cs="Arial"/>
        </w:rPr>
        <w:t xml:space="preserve">compared with </w:t>
      </w:r>
      <w:r w:rsidR="00E12F1D" w:rsidRPr="00113364">
        <w:rPr>
          <w:rFonts w:ascii="Arial" w:hAnsi="Arial" w:cs="Arial"/>
        </w:rPr>
        <w:t>45.1</w:t>
      </w:r>
      <w:r w:rsidRPr="00113364">
        <w:rPr>
          <w:rFonts w:ascii="Arial" w:hAnsi="Arial" w:cs="Arial"/>
        </w:rPr>
        <w:t> </w:t>
      </w:r>
      <w:r w:rsidR="00E12F1D" w:rsidRPr="00113364">
        <w:rPr>
          <w:rFonts w:ascii="Arial" w:hAnsi="Arial" w:cs="Arial"/>
        </w:rPr>
        <w:t xml:space="preserve">percent of all students were proficient in </w:t>
      </w:r>
      <w:r w:rsidR="00E7492F" w:rsidRPr="00113364">
        <w:rPr>
          <w:rFonts w:ascii="Arial" w:hAnsi="Arial" w:cs="Arial"/>
        </w:rPr>
        <w:t>mathematics</w:t>
      </w:r>
      <w:r w:rsidR="00E12F1D" w:rsidRPr="00113364">
        <w:rPr>
          <w:rFonts w:ascii="Arial" w:hAnsi="Arial" w:cs="Arial"/>
        </w:rPr>
        <w:t xml:space="preserve"> by the end of third grade</w:t>
      </w:r>
      <w:r w:rsidRPr="00113364">
        <w:rPr>
          <w:rFonts w:ascii="Arial" w:hAnsi="Arial" w:cs="Arial"/>
        </w:rPr>
        <w:t xml:space="preserve"> on the Smarter Balanced Summative Assessment in 2022–23</w:t>
      </w:r>
      <w:r w:rsidR="00E12F1D" w:rsidRPr="00113364">
        <w:rPr>
          <w:rFonts w:ascii="Arial" w:hAnsi="Arial" w:cs="Arial"/>
        </w:rPr>
        <w:t>.</w:t>
      </w:r>
    </w:p>
    <w:p w14:paraId="036712A7" w14:textId="73A48247" w:rsidR="00434F22" w:rsidRPr="00113364" w:rsidRDefault="00BF34D9" w:rsidP="00A1306A">
      <w:pPr>
        <w:spacing w:after="240"/>
        <w:rPr>
          <w:rFonts w:ascii="Arial" w:hAnsi="Arial" w:cs="Arial"/>
        </w:rPr>
      </w:pPr>
      <w:r w:rsidRPr="00113364">
        <w:rPr>
          <w:rFonts w:ascii="Arial" w:hAnsi="Arial" w:cs="Arial"/>
        </w:rPr>
        <w:lastRenderedPageBreak/>
        <w:t>Referring to</w:t>
      </w:r>
      <w:r w:rsidR="007C225F" w:rsidRPr="00113364">
        <w:rPr>
          <w:rFonts w:ascii="Arial" w:hAnsi="Arial" w:cs="Arial"/>
        </w:rPr>
        <w:t xml:space="preserve"> the data above, subcommittee members discussed that a focus on early learning helps</w:t>
      </w:r>
      <w:r w:rsidR="00250A8B" w:rsidRPr="00113364">
        <w:rPr>
          <w:rFonts w:ascii="Arial" w:hAnsi="Arial" w:cs="Arial"/>
        </w:rPr>
        <w:t xml:space="preserve"> prepare students to meet proficiency standards</w:t>
      </w:r>
      <w:r w:rsidR="00F537F9" w:rsidRPr="00113364">
        <w:rPr>
          <w:rFonts w:ascii="Arial" w:hAnsi="Arial" w:cs="Arial"/>
        </w:rPr>
        <w:t xml:space="preserve"> in both ELA and </w:t>
      </w:r>
      <w:r w:rsidR="00E7492F" w:rsidRPr="00113364">
        <w:rPr>
          <w:rFonts w:ascii="Arial" w:hAnsi="Arial" w:cs="Arial"/>
        </w:rPr>
        <w:t>mathematics</w:t>
      </w:r>
      <w:r w:rsidR="00F537F9" w:rsidRPr="00113364">
        <w:rPr>
          <w:rFonts w:ascii="Arial" w:hAnsi="Arial" w:cs="Arial"/>
        </w:rPr>
        <w:t xml:space="preserve">. </w:t>
      </w:r>
      <w:r w:rsidRPr="00113364">
        <w:rPr>
          <w:rFonts w:ascii="Arial" w:hAnsi="Arial" w:cs="Arial"/>
        </w:rPr>
        <w:t xml:space="preserve">The </w:t>
      </w:r>
      <w:hyperlink r:id="rId31" w:history="1">
        <w:r w:rsidRPr="00113364">
          <w:rPr>
            <w:rStyle w:val="Hyperlink"/>
            <w:rFonts w:ascii="Arial" w:hAnsi="Arial" w:cs="Arial"/>
          </w:rPr>
          <w:t>California Preschool</w:t>
        </w:r>
        <w:r w:rsidR="00581685" w:rsidRPr="00113364">
          <w:rPr>
            <w:rStyle w:val="Hyperlink"/>
            <w:rFonts w:ascii="Arial" w:hAnsi="Arial" w:cs="Arial"/>
          </w:rPr>
          <w:t>/Transitional Kindergarten</w:t>
        </w:r>
        <w:r w:rsidRPr="00113364">
          <w:rPr>
            <w:rStyle w:val="Hyperlink"/>
            <w:rFonts w:ascii="Arial" w:hAnsi="Arial" w:cs="Arial"/>
          </w:rPr>
          <w:t xml:space="preserve"> Learning Foundations</w:t>
        </w:r>
      </w:hyperlink>
      <w:r w:rsidR="00581685" w:rsidRPr="00113364">
        <w:rPr>
          <w:rFonts w:ascii="Arial" w:hAnsi="Arial" w:cs="Arial"/>
        </w:rPr>
        <w:t xml:space="preserve"> (Foundations) informs educators and parents of the knowledge and skills children can attain when attending a high-quality preschool program. The Foundations cover several domains including SEL, language and literacy, </w:t>
      </w:r>
      <w:r w:rsidR="00E7492F" w:rsidRPr="00113364">
        <w:rPr>
          <w:rFonts w:ascii="Arial" w:hAnsi="Arial" w:cs="Arial"/>
        </w:rPr>
        <w:t>mathematics</w:t>
      </w:r>
      <w:r w:rsidR="00581685" w:rsidRPr="00113364">
        <w:rPr>
          <w:rFonts w:ascii="Arial" w:hAnsi="Arial" w:cs="Arial"/>
        </w:rPr>
        <w:t xml:space="preserve">, science, physical development, health, history-social science, and visual and performing arts. </w:t>
      </w:r>
      <w:r w:rsidR="00594752" w:rsidRPr="00113364">
        <w:rPr>
          <w:rFonts w:ascii="Arial" w:hAnsi="Arial" w:cs="Arial"/>
        </w:rPr>
        <w:t xml:space="preserve">In addition to identifying the strands (e.g., standard) for each domain, the Foundations also </w:t>
      </w:r>
      <w:proofErr w:type="gramStart"/>
      <w:r w:rsidR="00594752" w:rsidRPr="00113364">
        <w:rPr>
          <w:rFonts w:ascii="Arial" w:hAnsi="Arial" w:cs="Arial"/>
        </w:rPr>
        <w:t>provide</w:t>
      </w:r>
      <w:r w:rsidR="00E92A6A" w:rsidRPr="00113364">
        <w:rPr>
          <w:rFonts w:ascii="Arial" w:hAnsi="Arial" w:cs="Arial"/>
        </w:rPr>
        <w:t>s</w:t>
      </w:r>
      <w:proofErr w:type="gramEnd"/>
      <w:r w:rsidR="00594752" w:rsidRPr="00113364">
        <w:rPr>
          <w:rFonts w:ascii="Arial" w:hAnsi="Arial" w:cs="Arial"/>
        </w:rPr>
        <w:t xml:space="preserve"> guidance to teachers; however, parents could also take advantage of these strategies. To be accessible to a wider audience, the Foundations are translated into Spanish, Traditional Chinese </w:t>
      </w:r>
      <w:r w:rsidR="002D617D" w:rsidRPr="00113364">
        <w:rPr>
          <w:rFonts w:ascii="Arial" w:hAnsi="Arial" w:cs="Arial"/>
        </w:rPr>
        <w:t>and</w:t>
      </w:r>
      <w:r w:rsidR="006E619B" w:rsidRPr="00113364">
        <w:rPr>
          <w:rFonts w:ascii="Arial" w:hAnsi="Arial" w:cs="Arial"/>
        </w:rPr>
        <w:t xml:space="preserve"> soon,</w:t>
      </w:r>
      <w:r w:rsidR="00594752" w:rsidRPr="00113364">
        <w:rPr>
          <w:rFonts w:ascii="Arial" w:hAnsi="Arial" w:cs="Arial"/>
        </w:rPr>
        <w:t xml:space="preserve"> Simplified Chinese</w:t>
      </w:r>
      <w:r w:rsidR="006E619B" w:rsidRPr="00113364">
        <w:rPr>
          <w:rFonts w:ascii="Arial" w:hAnsi="Arial" w:cs="Arial"/>
        </w:rPr>
        <w:t>.</w:t>
      </w:r>
    </w:p>
    <w:p w14:paraId="07D43920" w14:textId="38B5AC0E" w:rsidR="00513679" w:rsidRPr="00113364" w:rsidRDefault="00513679" w:rsidP="00A1306A">
      <w:pPr>
        <w:spacing w:after="240"/>
        <w:rPr>
          <w:rFonts w:ascii="Arial" w:hAnsi="Arial" w:cs="Arial"/>
        </w:rPr>
      </w:pPr>
      <w:r w:rsidRPr="00113364">
        <w:rPr>
          <w:rFonts w:ascii="Arial" w:hAnsi="Arial" w:cs="Arial"/>
        </w:rPr>
        <w:t xml:space="preserve">The California MEP will continue to collect student participation data identified by the number of unduplicated number of students who attend a dual language learner school readiness service with a duration of at least 15 hours. Table 34 lists the strategy and MPO to address the need to focus on early learning for </w:t>
      </w:r>
      <w:r w:rsidR="00613461" w:rsidRPr="00113364">
        <w:rPr>
          <w:rFonts w:ascii="Arial" w:hAnsi="Arial" w:cs="Arial"/>
        </w:rPr>
        <w:t>Pre-K</w:t>
      </w:r>
      <w:r w:rsidRPr="00113364">
        <w:rPr>
          <w:rFonts w:ascii="Arial" w:hAnsi="Arial" w:cs="Arial"/>
        </w:rPr>
        <w:t xml:space="preserve"> and TK aged migratory children. </w:t>
      </w:r>
    </w:p>
    <w:p w14:paraId="5B79187B" w14:textId="41EE4970" w:rsidR="0054625A" w:rsidRPr="00113364" w:rsidRDefault="0054625A" w:rsidP="00D330A6">
      <w:pPr>
        <w:pStyle w:val="Heading4"/>
        <w:spacing w:after="0"/>
        <w:rPr>
          <w:sz w:val="24"/>
        </w:rPr>
      </w:pPr>
      <w:bookmarkStart w:id="96" w:name="_Toc204755370"/>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34</w:t>
      </w:r>
      <w:r w:rsidR="00C46CA6" w:rsidRPr="00113364">
        <w:rPr>
          <w:noProof/>
          <w:sz w:val="24"/>
        </w:rPr>
        <w:fldChar w:fldCharType="end"/>
      </w:r>
      <w:r w:rsidRPr="00113364">
        <w:rPr>
          <w:sz w:val="24"/>
        </w:rPr>
        <w:t xml:space="preserve">. </w:t>
      </w:r>
      <w:r w:rsidR="00514084" w:rsidRPr="00113364">
        <w:rPr>
          <w:sz w:val="24"/>
        </w:rPr>
        <w:t>Strategies and</w:t>
      </w:r>
      <w:r w:rsidRPr="00113364">
        <w:rPr>
          <w:sz w:val="24"/>
        </w:rPr>
        <w:t xml:space="preserve"> </w:t>
      </w:r>
      <w:r w:rsidR="00FA2566" w:rsidRPr="00113364">
        <w:rPr>
          <w:sz w:val="24"/>
        </w:rPr>
        <w:t>Measurable Program Objectives</w:t>
      </w:r>
      <w:r w:rsidRPr="00113364">
        <w:rPr>
          <w:sz w:val="24"/>
        </w:rPr>
        <w:t xml:space="preserve"> for </w:t>
      </w:r>
      <w:r w:rsidR="00512CDB" w:rsidRPr="00113364">
        <w:rPr>
          <w:sz w:val="24"/>
        </w:rPr>
        <w:t>Building School Readiness</w:t>
      </w:r>
      <w:bookmarkEnd w:id="96"/>
    </w:p>
    <w:tbl>
      <w:tblPr>
        <w:tblStyle w:val="GridTable4-Accent1"/>
        <w:tblW w:w="0" w:type="auto"/>
        <w:tblLook w:val="0420" w:firstRow="1" w:lastRow="0" w:firstColumn="0" w:lastColumn="0" w:noHBand="0" w:noVBand="1"/>
        <w:tblDescription w:val="Strategies and Measurable Program Objectives for Increasing Language Skills"/>
      </w:tblPr>
      <w:tblGrid>
        <w:gridCol w:w="4315"/>
        <w:gridCol w:w="5035"/>
      </w:tblGrid>
      <w:tr w:rsidR="007A0C1F" w:rsidRPr="00113364" w14:paraId="13C3BFF5" w14:textId="77777777" w:rsidTr="009756AE">
        <w:trPr>
          <w:cnfStyle w:val="100000000000" w:firstRow="1" w:lastRow="0" w:firstColumn="0" w:lastColumn="0" w:oddVBand="0" w:evenVBand="0" w:oddHBand="0" w:evenHBand="0" w:firstRowFirstColumn="0" w:firstRowLastColumn="0" w:lastRowFirstColumn="0" w:lastRowLastColumn="0"/>
          <w:cantSplit/>
          <w:tblHeader/>
        </w:trPr>
        <w:tc>
          <w:tcPr>
            <w:tcW w:w="4315" w:type="dxa"/>
            <w:tcBorders>
              <w:right w:val="single" w:sz="4" w:space="0" w:color="4472C4"/>
            </w:tcBorders>
            <w:shd w:val="clear" w:color="auto" w:fill="1F3864" w:themeFill="accent5" w:themeFillShade="80"/>
          </w:tcPr>
          <w:p w14:paraId="4FAD126E" w14:textId="42E29A36" w:rsidR="007A0C1F" w:rsidRPr="00113364" w:rsidRDefault="007A0C1F" w:rsidP="007D443E">
            <w:pPr>
              <w:spacing w:after="120"/>
              <w:rPr>
                <w:rFonts w:ascii="Arial" w:hAnsi="Arial" w:cs="Arial"/>
                <w:color w:val="FFFFFF"/>
              </w:rPr>
            </w:pPr>
            <w:r w:rsidRPr="00113364">
              <w:rPr>
                <w:rFonts w:ascii="Arial" w:hAnsi="Arial" w:cs="Arial"/>
                <w:color w:val="FFFFFF"/>
              </w:rPr>
              <w:t>Strateg</w:t>
            </w:r>
            <w:r w:rsidR="00083BDB" w:rsidRPr="00113364">
              <w:rPr>
                <w:rFonts w:ascii="Arial" w:hAnsi="Arial" w:cs="Arial"/>
                <w:color w:val="FFFFFF"/>
              </w:rPr>
              <w:t>y</w:t>
            </w:r>
          </w:p>
        </w:tc>
        <w:tc>
          <w:tcPr>
            <w:tcW w:w="5035" w:type="dxa"/>
            <w:tcBorders>
              <w:left w:val="single" w:sz="4" w:space="0" w:color="4472C4"/>
            </w:tcBorders>
            <w:shd w:val="clear" w:color="auto" w:fill="1F3864" w:themeFill="accent5" w:themeFillShade="80"/>
          </w:tcPr>
          <w:p w14:paraId="3DA8E771" w14:textId="0A42D3CD" w:rsidR="007A0C1F" w:rsidRPr="00113364" w:rsidRDefault="007A0C1F" w:rsidP="007D443E">
            <w:pPr>
              <w:spacing w:after="120"/>
              <w:rPr>
                <w:rFonts w:ascii="Arial" w:hAnsi="Arial" w:cs="Arial"/>
                <w:color w:val="FFFFFF"/>
              </w:rPr>
            </w:pPr>
            <w:r w:rsidRPr="00113364">
              <w:rPr>
                <w:rFonts w:ascii="Arial" w:hAnsi="Arial" w:cs="Arial"/>
                <w:color w:val="FFFFFF"/>
              </w:rPr>
              <w:t>Measurable Program Objective</w:t>
            </w:r>
          </w:p>
        </w:tc>
      </w:tr>
      <w:tr w:rsidR="00083BDB" w:rsidRPr="00113364" w14:paraId="25744FB3" w14:textId="77777777" w:rsidTr="009756AE">
        <w:trPr>
          <w:cnfStyle w:val="000000100000" w:firstRow="0" w:lastRow="0" w:firstColumn="0" w:lastColumn="0" w:oddVBand="0" w:evenVBand="0" w:oddHBand="1" w:evenHBand="0" w:firstRowFirstColumn="0" w:firstRowLastColumn="0" w:lastRowFirstColumn="0" w:lastRowLastColumn="0"/>
          <w:cantSplit/>
        </w:trPr>
        <w:tc>
          <w:tcPr>
            <w:tcW w:w="4315" w:type="dxa"/>
          </w:tcPr>
          <w:p w14:paraId="57A7CEAD" w14:textId="073F072B" w:rsidR="005403A4" w:rsidRPr="00113364" w:rsidRDefault="00083BDB" w:rsidP="005403A4">
            <w:pPr>
              <w:spacing w:after="120"/>
              <w:rPr>
                <w:rFonts w:ascii="Arial" w:hAnsi="Arial" w:cs="Arial"/>
              </w:rPr>
            </w:pPr>
            <w:bookmarkStart w:id="97" w:name="_Hlk209516871"/>
            <w:r w:rsidRPr="00113364">
              <w:rPr>
                <w:rFonts w:ascii="Arial" w:hAnsi="Arial" w:cs="Arial"/>
                <w:b/>
              </w:rPr>
              <w:t xml:space="preserve">Strategy 7.0: </w:t>
            </w:r>
            <w:r w:rsidR="005403A4" w:rsidRPr="00113364">
              <w:rPr>
                <w:rFonts w:ascii="Arial" w:hAnsi="Arial" w:cs="Arial"/>
              </w:rPr>
              <w:t xml:space="preserve">Provide dual language (home language and English) instruction, foundational literacy, and </w:t>
            </w:r>
            <w:r w:rsidR="00E7492F" w:rsidRPr="00113364">
              <w:rPr>
                <w:rFonts w:ascii="Arial" w:hAnsi="Arial" w:cs="Arial"/>
              </w:rPr>
              <w:t>mathematics</w:t>
            </w:r>
            <w:r w:rsidR="005403A4" w:rsidRPr="00113364">
              <w:rPr>
                <w:rFonts w:ascii="Arial" w:hAnsi="Arial" w:cs="Arial"/>
              </w:rPr>
              <w:t xml:space="preserve"> school readiness services to migratory </w:t>
            </w:r>
            <w:r w:rsidR="007334E6" w:rsidRPr="00113364">
              <w:rPr>
                <w:rFonts w:ascii="Arial" w:hAnsi="Arial" w:cs="Arial"/>
              </w:rPr>
              <w:t>Pre-K and TK children</w:t>
            </w:r>
            <w:r w:rsidR="00127D90">
              <w:rPr>
                <w:rFonts w:ascii="Arial" w:hAnsi="Arial" w:cs="Arial"/>
              </w:rPr>
              <w:t>.</w:t>
            </w:r>
            <w:bookmarkEnd w:id="97"/>
          </w:p>
        </w:tc>
        <w:tc>
          <w:tcPr>
            <w:tcW w:w="5035" w:type="dxa"/>
          </w:tcPr>
          <w:p w14:paraId="5BB0B749" w14:textId="087364C3" w:rsidR="005403A4" w:rsidRPr="00113364" w:rsidRDefault="00083BDB" w:rsidP="00083BDB">
            <w:pPr>
              <w:rPr>
                <w:rFonts w:ascii="Arial" w:hAnsi="Arial" w:cs="Arial"/>
              </w:rPr>
            </w:pPr>
            <w:bookmarkStart w:id="98" w:name="_Hlk209516884"/>
            <w:r w:rsidRPr="00113364">
              <w:rPr>
                <w:rFonts w:ascii="Arial" w:hAnsi="Arial" w:cs="Arial"/>
                <w:b/>
                <w:bCs/>
              </w:rPr>
              <w:t>Measurable Program Objective 7.0:</w:t>
            </w:r>
            <w:r w:rsidRPr="00113364">
              <w:rPr>
                <w:rFonts w:ascii="Arial" w:hAnsi="Arial" w:cs="Arial"/>
              </w:rPr>
              <w:t xml:space="preserve"> </w:t>
            </w:r>
            <w:r w:rsidR="005403A4" w:rsidRPr="00113364">
              <w:rPr>
                <w:rFonts w:ascii="Arial" w:hAnsi="Arial" w:cs="Arial"/>
              </w:rPr>
              <w:t>Each year, 40 percent of migratory children (</w:t>
            </w:r>
            <w:r w:rsidR="007334E6" w:rsidRPr="00113364">
              <w:rPr>
                <w:rFonts w:ascii="Arial" w:hAnsi="Arial" w:cs="Arial"/>
              </w:rPr>
              <w:t>i.e., Pre-K</w:t>
            </w:r>
            <w:r w:rsidRPr="00113364">
              <w:rPr>
                <w:rFonts w:ascii="Arial" w:hAnsi="Arial" w:cs="Arial"/>
              </w:rPr>
              <w:t xml:space="preserve"> and TK</w:t>
            </w:r>
            <w:r w:rsidR="005403A4" w:rsidRPr="00113364">
              <w:rPr>
                <w:rFonts w:ascii="Arial" w:hAnsi="Arial" w:cs="Arial"/>
              </w:rPr>
              <w:t>) will attend 15 hours or more of school readiness services to build content knowledge and literacy in the home and English languages</w:t>
            </w:r>
            <w:r w:rsidRPr="00113364">
              <w:rPr>
                <w:rFonts w:ascii="Arial" w:hAnsi="Arial" w:cs="Arial"/>
              </w:rPr>
              <w:t>.</w:t>
            </w:r>
            <w:r w:rsidRPr="00113364">
              <w:rPr>
                <w:rStyle w:val="FootnoteReference"/>
                <w:rFonts w:ascii="Arial" w:hAnsi="Arial" w:cs="Arial"/>
              </w:rPr>
              <w:footnoteReference w:id="20"/>
            </w:r>
            <w:r w:rsidR="005403A4" w:rsidRPr="00113364">
              <w:rPr>
                <w:rFonts w:ascii="Arial" w:hAnsi="Arial" w:cs="Arial"/>
              </w:rPr>
              <w:t xml:space="preserve"> </w:t>
            </w:r>
            <w:bookmarkEnd w:id="98"/>
          </w:p>
        </w:tc>
      </w:tr>
    </w:tbl>
    <w:p w14:paraId="01D073C0" w14:textId="2EDD3974" w:rsidR="007A0C1F" w:rsidRPr="00113364" w:rsidRDefault="002D617D" w:rsidP="00694080">
      <w:pPr>
        <w:spacing w:before="240"/>
        <w:rPr>
          <w:rFonts w:ascii="Arial" w:hAnsi="Arial" w:cs="Arial"/>
        </w:rPr>
      </w:pPr>
      <w:r w:rsidRPr="00113364">
        <w:rPr>
          <w:rFonts w:ascii="Arial" w:hAnsi="Arial" w:cs="Arial"/>
        </w:rPr>
        <w:t>Performance target for the School Readiness focus area</w:t>
      </w:r>
      <w:r w:rsidR="00096581" w:rsidRPr="00113364">
        <w:rPr>
          <w:rFonts w:ascii="Arial" w:hAnsi="Arial" w:cs="Arial"/>
        </w:rPr>
        <w:t xml:space="preserve">: By </w:t>
      </w:r>
      <w:r w:rsidRPr="00113364">
        <w:rPr>
          <w:rFonts w:ascii="Arial" w:hAnsi="Arial" w:cs="Arial"/>
        </w:rPr>
        <w:t>September</w:t>
      </w:r>
      <w:r w:rsidR="00096581" w:rsidRPr="00113364">
        <w:rPr>
          <w:rFonts w:ascii="Arial" w:hAnsi="Arial" w:cs="Arial"/>
        </w:rPr>
        <w:t xml:space="preserve"> 20</w:t>
      </w:r>
      <w:r w:rsidR="00083BDB" w:rsidRPr="00113364">
        <w:rPr>
          <w:rFonts w:ascii="Arial" w:hAnsi="Arial" w:cs="Arial"/>
        </w:rPr>
        <w:t>31</w:t>
      </w:r>
      <w:r w:rsidR="00096581" w:rsidRPr="00113364">
        <w:rPr>
          <w:rFonts w:ascii="Arial" w:hAnsi="Arial" w:cs="Arial"/>
        </w:rPr>
        <w:t xml:space="preserve">, 40 percent of migratory children (ages </w:t>
      </w:r>
      <w:r w:rsidR="00E92A6A" w:rsidRPr="00113364">
        <w:rPr>
          <w:rFonts w:ascii="Arial" w:hAnsi="Arial" w:cs="Arial"/>
        </w:rPr>
        <w:t>Pre-K</w:t>
      </w:r>
      <w:r w:rsidR="00083BDB" w:rsidRPr="00113364">
        <w:rPr>
          <w:rFonts w:ascii="Arial" w:hAnsi="Arial" w:cs="Arial"/>
        </w:rPr>
        <w:t xml:space="preserve"> and TK</w:t>
      </w:r>
      <w:r w:rsidR="00096581" w:rsidRPr="00113364">
        <w:rPr>
          <w:rFonts w:ascii="Arial" w:hAnsi="Arial" w:cs="Arial"/>
        </w:rPr>
        <w:t>) will attend 15 hours or more of school readiness services for dual language learners.</w:t>
      </w:r>
    </w:p>
    <w:p w14:paraId="38309F80" w14:textId="73D5E7C7" w:rsidR="00695349" w:rsidRPr="00113364" w:rsidRDefault="00695349" w:rsidP="00694080">
      <w:pPr>
        <w:spacing w:before="240"/>
        <w:rPr>
          <w:rFonts w:ascii="Arial" w:hAnsi="Arial" w:cs="Arial"/>
        </w:rPr>
      </w:pPr>
      <w:r w:rsidRPr="00113364">
        <w:rPr>
          <w:rFonts w:ascii="Arial" w:hAnsi="Arial" w:cs="Arial"/>
        </w:rPr>
        <w:t xml:space="preserve">This program should </w:t>
      </w:r>
      <w:r w:rsidR="009C0714" w:rsidRPr="00113364">
        <w:rPr>
          <w:rFonts w:ascii="Arial" w:hAnsi="Arial" w:cs="Arial"/>
        </w:rPr>
        <w:t>focus on developing both the students’ primary (home language) and secondary language (English). It is well known that developing students’ primary language supports not only the development of English literacy, but the transfer of content knowledge to the new language. Moreover</w:t>
      </w:r>
      <w:r w:rsidR="00504902" w:rsidRPr="00113364">
        <w:rPr>
          <w:rFonts w:ascii="Arial" w:hAnsi="Arial" w:cs="Arial"/>
        </w:rPr>
        <w:t>,</w:t>
      </w:r>
      <w:r w:rsidR="009C0714" w:rsidRPr="00113364">
        <w:rPr>
          <w:rFonts w:ascii="Arial" w:hAnsi="Arial" w:cs="Arial"/>
        </w:rPr>
        <w:t xml:space="preserve"> the benefits of bi- an</w:t>
      </w:r>
      <w:r w:rsidR="00504902" w:rsidRPr="00113364">
        <w:rPr>
          <w:rFonts w:ascii="Arial" w:hAnsi="Arial" w:cs="Arial"/>
        </w:rPr>
        <w:t>d</w:t>
      </w:r>
      <w:r w:rsidR="009C0714" w:rsidRPr="00113364">
        <w:rPr>
          <w:rFonts w:ascii="Arial" w:hAnsi="Arial" w:cs="Arial"/>
        </w:rPr>
        <w:t xml:space="preserve"> multilingualism </w:t>
      </w:r>
      <w:r w:rsidR="00504902" w:rsidRPr="00113364">
        <w:rPr>
          <w:rFonts w:ascii="Arial" w:hAnsi="Arial" w:cs="Arial"/>
        </w:rPr>
        <w:t xml:space="preserve">have been well documented. The CDE’s </w:t>
      </w:r>
      <w:hyperlink r:id="rId32" w:history="1">
        <w:r w:rsidR="00504902" w:rsidRPr="00113364">
          <w:rPr>
            <w:rStyle w:val="Hyperlink"/>
            <w:rFonts w:ascii="Arial" w:hAnsi="Arial" w:cs="Arial"/>
          </w:rPr>
          <w:t>Multilingual Education</w:t>
        </w:r>
      </w:hyperlink>
      <w:r w:rsidR="00504902" w:rsidRPr="00113364">
        <w:rPr>
          <w:rFonts w:ascii="Arial" w:hAnsi="Arial" w:cs="Arial"/>
        </w:rPr>
        <w:t xml:space="preserve"> web page lists multiple benefits including increased executive function, possible delay of age-related cognitive decline, increased intellectual flexibility, improved learning outcomes, greater understanding of world cultures, increased empath</w:t>
      </w:r>
      <w:r w:rsidR="00127D90">
        <w:rPr>
          <w:rFonts w:ascii="Arial" w:hAnsi="Arial" w:cs="Arial"/>
        </w:rPr>
        <w:t>y</w:t>
      </w:r>
      <w:r w:rsidR="00504902" w:rsidRPr="00113364">
        <w:rPr>
          <w:rFonts w:ascii="Arial" w:hAnsi="Arial" w:cs="Arial"/>
        </w:rPr>
        <w:t xml:space="preserve">, and greater </w:t>
      </w:r>
      <w:r w:rsidR="00504902" w:rsidRPr="00113364">
        <w:rPr>
          <w:rFonts w:ascii="Arial" w:hAnsi="Arial" w:cs="Arial"/>
        </w:rPr>
        <w:lastRenderedPageBreak/>
        <w:t>career opportunities. These are just some of the many reasons that developing students’ primary language in addition to English is so important.</w:t>
      </w:r>
    </w:p>
    <w:p w14:paraId="4226264B" w14:textId="5C16495F" w:rsidR="007A0C1F" w:rsidRPr="00113364" w:rsidRDefault="00513679" w:rsidP="00513679">
      <w:pPr>
        <w:spacing w:before="240" w:after="240"/>
        <w:rPr>
          <w:rFonts w:ascii="Arial" w:hAnsi="Arial" w:cs="Arial"/>
        </w:rPr>
      </w:pPr>
      <w:r w:rsidRPr="00113364">
        <w:rPr>
          <w:rFonts w:ascii="Arial" w:hAnsi="Arial" w:cs="Arial"/>
        </w:rPr>
        <w:t xml:space="preserve">The second </w:t>
      </w:r>
      <w:r w:rsidR="00504902" w:rsidRPr="00113364">
        <w:rPr>
          <w:rFonts w:ascii="Arial" w:hAnsi="Arial" w:cs="Arial"/>
        </w:rPr>
        <w:t xml:space="preserve">strategy selected to address the need to build knowledge and skills in ELD, ELA, and </w:t>
      </w:r>
      <w:r w:rsidR="00E7492F" w:rsidRPr="00113364">
        <w:rPr>
          <w:rFonts w:ascii="Arial" w:hAnsi="Arial" w:cs="Arial"/>
        </w:rPr>
        <w:t>mathematics</w:t>
      </w:r>
      <w:r w:rsidR="00504902" w:rsidRPr="00113364">
        <w:rPr>
          <w:rFonts w:ascii="Arial" w:hAnsi="Arial" w:cs="Arial"/>
        </w:rPr>
        <w:t xml:space="preserve"> include</w:t>
      </w:r>
      <w:r w:rsidR="002D617D" w:rsidRPr="00113364">
        <w:rPr>
          <w:rFonts w:ascii="Arial" w:hAnsi="Arial" w:cs="Arial"/>
        </w:rPr>
        <w:t xml:space="preserve">s </w:t>
      </w:r>
      <w:proofErr w:type="gramStart"/>
      <w:r w:rsidR="002D617D" w:rsidRPr="00113364">
        <w:rPr>
          <w:rFonts w:ascii="Arial" w:hAnsi="Arial" w:cs="Arial"/>
        </w:rPr>
        <w:t>the MEP</w:t>
      </w:r>
      <w:proofErr w:type="gramEnd"/>
      <w:r w:rsidR="00504902" w:rsidRPr="00113364">
        <w:rPr>
          <w:rFonts w:ascii="Arial" w:hAnsi="Arial" w:cs="Arial"/>
        </w:rPr>
        <w:t xml:space="preserve"> partnering with parents to support early learning.</w:t>
      </w:r>
      <w:r w:rsidR="00512CDB" w:rsidRPr="00113364">
        <w:rPr>
          <w:rFonts w:ascii="Arial" w:hAnsi="Arial" w:cs="Arial"/>
        </w:rPr>
        <w:t xml:space="preserve"> </w:t>
      </w:r>
      <w:r w:rsidR="00D74379" w:rsidRPr="00113364">
        <w:rPr>
          <w:rFonts w:ascii="Arial" w:hAnsi="Arial" w:cs="Arial"/>
        </w:rPr>
        <w:t>Table</w:t>
      </w:r>
      <w:r w:rsidR="00F70095" w:rsidRPr="00113364">
        <w:rPr>
          <w:rFonts w:ascii="Arial" w:hAnsi="Arial" w:cs="Arial"/>
        </w:rPr>
        <w:t xml:space="preserve"> 3</w:t>
      </w:r>
      <w:r w:rsidR="00B350CD" w:rsidRPr="00113364">
        <w:rPr>
          <w:rFonts w:ascii="Arial" w:hAnsi="Arial" w:cs="Arial"/>
        </w:rPr>
        <w:t>5</w:t>
      </w:r>
      <w:r w:rsidR="00D74379" w:rsidRPr="00113364">
        <w:rPr>
          <w:rFonts w:ascii="Arial" w:hAnsi="Arial" w:cs="Arial"/>
        </w:rPr>
        <w:t xml:space="preserve"> identif</w:t>
      </w:r>
      <w:r w:rsidR="00127D90">
        <w:rPr>
          <w:rFonts w:ascii="Arial" w:hAnsi="Arial" w:cs="Arial"/>
        </w:rPr>
        <w:t>ies</w:t>
      </w:r>
      <w:r w:rsidR="00D74379" w:rsidRPr="00113364">
        <w:rPr>
          <w:rFonts w:ascii="Arial" w:hAnsi="Arial" w:cs="Arial"/>
        </w:rPr>
        <w:t xml:space="preserve"> the strateg</w:t>
      </w:r>
      <w:r w:rsidR="00504902" w:rsidRPr="00113364">
        <w:rPr>
          <w:rFonts w:ascii="Arial" w:hAnsi="Arial" w:cs="Arial"/>
        </w:rPr>
        <w:t>y</w:t>
      </w:r>
      <w:r w:rsidR="00D74379" w:rsidRPr="00113364">
        <w:rPr>
          <w:rFonts w:ascii="Arial" w:hAnsi="Arial" w:cs="Arial"/>
        </w:rPr>
        <w:t xml:space="preserve"> and aligning MPO </w:t>
      </w:r>
      <w:r w:rsidR="00504902" w:rsidRPr="00113364">
        <w:rPr>
          <w:rFonts w:ascii="Arial" w:hAnsi="Arial" w:cs="Arial"/>
        </w:rPr>
        <w:t>to build a partnership with parents to support early learning</w:t>
      </w:r>
      <w:r w:rsidR="00D74379" w:rsidRPr="00113364">
        <w:rPr>
          <w:rFonts w:ascii="Arial" w:hAnsi="Arial" w:cs="Arial"/>
        </w:rPr>
        <w:t>.</w:t>
      </w:r>
    </w:p>
    <w:p w14:paraId="79FA31A3" w14:textId="5F1D6DEB" w:rsidR="0054625A" w:rsidRPr="00113364" w:rsidRDefault="0054625A" w:rsidP="00D330A6">
      <w:pPr>
        <w:pStyle w:val="Heading4"/>
        <w:spacing w:after="0"/>
        <w:rPr>
          <w:sz w:val="24"/>
        </w:rPr>
      </w:pPr>
      <w:bookmarkStart w:id="99" w:name="_Toc204755371"/>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35</w:t>
      </w:r>
      <w:r w:rsidR="00C46CA6" w:rsidRPr="00113364">
        <w:rPr>
          <w:noProof/>
          <w:sz w:val="24"/>
        </w:rPr>
        <w:fldChar w:fldCharType="end"/>
      </w:r>
      <w:r w:rsidRPr="00113364">
        <w:rPr>
          <w:sz w:val="24"/>
        </w:rPr>
        <w:t xml:space="preserve">. </w:t>
      </w:r>
      <w:r w:rsidR="00514084" w:rsidRPr="00113364">
        <w:rPr>
          <w:sz w:val="24"/>
        </w:rPr>
        <w:t>Strateg</w:t>
      </w:r>
      <w:r w:rsidR="00504902" w:rsidRPr="00113364">
        <w:rPr>
          <w:sz w:val="24"/>
        </w:rPr>
        <w:t>y</w:t>
      </w:r>
      <w:r w:rsidR="00514084" w:rsidRPr="00113364">
        <w:rPr>
          <w:sz w:val="24"/>
        </w:rPr>
        <w:t xml:space="preserve"> and </w:t>
      </w:r>
      <w:r w:rsidR="00FA2566" w:rsidRPr="00113364">
        <w:rPr>
          <w:sz w:val="24"/>
        </w:rPr>
        <w:t>Measurable Program Objective</w:t>
      </w:r>
      <w:r w:rsidRPr="00113364">
        <w:rPr>
          <w:sz w:val="24"/>
        </w:rPr>
        <w:t xml:space="preserve"> for </w:t>
      </w:r>
      <w:r w:rsidR="00BF34D9" w:rsidRPr="00113364">
        <w:rPr>
          <w:sz w:val="24"/>
        </w:rPr>
        <w:t>Partnering with Parents to Support Early Learn</w:t>
      </w:r>
      <w:r w:rsidR="00504902" w:rsidRPr="00113364">
        <w:rPr>
          <w:sz w:val="24"/>
        </w:rPr>
        <w:t>ing</w:t>
      </w:r>
      <w:bookmarkEnd w:id="99"/>
    </w:p>
    <w:tbl>
      <w:tblPr>
        <w:tblStyle w:val="GridTable4-Accent1"/>
        <w:tblW w:w="9355" w:type="dxa"/>
        <w:tblLook w:val="0420" w:firstRow="1" w:lastRow="0" w:firstColumn="0" w:lastColumn="0" w:noHBand="0" w:noVBand="1"/>
        <w:tblDescription w:val="Strategies and Measurable Program Objectives for Increasing Social Emotional Maturity "/>
      </w:tblPr>
      <w:tblGrid>
        <w:gridCol w:w="4315"/>
        <w:gridCol w:w="5040"/>
      </w:tblGrid>
      <w:tr w:rsidR="007A0C1F" w:rsidRPr="00113364" w14:paraId="6AD495E9" w14:textId="77777777" w:rsidTr="00D330A6">
        <w:trPr>
          <w:cnfStyle w:val="100000000000" w:firstRow="1" w:lastRow="0" w:firstColumn="0" w:lastColumn="0" w:oddVBand="0" w:evenVBand="0" w:oddHBand="0" w:evenHBand="0" w:firstRowFirstColumn="0" w:firstRowLastColumn="0" w:lastRowFirstColumn="0" w:lastRowLastColumn="0"/>
          <w:cantSplit/>
          <w:tblHeader/>
        </w:trPr>
        <w:tc>
          <w:tcPr>
            <w:tcW w:w="4315" w:type="dxa"/>
            <w:tcBorders>
              <w:right w:val="single" w:sz="4" w:space="0" w:color="4472C4"/>
            </w:tcBorders>
            <w:shd w:val="clear" w:color="auto" w:fill="1F3864" w:themeFill="accent5" w:themeFillShade="80"/>
          </w:tcPr>
          <w:p w14:paraId="0E4F25AA" w14:textId="7FF82F0D" w:rsidR="007A0C1F" w:rsidRPr="00113364" w:rsidRDefault="007A0C1F" w:rsidP="007D443E">
            <w:pPr>
              <w:spacing w:after="120"/>
              <w:rPr>
                <w:rFonts w:ascii="Arial" w:hAnsi="Arial" w:cs="Arial"/>
                <w:color w:val="FFFFFF"/>
              </w:rPr>
            </w:pPr>
            <w:r w:rsidRPr="00113364">
              <w:rPr>
                <w:rFonts w:ascii="Arial" w:hAnsi="Arial" w:cs="Arial"/>
                <w:color w:val="FFFFFF"/>
              </w:rPr>
              <w:t>Strateg</w:t>
            </w:r>
            <w:r w:rsidR="00083BDB" w:rsidRPr="00113364">
              <w:rPr>
                <w:rFonts w:ascii="Arial" w:hAnsi="Arial" w:cs="Arial"/>
                <w:color w:val="FFFFFF"/>
              </w:rPr>
              <w:t>y</w:t>
            </w:r>
          </w:p>
        </w:tc>
        <w:tc>
          <w:tcPr>
            <w:tcW w:w="5040" w:type="dxa"/>
            <w:tcBorders>
              <w:left w:val="single" w:sz="4" w:space="0" w:color="4472C4"/>
            </w:tcBorders>
            <w:shd w:val="clear" w:color="auto" w:fill="1F3864" w:themeFill="accent5" w:themeFillShade="80"/>
          </w:tcPr>
          <w:p w14:paraId="0D64B085" w14:textId="7384A66A" w:rsidR="007A0C1F" w:rsidRPr="00113364" w:rsidRDefault="007A0C1F" w:rsidP="007D443E">
            <w:pPr>
              <w:spacing w:after="120"/>
              <w:rPr>
                <w:rFonts w:ascii="Arial" w:hAnsi="Arial" w:cs="Arial"/>
                <w:color w:val="FFFFFF"/>
              </w:rPr>
            </w:pPr>
            <w:r w:rsidRPr="00113364">
              <w:rPr>
                <w:rFonts w:ascii="Arial" w:hAnsi="Arial" w:cs="Arial"/>
                <w:color w:val="FFFFFF"/>
              </w:rPr>
              <w:t>Measurable Program Objective</w:t>
            </w:r>
          </w:p>
        </w:tc>
      </w:tr>
      <w:tr w:rsidR="00083BDB" w:rsidRPr="00113364" w14:paraId="4288E23A" w14:textId="77777777" w:rsidTr="00D330A6">
        <w:trPr>
          <w:cnfStyle w:val="000000100000" w:firstRow="0" w:lastRow="0" w:firstColumn="0" w:lastColumn="0" w:oddVBand="0" w:evenVBand="0" w:oddHBand="1" w:evenHBand="0" w:firstRowFirstColumn="0" w:firstRowLastColumn="0" w:lastRowFirstColumn="0" w:lastRowLastColumn="0"/>
          <w:cantSplit/>
          <w:trHeight w:val="251"/>
        </w:trPr>
        <w:tc>
          <w:tcPr>
            <w:tcW w:w="4315" w:type="dxa"/>
          </w:tcPr>
          <w:p w14:paraId="125C15CA" w14:textId="10DC8689" w:rsidR="00083BDB" w:rsidRPr="00113364" w:rsidRDefault="00083BDB" w:rsidP="00083BDB">
            <w:pPr>
              <w:spacing w:after="120"/>
              <w:rPr>
                <w:rFonts w:ascii="Arial" w:hAnsi="Arial" w:cs="Arial"/>
              </w:rPr>
            </w:pPr>
            <w:bookmarkStart w:id="100" w:name="_Hlk209517265"/>
            <w:r w:rsidRPr="00113364">
              <w:rPr>
                <w:rFonts w:ascii="Arial" w:hAnsi="Arial" w:cs="Arial"/>
                <w:b/>
              </w:rPr>
              <w:t xml:space="preserve">Strategy 8.0: </w:t>
            </w:r>
            <w:r w:rsidRPr="00113364">
              <w:rPr>
                <w:rFonts w:ascii="Arial" w:hAnsi="Arial" w:cs="Arial"/>
              </w:rPr>
              <w:t>Provide at least one parent workshop covering the following topics:</w:t>
            </w:r>
          </w:p>
          <w:p w14:paraId="71BCA518" w14:textId="0CD1F064" w:rsidR="00083BDB" w:rsidRPr="00113364" w:rsidRDefault="00083BDB" w:rsidP="00E46670">
            <w:pPr>
              <w:pStyle w:val="ListParagraph"/>
              <w:numPr>
                <w:ilvl w:val="0"/>
                <w:numId w:val="66"/>
              </w:numPr>
              <w:spacing w:after="120"/>
              <w:ind w:left="330"/>
              <w:contextualSpacing w:val="0"/>
              <w:rPr>
                <w:rFonts w:ascii="Arial" w:hAnsi="Arial" w:cs="Arial"/>
              </w:rPr>
            </w:pPr>
            <w:r w:rsidRPr="00113364">
              <w:rPr>
                <w:rFonts w:ascii="Arial" w:hAnsi="Arial" w:cs="Arial"/>
              </w:rPr>
              <w:t>The benefits of being bilingual and strategies to develop primary language skills</w:t>
            </w:r>
            <w:r w:rsidR="005E7501">
              <w:rPr>
                <w:rFonts w:ascii="Arial" w:hAnsi="Arial" w:cs="Arial"/>
              </w:rPr>
              <w:t>.</w:t>
            </w:r>
          </w:p>
          <w:p w14:paraId="6D168B31" w14:textId="6CFFF5D5" w:rsidR="00083BDB" w:rsidRPr="00113364" w:rsidRDefault="00083BDB" w:rsidP="00E46670">
            <w:pPr>
              <w:pStyle w:val="ListParagraph"/>
              <w:numPr>
                <w:ilvl w:val="0"/>
                <w:numId w:val="66"/>
              </w:numPr>
              <w:spacing w:after="120"/>
              <w:ind w:left="330"/>
              <w:contextualSpacing w:val="0"/>
              <w:rPr>
                <w:rFonts w:ascii="Arial" w:hAnsi="Arial" w:cs="Arial"/>
              </w:rPr>
            </w:pPr>
            <w:r w:rsidRPr="00113364">
              <w:rPr>
                <w:rFonts w:ascii="Arial" w:hAnsi="Arial" w:cs="Arial"/>
              </w:rPr>
              <w:t>Strategies that support early learning at home</w:t>
            </w:r>
            <w:r w:rsidR="005E7501">
              <w:rPr>
                <w:rFonts w:ascii="Arial" w:hAnsi="Arial" w:cs="Arial"/>
              </w:rPr>
              <w:t>.</w:t>
            </w:r>
          </w:p>
          <w:p w14:paraId="62555F93" w14:textId="3286CD7D" w:rsidR="00083BDB" w:rsidRPr="00113364" w:rsidRDefault="00083BDB" w:rsidP="00E46670">
            <w:pPr>
              <w:pStyle w:val="ListParagraph"/>
              <w:numPr>
                <w:ilvl w:val="0"/>
                <w:numId w:val="22"/>
              </w:numPr>
              <w:spacing w:after="120"/>
              <w:ind w:left="330"/>
              <w:rPr>
                <w:rFonts w:ascii="Arial" w:hAnsi="Arial" w:cs="Arial"/>
              </w:rPr>
            </w:pPr>
            <w:r w:rsidRPr="00113364">
              <w:rPr>
                <w:rFonts w:ascii="Arial" w:hAnsi="Arial" w:cs="Arial"/>
              </w:rPr>
              <w:t>Strategies to increase social and emotional learning at home</w:t>
            </w:r>
            <w:bookmarkEnd w:id="100"/>
            <w:r w:rsidR="005E7501">
              <w:rPr>
                <w:rFonts w:ascii="Arial" w:hAnsi="Arial" w:cs="Arial"/>
              </w:rPr>
              <w:t>.</w:t>
            </w:r>
          </w:p>
        </w:tc>
        <w:tc>
          <w:tcPr>
            <w:tcW w:w="5040" w:type="dxa"/>
          </w:tcPr>
          <w:p w14:paraId="08F68088" w14:textId="18DE2C3D" w:rsidR="00083BDB" w:rsidRPr="00113364" w:rsidRDefault="00083BDB" w:rsidP="00E46670">
            <w:pPr>
              <w:spacing w:after="120"/>
              <w:rPr>
                <w:rFonts w:ascii="Arial" w:hAnsi="Arial" w:cs="Arial"/>
              </w:rPr>
            </w:pPr>
            <w:r w:rsidRPr="00113364">
              <w:rPr>
                <w:rFonts w:ascii="Arial" w:hAnsi="Arial" w:cs="Arial"/>
                <w:b/>
                <w:bCs/>
              </w:rPr>
              <w:t>Measurable Program Objective 8.0:</w:t>
            </w:r>
            <w:r w:rsidRPr="00113364">
              <w:rPr>
                <w:rFonts w:ascii="Arial" w:hAnsi="Arial" w:cs="Arial"/>
              </w:rPr>
              <w:t xml:space="preserve"> Each year, MEP subgrantees provide at least one workshop for parents on:</w:t>
            </w:r>
          </w:p>
          <w:p w14:paraId="73AD93AE" w14:textId="26F936C3" w:rsidR="00083BDB" w:rsidRPr="00113364" w:rsidRDefault="00083BDB">
            <w:pPr>
              <w:pStyle w:val="ListParagraph"/>
              <w:numPr>
                <w:ilvl w:val="0"/>
                <w:numId w:val="66"/>
              </w:numPr>
              <w:spacing w:after="120"/>
              <w:ind w:left="330"/>
              <w:contextualSpacing w:val="0"/>
              <w:rPr>
                <w:rFonts w:ascii="Arial" w:hAnsi="Arial" w:cs="Arial"/>
              </w:rPr>
            </w:pPr>
            <w:r w:rsidRPr="00113364">
              <w:rPr>
                <w:rFonts w:ascii="Arial" w:hAnsi="Arial" w:cs="Arial"/>
              </w:rPr>
              <w:t>The benefits of being bilingual and strategies to develop primary language skills</w:t>
            </w:r>
            <w:r w:rsidR="00B854DC">
              <w:rPr>
                <w:rFonts w:ascii="Arial" w:hAnsi="Arial" w:cs="Arial"/>
              </w:rPr>
              <w:t>.</w:t>
            </w:r>
          </w:p>
          <w:p w14:paraId="456B502C" w14:textId="77777777" w:rsidR="00F70095" w:rsidRPr="00113364" w:rsidRDefault="00083BDB">
            <w:pPr>
              <w:pStyle w:val="ListParagraph"/>
              <w:numPr>
                <w:ilvl w:val="0"/>
                <w:numId w:val="66"/>
              </w:numPr>
              <w:spacing w:after="120"/>
              <w:ind w:left="330"/>
              <w:contextualSpacing w:val="0"/>
              <w:rPr>
                <w:rFonts w:ascii="Arial" w:hAnsi="Arial" w:cs="Arial"/>
              </w:rPr>
            </w:pPr>
            <w:r w:rsidRPr="00113364">
              <w:rPr>
                <w:rFonts w:ascii="Arial" w:hAnsi="Arial" w:cs="Arial"/>
              </w:rPr>
              <w:t>Strategies that support early learning at home.</w:t>
            </w:r>
          </w:p>
          <w:p w14:paraId="00406C56" w14:textId="41B68BE4" w:rsidR="00083BDB" w:rsidRPr="00113364" w:rsidRDefault="00083BDB">
            <w:pPr>
              <w:pStyle w:val="ListParagraph"/>
              <w:numPr>
                <w:ilvl w:val="0"/>
                <w:numId w:val="66"/>
              </w:numPr>
              <w:spacing w:after="120"/>
              <w:ind w:left="330"/>
              <w:contextualSpacing w:val="0"/>
              <w:rPr>
                <w:rFonts w:ascii="Arial" w:hAnsi="Arial" w:cs="Arial"/>
              </w:rPr>
            </w:pPr>
            <w:r w:rsidRPr="00113364">
              <w:rPr>
                <w:rFonts w:ascii="Arial" w:hAnsi="Arial" w:cs="Arial"/>
              </w:rPr>
              <w:t>Strategies to increase social and emotional learning at home</w:t>
            </w:r>
            <w:r w:rsidR="00B854DC">
              <w:rPr>
                <w:rFonts w:ascii="Arial" w:hAnsi="Arial" w:cs="Arial"/>
              </w:rPr>
              <w:t>.</w:t>
            </w:r>
          </w:p>
        </w:tc>
      </w:tr>
    </w:tbl>
    <w:p w14:paraId="61FA8B68" w14:textId="3270B9A2" w:rsidR="002A4978" w:rsidRPr="00113364" w:rsidRDefault="00512CDB" w:rsidP="00D0399E">
      <w:pPr>
        <w:spacing w:before="240"/>
        <w:rPr>
          <w:rFonts w:ascii="Arial" w:hAnsi="Arial" w:cs="Arial"/>
        </w:rPr>
      </w:pPr>
      <w:r w:rsidRPr="00113364">
        <w:rPr>
          <w:rFonts w:ascii="Arial" w:hAnsi="Arial" w:cs="Arial"/>
        </w:rPr>
        <w:t>Although there are multiple strategies for the School Readiness focus area, the</w:t>
      </w:r>
      <w:r w:rsidR="00817CF0" w:rsidRPr="00113364">
        <w:rPr>
          <w:rFonts w:ascii="Arial" w:hAnsi="Arial" w:cs="Arial"/>
        </w:rPr>
        <w:t xml:space="preserve"> performance target </w:t>
      </w:r>
      <w:r w:rsidR="002D617D" w:rsidRPr="00113364">
        <w:rPr>
          <w:rFonts w:ascii="Arial" w:hAnsi="Arial" w:cs="Arial"/>
        </w:rPr>
        <w:t>focuses on</w:t>
      </w:r>
      <w:r w:rsidRPr="00113364">
        <w:rPr>
          <w:rFonts w:ascii="Arial" w:hAnsi="Arial" w:cs="Arial"/>
        </w:rPr>
        <w:t xml:space="preserve"> student participation</w:t>
      </w:r>
      <w:r w:rsidR="002D617D" w:rsidRPr="00113364">
        <w:rPr>
          <w:rFonts w:ascii="Arial" w:hAnsi="Arial" w:cs="Arial"/>
        </w:rPr>
        <w:t xml:space="preserve"> and is the same as the previous performance target:</w:t>
      </w:r>
      <w:r w:rsidRPr="00113364">
        <w:rPr>
          <w:rFonts w:ascii="Arial" w:hAnsi="Arial" w:cs="Arial"/>
        </w:rPr>
        <w:t xml:space="preserve"> </w:t>
      </w:r>
      <w:r w:rsidR="00823993" w:rsidRPr="00113364">
        <w:rPr>
          <w:rFonts w:ascii="Arial" w:hAnsi="Arial" w:cs="Arial"/>
        </w:rPr>
        <w:t>By September 2032, 40 percent of migratory children (</w:t>
      </w:r>
      <w:r w:rsidR="00D0628C" w:rsidRPr="00113364">
        <w:rPr>
          <w:rFonts w:ascii="Arial" w:hAnsi="Arial" w:cs="Arial"/>
        </w:rPr>
        <w:t>Pre</w:t>
      </w:r>
      <w:r w:rsidR="00823993" w:rsidRPr="00113364">
        <w:rPr>
          <w:rFonts w:ascii="Arial" w:hAnsi="Arial" w:cs="Arial"/>
        </w:rPr>
        <w:t>K and TK) will complete 15+ hours of a dual language program focused on building early learning knowledge and skills.</w:t>
      </w:r>
    </w:p>
    <w:p w14:paraId="6CA0A95F" w14:textId="03F2CFDE" w:rsidR="00504902" w:rsidRPr="00113364" w:rsidRDefault="00504902" w:rsidP="00767B67">
      <w:pPr>
        <w:spacing w:before="240" w:after="240"/>
        <w:rPr>
          <w:rFonts w:ascii="Arial" w:hAnsi="Arial" w:cs="Arial"/>
        </w:rPr>
      </w:pPr>
      <w:r w:rsidRPr="00113364">
        <w:rPr>
          <w:rFonts w:ascii="Arial" w:hAnsi="Arial" w:cs="Arial"/>
        </w:rPr>
        <w:t>Clearly identifying a need for school readiness services, the data also prompted the subcommittee to recognize the importance of developing partnerships with parents to reinforce early learning skills learned at school when they are interacting with their children at home.</w:t>
      </w:r>
      <w:r w:rsidR="00613461" w:rsidRPr="00113364">
        <w:rPr>
          <w:rFonts w:ascii="Arial" w:hAnsi="Arial" w:cs="Arial"/>
        </w:rPr>
        <w:t xml:space="preserve"> In addition to offering workshops in </w:t>
      </w:r>
      <w:r w:rsidR="00E7492F" w:rsidRPr="00113364">
        <w:rPr>
          <w:rFonts w:ascii="Arial" w:hAnsi="Arial" w:cs="Arial"/>
        </w:rPr>
        <w:t>mathematics</w:t>
      </w:r>
      <w:r w:rsidR="00613461" w:rsidRPr="00113364">
        <w:rPr>
          <w:rFonts w:ascii="Arial" w:hAnsi="Arial" w:cs="Arial"/>
        </w:rPr>
        <w:t xml:space="preserve"> and SEL, parents</w:t>
      </w:r>
      <w:r w:rsidR="00EA137B" w:rsidRPr="00113364">
        <w:rPr>
          <w:rFonts w:ascii="Arial" w:hAnsi="Arial" w:cs="Arial"/>
        </w:rPr>
        <w:t xml:space="preserve"> can</w:t>
      </w:r>
      <w:r w:rsidR="00613461" w:rsidRPr="00113364">
        <w:rPr>
          <w:rFonts w:ascii="Arial" w:hAnsi="Arial" w:cs="Arial"/>
        </w:rPr>
        <w:t xml:space="preserve"> attend workshops on strategies to support early learning. This is just one more opportunity to connect with and support parents </w:t>
      </w:r>
      <w:r w:rsidR="00B80D66" w:rsidRPr="00113364">
        <w:rPr>
          <w:rFonts w:ascii="Arial" w:hAnsi="Arial" w:cs="Arial"/>
        </w:rPr>
        <w:t>extending</w:t>
      </w:r>
      <w:r w:rsidR="00613461" w:rsidRPr="00113364">
        <w:rPr>
          <w:rFonts w:ascii="Arial" w:hAnsi="Arial" w:cs="Arial"/>
        </w:rPr>
        <w:t xml:space="preserve"> </w:t>
      </w:r>
      <w:r w:rsidR="00B80D66" w:rsidRPr="00113364">
        <w:rPr>
          <w:rFonts w:ascii="Arial" w:hAnsi="Arial" w:cs="Arial"/>
        </w:rPr>
        <w:t>a</w:t>
      </w:r>
      <w:r w:rsidR="00613461" w:rsidRPr="00113364">
        <w:rPr>
          <w:rFonts w:ascii="Arial" w:hAnsi="Arial" w:cs="Arial"/>
        </w:rPr>
        <w:t xml:space="preserve"> positive relationship with the MEP.</w:t>
      </w:r>
      <w:r w:rsidR="00B80D66" w:rsidRPr="00113364">
        <w:rPr>
          <w:rFonts w:ascii="Arial" w:hAnsi="Arial" w:cs="Arial"/>
        </w:rPr>
        <w:t xml:space="preserve"> Connection and relationship building is even more of a key component of a successful MEP because of student mobility. Connecting with O</w:t>
      </w:r>
      <w:r w:rsidR="00FF2AE7">
        <w:rPr>
          <w:rFonts w:ascii="Arial" w:hAnsi="Arial" w:cs="Arial"/>
        </w:rPr>
        <w:t>SY</w:t>
      </w:r>
      <w:r w:rsidR="00B80D66" w:rsidRPr="00113364">
        <w:rPr>
          <w:rFonts w:ascii="Arial" w:hAnsi="Arial" w:cs="Arial"/>
        </w:rPr>
        <w:t xml:space="preserve"> is one of the most difficult aspects of the program because they are exceptionally mobile. </w:t>
      </w:r>
    </w:p>
    <w:p w14:paraId="2FA47698" w14:textId="1A5FA2F0" w:rsidR="00BA5C6E" w:rsidRPr="00113364" w:rsidRDefault="00BA5C6E" w:rsidP="003F0CBE">
      <w:pPr>
        <w:pStyle w:val="Heading3"/>
      </w:pPr>
      <w:bookmarkStart w:id="101" w:name="_Toc203568855"/>
      <w:r w:rsidRPr="00113364">
        <w:t>Out-of-School Youth</w:t>
      </w:r>
      <w:bookmarkEnd w:id="101"/>
    </w:p>
    <w:p w14:paraId="53665FA9" w14:textId="151D3218" w:rsidR="00E571D6" w:rsidRPr="00113364" w:rsidRDefault="00A11DA3" w:rsidP="007874C6">
      <w:pPr>
        <w:rPr>
          <w:rFonts w:ascii="Arial" w:hAnsi="Arial" w:cs="Arial"/>
        </w:rPr>
      </w:pPr>
      <w:r w:rsidRPr="00113364">
        <w:rPr>
          <w:rFonts w:ascii="Arial" w:hAnsi="Arial" w:cs="Arial"/>
        </w:rPr>
        <w:t>O</w:t>
      </w:r>
      <w:r w:rsidR="00FF2AE7">
        <w:rPr>
          <w:rFonts w:ascii="Arial" w:hAnsi="Arial" w:cs="Arial"/>
        </w:rPr>
        <w:t>SY</w:t>
      </w:r>
      <w:r w:rsidRPr="00113364">
        <w:rPr>
          <w:rFonts w:ascii="Arial" w:hAnsi="Arial" w:cs="Arial"/>
        </w:rPr>
        <w:t xml:space="preserve"> are migratory youth, typically between the ages of </w:t>
      </w:r>
      <w:r w:rsidR="002D617D" w:rsidRPr="00113364">
        <w:rPr>
          <w:rFonts w:ascii="Arial" w:hAnsi="Arial" w:cs="Arial"/>
        </w:rPr>
        <w:t>sixteen</w:t>
      </w:r>
      <w:r w:rsidRPr="00113364">
        <w:rPr>
          <w:rFonts w:ascii="Arial" w:hAnsi="Arial" w:cs="Arial"/>
        </w:rPr>
        <w:t xml:space="preserve"> through </w:t>
      </w:r>
      <w:r w:rsidR="002D617D" w:rsidRPr="00113364">
        <w:rPr>
          <w:rFonts w:ascii="Arial" w:hAnsi="Arial" w:cs="Arial"/>
        </w:rPr>
        <w:t>twenty-one</w:t>
      </w:r>
      <w:r w:rsidRPr="00113364">
        <w:rPr>
          <w:rFonts w:ascii="Arial" w:hAnsi="Arial" w:cs="Arial"/>
        </w:rPr>
        <w:t>, who meet the definition of migratory child, but are not enrolled in school</w:t>
      </w:r>
      <w:r w:rsidR="00E571D6" w:rsidRPr="00113364">
        <w:rPr>
          <w:rFonts w:ascii="Arial" w:hAnsi="Arial" w:cs="Arial"/>
        </w:rPr>
        <w:t>.</w:t>
      </w:r>
      <w:r w:rsidRPr="00113364">
        <w:rPr>
          <w:rFonts w:ascii="Arial" w:hAnsi="Arial" w:cs="Arial"/>
        </w:rPr>
        <w:t xml:space="preserve"> </w:t>
      </w:r>
      <w:r w:rsidR="00A45A66" w:rsidRPr="00113364">
        <w:rPr>
          <w:rFonts w:ascii="Arial" w:hAnsi="Arial" w:cs="Arial"/>
        </w:rPr>
        <w:t>C</w:t>
      </w:r>
      <w:r w:rsidR="00E571D6" w:rsidRPr="00113364">
        <w:rPr>
          <w:rFonts w:ascii="Arial" w:hAnsi="Arial" w:cs="Arial"/>
        </w:rPr>
        <w:t xml:space="preserve">onsidered </w:t>
      </w:r>
      <w:r w:rsidR="00A45A66" w:rsidRPr="00113364">
        <w:rPr>
          <w:rFonts w:ascii="Arial" w:hAnsi="Arial" w:cs="Arial"/>
        </w:rPr>
        <w:t>a population of special concern,</w:t>
      </w:r>
      <w:r w:rsidRPr="00113364">
        <w:rPr>
          <w:rFonts w:ascii="Arial" w:hAnsi="Arial" w:cs="Arial"/>
        </w:rPr>
        <w:t xml:space="preserve"> </w:t>
      </w:r>
      <w:r w:rsidR="00A45A66" w:rsidRPr="00113364">
        <w:rPr>
          <w:rFonts w:ascii="Arial" w:hAnsi="Arial" w:cs="Arial"/>
        </w:rPr>
        <w:t xml:space="preserve">OME notes in the </w:t>
      </w:r>
      <w:r w:rsidR="00A45A66" w:rsidRPr="00113364">
        <w:rPr>
          <w:rFonts w:ascii="Arial" w:hAnsi="Arial" w:cs="Arial"/>
          <w:i/>
        </w:rPr>
        <w:t>Toolkit</w:t>
      </w:r>
      <w:r w:rsidR="00A45A66" w:rsidRPr="00113364">
        <w:rPr>
          <w:rFonts w:ascii="Arial" w:hAnsi="Arial" w:cs="Arial"/>
        </w:rPr>
        <w:t xml:space="preserve"> that the OSY subpopulation is </w:t>
      </w:r>
      <w:r w:rsidR="00A45A66" w:rsidRPr="00113364">
        <w:rPr>
          <w:rFonts w:ascii="Arial" w:hAnsi="Arial" w:cs="Arial"/>
        </w:rPr>
        <w:lastRenderedPageBreak/>
        <w:t>the least likely to graduate from high school. California subgrante</w:t>
      </w:r>
      <w:r w:rsidR="00BA0181" w:rsidRPr="00113364">
        <w:rPr>
          <w:rFonts w:ascii="Arial" w:hAnsi="Arial" w:cs="Arial"/>
        </w:rPr>
        <w:t>es continue to offer</w:t>
      </w:r>
      <w:r w:rsidR="00A45A66" w:rsidRPr="00113364">
        <w:rPr>
          <w:rFonts w:ascii="Arial" w:hAnsi="Arial" w:cs="Arial"/>
        </w:rPr>
        <w:t xml:space="preserve"> services </w:t>
      </w:r>
      <w:r w:rsidR="00BA0181" w:rsidRPr="00113364">
        <w:rPr>
          <w:rFonts w:ascii="Arial" w:hAnsi="Arial" w:cs="Arial"/>
        </w:rPr>
        <w:t>that support OSY in obtaining their GED or high school diploma.</w:t>
      </w:r>
    </w:p>
    <w:p w14:paraId="1970CA50" w14:textId="4D058B04" w:rsidR="00465587" w:rsidRPr="00113364" w:rsidRDefault="003C731C" w:rsidP="005A4784">
      <w:pPr>
        <w:spacing w:before="240"/>
        <w:rPr>
          <w:rFonts w:ascii="Arial" w:hAnsi="Arial" w:cs="Arial"/>
        </w:rPr>
      </w:pPr>
      <w:r w:rsidRPr="00113364">
        <w:rPr>
          <w:rFonts w:ascii="Arial" w:hAnsi="Arial" w:cs="Arial"/>
        </w:rPr>
        <w:t xml:space="preserve">In addition to the strategies listed below, California’s compulsory education law requires </w:t>
      </w:r>
      <w:r w:rsidR="00F9508F" w:rsidRPr="00113364">
        <w:rPr>
          <w:rFonts w:ascii="Arial" w:hAnsi="Arial" w:cs="Arial"/>
        </w:rPr>
        <w:t>children</w:t>
      </w:r>
      <w:r w:rsidRPr="00113364">
        <w:rPr>
          <w:rFonts w:ascii="Arial" w:hAnsi="Arial" w:cs="Arial"/>
        </w:rPr>
        <w:t xml:space="preserve"> between the ages of six and </w:t>
      </w:r>
      <w:r w:rsidR="002D617D" w:rsidRPr="00113364">
        <w:rPr>
          <w:rFonts w:ascii="Arial" w:hAnsi="Arial" w:cs="Arial"/>
        </w:rPr>
        <w:t>eighteen</w:t>
      </w:r>
      <w:r w:rsidRPr="00113364">
        <w:rPr>
          <w:rFonts w:ascii="Arial" w:hAnsi="Arial" w:cs="Arial"/>
        </w:rPr>
        <w:t xml:space="preserve"> to attend school. The only exception to this law </w:t>
      </w:r>
      <w:r w:rsidR="00EB3164" w:rsidRPr="00113364">
        <w:rPr>
          <w:rFonts w:ascii="Arial" w:hAnsi="Arial" w:cs="Arial"/>
        </w:rPr>
        <w:t>is</w:t>
      </w:r>
      <w:r w:rsidRPr="00113364">
        <w:rPr>
          <w:rFonts w:ascii="Arial" w:hAnsi="Arial" w:cs="Arial"/>
        </w:rPr>
        <w:t xml:space="preserve"> </w:t>
      </w:r>
      <w:r w:rsidR="002D617D" w:rsidRPr="00113364">
        <w:rPr>
          <w:rFonts w:ascii="Arial" w:hAnsi="Arial" w:cs="Arial"/>
        </w:rPr>
        <w:t>sixteen- and seventeen-year-olds</w:t>
      </w:r>
      <w:r w:rsidRPr="00113364">
        <w:rPr>
          <w:rFonts w:ascii="Arial" w:hAnsi="Arial" w:cs="Arial"/>
        </w:rPr>
        <w:t xml:space="preserve"> who have graduated from high school and have obtained parental permission to leave. </w:t>
      </w:r>
      <w:r w:rsidR="00EB3164" w:rsidRPr="00113364">
        <w:rPr>
          <w:rFonts w:ascii="Arial" w:hAnsi="Arial" w:cs="Arial"/>
          <w:color w:val="000000"/>
        </w:rPr>
        <w:t>OSY,</w:t>
      </w:r>
      <w:r w:rsidRPr="00113364">
        <w:rPr>
          <w:rFonts w:ascii="Arial" w:hAnsi="Arial" w:cs="Arial"/>
          <w:color w:val="000000"/>
        </w:rPr>
        <w:t xml:space="preserve"> </w:t>
      </w:r>
      <w:proofErr w:type="gramStart"/>
      <w:r w:rsidRPr="00113364">
        <w:rPr>
          <w:rFonts w:ascii="Arial" w:hAnsi="Arial" w:cs="Arial"/>
          <w:color w:val="000000"/>
        </w:rPr>
        <w:t>who</w:t>
      </w:r>
      <w:proofErr w:type="gramEnd"/>
      <w:r w:rsidRPr="00113364">
        <w:rPr>
          <w:rFonts w:ascii="Arial" w:hAnsi="Arial" w:cs="Arial"/>
          <w:color w:val="000000"/>
        </w:rPr>
        <w:t xml:space="preserve"> are under the age of </w:t>
      </w:r>
      <w:r w:rsidR="002D617D" w:rsidRPr="00113364">
        <w:rPr>
          <w:rFonts w:ascii="Arial" w:hAnsi="Arial" w:cs="Arial"/>
          <w:color w:val="000000"/>
        </w:rPr>
        <w:t>eighteen</w:t>
      </w:r>
      <w:r w:rsidR="00EB3164" w:rsidRPr="00113364">
        <w:rPr>
          <w:rFonts w:ascii="Arial" w:hAnsi="Arial" w:cs="Arial"/>
          <w:color w:val="000000"/>
        </w:rPr>
        <w:t>,</w:t>
      </w:r>
      <w:r w:rsidRPr="00113364">
        <w:rPr>
          <w:rFonts w:ascii="Arial" w:hAnsi="Arial" w:cs="Arial"/>
          <w:color w:val="000000"/>
        </w:rPr>
        <w:t xml:space="preserve"> should be enrolled in school</w:t>
      </w:r>
      <w:r w:rsidR="00F9508F" w:rsidRPr="00113364">
        <w:rPr>
          <w:rFonts w:ascii="Arial" w:hAnsi="Arial" w:cs="Arial"/>
          <w:color w:val="000000"/>
        </w:rPr>
        <w:t xml:space="preserve"> unless exempt.</w:t>
      </w:r>
      <w:r w:rsidR="00F9508F" w:rsidRPr="00113364">
        <w:rPr>
          <w:rStyle w:val="FootnoteReference"/>
          <w:rFonts w:ascii="Arial" w:hAnsi="Arial" w:cs="Arial"/>
          <w:color w:val="000000"/>
        </w:rPr>
        <w:footnoteReference w:id="21"/>
      </w:r>
      <w:r w:rsidR="007874C6" w:rsidRPr="00113364">
        <w:rPr>
          <w:rFonts w:ascii="Arial" w:hAnsi="Arial" w:cs="Arial"/>
          <w:color w:val="000000"/>
        </w:rPr>
        <w:t xml:space="preserve"> </w:t>
      </w:r>
      <w:r w:rsidR="007874C6" w:rsidRPr="00113364">
        <w:rPr>
          <w:rFonts w:ascii="Arial" w:hAnsi="Arial" w:cs="Arial"/>
        </w:rPr>
        <w:t xml:space="preserve">If the </w:t>
      </w:r>
      <w:r w:rsidR="00DE5AD3" w:rsidRPr="00113364">
        <w:rPr>
          <w:rFonts w:ascii="Arial" w:hAnsi="Arial" w:cs="Arial"/>
        </w:rPr>
        <w:t xml:space="preserve">student graduated from a high school in another country, the </w:t>
      </w:r>
      <w:r w:rsidR="007874C6" w:rsidRPr="00113364">
        <w:rPr>
          <w:rFonts w:ascii="Arial" w:hAnsi="Arial" w:cs="Arial"/>
        </w:rPr>
        <w:t xml:space="preserve">school district </w:t>
      </w:r>
      <w:r w:rsidR="00DE5AD3" w:rsidRPr="00113364">
        <w:rPr>
          <w:rFonts w:ascii="Arial" w:hAnsi="Arial" w:cs="Arial"/>
        </w:rPr>
        <w:t xml:space="preserve">where the student resides </w:t>
      </w:r>
      <w:r w:rsidR="007874C6" w:rsidRPr="00113364">
        <w:rPr>
          <w:rFonts w:ascii="Arial" w:hAnsi="Arial" w:cs="Arial"/>
        </w:rPr>
        <w:t xml:space="preserve">considers </w:t>
      </w:r>
      <w:r w:rsidR="00DE5AD3" w:rsidRPr="00113364">
        <w:rPr>
          <w:rFonts w:ascii="Arial" w:hAnsi="Arial" w:cs="Arial"/>
        </w:rPr>
        <w:t xml:space="preserve">whether </w:t>
      </w:r>
      <w:r w:rsidR="007874C6" w:rsidRPr="00113364">
        <w:rPr>
          <w:rFonts w:ascii="Arial" w:hAnsi="Arial" w:cs="Arial"/>
        </w:rPr>
        <w:t>the student graduated from a program that is compara</w:t>
      </w:r>
      <w:r w:rsidR="00DE5AD3" w:rsidRPr="00113364">
        <w:rPr>
          <w:rFonts w:ascii="Arial" w:hAnsi="Arial" w:cs="Arial"/>
        </w:rPr>
        <w:t>ble to a California high school. If so,</w:t>
      </w:r>
      <w:r w:rsidR="007874C6" w:rsidRPr="00113364">
        <w:rPr>
          <w:rFonts w:ascii="Arial" w:hAnsi="Arial" w:cs="Arial"/>
        </w:rPr>
        <w:t xml:space="preserve"> then the student is exempt from California’s compulsory education.</w:t>
      </w:r>
    </w:p>
    <w:p w14:paraId="170E1277" w14:textId="74F2471C" w:rsidR="007A0C1F" w:rsidRPr="00113364" w:rsidRDefault="007A0C1F" w:rsidP="00694080">
      <w:pPr>
        <w:spacing w:before="240" w:after="240"/>
        <w:rPr>
          <w:rFonts w:ascii="Arial" w:hAnsi="Arial" w:cs="Arial"/>
        </w:rPr>
      </w:pPr>
      <w:r w:rsidRPr="00113364">
        <w:rPr>
          <w:rFonts w:ascii="Arial" w:hAnsi="Arial" w:cs="Arial"/>
        </w:rPr>
        <w:t>Two goal areas</w:t>
      </w:r>
      <w:r w:rsidR="00C30893">
        <w:rPr>
          <w:rFonts w:ascii="Arial" w:hAnsi="Arial" w:cs="Arial"/>
        </w:rPr>
        <w:t xml:space="preserve"> of</w:t>
      </w:r>
      <w:r w:rsidRPr="00113364">
        <w:rPr>
          <w:rFonts w:ascii="Arial" w:hAnsi="Arial" w:cs="Arial"/>
        </w:rPr>
        <w:t xml:space="preserve"> </w:t>
      </w:r>
      <w:r w:rsidR="00F70095" w:rsidRPr="00113364">
        <w:rPr>
          <w:rFonts w:ascii="Arial" w:hAnsi="Arial" w:cs="Arial"/>
        </w:rPr>
        <w:t>CTE</w:t>
      </w:r>
      <w:r w:rsidRPr="00113364">
        <w:rPr>
          <w:rFonts w:ascii="Arial" w:hAnsi="Arial" w:cs="Arial"/>
        </w:rPr>
        <w:t xml:space="preserve"> and literacy services were prioritized by </w:t>
      </w:r>
      <w:r w:rsidR="00EF59DB" w:rsidRPr="00113364">
        <w:rPr>
          <w:rFonts w:ascii="Arial" w:hAnsi="Arial" w:cs="Arial"/>
        </w:rPr>
        <w:t>the subcommittee</w:t>
      </w:r>
      <w:r w:rsidR="00F70095" w:rsidRPr="00113364">
        <w:rPr>
          <w:rFonts w:ascii="Arial" w:hAnsi="Arial" w:cs="Arial"/>
        </w:rPr>
        <w:t xml:space="preserve"> and the CDE Data and Management Team</w:t>
      </w:r>
      <w:r w:rsidRPr="00113364">
        <w:rPr>
          <w:rFonts w:ascii="Arial" w:hAnsi="Arial" w:cs="Arial"/>
        </w:rPr>
        <w:t xml:space="preserve">. </w:t>
      </w:r>
      <w:r w:rsidR="008A5ED6" w:rsidRPr="00113364">
        <w:rPr>
          <w:rFonts w:ascii="Arial" w:hAnsi="Arial" w:cs="Arial"/>
        </w:rPr>
        <w:t xml:space="preserve">While there isn’t any migrant-specific data collected on CTE outcomes, OSY who responded to the survey at the start of the CNA and SDP development indicated that access to CTE information was a top need; therefore, the CDE Data and Management Team prioritized that </w:t>
      </w:r>
      <w:r w:rsidR="00F3728E" w:rsidRPr="00113364">
        <w:rPr>
          <w:rFonts w:ascii="Arial" w:hAnsi="Arial" w:cs="Arial"/>
        </w:rPr>
        <w:t xml:space="preserve">item. </w:t>
      </w:r>
      <w:r w:rsidR="00EF59DB" w:rsidRPr="00113364">
        <w:rPr>
          <w:rFonts w:ascii="Arial" w:hAnsi="Arial" w:cs="Arial"/>
        </w:rPr>
        <w:t xml:space="preserve">Subcommittee members </w:t>
      </w:r>
      <w:r w:rsidRPr="00113364">
        <w:rPr>
          <w:rFonts w:ascii="Arial" w:hAnsi="Arial" w:cs="Arial"/>
        </w:rPr>
        <w:t xml:space="preserve">spoke at length about barriers to OSY </w:t>
      </w:r>
      <w:r w:rsidR="00F70095" w:rsidRPr="00113364">
        <w:rPr>
          <w:rFonts w:ascii="Arial" w:hAnsi="Arial" w:cs="Arial"/>
        </w:rPr>
        <w:t>accessing instructional services</w:t>
      </w:r>
      <w:r w:rsidRPr="00113364">
        <w:rPr>
          <w:rFonts w:ascii="Arial" w:hAnsi="Arial" w:cs="Arial"/>
        </w:rPr>
        <w:t xml:space="preserve"> and reaching the OSY population</w:t>
      </w:r>
      <w:r w:rsidR="00F3728E" w:rsidRPr="00113364">
        <w:rPr>
          <w:rFonts w:ascii="Arial" w:hAnsi="Arial" w:cs="Arial"/>
        </w:rPr>
        <w:t xml:space="preserve"> due to increased mobility and changing contact information</w:t>
      </w:r>
      <w:r w:rsidRPr="00113364">
        <w:rPr>
          <w:rFonts w:ascii="Arial" w:hAnsi="Arial" w:cs="Arial"/>
        </w:rPr>
        <w:t>:</w:t>
      </w:r>
    </w:p>
    <w:p w14:paraId="292978E4" w14:textId="77777777" w:rsidR="00F70095" w:rsidRPr="00113364" w:rsidRDefault="00F70095">
      <w:pPr>
        <w:pStyle w:val="ListParagraph"/>
        <w:numPr>
          <w:ilvl w:val="0"/>
          <w:numId w:val="54"/>
        </w:numPr>
        <w:spacing w:after="240"/>
        <w:contextualSpacing w:val="0"/>
        <w:rPr>
          <w:rFonts w:ascii="Arial" w:hAnsi="Arial" w:cs="Arial"/>
        </w:rPr>
      </w:pPr>
      <w:r w:rsidRPr="00113364">
        <w:rPr>
          <w:rFonts w:ascii="Arial" w:hAnsi="Arial" w:cs="Arial"/>
        </w:rPr>
        <w:t xml:space="preserve">There is a consistent gap in the number of students who indicate an interest in instructional services and those who receive services. </w:t>
      </w:r>
    </w:p>
    <w:p w14:paraId="370F9ADF" w14:textId="0996051D" w:rsidR="00F70095" w:rsidRPr="00113364" w:rsidRDefault="00F70095" w:rsidP="00F70095">
      <w:pPr>
        <w:spacing w:after="240"/>
        <w:rPr>
          <w:rFonts w:ascii="Arial" w:hAnsi="Arial" w:cs="Arial"/>
        </w:rPr>
      </w:pPr>
      <w:r w:rsidRPr="00113364">
        <w:rPr>
          <w:rFonts w:ascii="Arial" w:hAnsi="Arial" w:cs="Arial"/>
        </w:rPr>
        <w:t>In 2022–23, data from completed OSY INAs was compared to services received by OSY</w:t>
      </w:r>
      <w:r w:rsidR="00B20B59" w:rsidRPr="00113364">
        <w:rPr>
          <w:rStyle w:val="FootnoteReference"/>
          <w:rFonts w:ascii="Arial" w:hAnsi="Arial" w:cs="Arial"/>
        </w:rPr>
        <w:footnoteReference w:id="22"/>
      </w:r>
      <w:r w:rsidRPr="00113364">
        <w:rPr>
          <w:rFonts w:ascii="Arial" w:hAnsi="Arial" w:cs="Arial"/>
        </w:rPr>
        <w:t>:</w:t>
      </w:r>
    </w:p>
    <w:p w14:paraId="6CB520E5" w14:textId="77777777" w:rsidR="00F70095" w:rsidRPr="00113364" w:rsidRDefault="00F70095">
      <w:pPr>
        <w:pStyle w:val="ListParagraph"/>
        <w:numPr>
          <w:ilvl w:val="0"/>
          <w:numId w:val="54"/>
        </w:numPr>
        <w:spacing w:after="240"/>
        <w:contextualSpacing w:val="0"/>
        <w:rPr>
          <w:rFonts w:ascii="Arial" w:hAnsi="Arial" w:cs="Arial"/>
        </w:rPr>
      </w:pPr>
      <w:r w:rsidRPr="00113364">
        <w:rPr>
          <w:rFonts w:ascii="Arial" w:hAnsi="Arial" w:cs="Arial"/>
        </w:rPr>
        <w:t>Of the approximately 1,000 OSY who stated they were interested in learning English, only 654 OSY received ELA services or referrals.</w:t>
      </w:r>
    </w:p>
    <w:p w14:paraId="0DC45FB4" w14:textId="77777777" w:rsidR="00B20B59" w:rsidRPr="00113364" w:rsidRDefault="00F70095">
      <w:pPr>
        <w:pStyle w:val="ListParagraph"/>
        <w:numPr>
          <w:ilvl w:val="0"/>
          <w:numId w:val="54"/>
        </w:numPr>
        <w:spacing w:after="240"/>
        <w:contextualSpacing w:val="0"/>
        <w:rPr>
          <w:rFonts w:ascii="Arial" w:hAnsi="Arial" w:cs="Arial"/>
        </w:rPr>
      </w:pPr>
      <w:r w:rsidRPr="00113364">
        <w:rPr>
          <w:rFonts w:ascii="Arial" w:hAnsi="Arial" w:cs="Arial"/>
        </w:rPr>
        <w:t>Of the 700+ OSY who stated they were interested in obtaining their GED, 536 OSY services or referrals.</w:t>
      </w:r>
    </w:p>
    <w:p w14:paraId="3DC1408A" w14:textId="419844D9" w:rsidR="00B20B59" w:rsidRPr="00113364" w:rsidRDefault="00F70095">
      <w:pPr>
        <w:pStyle w:val="ListParagraph"/>
        <w:numPr>
          <w:ilvl w:val="0"/>
          <w:numId w:val="54"/>
        </w:numPr>
        <w:spacing w:after="240"/>
        <w:contextualSpacing w:val="0"/>
        <w:rPr>
          <w:rFonts w:ascii="Arial" w:hAnsi="Arial" w:cs="Arial"/>
        </w:rPr>
      </w:pPr>
      <w:r w:rsidRPr="00113364">
        <w:rPr>
          <w:rFonts w:ascii="Arial" w:hAnsi="Arial" w:cs="Arial"/>
        </w:rPr>
        <w:t>Out of 128 OSY who were interested in primary language literacy services, 118 OSY received services</w:t>
      </w:r>
      <w:r w:rsidR="00B20B59" w:rsidRPr="00113364">
        <w:rPr>
          <w:rFonts w:ascii="Arial" w:hAnsi="Arial" w:cs="Arial"/>
        </w:rPr>
        <w:t>.</w:t>
      </w:r>
      <w:r w:rsidRPr="00113364">
        <w:rPr>
          <w:rFonts w:ascii="Arial" w:hAnsi="Arial" w:cs="Arial"/>
        </w:rPr>
        <w:t xml:space="preserve"> </w:t>
      </w:r>
    </w:p>
    <w:p w14:paraId="666913BA" w14:textId="1622A3E1" w:rsidR="007A0C1F" w:rsidRPr="00113364" w:rsidRDefault="007A0C1F" w:rsidP="00F70095">
      <w:pPr>
        <w:spacing w:after="240"/>
        <w:rPr>
          <w:rFonts w:ascii="Arial" w:hAnsi="Arial" w:cs="Arial"/>
        </w:rPr>
      </w:pPr>
      <w:r w:rsidRPr="00113364">
        <w:rPr>
          <w:rFonts w:ascii="Arial" w:hAnsi="Arial" w:cs="Arial"/>
        </w:rPr>
        <w:t xml:space="preserve">Even with collecting output data, the inferred outcome for this need is to increase </w:t>
      </w:r>
      <w:r w:rsidR="008A5ED6" w:rsidRPr="00113364">
        <w:rPr>
          <w:rFonts w:ascii="Arial" w:hAnsi="Arial" w:cs="Arial"/>
        </w:rPr>
        <w:t xml:space="preserve">literacy outcomes </w:t>
      </w:r>
      <w:r w:rsidRPr="00113364">
        <w:rPr>
          <w:rFonts w:ascii="Arial" w:hAnsi="Arial" w:cs="Arial"/>
        </w:rPr>
        <w:t xml:space="preserve">for OSY. Therefore, subgrantees will track </w:t>
      </w:r>
      <w:r w:rsidR="00B80D66" w:rsidRPr="00113364">
        <w:rPr>
          <w:rFonts w:ascii="Arial" w:hAnsi="Arial" w:cs="Arial"/>
        </w:rPr>
        <w:t>the services</w:t>
      </w:r>
      <w:r w:rsidRPr="00113364">
        <w:rPr>
          <w:rFonts w:ascii="Arial" w:hAnsi="Arial" w:cs="Arial"/>
        </w:rPr>
        <w:t xml:space="preserve"> received by OSY and the number of referrals </w:t>
      </w:r>
      <w:r w:rsidR="00B80D66" w:rsidRPr="00113364">
        <w:rPr>
          <w:rFonts w:ascii="Arial" w:hAnsi="Arial" w:cs="Arial"/>
        </w:rPr>
        <w:t>provided</w:t>
      </w:r>
      <w:r w:rsidRPr="00113364">
        <w:rPr>
          <w:rFonts w:ascii="Arial" w:hAnsi="Arial" w:cs="Arial"/>
        </w:rPr>
        <w:t xml:space="preserve"> to OSY by the MEP. Table </w:t>
      </w:r>
      <w:r w:rsidR="00B80D66" w:rsidRPr="00113364">
        <w:rPr>
          <w:rFonts w:ascii="Arial" w:hAnsi="Arial" w:cs="Arial"/>
        </w:rPr>
        <w:t>36</w:t>
      </w:r>
      <w:r w:rsidRPr="00113364">
        <w:rPr>
          <w:rFonts w:ascii="Arial" w:hAnsi="Arial" w:cs="Arial"/>
        </w:rPr>
        <w:t xml:space="preserve"> summarizes </w:t>
      </w:r>
      <w:r w:rsidRPr="00113364">
        <w:rPr>
          <w:rFonts w:ascii="Arial" w:hAnsi="Arial" w:cs="Arial"/>
        </w:rPr>
        <w:lastRenderedPageBreak/>
        <w:t>the strateg</w:t>
      </w:r>
      <w:r w:rsidR="00C52243" w:rsidRPr="00113364">
        <w:rPr>
          <w:rFonts w:ascii="Arial" w:hAnsi="Arial" w:cs="Arial"/>
        </w:rPr>
        <w:t>y</w:t>
      </w:r>
      <w:r w:rsidRPr="00113364">
        <w:rPr>
          <w:rFonts w:ascii="Arial" w:hAnsi="Arial" w:cs="Arial"/>
        </w:rPr>
        <w:t xml:space="preserve"> and MPO for increasing OSY access to </w:t>
      </w:r>
      <w:r w:rsidR="008A5ED6" w:rsidRPr="00113364">
        <w:rPr>
          <w:rFonts w:ascii="Arial" w:hAnsi="Arial" w:cs="Arial"/>
        </w:rPr>
        <w:t>CTE offerings</w:t>
      </w:r>
      <w:r w:rsidRPr="00113364">
        <w:rPr>
          <w:rFonts w:ascii="Arial" w:hAnsi="Arial" w:cs="Arial"/>
        </w:rPr>
        <w:t xml:space="preserve">. The MEP-specific performance target for this area follows </w:t>
      </w:r>
      <w:r w:rsidR="00F70095" w:rsidRPr="00113364">
        <w:rPr>
          <w:rFonts w:ascii="Arial" w:hAnsi="Arial" w:cs="Arial"/>
        </w:rPr>
        <w:t>t</w:t>
      </w:r>
      <w:r w:rsidR="00B80D66" w:rsidRPr="00113364">
        <w:rPr>
          <w:rFonts w:ascii="Arial" w:hAnsi="Arial" w:cs="Arial"/>
        </w:rPr>
        <w:t>he table</w:t>
      </w:r>
      <w:r w:rsidRPr="00113364">
        <w:rPr>
          <w:rFonts w:ascii="Arial" w:hAnsi="Arial" w:cs="Arial"/>
        </w:rPr>
        <w:t>.</w:t>
      </w:r>
    </w:p>
    <w:p w14:paraId="2D0CEC02" w14:textId="48005E4E" w:rsidR="007874C6" w:rsidRPr="00113364" w:rsidRDefault="0058530A" w:rsidP="00D330A6">
      <w:pPr>
        <w:pStyle w:val="Heading4"/>
        <w:spacing w:after="0"/>
        <w:rPr>
          <w:sz w:val="24"/>
        </w:rPr>
      </w:pPr>
      <w:bookmarkStart w:id="102" w:name="_Toc204755372"/>
      <w:r w:rsidRPr="00113364">
        <w:rPr>
          <w:sz w:val="24"/>
        </w:rPr>
        <w:t xml:space="preserve">Table </w:t>
      </w:r>
      <w:r w:rsidR="00B80D66" w:rsidRPr="00113364">
        <w:rPr>
          <w:sz w:val="24"/>
        </w:rPr>
        <w:fldChar w:fldCharType="begin"/>
      </w:r>
      <w:r w:rsidR="00B80D66" w:rsidRPr="00113364">
        <w:rPr>
          <w:sz w:val="24"/>
        </w:rPr>
        <w:instrText xml:space="preserve"> SEQ Table \* ARABIC </w:instrText>
      </w:r>
      <w:r w:rsidR="00B80D66" w:rsidRPr="00113364">
        <w:rPr>
          <w:sz w:val="24"/>
        </w:rPr>
        <w:fldChar w:fldCharType="separate"/>
      </w:r>
      <w:r w:rsidR="001362A0">
        <w:rPr>
          <w:noProof/>
          <w:sz w:val="24"/>
        </w:rPr>
        <w:t>36</w:t>
      </w:r>
      <w:r w:rsidR="00B80D66" w:rsidRPr="00113364">
        <w:rPr>
          <w:sz w:val="24"/>
        </w:rPr>
        <w:fldChar w:fldCharType="end"/>
      </w:r>
      <w:r w:rsidRPr="00113364">
        <w:rPr>
          <w:sz w:val="24"/>
        </w:rPr>
        <w:t xml:space="preserve">. </w:t>
      </w:r>
      <w:r w:rsidR="00514084" w:rsidRPr="00113364">
        <w:rPr>
          <w:sz w:val="24"/>
        </w:rPr>
        <w:t>Strateg</w:t>
      </w:r>
      <w:r w:rsidR="00C52243" w:rsidRPr="00113364">
        <w:rPr>
          <w:sz w:val="24"/>
        </w:rPr>
        <w:t>y</w:t>
      </w:r>
      <w:r w:rsidR="00514084" w:rsidRPr="00113364">
        <w:rPr>
          <w:sz w:val="24"/>
        </w:rPr>
        <w:t xml:space="preserve"> and </w:t>
      </w:r>
      <w:r w:rsidR="00FA2566" w:rsidRPr="00113364">
        <w:rPr>
          <w:sz w:val="24"/>
        </w:rPr>
        <w:t>Measurable Program Objective</w:t>
      </w:r>
      <w:r w:rsidRPr="00113364">
        <w:rPr>
          <w:sz w:val="24"/>
        </w:rPr>
        <w:t xml:space="preserve"> for </w:t>
      </w:r>
      <w:r w:rsidR="00B20B59" w:rsidRPr="00113364">
        <w:rPr>
          <w:sz w:val="24"/>
        </w:rPr>
        <w:t>Career and Technical Education</w:t>
      </w:r>
      <w:bookmarkEnd w:id="102"/>
    </w:p>
    <w:tbl>
      <w:tblPr>
        <w:tblStyle w:val="GridTable4-Accent1"/>
        <w:tblW w:w="9355" w:type="dxa"/>
        <w:tblLook w:val="0420" w:firstRow="1" w:lastRow="0" w:firstColumn="0" w:lastColumn="0" w:noHBand="0" w:noVBand="1"/>
        <w:tblDescription w:val="Strategies and Measurable Program Objectives for OSY Access to Health Services "/>
      </w:tblPr>
      <w:tblGrid>
        <w:gridCol w:w="4225"/>
        <w:gridCol w:w="5130"/>
      </w:tblGrid>
      <w:tr w:rsidR="00AE3F3F" w:rsidRPr="00113364" w14:paraId="28D34A97" w14:textId="77777777" w:rsidTr="009338DC">
        <w:trPr>
          <w:cnfStyle w:val="100000000000" w:firstRow="1" w:lastRow="0" w:firstColumn="0" w:lastColumn="0" w:oddVBand="0" w:evenVBand="0" w:oddHBand="0" w:evenHBand="0" w:firstRowFirstColumn="0" w:firstRowLastColumn="0" w:lastRowFirstColumn="0" w:lastRowLastColumn="0"/>
          <w:cantSplit/>
          <w:trHeight w:val="332"/>
          <w:tblHeader/>
        </w:trPr>
        <w:tc>
          <w:tcPr>
            <w:tcW w:w="4225" w:type="dxa"/>
            <w:tcBorders>
              <w:right w:val="single" w:sz="4" w:space="0" w:color="4472C4"/>
            </w:tcBorders>
            <w:shd w:val="clear" w:color="auto" w:fill="1F3864" w:themeFill="accent5" w:themeFillShade="80"/>
            <w:vAlign w:val="center"/>
          </w:tcPr>
          <w:p w14:paraId="63C6CEC8" w14:textId="61F11020" w:rsidR="00AE3F3F" w:rsidRPr="00113364" w:rsidRDefault="00AE3F3F" w:rsidP="00E53F38">
            <w:pPr>
              <w:rPr>
                <w:rFonts w:ascii="Arial" w:hAnsi="Arial" w:cs="Arial"/>
                <w:color w:val="FFFFFF"/>
              </w:rPr>
            </w:pPr>
            <w:r w:rsidRPr="00113364">
              <w:rPr>
                <w:rFonts w:ascii="Arial" w:hAnsi="Arial" w:cs="Arial"/>
                <w:color w:val="FFFFFF"/>
              </w:rPr>
              <w:t>Strateg</w:t>
            </w:r>
            <w:r w:rsidR="00B20B59" w:rsidRPr="00113364">
              <w:rPr>
                <w:rFonts w:ascii="Arial" w:hAnsi="Arial" w:cs="Arial"/>
                <w:color w:val="FFFFFF"/>
              </w:rPr>
              <w:t>y</w:t>
            </w:r>
          </w:p>
        </w:tc>
        <w:tc>
          <w:tcPr>
            <w:tcW w:w="5130" w:type="dxa"/>
            <w:tcBorders>
              <w:left w:val="single" w:sz="4" w:space="0" w:color="4472C4"/>
            </w:tcBorders>
            <w:shd w:val="clear" w:color="auto" w:fill="1F3864" w:themeFill="accent5" w:themeFillShade="80"/>
            <w:vAlign w:val="center"/>
          </w:tcPr>
          <w:p w14:paraId="5CF7C87D" w14:textId="44DF8B18" w:rsidR="00AE3F3F" w:rsidRPr="00113364" w:rsidRDefault="00AE3F3F" w:rsidP="00E53F38">
            <w:pPr>
              <w:rPr>
                <w:rFonts w:ascii="Arial" w:hAnsi="Arial" w:cs="Arial"/>
                <w:color w:val="FFFFFF"/>
              </w:rPr>
            </w:pPr>
            <w:r w:rsidRPr="00113364">
              <w:rPr>
                <w:rFonts w:ascii="Arial" w:hAnsi="Arial" w:cs="Arial"/>
                <w:color w:val="FFFFFF"/>
              </w:rPr>
              <w:t>Measurable Program Objective</w:t>
            </w:r>
          </w:p>
        </w:tc>
      </w:tr>
      <w:tr w:rsidR="009338DC" w:rsidRPr="00113364" w14:paraId="70F731F1" w14:textId="77777777" w:rsidTr="009338DC">
        <w:trPr>
          <w:cnfStyle w:val="000000100000" w:firstRow="0" w:lastRow="0" w:firstColumn="0" w:lastColumn="0" w:oddVBand="0" w:evenVBand="0" w:oddHBand="1" w:evenHBand="0" w:firstRowFirstColumn="0" w:firstRowLastColumn="0" w:lastRowFirstColumn="0" w:lastRowLastColumn="0"/>
          <w:cantSplit/>
        </w:trPr>
        <w:tc>
          <w:tcPr>
            <w:tcW w:w="4225" w:type="dxa"/>
          </w:tcPr>
          <w:p w14:paraId="4CE13AE7" w14:textId="09513479" w:rsidR="009338DC" w:rsidRPr="00113364" w:rsidRDefault="009338DC" w:rsidP="009338DC">
            <w:pPr>
              <w:rPr>
                <w:rFonts w:ascii="Arial" w:hAnsi="Arial" w:cs="Arial"/>
              </w:rPr>
            </w:pPr>
            <w:r w:rsidRPr="00113364">
              <w:rPr>
                <w:rFonts w:ascii="Arial" w:hAnsi="Arial" w:cs="Arial"/>
                <w:b/>
                <w:bCs/>
              </w:rPr>
              <w:t>Strategy 9.0:</w:t>
            </w:r>
            <w:r w:rsidRPr="00113364">
              <w:rPr>
                <w:rFonts w:ascii="Arial" w:hAnsi="Arial" w:cs="Arial"/>
              </w:rPr>
              <w:t xml:space="preserve"> Provide one workshop on CTE offerings in the area for OSY who’ve indicated a need on the INA/ILP.</w:t>
            </w:r>
          </w:p>
        </w:tc>
        <w:tc>
          <w:tcPr>
            <w:tcW w:w="5130" w:type="dxa"/>
          </w:tcPr>
          <w:p w14:paraId="779D84A9" w14:textId="122620E1" w:rsidR="009338DC" w:rsidRPr="00113364" w:rsidRDefault="009338DC" w:rsidP="009338DC">
            <w:pPr>
              <w:rPr>
                <w:rFonts w:ascii="Arial" w:hAnsi="Arial" w:cs="Arial"/>
              </w:rPr>
            </w:pPr>
            <w:r w:rsidRPr="00113364">
              <w:rPr>
                <w:rFonts w:ascii="Arial" w:hAnsi="Arial" w:cs="Arial"/>
                <w:b/>
                <w:bCs/>
              </w:rPr>
              <w:t>Measurable Program Objective 9.0:</w:t>
            </w:r>
            <w:r w:rsidRPr="00113364">
              <w:rPr>
                <w:rFonts w:ascii="Arial" w:hAnsi="Arial" w:cs="Arial"/>
              </w:rPr>
              <w:t xml:space="preserve"> Each year, 65 percent of OSY who expressed an interest </w:t>
            </w:r>
            <w:r w:rsidR="008A5ED6" w:rsidRPr="00113364">
              <w:rPr>
                <w:rFonts w:ascii="Arial" w:hAnsi="Arial" w:cs="Arial"/>
              </w:rPr>
              <w:t>in</w:t>
            </w:r>
            <w:r w:rsidRPr="00113364">
              <w:rPr>
                <w:rFonts w:ascii="Arial" w:hAnsi="Arial" w:cs="Arial"/>
              </w:rPr>
              <w:t xml:space="preserve"> the INA in learning about CTE/job training </w:t>
            </w:r>
            <w:r w:rsidR="008A5ED6" w:rsidRPr="00113364">
              <w:rPr>
                <w:rFonts w:ascii="Arial" w:hAnsi="Arial" w:cs="Arial"/>
              </w:rPr>
              <w:t>programs</w:t>
            </w:r>
            <w:r w:rsidRPr="00113364">
              <w:rPr>
                <w:rFonts w:ascii="Arial" w:hAnsi="Arial" w:cs="Arial"/>
              </w:rPr>
              <w:t xml:space="preserve"> participate in one CTE informational session.</w:t>
            </w:r>
          </w:p>
        </w:tc>
      </w:tr>
    </w:tbl>
    <w:p w14:paraId="7B1FCCD3" w14:textId="1168169F" w:rsidR="00AE3F3F" w:rsidRPr="00113364" w:rsidRDefault="00C36BF6" w:rsidP="00694080">
      <w:pPr>
        <w:spacing w:before="240" w:after="240"/>
        <w:rPr>
          <w:rFonts w:ascii="Arial" w:hAnsi="Arial" w:cs="Arial"/>
        </w:rPr>
      </w:pPr>
      <w:r w:rsidRPr="00113364">
        <w:rPr>
          <w:rFonts w:ascii="Arial" w:hAnsi="Arial" w:cs="Arial"/>
        </w:rPr>
        <w:t>The p</w:t>
      </w:r>
      <w:r w:rsidR="002D617D" w:rsidRPr="00113364">
        <w:rPr>
          <w:rFonts w:ascii="Arial" w:hAnsi="Arial" w:cs="Arial"/>
        </w:rPr>
        <w:t>erformance target for the OSY focus area</w:t>
      </w:r>
      <w:r w:rsidRPr="00113364">
        <w:rPr>
          <w:rFonts w:ascii="Arial" w:hAnsi="Arial" w:cs="Arial"/>
        </w:rPr>
        <w:t xml:space="preserve"> will focus on OSY participation in instructional literacy services (see strategies in table 37).</w:t>
      </w:r>
      <w:r w:rsidR="00EA65C5" w:rsidRPr="00113364">
        <w:rPr>
          <w:rFonts w:ascii="Arial" w:hAnsi="Arial" w:cs="Arial"/>
        </w:rPr>
        <w:t xml:space="preserve"> Performance target for the OSY focus area</w:t>
      </w:r>
      <w:r w:rsidR="00817CF0" w:rsidRPr="00113364">
        <w:rPr>
          <w:rFonts w:ascii="Arial" w:hAnsi="Arial" w:cs="Arial"/>
        </w:rPr>
        <w:t xml:space="preserve">: </w:t>
      </w:r>
      <w:r w:rsidRPr="00113364">
        <w:rPr>
          <w:rFonts w:ascii="Arial" w:hAnsi="Arial" w:cs="Arial"/>
        </w:rPr>
        <w:t>By September 2031, 75 percent of OSY, who indicated a need on the INA, will complete an ESL, GED, or literacy class.</w:t>
      </w:r>
    </w:p>
    <w:p w14:paraId="05B9975D" w14:textId="2DFB108B" w:rsidR="00F3728E" w:rsidRPr="00113364" w:rsidRDefault="00F3728E" w:rsidP="00694080">
      <w:pPr>
        <w:spacing w:before="240" w:after="240"/>
        <w:rPr>
          <w:rFonts w:ascii="Arial" w:hAnsi="Arial" w:cs="Arial"/>
        </w:rPr>
      </w:pPr>
      <w:proofErr w:type="gramStart"/>
      <w:r w:rsidRPr="00113364">
        <w:rPr>
          <w:rFonts w:ascii="Arial" w:hAnsi="Arial" w:cs="Arial"/>
        </w:rPr>
        <w:t>In an effort to</w:t>
      </w:r>
      <w:proofErr w:type="gramEnd"/>
      <w:r w:rsidRPr="00113364">
        <w:rPr>
          <w:rFonts w:ascii="Arial" w:hAnsi="Arial" w:cs="Arial"/>
        </w:rPr>
        <w:t xml:space="preserve"> support the MEP’s ability to deliver a comprehensive list of </w:t>
      </w:r>
      <w:r w:rsidR="00B4376E" w:rsidRPr="00113364">
        <w:rPr>
          <w:rFonts w:ascii="Arial" w:hAnsi="Arial" w:cs="Arial"/>
        </w:rPr>
        <w:t xml:space="preserve">possible career </w:t>
      </w:r>
      <w:r w:rsidRPr="00113364">
        <w:rPr>
          <w:rFonts w:ascii="Arial" w:hAnsi="Arial" w:cs="Arial"/>
        </w:rPr>
        <w:t xml:space="preserve">opportunities available, the CDE developed a list of most of the CTE offerings across California by region and program offerings (e.g., dental hygienist, radiologist, etc.). This list includes information on </w:t>
      </w:r>
      <w:r w:rsidR="00B4376E" w:rsidRPr="00113364">
        <w:rPr>
          <w:rFonts w:ascii="Arial" w:hAnsi="Arial" w:cs="Arial"/>
        </w:rPr>
        <w:t>the individual</w:t>
      </w:r>
      <w:r w:rsidRPr="00113364">
        <w:rPr>
          <w:rFonts w:ascii="Arial" w:hAnsi="Arial" w:cs="Arial"/>
        </w:rPr>
        <w:t xml:space="preserve"> CTE program’s financial aid options, duration of the program, and cost for tuition. Links to the programs’ information is also available.</w:t>
      </w:r>
      <w:r w:rsidR="00EA137B" w:rsidRPr="00113364">
        <w:rPr>
          <w:rFonts w:ascii="Arial" w:hAnsi="Arial" w:cs="Arial"/>
        </w:rPr>
        <w:t xml:space="preserve"> Guest speakers to highlight different industries and professions are also encouraged to </w:t>
      </w:r>
      <w:proofErr w:type="gramStart"/>
      <w:r w:rsidR="00EA137B" w:rsidRPr="00113364">
        <w:rPr>
          <w:rFonts w:ascii="Arial" w:hAnsi="Arial" w:cs="Arial"/>
        </w:rPr>
        <w:t>engage</w:t>
      </w:r>
      <w:proofErr w:type="gramEnd"/>
      <w:r w:rsidR="00EA137B" w:rsidRPr="00113364">
        <w:rPr>
          <w:rFonts w:ascii="Arial" w:hAnsi="Arial" w:cs="Arial"/>
        </w:rPr>
        <w:t xml:space="preserve"> participation.</w:t>
      </w:r>
    </w:p>
    <w:p w14:paraId="613F3CB5" w14:textId="6D62421C" w:rsidR="00F3728E" w:rsidRPr="00113364" w:rsidRDefault="00F3728E" w:rsidP="00694080">
      <w:pPr>
        <w:spacing w:before="240" w:after="240"/>
        <w:rPr>
          <w:rFonts w:ascii="Arial" w:hAnsi="Arial" w:cs="Arial"/>
        </w:rPr>
      </w:pPr>
      <w:r w:rsidRPr="00113364">
        <w:rPr>
          <w:rFonts w:ascii="Arial" w:hAnsi="Arial" w:cs="Arial"/>
        </w:rPr>
        <w:t xml:space="preserve">Workshops may be delivered in a variety of ways to reach </w:t>
      </w:r>
      <w:r w:rsidR="00B4376E" w:rsidRPr="00113364">
        <w:rPr>
          <w:rFonts w:ascii="Arial" w:hAnsi="Arial" w:cs="Arial"/>
        </w:rPr>
        <w:t xml:space="preserve">OSYs. Some MEP subgrantees have had success with group workshops at their places of work, others have workshops when other services like dental clinics are available. If the MEP has a way to record participation on asynchronous learning, that is an option as well as one-on-one sessions. </w:t>
      </w:r>
      <w:r w:rsidR="00D0399E" w:rsidRPr="00113364">
        <w:rPr>
          <w:rFonts w:ascii="Arial" w:hAnsi="Arial" w:cs="Arial"/>
        </w:rPr>
        <w:t>Regardless of how i</w:t>
      </w:r>
      <w:r w:rsidR="00B4376E" w:rsidRPr="00113364">
        <w:rPr>
          <w:rFonts w:ascii="Arial" w:hAnsi="Arial" w:cs="Arial"/>
        </w:rPr>
        <w:t xml:space="preserve">t is delivered, the content should include general information about CTE, application processes, the benefits, and what is available in the area or where programs of interest are located. CTE programs are a popular way to increase future career opportunities because they are usually much more affordable and take less time to get a degree than the traditional college options. Other career focused strategies for OSY related to building </w:t>
      </w:r>
      <w:r w:rsidR="004259A9" w:rsidRPr="00113364">
        <w:rPr>
          <w:rFonts w:ascii="Arial" w:hAnsi="Arial" w:cs="Arial"/>
        </w:rPr>
        <w:t>literacy skills</w:t>
      </w:r>
      <w:r w:rsidR="00FB145F" w:rsidRPr="00113364">
        <w:rPr>
          <w:rFonts w:ascii="Arial" w:hAnsi="Arial" w:cs="Arial"/>
        </w:rPr>
        <w:t xml:space="preserve"> are detailed in table 37.</w:t>
      </w:r>
    </w:p>
    <w:p w14:paraId="3E9D23D8" w14:textId="205ADAF8" w:rsidR="008A0884" w:rsidRPr="00113364" w:rsidRDefault="00130D73" w:rsidP="00D330A6">
      <w:pPr>
        <w:pStyle w:val="Heading4"/>
        <w:spacing w:after="0"/>
        <w:rPr>
          <w:sz w:val="24"/>
        </w:rPr>
      </w:pPr>
      <w:bookmarkStart w:id="103" w:name="_Toc204755373"/>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37</w:t>
      </w:r>
      <w:r w:rsidR="00C46CA6" w:rsidRPr="00113364">
        <w:rPr>
          <w:noProof/>
          <w:sz w:val="24"/>
        </w:rPr>
        <w:fldChar w:fldCharType="end"/>
      </w:r>
      <w:r w:rsidRPr="00113364">
        <w:rPr>
          <w:sz w:val="24"/>
        </w:rPr>
        <w:t>. S</w:t>
      </w:r>
      <w:r w:rsidR="004646B2" w:rsidRPr="00113364">
        <w:rPr>
          <w:sz w:val="24"/>
        </w:rPr>
        <w:t xml:space="preserve">trategies and </w:t>
      </w:r>
      <w:r w:rsidR="00A03E6E" w:rsidRPr="00113364">
        <w:rPr>
          <w:sz w:val="24"/>
        </w:rPr>
        <w:t>Measurable Program Objective</w:t>
      </w:r>
      <w:r w:rsidR="003A33C0" w:rsidRPr="00113364">
        <w:rPr>
          <w:sz w:val="24"/>
        </w:rPr>
        <w:t>s</w:t>
      </w:r>
      <w:r w:rsidRPr="00113364">
        <w:rPr>
          <w:sz w:val="24"/>
        </w:rPr>
        <w:t xml:space="preserve"> for Increasing O</w:t>
      </w:r>
      <w:r w:rsidR="00B117EB">
        <w:rPr>
          <w:sz w:val="24"/>
        </w:rPr>
        <w:t xml:space="preserve">ut of </w:t>
      </w:r>
      <w:r w:rsidRPr="00113364">
        <w:rPr>
          <w:sz w:val="24"/>
        </w:rPr>
        <w:t>S</w:t>
      </w:r>
      <w:r w:rsidR="00B117EB">
        <w:rPr>
          <w:sz w:val="24"/>
        </w:rPr>
        <w:t xml:space="preserve">chool </w:t>
      </w:r>
      <w:r w:rsidRPr="00113364">
        <w:rPr>
          <w:sz w:val="24"/>
        </w:rPr>
        <w:t>Y</w:t>
      </w:r>
      <w:r w:rsidR="00B117EB">
        <w:rPr>
          <w:sz w:val="24"/>
        </w:rPr>
        <w:t>outh</w:t>
      </w:r>
      <w:r w:rsidRPr="00113364">
        <w:rPr>
          <w:sz w:val="24"/>
        </w:rPr>
        <w:t xml:space="preserve"> Literacy Skills</w:t>
      </w:r>
      <w:bookmarkEnd w:id="103"/>
    </w:p>
    <w:tbl>
      <w:tblPr>
        <w:tblStyle w:val="GridTable4-Accent1"/>
        <w:tblW w:w="9445" w:type="dxa"/>
        <w:tblLook w:val="0420" w:firstRow="1" w:lastRow="0" w:firstColumn="0" w:lastColumn="0" w:noHBand="0" w:noVBand="1"/>
        <w:tblDescription w:val="Strategies and Measurable Program Objectives for Increasing OSY Literacy Skills"/>
      </w:tblPr>
      <w:tblGrid>
        <w:gridCol w:w="4315"/>
        <w:gridCol w:w="5130"/>
      </w:tblGrid>
      <w:tr w:rsidR="00AE3F3F" w:rsidRPr="00113364" w14:paraId="37BEADB4" w14:textId="77777777" w:rsidTr="00B20B59">
        <w:trPr>
          <w:cnfStyle w:val="100000000000" w:firstRow="1" w:lastRow="0" w:firstColumn="0" w:lastColumn="0" w:oddVBand="0" w:evenVBand="0" w:oddHBand="0" w:evenHBand="0" w:firstRowFirstColumn="0" w:firstRowLastColumn="0" w:lastRowFirstColumn="0" w:lastRowLastColumn="0"/>
          <w:cantSplit/>
          <w:trHeight w:val="332"/>
          <w:tblHeader/>
        </w:trPr>
        <w:tc>
          <w:tcPr>
            <w:tcW w:w="4315" w:type="dxa"/>
            <w:tcBorders>
              <w:right w:val="single" w:sz="4" w:space="0" w:color="4472C4"/>
            </w:tcBorders>
            <w:shd w:val="clear" w:color="auto" w:fill="1F3864" w:themeFill="accent5" w:themeFillShade="80"/>
          </w:tcPr>
          <w:p w14:paraId="2D74D8D5" w14:textId="77777777" w:rsidR="00AE3F3F" w:rsidRPr="00113364" w:rsidRDefault="00AE3F3F" w:rsidP="00AE3F3F">
            <w:pPr>
              <w:rPr>
                <w:rFonts w:ascii="Arial" w:hAnsi="Arial" w:cs="Arial"/>
                <w:b w:val="0"/>
                <w:color w:val="FFFFFF"/>
              </w:rPr>
            </w:pPr>
            <w:r w:rsidRPr="00113364">
              <w:rPr>
                <w:rFonts w:ascii="Arial" w:hAnsi="Arial" w:cs="Arial"/>
                <w:color w:val="FFFFFF"/>
              </w:rPr>
              <w:t>Strategies</w:t>
            </w:r>
          </w:p>
        </w:tc>
        <w:tc>
          <w:tcPr>
            <w:tcW w:w="5130" w:type="dxa"/>
            <w:tcBorders>
              <w:left w:val="single" w:sz="4" w:space="0" w:color="4472C4"/>
            </w:tcBorders>
            <w:shd w:val="clear" w:color="auto" w:fill="1F3864" w:themeFill="accent5" w:themeFillShade="80"/>
          </w:tcPr>
          <w:p w14:paraId="76AF222A" w14:textId="77777777" w:rsidR="00AE3F3F" w:rsidRPr="00113364" w:rsidRDefault="00AE3F3F" w:rsidP="00AE3F3F">
            <w:pPr>
              <w:rPr>
                <w:rFonts w:ascii="Arial" w:hAnsi="Arial" w:cs="Arial"/>
                <w:b w:val="0"/>
                <w:color w:val="FFFFFF"/>
              </w:rPr>
            </w:pPr>
            <w:r w:rsidRPr="00113364">
              <w:rPr>
                <w:rFonts w:ascii="Arial" w:hAnsi="Arial" w:cs="Arial"/>
                <w:color w:val="FFFFFF"/>
              </w:rPr>
              <w:t>Measurable Program Objectives</w:t>
            </w:r>
          </w:p>
        </w:tc>
      </w:tr>
      <w:tr w:rsidR="00AA0DEB" w:rsidRPr="00113364" w14:paraId="6163BF5A" w14:textId="77777777" w:rsidTr="00AA0DEB">
        <w:trPr>
          <w:cnfStyle w:val="000000100000" w:firstRow="0" w:lastRow="0" w:firstColumn="0" w:lastColumn="0" w:oddVBand="0" w:evenVBand="0" w:oddHBand="1" w:evenHBand="0" w:firstRowFirstColumn="0" w:firstRowLastColumn="0" w:lastRowFirstColumn="0" w:lastRowLastColumn="0"/>
          <w:cantSplit/>
        </w:trPr>
        <w:tc>
          <w:tcPr>
            <w:tcW w:w="4315" w:type="dxa"/>
          </w:tcPr>
          <w:p w14:paraId="2E538DA9" w14:textId="25F5DFFE" w:rsidR="00AA0DEB" w:rsidRPr="00113364" w:rsidRDefault="00AA0DEB" w:rsidP="00EB4984">
            <w:pPr>
              <w:rPr>
                <w:rFonts w:ascii="Arial" w:hAnsi="Arial" w:cs="Arial"/>
              </w:rPr>
            </w:pPr>
            <w:r w:rsidRPr="00113364">
              <w:rPr>
                <w:rFonts w:ascii="Arial" w:hAnsi="Arial" w:cs="Arial"/>
                <w:b/>
                <w:bCs/>
              </w:rPr>
              <w:t>Strategy 10.0:</w:t>
            </w:r>
            <w:r w:rsidRPr="00113364">
              <w:rPr>
                <w:rFonts w:ascii="Arial" w:hAnsi="Arial" w:cs="Arial"/>
              </w:rPr>
              <w:t xml:space="preserve"> Offer English literacy services (e.g., ELA, ESL, ELD, etc.) to OSY who want to learn English.</w:t>
            </w:r>
          </w:p>
        </w:tc>
        <w:tc>
          <w:tcPr>
            <w:tcW w:w="5130" w:type="dxa"/>
          </w:tcPr>
          <w:p w14:paraId="566E529A" w14:textId="1D9E61C5" w:rsidR="00AA0DEB" w:rsidRPr="00113364" w:rsidRDefault="00AA0DEB" w:rsidP="00EB4984">
            <w:pPr>
              <w:rPr>
                <w:rFonts w:ascii="Arial" w:hAnsi="Arial" w:cs="Arial"/>
              </w:rPr>
            </w:pPr>
            <w:r w:rsidRPr="00113364">
              <w:rPr>
                <w:rFonts w:ascii="Arial" w:hAnsi="Arial" w:cs="Arial"/>
                <w:b/>
                <w:bCs/>
              </w:rPr>
              <w:t>Measurable Program Objective 10.0:</w:t>
            </w:r>
            <w:r w:rsidRPr="00113364">
              <w:rPr>
                <w:rFonts w:ascii="Arial" w:hAnsi="Arial" w:cs="Arial"/>
              </w:rPr>
              <w:t xml:space="preserve"> Each year, 70 percent of OSY who expressed an interest to learn English on the INA will participate in or receive a referral to an English literacy service.</w:t>
            </w:r>
          </w:p>
        </w:tc>
      </w:tr>
      <w:tr w:rsidR="00AE3F3F" w:rsidRPr="00113364" w14:paraId="1F7D871A" w14:textId="77777777" w:rsidTr="00B20B59">
        <w:trPr>
          <w:cantSplit/>
          <w:trHeight w:val="395"/>
        </w:trPr>
        <w:tc>
          <w:tcPr>
            <w:tcW w:w="4315" w:type="dxa"/>
          </w:tcPr>
          <w:p w14:paraId="291AA364" w14:textId="13217463" w:rsidR="00AE3F3F" w:rsidRPr="00113364" w:rsidRDefault="00AE3F3F" w:rsidP="00AE3F3F">
            <w:pPr>
              <w:rPr>
                <w:rFonts w:ascii="Arial" w:hAnsi="Arial" w:cs="Arial"/>
              </w:rPr>
            </w:pPr>
            <w:r w:rsidRPr="00113364">
              <w:rPr>
                <w:rFonts w:ascii="Arial" w:hAnsi="Arial" w:cs="Arial"/>
                <w:b/>
              </w:rPr>
              <w:lastRenderedPageBreak/>
              <w:t>Strategy 10.</w:t>
            </w:r>
            <w:r w:rsidR="00B20B59" w:rsidRPr="00113364">
              <w:rPr>
                <w:rFonts w:ascii="Arial" w:hAnsi="Arial" w:cs="Arial"/>
                <w:b/>
              </w:rPr>
              <w:t>1</w:t>
            </w:r>
            <w:r w:rsidRPr="00113364">
              <w:rPr>
                <w:rFonts w:ascii="Arial" w:hAnsi="Arial" w:cs="Arial"/>
                <w:b/>
              </w:rPr>
              <w:t xml:space="preserve">: </w:t>
            </w:r>
            <w:r w:rsidR="00B20B59" w:rsidRPr="00113364">
              <w:rPr>
                <w:rFonts w:ascii="Arial" w:hAnsi="Arial" w:cs="Arial"/>
              </w:rPr>
              <w:t>Provide GED or high school equivalency services for OSY who have dropped out of school but want to obtain a GED.</w:t>
            </w:r>
          </w:p>
        </w:tc>
        <w:tc>
          <w:tcPr>
            <w:tcW w:w="5130" w:type="dxa"/>
          </w:tcPr>
          <w:p w14:paraId="7DFAF45D" w14:textId="1383E5A9" w:rsidR="00AE3F3F" w:rsidRPr="00113364" w:rsidRDefault="00AE3F3F" w:rsidP="00AE3F3F">
            <w:pPr>
              <w:rPr>
                <w:rFonts w:ascii="Arial" w:hAnsi="Arial" w:cs="Arial"/>
              </w:rPr>
            </w:pPr>
            <w:r w:rsidRPr="00113364">
              <w:rPr>
                <w:rFonts w:ascii="Arial" w:hAnsi="Arial" w:cs="Arial"/>
                <w:b/>
              </w:rPr>
              <w:t>Measurable Program Objective 10.</w:t>
            </w:r>
            <w:r w:rsidR="00B20B59" w:rsidRPr="00113364">
              <w:rPr>
                <w:rFonts w:ascii="Arial" w:hAnsi="Arial" w:cs="Arial"/>
                <w:b/>
              </w:rPr>
              <w:t>1</w:t>
            </w:r>
            <w:r w:rsidRPr="00113364">
              <w:rPr>
                <w:rFonts w:ascii="Arial" w:hAnsi="Arial" w:cs="Arial"/>
                <w:b/>
              </w:rPr>
              <w:t xml:space="preserve">: </w:t>
            </w:r>
            <w:r w:rsidR="00B20B59" w:rsidRPr="00113364">
              <w:rPr>
                <w:rFonts w:ascii="Arial" w:hAnsi="Arial" w:cs="Arial"/>
              </w:rPr>
              <w:t>Each year, 80 percent of OSY who expressed an interest in obtaining a general education diploma on the INA will participate in or receive a referral to one GED test preparation service.</w:t>
            </w:r>
          </w:p>
        </w:tc>
      </w:tr>
    </w:tbl>
    <w:p w14:paraId="47781014" w14:textId="56FE4D21" w:rsidR="00976D9E" w:rsidRPr="00113364" w:rsidRDefault="00976D9E" w:rsidP="00976D9E">
      <w:pPr>
        <w:spacing w:before="240" w:after="240"/>
        <w:rPr>
          <w:rFonts w:ascii="Arial" w:hAnsi="Arial" w:cs="Arial"/>
        </w:rPr>
      </w:pPr>
      <w:r w:rsidRPr="00113364">
        <w:rPr>
          <w:rFonts w:ascii="Arial" w:hAnsi="Arial" w:cs="Arial"/>
        </w:rPr>
        <w:t xml:space="preserve">The performance target for the OSY </w:t>
      </w:r>
      <w:r w:rsidR="00537BCF" w:rsidRPr="00113364">
        <w:rPr>
          <w:rFonts w:ascii="Arial" w:hAnsi="Arial" w:cs="Arial"/>
        </w:rPr>
        <w:t>f</w:t>
      </w:r>
      <w:r w:rsidRPr="00113364">
        <w:rPr>
          <w:rFonts w:ascii="Arial" w:hAnsi="Arial" w:cs="Arial"/>
        </w:rPr>
        <w:t xml:space="preserve">ocus </w:t>
      </w:r>
      <w:r w:rsidR="00537BCF" w:rsidRPr="00113364">
        <w:rPr>
          <w:rFonts w:ascii="Arial" w:hAnsi="Arial" w:cs="Arial"/>
        </w:rPr>
        <w:t>a</w:t>
      </w:r>
      <w:r w:rsidRPr="00113364">
        <w:rPr>
          <w:rFonts w:ascii="Arial" w:hAnsi="Arial" w:cs="Arial"/>
        </w:rPr>
        <w:t xml:space="preserve">rea is centered on literacy strategies: By </w:t>
      </w:r>
      <w:r w:rsidR="00537BCF" w:rsidRPr="00113364">
        <w:rPr>
          <w:rFonts w:ascii="Arial" w:hAnsi="Arial" w:cs="Arial"/>
        </w:rPr>
        <w:t>September 203</w:t>
      </w:r>
      <w:r w:rsidR="002D617D" w:rsidRPr="00113364">
        <w:rPr>
          <w:rFonts w:ascii="Arial" w:hAnsi="Arial" w:cs="Arial"/>
        </w:rPr>
        <w:t>1</w:t>
      </w:r>
      <w:r w:rsidR="00537BCF" w:rsidRPr="00113364">
        <w:rPr>
          <w:rFonts w:ascii="Arial" w:hAnsi="Arial" w:cs="Arial"/>
        </w:rPr>
        <w:t>, 70</w:t>
      </w:r>
      <w:r w:rsidRPr="00113364">
        <w:rPr>
          <w:rFonts w:ascii="Arial" w:hAnsi="Arial" w:cs="Arial"/>
        </w:rPr>
        <w:t xml:space="preserve"> percent of OSY, who indicated a need on the INA, will participate in an E</w:t>
      </w:r>
      <w:r w:rsidR="00537BCF" w:rsidRPr="00113364">
        <w:rPr>
          <w:rFonts w:ascii="Arial" w:hAnsi="Arial" w:cs="Arial"/>
        </w:rPr>
        <w:t>nglish literacy or GED class</w:t>
      </w:r>
      <w:r w:rsidRPr="00113364">
        <w:rPr>
          <w:rFonts w:ascii="Arial" w:hAnsi="Arial" w:cs="Arial"/>
        </w:rPr>
        <w:t>.</w:t>
      </w:r>
    </w:p>
    <w:p w14:paraId="3092C5BC" w14:textId="67D11D66" w:rsidR="00F3728E" w:rsidRPr="00113364" w:rsidRDefault="00976D9E" w:rsidP="00F3728E">
      <w:pPr>
        <w:spacing w:after="240"/>
        <w:rPr>
          <w:rFonts w:ascii="Arial" w:hAnsi="Arial" w:cs="Arial"/>
        </w:rPr>
      </w:pPr>
      <w:r w:rsidRPr="00113364">
        <w:rPr>
          <w:rFonts w:ascii="Arial" w:hAnsi="Arial" w:cs="Arial"/>
        </w:rPr>
        <w:t xml:space="preserve">The California MEP implemented these strategies during the past iteration of the SDP as there were identified needs to increase OSYs literacy skills. Continuing </w:t>
      </w:r>
      <w:r w:rsidR="00F3728E" w:rsidRPr="00113364">
        <w:rPr>
          <w:rFonts w:ascii="Arial" w:hAnsi="Arial" w:cs="Arial"/>
        </w:rPr>
        <w:t>to offer, or refer OSY to, ELA, ESL, and GED courses, the CDE expects to see an</w:t>
      </w:r>
      <w:r w:rsidRPr="00113364">
        <w:rPr>
          <w:rFonts w:ascii="Arial" w:hAnsi="Arial" w:cs="Arial"/>
        </w:rPr>
        <w:t xml:space="preserve"> increased</w:t>
      </w:r>
      <w:r w:rsidR="00F3728E" w:rsidRPr="00113364">
        <w:rPr>
          <w:rFonts w:ascii="Arial" w:hAnsi="Arial" w:cs="Arial"/>
        </w:rPr>
        <w:t xml:space="preserve"> improvement </w:t>
      </w:r>
      <w:proofErr w:type="gramStart"/>
      <w:r w:rsidR="00F3728E" w:rsidRPr="00113364">
        <w:rPr>
          <w:rFonts w:ascii="Arial" w:hAnsi="Arial" w:cs="Arial"/>
        </w:rPr>
        <w:t>of</w:t>
      </w:r>
      <w:proofErr w:type="gramEnd"/>
      <w:r w:rsidR="00F3728E" w:rsidRPr="00113364">
        <w:rPr>
          <w:rFonts w:ascii="Arial" w:hAnsi="Arial" w:cs="Arial"/>
        </w:rPr>
        <w:t xml:space="preserve"> migratory OSY literacy skills. Subgrantees will track the number of OSY who participat</w:t>
      </w:r>
      <w:r w:rsidR="00B854DC">
        <w:rPr>
          <w:rFonts w:ascii="Arial" w:hAnsi="Arial" w:cs="Arial"/>
        </w:rPr>
        <w:t xml:space="preserve">e </w:t>
      </w:r>
      <w:r w:rsidR="00F3728E" w:rsidRPr="00113364">
        <w:rPr>
          <w:rFonts w:ascii="Arial" w:hAnsi="Arial" w:cs="Arial"/>
        </w:rPr>
        <w:t xml:space="preserve">in or receive a referral to </w:t>
      </w:r>
      <w:r w:rsidRPr="00113364">
        <w:rPr>
          <w:rFonts w:ascii="Arial" w:hAnsi="Arial" w:cs="Arial"/>
        </w:rPr>
        <w:t>ELA, ESL, or GED services</w:t>
      </w:r>
      <w:r w:rsidR="00F3728E" w:rsidRPr="00113364">
        <w:rPr>
          <w:rFonts w:ascii="Arial" w:hAnsi="Arial" w:cs="Arial"/>
        </w:rPr>
        <w:t>.</w:t>
      </w:r>
    </w:p>
    <w:p w14:paraId="5040B063" w14:textId="613F2368" w:rsidR="0034470B" w:rsidRPr="00113364" w:rsidRDefault="00B20B59" w:rsidP="0034470B">
      <w:pPr>
        <w:spacing w:before="240"/>
        <w:rPr>
          <w:rFonts w:ascii="Arial" w:hAnsi="Arial" w:cs="Arial"/>
        </w:rPr>
      </w:pPr>
      <w:r w:rsidRPr="00113364">
        <w:rPr>
          <w:rFonts w:ascii="Arial" w:hAnsi="Arial" w:cs="Arial"/>
        </w:rPr>
        <w:t xml:space="preserve">Although literacy in </w:t>
      </w:r>
      <w:proofErr w:type="gramStart"/>
      <w:r w:rsidRPr="00113364">
        <w:rPr>
          <w:rFonts w:ascii="Arial" w:hAnsi="Arial" w:cs="Arial"/>
        </w:rPr>
        <w:t>an OSY’s</w:t>
      </w:r>
      <w:proofErr w:type="gramEnd"/>
      <w:r w:rsidRPr="00113364">
        <w:rPr>
          <w:rFonts w:ascii="Arial" w:hAnsi="Arial" w:cs="Arial"/>
        </w:rPr>
        <w:t xml:space="preserve"> primary language is not included in this iteration of the SDP, there is still support to which the MEP may refer. </w:t>
      </w:r>
      <w:r w:rsidR="0034470B" w:rsidRPr="00113364">
        <w:rPr>
          <w:rFonts w:ascii="Arial" w:hAnsi="Arial" w:cs="Arial"/>
        </w:rPr>
        <w:t xml:space="preserve">OSY who have not graduated from high school in their home </w:t>
      </w:r>
      <w:r w:rsidRPr="00113364">
        <w:rPr>
          <w:rFonts w:ascii="Arial" w:hAnsi="Arial" w:cs="Arial"/>
        </w:rPr>
        <w:t>country but</w:t>
      </w:r>
      <w:r w:rsidR="0034470B" w:rsidRPr="00113364">
        <w:rPr>
          <w:rFonts w:ascii="Arial" w:hAnsi="Arial" w:cs="Arial"/>
        </w:rPr>
        <w:t xml:space="preserve"> would like to continue their education in their primary language with the goal of obtaining a high school diploma upon their return</w:t>
      </w:r>
      <w:r w:rsidRPr="00113364">
        <w:rPr>
          <w:rFonts w:ascii="Arial" w:hAnsi="Arial" w:cs="Arial"/>
        </w:rPr>
        <w:t xml:space="preserve"> can be referred to Plazas </w:t>
      </w:r>
      <w:proofErr w:type="spellStart"/>
      <w:r w:rsidRPr="00113364">
        <w:rPr>
          <w:rFonts w:ascii="Arial" w:hAnsi="Arial" w:cs="Arial"/>
        </w:rPr>
        <w:t>Comunitarias</w:t>
      </w:r>
      <w:proofErr w:type="spellEnd"/>
      <w:r w:rsidRPr="00113364">
        <w:rPr>
          <w:rFonts w:ascii="Arial" w:hAnsi="Arial" w:cs="Arial"/>
        </w:rPr>
        <w:t xml:space="preserve">. </w:t>
      </w:r>
      <w:r w:rsidR="0034470B" w:rsidRPr="00113364">
        <w:rPr>
          <w:rFonts w:ascii="Arial" w:hAnsi="Arial" w:cs="Arial"/>
        </w:rPr>
        <w:t xml:space="preserve">Plazas </w:t>
      </w:r>
      <w:proofErr w:type="spellStart"/>
      <w:r w:rsidR="0034470B" w:rsidRPr="00113364">
        <w:rPr>
          <w:rFonts w:ascii="Arial" w:hAnsi="Arial" w:cs="Arial"/>
        </w:rPr>
        <w:t>Comunitarias</w:t>
      </w:r>
      <w:proofErr w:type="spellEnd"/>
      <w:r w:rsidR="0034470B" w:rsidRPr="00113364">
        <w:rPr>
          <w:rFonts w:ascii="Arial" w:hAnsi="Arial" w:cs="Arial"/>
        </w:rPr>
        <w:t xml:space="preserve"> is supported in part by the Mexican government and offer</w:t>
      </w:r>
      <w:r w:rsidR="00127D90">
        <w:rPr>
          <w:rFonts w:ascii="Arial" w:hAnsi="Arial" w:cs="Arial"/>
        </w:rPr>
        <w:t>s</w:t>
      </w:r>
      <w:r w:rsidR="0034470B" w:rsidRPr="00113364">
        <w:rPr>
          <w:rFonts w:ascii="Arial" w:hAnsi="Arial" w:cs="Arial"/>
        </w:rPr>
        <w:t xml:space="preserve"> basic literacy including </w:t>
      </w:r>
      <w:r w:rsidR="00E22495" w:rsidRPr="00113364">
        <w:rPr>
          <w:rFonts w:ascii="Arial" w:hAnsi="Arial" w:cs="Arial"/>
        </w:rPr>
        <w:t>elementary</w:t>
      </w:r>
      <w:r w:rsidR="0034470B" w:rsidRPr="00113364">
        <w:rPr>
          <w:rFonts w:ascii="Arial" w:hAnsi="Arial" w:cs="Arial"/>
        </w:rPr>
        <w:t xml:space="preserve"> and high school level classes taught in Spanish. Local MEPs have the option to work </w:t>
      </w:r>
      <w:r w:rsidR="00E22495" w:rsidRPr="00113364">
        <w:rPr>
          <w:rFonts w:ascii="Arial" w:hAnsi="Arial" w:cs="Arial"/>
        </w:rPr>
        <w:t>with</w:t>
      </w:r>
      <w:r w:rsidR="0034470B" w:rsidRPr="00113364">
        <w:rPr>
          <w:rFonts w:ascii="Arial" w:hAnsi="Arial" w:cs="Arial"/>
        </w:rPr>
        <w:t xml:space="preserve"> their local Mexican Consulate Plazas </w:t>
      </w:r>
      <w:proofErr w:type="spellStart"/>
      <w:r w:rsidR="0034470B" w:rsidRPr="00113364">
        <w:rPr>
          <w:rFonts w:ascii="Arial" w:hAnsi="Arial" w:cs="Arial"/>
        </w:rPr>
        <w:t>Comunitarias</w:t>
      </w:r>
      <w:proofErr w:type="spellEnd"/>
      <w:r w:rsidR="0034470B" w:rsidRPr="00113364">
        <w:rPr>
          <w:rFonts w:ascii="Arial" w:hAnsi="Arial" w:cs="Arial"/>
        </w:rPr>
        <w:t xml:space="preserve"> to provide literacy classes in Spanish.</w:t>
      </w:r>
    </w:p>
    <w:p w14:paraId="3C528898" w14:textId="0BEF7452" w:rsidR="00712E4F" w:rsidRPr="00113364" w:rsidRDefault="00712E4F" w:rsidP="00D330A6">
      <w:pPr>
        <w:spacing w:before="240" w:after="240"/>
        <w:rPr>
          <w:rFonts w:ascii="Arial" w:hAnsi="Arial" w:cs="Arial"/>
        </w:rPr>
      </w:pPr>
      <w:r w:rsidRPr="00113364">
        <w:rPr>
          <w:rFonts w:ascii="Arial" w:hAnsi="Arial" w:cs="Arial"/>
        </w:rPr>
        <w:t>The next focus area applies to all migratory children and OSY. The MEP provides various health services (e.g., screenings and treatment) based on need and resources. Several subgrantees offer dental and vision clinics to students while others provide referrals for medical screenings and treatment. Like the previous SDP, mental health continues to be a priority need for migratory children and youths.</w:t>
      </w:r>
    </w:p>
    <w:p w14:paraId="3FF4F5B1" w14:textId="137AC6A0" w:rsidR="00BA5C6E" w:rsidRPr="00113364" w:rsidRDefault="00BA5C6E" w:rsidP="003F0CBE">
      <w:pPr>
        <w:pStyle w:val="Heading3"/>
      </w:pPr>
      <w:bookmarkStart w:id="104" w:name="_Toc203568856"/>
      <w:r w:rsidRPr="00113364">
        <w:t>Health</w:t>
      </w:r>
      <w:bookmarkEnd w:id="104"/>
    </w:p>
    <w:p w14:paraId="338255FA" w14:textId="06FD478A" w:rsidR="00AE3F3F" w:rsidRPr="00113364" w:rsidRDefault="008E3964" w:rsidP="008E3964">
      <w:pPr>
        <w:spacing w:after="240"/>
        <w:rPr>
          <w:rFonts w:ascii="Arial" w:hAnsi="Arial" w:cs="Arial"/>
        </w:rPr>
      </w:pPr>
      <w:r w:rsidRPr="00113364">
        <w:rPr>
          <w:rFonts w:ascii="Arial" w:hAnsi="Arial" w:cs="Arial"/>
        </w:rPr>
        <w:t xml:space="preserve">Migratory children and youth have various demands on their mental and overall health that most of their peers do not. Moving frequently disrupts a lot in a </w:t>
      </w:r>
      <w:r w:rsidR="00127D90">
        <w:rPr>
          <w:rFonts w:ascii="Arial" w:hAnsi="Arial" w:cs="Arial"/>
        </w:rPr>
        <w:t>child’s</w:t>
      </w:r>
      <w:r w:rsidRPr="00113364">
        <w:rPr>
          <w:rFonts w:ascii="Arial" w:hAnsi="Arial" w:cs="Arial"/>
        </w:rPr>
        <w:t xml:space="preserve"> life. Sometimes one parent needs to travel ahead for work, so the family is separated for a while. This can put additional strain on the parent who stayed with the children. Unstable weather can lead to no work during the harvest which puts another financial strain on the family. Food instability, concern over and missing family members, and the stressors of starting over at a new school can seriously impact an individual’s overall and mental health.</w:t>
      </w:r>
      <w:r w:rsidR="00C52243" w:rsidRPr="00113364">
        <w:rPr>
          <w:rFonts w:ascii="Arial" w:hAnsi="Arial" w:cs="Arial"/>
        </w:rPr>
        <w:t xml:space="preserve"> Changes to</w:t>
      </w:r>
      <w:r w:rsidRPr="00113364">
        <w:rPr>
          <w:rFonts w:ascii="Arial" w:hAnsi="Arial" w:cs="Arial"/>
        </w:rPr>
        <w:t xml:space="preserve"> U.S. Immigration Policy continues to create fear within the migratory </w:t>
      </w:r>
      <w:r w:rsidR="00C52243" w:rsidRPr="00113364">
        <w:rPr>
          <w:rFonts w:ascii="Arial" w:hAnsi="Arial" w:cs="Arial"/>
        </w:rPr>
        <w:t xml:space="preserve">farm worker community; this rhetoric and fear is being consumed by children which can have lasting impacts. </w:t>
      </w:r>
      <w:r w:rsidRPr="00113364">
        <w:rPr>
          <w:rFonts w:ascii="Arial" w:hAnsi="Arial" w:cs="Arial"/>
        </w:rPr>
        <w:t>The</w:t>
      </w:r>
      <w:r w:rsidR="00EF59DB" w:rsidRPr="00113364">
        <w:rPr>
          <w:rFonts w:ascii="Arial" w:hAnsi="Arial" w:cs="Arial"/>
        </w:rPr>
        <w:t xml:space="preserve"> </w:t>
      </w:r>
      <w:proofErr w:type="gramStart"/>
      <w:r w:rsidR="00EF59DB" w:rsidRPr="00113364">
        <w:rPr>
          <w:rFonts w:ascii="Arial" w:hAnsi="Arial" w:cs="Arial"/>
        </w:rPr>
        <w:t>Health</w:t>
      </w:r>
      <w:proofErr w:type="gramEnd"/>
      <w:r w:rsidR="00EF59DB" w:rsidRPr="00113364">
        <w:rPr>
          <w:rFonts w:ascii="Arial" w:hAnsi="Arial" w:cs="Arial"/>
        </w:rPr>
        <w:t xml:space="preserve"> </w:t>
      </w:r>
      <w:r w:rsidR="00712E4F" w:rsidRPr="00113364">
        <w:rPr>
          <w:rFonts w:ascii="Arial" w:hAnsi="Arial" w:cs="Arial"/>
        </w:rPr>
        <w:t>s</w:t>
      </w:r>
      <w:r w:rsidR="00EF59DB" w:rsidRPr="00113364">
        <w:rPr>
          <w:rFonts w:ascii="Arial" w:hAnsi="Arial" w:cs="Arial"/>
        </w:rPr>
        <w:t xml:space="preserve">ubcommittee </w:t>
      </w:r>
      <w:r w:rsidR="00AE3F3F" w:rsidRPr="00113364">
        <w:rPr>
          <w:rFonts w:ascii="Arial" w:hAnsi="Arial" w:cs="Arial"/>
        </w:rPr>
        <w:t xml:space="preserve">recognized a need </w:t>
      </w:r>
      <w:r w:rsidR="00AE3F3F" w:rsidRPr="00113364">
        <w:rPr>
          <w:rFonts w:ascii="Arial" w:hAnsi="Arial" w:cs="Arial"/>
        </w:rPr>
        <w:lastRenderedPageBreak/>
        <w:t>to increase access to mental health services for migratory children. They noted</w:t>
      </w:r>
      <w:r w:rsidR="002A3DCB" w:rsidRPr="00113364">
        <w:rPr>
          <w:rFonts w:ascii="Arial" w:hAnsi="Arial" w:cs="Arial"/>
        </w:rPr>
        <w:t xml:space="preserve"> the following information</w:t>
      </w:r>
      <w:r w:rsidR="00AE3F3F" w:rsidRPr="00113364">
        <w:rPr>
          <w:rFonts w:ascii="Arial" w:hAnsi="Arial" w:cs="Arial"/>
        </w:rPr>
        <w:t>:</w:t>
      </w:r>
    </w:p>
    <w:p w14:paraId="33332014" w14:textId="77777777" w:rsidR="008E3964" w:rsidRPr="00113364" w:rsidRDefault="008E3964">
      <w:pPr>
        <w:pStyle w:val="ListParagraph"/>
        <w:numPr>
          <w:ilvl w:val="0"/>
          <w:numId w:val="15"/>
        </w:numPr>
        <w:spacing w:after="240"/>
        <w:ind w:left="720"/>
        <w:contextualSpacing w:val="0"/>
        <w:rPr>
          <w:rFonts w:ascii="Arial" w:hAnsi="Arial" w:cs="Arial"/>
        </w:rPr>
      </w:pPr>
      <w:r w:rsidRPr="00113364">
        <w:rPr>
          <w:rFonts w:ascii="Arial" w:hAnsi="Arial" w:cs="Arial"/>
        </w:rPr>
        <w:t xml:space="preserve">In 2020–21, 435 migratory students and youth indicated a mental health need and only 68 students and youth received services or mental health referrals. </w:t>
      </w:r>
    </w:p>
    <w:p w14:paraId="4B6271D6" w14:textId="77777777" w:rsidR="008E3964" w:rsidRPr="00113364" w:rsidRDefault="008E3964">
      <w:pPr>
        <w:pStyle w:val="ListParagraph"/>
        <w:numPr>
          <w:ilvl w:val="1"/>
          <w:numId w:val="15"/>
        </w:numPr>
        <w:spacing w:after="240"/>
        <w:ind w:left="1080"/>
        <w:contextualSpacing w:val="0"/>
        <w:rPr>
          <w:rFonts w:ascii="Arial" w:hAnsi="Arial" w:cs="Arial"/>
        </w:rPr>
      </w:pPr>
      <w:r w:rsidRPr="00113364">
        <w:rPr>
          <w:rFonts w:ascii="Arial" w:hAnsi="Arial" w:cs="Arial"/>
        </w:rPr>
        <w:t xml:space="preserve">Parents noted a large discrepancy during the 2020–21 school year. The CDE just began collecting data on mental health needs, so there is a large gap between the need and students whose needs were met. </w:t>
      </w:r>
    </w:p>
    <w:p w14:paraId="1AB5FF07" w14:textId="77777777" w:rsidR="008E3964" w:rsidRPr="00113364" w:rsidRDefault="008E3964">
      <w:pPr>
        <w:pStyle w:val="ListParagraph"/>
        <w:numPr>
          <w:ilvl w:val="0"/>
          <w:numId w:val="15"/>
        </w:numPr>
        <w:spacing w:after="240"/>
        <w:ind w:left="720"/>
        <w:contextualSpacing w:val="0"/>
        <w:rPr>
          <w:rFonts w:ascii="Arial" w:hAnsi="Arial" w:cs="Arial"/>
        </w:rPr>
      </w:pPr>
      <w:r w:rsidRPr="00113364">
        <w:rPr>
          <w:rFonts w:ascii="Arial" w:hAnsi="Arial" w:cs="Arial"/>
        </w:rPr>
        <w:t xml:space="preserve">In 2022–23, of the 507 children and youth who identified a mental health need, 408 migratory children and youth received mental health services. </w:t>
      </w:r>
    </w:p>
    <w:p w14:paraId="530572AE" w14:textId="53949F2A" w:rsidR="008E3964" w:rsidRPr="00113364" w:rsidRDefault="008E3964">
      <w:pPr>
        <w:pStyle w:val="ListParagraph"/>
        <w:numPr>
          <w:ilvl w:val="1"/>
          <w:numId w:val="15"/>
        </w:numPr>
        <w:spacing w:after="240"/>
        <w:ind w:left="1080"/>
        <w:contextualSpacing w:val="0"/>
        <w:rPr>
          <w:rFonts w:ascii="Arial" w:hAnsi="Arial" w:cs="Arial"/>
        </w:rPr>
      </w:pPr>
      <w:r w:rsidRPr="00113364">
        <w:rPr>
          <w:rFonts w:ascii="Arial" w:hAnsi="Arial" w:cs="Arial"/>
        </w:rPr>
        <w:t xml:space="preserve">During this time </w:t>
      </w:r>
      <w:r w:rsidR="00A836A6" w:rsidRPr="00113364">
        <w:rPr>
          <w:rFonts w:ascii="Arial" w:hAnsi="Arial" w:cs="Arial"/>
        </w:rPr>
        <w:t>when</w:t>
      </w:r>
      <w:r w:rsidRPr="00113364">
        <w:rPr>
          <w:rFonts w:ascii="Arial" w:hAnsi="Arial" w:cs="Arial"/>
        </w:rPr>
        <w:t xml:space="preserve"> data was being collected and monitored, parents noticed that many more children and youth</w:t>
      </w:r>
      <w:r w:rsidR="002A3DCB" w:rsidRPr="00113364">
        <w:rPr>
          <w:rFonts w:ascii="Arial" w:hAnsi="Arial" w:cs="Arial"/>
        </w:rPr>
        <w:t>s</w:t>
      </w:r>
      <w:r w:rsidRPr="00113364">
        <w:rPr>
          <w:rFonts w:ascii="Arial" w:hAnsi="Arial" w:cs="Arial"/>
        </w:rPr>
        <w:t xml:space="preserve"> had </w:t>
      </w:r>
      <w:proofErr w:type="gramStart"/>
      <w:r w:rsidRPr="00113364">
        <w:rPr>
          <w:rFonts w:ascii="Arial" w:hAnsi="Arial" w:cs="Arial"/>
        </w:rPr>
        <w:t>their mental health needs met</w:t>
      </w:r>
      <w:proofErr w:type="gramEnd"/>
      <w:r w:rsidRPr="00113364">
        <w:rPr>
          <w:rFonts w:ascii="Arial" w:hAnsi="Arial" w:cs="Arial"/>
        </w:rPr>
        <w:t>.</w:t>
      </w:r>
    </w:p>
    <w:p w14:paraId="130D4D76" w14:textId="77777777" w:rsidR="008E3964" w:rsidRPr="00113364" w:rsidRDefault="008E3964">
      <w:pPr>
        <w:pStyle w:val="ListParagraph"/>
        <w:numPr>
          <w:ilvl w:val="0"/>
          <w:numId w:val="15"/>
        </w:numPr>
        <w:spacing w:after="240"/>
        <w:ind w:left="720"/>
        <w:contextualSpacing w:val="0"/>
        <w:rPr>
          <w:rFonts w:ascii="Arial" w:hAnsi="Arial" w:cs="Arial"/>
        </w:rPr>
      </w:pPr>
      <w:r w:rsidRPr="00113364">
        <w:rPr>
          <w:rFonts w:ascii="Arial" w:hAnsi="Arial" w:cs="Arial"/>
        </w:rPr>
        <w:t>During discussions, parents communicated that mental health remained to be a need that could be supported by the MEP.</w:t>
      </w:r>
    </w:p>
    <w:p w14:paraId="08DE9318" w14:textId="334701E1" w:rsidR="00AE3F3F" w:rsidRPr="00113364" w:rsidRDefault="00AE3F3F">
      <w:pPr>
        <w:numPr>
          <w:ilvl w:val="0"/>
          <w:numId w:val="15"/>
        </w:numPr>
        <w:spacing w:after="240"/>
        <w:ind w:left="720"/>
        <w:rPr>
          <w:rFonts w:ascii="Arial" w:hAnsi="Arial" w:cs="Arial"/>
        </w:rPr>
      </w:pPr>
      <w:r w:rsidRPr="00113364">
        <w:rPr>
          <w:rFonts w:ascii="Arial" w:hAnsi="Arial" w:cs="Arial"/>
        </w:rPr>
        <w:t>Increased parental requests for referrals and services (anxiety, depression)</w:t>
      </w:r>
      <w:r w:rsidR="00C52243" w:rsidRPr="00113364">
        <w:rPr>
          <w:rFonts w:ascii="Arial" w:hAnsi="Arial" w:cs="Arial"/>
        </w:rPr>
        <w:t>.</w:t>
      </w:r>
    </w:p>
    <w:p w14:paraId="5DBDBF1B" w14:textId="461FE5BC" w:rsidR="00C52243" w:rsidRPr="00113364" w:rsidRDefault="00AE3F3F">
      <w:pPr>
        <w:numPr>
          <w:ilvl w:val="0"/>
          <w:numId w:val="15"/>
        </w:numPr>
        <w:spacing w:after="240"/>
        <w:ind w:left="720"/>
        <w:rPr>
          <w:rFonts w:ascii="Arial" w:hAnsi="Arial" w:cs="Arial"/>
        </w:rPr>
      </w:pPr>
      <w:r w:rsidRPr="00113364">
        <w:rPr>
          <w:rFonts w:ascii="Arial" w:hAnsi="Arial" w:cs="Arial"/>
        </w:rPr>
        <w:t>Increased stress and anxiety among the migratory student population</w:t>
      </w:r>
      <w:r w:rsidR="00C52243" w:rsidRPr="00113364">
        <w:rPr>
          <w:rFonts w:ascii="Arial" w:hAnsi="Arial" w:cs="Arial"/>
        </w:rPr>
        <w:t>.</w:t>
      </w:r>
    </w:p>
    <w:p w14:paraId="757C9BD0" w14:textId="50BD44B2" w:rsidR="00AE3F3F" w:rsidRPr="00113364" w:rsidRDefault="00C52243">
      <w:pPr>
        <w:numPr>
          <w:ilvl w:val="0"/>
          <w:numId w:val="15"/>
        </w:numPr>
        <w:spacing w:after="240"/>
        <w:ind w:left="720"/>
        <w:rPr>
          <w:rFonts w:ascii="Arial" w:hAnsi="Arial" w:cs="Arial"/>
        </w:rPr>
      </w:pPr>
      <w:r w:rsidRPr="00113364">
        <w:rPr>
          <w:rFonts w:ascii="Arial" w:hAnsi="Arial" w:cs="Arial"/>
        </w:rPr>
        <w:t>Parents wanted to learn more about managing mental health and are glad that it is becoming less stigmatized.</w:t>
      </w:r>
    </w:p>
    <w:p w14:paraId="1535847B" w14:textId="4D0711AA" w:rsidR="003F1D76" w:rsidRPr="00AB270E" w:rsidRDefault="00AE3F3F" w:rsidP="00AB270E">
      <w:pPr>
        <w:spacing w:before="240" w:after="240"/>
        <w:rPr>
          <w:rFonts w:ascii="Arial" w:hAnsi="Arial" w:cs="Arial"/>
        </w:rPr>
      </w:pPr>
      <w:r w:rsidRPr="00113364">
        <w:rPr>
          <w:rFonts w:ascii="Arial" w:hAnsi="Arial" w:cs="Arial"/>
        </w:rPr>
        <w:t xml:space="preserve">By addressing access to mental health services, the MEP infers that students will see some improvements to their mental health. Subgrantees will track the number of mental health services provided, or </w:t>
      </w:r>
      <w:r w:rsidR="00C52243" w:rsidRPr="00113364">
        <w:rPr>
          <w:rFonts w:ascii="Arial" w:hAnsi="Arial" w:cs="Arial"/>
        </w:rPr>
        <w:t>referred to</w:t>
      </w:r>
      <w:r w:rsidRPr="00113364">
        <w:rPr>
          <w:rFonts w:ascii="Arial" w:hAnsi="Arial" w:cs="Arial"/>
        </w:rPr>
        <w:t>, to students w</w:t>
      </w:r>
      <w:r w:rsidR="00C52243" w:rsidRPr="00113364">
        <w:rPr>
          <w:rFonts w:ascii="Arial" w:hAnsi="Arial" w:cs="Arial"/>
        </w:rPr>
        <w:t>ith an</w:t>
      </w:r>
      <w:r w:rsidRPr="00113364">
        <w:rPr>
          <w:rFonts w:ascii="Arial" w:hAnsi="Arial" w:cs="Arial"/>
        </w:rPr>
        <w:t xml:space="preserve"> indicated need on their </w:t>
      </w:r>
      <w:r w:rsidR="00E22495" w:rsidRPr="00113364">
        <w:rPr>
          <w:rFonts w:ascii="Arial" w:hAnsi="Arial" w:cs="Arial"/>
        </w:rPr>
        <w:t>I</w:t>
      </w:r>
      <w:r w:rsidR="00C52243" w:rsidRPr="00113364">
        <w:rPr>
          <w:rFonts w:ascii="Arial" w:hAnsi="Arial" w:cs="Arial"/>
        </w:rPr>
        <w:t>NA</w:t>
      </w:r>
      <w:r w:rsidRPr="00113364">
        <w:rPr>
          <w:rFonts w:ascii="Arial" w:hAnsi="Arial" w:cs="Arial"/>
        </w:rPr>
        <w:t xml:space="preserve">. Table </w:t>
      </w:r>
      <w:r w:rsidR="00C52243" w:rsidRPr="00113364">
        <w:rPr>
          <w:rFonts w:ascii="Arial" w:hAnsi="Arial" w:cs="Arial"/>
        </w:rPr>
        <w:t>38</w:t>
      </w:r>
      <w:r w:rsidRPr="00113364">
        <w:rPr>
          <w:rFonts w:ascii="Arial" w:hAnsi="Arial" w:cs="Arial"/>
        </w:rPr>
        <w:t xml:space="preserve"> identifies the strategies and MPOs for increasing migratory children’s access to mental health services.</w:t>
      </w:r>
    </w:p>
    <w:p w14:paraId="57D5406D" w14:textId="5E704C8C" w:rsidR="00130D73" w:rsidRPr="00113364" w:rsidRDefault="00130D73" w:rsidP="00D330A6">
      <w:pPr>
        <w:pStyle w:val="Heading4"/>
        <w:spacing w:after="0"/>
        <w:rPr>
          <w:sz w:val="24"/>
        </w:rPr>
      </w:pPr>
      <w:bookmarkStart w:id="105" w:name="_Toc204755374"/>
      <w:r w:rsidRPr="00113364">
        <w:rPr>
          <w:sz w:val="24"/>
        </w:rPr>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38</w:t>
      </w:r>
      <w:r w:rsidR="00C46CA6" w:rsidRPr="00113364">
        <w:rPr>
          <w:noProof/>
          <w:sz w:val="24"/>
        </w:rPr>
        <w:fldChar w:fldCharType="end"/>
      </w:r>
      <w:r w:rsidRPr="00113364">
        <w:rPr>
          <w:sz w:val="24"/>
        </w:rPr>
        <w:t xml:space="preserve">. </w:t>
      </w:r>
      <w:r w:rsidR="004646B2" w:rsidRPr="00113364">
        <w:rPr>
          <w:sz w:val="24"/>
        </w:rPr>
        <w:t xml:space="preserve">Strategies and </w:t>
      </w:r>
      <w:r w:rsidR="00A03E6E" w:rsidRPr="00113364">
        <w:rPr>
          <w:sz w:val="24"/>
        </w:rPr>
        <w:t>Measurable Program Objectives</w:t>
      </w:r>
      <w:r w:rsidRPr="00113364">
        <w:rPr>
          <w:sz w:val="24"/>
        </w:rPr>
        <w:t xml:space="preserve"> for Increasing </w:t>
      </w:r>
      <w:r w:rsidR="001C1B1E" w:rsidRPr="00113364">
        <w:rPr>
          <w:sz w:val="24"/>
        </w:rPr>
        <w:t xml:space="preserve">Access to </w:t>
      </w:r>
      <w:r w:rsidRPr="00113364">
        <w:rPr>
          <w:sz w:val="24"/>
        </w:rPr>
        <w:t>Mental Health Services</w:t>
      </w:r>
      <w:bookmarkEnd w:id="105"/>
    </w:p>
    <w:tbl>
      <w:tblPr>
        <w:tblStyle w:val="GridTable4-Accent1"/>
        <w:tblW w:w="9355" w:type="dxa"/>
        <w:tblLook w:val="0420" w:firstRow="1" w:lastRow="0" w:firstColumn="0" w:lastColumn="0" w:noHBand="0" w:noVBand="1"/>
        <w:tblDescription w:val="Strategies and Measurable Program Objectives for Increasing Access to Mental Health Services"/>
      </w:tblPr>
      <w:tblGrid>
        <w:gridCol w:w="4585"/>
        <w:gridCol w:w="4770"/>
      </w:tblGrid>
      <w:tr w:rsidR="00AE3F3F" w:rsidRPr="00113364" w14:paraId="001D0634" w14:textId="77777777" w:rsidTr="00172AE1">
        <w:trPr>
          <w:cnfStyle w:val="100000000000" w:firstRow="1" w:lastRow="0" w:firstColumn="0" w:lastColumn="0" w:oddVBand="0" w:evenVBand="0" w:oddHBand="0" w:evenHBand="0" w:firstRowFirstColumn="0" w:firstRowLastColumn="0" w:lastRowFirstColumn="0" w:lastRowLastColumn="0"/>
          <w:cantSplit/>
          <w:tblHeader/>
        </w:trPr>
        <w:tc>
          <w:tcPr>
            <w:tcW w:w="4585" w:type="dxa"/>
            <w:tcBorders>
              <w:right w:val="single" w:sz="4" w:space="0" w:color="4472C4"/>
            </w:tcBorders>
            <w:shd w:val="clear" w:color="auto" w:fill="1F3864" w:themeFill="accent5" w:themeFillShade="80"/>
          </w:tcPr>
          <w:p w14:paraId="2B158937" w14:textId="77777777" w:rsidR="00AE3F3F" w:rsidRPr="00113364" w:rsidRDefault="00AE3F3F" w:rsidP="00AE3F3F">
            <w:pPr>
              <w:rPr>
                <w:rFonts w:ascii="Arial" w:hAnsi="Arial" w:cs="Arial"/>
                <w:color w:val="FFFFFF"/>
              </w:rPr>
            </w:pPr>
            <w:r w:rsidRPr="00113364">
              <w:rPr>
                <w:rFonts w:ascii="Arial" w:hAnsi="Arial" w:cs="Arial"/>
                <w:color w:val="FFFFFF"/>
              </w:rPr>
              <w:t>Strategies</w:t>
            </w:r>
          </w:p>
        </w:tc>
        <w:tc>
          <w:tcPr>
            <w:tcW w:w="4770" w:type="dxa"/>
            <w:tcBorders>
              <w:left w:val="single" w:sz="4" w:space="0" w:color="4472C4"/>
            </w:tcBorders>
            <w:shd w:val="clear" w:color="auto" w:fill="1F3864" w:themeFill="accent5" w:themeFillShade="80"/>
          </w:tcPr>
          <w:p w14:paraId="743DC0DE" w14:textId="77777777" w:rsidR="00AE3F3F" w:rsidRPr="00113364" w:rsidRDefault="00AE3F3F" w:rsidP="00AE3F3F">
            <w:pPr>
              <w:rPr>
                <w:rFonts w:ascii="Arial" w:hAnsi="Arial" w:cs="Arial"/>
                <w:color w:val="FFFFFF"/>
              </w:rPr>
            </w:pPr>
            <w:r w:rsidRPr="00113364">
              <w:rPr>
                <w:rFonts w:ascii="Arial" w:hAnsi="Arial" w:cs="Arial"/>
                <w:color w:val="FFFFFF"/>
              </w:rPr>
              <w:t>Measurable Program Objectives</w:t>
            </w:r>
          </w:p>
        </w:tc>
      </w:tr>
      <w:tr w:rsidR="002B4A8E" w:rsidRPr="00113364" w14:paraId="63DABFC8"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4585" w:type="dxa"/>
          </w:tcPr>
          <w:p w14:paraId="7483AE9D" w14:textId="58AF13A6" w:rsidR="00AE3F3F" w:rsidRPr="00113364" w:rsidRDefault="00AE3F3F" w:rsidP="00AE3F3F">
            <w:pPr>
              <w:rPr>
                <w:rFonts w:ascii="Arial" w:hAnsi="Arial" w:cs="Arial"/>
              </w:rPr>
            </w:pPr>
            <w:r w:rsidRPr="00113364">
              <w:rPr>
                <w:rFonts w:ascii="Arial" w:hAnsi="Arial" w:cs="Arial"/>
                <w:b/>
              </w:rPr>
              <w:t xml:space="preserve">Strategy 11.0: </w:t>
            </w:r>
            <w:r w:rsidR="002B4A8E" w:rsidRPr="00113364">
              <w:rPr>
                <w:rFonts w:ascii="Arial" w:hAnsi="Arial" w:cs="Arial"/>
              </w:rPr>
              <w:t>Offer mental health information sessions for all migratory students and</w:t>
            </w:r>
            <w:r w:rsidR="00132F89" w:rsidRPr="00113364">
              <w:rPr>
                <w:rFonts w:ascii="Arial" w:hAnsi="Arial" w:cs="Arial"/>
              </w:rPr>
              <w:t>/or</w:t>
            </w:r>
            <w:r w:rsidR="002B4A8E" w:rsidRPr="00113364">
              <w:rPr>
                <w:rFonts w:ascii="Arial" w:hAnsi="Arial" w:cs="Arial"/>
              </w:rPr>
              <w:t xml:space="preserve"> parents so they can identify when help is needed.</w:t>
            </w:r>
          </w:p>
        </w:tc>
        <w:tc>
          <w:tcPr>
            <w:tcW w:w="4770" w:type="dxa"/>
          </w:tcPr>
          <w:p w14:paraId="60778AC6" w14:textId="1464146D" w:rsidR="003F1D76" w:rsidRPr="002B4A8E" w:rsidRDefault="00AE3F3F" w:rsidP="003F1D76">
            <w:pPr>
              <w:rPr>
                <w:rFonts w:ascii="Arial" w:hAnsi="Arial" w:cs="Arial"/>
              </w:rPr>
            </w:pPr>
            <w:r w:rsidRPr="00113364">
              <w:rPr>
                <w:rFonts w:ascii="Arial" w:hAnsi="Arial" w:cs="Arial"/>
                <w:b/>
              </w:rPr>
              <w:t xml:space="preserve">Measurable Program Objective 11.0: </w:t>
            </w:r>
            <w:r w:rsidR="003F1D76" w:rsidRPr="002B4A8E">
              <w:rPr>
                <w:rFonts w:ascii="Arial" w:hAnsi="Arial" w:cs="Arial"/>
              </w:rPr>
              <w:t>The MEP will offer two developmentally appropriate mental health</w:t>
            </w:r>
            <w:r w:rsidR="003F1D76">
              <w:rPr>
                <w:rFonts w:ascii="Arial" w:hAnsi="Arial" w:cs="Arial"/>
              </w:rPr>
              <w:t xml:space="preserve"> sessions</w:t>
            </w:r>
            <w:r w:rsidR="003F1D76" w:rsidRPr="002B4A8E">
              <w:rPr>
                <w:rFonts w:ascii="Arial" w:hAnsi="Arial" w:cs="Arial"/>
              </w:rPr>
              <w:t xml:space="preserve"> </w:t>
            </w:r>
          </w:p>
          <w:p w14:paraId="7ACE9FF0" w14:textId="01125DDE" w:rsidR="00AE3F3F" w:rsidRPr="00113364" w:rsidRDefault="003F1D76" w:rsidP="003F1D76">
            <w:pPr>
              <w:rPr>
                <w:rFonts w:ascii="Arial" w:hAnsi="Arial" w:cs="Arial"/>
              </w:rPr>
            </w:pPr>
            <w:r w:rsidRPr="002B4A8E">
              <w:rPr>
                <w:rFonts w:ascii="Arial" w:hAnsi="Arial" w:cs="Arial"/>
              </w:rPr>
              <w:t>(e.g., one-time workshops, empowerment groups, and/or mental health education series) to meet local mental health needs.</w:t>
            </w:r>
          </w:p>
        </w:tc>
      </w:tr>
      <w:tr w:rsidR="002B4A8E" w:rsidRPr="00113364" w14:paraId="5739F80B" w14:textId="77777777" w:rsidTr="00940787">
        <w:trPr>
          <w:cantSplit/>
          <w:trHeight w:val="251"/>
        </w:trPr>
        <w:tc>
          <w:tcPr>
            <w:tcW w:w="4585" w:type="dxa"/>
          </w:tcPr>
          <w:p w14:paraId="59FC56C3" w14:textId="569F784C" w:rsidR="002B4A8E" w:rsidRPr="00113364" w:rsidRDefault="002B4A8E" w:rsidP="002B4A8E">
            <w:pPr>
              <w:spacing w:after="120"/>
              <w:rPr>
                <w:rFonts w:ascii="Arial" w:hAnsi="Arial" w:cs="Arial"/>
              </w:rPr>
            </w:pPr>
            <w:r w:rsidRPr="00113364">
              <w:rPr>
                <w:rFonts w:ascii="Arial" w:hAnsi="Arial" w:cs="Arial"/>
                <w:b/>
                <w:bCs/>
              </w:rPr>
              <w:lastRenderedPageBreak/>
              <w:t>Strategy 11.1:</w:t>
            </w:r>
            <w:r w:rsidRPr="00113364">
              <w:rPr>
                <w:rFonts w:ascii="Arial" w:hAnsi="Arial" w:cs="Arial"/>
              </w:rPr>
              <w:t xml:space="preserve"> Provide mental health services and referrals to migratory children and youths with an identified mental health need on the INA.</w:t>
            </w:r>
          </w:p>
        </w:tc>
        <w:tc>
          <w:tcPr>
            <w:tcW w:w="4770" w:type="dxa"/>
          </w:tcPr>
          <w:p w14:paraId="40996163" w14:textId="59AF3D0B" w:rsidR="002B4A8E" w:rsidRPr="00113364" w:rsidRDefault="002B4A8E" w:rsidP="002B4A8E">
            <w:pPr>
              <w:spacing w:after="120"/>
              <w:rPr>
                <w:rFonts w:ascii="Arial" w:hAnsi="Arial" w:cs="Arial"/>
              </w:rPr>
            </w:pPr>
            <w:r w:rsidRPr="00113364">
              <w:rPr>
                <w:rFonts w:ascii="Arial" w:hAnsi="Arial" w:cs="Arial"/>
                <w:b/>
                <w:bCs/>
              </w:rPr>
              <w:t>Measurable Program Objective 11.1:</w:t>
            </w:r>
            <w:r w:rsidRPr="00113364">
              <w:rPr>
                <w:rFonts w:ascii="Arial" w:hAnsi="Arial" w:cs="Arial"/>
              </w:rPr>
              <w:t xml:space="preserve"> Every year the MEP will ensure that </w:t>
            </w:r>
            <w:r w:rsidR="003F1D76">
              <w:rPr>
                <w:rFonts w:ascii="Arial" w:hAnsi="Arial" w:cs="Arial"/>
              </w:rPr>
              <w:t>8</w:t>
            </w:r>
            <w:r w:rsidRPr="00113364">
              <w:rPr>
                <w:rFonts w:ascii="Arial" w:hAnsi="Arial" w:cs="Arial"/>
              </w:rPr>
              <w:t xml:space="preserve">0 percent of migratory children and youths with an identified mental health need </w:t>
            </w:r>
            <w:proofErr w:type="gramStart"/>
            <w:r w:rsidRPr="00113364">
              <w:rPr>
                <w:rFonts w:ascii="Arial" w:hAnsi="Arial" w:cs="Arial"/>
              </w:rPr>
              <w:t>listed</w:t>
            </w:r>
            <w:proofErr w:type="gramEnd"/>
            <w:r w:rsidRPr="00113364">
              <w:rPr>
                <w:rFonts w:ascii="Arial" w:hAnsi="Arial" w:cs="Arial"/>
              </w:rPr>
              <w:t xml:space="preserve"> on their INA receive mental health services.</w:t>
            </w:r>
          </w:p>
        </w:tc>
      </w:tr>
    </w:tbl>
    <w:p w14:paraId="57E3B63A" w14:textId="5701F018" w:rsidR="00AE3F3F" w:rsidRPr="00113364" w:rsidRDefault="002D617D" w:rsidP="00694080">
      <w:pPr>
        <w:spacing w:before="240"/>
        <w:rPr>
          <w:rFonts w:ascii="Arial" w:hAnsi="Arial" w:cs="Arial"/>
        </w:rPr>
      </w:pPr>
      <w:r w:rsidRPr="00113364">
        <w:rPr>
          <w:rFonts w:ascii="Arial" w:hAnsi="Arial" w:cs="Arial"/>
        </w:rPr>
        <w:t>P</w:t>
      </w:r>
      <w:r w:rsidR="00AE3F3F" w:rsidRPr="00113364">
        <w:rPr>
          <w:rFonts w:ascii="Arial" w:hAnsi="Arial" w:cs="Arial"/>
        </w:rPr>
        <w:t xml:space="preserve">erformance target </w:t>
      </w:r>
      <w:r w:rsidRPr="00113364">
        <w:rPr>
          <w:rFonts w:ascii="Arial" w:hAnsi="Arial" w:cs="Arial"/>
        </w:rPr>
        <w:t xml:space="preserve">for the </w:t>
      </w:r>
      <w:proofErr w:type="gramStart"/>
      <w:r w:rsidRPr="00113364">
        <w:rPr>
          <w:rFonts w:ascii="Arial" w:hAnsi="Arial" w:cs="Arial"/>
        </w:rPr>
        <w:t>Health</w:t>
      </w:r>
      <w:proofErr w:type="gramEnd"/>
      <w:r w:rsidRPr="00113364">
        <w:rPr>
          <w:rFonts w:ascii="Arial" w:hAnsi="Arial" w:cs="Arial"/>
        </w:rPr>
        <w:t xml:space="preserve"> focus area</w:t>
      </w:r>
      <w:r w:rsidR="006F65B6" w:rsidRPr="00113364">
        <w:rPr>
          <w:rFonts w:ascii="Arial" w:hAnsi="Arial" w:cs="Arial"/>
        </w:rPr>
        <w:t xml:space="preserve">: By </w:t>
      </w:r>
      <w:r w:rsidR="00252051" w:rsidRPr="00113364">
        <w:rPr>
          <w:rFonts w:ascii="Arial" w:hAnsi="Arial" w:cs="Arial"/>
        </w:rPr>
        <w:t>September</w:t>
      </w:r>
      <w:r w:rsidR="006F65B6" w:rsidRPr="00113364">
        <w:rPr>
          <w:rFonts w:ascii="Arial" w:hAnsi="Arial" w:cs="Arial"/>
        </w:rPr>
        <w:t xml:space="preserve"> 20</w:t>
      </w:r>
      <w:r w:rsidRPr="00113364">
        <w:rPr>
          <w:rFonts w:ascii="Arial" w:hAnsi="Arial" w:cs="Arial"/>
        </w:rPr>
        <w:t>31</w:t>
      </w:r>
      <w:r w:rsidR="006F65B6" w:rsidRPr="00113364">
        <w:rPr>
          <w:rFonts w:ascii="Arial" w:hAnsi="Arial" w:cs="Arial"/>
        </w:rPr>
        <w:t xml:space="preserve">, </w:t>
      </w:r>
      <w:r w:rsidR="00C36BF6" w:rsidRPr="00113364">
        <w:rPr>
          <w:rFonts w:ascii="Arial" w:hAnsi="Arial" w:cs="Arial"/>
        </w:rPr>
        <w:t>78</w:t>
      </w:r>
      <w:r w:rsidR="006F65B6" w:rsidRPr="00113364">
        <w:rPr>
          <w:rFonts w:ascii="Arial" w:hAnsi="Arial" w:cs="Arial"/>
        </w:rPr>
        <w:t xml:space="preserve"> percent of migratory students who want to improve their mental health as indicated on the INA/ILP will receive at least one health service or referral.</w:t>
      </w:r>
    </w:p>
    <w:p w14:paraId="2F186ACF" w14:textId="0539BC8F" w:rsidR="006E619B" w:rsidRPr="00113364" w:rsidRDefault="00132F89" w:rsidP="00694080">
      <w:pPr>
        <w:spacing w:before="240"/>
        <w:rPr>
          <w:rFonts w:ascii="Arial" w:hAnsi="Arial" w:cs="Arial"/>
        </w:rPr>
      </w:pPr>
      <w:r w:rsidRPr="00113364">
        <w:rPr>
          <w:rFonts w:ascii="Arial" w:hAnsi="Arial" w:cs="Arial"/>
        </w:rPr>
        <w:t>These two strategies are almost identical to the SDP (2017) Mental Health focus area strategies. The MEP has two options in meeting SDP Strategy 11.0. First, the MEP can offer two developmentally appropriate students and/or parent workshops focused on mental health issues (e.g., anxiety for elementary, suicide prevention for high school). Or the MEP can o</w:t>
      </w:r>
      <w:r w:rsidR="002F7061">
        <w:rPr>
          <w:rFonts w:ascii="Arial" w:hAnsi="Arial" w:cs="Arial"/>
        </w:rPr>
        <w:t>ffer</w:t>
      </w:r>
      <w:r w:rsidRPr="00113364">
        <w:rPr>
          <w:rFonts w:ascii="Arial" w:hAnsi="Arial" w:cs="Arial"/>
        </w:rPr>
        <w:t xml:space="preserve"> empowerment groups focused on meditation and strategies to reduce depression. The intent of the strategy is to provide a flexible way to meet the mental health needs of migratory children and youth. </w:t>
      </w:r>
    </w:p>
    <w:p w14:paraId="4DFE8A31" w14:textId="47711F64" w:rsidR="00132F89" w:rsidRPr="00113364" w:rsidRDefault="00132F89" w:rsidP="003F1D76">
      <w:pPr>
        <w:spacing w:before="240" w:after="240"/>
        <w:rPr>
          <w:rFonts w:ascii="Arial" w:hAnsi="Arial" w:cs="Arial"/>
        </w:rPr>
      </w:pPr>
      <w:r w:rsidRPr="00113364">
        <w:rPr>
          <w:rFonts w:ascii="Arial" w:hAnsi="Arial" w:cs="Arial"/>
        </w:rPr>
        <w:t xml:space="preserve">Strategy 11.1 is also a continuation from the previous SDP. With the development of the INA and aligning MPO Reports in MSIN, streamlining enrollment or referrals for students with mental health needs </w:t>
      </w:r>
      <w:r w:rsidR="001A7D30" w:rsidRPr="00113364">
        <w:rPr>
          <w:rFonts w:ascii="Arial" w:hAnsi="Arial" w:cs="Arial"/>
        </w:rPr>
        <w:t xml:space="preserve">is almost immediate which allows the student to receive the timely help needed. While parents </w:t>
      </w:r>
      <w:proofErr w:type="gramStart"/>
      <w:r w:rsidR="001A7D30" w:rsidRPr="00113364">
        <w:rPr>
          <w:rFonts w:ascii="Arial" w:hAnsi="Arial" w:cs="Arial"/>
        </w:rPr>
        <w:t>are not able to</w:t>
      </w:r>
      <w:proofErr w:type="gramEnd"/>
      <w:r w:rsidR="001A7D30" w:rsidRPr="00113364">
        <w:rPr>
          <w:rFonts w:ascii="Arial" w:hAnsi="Arial" w:cs="Arial"/>
        </w:rPr>
        <w:t xml:space="preserve"> receive MEP services students can receive such as financial literacy or health services, they are able to take advantage of any activities that support student achievement and overall well-being. This may include attending workshops to learn about high school graduation requirements or a workshop teaching the signs of a child who is experiencing feelings of depression. In addition t</w:t>
      </w:r>
      <w:r w:rsidR="00315040" w:rsidRPr="00113364">
        <w:rPr>
          <w:rFonts w:ascii="Arial" w:hAnsi="Arial" w:cs="Arial"/>
        </w:rPr>
        <w:t>o the</w:t>
      </w:r>
      <w:r w:rsidR="001A7D30" w:rsidRPr="00113364">
        <w:rPr>
          <w:rFonts w:ascii="Arial" w:hAnsi="Arial" w:cs="Arial"/>
        </w:rPr>
        <w:t xml:space="preserve"> parent activities already covered in other focus areas like Health, the Parent and Family Engagement focus area includes dynamic strategies that support current parental needs.</w:t>
      </w:r>
    </w:p>
    <w:p w14:paraId="55D2ABAE" w14:textId="77777777" w:rsidR="00BA5C6E" w:rsidRPr="00113364" w:rsidRDefault="00BA5C6E" w:rsidP="003F0CBE">
      <w:pPr>
        <w:pStyle w:val="Heading3"/>
      </w:pPr>
      <w:bookmarkStart w:id="106" w:name="_Toc203568857"/>
      <w:r w:rsidRPr="00113364">
        <w:t>Parent and Family Engagement</w:t>
      </w:r>
      <w:bookmarkEnd w:id="106"/>
    </w:p>
    <w:p w14:paraId="0E111F89" w14:textId="5A274D50" w:rsidR="00AE3F3F" w:rsidRPr="00113364" w:rsidRDefault="00AE3F3F" w:rsidP="00AE3F3F">
      <w:pPr>
        <w:spacing w:after="240"/>
        <w:rPr>
          <w:rFonts w:ascii="Arial" w:hAnsi="Arial" w:cs="Arial"/>
        </w:rPr>
      </w:pPr>
      <w:r w:rsidRPr="00113364">
        <w:rPr>
          <w:rFonts w:ascii="Arial" w:hAnsi="Arial" w:cs="Arial"/>
        </w:rPr>
        <w:t xml:space="preserve">Offering workshops and services to </w:t>
      </w:r>
      <w:r w:rsidR="00471E47" w:rsidRPr="00113364">
        <w:rPr>
          <w:rFonts w:ascii="Arial" w:hAnsi="Arial" w:cs="Arial"/>
        </w:rPr>
        <w:t>enhance</w:t>
      </w:r>
      <w:r w:rsidRPr="00113364">
        <w:rPr>
          <w:rFonts w:ascii="Arial" w:hAnsi="Arial" w:cs="Arial"/>
        </w:rPr>
        <w:t xml:space="preserve"> parents’ capacity to participate in and support their children’s education will increase </w:t>
      </w:r>
      <w:r w:rsidR="00471E47" w:rsidRPr="00113364">
        <w:rPr>
          <w:rFonts w:ascii="Arial" w:hAnsi="Arial" w:cs="Arial"/>
        </w:rPr>
        <w:t>the support children and youth receive towards academic and overall success</w:t>
      </w:r>
      <w:r w:rsidRPr="00113364">
        <w:rPr>
          <w:rFonts w:ascii="Arial" w:hAnsi="Arial" w:cs="Arial"/>
        </w:rPr>
        <w:t xml:space="preserve">. </w:t>
      </w:r>
      <w:r w:rsidR="00471E47" w:rsidRPr="00113364">
        <w:rPr>
          <w:rFonts w:ascii="Arial" w:hAnsi="Arial" w:cs="Arial"/>
        </w:rPr>
        <w:t>The SPAC served as the s</w:t>
      </w:r>
      <w:r w:rsidR="00EF59DB" w:rsidRPr="00113364">
        <w:rPr>
          <w:rFonts w:ascii="Arial" w:hAnsi="Arial" w:cs="Arial"/>
        </w:rPr>
        <w:t xml:space="preserve">ubcommittee </w:t>
      </w:r>
      <w:r w:rsidR="00471E47" w:rsidRPr="00113364">
        <w:rPr>
          <w:rFonts w:ascii="Arial" w:hAnsi="Arial" w:cs="Arial"/>
        </w:rPr>
        <w:t>for this focus area during which they</w:t>
      </w:r>
      <w:r w:rsidRPr="00113364">
        <w:rPr>
          <w:rFonts w:ascii="Arial" w:hAnsi="Arial" w:cs="Arial"/>
        </w:rPr>
        <w:t xml:space="preserve"> discussed the </w:t>
      </w:r>
      <w:r w:rsidR="00471E47" w:rsidRPr="00113364">
        <w:rPr>
          <w:rFonts w:ascii="Arial" w:hAnsi="Arial" w:cs="Arial"/>
        </w:rPr>
        <w:t>need for school personnel to enhance strategies to connect with migratory parents and increas</w:t>
      </w:r>
      <w:r w:rsidR="00127D90">
        <w:rPr>
          <w:rFonts w:ascii="Arial" w:hAnsi="Arial" w:cs="Arial"/>
        </w:rPr>
        <w:t>e</w:t>
      </w:r>
      <w:r w:rsidR="00471E47" w:rsidRPr="00113364">
        <w:rPr>
          <w:rFonts w:ascii="Arial" w:hAnsi="Arial" w:cs="Arial"/>
        </w:rPr>
        <w:t xml:space="preserve"> awareness of MEP services. Some feedback included:</w:t>
      </w:r>
      <w:r w:rsidRPr="00113364">
        <w:rPr>
          <w:rFonts w:ascii="Arial" w:hAnsi="Arial" w:cs="Arial"/>
        </w:rPr>
        <w:t xml:space="preserve"> </w:t>
      </w:r>
    </w:p>
    <w:p w14:paraId="4B877E91" w14:textId="41AF73D1" w:rsidR="00471E47" w:rsidRPr="00113364" w:rsidRDefault="00471E47">
      <w:pPr>
        <w:pStyle w:val="ListParagraph"/>
        <w:numPr>
          <w:ilvl w:val="0"/>
          <w:numId w:val="54"/>
        </w:numPr>
        <w:spacing w:after="240"/>
        <w:contextualSpacing w:val="0"/>
        <w:rPr>
          <w:rFonts w:ascii="Arial" w:hAnsi="Arial" w:cs="Arial"/>
        </w:rPr>
      </w:pPr>
      <w:r w:rsidRPr="00113364">
        <w:rPr>
          <w:rFonts w:ascii="Arial" w:hAnsi="Arial" w:cs="Arial"/>
        </w:rPr>
        <w:t>Schools should survey parents to identify what days/times work best for parents to participate in activities/events (e.g., after school and on Saturdays).</w:t>
      </w:r>
    </w:p>
    <w:p w14:paraId="4D4625C6" w14:textId="77777777" w:rsidR="00471E47" w:rsidRPr="00113364" w:rsidRDefault="00471E47">
      <w:pPr>
        <w:pStyle w:val="ListParagraph"/>
        <w:numPr>
          <w:ilvl w:val="0"/>
          <w:numId w:val="54"/>
        </w:numPr>
        <w:spacing w:after="240"/>
        <w:contextualSpacing w:val="0"/>
        <w:rPr>
          <w:rFonts w:ascii="Arial" w:hAnsi="Arial" w:cs="Arial"/>
        </w:rPr>
      </w:pPr>
      <w:r w:rsidRPr="00113364">
        <w:rPr>
          <w:rFonts w:ascii="Arial" w:hAnsi="Arial" w:cs="Arial"/>
        </w:rPr>
        <w:t>Parents are hesitant to ask for information for fear of being discriminated against.</w:t>
      </w:r>
    </w:p>
    <w:p w14:paraId="172400F6" w14:textId="75E8C5D4" w:rsidR="00471E47" w:rsidRPr="00113364" w:rsidRDefault="00471E47">
      <w:pPr>
        <w:pStyle w:val="ListParagraph"/>
        <w:numPr>
          <w:ilvl w:val="0"/>
          <w:numId w:val="54"/>
        </w:numPr>
        <w:spacing w:after="240"/>
        <w:contextualSpacing w:val="0"/>
        <w:rPr>
          <w:rFonts w:ascii="Arial" w:hAnsi="Arial" w:cs="Arial"/>
        </w:rPr>
      </w:pPr>
      <w:r w:rsidRPr="00113364">
        <w:rPr>
          <w:rFonts w:ascii="Arial" w:hAnsi="Arial" w:cs="Arial"/>
        </w:rPr>
        <w:lastRenderedPageBreak/>
        <w:t>Parents noted that communication is a high area of need indicating that school staffs’ communication could be better all around. Office personnel could be nicer to parents and report feelings of discrimination from office staff based on language and origin. A few parents said that meetings or events were only held in English which limited the parents’ participation.</w:t>
      </w:r>
    </w:p>
    <w:p w14:paraId="5B45A3A6" w14:textId="77777777" w:rsidR="00471E47" w:rsidRPr="00113364" w:rsidRDefault="00471E47">
      <w:pPr>
        <w:pStyle w:val="ListParagraph"/>
        <w:numPr>
          <w:ilvl w:val="0"/>
          <w:numId w:val="54"/>
        </w:numPr>
        <w:spacing w:after="240"/>
        <w:contextualSpacing w:val="0"/>
        <w:rPr>
          <w:rFonts w:ascii="Arial" w:hAnsi="Arial" w:cs="Arial"/>
        </w:rPr>
      </w:pPr>
      <w:r w:rsidRPr="00113364">
        <w:rPr>
          <w:rFonts w:ascii="Arial" w:hAnsi="Arial" w:cs="Arial"/>
        </w:rPr>
        <w:t>Many parents identified a need for the MEP to disseminate more information on services and events to parents. Parents noted a lack of information on service/even offerings.</w:t>
      </w:r>
    </w:p>
    <w:p w14:paraId="19A3FFAF" w14:textId="5A3B5F42" w:rsidR="00471E47" w:rsidRPr="00113364" w:rsidRDefault="00471E47">
      <w:pPr>
        <w:pStyle w:val="ListParagraph"/>
        <w:numPr>
          <w:ilvl w:val="0"/>
          <w:numId w:val="54"/>
        </w:numPr>
        <w:spacing w:after="240"/>
        <w:contextualSpacing w:val="0"/>
        <w:rPr>
          <w:rFonts w:ascii="Arial" w:hAnsi="Arial" w:cs="Arial"/>
          <w:sz w:val="20"/>
          <w:szCs w:val="20"/>
        </w:rPr>
      </w:pPr>
      <w:r w:rsidRPr="00113364">
        <w:rPr>
          <w:rFonts w:ascii="Arial" w:hAnsi="Arial" w:cs="Arial"/>
        </w:rPr>
        <w:t>Parents want to know how they can evaluate their children’s needs and</w:t>
      </w:r>
      <w:r w:rsidR="00D356AA" w:rsidRPr="00113364">
        <w:rPr>
          <w:rFonts w:ascii="Arial" w:hAnsi="Arial" w:cs="Arial"/>
        </w:rPr>
        <w:t xml:space="preserve"> training to</w:t>
      </w:r>
      <w:r w:rsidRPr="00113364">
        <w:rPr>
          <w:rFonts w:ascii="Arial" w:hAnsi="Arial" w:cs="Arial"/>
        </w:rPr>
        <w:t xml:space="preserve"> better support their students’ success. </w:t>
      </w:r>
    </w:p>
    <w:p w14:paraId="73931C3F" w14:textId="16D7DB95" w:rsidR="00AE3F3F" w:rsidRPr="00113364" w:rsidRDefault="00AE3F3F" w:rsidP="00A07A84">
      <w:pPr>
        <w:spacing w:after="240"/>
        <w:rPr>
          <w:rFonts w:ascii="Arial" w:hAnsi="Arial" w:cs="Arial"/>
        </w:rPr>
      </w:pPr>
      <w:r w:rsidRPr="00113364">
        <w:rPr>
          <w:rFonts w:ascii="Arial" w:hAnsi="Arial" w:cs="Arial"/>
        </w:rPr>
        <w:t xml:space="preserve">To evaluate this </w:t>
      </w:r>
      <w:r w:rsidR="00976DBD" w:rsidRPr="00113364">
        <w:rPr>
          <w:rFonts w:ascii="Arial" w:hAnsi="Arial" w:cs="Arial"/>
        </w:rPr>
        <w:t>focus area</w:t>
      </w:r>
      <w:r w:rsidRPr="00113364">
        <w:rPr>
          <w:rFonts w:ascii="Arial" w:hAnsi="Arial" w:cs="Arial"/>
        </w:rPr>
        <w:t xml:space="preserve">, subgrantees will collect parent participation at workshops, trainings, and </w:t>
      </w:r>
      <w:r w:rsidR="00471E47" w:rsidRPr="00113364">
        <w:rPr>
          <w:rFonts w:ascii="Arial" w:hAnsi="Arial" w:cs="Arial"/>
        </w:rPr>
        <w:t>parent</w:t>
      </w:r>
      <w:r w:rsidRPr="00113364">
        <w:rPr>
          <w:rFonts w:ascii="Arial" w:hAnsi="Arial" w:cs="Arial"/>
        </w:rPr>
        <w:t xml:space="preserve"> conferences via attendance lists.</w:t>
      </w:r>
      <w:r w:rsidR="00471E47" w:rsidRPr="00113364">
        <w:rPr>
          <w:rFonts w:ascii="Arial" w:hAnsi="Arial" w:cs="Arial"/>
        </w:rPr>
        <w:t xml:space="preserve"> Table 39 reviews the strategies and MPOs for </w:t>
      </w:r>
      <w:r w:rsidR="004259A9" w:rsidRPr="00113364">
        <w:rPr>
          <w:rFonts w:ascii="Arial" w:hAnsi="Arial" w:cs="Arial"/>
        </w:rPr>
        <w:t xml:space="preserve">building program awareness and awareness </w:t>
      </w:r>
      <w:r w:rsidR="00DB07B3" w:rsidRPr="00113364">
        <w:rPr>
          <w:rFonts w:ascii="Arial" w:hAnsi="Arial" w:cs="Arial"/>
        </w:rPr>
        <w:t>in various areas selected by parents annually</w:t>
      </w:r>
      <w:r w:rsidR="00471E47" w:rsidRPr="00113364">
        <w:rPr>
          <w:rFonts w:ascii="Arial" w:hAnsi="Arial" w:cs="Arial"/>
        </w:rPr>
        <w:t>.</w:t>
      </w:r>
      <w:r w:rsidRPr="00113364">
        <w:rPr>
          <w:rFonts w:ascii="Arial" w:hAnsi="Arial" w:cs="Arial"/>
        </w:rPr>
        <w:t xml:space="preserve"> </w:t>
      </w:r>
    </w:p>
    <w:p w14:paraId="051BEDD4" w14:textId="5046FB02" w:rsidR="001C1B1E" w:rsidRPr="00113364" w:rsidRDefault="001C1B1E" w:rsidP="00D330A6">
      <w:pPr>
        <w:pStyle w:val="Heading4"/>
        <w:spacing w:after="0"/>
        <w:rPr>
          <w:sz w:val="24"/>
        </w:rPr>
      </w:pPr>
      <w:bookmarkStart w:id="107" w:name="_Toc204755375"/>
      <w:r w:rsidRPr="00113364">
        <w:rPr>
          <w:sz w:val="24"/>
        </w:rPr>
        <w:t xml:space="preserve">Table </w:t>
      </w:r>
      <w:r w:rsidR="00471E47" w:rsidRPr="00113364">
        <w:rPr>
          <w:sz w:val="24"/>
        </w:rPr>
        <w:fldChar w:fldCharType="begin"/>
      </w:r>
      <w:r w:rsidR="00471E47" w:rsidRPr="00113364">
        <w:rPr>
          <w:sz w:val="24"/>
        </w:rPr>
        <w:instrText xml:space="preserve"> SEQ Table \* ARABIC </w:instrText>
      </w:r>
      <w:r w:rsidR="00471E47" w:rsidRPr="00113364">
        <w:rPr>
          <w:sz w:val="24"/>
        </w:rPr>
        <w:fldChar w:fldCharType="separate"/>
      </w:r>
      <w:r w:rsidR="001362A0">
        <w:rPr>
          <w:noProof/>
          <w:sz w:val="24"/>
        </w:rPr>
        <w:t>39</w:t>
      </w:r>
      <w:r w:rsidR="00471E47" w:rsidRPr="00113364">
        <w:rPr>
          <w:noProof/>
          <w:sz w:val="24"/>
        </w:rPr>
        <w:fldChar w:fldCharType="end"/>
      </w:r>
      <w:r w:rsidRPr="00113364">
        <w:rPr>
          <w:sz w:val="24"/>
        </w:rPr>
        <w:t xml:space="preserve">. </w:t>
      </w:r>
      <w:r w:rsidR="00EF13B8" w:rsidRPr="00113364">
        <w:rPr>
          <w:sz w:val="24"/>
        </w:rPr>
        <w:t>Strategies and</w:t>
      </w:r>
      <w:r w:rsidRPr="00113364">
        <w:rPr>
          <w:sz w:val="24"/>
        </w:rPr>
        <w:t xml:space="preserve"> </w:t>
      </w:r>
      <w:r w:rsidR="0036746F" w:rsidRPr="00113364">
        <w:rPr>
          <w:sz w:val="24"/>
        </w:rPr>
        <w:t>Measurable Program Objective</w:t>
      </w:r>
      <w:r w:rsidRPr="00113364">
        <w:rPr>
          <w:sz w:val="24"/>
        </w:rPr>
        <w:t xml:space="preserve"> for Building </w:t>
      </w:r>
      <w:r w:rsidR="00D356AA" w:rsidRPr="00113364">
        <w:rPr>
          <w:sz w:val="24"/>
        </w:rPr>
        <w:t>Awareness</w:t>
      </w:r>
      <w:bookmarkEnd w:id="107"/>
    </w:p>
    <w:tbl>
      <w:tblPr>
        <w:tblStyle w:val="GridTable4-Accent1"/>
        <w:tblW w:w="0" w:type="auto"/>
        <w:tblLook w:val="0420" w:firstRow="1" w:lastRow="0" w:firstColumn="0" w:lastColumn="0" w:noHBand="0" w:noVBand="1"/>
        <w:tblDescription w:val="Strategies and Measurable Program Objective for Building Parent Capacity"/>
      </w:tblPr>
      <w:tblGrid>
        <w:gridCol w:w="4585"/>
        <w:gridCol w:w="4680"/>
      </w:tblGrid>
      <w:tr w:rsidR="00AE3F3F" w:rsidRPr="00113364" w14:paraId="7F02A4EC" w14:textId="77777777" w:rsidTr="00172AE1">
        <w:trPr>
          <w:cnfStyle w:val="100000000000" w:firstRow="1" w:lastRow="0" w:firstColumn="0" w:lastColumn="0" w:oddVBand="0" w:evenVBand="0" w:oddHBand="0" w:evenHBand="0" w:firstRowFirstColumn="0" w:firstRowLastColumn="0" w:lastRowFirstColumn="0" w:lastRowLastColumn="0"/>
          <w:cantSplit/>
          <w:tblHeader/>
        </w:trPr>
        <w:tc>
          <w:tcPr>
            <w:tcW w:w="4585" w:type="dxa"/>
            <w:tcBorders>
              <w:right w:val="single" w:sz="4" w:space="0" w:color="4472C4" w:themeColor="accent5"/>
            </w:tcBorders>
            <w:shd w:val="clear" w:color="auto" w:fill="1F3864" w:themeFill="accent5" w:themeFillShade="80"/>
          </w:tcPr>
          <w:p w14:paraId="1B7F8D4C" w14:textId="77777777" w:rsidR="00AE3F3F" w:rsidRPr="00113364" w:rsidRDefault="00AE3F3F" w:rsidP="007D443E">
            <w:pPr>
              <w:contextualSpacing/>
              <w:rPr>
                <w:rFonts w:ascii="Arial" w:hAnsi="Arial" w:cs="Arial"/>
                <w:color w:val="FFFFFF"/>
              </w:rPr>
            </w:pPr>
            <w:r w:rsidRPr="00113364">
              <w:rPr>
                <w:rFonts w:ascii="Arial" w:hAnsi="Arial" w:cs="Arial"/>
                <w:color w:val="FFFFFF"/>
              </w:rPr>
              <w:t>Strategies</w:t>
            </w:r>
          </w:p>
        </w:tc>
        <w:tc>
          <w:tcPr>
            <w:tcW w:w="4680" w:type="dxa"/>
            <w:tcBorders>
              <w:left w:val="single" w:sz="4" w:space="0" w:color="4472C4" w:themeColor="accent5"/>
            </w:tcBorders>
            <w:shd w:val="clear" w:color="auto" w:fill="1F3864" w:themeFill="accent5" w:themeFillShade="80"/>
          </w:tcPr>
          <w:p w14:paraId="075C67B1" w14:textId="77777777" w:rsidR="00AE3F3F" w:rsidRPr="00113364" w:rsidRDefault="00AE3F3F" w:rsidP="007D443E">
            <w:pPr>
              <w:contextualSpacing/>
              <w:rPr>
                <w:rFonts w:ascii="Arial" w:hAnsi="Arial" w:cs="Arial"/>
                <w:color w:val="FFFFFF"/>
              </w:rPr>
            </w:pPr>
            <w:r w:rsidRPr="00113364">
              <w:rPr>
                <w:rFonts w:ascii="Arial" w:hAnsi="Arial" w:cs="Arial"/>
                <w:color w:val="FFFFFF"/>
              </w:rPr>
              <w:t>Measurable Program Objectives</w:t>
            </w:r>
          </w:p>
        </w:tc>
      </w:tr>
      <w:tr w:rsidR="002B4A8E" w:rsidRPr="00113364" w14:paraId="7F441F30" w14:textId="77777777" w:rsidTr="00940787">
        <w:trPr>
          <w:cnfStyle w:val="000000100000" w:firstRow="0" w:lastRow="0" w:firstColumn="0" w:lastColumn="0" w:oddVBand="0" w:evenVBand="0" w:oddHBand="1" w:evenHBand="0" w:firstRowFirstColumn="0" w:firstRowLastColumn="0" w:lastRowFirstColumn="0" w:lastRowLastColumn="0"/>
          <w:cantSplit/>
          <w:trHeight w:val="251"/>
        </w:trPr>
        <w:tc>
          <w:tcPr>
            <w:tcW w:w="4585" w:type="dxa"/>
          </w:tcPr>
          <w:p w14:paraId="6002876A" w14:textId="45553067" w:rsidR="002B4A8E" w:rsidRPr="00113364" w:rsidRDefault="002B4A8E" w:rsidP="002B4A8E">
            <w:pPr>
              <w:contextualSpacing/>
              <w:rPr>
                <w:rFonts w:ascii="Arial" w:hAnsi="Arial" w:cs="Arial"/>
              </w:rPr>
            </w:pPr>
            <w:r w:rsidRPr="00113364">
              <w:rPr>
                <w:rFonts w:ascii="Arial" w:hAnsi="Arial" w:cs="Arial"/>
                <w:b/>
              </w:rPr>
              <w:t>Strategy 12.</w:t>
            </w:r>
            <w:r w:rsidR="00A955C9">
              <w:rPr>
                <w:rFonts w:ascii="Arial" w:hAnsi="Arial" w:cs="Arial"/>
                <w:b/>
              </w:rPr>
              <w:t>0</w:t>
            </w:r>
            <w:r w:rsidRPr="00113364">
              <w:rPr>
                <w:rFonts w:ascii="Arial" w:hAnsi="Arial" w:cs="Arial"/>
                <w:b/>
              </w:rPr>
              <w:t xml:space="preserve">: </w:t>
            </w:r>
            <w:r w:rsidRPr="00113364">
              <w:rPr>
                <w:rFonts w:ascii="Arial" w:hAnsi="Arial" w:cs="Arial"/>
              </w:rPr>
              <w:t>Offer a series of four workshops for parents that are in line with the needs of th</w:t>
            </w:r>
            <w:r w:rsidR="006973FF" w:rsidRPr="00113364">
              <w:rPr>
                <w:rFonts w:ascii="Arial" w:hAnsi="Arial" w:cs="Arial"/>
              </w:rPr>
              <w:t>e regional and DFD subgrantee</w:t>
            </w:r>
            <w:r w:rsidR="00890904" w:rsidRPr="00113364">
              <w:rPr>
                <w:rFonts w:ascii="Arial" w:hAnsi="Arial" w:cs="Arial"/>
              </w:rPr>
              <w:t>.</w:t>
            </w:r>
          </w:p>
        </w:tc>
        <w:tc>
          <w:tcPr>
            <w:tcW w:w="4680" w:type="dxa"/>
          </w:tcPr>
          <w:p w14:paraId="310DF386" w14:textId="4B9A09BE" w:rsidR="002B4A8E" w:rsidRPr="00113364" w:rsidRDefault="002B4A8E" w:rsidP="002B4A8E">
            <w:pPr>
              <w:spacing w:after="120"/>
              <w:rPr>
                <w:rFonts w:ascii="Arial" w:hAnsi="Arial" w:cs="Arial"/>
              </w:rPr>
            </w:pPr>
            <w:r w:rsidRPr="00113364">
              <w:rPr>
                <w:rFonts w:ascii="Arial" w:hAnsi="Arial" w:cs="Arial"/>
                <w:b/>
              </w:rPr>
              <w:t>Measurable Program Objective 12.</w:t>
            </w:r>
            <w:r w:rsidR="00A955C9">
              <w:rPr>
                <w:rFonts w:ascii="Arial" w:hAnsi="Arial" w:cs="Arial"/>
                <w:b/>
              </w:rPr>
              <w:t>0</w:t>
            </w:r>
            <w:r w:rsidRPr="00113364">
              <w:rPr>
                <w:rFonts w:ascii="Arial" w:hAnsi="Arial" w:cs="Arial"/>
                <w:b/>
              </w:rPr>
              <w:t xml:space="preserve">: </w:t>
            </w:r>
            <w:r w:rsidRPr="00113364">
              <w:rPr>
                <w:rFonts w:ascii="Arial" w:hAnsi="Arial" w:cs="Arial"/>
              </w:rPr>
              <w:t>Each year the MEP will provide four workshops to parents annually with two topic areas selected by the S</w:t>
            </w:r>
            <w:r w:rsidR="000A1317" w:rsidRPr="00113364">
              <w:rPr>
                <w:rFonts w:ascii="Arial" w:hAnsi="Arial" w:cs="Arial"/>
              </w:rPr>
              <w:t>PAC</w:t>
            </w:r>
            <w:r w:rsidRPr="00113364">
              <w:rPr>
                <w:rFonts w:ascii="Arial" w:hAnsi="Arial" w:cs="Arial"/>
              </w:rPr>
              <w:t xml:space="preserve"> and two selected locally by the Regional Parent Advisory Council </w:t>
            </w:r>
            <w:r w:rsidR="00B15083" w:rsidRPr="00113364">
              <w:rPr>
                <w:rFonts w:ascii="Arial" w:hAnsi="Arial" w:cs="Arial"/>
              </w:rPr>
              <w:t xml:space="preserve">(RPAC) </w:t>
            </w:r>
            <w:r w:rsidRPr="00113364">
              <w:rPr>
                <w:rFonts w:ascii="Arial" w:hAnsi="Arial" w:cs="Arial"/>
              </w:rPr>
              <w:t>or DFD</w:t>
            </w:r>
            <w:r w:rsidR="000A1317" w:rsidRPr="00113364">
              <w:rPr>
                <w:rFonts w:ascii="Arial" w:hAnsi="Arial" w:cs="Arial"/>
              </w:rPr>
              <w:t xml:space="preserve"> Parent Advisory Council</w:t>
            </w:r>
            <w:r w:rsidR="00B15083" w:rsidRPr="00113364">
              <w:rPr>
                <w:rFonts w:ascii="Arial" w:hAnsi="Arial" w:cs="Arial"/>
              </w:rPr>
              <w:t xml:space="preserve"> (PAC)</w:t>
            </w:r>
            <w:r w:rsidRPr="00113364">
              <w:rPr>
                <w:rFonts w:ascii="Arial" w:hAnsi="Arial" w:cs="Arial"/>
              </w:rPr>
              <w:t>.</w:t>
            </w:r>
          </w:p>
        </w:tc>
      </w:tr>
    </w:tbl>
    <w:p w14:paraId="18F481E2" w14:textId="4A8303DB" w:rsidR="006F65B6" w:rsidRPr="00113364" w:rsidRDefault="00D356AA" w:rsidP="00C42F60">
      <w:pPr>
        <w:spacing w:before="240" w:after="240"/>
      </w:pPr>
      <w:r w:rsidRPr="00113364">
        <w:rPr>
          <w:rFonts w:ascii="Arial" w:hAnsi="Arial" w:cs="Arial"/>
        </w:rPr>
        <w:t>P</w:t>
      </w:r>
      <w:r w:rsidR="006F65B6" w:rsidRPr="00113364">
        <w:rPr>
          <w:rFonts w:ascii="Arial" w:hAnsi="Arial" w:cs="Arial"/>
        </w:rPr>
        <w:t xml:space="preserve">erformance target for Parent and Family </w:t>
      </w:r>
      <w:r w:rsidR="00E22495" w:rsidRPr="00113364">
        <w:rPr>
          <w:rFonts w:ascii="Arial" w:hAnsi="Arial" w:cs="Arial"/>
        </w:rPr>
        <w:t>Engagement</w:t>
      </w:r>
      <w:r w:rsidR="002D617D" w:rsidRPr="00113364">
        <w:rPr>
          <w:rFonts w:ascii="Arial" w:hAnsi="Arial" w:cs="Arial"/>
        </w:rPr>
        <w:t xml:space="preserve"> focus area</w:t>
      </w:r>
      <w:r w:rsidRPr="00113364">
        <w:rPr>
          <w:rFonts w:ascii="Arial" w:hAnsi="Arial" w:cs="Arial"/>
        </w:rPr>
        <w:t>:</w:t>
      </w:r>
      <w:r w:rsidR="006F65B6" w:rsidRPr="00113364">
        <w:rPr>
          <w:rFonts w:ascii="Arial" w:hAnsi="Arial" w:cs="Arial"/>
        </w:rPr>
        <w:t xml:space="preserve"> By </w:t>
      </w:r>
      <w:r w:rsidRPr="00113364">
        <w:rPr>
          <w:rFonts w:ascii="Arial" w:hAnsi="Arial" w:cs="Arial"/>
        </w:rPr>
        <w:t>September</w:t>
      </w:r>
      <w:r w:rsidR="006F65B6" w:rsidRPr="00113364">
        <w:rPr>
          <w:rFonts w:ascii="Arial" w:hAnsi="Arial" w:cs="Arial"/>
        </w:rPr>
        <w:t xml:space="preserve"> 203</w:t>
      </w:r>
      <w:r w:rsidR="002D617D" w:rsidRPr="00113364">
        <w:rPr>
          <w:rFonts w:ascii="Arial" w:hAnsi="Arial" w:cs="Arial"/>
        </w:rPr>
        <w:t>1</w:t>
      </w:r>
      <w:r w:rsidR="006F65B6" w:rsidRPr="00113364">
        <w:rPr>
          <w:rFonts w:ascii="Arial" w:hAnsi="Arial" w:cs="Arial"/>
        </w:rPr>
        <w:t xml:space="preserve">, </w:t>
      </w:r>
      <w:r w:rsidR="002D617D" w:rsidRPr="00113364">
        <w:rPr>
          <w:rFonts w:ascii="Arial" w:hAnsi="Arial" w:cs="Arial"/>
        </w:rPr>
        <w:t>65</w:t>
      </w:r>
      <w:r w:rsidR="006F65B6" w:rsidRPr="00113364">
        <w:rPr>
          <w:rFonts w:ascii="Arial" w:hAnsi="Arial" w:cs="Arial"/>
        </w:rPr>
        <w:t xml:space="preserve"> percent of parents/guardians w</w:t>
      </w:r>
      <w:r w:rsidRPr="00113364">
        <w:rPr>
          <w:rFonts w:ascii="Arial" w:hAnsi="Arial" w:cs="Arial"/>
        </w:rPr>
        <w:t>ho</w:t>
      </w:r>
      <w:r w:rsidR="006F65B6" w:rsidRPr="00113364">
        <w:rPr>
          <w:rFonts w:ascii="Arial" w:hAnsi="Arial" w:cs="Arial"/>
        </w:rPr>
        <w:t xml:space="preserve"> participate</w:t>
      </w:r>
      <w:r w:rsidRPr="00113364">
        <w:rPr>
          <w:rFonts w:ascii="Arial" w:hAnsi="Arial" w:cs="Arial"/>
        </w:rPr>
        <w:t>d</w:t>
      </w:r>
      <w:r w:rsidR="006F65B6" w:rsidRPr="00113364">
        <w:rPr>
          <w:rFonts w:ascii="Arial" w:hAnsi="Arial" w:cs="Arial"/>
        </w:rPr>
        <w:t xml:space="preserve"> in MEP parent </w:t>
      </w:r>
      <w:r w:rsidR="00D85085" w:rsidRPr="00113364">
        <w:rPr>
          <w:rFonts w:ascii="Arial" w:hAnsi="Arial" w:cs="Arial"/>
        </w:rPr>
        <w:t xml:space="preserve">and family </w:t>
      </w:r>
      <w:r w:rsidR="006F65B6" w:rsidRPr="00113364">
        <w:rPr>
          <w:rFonts w:ascii="Arial" w:hAnsi="Arial" w:cs="Arial"/>
        </w:rPr>
        <w:t xml:space="preserve">engagement </w:t>
      </w:r>
      <w:r w:rsidRPr="00113364">
        <w:rPr>
          <w:rFonts w:ascii="Arial" w:hAnsi="Arial" w:cs="Arial"/>
        </w:rPr>
        <w:t xml:space="preserve">activities will </w:t>
      </w:r>
      <w:r w:rsidR="00890904" w:rsidRPr="00113364">
        <w:rPr>
          <w:rFonts w:ascii="Arial" w:hAnsi="Arial" w:cs="Arial"/>
        </w:rPr>
        <w:t>rate services as</w:t>
      </w:r>
      <w:r w:rsidR="00C63C7C" w:rsidRPr="00113364">
        <w:rPr>
          <w:rFonts w:ascii="Arial" w:hAnsi="Arial" w:cs="Arial"/>
        </w:rPr>
        <w:t xml:space="preserve"> “</w:t>
      </w:r>
      <w:r w:rsidR="00890904" w:rsidRPr="00113364">
        <w:rPr>
          <w:rFonts w:ascii="Arial" w:hAnsi="Arial" w:cs="Arial"/>
        </w:rPr>
        <w:t>effective</w:t>
      </w:r>
      <w:r w:rsidR="00C63C7C" w:rsidRPr="00113364">
        <w:rPr>
          <w:rFonts w:ascii="Arial" w:hAnsi="Arial" w:cs="Arial"/>
        </w:rPr>
        <w:t xml:space="preserve">” </w:t>
      </w:r>
      <w:r w:rsidR="00890904" w:rsidRPr="00113364">
        <w:rPr>
          <w:rFonts w:ascii="Arial" w:hAnsi="Arial" w:cs="Arial"/>
        </w:rPr>
        <w:t>in</w:t>
      </w:r>
      <w:r w:rsidR="00C63C7C" w:rsidRPr="00113364">
        <w:rPr>
          <w:rFonts w:ascii="Arial" w:hAnsi="Arial" w:cs="Arial"/>
        </w:rPr>
        <w:t xml:space="preserve"> enhanc</w:t>
      </w:r>
      <w:r w:rsidR="00890904" w:rsidRPr="00113364">
        <w:rPr>
          <w:rFonts w:ascii="Arial" w:hAnsi="Arial" w:cs="Arial"/>
        </w:rPr>
        <w:t>ing</w:t>
      </w:r>
      <w:r w:rsidR="00C63C7C" w:rsidRPr="00113364">
        <w:rPr>
          <w:rFonts w:ascii="Arial" w:hAnsi="Arial" w:cs="Arial"/>
        </w:rPr>
        <w:t xml:space="preserve"> their ability to support their children’s educational and overall well-being</w:t>
      </w:r>
      <w:r w:rsidR="006F65B6" w:rsidRPr="00113364">
        <w:rPr>
          <w:rFonts w:ascii="Arial" w:hAnsi="Arial" w:cs="Arial"/>
        </w:rPr>
        <w:t>.</w:t>
      </w:r>
      <w:r w:rsidR="00C63C7C" w:rsidRPr="00113364">
        <w:t xml:space="preserve"> </w:t>
      </w:r>
    </w:p>
    <w:p w14:paraId="08B8065D" w14:textId="2D7AA65C" w:rsidR="007546EE" w:rsidRPr="00113364" w:rsidRDefault="00C33189" w:rsidP="006973FF">
      <w:pPr>
        <w:spacing w:after="240"/>
        <w:rPr>
          <w:rFonts w:ascii="Arial" w:hAnsi="Arial" w:cs="Arial"/>
        </w:rPr>
      </w:pPr>
      <w:proofErr w:type="gramStart"/>
      <w:r w:rsidRPr="00113364">
        <w:rPr>
          <w:rFonts w:ascii="Arial" w:hAnsi="Arial" w:cs="Arial"/>
        </w:rPr>
        <w:t>Similar to</w:t>
      </w:r>
      <w:proofErr w:type="gramEnd"/>
      <w:r w:rsidRPr="00113364">
        <w:rPr>
          <w:rFonts w:ascii="Arial" w:hAnsi="Arial" w:cs="Arial"/>
        </w:rPr>
        <w:t xml:space="preserve"> </w:t>
      </w:r>
      <w:r w:rsidR="00D85085" w:rsidRPr="00113364">
        <w:rPr>
          <w:rFonts w:ascii="Arial" w:hAnsi="Arial" w:cs="Arial"/>
        </w:rPr>
        <w:t>previous</w:t>
      </w:r>
      <w:r w:rsidRPr="00113364">
        <w:rPr>
          <w:rFonts w:ascii="Arial" w:hAnsi="Arial" w:cs="Arial"/>
        </w:rPr>
        <w:t xml:space="preserve"> </w:t>
      </w:r>
      <w:r w:rsidR="00EA137B" w:rsidRPr="00113364">
        <w:rPr>
          <w:rFonts w:ascii="Arial" w:hAnsi="Arial" w:cs="Arial"/>
        </w:rPr>
        <w:t>p</w:t>
      </w:r>
      <w:r w:rsidRPr="00113364">
        <w:rPr>
          <w:rFonts w:ascii="Arial" w:hAnsi="Arial" w:cs="Arial"/>
        </w:rPr>
        <w:t xml:space="preserve">arent and </w:t>
      </w:r>
      <w:r w:rsidR="00EA137B" w:rsidRPr="00113364">
        <w:rPr>
          <w:rFonts w:ascii="Arial" w:hAnsi="Arial" w:cs="Arial"/>
        </w:rPr>
        <w:t>f</w:t>
      </w:r>
      <w:r w:rsidRPr="00113364">
        <w:rPr>
          <w:rFonts w:ascii="Arial" w:hAnsi="Arial" w:cs="Arial"/>
        </w:rPr>
        <w:t xml:space="preserve">amily </w:t>
      </w:r>
      <w:r w:rsidR="00EA137B" w:rsidRPr="00113364">
        <w:rPr>
          <w:rFonts w:ascii="Arial" w:hAnsi="Arial" w:cs="Arial"/>
        </w:rPr>
        <w:t>e</w:t>
      </w:r>
      <w:r w:rsidRPr="00113364">
        <w:rPr>
          <w:rFonts w:ascii="Arial" w:hAnsi="Arial" w:cs="Arial"/>
        </w:rPr>
        <w:t xml:space="preserve">ngagement </w:t>
      </w:r>
      <w:r w:rsidR="00D85085" w:rsidRPr="00113364">
        <w:rPr>
          <w:rFonts w:ascii="Arial" w:hAnsi="Arial" w:cs="Arial"/>
        </w:rPr>
        <w:t>strategies</w:t>
      </w:r>
      <w:r w:rsidRPr="00113364">
        <w:rPr>
          <w:rFonts w:ascii="Arial" w:hAnsi="Arial" w:cs="Arial"/>
        </w:rPr>
        <w:t>,</w:t>
      </w:r>
      <w:r w:rsidR="00D85085" w:rsidRPr="00113364">
        <w:rPr>
          <w:rFonts w:ascii="Arial" w:hAnsi="Arial" w:cs="Arial"/>
        </w:rPr>
        <w:t xml:space="preserve"> </w:t>
      </w:r>
      <w:r w:rsidRPr="00113364">
        <w:rPr>
          <w:rFonts w:ascii="Arial" w:hAnsi="Arial" w:cs="Arial"/>
        </w:rPr>
        <w:t>Strategy 12.</w:t>
      </w:r>
      <w:r w:rsidR="00B15083" w:rsidRPr="00113364">
        <w:rPr>
          <w:rFonts w:ascii="Arial" w:hAnsi="Arial" w:cs="Arial"/>
        </w:rPr>
        <w:t>1 has</w:t>
      </w:r>
      <w:r w:rsidRPr="00113364">
        <w:rPr>
          <w:rFonts w:ascii="Arial" w:hAnsi="Arial" w:cs="Arial"/>
        </w:rPr>
        <w:t xml:space="preserve"> been updated to reflect increased flexibility in parent</w:t>
      </w:r>
      <w:r w:rsidR="00B15083" w:rsidRPr="00113364">
        <w:rPr>
          <w:rFonts w:ascii="Arial" w:hAnsi="Arial" w:cs="Arial"/>
        </w:rPr>
        <w:t>al</w:t>
      </w:r>
      <w:r w:rsidRPr="00113364">
        <w:rPr>
          <w:rFonts w:ascii="Arial" w:hAnsi="Arial" w:cs="Arial"/>
        </w:rPr>
        <w:t xml:space="preserve"> choice. Previously</w:t>
      </w:r>
      <w:r w:rsidR="00890904" w:rsidRPr="00113364">
        <w:rPr>
          <w:rFonts w:ascii="Arial" w:hAnsi="Arial" w:cs="Arial"/>
        </w:rPr>
        <w:t xml:space="preserve">, MEP subgrantees selected three workshops a year from a list of six that remained consistent through the SDP’s (2017) implementation. Strategy </w:t>
      </w:r>
      <w:r w:rsidR="000A1317" w:rsidRPr="00113364">
        <w:rPr>
          <w:rFonts w:ascii="Arial" w:hAnsi="Arial" w:cs="Arial"/>
        </w:rPr>
        <w:t>1</w:t>
      </w:r>
      <w:r w:rsidR="006973FF" w:rsidRPr="00113364">
        <w:rPr>
          <w:rFonts w:ascii="Arial" w:hAnsi="Arial" w:cs="Arial"/>
        </w:rPr>
        <w:t>2</w:t>
      </w:r>
      <w:r w:rsidR="000A1317" w:rsidRPr="00113364">
        <w:rPr>
          <w:rFonts w:ascii="Arial" w:hAnsi="Arial" w:cs="Arial"/>
        </w:rPr>
        <w:t xml:space="preserve">.1 now solicits annual feedback from the SPAC on topics for two workshops and feedback from the Regional and DFD </w:t>
      </w:r>
      <w:r w:rsidR="00B15083" w:rsidRPr="00113364">
        <w:rPr>
          <w:rFonts w:ascii="Arial" w:hAnsi="Arial" w:cs="Arial"/>
        </w:rPr>
        <w:t xml:space="preserve">PACs </w:t>
      </w:r>
      <w:r w:rsidR="000A1317" w:rsidRPr="00113364">
        <w:rPr>
          <w:rFonts w:ascii="Arial" w:hAnsi="Arial" w:cs="Arial"/>
        </w:rPr>
        <w:t xml:space="preserve">for the remaining two workshops needed to meet MPO 12.1. Subgrantees will need to document the two regionally selected workshops on an annual basis to inform the upcoming year’s workshop. </w:t>
      </w:r>
      <w:r w:rsidR="006973FF" w:rsidRPr="00113364">
        <w:rPr>
          <w:rFonts w:ascii="Arial" w:hAnsi="Arial" w:cs="Arial"/>
        </w:rPr>
        <w:t xml:space="preserve">The SPAC will provide their recommendations prior to the start of each grant year. </w:t>
      </w:r>
    </w:p>
    <w:p w14:paraId="07ABBBDB" w14:textId="3AABCD4E" w:rsidR="006973FF" w:rsidRPr="00113364" w:rsidRDefault="006973FF" w:rsidP="006973FF">
      <w:pPr>
        <w:spacing w:after="240"/>
        <w:rPr>
          <w:rFonts w:ascii="Arial" w:hAnsi="Arial" w:cs="Arial"/>
        </w:rPr>
      </w:pPr>
      <w:r w:rsidRPr="00113364">
        <w:rPr>
          <w:rFonts w:ascii="Arial" w:hAnsi="Arial" w:cs="Arial"/>
        </w:rPr>
        <w:t xml:space="preserve">Feedback provided by parents during the CNA SDP Committee centered a lot around opportunities to improve communication. </w:t>
      </w:r>
      <w:r w:rsidR="00C42F60" w:rsidRPr="00113364">
        <w:rPr>
          <w:rFonts w:ascii="Arial" w:hAnsi="Arial" w:cs="Arial"/>
        </w:rPr>
        <w:t xml:space="preserve">Several parents indicated that their schools </w:t>
      </w:r>
      <w:r w:rsidR="00C42F60" w:rsidRPr="00113364">
        <w:rPr>
          <w:rFonts w:ascii="Arial" w:hAnsi="Arial" w:cs="Arial"/>
        </w:rPr>
        <w:lastRenderedPageBreak/>
        <w:t>are not aware of the MEP and its services; therefore, it is difficult to</w:t>
      </w:r>
      <w:r w:rsidR="006F241C" w:rsidRPr="00113364">
        <w:rPr>
          <w:rFonts w:ascii="Arial" w:hAnsi="Arial" w:cs="Arial"/>
        </w:rPr>
        <w:t xml:space="preserve"> get information on services.</w:t>
      </w:r>
      <w:r w:rsidR="00C42F60" w:rsidRPr="00113364">
        <w:rPr>
          <w:rFonts w:ascii="Arial" w:hAnsi="Arial" w:cs="Arial"/>
        </w:rPr>
        <w:t xml:space="preserve"> </w:t>
      </w:r>
      <w:r w:rsidRPr="00113364">
        <w:rPr>
          <w:rFonts w:ascii="Arial" w:hAnsi="Arial" w:cs="Arial"/>
        </w:rPr>
        <w:t xml:space="preserve">With feedback from the SPAC and MEP staff, there appears to be a disconnect in awareness of program offerings and communication between the two groups. Recognizing this as an opportunity for support, the CDE will develop a MEP Communication Toolkit. </w:t>
      </w:r>
      <w:r w:rsidR="00C42F60" w:rsidRPr="00113364">
        <w:rPr>
          <w:rFonts w:ascii="Arial" w:hAnsi="Arial" w:cs="Arial"/>
        </w:rPr>
        <w:t>The purpose is two-fold: to increase awareness of the MEP and build partnerships with parents and school districts. This toolkit will include materials to increase awareness about the program, its purpose and outcomes. But it will also include resources to promote district participation in MEP activities and provide resources to parents on the importance of proficiency and how attendance in MEP services builds that proficiency. With this toolkit, the CDE hopes to increase district and migratory family engagement in the MEP. Building these relationships with districts and parents increases the likelihood of increased student engagement in MEP services because there is a partnership of support. In addition to these strategies to build engagement, the next section discusses strategies specific to boosting student engagement and attendance in services.</w:t>
      </w:r>
    </w:p>
    <w:p w14:paraId="736D6786" w14:textId="5F3F42DA" w:rsidR="00BA5C6E" w:rsidRPr="00113364" w:rsidRDefault="00BA5C6E" w:rsidP="003F0CBE">
      <w:pPr>
        <w:pStyle w:val="Heading3"/>
      </w:pPr>
      <w:bookmarkStart w:id="108" w:name="_Toc203568858"/>
      <w:r w:rsidRPr="00113364">
        <w:t>Student Engagement</w:t>
      </w:r>
      <w:bookmarkEnd w:id="108"/>
    </w:p>
    <w:p w14:paraId="767C0E9F" w14:textId="77777777" w:rsidR="001A1EE3" w:rsidRPr="00113364" w:rsidRDefault="001A1EE3" w:rsidP="001A1EE3">
      <w:pPr>
        <w:spacing w:after="240"/>
        <w:rPr>
          <w:rFonts w:ascii="Arial" w:hAnsi="Arial" w:cs="Arial"/>
        </w:rPr>
      </w:pPr>
      <w:r w:rsidRPr="00113364">
        <w:rPr>
          <w:rFonts w:ascii="Arial" w:hAnsi="Arial" w:cs="Arial"/>
        </w:rPr>
        <w:t>As noted in Section II, California uses high school graduation and chronic absenteeism data to evaluate student engagement. For students to build proficiency and graduate high school they need to be present at school. Engaging students in teaching and learning throughout the day in a safe and caring environment makes students want to come to school. In other words, if teachers are well-prepared and welcoming, provide a comfortable learning environment, and students are having fun, they will continue to engage with school. Limited school relationships, not feeling valued, curriculum that is of no interest to students or doesn’t reflect the students themselves are contributing factors towards chronic absenteeism.</w:t>
      </w:r>
    </w:p>
    <w:p w14:paraId="68EE8A69" w14:textId="56340F57" w:rsidR="001A1EE3" w:rsidRPr="00113364" w:rsidRDefault="00A07A84" w:rsidP="00A07A84">
      <w:pPr>
        <w:spacing w:after="240"/>
        <w:rPr>
          <w:rFonts w:ascii="Arial" w:hAnsi="Arial" w:cs="Arial"/>
        </w:rPr>
      </w:pPr>
      <w:r w:rsidRPr="00113364">
        <w:rPr>
          <w:rFonts w:ascii="Arial" w:hAnsi="Arial" w:cs="Arial"/>
        </w:rPr>
        <w:t>Culturally sustaining pedagogy is an instructional practice centered on the cultural and linguistic assets of the diversity represented in classrooms. In culturally sustaining pedagogy, teachers strive to understand their students’ cultures and identities and create safe spaces for authentic learning opportunities. Students and parents feel more welcome when they see themselves reflected in teaching and learning. Ensuring the school culture reflects that of its students shows families that schools value their culture</w:t>
      </w:r>
      <w:r w:rsidR="00B854DC">
        <w:rPr>
          <w:rFonts w:ascii="Arial" w:hAnsi="Arial" w:cs="Arial"/>
        </w:rPr>
        <w:t xml:space="preserve"> and</w:t>
      </w:r>
      <w:r w:rsidRPr="00113364">
        <w:rPr>
          <w:rFonts w:ascii="Arial" w:hAnsi="Arial" w:cs="Arial"/>
        </w:rPr>
        <w:t xml:space="preserve"> are inclusive. As noted in the </w:t>
      </w:r>
      <w:r w:rsidR="009607AD" w:rsidRPr="00113364">
        <w:rPr>
          <w:rFonts w:ascii="Arial" w:hAnsi="Arial" w:cs="Arial"/>
        </w:rPr>
        <w:t>California</w:t>
      </w:r>
      <w:r w:rsidRPr="00113364">
        <w:rPr>
          <w:rFonts w:ascii="Arial" w:hAnsi="Arial" w:cs="Arial"/>
        </w:rPr>
        <w:t xml:space="preserve"> Healthy Kids Survey data, many students don’t feel a meaningful connection to school. The REL study indicated that there are opportunities for growth when trying to connect with parents. </w:t>
      </w:r>
      <w:r w:rsidR="001A1EE3" w:rsidRPr="00113364">
        <w:rPr>
          <w:rFonts w:ascii="Arial" w:hAnsi="Arial" w:cs="Arial"/>
        </w:rPr>
        <w:t xml:space="preserve">By </w:t>
      </w:r>
      <w:r w:rsidR="00244761" w:rsidRPr="00113364">
        <w:rPr>
          <w:rFonts w:ascii="Arial" w:hAnsi="Arial" w:cs="Arial"/>
        </w:rPr>
        <w:t>expanding the embedding of culturally sustaining pedagogy into most instructional services</w:t>
      </w:r>
      <w:r w:rsidR="001A1EE3" w:rsidRPr="00113364">
        <w:rPr>
          <w:rFonts w:ascii="Arial" w:hAnsi="Arial" w:cs="Arial"/>
        </w:rPr>
        <w:t>, we are striving to improve student</w:t>
      </w:r>
      <w:r w:rsidR="00244761" w:rsidRPr="00113364">
        <w:rPr>
          <w:rFonts w:ascii="Arial" w:hAnsi="Arial" w:cs="Arial"/>
        </w:rPr>
        <w:t>s’ connection to school, expand their interest in services, and reduce absenteeism</w:t>
      </w:r>
      <w:r w:rsidR="001A1EE3" w:rsidRPr="00113364">
        <w:rPr>
          <w:rFonts w:ascii="Arial" w:hAnsi="Arial" w:cs="Arial"/>
        </w:rPr>
        <w:t xml:space="preserve">. Table </w:t>
      </w:r>
      <w:r w:rsidR="00244761" w:rsidRPr="00113364">
        <w:rPr>
          <w:rFonts w:ascii="Arial" w:hAnsi="Arial" w:cs="Arial"/>
        </w:rPr>
        <w:t>40</w:t>
      </w:r>
      <w:r w:rsidR="001A1EE3" w:rsidRPr="00113364">
        <w:rPr>
          <w:rFonts w:ascii="Arial" w:hAnsi="Arial" w:cs="Arial"/>
        </w:rPr>
        <w:t xml:space="preserve"> reviews the strategies and MPOs for </w:t>
      </w:r>
      <w:r w:rsidR="00244761" w:rsidRPr="00113364">
        <w:rPr>
          <w:rFonts w:ascii="Arial" w:hAnsi="Arial" w:cs="Arial"/>
        </w:rPr>
        <w:t>developing staff</w:t>
      </w:r>
      <w:r w:rsidR="00E71E30" w:rsidRPr="00113364">
        <w:rPr>
          <w:rFonts w:ascii="Arial" w:hAnsi="Arial" w:cs="Arial"/>
        </w:rPr>
        <w:t xml:space="preserve"> </w:t>
      </w:r>
      <w:r w:rsidR="00D330A6" w:rsidRPr="00113364">
        <w:rPr>
          <w:rFonts w:ascii="Arial" w:hAnsi="Arial" w:cs="Arial"/>
        </w:rPr>
        <w:t>members’</w:t>
      </w:r>
      <w:r w:rsidR="00244761" w:rsidRPr="00113364">
        <w:rPr>
          <w:rFonts w:ascii="Arial" w:hAnsi="Arial" w:cs="Arial"/>
        </w:rPr>
        <w:t xml:space="preserve"> knowledge and skills to deliver</w:t>
      </w:r>
      <w:r w:rsidR="00DB07B3" w:rsidRPr="00113364">
        <w:rPr>
          <w:rFonts w:ascii="Arial" w:hAnsi="Arial" w:cs="Arial"/>
        </w:rPr>
        <w:t xml:space="preserve"> more</w:t>
      </w:r>
      <w:r w:rsidR="00244761" w:rsidRPr="00113364">
        <w:rPr>
          <w:rFonts w:ascii="Arial" w:hAnsi="Arial" w:cs="Arial"/>
        </w:rPr>
        <w:t xml:space="preserve"> culturally sustaining MEP services</w:t>
      </w:r>
      <w:r w:rsidR="001A1EE3" w:rsidRPr="00113364">
        <w:rPr>
          <w:rFonts w:ascii="Arial" w:hAnsi="Arial" w:cs="Arial"/>
        </w:rPr>
        <w:t>.</w:t>
      </w:r>
    </w:p>
    <w:p w14:paraId="2C74AF31" w14:textId="1CF8DE67" w:rsidR="001C1B1E" w:rsidRPr="00113364" w:rsidRDefault="001C1B1E" w:rsidP="00A07A84">
      <w:pPr>
        <w:pStyle w:val="Heading4"/>
        <w:spacing w:before="0" w:after="0"/>
        <w:rPr>
          <w:sz w:val="24"/>
        </w:rPr>
      </w:pPr>
      <w:bookmarkStart w:id="109" w:name="_Toc204755376"/>
      <w:r w:rsidRPr="00113364">
        <w:rPr>
          <w:sz w:val="24"/>
        </w:rPr>
        <w:lastRenderedPageBreak/>
        <w:t xml:space="preserve">Table </w:t>
      </w:r>
      <w:r w:rsidR="00C46CA6" w:rsidRPr="00113364">
        <w:rPr>
          <w:sz w:val="24"/>
        </w:rPr>
        <w:fldChar w:fldCharType="begin"/>
      </w:r>
      <w:r w:rsidR="00C46CA6" w:rsidRPr="00113364">
        <w:rPr>
          <w:sz w:val="24"/>
        </w:rPr>
        <w:instrText xml:space="preserve"> SEQ Table \* ARABIC </w:instrText>
      </w:r>
      <w:r w:rsidR="00C46CA6" w:rsidRPr="00113364">
        <w:rPr>
          <w:sz w:val="24"/>
        </w:rPr>
        <w:fldChar w:fldCharType="separate"/>
      </w:r>
      <w:r w:rsidR="001362A0">
        <w:rPr>
          <w:noProof/>
          <w:sz w:val="24"/>
        </w:rPr>
        <w:t>40</w:t>
      </w:r>
      <w:r w:rsidR="00C46CA6" w:rsidRPr="00113364">
        <w:rPr>
          <w:noProof/>
          <w:sz w:val="24"/>
        </w:rPr>
        <w:fldChar w:fldCharType="end"/>
      </w:r>
      <w:r w:rsidRPr="00113364">
        <w:rPr>
          <w:sz w:val="24"/>
        </w:rPr>
        <w:t xml:space="preserve">. </w:t>
      </w:r>
      <w:r w:rsidR="006143B6" w:rsidRPr="00113364">
        <w:rPr>
          <w:sz w:val="24"/>
        </w:rPr>
        <w:t>Strategies and</w:t>
      </w:r>
      <w:r w:rsidRPr="00113364">
        <w:rPr>
          <w:sz w:val="24"/>
        </w:rPr>
        <w:t xml:space="preserve"> </w:t>
      </w:r>
      <w:r w:rsidR="007D2B04" w:rsidRPr="00113364">
        <w:rPr>
          <w:sz w:val="24"/>
        </w:rPr>
        <w:t>Measurable Program Objectives</w:t>
      </w:r>
      <w:r w:rsidRPr="00113364">
        <w:rPr>
          <w:sz w:val="24"/>
        </w:rPr>
        <w:t xml:space="preserve"> for </w:t>
      </w:r>
      <w:r w:rsidR="00A07A84" w:rsidRPr="00113364">
        <w:rPr>
          <w:sz w:val="24"/>
        </w:rPr>
        <w:t>Meaningful Participation</w:t>
      </w:r>
      <w:bookmarkEnd w:id="109"/>
    </w:p>
    <w:tbl>
      <w:tblPr>
        <w:tblStyle w:val="GridTable4-Accent1"/>
        <w:tblW w:w="9355" w:type="dxa"/>
        <w:tblLook w:val="0420" w:firstRow="1" w:lastRow="0" w:firstColumn="0" w:lastColumn="0" w:noHBand="0" w:noVBand="1"/>
        <w:tblDescription w:val="Strategies and Measurable Program Objectives for Increasing Self- and Cultural Pride"/>
      </w:tblPr>
      <w:tblGrid>
        <w:gridCol w:w="4675"/>
        <w:gridCol w:w="4680"/>
      </w:tblGrid>
      <w:tr w:rsidR="00AE3F3F" w:rsidRPr="00113364" w14:paraId="0CEE289B" w14:textId="77777777" w:rsidTr="009364DF">
        <w:trPr>
          <w:cnfStyle w:val="100000000000" w:firstRow="1" w:lastRow="0" w:firstColumn="0" w:lastColumn="0" w:oddVBand="0" w:evenVBand="0" w:oddHBand="0" w:evenHBand="0" w:firstRowFirstColumn="0" w:firstRowLastColumn="0" w:lastRowFirstColumn="0" w:lastRowLastColumn="0"/>
          <w:cantSplit/>
          <w:trHeight w:val="476"/>
          <w:tblHeader/>
        </w:trPr>
        <w:tc>
          <w:tcPr>
            <w:tcW w:w="4675" w:type="dxa"/>
            <w:tcBorders>
              <w:right w:val="single" w:sz="4" w:space="0" w:color="4472C4" w:themeColor="accent5"/>
            </w:tcBorders>
            <w:shd w:val="clear" w:color="auto" w:fill="1F3864" w:themeFill="accent5" w:themeFillShade="80"/>
            <w:vAlign w:val="center"/>
          </w:tcPr>
          <w:p w14:paraId="1371B4E8" w14:textId="77777777" w:rsidR="00AE3F3F" w:rsidRPr="00113364" w:rsidRDefault="00D531AA" w:rsidP="00857299">
            <w:pPr>
              <w:spacing w:after="120"/>
              <w:rPr>
                <w:rFonts w:ascii="Arial" w:hAnsi="Arial" w:cs="Arial"/>
                <w:color w:val="FFFFFF"/>
              </w:rPr>
            </w:pPr>
            <w:r w:rsidRPr="00113364">
              <w:rPr>
                <w:rFonts w:ascii="Arial" w:hAnsi="Arial" w:cs="Arial"/>
                <w:color w:val="FFFFFF"/>
              </w:rPr>
              <w:t>Strategies</w:t>
            </w:r>
          </w:p>
        </w:tc>
        <w:tc>
          <w:tcPr>
            <w:tcW w:w="4680" w:type="dxa"/>
            <w:tcBorders>
              <w:left w:val="single" w:sz="4" w:space="0" w:color="4472C4" w:themeColor="accent5"/>
            </w:tcBorders>
            <w:shd w:val="clear" w:color="auto" w:fill="1F3864" w:themeFill="accent5" w:themeFillShade="80"/>
            <w:vAlign w:val="center"/>
          </w:tcPr>
          <w:p w14:paraId="0C35F469" w14:textId="77777777" w:rsidR="00AE3F3F" w:rsidRPr="00113364" w:rsidRDefault="00AE3F3F" w:rsidP="00857299">
            <w:pPr>
              <w:spacing w:after="120"/>
              <w:rPr>
                <w:rFonts w:ascii="Arial" w:hAnsi="Arial" w:cs="Arial"/>
                <w:color w:val="FFFFFF"/>
              </w:rPr>
            </w:pPr>
            <w:r w:rsidRPr="00113364">
              <w:rPr>
                <w:rFonts w:ascii="Arial" w:hAnsi="Arial" w:cs="Arial"/>
                <w:color w:val="FFFFFF"/>
              </w:rPr>
              <w:t>Measurable Program Objective</w:t>
            </w:r>
            <w:r w:rsidR="00D531AA" w:rsidRPr="00113364">
              <w:rPr>
                <w:rFonts w:ascii="Arial" w:hAnsi="Arial" w:cs="Arial"/>
                <w:color w:val="FFFFFF"/>
              </w:rPr>
              <w:t>s</w:t>
            </w:r>
            <w:r w:rsidRPr="00113364">
              <w:rPr>
                <w:rFonts w:ascii="Arial" w:hAnsi="Arial" w:cs="Arial"/>
                <w:color w:val="FFFFFF"/>
              </w:rPr>
              <w:t xml:space="preserve"> </w:t>
            </w:r>
          </w:p>
        </w:tc>
      </w:tr>
      <w:tr w:rsidR="001A1EE3" w:rsidRPr="00113364" w14:paraId="51AC8E7B" w14:textId="77777777" w:rsidTr="009364DF">
        <w:trPr>
          <w:cnfStyle w:val="000000100000" w:firstRow="0" w:lastRow="0" w:firstColumn="0" w:lastColumn="0" w:oddVBand="0" w:evenVBand="0" w:oddHBand="1" w:evenHBand="0" w:firstRowFirstColumn="0" w:firstRowLastColumn="0" w:lastRowFirstColumn="0" w:lastRowLastColumn="0"/>
          <w:cantSplit/>
          <w:trHeight w:val="1673"/>
        </w:trPr>
        <w:tc>
          <w:tcPr>
            <w:tcW w:w="4675" w:type="dxa"/>
          </w:tcPr>
          <w:p w14:paraId="27986839" w14:textId="4BBBA36E" w:rsidR="00801256" w:rsidRPr="00113364" w:rsidRDefault="001A1EE3" w:rsidP="00801256">
            <w:pPr>
              <w:spacing w:after="120"/>
              <w:rPr>
                <w:rFonts w:ascii="Arial" w:hAnsi="Arial" w:cs="Arial"/>
              </w:rPr>
            </w:pPr>
            <w:r w:rsidRPr="00113364">
              <w:rPr>
                <w:rFonts w:ascii="Arial" w:hAnsi="Arial" w:cs="Arial"/>
                <w:b/>
              </w:rPr>
              <w:t xml:space="preserve">Strategy 13.0: </w:t>
            </w:r>
            <w:r w:rsidR="00801256" w:rsidRPr="00113364">
              <w:rPr>
                <w:rFonts w:ascii="Arial" w:hAnsi="Arial" w:cs="Arial"/>
              </w:rPr>
              <w:t>Culturally sustaining pedagogy (with a focus on being linguistically relevant) should be included in all instructional services excluding credit accrual services.</w:t>
            </w:r>
          </w:p>
        </w:tc>
        <w:tc>
          <w:tcPr>
            <w:tcW w:w="4680" w:type="dxa"/>
          </w:tcPr>
          <w:p w14:paraId="1CE3291A" w14:textId="38EB9DC5" w:rsidR="00801256" w:rsidRPr="00113364" w:rsidRDefault="001A1EE3" w:rsidP="00801256">
            <w:pPr>
              <w:spacing w:after="120"/>
              <w:rPr>
                <w:rFonts w:ascii="Arial" w:hAnsi="Arial" w:cs="Arial"/>
              </w:rPr>
            </w:pPr>
            <w:r w:rsidRPr="00113364">
              <w:rPr>
                <w:rFonts w:ascii="Arial" w:hAnsi="Arial" w:cs="Arial"/>
                <w:b/>
              </w:rPr>
              <w:t xml:space="preserve">Measurable Program Objective 13.0: </w:t>
            </w:r>
            <w:r w:rsidR="00801256" w:rsidRPr="00113364">
              <w:rPr>
                <w:rFonts w:ascii="Arial" w:hAnsi="Arial" w:cs="Arial"/>
              </w:rPr>
              <w:t>Each year, 65 percent of instructional services excluding credit accrual services will include culturally sustaining pedagogy with a focus on being linguistically relevant as well.</w:t>
            </w:r>
          </w:p>
        </w:tc>
      </w:tr>
      <w:tr w:rsidR="001A1EE3" w:rsidRPr="00113364" w14:paraId="63514E05" w14:textId="77777777" w:rsidTr="009364DF">
        <w:trPr>
          <w:cantSplit/>
        </w:trPr>
        <w:tc>
          <w:tcPr>
            <w:tcW w:w="4675" w:type="dxa"/>
          </w:tcPr>
          <w:p w14:paraId="63E2DBD3" w14:textId="13B86C11" w:rsidR="00801256" w:rsidRPr="00113364" w:rsidRDefault="00801256" w:rsidP="00801256">
            <w:pPr>
              <w:spacing w:after="120"/>
              <w:rPr>
                <w:rFonts w:ascii="Arial" w:hAnsi="Arial" w:cs="Arial"/>
              </w:rPr>
            </w:pPr>
            <w:r w:rsidRPr="00113364">
              <w:rPr>
                <w:rFonts w:ascii="Arial" w:hAnsi="Arial" w:cs="Arial"/>
                <w:b/>
              </w:rPr>
              <w:t xml:space="preserve">Strategy 13.1: </w:t>
            </w:r>
            <w:r w:rsidRPr="00113364">
              <w:rPr>
                <w:rFonts w:ascii="Arial" w:hAnsi="Arial" w:cs="Arial"/>
              </w:rPr>
              <w:t>Provide professional learning opportunities to instructional staff on culturally sustaining pedagogy annually. Ensure that learning opportunities build upon prior knowledge and extend staff’s knowledge and skillset each year.</w:t>
            </w:r>
          </w:p>
        </w:tc>
        <w:tc>
          <w:tcPr>
            <w:tcW w:w="4680" w:type="dxa"/>
          </w:tcPr>
          <w:p w14:paraId="11181103" w14:textId="21CAC26C" w:rsidR="00801256" w:rsidRPr="00113364" w:rsidRDefault="001A1EE3" w:rsidP="00801256">
            <w:pPr>
              <w:spacing w:after="120"/>
              <w:rPr>
                <w:rFonts w:ascii="Arial" w:hAnsi="Arial" w:cs="Arial"/>
              </w:rPr>
            </w:pPr>
            <w:r w:rsidRPr="00113364">
              <w:rPr>
                <w:rFonts w:ascii="Arial" w:hAnsi="Arial" w:cs="Arial"/>
                <w:b/>
              </w:rPr>
              <w:t xml:space="preserve">Measurable Program Objective 13.1: </w:t>
            </w:r>
            <w:r w:rsidR="00801256" w:rsidRPr="00113364">
              <w:rPr>
                <w:rFonts w:ascii="Arial" w:hAnsi="Arial" w:cs="Arial"/>
              </w:rPr>
              <w:t xml:space="preserve">Each year, the MEP will provide one professional learning opportunity on culturally sustaining pedagogy. </w:t>
            </w:r>
          </w:p>
        </w:tc>
      </w:tr>
    </w:tbl>
    <w:p w14:paraId="48A1CC0B" w14:textId="1739E8CF" w:rsidR="00AE3F3F" w:rsidRPr="00113364" w:rsidRDefault="00AE3F3F" w:rsidP="006143B6">
      <w:pPr>
        <w:spacing w:before="120" w:after="160" w:line="259" w:lineRule="auto"/>
        <w:rPr>
          <w:rFonts w:ascii="Arial" w:hAnsi="Arial" w:cs="Arial"/>
        </w:rPr>
      </w:pPr>
      <w:r w:rsidRPr="00113364">
        <w:rPr>
          <w:rFonts w:ascii="Arial" w:hAnsi="Arial" w:cs="Arial"/>
        </w:rPr>
        <w:t>The</w:t>
      </w:r>
      <w:r w:rsidR="008E78C6" w:rsidRPr="00113364">
        <w:rPr>
          <w:rFonts w:ascii="Arial" w:hAnsi="Arial" w:cs="Arial"/>
        </w:rPr>
        <w:t xml:space="preserve"> </w:t>
      </w:r>
      <w:r w:rsidRPr="00113364">
        <w:rPr>
          <w:rFonts w:ascii="Arial" w:hAnsi="Arial" w:cs="Arial"/>
        </w:rPr>
        <w:t xml:space="preserve">performance target for Student Engagement: </w:t>
      </w:r>
      <w:r w:rsidR="006F65B6" w:rsidRPr="00113364">
        <w:rPr>
          <w:rFonts w:ascii="Arial" w:hAnsi="Arial" w:cs="Arial"/>
        </w:rPr>
        <w:t xml:space="preserve">By </w:t>
      </w:r>
      <w:r w:rsidR="008A1D36" w:rsidRPr="00113364">
        <w:rPr>
          <w:rFonts w:ascii="Arial" w:hAnsi="Arial" w:cs="Arial"/>
        </w:rPr>
        <w:t>September</w:t>
      </w:r>
      <w:r w:rsidR="006F65B6" w:rsidRPr="00113364">
        <w:rPr>
          <w:rFonts w:ascii="Arial" w:hAnsi="Arial" w:cs="Arial"/>
        </w:rPr>
        <w:t xml:space="preserve"> 203</w:t>
      </w:r>
      <w:r w:rsidR="002D617D" w:rsidRPr="00113364">
        <w:rPr>
          <w:rFonts w:ascii="Arial" w:hAnsi="Arial" w:cs="Arial"/>
        </w:rPr>
        <w:t>1</w:t>
      </w:r>
      <w:r w:rsidR="006F65B6" w:rsidRPr="00113364">
        <w:rPr>
          <w:rFonts w:ascii="Arial" w:hAnsi="Arial" w:cs="Arial"/>
        </w:rPr>
        <w:t xml:space="preserve">, </w:t>
      </w:r>
      <w:r w:rsidR="00D61C76" w:rsidRPr="00113364">
        <w:rPr>
          <w:rFonts w:ascii="Arial" w:hAnsi="Arial" w:cs="Arial"/>
        </w:rPr>
        <w:t>65</w:t>
      </w:r>
      <w:r w:rsidR="006F65B6" w:rsidRPr="00113364">
        <w:rPr>
          <w:rFonts w:ascii="Arial" w:hAnsi="Arial" w:cs="Arial"/>
        </w:rPr>
        <w:t xml:space="preserve"> percent of </w:t>
      </w:r>
      <w:r w:rsidR="00D61C76" w:rsidRPr="00113364">
        <w:rPr>
          <w:rFonts w:ascii="Arial" w:hAnsi="Arial" w:cs="Arial"/>
        </w:rPr>
        <w:t>instructional services excluding credit accrual services will include culturally sustaining pedagogy</w:t>
      </w:r>
      <w:r w:rsidR="006F65B6" w:rsidRPr="00113364">
        <w:rPr>
          <w:rFonts w:ascii="Arial" w:hAnsi="Arial" w:cs="Arial"/>
        </w:rPr>
        <w:t>.</w:t>
      </w:r>
    </w:p>
    <w:p w14:paraId="07C8F2C1" w14:textId="02678218" w:rsidR="00720887" w:rsidRPr="00113364" w:rsidRDefault="00D61C76" w:rsidP="001A764E">
      <w:pPr>
        <w:spacing w:before="120" w:after="160" w:line="259" w:lineRule="auto"/>
        <w:rPr>
          <w:rFonts w:ascii="Arial" w:hAnsi="Arial" w:cs="Arial"/>
        </w:rPr>
      </w:pPr>
      <w:r w:rsidRPr="00113364">
        <w:rPr>
          <w:rFonts w:ascii="Arial" w:hAnsi="Arial" w:cs="Arial"/>
        </w:rPr>
        <w:t xml:space="preserve">In 2017, the SDP focused on building cultural and self-pride and building </w:t>
      </w:r>
      <w:r w:rsidR="009364DF" w:rsidRPr="00113364">
        <w:rPr>
          <w:rFonts w:ascii="Arial" w:hAnsi="Arial" w:cs="Arial"/>
        </w:rPr>
        <w:t xml:space="preserve">MEP staff </w:t>
      </w:r>
      <w:r w:rsidRPr="00113364">
        <w:rPr>
          <w:rFonts w:ascii="Arial" w:hAnsi="Arial" w:cs="Arial"/>
        </w:rPr>
        <w:t xml:space="preserve">competence in </w:t>
      </w:r>
      <w:proofErr w:type="gramStart"/>
      <w:r w:rsidRPr="00113364">
        <w:rPr>
          <w:rFonts w:ascii="Arial" w:hAnsi="Arial" w:cs="Arial"/>
        </w:rPr>
        <w:t>culturally</w:t>
      </w:r>
      <w:proofErr w:type="gramEnd"/>
      <w:r w:rsidRPr="00113364">
        <w:rPr>
          <w:rFonts w:ascii="Arial" w:hAnsi="Arial" w:cs="Arial"/>
        </w:rPr>
        <w:t xml:space="preserve"> and linguistically responsive teaching. Subgrantees eased into building capacity by focusing on surface culture (e.g., celebrating holidays, foods, music)</w:t>
      </w:r>
      <w:r w:rsidR="009364DF" w:rsidRPr="00113364">
        <w:rPr>
          <w:rFonts w:ascii="Arial" w:hAnsi="Arial" w:cs="Arial"/>
        </w:rPr>
        <w:t>, learning about historical cultural contributions,</w:t>
      </w:r>
      <w:r w:rsidRPr="00113364">
        <w:rPr>
          <w:rFonts w:ascii="Arial" w:hAnsi="Arial" w:cs="Arial"/>
        </w:rPr>
        <w:t xml:space="preserve"> and using culturally relevant texts. With this next phase of the SDP, </w:t>
      </w:r>
      <w:r w:rsidR="009364DF" w:rsidRPr="00113364">
        <w:rPr>
          <w:rFonts w:ascii="Arial" w:hAnsi="Arial" w:cs="Arial"/>
        </w:rPr>
        <w:t xml:space="preserve">the California MEP strives to continue to </w:t>
      </w:r>
      <w:r w:rsidR="00AC4552" w:rsidRPr="00113364">
        <w:rPr>
          <w:rFonts w:ascii="Arial" w:hAnsi="Arial" w:cs="Arial"/>
        </w:rPr>
        <w:t xml:space="preserve">extend the learning to delve deeper into the levels of culture by designing lessons </w:t>
      </w:r>
      <w:r w:rsidR="00B758C6" w:rsidRPr="00113364">
        <w:rPr>
          <w:rFonts w:ascii="Arial" w:hAnsi="Arial" w:cs="Arial"/>
        </w:rPr>
        <w:t>through</w:t>
      </w:r>
      <w:r w:rsidR="00AC4552" w:rsidRPr="00113364">
        <w:rPr>
          <w:rFonts w:ascii="Arial" w:hAnsi="Arial" w:cs="Arial"/>
        </w:rPr>
        <w:t xml:space="preserve"> </w:t>
      </w:r>
      <w:r w:rsidR="00B758C6" w:rsidRPr="00113364">
        <w:rPr>
          <w:rFonts w:ascii="Arial" w:hAnsi="Arial" w:cs="Arial"/>
        </w:rPr>
        <w:t xml:space="preserve">a </w:t>
      </w:r>
      <w:r w:rsidR="00AC4552" w:rsidRPr="00113364">
        <w:rPr>
          <w:rFonts w:ascii="Arial" w:hAnsi="Arial" w:cs="Arial"/>
        </w:rPr>
        <w:t>culturally sustaining ped</w:t>
      </w:r>
      <w:r w:rsidR="00B758C6" w:rsidRPr="00113364">
        <w:rPr>
          <w:rFonts w:ascii="Arial" w:hAnsi="Arial" w:cs="Arial"/>
        </w:rPr>
        <w:t>agogical framework. This includes</w:t>
      </w:r>
      <w:r w:rsidR="00F17D25" w:rsidRPr="00113364">
        <w:rPr>
          <w:rFonts w:ascii="Arial" w:hAnsi="Arial" w:cs="Arial"/>
        </w:rPr>
        <w:t xml:space="preserve"> developing lesson plans through the lens of critical consciousness. Critical consciousness is defined as the ability to identify, critique, and challenge the social forces producing inequity and oppression. Teaching through this culturally sustaining lens attempts to ensure everyone’s voice and situations are recognized and valued. It’s this</w:t>
      </w:r>
      <w:r w:rsidR="00A33589" w:rsidRPr="00113364">
        <w:rPr>
          <w:rFonts w:ascii="Arial" w:hAnsi="Arial" w:cs="Arial"/>
        </w:rPr>
        <w:t xml:space="preserve"> valuing of community and community perspective that will encourage students to attend services and work towards meeting the challenging academic state standards. </w:t>
      </w:r>
    </w:p>
    <w:p w14:paraId="3CCBA22C" w14:textId="092850A5" w:rsidR="005A2FBD" w:rsidRPr="00113364" w:rsidRDefault="00720887" w:rsidP="00720887">
      <w:pPr>
        <w:spacing w:before="240" w:after="240"/>
        <w:rPr>
          <w:rFonts w:ascii="Arial" w:hAnsi="Arial" w:cs="Arial"/>
        </w:rPr>
      </w:pPr>
      <w:r w:rsidRPr="00113364">
        <w:rPr>
          <w:rFonts w:ascii="Arial" w:hAnsi="Arial" w:cs="Arial"/>
        </w:rPr>
        <w:t xml:space="preserve">The </w:t>
      </w:r>
      <w:r w:rsidR="001A764E" w:rsidRPr="00113364">
        <w:rPr>
          <w:rFonts w:ascii="Arial" w:hAnsi="Arial" w:cs="Arial"/>
        </w:rPr>
        <w:t>last</w:t>
      </w:r>
      <w:r w:rsidRPr="00113364">
        <w:rPr>
          <w:rFonts w:ascii="Arial" w:hAnsi="Arial" w:cs="Arial"/>
        </w:rPr>
        <w:t xml:space="preserve"> segment of Section III reviews </w:t>
      </w:r>
      <w:r w:rsidR="001A764E" w:rsidRPr="00113364">
        <w:rPr>
          <w:rFonts w:ascii="Arial" w:hAnsi="Arial" w:cs="Arial"/>
        </w:rPr>
        <w:t>California’s plan to evaluate the SDP implementation and outcomes for the strategies and MPOs detailed above</w:t>
      </w:r>
      <w:r w:rsidRPr="00113364">
        <w:rPr>
          <w:rFonts w:ascii="Arial" w:hAnsi="Arial" w:cs="Arial"/>
        </w:rPr>
        <w:t>.</w:t>
      </w:r>
    </w:p>
    <w:p w14:paraId="35B8B05C" w14:textId="78AED5CE" w:rsidR="005A2FBD" w:rsidRPr="00113364" w:rsidRDefault="00207413" w:rsidP="003F0CBE">
      <w:pPr>
        <w:pStyle w:val="Heading3"/>
      </w:pPr>
      <w:bookmarkStart w:id="110" w:name="_Toc203568859"/>
      <w:r w:rsidRPr="00113364">
        <w:t>Evaluation Plan</w:t>
      </w:r>
      <w:bookmarkEnd w:id="110"/>
    </w:p>
    <w:p w14:paraId="137D31A6" w14:textId="237C4A98" w:rsidR="007435C0" w:rsidRPr="00113364" w:rsidRDefault="007435C0" w:rsidP="005A2FBD">
      <w:pPr>
        <w:spacing w:before="240" w:after="240"/>
        <w:rPr>
          <w:rFonts w:ascii="Arial" w:hAnsi="Arial" w:cs="Arial"/>
        </w:rPr>
      </w:pPr>
      <w:r w:rsidRPr="00113364">
        <w:rPr>
          <w:rFonts w:ascii="Arial" w:hAnsi="Arial" w:cs="Arial"/>
        </w:rPr>
        <w:t xml:space="preserve">The CDE evaluates the performance of individual subgrantees and the state annually and will conduct an end-of-project independent evaluation of the SDP implementation and outcomes. For the annual evaluation, the CDE implements a two-pronged approach </w:t>
      </w:r>
      <w:r w:rsidRPr="00113364">
        <w:rPr>
          <w:rFonts w:ascii="Arial" w:hAnsi="Arial" w:cs="Arial"/>
        </w:rPr>
        <w:lastRenderedPageBreak/>
        <w:t xml:space="preserve">to evaluate subgrantees’ progress on meeting the MPOs: 1) through MSIN data and 2) through a document review done by the CDE. The CDE verifies as many MPOs through MSIN as possible using student participation data, but since MSIN is a student-centered system the CDE is unable to verify all strategies and their aligning MPOs. For strategies related to instructional practices, professional development, and parent engagement, the CDE conducts a document review to evaluate implementation. Upon completion, the CDE prepares individual performance progress reports for subgrantees and for the </w:t>
      </w:r>
      <w:proofErr w:type="gramStart"/>
      <w:r w:rsidRPr="00113364">
        <w:rPr>
          <w:rFonts w:ascii="Arial" w:hAnsi="Arial" w:cs="Arial"/>
        </w:rPr>
        <w:t>state as a whole</w:t>
      </w:r>
      <w:proofErr w:type="gramEnd"/>
      <w:r w:rsidRPr="00113364">
        <w:rPr>
          <w:rFonts w:ascii="Arial" w:hAnsi="Arial" w:cs="Arial"/>
        </w:rPr>
        <w:t>.</w:t>
      </w:r>
    </w:p>
    <w:p w14:paraId="641C88CB" w14:textId="4DC8FB1A" w:rsidR="005A2FBD" w:rsidRPr="00113364" w:rsidRDefault="005A2FBD" w:rsidP="00720887">
      <w:pPr>
        <w:spacing w:before="240" w:after="240"/>
        <w:rPr>
          <w:rFonts w:ascii="Arial" w:hAnsi="Arial" w:cs="Arial"/>
        </w:rPr>
      </w:pPr>
      <w:r w:rsidRPr="00113364">
        <w:rPr>
          <w:rFonts w:ascii="Arial" w:hAnsi="Arial" w:cs="Arial"/>
        </w:rPr>
        <w:t>Th</w:t>
      </w:r>
      <w:r w:rsidR="007435C0" w:rsidRPr="00113364">
        <w:rPr>
          <w:rFonts w:ascii="Arial" w:hAnsi="Arial" w:cs="Arial"/>
        </w:rPr>
        <w:t>e</w:t>
      </w:r>
      <w:r w:rsidRPr="00113364">
        <w:rPr>
          <w:rFonts w:ascii="Arial" w:hAnsi="Arial" w:cs="Arial"/>
        </w:rPr>
        <w:t xml:space="preserve"> Annual Performance Progress Report tracks subgrantee progress towards the state MPOs </w:t>
      </w:r>
      <w:r w:rsidR="007435C0" w:rsidRPr="00113364">
        <w:rPr>
          <w:rFonts w:ascii="Arial" w:hAnsi="Arial" w:cs="Arial"/>
        </w:rPr>
        <w:t xml:space="preserve">and performance targets </w:t>
      </w:r>
      <w:r w:rsidRPr="00113364">
        <w:rPr>
          <w:rFonts w:ascii="Arial" w:hAnsi="Arial" w:cs="Arial"/>
        </w:rPr>
        <w:t xml:space="preserve">for the </w:t>
      </w:r>
      <w:r w:rsidR="007435C0" w:rsidRPr="00113364">
        <w:rPr>
          <w:rFonts w:ascii="Arial" w:hAnsi="Arial" w:cs="Arial"/>
        </w:rPr>
        <w:t>ten</w:t>
      </w:r>
      <w:r w:rsidRPr="00113364">
        <w:rPr>
          <w:rFonts w:ascii="Arial" w:hAnsi="Arial" w:cs="Arial"/>
        </w:rPr>
        <w:t xml:space="preserve"> focus areas of the SDP. </w:t>
      </w:r>
      <w:r w:rsidR="007435C0" w:rsidRPr="00113364">
        <w:rPr>
          <w:rFonts w:ascii="Arial" w:hAnsi="Arial" w:cs="Arial"/>
        </w:rPr>
        <w:t>These reports contain</w:t>
      </w:r>
      <w:r w:rsidRPr="00113364">
        <w:rPr>
          <w:rFonts w:ascii="Arial" w:hAnsi="Arial" w:cs="Arial"/>
        </w:rPr>
        <w:t xml:space="preserve"> longitudinal data to illustrate subgrantee progress </w:t>
      </w:r>
      <w:r w:rsidR="007435C0" w:rsidRPr="00113364">
        <w:rPr>
          <w:rFonts w:ascii="Arial" w:hAnsi="Arial" w:cs="Arial"/>
        </w:rPr>
        <w:t>over the course of the SDP’s implementation</w:t>
      </w:r>
      <w:r w:rsidRPr="00113364">
        <w:rPr>
          <w:rFonts w:ascii="Arial" w:hAnsi="Arial" w:cs="Arial"/>
        </w:rPr>
        <w:t xml:space="preserve">. These reports </w:t>
      </w:r>
      <w:r w:rsidR="007435C0" w:rsidRPr="00113364">
        <w:rPr>
          <w:rFonts w:ascii="Arial" w:hAnsi="Arial" w:cs="Arial"/>
        </w:rPr>
        <w:t>serve as a primary tool to support</w:t>
      </w:r>
      <w:r w:rsidRPr="00113364">
        <w:rPr>
          <w:rFonts w:ascii="Arial" w:hAnsi="Arial" w:cs="Arial"/>
        </w:rPr>
        <w:t xml:space="preserve"> subgrantees with their continuous improvement of MEP services</w:t>
      </w:r>
      <w:r w:rsidR="00207413" w:rsidRPr="00113364">
        <w:rPr>
          <w:rFonts w:ascii="Arial" w:hAnsi="Arial" w:cs="Arial"/>
        </w:rPr>
        <w:t>. This report assists subgrantees in developing</w:t>
      </w:r>
      <w:r w:rsidRPr="00113364">
        <w:rPr>
          <w:rFonts w:ascii="Arial" w:hAnsi="Arial" w:cs="Arial"/>
        </w:rPr>
        <w:t xml:space="preserve"> annual action plans to improve their ability to meet </w:t>
      </w:r>
      <w:r w:rsidR="00207413" w:rsidRPr="00113364">
        <w:rPr>
          <w:rFonts w:ascii="Arial" w:hAnsi="Arial" w:cs="Arial"/>
        </w:rPr>
        <w:t>a higher percentage of</w:t>
      </w:r>
      <w:r w:rsidRPr="00113364">
        <w:rPr>
          <w:rFonts w:ascii="Arial" w:hAnsi="Arial" w:cs="Arial"/>
        </w:rPr>
        <w:t xml:space="preserve"> student needs. At the state level, this report provides an opportunity for California to document its progress, technical assistance efforts, and a plan to provide additional support in areas of need.</w:t>
      </w:r>
      <w:r w:rsidR="00207413" w:rsidRPr="00113364">
        <w:rPr>
          <w:rFonts w:ascii="Arial" w:hAnsi="Arial" w:cs="Arial"/>
        </w:rPr>
        <w:t xml:space="preserve"> The CDE also builds an action </w:t>
      </w:r>
      <w:proofErr w:type="gramStart"/>
      <w:r w:rsidR="00207413" w:rsidRPr="00113364">
        <w:rPr>
          <w:rFonts w:ascii="Arial" w:hAnsi="Arial" w:cs="Arial"/>
        </w:rPr>
        <w:t>plan for the future</w:t>
      </w:r>
      <w:proofErr w:type="gramEnd"/>
      <w:r w:rsidR="00207413" w:rsidRPr="00113364">
        <w:rPr>
          <w:rFonts w:ascii="Arial" w:hAnsi="Arial" w:cs="Arial"/>
        </w:rPr>
        <w:t xml:space="preserve"> technical assistance tasks (e.g., differentiated assistance on specific MPOs, provision of webinars covering best practices for other MPOs) based on the needs identified by the data found in the Statewide Annual Performance Progress Report. </w:t>
      </w:r>
      <w:r w:rsidR="004D30F4">
        <w:rPr>
          <w:rFonts w:ascii="Arial" w:hAnsi="Arial" w:cs="Arial"/>
        </w:rPr>
        <w:t>Information in the following tables</w:t>
      </w:r>
      <w:r w:rsidR="00207413" w:rsidRPr="00113364">
        <w:rPr>
          <w:rFonts w:ascii="Arial" w:hAnsi="Arial" w:cs="Arial"/>
        </w:rPr>
        <w:t xml:space="preserve"> identify key information for the annual and </w:t>
      </w:r>
      <w:r w:rsidR="00D108B3" w:rsidRPr="00113364">
        <w:rPr>
          <w:rFonts w:ascii="Arial" w:hAnsi="Arial" w:cs="Arial"/>
        </w:rPr>
        <w:t>end-of-project evaluation.</w:t>
      </w:r>
    </w:p>
    <w:p w14:paraId="567A9DC5" w14:textId="2D0C3414" w:rsidR="00D61C76" w:rsidRPr="00113364" w:rsidRDefault="00D61C76" w:rsidP="006143B6">
      <w:pPr>
        <w:spacing w:before="120" w:after="160" w:line="259" w:lineRule="auto"/>
        <w:rPr>
          <w:rFonts w:ascii="Arial" w:hAnsi="Arial" w:cs="Arial"/>
        </w:rPr>
        <w:sectPr w:rsidR="00D61C76" w:rsidRPr="00113364" w:rsidSect="007A4B1E">
          <w:pgSz w:w="12240" w:h="15840"/>
          <w:pgMar w:top="1440" w:right="1440" w:bottom="1674" w:left="1440" w:header="720" w:footer="720" w:gutter="0"/>
          <w:cols w:space="720"/>
          <w:titlePg/>
          <w:docGrid w:linePitch="360"/>
        </w:sectPr>
      </w:pPr>
    </w:p>
    <w:p w14:paraId="54FF75FA" w14:textId="24B233C3" w:rsidR="00EA493F" w:rsidRPr="00113364" w:rsidRDefault="00714D66" w:rsidP="002103F7">
      <w:pPr>
        <w:pStyle w:val="Heading4"/>
        <w:rPr>
          <w:sz w:val="24"/>
        </w:rPr>
      </w:pPr>
      <w:bookmarkStart w:id="111" w:name="_Toc204755377"/>
      <w:r w:rsidRPr="00113364">
        <w:rPr>
          <w:sz w:val="24"/>
        </w:rPr>
        <w:lastRenderedPageBreak/>
        <w:t xml:space="preserve">Table </w:t>
      </w:r>
      <w:r w:rsidR="00720887" w:rsidRPr="00113364">
        <w:rPr>
          <w:sz w:val="24"/>
        </w:rPr>
        <w:fldChar w:fldCharType="begin"/>
      </w:r>
      <w:r w:rsidR="00720887" w:rsidRPr="00113364">
        <w:rPr>
          <w:sz w:val="24"/>
        </w:rPr>
        <w:instrText xml:space="preserve"> SEQ Table \* ARABIC </w:instrText>
      </w:r>
      <w:r w:rsidR="00720887" w:rsidRPr="00113364">
        <w:rPr>
          <w:sz w:val="24"/>
        </w:rPr>
        <w:fldChar w:fldCharType="separate"/>
      </w:r>
      <w:r w:rsidR="001362A0">
        <w:rPr>
          <w:noProof/>
          <w:sz w:val="24"/>
        </w:rPr>
        <w:t>41</w:t>
      </w:r>
      <w:r w:rsidR="00720887" w:rsidRPr="00113364">
        <w:rPr>
          <w:noProof/>
          <w:sz w:val="24"/>
        </w:rPr>
        <w:fldChar w:fldCharType="end"/>
      </w:r>
      <w:r w:rsidRPr="00113364">
        <w:rPr>
          <w:sz w:val="24"/>
        </w:rPr>
        <w:t xml:space="preserve">. Sub Questions, Data Sources, Collection Methods, and Indicators for the </w:t>
      </w:r>
      <w:r w:rsidR="00EF750E" w:rsidRPr="00113364">
        <w:rPr>
          <w:sz w:val="24"/>
        </w:rPr>
        <w:t>Performance Targets</w:t>
      </w:r>
      <w:bookmarkEnd w:id="111"/>
    </w:p>
    <w:p w14:paraId="675DCAFD" w14:textId="77777777" w:rsidR="00E44DDD" w:rsidRPr="00113364" w:rsidRDefault="00E44DDD">
      <w:pPr>
        <w:numPr>
          <w:ilvl w:val="6"/>
          <w:numId w:val="15"/>
        </w:numPr>
        <w:spacing w:before="120"/>
        <w:ind w:left="360"/>
        <w:rPr>
          <w:rFonts w:ascii="Arial" w:eastAsia="Times New Roman" w:hAnsi="Arial" w:cs="Arial"/>
          <w:bCs/>
        </w:rPr>
      </w:pPr>
      <w:r w:rsidRPr="00113364">
        <w:rPr>
          <w:rFonts w:ascii="Arial" w:eastAsia="Times New Roman" w:hAnsi="Arial" w:cs="Arial"/>
          <w:b/>
          <w:bCs/>
        </w:rPr>
        <w:t>ELA:</w:t>
      </w:r>
      <w:r w:rsidRPr="00113364">
        <w:rPr>
          <w:rFonts w:ascii="Arial" w:eastAsia="Times New Roman" w:hAnsi="Arial" w:cs="Arial"/>
          <w:bCs/>
        </w:rPr>
        <w:t xml:space="preserve"> Are the ELA skills of migratory students improving?</w:t>
      </w:r>
    </w:p>
    <w:p w14:paraId="14413D94" w14:textId="380CD41F" w:rsidR="00E44DDD" w:rsidRPr="00113364" w:rsidRDefault="00E44DDD" w:rsidP="00C66062">
      <w:pPr>
        <w:ind w:left="360"/>
      </w:pPr>
      <w:r w:rsidRPr="00113364">
        <w:rPr>
          <w:rFonts w:ascii="Arial" w:hAnsi="Arial" w:cs="Arial"/>
          <w:b/>
        </w:rPr>
        <w:t>Performance Target:</w:t>
      </w:r>
      <w:r w:rsidRPr="00113364">
        <w:rPr>
          <w:rFonts w:ascii="Arial" w:hAnsi="Arial" w:cs="Arial"/>
        </w:rPr>
        <w:t xml:space="preserve"> </w:t>
      </w:r>
      <w:r w:rsidR="002D617D" w:rsidRPr="00113364">
        <w:rPr>
          <w:rFonts w:ascii="Arial" w:hAnsi="Arial" w:cs="Arial"/>
        </w:rPr>
        <w:t>By September 2031, 28.5 percent of migratory stu</w:t>
      </w:r>
      <w:r w:rsidR="002D617D" w:rsidRPr="00B542CB">
        <w:rPr>
          <w:rFonts w:ascii="Arial" w:hAnsi="Arial" w:cs="Arial"/>
        </w:rPr>
        <w:t xml:space="preserve">dents will score at </w:t>
      </w:r>
      <w:r w:rsidR="002D617D" w:rsidRPr="00F01299">
        <w:rPr>
          <w:rFonts w:ascii="Arial" w:hAnsi="Arial" w:cs="Arial"/>
        </w:rPr>
        <w:t>l</w:t>
      </w:r>
      <w:r w:rsidR="002D617D" w:rsidRPr="00B542CB">
        <w:rPr>
          <w:rFonts w:ascii="Arial" w:hAnsi="Arial" w:cs="Arial"/>
        </w:rPr>
        <w:t xml:space="preserve">evel 3 – </w:t>
      </w:r>
      <w:r w:rsidR="002D617D" w:rsidRPr="00F01299">
        <w:rPr>
          <w:rFonts w:ascii="Arial" w:hAnsi="Arial" w:cs="Arial"/>
        </w:rPr>
        <w:t>s</w:t>
      </w:r>
      <w:r w:rsidR="002D617D" w:rsidRPr="00B542CB">
        <w:rPr>
          <w:rFonts w:ascii="Arial" w:hAnsi="Arial" w:cs="Arial"/>
        </w:rPr>
        <w:t xml:space="preserve">tandard </w:t>
      </w:r>
      <w:r w:rsidR="002D617D" w:rsidRPr="00F01299">
        <w:rPr>
          <w:rFonts w:ascii="Arial" w:hAnsi="Arial" w:cs="Arial"/>
        </w:rPr>
        <w:t>m</w:t>
      </w:r>
      <w:r w:rsidR="002D617D" w:rsidRPr="00B542CB">
        <w:rPr>
          <w:rFonts w:ascii="Arial" w:hAnsi="Arial" w:cs="Arial"/>
        </w:rPr>
        <w:t xml:space="preserve">et and </w:t>
      </w:r>
      <w:r w:rsidR="002D617D" w:rsidRPr="00F01299">
        <w:rPr>
          <w:rFonts w:ascii="Arial" w:hAnsi="Arial" w:cs="Arial"/>
        </w:rPr>
        <w:t>l</w:t>
      </w:r>
      <w:r w:rsidR="002D617D" w:rsidRPr="00B542CB">
        <w:rPr>
          <w:rFonts w:ascii="Arial" w:hAnsi="Arial" w:cs="Arial"/>
        </w:rPr>
        <w:t xml:space="preserve">evel 4 – </w:t>
      </w:r>
      <w:r w:rsidR="002D617D" w:rsidRPr="00F01299">
        <w:rPr>
          <w:rFonts w:ascii="Arial" w:hAnsi="Arial" w:cs="Arial"/>
        </w:rPr>
        <w:t>s</w:t>
      </w:r>
      <w:r w:rsidR="002D617D" w:rsidRPr="00B542CB">
        <w:rPr>
          <w:rFonts w:ascii="Arial" w:hAnsi="Arial" w:cs="Arial"/>
        </w:rPr>
        <w:t xml:space="preserve">tandard </w:t>
      </w:r>
      <w:r w:rsidR="002D617D" w:rsidRPr="00F01299">
        <w:rPr>
          <w:rFonts w:ascii="Arial" w:hAnsi="Arial" w:cs="Arial"/>
        </w:rPr>
        <w:t>e</w:t>
      </w:r>
      <w:r w:rsidR="002D617D" w:rsidRPr="00B542CB">
        <w:rPr>
          <w:rFonts w:ascii="Arial" w:hAnsi="Arial" w:cs="Arial"/>
        </w:rPr>
        <w:t>xceeded on overall ELA achievement.</w:t>
      </w:r>
    </w:p>
    <w:tbl>
      <w:tblPr>
        <w:tblStyle w:val="GridTable4-Accent1"/>
        <w:tblW w:w="13579" w:type="dxa"/>
        <w:tblLook w:val="0420" w:firstRow="1" w:lastRow="0" w:firstColumn="0" w:lastColumn="0" w:noHBand="0" w:noVBand="1"/>
        <w:tblDescription w:val="Sub Questions, Data Sources, Collection Methods, and Indicators for the Performance Targets"/>
      </w:tblPr>
      <w:tblGrid>
        <w:gridCol w:w="3399"/>
        <w:gridCol w:w="1819"/>
        <w:gridCol w:w="3759"/>
        <w:gridCol w:w="4602"/>
      </w:tblGrid>
      <w:tr w:rsidR="00E44DDD" w:rsidRPr="00113364" w14:paraId="7A9FC2AE"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3399" w:type="dxa"/>
            <w:tcBorders>
              <w:right w:val="single" w:sz="4" w:space="0" w:color="4472C4" w:themeColor="accent5"/>
            </w:tcBorders>
            <w:shd w:val="clear" w:color="auto" w:fill="1F3864" w:themeFill="accent5" w:themeFillShade="80"/>
            <w:vAlign w:val="center"/>
          </w:tcPr>
          <w:p w14:paraId="25E41F4C" w14:textId="77777777" w:rsidR="00EA493F" w:rsidRPr="00113364" w:rsidRDefault="00EA493F" w:rsidP="00E53F38">
            <w:pPr>
              <w:jc w:val="center"/>
              <w:rPr>
                <w:rFonts w:ascii="Arial" w:hAnsi="Arial" w:cs="Arial"/>
                <w:b w:val="0"/>
                <w:color w:val="FFFFFF"/>
              </w:rPr>
            </w:pPr>
            <w:r w:rsidRPr="00113364">
              <w:rPr>
                <w:rFonts w:ascii="Arial" w:hAnsi="Arial" w:cs="Arial"/>
                <w:color w:val="FFFFFF"/>
              </w:rPr>
              <w:t>Sub Questions</w:t>
            </w:r>
          </w:p>
          <w:p w14:paraId="3B9179DB" w14:textId="77777777" w:rsidR="00EA493F" w:rsidRPr="00113364" w:rsidRDefault="00EA493F" w:rsidP="00E53F38">
            <w:pPr>
              <w:jc w:val="center"/>
              <w:rPr>
                <w:rFonts w:ascii="Arial" w:hAnsi="Arial" w:cs="Arial"/>
                <w:b w:val="0"/>
                <w:color w:val="FFFFFF"/>
              </w:rPr>
            </w:pPr>
            <w:r w:rsidRPr="00113364">
              <w:rPr>
                <w:rFonts w:ascii="Arial" w:hAnsi="Arial" w:cs="Arial"/>
                <w:color w:val="FFFFFF"/>
              </w:rPr>
              <w:t>These questions articulate the main issues that wil</w:t>
            </w:r>
            <w:r w:rsidR="00862AE4" w:rsidRPr="00113364">
              <w:rPr>
                <w:rFonts w:ascii="Arial" w:hAnsi="Arial" w:cs="Arial"/>
                <w:color w:val="FFFFFF"/>
              </w:rPr>
              <w:t>l be addressed in the review</w:t>
            </w:r>
            <w:r w:rsidR="000E5486" w:rsidRPr="00113364">
              <w:rPr>
                <w:rFonts w:ascii="Arial" w:hAnsi="Arial" w:cs="Arial"/>
                <w:color w:val="FFFFFF"/>
              </w:rPr>
              <w:t>.</w:t>
            </w:r>
          </w:p>
        </w:tc>
        <w:tc>
          <w:tcPr>
            <w:tcW w:w="1819" w:type="dxa"/>
            <w:tcBorders>
              <w:left w:val="single" w:sz="4" w:space="0" w:color="4472C4" w:themeColor="accent5"/>
              <w:right w:val="single" w:sz="4" w:space="0" w:color="4472C4" w:themeColor="accent5"/>
            </w:tcBorders>
            <w:shd w:val="clear" w:color="auto" w:fill="1F3864" w:themeFill="accent5" w:themeFillShade="80"/>
            <w:vAlign w:val="center"/>
          </w:tcPr>
          <w:p w14:paraId="337FE7CA" w14:textId="2A3246C5" w:rsidR="00EA493F" w:rsidRPr="00113364" w:rsidRDefault="00EA493F" w:rsidP="00E53F38">
            <w:pPr>
              <w:jc w:val="center"/>
              <w:rPr>
                <w:rFonts w:ascii="Arial" w:hAnsi="Arial" w:cs="Arial"/>
                <w:b w:val="0"/>
                <w:color w:val="FFFFFF"/>
              </w:rPr>
            </w:pPr>
            <w:r w:rsidRPr="00113364">
              <w:rPr>
                <w:rFonts w:ascii="Arial" w:hAnsi="Arial" w:cs="Arial"/>
                <w:color w:val="FFFFFF"/>
              </w:rPr>
              <w:t>Data Sources</w:t>
            </w:r>
          </w:p>
        </w:tc>
        <w:tc>
          <w:tcPr>
            <w:tcW w:w="3759" w:type="dxa"/>
            <w:tcBorders>
              <w:left w:val="single" w:sz="4" w:space="0" w:color="4472C4" w:themeColor="accent5"/>
              <w:right w:val="single" w:sz="4" w:space="0" w:color="4472C4" w:themeColor="accent5"/>
            </w:tcBorders>
            <w:shd w:val="clear" w:color="auto" w:fill="1F3864" w:themeFill="accent5" w:themeFillShade="80"/>
            <w:vAlign w:val="center"/>
          </w:tcPr>
          <w:p w14:paraId="4CEC0401" w14:textId="77777777" w:rsidR="00EA493F" w:rsidRPr="00113364" w:rsidRDefault="00EA493F" w:rsidP="00E53F38">
            <w:pPr>
              <w:jc w:val="center"/>
              <w:rPr>
                <w:rFonts w:ascii="Arial" w:hAnsi="Arial" w:cs="Arial"/>
                <w:b w:val="0"/>
                <w:color w:val="FFFFFF"/>
              </w:rPr>
            </w:pPr>
            <w:r w:rsidRPr="00113364">
              <w:rPr>
                <w:rFonts w:ascii="Arial" w:hAnsi="Arial" w:cs="Arial"/>
                <w:color w:val="FFFFFF"/>
              </w:rPr>
              <w:t>Data Collection Method</w:t>
            </w:r>
          </w:p>
          <w:p w14:paraId="1562691E" w14:textId="77777777" w:rsidR="00EA493F" w:rsidRPr="00113364" w:rsidRDefault="00EA493F"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the</w:t>
            </w:r>
            <w:r w:rsidR="000311FD" w:rsidRPr="00113364">
              <w:rPr>
                <w:rFonts w:ascii="Arial" w:hAnsi="Arial" w:cs="Arial"/>
                <w:color w:val="FFFFFF"/>
              </w:rPr>
              <w:t>se</w:t>
            </w:r>
            <w:proofErr w:type="gramEnd"/>
            <w:r w:rsidRPr="00113364">
              <w:rPr>
                <w:rFonts w:ascii="Arial" w:hAnsi="Arial" w:cs="Arial"/>
                <w:color w:val="FFFFFF"/>
              </w:rPr>
              <w:t xml:space="preserve"> data.</w:t>
            </w:r>
          </w:p>
        </w:tc>
        <w:tc>
          <w:tcPr>
            <w:tcW w:w="4602" w:type="dxa"/>
            <w:tcBorders>
              <w:left w:val="single" w:sz="4" w:space="0" w:color="4472C4" w:themeColor="accent5"/>
            </w:tcBorders>
            <w:shd w:val="clear" w:color="auto" w:fill="1F3864" w:themeFill="accent5" w:themeFillShade="80"/>
            <w:vAlign w:val="center"/>
          </w:tcPr>
          <w:p w14:paraId="7B6753B3" w14:textId="420DE5B6" w:rsidR="00EA493F" w:rsidRPr="00113364" w:rsidRDefault="00EA493F" w:rsidP="00E53F38">
            <w:pPr>
              <w:jc w:val="center"/>
              <w:rPr>
                <w:rFonts w:ascii="Arial" w:hAnsi="Arial" w:cs="Arial"/>
                <w:b w:val="0"/>
                <w:color w:val="FFFFFF"/>
              </w:rPr>
            </w:pPr>
            <w:r w:rsidRPr="00113364">
              <w:rPr>
                <w:rFonts w:ascii="Arial" w:hAnsi="Arial" w:cs="Arial"/>
                <w:color w:val="FFFFFF"/>
              </w:rPr>
              <w:t>Indicators</w:t>
            </w:r>
          </w:p>
          <w:p w14:paraId="4602F5E2" w14:textId="77777777" w:rsidR="00EA493F" w:rsidRPr="00113364" w:rsidRDefault="00EA493F" w:rsidP="00E53F38">
            <w:pPr>
              <w:jc w:val="center"/>
              <w:rPr>
                <w:rFonts w:ascii="Arial" w:hAnsi="Arial" w:cs="Arial"/>
                <w:b w:val="0"/>
                <w:color w:val="FFFFFF"/>
              </w:rPr>
            </w:pPr>
            <w:r w:rsidRPr="00113364">
              <w:rPr>
                <w:rFonts w:ascii="Arial" w:hAnsi="Arial" w:cs="Arial"/>
                <w:color w:val="FFFFFF"/>
              </w:rPr>
              <w:t>These</w:t>
            </w:r>
            <w:r w:rsidR="000E5486" w:rsidRPr="00113364">
              <w:rPr>
                <w:rFonts w:ascii="Arial" w:hAnsi="Arial" w:cs="Arial"/>
                <w:color w:val="FFFFFF"/>
              </w:rPr>
              <w:t xml:space="preserve"> define the evidence we collect—</w:t>
            </w:r>
            <w:r w:rsidRPr="00113364">
              <w:rPr>
                <w:rFonts w:ascii="Arial" w:hAnsi="Arial" w:cs="Arial"/>
                <w:color w:val="FFFFFF"/>
              </w:rPr>
              <w:t xml:space="preserve">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w:t>
            </w:r>
            <w:r w:rsidR="000311FD" w:rsidRPr="00113364">
              <w:rPr>
                <w:rFonts w:ascii="Arial" w:hAnsi="Arial" w:cs="Arial"/>
                <w:color w:val="FFFFFF"/>
              </w:rPr>
              <w:t>,</w:t>
            </w:r>
            <w:r w:rsidRPr="00113364">
              <w:rPr>
                <w:rFonts w:ascii="Arial" w:hAnsi="Arial" w:cs="Arial"/>
                <w:color w:val="FFFFFF"/>
              </w:rPr>
              <w:t xml:space="preserve"> and measurable.</w:t>
            </w:r>
          </w:p>
        </w:tc>
      </w:tr>
      <w:tr w:rsidR="00EA493F" w:rsidRPr="00113364" w14:paraId="0D715BBC" w14:textId="77777777" w:rsidTr="00940787">
        <w:trPr>
          <w:cnfStyle w:val="000000100000" w:firstRow="0" w:lastRow="0" w:firstColumn="0" w:lastColumn="0" w:oddVBand="0" w:evenVBand="0" w:oddHBand="1" w:evenHBand="0" w:firstRowFirstColumn="0" w:firstRowLastColumn="0" w:lastRowFirstColumn="0" w:lastRowLastColumn="0"/>
          <w:cantSplit/>
          <w:trHeight w:val="1070"/>
        </w:trPr>
        <w:tc>
          <w:tcPr>
            <w:tcW w:w="3399" w:type="dxa"/>
          </w:tcPr>
          <w:p w14:paraId="5DFC7669" w14:textId="096E86C7" w:rsidR="00EA493F" w:rsidRPr="00113364" w:rsidRDefault="00EA493F">
            <w:pPr>
              <w:pStyle w:val="ListParagraph"/>
              <w:numPr>
                <w:ilvl w:val="0"/>
                <w:numId w:val="38"/>
              </w:numPr>
              <w:ind w:left="337"/>
              <w:rPr>
                <w:rFonts w:ascii="Arial" w:eastAsia="Times New Roman" w:hAnsi="Arial" w:cs="Arial"/>
                <w:color w:val="000000"/>
              </w:rPr>
            </w:pPr>
            <w:r w:rsidRPr="00113364">
              <w:rPr>
                <w:rFonts w:ascii="Arial" w:eastAsia="Times New Roman" w:hAnsi="Arial" w:cs="Arial"/>
                <w:color w:val="000000"/>
              </w:rPr>
              <w:t xml:space="preserve">What </w:t>
            </w:r>
            <w:r w:rsidR="0078677C" w:rsidRPr="00113364">
              <w:rPr>
                <w:rFonts w:ascii="Arial" w:eastAsia="Times New Roman" w:hAnsi="Arial" w:cs="Arial"/>
                <w:color w:val="000000"/>
              </w:rPr>
              <w:t>percentage</w:t>
            </w:r>
            <w:r w:rsidR="001745B0" w:rsidRPr="00113364">
              <w:rPr>
                <w:rFonts w:ascii="Arial" w:eastAsia="Times New Roman" w:hAnsi="Arial" w:cs="Arial"/>
                <w:color w:val="000000"/>
              </w:rPr>
              <w:t xml:space="preserve"> of migratory s</w:t>
            </w:r>
            <w:r w:rsidR="00DA313D" w:rsidRPr="00113364">
              <w:rPr>
                <w:rFonts w:ascii="Arial" w:eastAsia="Times New Roman" w:hAnsi="Arial" w:cs="Arial"/>
                <w:color w:val="000000"/>
              </w:rPr>
              <w:t xml:space="preserve">tudents </w:t>
            </w:r>
            <w:proofErr w:type="gramStart"/>
            <w:r w:rsidR="00DA313D" w:rsidRPr="00113364">
              <w:rPr>
                <w:rFonts w:ascii="Arial" w:eastAsia="Times New Roman" w:hAnsi="Arial" w:cs="Arial"/>
                <w:color w:val="000000"/>
              </w:rPr>
              <w:t>are meetin</w:t>
            </w:r>
            <w:r w:rsidR="000311FD" w:rsidRPr="00113364">
              <w:rPr>
                <w:rFonts w:ascii="Arial" w:eastAsia="Times New Roman" w:hAnsi="Arial" w:cs="Arial"/>
                <w:color w:val="000000"/>
              </w:rPr>
              <w:t>g</w:t>
            </w:r>
            <w:proofErr w:type="gramEnd"/>
            <w:r w:rsidR="000311FD" w:rsidRPr="00113364">
              <w:rPr>
                <w:rFonts w:ascii="Arial" w:eastAsia="Times New Roman" w:hAnsi="Arial" w:cs="Arial"/>
                <w:color w:val="000000"/>
              </w:rPr>
              <w:t xml:space="preserve"> or exceeding the overall ELA a</w:t>
            </w:r>
            <w:r w:rsidR="00DA313D" w:rsidRPr="00113364">
              <w:rPr>
                <w:rFonts w:ascii="Arial" w:eastAsia="Times New Roman" w:hAnsi="Arial" w:cs="Arial"/>
                <w:color w:val="000000"/>
              </w:rPr>
              <w:t>chievement standard</w:t>
            </w:r>
            <w:r w:rsidRPr="00113364">
              <w:rPr>
                <w:rFonts w:ascii="Arial" w:eastAsia="Times New Roman" w:hAnsi="Arial" w:cs="Arial"/>
                <w:color w:val="000000"/>
              </w:rPr>
              <w:t>?</w:t>
            </w:r>
          </w:p>
        </w:tc>
        <w:tc>
          <w:tcPr>
            <w:tcW w:w="1819" w:type="dxa"/>
          </w:tcPr>
          <w:p w14:paraId="395774E2" w14:textId="77777777" w:rsidR="00EA493F" w:rsidRPr="00113364" w:rsidRDefault="00EA493F">
            <w:pPr>
              <w:pStyle w:val="ListParagraph"/>
              <w:numPr>
                <w:ilvl w:val="0"/>
                <w:numId w:val="26"/>
              </w:numPr>
              <w:ind w:left="165" w:hanging="165"/>
              <w:rPr>
                <w:rFonts w:ascii="Arial" w:hAnsi="Arial" w:cs="Arial"/>
              </w:rPr>
            </w:pPr>
            <w:r w:rsidRPr="00113364">
              <w:rPr>
                <w:rFonts w:ascii="Arial" w:hAnsi="Arial" w:cs="Arial"/>
              </w:rPr>
              <w:t>statewide assessments</w:t>
            </w:r>
          </w:p>
        </w:tc>
        <w:tc>
          <w:tcPr>
            <w:tcW w:w="3759" w:type="dxa"/>
          </w:tcPr>
          <w:p w14:paraId="6B2BDAAA" w14:textId="7E53BFFD" w:rsidR="00F1584A" w:rsidRPr="00113364" w:rsidRDefault="00EA493F">
            <w:pPr>
              <w:pStyle w:val="ListParagraph"/>
              <w:numPr>
                <w:ilvl w:val="0"/>
                <w:numId w:val="26"/>
              </w:numPr>
              <w:ind w:left="165" w:hanging="165"/>
              <w:rPr>
                <w:rFonts w:ascii="Arial" w:hAnsi="Arial" w:cs="Arial"/>
              </w:rPr>
            </w:pPr>
            <w:r w:rsidRPr="00113364">
              <w:rPr>
                <w:rFonts w:ascii="Arial" w:hAnsi="Arial" w:cs="Arial"/>
              </w:rPr>
              <w:t xml:space="preserve">MSIN requests and merges statewide assessment data for each </w:t>
            </w:r>
            <w:r w:rsidR="000F31DC" w:rsidRPr="00113364">
              <w:rPr>
                <w:rFonts w:ascii="Arial" w:hAnsi="Arial" w:cs="Arial"/>
              </w:rPr>
              <w:t>m</w:t>
            </w:r>
            <w:r w:rsidRPr="00113364">
              <w:rPr>
                <w:rFonts w:ascii="Arial" w:hAnsi="Arial" w:cs="Arial"/>
              </w:rPr>
              <w:t>igratory student</w:t>
            </w:r>
            <w:r w:rsidR="002F7061">
              <w:rPr>
                <w:rFonts w:ascii="Arial" w:hAnsi="Arial" w:cs="Arial"/>
              </w:rPr>
              <w:t xml:space="preserve"> with assessment results </w:t>
            </w:r>
          </w:p>
        </w:tc>
        <w:tc>
          <w:tcPr>
            <w:tcW w:w="4602" w:type="dxa"/>
          </w:tcPr>
          <w:p w14:paraId="0C70A06D" w14:textId="6F488AD5" w:rsidR="00EA493F" w:rsidRPr="00113364" w:rsidRDefault="00EA493F">
            <w:pPr>
              <w:pStyle w:val="ListParagraph"/>
              <w:numPr>
                <w:ilvl w:val="0"/>
                <w:numId w:val="26"/>
              </w:numPr>
              <w:ind w:left="165" w:hanging="165"/>
              <w:rPr>
                <w:rFonts w:ascii="Arial" w:hAnsi="Arial" w:cs="Arial"/>
              </w:rPr>
            </w:pPr>
            <w:r w:rsidRPr="00113364">
              <w:rPr>
                <w:rFonts w:ascii="Arial" w:hAnsi="Arial" w:cs="Arial"/>
              </w:rPr>
              <w:t>Annua</w:t>
            </w:r>
            <w:r w:rsidR="007B35FA" w:rsidRPr="00113364">
              <w:rPr>
                <w:rFonts w:ascii="Arial" w:hAnsi="Arial" w:cs="Arial"/>
              </w:rPr>
              <w:t xml:space="preserve">l student achievement data for </w:t>
            </w:r>
            <w:r w:rsidR="00AD0D2B" w:rsidRPr="00113364">
              <w:rPr>
                <w:rFonts w:ascii="Arial" w:hAnsi="Arial" w:cs="Arial"/>
              </w:rPr>
              <w:t>grades third through eighth and eleventh</w:t>
            </w:r>
            <w:r w:rsidRPr="00113364">
              <w:rPr>
                <w:rFonts w:ascii="Arial" w:hAnsi="Arial" w:cs="Arial"/>
              </w:rPr>
              <w:t>:</w:t>
            </w:r>
          </w:p>
          <w:p w14:paraId="57C72207" w14:textId="77777777" w:rsidR="00EA493F" w:rsidRPr="00113364" w:rsidRDefault="001745B0">
            <w:pPr>
              <w:pStyle w:val="ListParagraph"/>
              <w:numPr>
                <w:ilvl w:val="1"/>
                <w:numId w:val="26"/>
              </w:numPr>
              <w:rPr>
                <w:rFonts w:ascii="Arial" w:hAnsi="Arial" w:cs="Arial"/>
              </w:rPr>
            </w:pPr>
            <w:r w:rsidRPr="00113364">
              <w:rPr>
                <w:rFonts w:ascii="Arial" w:hAnsi="Arial" w:cs="Arial"/>
              </w:rPr>
              <w:t>Percent of migratory s</w:t>
            </w:r>
            <w:r w:rsidR="00DA313D" w:rsidRPr="00113364">
              <w:rPr>
                <w:rFonts w:ascii="Arial" w:hAnsi="Arial" w:cs="Arial"/>
              </w:rPr>
              <w:t>tudents meeting and exceeding o</w:t>
            </w:r>
            <w:r w:rsidR="00EA493F" w:rsidRPr="00113364">
              <w:rPr>
                <w:rFonts w:ascii="Arial" w:hAnsi="Arial" w:cs="Arial"/>
              </w:rPr>
              <w:t>verall ELA</w:t>
            </w:r>
            <w:r w:rsidR="000311FD" w:rsidRPr="00113364">
              <w:rPr>
                <w:rFonts w:ascii="Arial" w:hAnsi="Arial" w:cs="Arial"/>
              </w:rPr>
              <w:t xml:space="preserve"> a</w:t>
            </w:r>
            <w:r w:rsidR="00DC6A20" w:rsidRPr="00113364">
              <w:rPr>
                <w:rFonts w:ascii="Arial" w:hAnsi="Arial" w:cs="Arial"/>
              </w:rPr>
              <w:t>chievement</w:t>
            </w:r>
          </w:p>
        </w:tc>
      </w:tr>
      <w:tr w:rsidR="00EA493F" w:rsidRPr="00113364" w14:paraId="07B1EA32" w14:textId="77777777" w:rsidTr="00940787">
        <w:trPr>
          <w:cantSplit/>
          <w:trHeight w:val="1007"/>
        </w:trPr>
        <w:tc>
          <w:tcPr>
            <w:tcW w:w="3399" w:type="dxa"/>
          </w:tcPr>
          <w:p w14:paraId="50D8F212" w14:textId="5321B2BC" w:rsidR="00EA493F" w:rsidRPr="00113364" w:rsidRDefault="00EA493F">
            <w:pPr>
              <w:pStyle w:val="ListParagraph"/>
              <w:numPr>
                <w:ilvl w:val="1"/>
                <w:numId w:val="39"/>
              </w:numPr>
              <w:rPr>
                <w:rFonts w:ascii="Arial" w:eastAsia="Times New Roman" w:hAnsi="Arial" w:cs="Arial"/>
                <w:color w:val="000000"/>
              </w:rPr>
            </w:pPr>
            <w:r w:rsidRPr="00113364">
              <w:rPr>
                <w:rFonts w:ascii="Arial" w:eastAsia="Times New Roman" w:hAnsi="Arial" w:cs="Arial"/>
                <w:color w:val="000000"/>
              </w:rPr>
              <w:t xml:space="preserve">What </w:t>
            </w:r>
            <w:r w:rsidR="0078677C" w:rsidRPr="00113364">
              <w:rPr>
                <w:rFonts w:ascii="Arial" w:eastAsia="Times New Roman" w:hAnsi="Arial" w:cs="Arial"/>
                <w:color w:val="000000"/>
              </w:rPr>
              <w:t>percentage</w:t>
            </w:r>
            <w:r w:rsidR="001745B0" w:rsidRPr="00113364">
              <w:rPr>
                <w:rFonts w:ascii="Arial" w:eastAsia="Times New Roman" w:hAnsi="Arial" w:cs="Arial"/>
                <w:color w:val="000000"/>
              </w:rPr>
              <w:t xml:space="preserve"> of migratory s</w:t>
            </w:r>
            <w:r w:rsidR="00DF6230" w:rsidRPr="00113364">
              <w:rPr>
                <w:rFonts w:ascii="Arial" w:eastAsia="Times New Roman" w:hAnsi="Arial" w:cs="Arial"/>
                <w:color w:val="000000"/>
              </w:rPr>
              <w:t>tudents are meeting or exceeding the</w:t>
            </w:r>
            <w:r w:rsidR="007B35FA" w:rsidRPr="00113364">
              <w:rPr>
                <w:rFonts w:ascii="Arial" w:eastAsia="Times New Roman" w:hAnsi="Arial" w:cs="Arial"/>
                <w:color w:val="000000"/>
              </w:rPr>
              <w:t xml:space="preserve"> reading achievement</w:t>
            </w:r>
            <w:r w:rsidR="00DF6230" w:rsidRPr="00113364">
              <w:rPr>
                <w:rFonts w:ascii="Arial" w:eastAsia="Times New Roman" w:hAnsi="Arial" w:cs="Arial"/>
                <w:color w:val="000000"/>
              </w:rPr>
              <w:t xml:space="preserve"> standard</w:t>
            </w:r>
            <w:r w:rsidR="007B35FA" w:rsidRPr="00113364">
              <w:rPr>
                <w:rFonts w:ascii="Arial" w:eastAsia="Times New Roman" w:hAnsi="Arial" w:cs="Arial"/>
                <w:color w:val="000000"/>
              </w:rPr>
              <w:t xml:space="preserve"> for m</w:t>
            </w:r>
            <w:r w:rsidRPr="00113364">
              <w:rPr>
                <w:rFonts w:ascii="Arial" w:eastAsia="Times New Roman" w:hAnsi="Arial" w:cs="Arial"/>
                <w:color w:val="000000"/>
              </w:rPr>
              <w:t>igratory students?</w:t>
            </w:r>
          </w:p>
        </w:tc>
        <w:tc>
          <w:tcPr>
            <w:tcW w:w="1819" w:type="dxa"/>
          </w:tcPr>
          <w:p w14:paraId="2DCB6DEA" w14:textId="77777777" w:rsidR="00EA493F" w:rsidRPr="00113364" w:rsidRDefault="00EA493F">
            <w:pPr>
              <w:pStyle w:val="ListParagraph"/>
              <w:numPr>
                <w:ilvl w:val="0"/>
                <w:numId w:val="26"/>
              </w:numPr>
              <w:ind w:left="165" w:hanging="165"/>
              <w:rPr>
                <w:rFonts w:ascii="Arial" w:hAnsi="Arial" w:cs="Arial"/>
              </w:rPr>
            </w:pPr>
            <w:r w:rsidRPr="00113364">
              <w:rPr>
                <w:rFonts w:ascii="Arial" w:hAnsi="Arial" w:cs="Arial"/>
              </w:rPr>
              <w:t>statewide assessments</w:t>
            </w:r>
          </w:p>
        </w:tc>
        <w:tc>
          <w:tcPr>
            <w:tcW w:w="3759" w:type="dxa"/>
          </w:tcPr>
          <w:p w14:paraId="70446785" w14:textId="50FB70A9" w:rsidR="00F1584A" w:rsidRPr="00113364" w:rsidRDefault="00EA493F">
            <w:pPr>
              <w:pStyle w:val="ListParagraph"/>
              <w:numPr>
                <w:ilvl w:val="0"/>
                <w:numId w:val="26"/>
              </w:numPr>
              <w:ind w:left="165" w:hanging="165"/>
              <w:rPr>
                <w:rFonts w:ascii="Arial" w:hAnsi="Arial" w:cs="Arial"/>
              </w:rPr>
            </w:pPr>
            <w:r w:rsidRPr="00113364">
              <w:rPr>
                <w:rFonts w:ascii="Arial" w:hAnsi="Arial" w:cs="Arial"/>
              </w:rPr>
              <w:t xml:space="preserve">MSIN requests and merges statewide assessment data for each </w:t>
            </w:r>
            <w:r w:rsidR="000F31DC" w:rsidRPr="00113364">
              <w:rPr>
                <w:rFonts w:ascii="Arial" w:hAnsi="Arial" w:cs="Arial"/>
              </w:rPr>
              <w:t>migratory student</w:t>
            </w:r>
            <w:r w:rsidR="00F458B4">
              <w:rPr>
                <w:rFonts w:ascii="Arial" w:hAnsi="Arial" w:cs="Arial"/>
              </w:rPr>
              <w:t xml:space="preserve"> with assessment results</w:t>
            </w:r>
          </w:p>
        </w:tc>
        <w:tc>
          <w:tcPr>
            <w:tcW w:w="4602" w:type="dxa"/>
          </w:tcPr>
          <w:p w14:paraId="0B445E65" w14:textId="4E9A1FA4" w:rsidR="00EA493F" w:rsidRPr="00113364" w:rsidRDefault="00EA493F">
            <w:pPr>
              <w:pStyle w:val="ListParagraph"/>
              <w:numPr>
                <w:ilvl w:val="0"/>
                <w:numId w:val="26"/>
              </w:numPr>
              <w:ind w:left="165" w:hanging="165"/>
              <w:rPr>
                <w:rFonts w:ascii="Arial" w:hAnsi="Arial" w:cs="Arial"/>
              </w:rPr>
            </w:pPr>
            <w:r w:rsidRPr="00113364">
              <w:rPr>
                <w:rFonts w:ascii="Arial" w:hAnsi="Arial" w:cs="Arial"/>
              </w:rPr>
              <w:t xml:space="preserve">Annual student achievement data for </w:t>
            </w:r>
            <w:r w:rsidR="00AD0D2B" w:rsidRPr="00113364">
              <w:rPr>
                <w:rFonts w:ascii="Arial" w:hAnsi="Arial" w:cs="Arial"/>
              </w:rPr>
              <w:t>grades third through eighth and eleventh</w:t>
            </w:r>
            <w:r w:rsidRPr="00113364">
              <w:rPr>
                <w:rFonts w:ascii="Arial" w:hAnsi="Arial" w:cs="Arial"/>
              </w:rPr>
              <w:t>:</w:t>
            </w:r>
          </w:p>
          <w:p w14:paraId="58E5EC95" w14:textId="5FC0C996" w:rsidR="00EA493F" w:rsidRPr="00113364" w:rsidRDefault="001745B0">
            <w:pPr>
              <w:pStyle w:val="ListParagraph"/>
              <w:numPr>
                <w:ilvl w:val="1"/>
                <w:numId w:val="26"/>
              </w:numPr>
              <w:rPr>
                <w:rFonts w:ascii="Arial" w:hAnsi="Arial" w:cs="Arial"/>
              </w:rPr>
            </w:pPr>
            <w:r w:rsidRPr="00113364">
              <w:rPr>
                <w:rFonts w:ascii="Arial" w:hAnsi="Arial" w:cs="Arial"/>
              </w:rPr>
              <w:t>Percent of migratory s</w:t>
            </w:r>
            <w:r w:rsidR="00DA313D" w:rsidRPr="00113364">
              <w:rPr>
                <w:rFonts w:ascii="Arial" w:hAnsi="Arial" w:cs="Arial"/>
              </w:rPr>
              <w:t xml:space="preserve">tudents meeting and exceeding </w:t>
            </w:r>
            <w:r w:rsidR="00EA493F" w:rsidRPr="00113364">
              <w:rPr>
                <w:rFonts w:ascii="Arial" w:hAnsi="Arial" w:cs="Arial"/>
              </w:rPr>
              <w:t xml:space="preserve">ELA </w:t>
            </w:r>
            <w:r w:rsidR="0010062C" w:rsidRPr="00113364">
              <w:rPr>
                <w:rFonts w:ascii="Arial" w:hAnsi="Arial" w:cs="Arial"/>
              </w:rPr>
              <w:t>c</w:t>
            </w:r>
            <w:r w:rsidR="00B21FF1" w:rsidRPr="00113364">
              <w:rPr>
                <w:rFonts w:ascii="Arial" w:hAnsi="Arial" w:cs="Arial"/>
              </w:rPr>
              <w:t xml:space="preserve">laim 1 – </w:t>
            </w:r>
            <w:r w:rsidR="0010062C" w:rsidRPr="00113364">
              <w:rPr>
                <w:rFonts w:ascii="Arial" w:hAnsi="Arial" w:cs="Arial"/>
              </w:rPr>
              <w:t>r</w:t>
            </w:r>
            <w:r w:rsidR="00EA493F" w:rsidRPr="00113364">
              <w:rPr>
                <w:rFonts w:ascii="Arial" w:hAnsi="Arial" w:cs="Arial"/>
              </w:rPr>
              <w:t>eading</w:t>
            </w:r>
            <w:r w:rsidR="000311FD" w:rsidRPr="00113364">
              <w:rPr>
                <w:rFonts w:ascii="Arial" w:hAnsi="Arial" w:cs="Arial"/>
              </w:rPr>
              <w:t xml:space="preserve"> a</w:t>
            </w:r>
            <w:r w:rsidR="00B21FF1" w:rsidRPr="00113364">
              <w:rPr>
                <w:rFonts w:ascii="Arial" w:hAnsi="Arial" w:cs="Arial"/>
              </w:rPr>
              <w:t>chievement</w:t>
            </w:r>
          </w:p>
        </w:tc>
      </w:tr>
      <w:tr w:rsidR="00EA493F" w:rsidRPr="00113364" w14:paraId="07ABEBB1"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3399" w:type="dxa"/>
          </w:tcPr>
          <w:p w14:paraId="4F724061" w14:textId="59FE55B1" w:rsidR="00EA493F" w:rsidRPr="00113364" w:rsidRDefault="00EA493F">
            <w:pPr>
              <w:pStyle w:val="ListParagraph"/>
              <w:numPr>
                <w:ilvl w:val="1"/>
                <w:numId w:val="39"/>
              </w:numPr>
              <w:rPr>
                <w:rFonts w:ascii="Arial" w:eastAsia="Times New Roman" w:hAnsi="Arial" w:cs="Arial"/>
                <w:color w:val="000000"/>
              </w:rPr>
            </w:pPr>
            <w:r w:rsidRPr="00113364">
              <w:rPr>
                <w:rFonts w:ascii="Arial" w:eastAsia="Times New Roman" w:hAnsi="Arial" w:cs="Arial"/>
                <w:color w:val="000000"/>
              </w:rPr>
              <w:t xml:space="preserve">What </w:t>
            </w:r>
            <w:r w:rsidR="0078677C" w:rsidRPr="00113364">
              <w:rPr>
                <w:rFonts w:ascii="Arial" w:eastAsia="Times New Roman" w:hAnsi="Arial" w:cs="Arial"/>
                <w:color w:val="000000"/>
              </w:rPr>
              <w:t>percentage</w:t>
            </w:r>
            <w:r w:rsidR="001745B0" w:rsidRPr="00113364">
              <w:rPr>
                <w:rFonts w:ascii="Arial" w:eastAsia="Times New Roman" w:hAnsi="Arial" w:cs="Arial"/>
                <w:color w:val="000000"/>
              </w:rPr>
              <w:t xml:space="preserve"> of migratory s</w:t>
            </w:r>
            <w:r w:rsidR="00DF6230" w:rsidRPr="00113364">
              <w:rPr>
                <w:rFonts w:ascii="Arial" w:eastAsia="Times New Roman" w:hAnsi="Arial" w:cs="Arial"/>
                <w:color w:val="000000"/>
              </w:rPr>
              <w:t>tudents are meeting or exceeding the</w:t>
            </w:r>
            <w:r w:rsidR="007B35FA" w:rsidRPr="00113364">
              <w:rPr>
                <w:rFonts w:ascii="Arial" w:eastAsia="Times New Roman" w:hAnsi="Arial" w:cs="Arial"/>
                <w:color w:val="000000"/>
              </w:rPr>
              <w:t xml:space="preserve"> writing achievement</w:t>
            </w:r>
            <w:r w:rsidR="00DF6230" w:rsidRPr="00113364">
              <w:rPr>
                <w:rFonts w:ascii="Arial" w:eastAsia="Times New Roman" w:hAnsi="Arial" w:cs="Arial"/>
                <w:color w:val="000000"/>
              </w:rPr>
              <w:t xml:space="preserve"> standard</w:t>
            </w:r>
            <w:r w:rsidR="007B35FA" w:rsidRPr="00113364">
              <w:rPr>
                <w:rFonts w:ascii="Arial" w:eastAsia="Times New Roman" w:hAnsi="Arial" w:cs="Arial"/>
                <w:color w:val="000000"/>
              </w:rPr>
              <w:t xml:space="preserve"> for m</w:t>
            </w:r>
            <w:r w:rsidRPr="00113364">
              <w:rPr>
                <w:rFonts w:ascii="Arial" w:eastAsia="Times New Roman" w:hAnsi="Arial" w:cs="Arial"/>
                <w:color w:val="000000"/>
              </w:rPr>
              <w:t>igratory students?</w:t>
            </w:r>
          </w:p>
        </w:tc>
        <w:tc>
          <w:tcPr>
            <w:tcW w:w="1819" w:type="dxa"/>
          </w:tcPr>
          <w:p w14:paraId="6D1C9643" w14:textId="77777777" w:rsidR="00EA493F" w:rsidRPr="00113364" w:rsidRDefault="00B21FF1">
            <w:pPr>
              <w:pStyle w:val="ListParagraph"/>
              <w:numPr>
                <w:ilvl w:val="0"/>
                <w:numId w:val="26"/>
              </w:numPr>
              <w:ind w:left="165" w:hanging="165"/>
              <w:rPr>
                <w:rFonts w:ascii="Arial" w:hAnsi="Arial" w:cs="Arial"/>
              </w:rPr>
            </w:pPr>
            <w:r w:rsidRPr="00113364">
              <w:rPr>
                <w:rFonts w:ascii="Arial" w:hAnsi="Arial" w:cs="Arial"/>
              </w:rPr>
              <w:t>statewide assessments</w:t>
            </w:r>
          </w:p>
        </w:tc>
        <w:tc>
          <w:tcPr>
            <w:tcW w:w="3759" w:type="dxa"/>
          </w:tcPr>
          <w:p w14:paraId="7CBD7E0C" w14:textId="6C12FD91" w:rsidR="00F1584A" w:rsidRPr="00113364" w:rsidRDefault="00EA493F">
            <w:pPr>
              <w:pStyle w:val="ListParagraph"/>
              <w:numPr>
                <w:ilvl w:val="0"/>
                <w:numId w:val="26"/>
              </w:numPr>
              <w:ind w:left="165" w:hanging="165"/>
              <w:rPr>
                <w:rFonts w:ascii="Arial" w:hAnsi="Arial" w:cs="Arial"/>
              </w:rPr>
            </w:pPr>
            <w:r w:rsidRPr="00113364">
              <w:rPr>
                <w:rFonts w:ascii="Arial" w:hAnsi="Arial" w:cs="Arial"/>
              </w:rPr>
              <w:t xml:space="preserve">MSIN requests and merges statewide assessment data for each </w:t>
            </w:r>
            <w:r w:rsidR="000F31DC" w:rsidRPr="00113364">
              <w:rPr>
                <w:rFonts w:ascii="Arial" w:hAnsi="Arial" w:cs="Arial"/>
              </w:rPr>
              <w:t>m</w:t>
            </w:r>
            <w:r w:rsidRPr="00113364">
              <w:rPr>
                <w:rFonts w:ascii="Arial" w:hAnsi="Arial" w:cs="Arial"/>
              </w:rPr>
              <w:t xml:space="preserve">igratory </w:t>
            </w:r>
            <w:r w:rsidR="000F31DC" w:rsidRPr="00113364">
              <w:rPr>
                <w:rFonts w:ascii="Arial" w:hAnsi="Arial" w:cs="Arial"/>
              </w:rPr>
              <w:t>s</w:t>
            </w:r>
            <w:r w:rsidRPr="00113364">
              <w:rPr>
                <w:rFonts w:ascii="Arial" w:hAnsi="Arial" w:cs="Arial"/>
              </w:rPr>
              <w:t>tudent</w:t>
            </w:r>
            <w:r w:rsidR="00F458B4">
              <w:rPr>
                <w:rFonts w:ascii="Arial" w:hAnsi="Arial" w:cs="Arial"/>
              </w:rPr>
              <w:t xml:space="preserve"> with assessment results</w:t>
            </w:r>
          </w:p>
        </w:tc>
        <w:tc>
          <w:tcPr>
            <w:tcW w:w="4602" w:type="dxa"/>
          </w:tcPr>
          <w:p w14:paraId="0C99A05A" w14:textId="202ABD78" w:rsidR="00EA493F" w:rsidRPr="00113364" w:rsidRDefault="00EA493F">
            <w:pPr>
              <w:pStyle w:val="ListParagraph"/>
              <w:numPr>
                <w:ilvl w:val="0"/>
                <w:numId w:val="26"/>
              </w:numPr>
              <w:ind w:left="165" w:hanging="165"/>
              <w:rPr>
                <w:rFonts w:ascii="Arial" w:hAnsi="Arial" w:cs="Arial"/>
              </w:rPr>
            </w:pPr>
            <w:r w:rsidRPr="00113364">
              <w:rPr>
                <w:rFonts w:ascii="Arial" w:hAnsi="Arial" w:cs="Arial"/>
              </w:rPr>
              <w:t xml:space="preserve">Annual student achievement data for </w:t>
            </w:r>
            <w:r w:rsidR="00AD0D2B" w:rsidRPr="00113364">
              <w:rPr>
                <w:rFonts w:ascii="Arial" w:hAnsi="Arial" w:cs="Arial"/>
              </w:rPr>
              <w:t>grades third through eighth and eleventh</w:t>
            </w:r>
            <w:r w:rsidRPr="00113364">
              <w:rPr>
                <w:rFonts w:ascii="Arial" w:hAnsi="Arial" w:cs="Arial"/>
              </w:rPr>
              <w:t>:</w:t>
            </w:r>
          </w:p>
          <w:p w14:paraId="7CA95843" w14:textId="4C236788" w:rsidR="00EA493F" w:rsidRPr="00113364" w:rsidRDefault="001745B0">
            <w:pPr>
              <w:pStyle w:val="ListParagraph"/>
              <w:numPr>
                <w:ilvl w:val="1"/>
                <w:numId w:val="26"/>
              </w:numPr>
              <w:rPr>
                <w:rFonts w:ascii="Arial" w:hAnsi="Arial" w:cs="Arial"/>
              </w:rPr>
            </w:pPr>
            <w:r w:rsidRPr="00113364">
              <w:rPr>
                <w:rFonts w:ascii="Arial" w:hAnsi="Arial" w:cs="Arial"/>
              </w:rPr>
              <w:t>Percent of migratory s</w:t>
            </w:r>
            <w:r w:rsidR="00DA313D" w:rsidRPr="00113364">
              <w:rPr>
                <w:rFonts w:ascii="Arial" w:hAnsi="Arial" w:cs="Arial"/>
              </w:rPr>
              <w:t xml:space="preserve">tudents meeting and exceeding </w:t>
            </w:r>
            <w:r w:rsidR="00EA493F" w:rsidRPr="00113364">
              <w:rPr>
                <w:rFonts w:ascii="Arial" w:hAnsi="Arial" w:cs="Arial"/>
              </w:rPr>
              <w:t xml:space="preserve">ELA </w:t>
            </w:r>
            <w:r w:rsidR="0010062C" w:rsidRPr="00113364">
              <w:rPr>
                <w:rFonts w:ascii="Arial" w:hAnsi="Arial" w:cs="Arial"/>
              </w:rPr>
              <w:t>c</w:t>
            </w:r>
            <w:r w:rsidR="00B21FF1" w:rsidRPr="00113364">
              <w:rPr>
                <w:rFonts w:ascii="Arial" w:hAnsi="Arial" w:cs="Arial"/>
              </w:rPr>
              <w:t xml:space="preserve">laim 2 – </w:t>
            </w:r>
            <w:r w:rsidR="0010062C" w:rsidRPr="00113364">
              <w:rPr>
                <w:rFonts w:ascii="Arial" w:hAnsi="Arial" w:cs="Arial"/>
              </w:rPr>
              <w:t>w</w:t>
            </w:r>
            <w:r w:rsidR="00EA493F" w:rsidRPr="00113364">
              <w:rPr>
                <w:rFonts w:ascii="Arial" w:hAnsi="Arial" w:cs="Arial"/>
              </w:rPr>
              <w:t>riting</w:t>
            </w:r>
            <w:r w:rsidR="000311FD" w:rsidRPr="00113364">
              <w:rPr>
                <w:rFonts w:ascii="Arial" w:hAnsi="Arial" w:cs="Arial"/>
              </w:rPr>
              <w:t xml:space="preserve"> a</w:t>
            </w:r>
            <w:r w:rsidR="00B21FF1" w:rsidRPr="00113364">
              <w:rPr>
                <w:rFonts w:ascii="Arial" w:hAnsi="Arial" w:cs="Arial"/>
              </w:rPr>
              <w:t xml:space="preserve">chievement </w:t>
            </w:r>
          </w:p>
        </w:tc>
      </w:tr>
    </w:tbl>
    <w:p w14:paraId="697DA7C3" w14:textId="20F0A102" w:rsidR="00E44DDD" w:rsidRPr="00113364" w:rsidRDefault="00127E07">
      <w:pPr>
        <w:numPr>
          <w:ilvl w:val="6"/>
          <w:numId w:val="15"/>
        </w:numPr>
        <w:spacing w:before="240"/>
        <w:ind w:left="360"/>
        <w:rPr>
          <w:rFonts w:ascii="Arial" w:eastAsia="Times New Roman" w:hAnsi="Arial" w:cs="Arial"/>
          <w:bCs/>
        </w:rPr>
      </w:pPr>
      <w:r w:rsidRPr="00113364">
        <w:rPr>
          <w:rFonts w:ascii="Arial" w:eastAsia="Times New Roman" w:hAnsi="Arial" w:cs="Arial"/>
          <w:b/>
          <w:bCs/>
        </w:rPr>
        <w:br w:type="page"/>
      </w:r>
      <w:r w:rsidR="00E7492F" w:rsidRPr="00113364">
        <w:rPr>
          <w:rFonts w:ascii="Arial" w:eastAsia="Times New Roman" w:hAnsi="Arial" w:cs="Arial"/>
          <w:b/>
          <w:bCs/>
        </w:rPr>
        <w:lastRenderedPageBreak/>
        <w:t>Mathematics</w:t>
      </w:r>
      <w:r w:rsidR="00E44DDD" w:rsidRPr="00113364">
        <w:rPr>
          <w:rFonts w:ascii="Arial" w:eastAsia="Times New Roman" w:hAnsi="Arial" w:cs="Arial"/>
          <w:b/>
          <w:bCs/>
        </w:rPr>
        <w:t>:</w:t>
      </w:r>
      <w:r w:rsidR="00E44DDD" w:rsidRPr="00113364">
        <w:rPr>
          <w:rFonts w:ascii="Arial" w:eastAsia="Times New Roman" w:hAnsi="Arial" w:cs="Arial"/>
          <w:bCs/>
        </w:rPr>
        <w:t xml:space="preserve"> Are the </w:t>
      </w:r>
      <w:r w:rsidR="00E7492F" w:rsidRPr="00113364">
        <w:rPr>
          <w:rFonts w:ascii="Arial" w:eastAsia="Times New Roman" w:hAnsi="Arial" w:cs="Arial"/>
          <w:bCs/>
        </w:rPr>
        <w:t>mathematics</w:t>
      </w:r>
      <w:r w:rsidR="00E44DDD" w:rsidRPr="00113364">
        <w:rPr>
          <w:rFonts w:ascii="Arial" w:eastAsia="Times New Roman" w:hAnsi="Arial" w:cs="Arial"/>
          <w:bCs/>
        </w:rPr>
        <w:t xml:space="preserve"> skills of migratory students improving?</w:t>
      </w:r>
    </w:p>
    <w:p w14:paraId="1499C21A" w14:textId="162175C8" w:rsidR="00E44DDD" w:rsidRPr="00113364" w:rsidRDefault="00E44DDD" w:rsidP="00C66062">
      <w:pPr>
        <w:tabs>
          <w:tab w:val="left" w:pos="270"/>
        </w:tabs>
        <w:ind w:left="360"/>
      </w:pPr>
      <w:r w:rsidRPr="00113364">
        <w:rPr>
          <w:rFonts w:ascii="Arial" w:hAnsi="Arial" w:cs="Arial"/>
          <w:b/>
        </w:rPr>
        <w:t>Performance Target:</w:t>
      </w:r>
      <w:r w:rsidRPr="00113364">
        <w:rPr>
          <w:rFonts w:ascii="Arial" w:hAnsi="Arial" w:cs="Arial"/>
        </w:rPr>
        <w:t xml:space="preserve"> </w:t>
      </w:r>
      <w:bookmarkStart w:id="112" w:name="_Hlk194940355"/>
      <w:r w:rsidR="002D617D" w:rsidRPr="00113364">
        <w:rPr>
          <w:rFonts w:ascii="Arial" w:hAnsi="Arial" w:cs="Arial"/>
        </w:rPr>
        <w:t>By September 2031, 20.5 percent of migratory students will score at proficient levels (scoring at level 3 or level 4).</w:t>
      </w:r>
      <w:bookmarkEnd w:id="112"/>
    </w:p>
    <w:tbl>
      <w:tblPr>
        <w:tblStyle w:val="GridTable4-Accent1"/>
        <w:tblW w:w="13579" w:type="dxa"/>
        <w:tblLook w:val="0420" w:firstRow="1" w:lastRow="0" w:firstColumn="0" w:lastColumn="0" w:noHBand="0" w:noVBand="1"/>
        <w:tblDescription w:val="Math Sub Questions"/>
      </w:tblPr>
      <w:tblGrid>
        <w:gridCol w:w="3351"/>
        <w:gridCol w:w="1819"/>
        <w:gridCol w:w="3600"/>
        <w:gridCol w:w="4809"/>
      </w:tblGrid>
      <w:tr w:rsidR="00127E07" w:rsidRPr="00113364" w14:paraId="707162D5"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3351" w:type="dxa"/>
            <w:tcBorders>
              <w:right w:val="single" w:sz="4" w:space="0" w:color="4472C4" w:themeColor="accent5"/>
            </w:tcBorders>
            <w:shd w:val="clear" w:color="auto" w:fill="1F3864" w:themeFill="accent5" w:themeFillShade="80"/>
            <w:vAlign w:val="center"/>
          </w:tcPr>
          <w:p w14:paraId="69B82640"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Sub Questions</w:t>
            </w:r>
          </w:p>
          <w:p w14:paraId="58A0580A"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819" w:type="dxa"/>
            <w:tcBorders>
              <w:left w:val="single" w:sz="4" w:space="0" w:color="4472C4" w:themeColor="accent5"/>
              <w:right w:val="single" w:sz="4" w:space="0" w:color="4472C4" w:themeColor="accent5"/>
            </w:tcBorders>
            <w:shd w:val="clear" w:color="auto" w:fill="1F3864" w:themeFill="accent5" w:themeFillShade="80"/>
            <w:vAlign w:val="center"/>
          </w:tcPr>
          <w:p w14:paraId="30FACE86" w14:textId="5DA88F88" w:rsidR="00E44DDD" w:rsidRPr="00113364" w:rsidRDefault="00E44DDD" w:rsidP="00E53F38">
            <w:pPr>
              <w:jc w:val="center"/>
              <w:rPr>
                <w:rFonts w:ascii="Arial" w:hAnsi="Arial" w:cs="Arial"/>
                <w:b w:val="0"/>
                <w:color w:val="FFFFFF"/>
              </w:rPr>
            </w:pPr>
            <w:r w:rsidRPr="00113364">
              <w:rPr>
                <w:rFonts w:ascii="Arial" w:hAnsi="Arial" w:cs="Arial"/>
                <w:color w:val="FFFFFF"/>
              </w:rPr>
              <w:t>Data Sources</w:t>
            </w:r>
          </w:p>
        </w:tc>
        <w:tc>
          <w:tcPr>
            <w:tcW w:w="3600" w:type="dxa"/>
            <w:tcBorders>
              <w:left w:val="single" w:sz="4" w:space="0" w:color="4472C4" w:themeColor="accent5"/>
              <w:right w:val="single" w:sz="4" w:space="0" w:color="4472C4" w:themeColor="accent5"/>
            </w:tcBorders>
            <w:shd w:val="clear" w:color="auto" w:fill="1F3864" w:themeFill="accent5" w:themeFillShade="80"/>
            <w:vAlign w:val="center"/>
          </w:tcPr>
          <w:p w14:paraId="20D1C293"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Data Collection Method</w:t>
            </w:r>
          </w:p>
          <w:p w14:paraId="2A22375A"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these</w:t>
            </w:r>
            <w:proofErr w:type="gramEnd"/>
            <w:r w:rsidRPr="00113364">
              <w:rPr>
                <w:rFonts w:ascii="Arial" w:hAnsi="Arial" w:cs="Arial"/>
                <w:color w:val="FFFFFF"/>
              </w:rPr>
              <w:t xml:space="preserve"> data.</w:t>
            </w:r>
          </w:p>
        </w:tc>
        <w:tc>
          <w:tcPr>
            <w:tcW w:w="4809" w:type="dxa"/>
            <w:tcBorders>
              <w:left w:val="single" w:sz="4" w:space="0" w:color="4472C4" w:themeColor="accent5"/>
            </w:tcBorders>
            <w:shd w:val="clear" w:color="auto" w:fill="1F3864" w:themeFill="accent5" w:themeFillShade="80"/>
            <w:vAlign w:val="center"/>
          </w:tcPr>
          <w:p w14:paraId="7DB24924" w14:textId="65D1AA43" w:rsidR="00E44DDD" w:rsidRPr="00113364" w:rsidRDefault="00E44DDD" w:rsidP="00E53F38">
            <w:pPr>
              <w:jc w:val="center"/>
              <w:rPr>
                <w:rFonts w:ascii="Arial" w:hAnsi="Arial" w:cs="Arial"/>
                <w:b w:val="0"/>
                <w:color w:val="FFFFFF"/>
              </w:rPr>
            </w:pPr>
            <w:r w:rsidRPr="00113364">
              <w:rPr>
                <w:rFonts w:ascii="Arial" w:hAnsi="Arial" w:cs="Arial"/>
                <w:color w:val="FFFFFF"/>
              </w:rPr>
              <w:t>Indicators</w:t>
            </w:r>
          </w:p>
          <w:p w14:paraId="3BACD4ED"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DC6A20" w:rsidRPr="00113364" w14:paraId="3A634946" w14:textId="77777777" w:rsidTr="00940787">
        <w:trPr>
          <w:cnfStyle w:val="000000100000" w:firstRow="0" w:lastRow="0" w:firstColumn="0" w:lastColumn="0" w:oddVBand="0" w:evenVBand="0" w:oddHBand="1" w:evenHBand="0" w:firstRowFirstColumn="0" w:firstRowLastColumn="0" w:lastRowFirstColumn="0" w:lastRowLastColumn="0"/>
          <w:cantSplit/>
          <w:trHeight w:val="593"/>
        </w:trPr>
        <w:tc>
          <w:tcPr>
            <w:tcW w:w="3351" w:type="dxa"/>
          </w:tcPr>
          <w:p w14:paraId="48E9844F" w14:textId="379CD8BD" w:rsidR="00DC6A20" w:rsidRPr="00113364" w:rsidRDefault="00DC6A20">
            <w:pPr>
              <w:pStyle w:val="ListParagraph"/>
              <w:numPr>
                <w:ilvl w:val="0"/>
                <w:numId w:val="36"/>
              </w:numPr>
              <w:ind w:left="337"/>
              <w:rPr>
                <w:rFonts w:ascii="Arial" w:eastAsia="Times New Roman" w:hAnsi="Arial" w:cs="Arial"/>
                <w:color w:val="222222"/>
              </w:rPr>
            </w:pPr>
            <w:r w:rsidRPr="00113364">
              <w:rPr>
                <w:rFonts w:ascii="Arial" w:eastAsia="Times New Roman" w:hAnsi="Arial" w:cs="Arial"/>
                <w:color w:val="000000"/>
              </w:rPr>
              <w:t xml:space="preserve">What </w:t>
            </w:r>
            <w:r w:rsidR="0078677C" w:rsidRPr="00113364">
              <w:rPr>
                <w:rFonts w:ascii="Arial" w:eastAsia="Times New Roman" w:hAnsi="Arial" w:cs="Arial"/>
                <w:color w:val="000000"/>
              </w:rPr>
              <w:t>percentage</w:t>
            </w:r>
            <w:r w:rsidR="001745B0" w:rsidRPr="00113364">
              <w:rPr>
                <w:rFonts w:ascii="Arial" w:eastAsia="Times New Roman" w:hAnsi="Arial" w:cs="Arial"/>
                <w:color w:val="000000"/>
              </w:rPr>
              <w:t xml:space="preserve"> of m</w:t>
            </w:r>
            <w:r w:rsidR="00DF6230" w:rsidRPr="00113364">
              <w:rPr>
                <w:rFonts w:ascii="Arial" w:eastAsia="Times New Roman" w:hAnsi="Arial" w:cs="Arial"/>
                <w:color w:val="000000"/>
              </w:rPr>
              <w:t xml:space="preserve">igratory </w:t>
            </w:r>
            <w:r w:rsidR="001745B0" w:rsidRPr="00113364">
              <w:rPr>
                <w:rFonts w:ascii="Arial" w:eastAsia="Times New Roman" w:hAnsi="Arial" w:cs="Arial"/>
                <w:color w:val="000000"/>
              </w:rPr>
              <w:t>s</w:t>
            </w:r>
            <w:r w:rsidR="00DF6230" w:rsidRPr="00113364">
              <w:rPr>
                <w:rFonts w:ascii="Arial" w:eastAsia="Times New Roman" w:hAnsi="Arial" w:cs="Arial"/>
                <w:color w:val="000000"/>
              </w:rPr>
              <w:t xml:space="preserve">tudents are meeting or exceeding the overall </w:t>
            </w:r>
            <w:r w:rsidR="00AD0D2B" w:rsidRPr="00113364">
              <w:rPr>
                <w:rFonts w:ascii="Arial" w:eastAsia="Times New Roman" w:hAnsi="Arial" w:cs="Arial"/>
                <w:color w:val="000000"/>
              </w:rPr>
              <w:t>m</w:t>
            </w:r>
            <w:r w:rsidR="00E7492F" w:rsidRPr="00113364">
              <w:rPr>
                <w:rFonts w:ascii="Arial" w:eastAsia="Times New Roman" w:hAnsi="Arial" w:cs="Arial"/>
                <w:color w:val="000000"/>
              </w:rPr>
              <w:t>athematics</w:t>
            </w:r>
            <w:r w:rsidR="007B0584" w:rsidRPr="00113364">
              <w:rPr>
                <w:rFonts w:ascii="Arial" w:eastAsia="Times New Roman" w:hAnsi="Arial" w:cs="Arial"/>
                <w:color w:val="000000"/>
              </w:rPr>
              <w:t xml:space="preserve"> achievement for m</w:t>
            </w:r>
            <w:r w:rsidRPr="00113364">
              <w:rPr>
                <w:rFonts w:ascii="Arial" w:eastAsia="Times New Roman" w:hAnsi="Arial" w:cs="Arial"/>
                <w:color w:val="000000"/>
              </w:rPr>
              <w:t>igratory students?</w:t>
            </w:r>
          </w:p>
        </w:tc>
        <w:tc>
          <w:tcPr>
            <w:tcW w:w="1819" w:type="dxa"/>
          </w:tcPr>
          <w:p w14:paraId="41859926" w14:textId="77777777" w:rsidR="00DC6A20" w:rsidRPr="00113364" w:rsidRDefault="00DC6A20">
            <w:pPr>
              <w:pStyle w:val="ListParagraph"/>
              <w:numPr>
                <w:ilvl w:val="0"/>
                <w:numId w:val="26"/>
              </w:numPr>
              <w:ind w:left="165" w:hanging="165"/>
              <w:rPr>
                <w:rFonts w:ascii="Arial" w:hAnsi="Arial" w:cs="Arial"/>
              </w:rPr>
            </w:pPr>
            <w:r w:rsidRPr="00113364">
              <w:rPr>
                <w:rFonts w:ascii="Arial" w:hAnsi="Arial" w:cs="Arial"/>
              </w:rPr>
              <w:t>statewide assessments</w:t>
            </w:r>
          </w:p>
        </w:tc>
        <w:tc>
          <w:tcPr>
            <w:tcW w:w="3600" w:type="dxa"/>
          </w:tcPr>
          <w:p w14:paraId="3D512776" w14:textId="760C3575" w:rsidR="00DC6A20" w:rsidRPr="00113364" w:rsidRDefault="00DC6A20">
            <w:pPr>
              <w:pStyle w:val="ListParagraph"/>
              <w:numPr>
                <w:ilvl w:val="0"/>
                <w:numId w:val="26"/>
              </w:numPr>
              <w:ind w:left="165" w:hanging="165"/>
              <w:rPr>
                <w:rFonts w:ascii="Arial" w:hAnsi="Arial" w:cs="Arial"/>
              </w:rPr>
            </w:pPr>
            <w:r w:rsidRPr="00113364">
              <w:rPr>
                <w:rFonts w:ascii="Arial" w:hAnsi="Arial" w:cs="Arial"/>
              </w:rPr>
              <w:t>MSIN requests and merges statewide</w:t>
            </w:r>
            <w:r w:rsidR="007B0584" w:rsidRPr="00113364">
              <w:rPr>
                <w:rFonts w:ascii="Arial" w:hAnsi="Arial" w:cs="Arial"/>
              </w:rPr>
              <w:t xml:space="preserve"> assessment data for each migratory s</w:t>
            </w:r>
            <w:r w:rsidRPr="00113364">
              <w:rPr>
                <w:rFonts w:ascii="Arial" w:hAnsi="Arial" w:cs="Arial"/>
              </w:rPr>
              <w:t>tudent</w:t>
            </w:r>
            <w:r w:rsidR="00F458B4">
              <w:rPr>
                <w:rFonts w:ascii="Arial" w:hAnsi="Arial" w:cs="Arial"/>
              </w:rPr>
              <w:t xml:space="preserve"> with assessment results</w:t>
            </w:r>
          </w:p>
        </w:tc>
        <w:tc>
          <w:tcPr>
            <w:tcW w:w="4809" w:type="dxa"/>
          </w:tcPr>
          <w:p w14:paraId="6D63BFD8" w14:textId="3DD611B6" w:rsidR="00DC6A20" w:rsidRPr="00113364" w:rsidRDefault="00DC6A20">
            <w:pPr>
              <w:pStyle w:val="ListParagraph"/>
              <w:numPr>
                <w:ilvl w:val="0"/>
                <w:numId w:val="26"/>
              </w:numPr>
              <w:ind w:left="165" w:hanging="165"/>
              <w:rPr>
                <w:rFonts w:ascii="Arial" w:hAnsi="Arial" w:cs="Arial"/>
              </w:rPr>
            </w:pPr>
            <w:r w:rsidRPr="00113364">
              <w:rPr>
                <w:rFonts w:ascii="Arial" w:hAnsi="Arial" w:cs="Arial"/>
              </w:rPr>
              <w:t xml:space="preserve">Annual student achievement data for </w:t>
            </w:r>
            <w:r w:rsidR="00AD0D2B" w:rsidRPr="00113364">
              <w:rPr>
                <w:rFonts w:ascii="Arial" w:hAnsi="Arial" w:cs="Arial"/>
              </w:rPr>
              <w:t>grades third through eighth and eleventh</w:t>
            </w:r>
            <w:r w:rsidRPr="00113364">
              <w:rPr>
                <w:rFonts w:ascii="Arial" w:hAnsi="Arial" w:cs="Arial"/>
              </w:rPr>
              <w:t>:</w:t>
            </w:r>
          </w:p>
          <w:p w14:paraId="26C3A37A" w14:textId="24EC573F" w:rsidR="00DC6A20" w:rsidRPr="00113364" w:rsidRDefault="00C01B6E">
            <w:pPr>
              <w:pStyle w:val="ListParagraph"/>
              <w:numPr>
                <w:ilvl w:val="1"/>
                <w:numId w:val="26"/>
              </w:numPr>
              <w:rPr>
                <w:rFonts w:ascii="Arial" w:hAnsi="Arial" w:cs="Arial"/>
              </w:rPr>
            </w:pPr>
            <w:r w:rsidRPr="00113364">
              <w:rPr>
                <w:rFonts w:ascii="Arial" w:hAnsi="Arial" w:cs="Arial"/>
              </w:rPr>
              <w:t>Percent of migratory s</w:t>
            </w:r>
            <w:r w:rsidR="00DA313D" w:rsidRPr="00113364">
              <w:rPr>
                <w:rFonts w:ascii="Arial" w:hAnsi="Arial" w:cs="Arial"/>
              </w:rPr>
              <w:t>tudents meeting and exceeding o</w:t>
            </w:r>
            <w:r w:rsidR="00125DAC" w:rsidRPr="00113364">
              <w:rPr>
                <w:rFonts w:ascii="Arial" w:hAnsi="Arial" w:cs="Arial"/>
              </w:rPr>
              <w:t xml:space="preserve">verall </w:t>
            </w:r>
            <w:r w:rsidR="00AD0D2B" w:rsidRPr="00113364">
              <w:rPr>
                <w:rFonts w:ascii="Arial" w:hAnsi="Arial" w:cs="Arial"/>
              </w:rPr>
              <w:t>m</w:t>
            </w:r>
            <w:r w:rsidR="00E7492F" w:rsidRPr="00113364">
              <w:rPr>
                <w:rFonts w:ascii="Arial" w:hAnsi="Arial" w:cs="Arial"/>
              </w:rPr>
              <w:t>athematics</w:t>
            </w:r>
            <w:r w:rsidR="00125DAC" w:rsidRPr="00113364">
              <w:rPr>
                <w:rFonts w:ascii="Arial" w:hAnsi="Arial" w:cs="Arial"/>
              </w:rPr>
              <w:t xml:space="preserve"> a</w:t>
            </w:r>
            <w:r w:rsidR="00DC6A20" w:rsidRPr="00113364">
              <w:rPr>
                <w:rFonts w:ascii="Arial" w:hAnsi="Arial" w:cs="Arial"/>
              </w:rPr>
              <w:t>chievement</w:t>
            </w:r>
          </w:p>
        </w:tc>
      </w:tr>
      <w:tr w:rsidR="00D523A7" w:rsidRPr="00113364" w14:paraId="2915EC82" w14:textId="77777777" w:rsidTr="00940787">
        <w:trPr>
          <w:cantSplit/>
          <w:trHeight w:val="1430"/>
        </w:trPr>
        <w:tc>
          <w:tcPr>
            <w:tcW w:w="3351" w:type="dxa"/>
          </w:tcPr>
          <w:p w14:paraId="0DFEE6FD" w14:textId="23C40D31" w:rsidR="00D523A7" w:rsidRPr="00113364" w:rsidRDefault="00D523A7">
            <w:pPr>
              <w:pStyle w:val="ListParagraph"/>
              <w:numPr>
                <w:ilvl w:val="1"/>
                <w:numId w:val="37"/>
              </w:numPr>
              <w:rPr>
                <w:rFonts w:ascii="Arial" w:eastAsia="Times New Roman" w:hAnsi="Arial" w:cs="Arial"/>
                <w:color w:val="222222"/>
              </w:rPr>
            </w:pPr>
            <w:r w:rsidRPr="00113364">
              <w:rPr>
                <w:rFonts w:ascii="Arial" w:eastAsia="Times New Roman" w:hAnsi="Arial" w:cs="Arial"/>
                <w:color w:val="000000"/>
              </w:rPr>
              <w:t xml:space="preserve">What </w:t>
            </w:r>
            <w:r w:rsidR="00AD0D2B" w:rsidRPr="00113364">
              <w:rPr>
                <w:rFonts w:ascii="Arial" w:eastAsia="Times New Roman" w:hAnsi="Arial" w:cs="Arial"/>
                <w:color w:val="000000"/>
              </w:rPr>
              <w:t>percentage</w:t>
            </w:r>
            <w:r w:rsidR="00337E9A" w:rsidRPr="00113364">
              <w:rPr>
                <w:rFonts w:ascii="Arial" w:eastAsia="Times New Roman" w:hAnsi="Arial" w:cs="Arial"/>
                <w:color w:val="000000"/>
              </w:rPr>
              <w:t xml:space="preserve"> of migratory s</w:t>
            </w:r>
            <w:r w:rsidR="00DF6230" w:rsidRPr="00113364">
              <w:rPr>
                <w:rFonts w:ascii="Arial" w:eastAsia="Times New Roman" w:hAnsi="Arial" w:cs="Arial"/>
                <w:color w:val="000000"/>
              </w:rPr>
              <w:t xml:space="preserve">tudents are meeting or exceeding </w:t>
            </w:r>
            <w:proofErr w:type="gramStart"/>
            <w:r w:rsidR="00DF6230" w:rsidRPr="00113364">
              <w:rPr>
                <w:rFonts w:ascii="Arial" w:eastAsia="Times New Roman" w:hAnsi="Arial" w:cs="Arial"/>
                <w:color w:val="000000"/>
              </w:rPr>
              <w:t xml:space="preserve">the </w:t>
            </w:r>
            <w:r w:rsidR="0010062C" w:rsidRPr="00113364">
              <w:rPr>
                <w:rFonts w:ascii="Arial" w:eastAsia="Times New Roman" w:hAnsi="Arial" w:cs="Arial"/>
                <w:color w:val="000000"/>
              </w:rPr>
              <w:t>c</w:t>
            </w:r>
            <w:r w:rsidRPr="00113364">
              <w:rPr>
                <w:rFonts w:ascii="Arial" w:eastAsia="Times New Roman" w:hAnsi="Arial" w:cs="Arial"/>
                <w:color w:val="000000"/>
              </w:rPr>
              <w:t>laim</w:t>
            </w:r>
            <w:proofErr w:type="gramEnd"/>
            <w:r w:rsidRPr="00113364">
              <w:rPr>
                <w:rFonts w:ascii="Arial" w:eastAsia="Times New Roman" w:hAnsi="Arial" w:cs="Arial"/>
                <w:color w:val="000000"/>
              </w:rPr>
              <w:t xml:space="preserve"> 1 - </w:t>
            </w:r>
            <w:r w:rsidR="0010062C" w:rsidRPr="00113364">
              <w:rPr>
                <w:rFonts w:ascii="Arial" w:eastAsia="Times New Roman" w:hAnsi="Arial" w:cs="Arial"/>
                <w:color w:val="000000"/>
              </w:rPr>
              <w:t>c</w:t>
            </w:r>
            <w:r w:rsidRPr="00113364">
              <w:rPr>
                <w:rFonts w:ascii="Arial" w:eastAsia="Times New Roman" w:hAnsi="Arial" w:cs="Arial"/>
                <w:color w:val="000000"/>
              </w:rPr>
              <w:t xml:space="preserve">oncepts and </w:t>
            </w:r>
            <w:r w:rsidR="0010062C" w:rsidRPr="00113364">
              <w:rPr>
                <w:rFonts w:ascii="Arial" w:eastAsia="Times New Roman" w:hAnsi="Arial" w:cs="Arial"/>
                <w:color w:val="000000"/>
              </w:rPr>
              <w:t>p</w:t>
            </w:r>
            <w:r w:rsidRPr="00113364">
              <w:rPr>
                <w:rFonts w:ascii="Arial" w:eastAsia="Times New Roman" w:hAnsi="Arial" w:cs="Arial"/>
                <w:color w:val="000000"/>
              </w:rPr>
              <w:t>rocedures</w:t>
            </w:r>
            <w:r w:rsidR="00DF6230" w:rsidRPr="00113364">
              <w:rPr>
                <w:rFonts w:ascii="Arial" w:eastAsia="Times New Roman" w:hAnsi="Arial" w:cs="Arial"/>
                <w:color w:val="000000"/>
              </w:rPr>
              <w:t xml:space="preserve"> standard</w:t>
            </w:r>
            <w:r w:rsidRPr="00113364">
              <w:rPr>
                <w:rFonts w:ascii="Arial" w:eastAsia="Times New Roman" w:hAnsi="Arial" w:cs="Arial"/>
                <w:color w:val="000000"/>
              </w:rPr>
              <w:t>?</w:t>
            </w:r>
          </w:p>
        </w:tc>
        <w:tc>
          <w:tcPr>
            <w:tcW w:w="1819" w:type="dxa"/>
          </w:tcPr>
          <w:p w14:paraId="06F02240" w14:textId="77777777" w:rsidR="00D523A7" w:rsidRPr="00113364" w:rsidRDefault="00D523A7">
            <w:pPr>
              <w:pStyle w:val="ListParagraph"/>
              <w:numPr>
                <w:ilvl w:val="0"/>
                <w:numId w:val="26"/>
              </w:numPr>
              <w:ind w:left="165" w:hanging="165"/>
              <w:rPr>
                <w:rFonts w:ascii="Arial" w:hAnsi="Arial" w:cs="Arial"/>
              </w:rPr>
            </w:pPr>
            <w:r w:rsidRPr="00113364">
              <w:rPr>
                <w:rFonts w:ascii="Arial" w:hAnsi="Arial" w:cs="Arial"/>
              </w:rPr>
              <w:t>statewide assessments</w:t>
            </w:r>
          </w:p>
        </w:tc>
        <w:tc>
          <w:tcPr>
            <w:tcW w:w="3600" w:type="dxa"/>
          </w:tcPr>
          <w:p w14:paraId="455E966A" w14:textId="37C1DD8F" w:rsidR="00D523A7" w:rsidRPr="00113364" w:rsidRDefault="00D523A7">
            <w:pPr>
              <w:pStyle w:val="ListParagraph"/>
              <w:numPr>
                <w:ilvl w:val="0"/>
                <w:numId w:val="26"/>
              </w:numPr>
              <w:ind w:left="165" w:hanging="165"/>
              <w:rPr>
                <w:rFonts w:ascii="Arial" w:hAnsi="Arial" w:cs="Arial"/>
              </w:rPr>
            </w:pPr>
            <w:r w:rsidRPr="00113364">
              <w:rPr>
                <w:rFonts w:ascii="Arial" w:hAnsi="Arial" w:cs="Arial"/>
              </w:rPr>
              <w:t>MSIN requests and merges statewide assessment data for each migratory student</w:t>
            </w:r>
            <w:r w:rsidR="00F458B4">
              <w:rPr>
                <w:rFonts w:ascii="Arial" w:hAnsi="Arial" w:cs="Arial"/>
              </w:rPr>
              <w:t xml:space="preserve"> with assessment results</w:t>
            </w:r>
          </w:p>
        </w:tc>
        <w:tc>
          <w:tcPr>
            <w:tcW w:w="4809" w:type="dxa"/>
          </w:tcPr>
          <w:p w14:paraId="58BD3DF1" w14:textId="74F53682" w:rsidR="00D523A7" w:rsidRPr="00113364" w:rsidRDefault="00D523A7">
            <w:pPr>
              <w:pStyle w:val="ListParagraph"/>
              <w:numPr>
                <w:ilvl w:val="0"/>
                <w:numId w:val="26"/>
              </w:numPr>
              <w:ind w:left="165" w:hanging="165"/>
              <w:rPr>
                <w:rFonts w:ascii="Arial" w:hAnsi="Arial" w:cs="Arial"/>
              </w:rPr>
            </w:pPr>
            <w:r w:rsidRPr="00113364">
              <w:rPr>
                <w:rFonts w:ascii="Arial" w:hAnsi="Arial" w:cs="Arial"/>
              </w:rPr>
              <w:t xml:space="preserve">Annual student achievement data for </w:t>
            </w:r>
            <w:r w:rsidR="00AD0D2B" w:rsidRPr="00113364">
              <w:rPr>
                <w:rFonts w:ascii="Arial" w:hAnsi="Arial" w:cs="Arial"/>
              </w:rPr>
              <w:t>g</w:t>
            </w:r>
            <w:r w:rsidRPr="00113364">
              <w:rPr>
                <w:rFonts w:ascii="Arial" w:hAnsi="Arial" w:cs="Arial"/>
              </w:rPr>
              <w:t xml:space="preserve">rades </w:t>
            </w:r>
            <w:r w:rsidR="00AD0D2B" w:rsidRPr="00113364">
              <w:rPr>
                <w:rFonts w:ascii="Arial" w:hAnsi="Arial" w:cs="Arial"/>
              </w:rPr>
              <w:t>third through eighth</w:t>
            </w:r>
            <w:r w:rsidRPr="00113364">
              <w:rPr>
                <w:rFonts w:ascii="Arial" w:hAnsi="Arial" w:cs="Arial"/>
              </w:rPr>
              <w:t xml:space="preserve"> and </w:t>
            </w:r>
            <w:r w:rsidR="00AD0D2B" w:rsidRPr="00113364">
              <w:rPr>
                <w:rFonts w:ascii="Arial" w:hAnsi="Arial" w:cs="Arial"/>
              </w:rPr>
              <w:t>eleventh</w:t>
            </w:r>
            <w:r w:rsidRPr="00113364">
              <w:rPr>
                <w:rFonts w:ascii="Arial" w:hAnsi="Arial" w:cs="Arial"/>
              </w:rPr>
              <w:t>:</w:t>
            </w:r>
          </w:p>
          <w:p w14:paraId="6EFE33CB" w14:textId="22AA3206" w:rsidR="00D523A7" w:rsidRPr="00113364" w:rsidRDefault="00337E9A">
            <w:pPr>
              <w:pStyle w:val="ListParagraph"/>
              <w:numPr>
                <w:ilvl w:val="1"/>
                <w:numId w:val="26"/>
              </w:numPr>
              <w:ind w:left="792"/>
              <w:rPr>
                <w:rFonts w:ascii="Arial" w:hAnsi="Arial" w:cs="Arial"/>
              </w:rPr>
            </w:pPr>
            <w:r w:rsidRPr="00113364">
              <w:rPr>
                <w:rFonts w:ascii="Arial" w:hAnsi="Arial" w:cs="Arial"/>
              </w:rPr>
              <w:t>Percent of migratory s</w:t>
            </w:r>
            <w:r w:rsidR="00DA313D" w:rsidRPr="00113364">
              <w:rPr>
                <w:rFonts w:ascii="Arial" w:hAnsi="Arial" w:cs="Arial"/>
              </w:rPr>
              <w:t xml:space="preserve">tudents meeting and exceeding </w:t>
            </w:r>
            <w:r w:rsidR="00AD0D2B" w:rsidRPr="00113364">
              <w:rPr>
                <w:rFonts w:ascii="Arial" w:hAnsi="Arial" w:cs="Arial"/>
              </w:rPr>
              <w:t>m</w:t>
            </w:r>
            <w:r w:rsidR="00E7492F" w:rsidRPr="00113364">
              <w:rPr>
                <w:rFonts w:ascii="Arial" w:hAnsi="Arial" w:cs="Arial"/>
              </w:rPr>
              <w:t>athematics</w:t>
            </w:r>
            <w:r w:rsidR="00D523A7" w:rsidRPr="00113364">
              <w:rPr>
                <w:rFonts w:ascii="Arial" w:hAnsi="Arial" w:cs="Arial"/>
              </w:rPr>
              <w:t xml:space="preserve"> </w:t>
            </w:r>
            <w:r w:rsidR="009F1DA7" w:rsidRPr="00113364">
              <w:rPr>
                <w:rFonts w:ascii="Arial" w:hAnsi="Arial" w:cs="Arial"/>
              </w:rPr>
              <w:t>c</w:t>
            </w:r>
            <w:r w:rsidR="00D523A7" w:rsidRPr="00113364">
              <w:rPr>
                <w:rFonts w:ascii="Arial" w:hAnsi="Arial" w:cs="Arial"/>
              </w:rPr>
              <w:t xml:space="preserve">laim–1 </w:t>
            </w:r>
            <w:r w:rsidR="009F1DA7" w:rsidRPr="00113364">
              <w:rPr>
                <w:rFonts w:ascii="Arial" w:hAnsi="Arial" w:cs="Arial"/>
              </w:rPr>
              <w:t>c</w:t>
            </w:r>
            <w:r w:rsidR="00D523A7" w:rsidRPr="00113364">
              <w:rPr>
                <w:rFonts w:ascii="Arial" w:hAnsi="Arial" w:cs="Arial"/>
              </w:rPr>
              <w:t xml:space="preserve">oncepts and </w:t>
            </w:r>
            <w:r w:rsidR="009F1DA7" w:rsidRPr="00113364">
              <w:rPr>
                <w:rFonts w:ascii="Arial" w:hAnsi="Arial" w:cs="Arial"/>
              </w:rPr>
              <w:t>p</w:t>
            </w:r>
            <w:r w:rsidR="00D523A7" w:rsidRPr="00113364">
              <w:rPr>
                <w:rFonts w:ascii="Arial" w:hAnsi="Arial" w:cs="Arial"/>
              </w:rPr>
              <w:t>rocedures</w:t>
            </w:r>
          </w:p>
        </w:tc>
      </w:tr>
    </w:tbl>
    <w:p w14:paraId="2706C11C" w14:textId="77777777" w:rsidR="00E44DDD" w:rsidRPr="00113364" w:rsidRDefault="00E44DDD">
      <w:pPr>
        <w:numPr>
          <w:ilvl w:val="6"/>
          <w:numId w:val="15"/>
        </w:numPr>
        <w:ind w:left="360"/>
        <w:rPr>
          <w:rFonts w:ascii="Arial" w:eastAsia="Times New Roman" w:hAnsi="Arial" w:cs="Arial"/>
          <w:bCs/>
        </w:rPr>
      </w:pPr>
      <w:r w:rsidRPr="00113364">
        <w:br w:type="page"/>
      </w:r>
      <w:r w:rsidRPr="00113364">
        <w:rPr>
          <w:rFonts w:ascii="Arial" w:eastAsia="Times New Roman" w:hAnsi="Arial" w:cs="Arial"/>
          <w:b/>
          <w:bCs/>
        </w:rPr>
        <w:lastRenderedPageBreak/>
        <w:t>ELD:</w:t>
      </w:r>
      <w:r w:rsidRPr="00113364">
        <w:rPr>
          <w:rFonts w:ascii="Arial" w:eastAsia="Times New Roman" w:hAnsi="Arial" w:cs="Arial"/>
          <w:bCs/>
        </w:rPr>
        <w:t xml:space="preserve"> A</w:t>
      </w:r>
      <w:r w:rsidR="00377326" w:rsidRPr="00113364">
        <w:rPr>
          <w:rFonts w:ascii="Arial" w:eastAsia="Times New Roman" w:hAnsi="Arial" w:cs="Arial"/>
          <w:bCs/>
        </w:rPr>
        <w:t>re the ELD skills of migratory s</w:t>
      </w:r>
      <w:r w:rsidRPr="00113364">
        <w:rPr>
          <w:rFonts w:ascii="Arial" w:eastAsia="Times New Roman" w:hAnsi="Arial" w:cs="Arial"/>
          <w:bCs/>
        </w:rPr>
        <w:t>tudents</w:t>
      </w:r>
      <w:r w:rsidR="00377326" w:rsidRPr="00113364">
        <w:rPr>
          <w:rFonts w:ascii="Arial" w:eastAsia="Times New Roman" w:hAnsi="Arial" w:cs="Arial"/>
          <w:bCs/>
        </w:rPr>
        <w:t xml:space="preserve"> improving?</w:t>
      </w:r>
    </w:p>
    <w:p w14:paraId="492B118F" w14:textId="65F6A95F" w:rsidR="00E44DDD" w:rsidRPr="00113364" w:rsidRDefault="00E44DDD" w:rsidP="00C66062">
      <w:pPr>
        <w:ind w:left="360"/>
      </w:pPr>
      <w:r w:rsidRPr="00113364">
        <w:rPr>
          <w:rFonts w:ascii="Arial" w:hAnsi="Arial" w:cs="Arial"/>
          <w:b/>
        </w:rPr>
        <w:t>Performance Target:</w:t>
      </w:r>
      <w:r w:rsidRPr="00113364">
        <w:rPr>
          <w:rFonts w:ascii="Arial" w:hAnsi="Arial" w:cs="Arial"/>
        </w:rPr>
        <w:t xml:space="preserve"> </w:t>
      </w:r>
      <w:bookmarkStart w:id="113" w:name="_Hlk194940506"/>
      <w:r w:rsidR="002D617D" w:rsidRPr="00113364">
        <w:rPr>
          <w:rFonts w:ascii="Arial" w:hAnsi="Arial" w:cs="Arial"/>
        </w:rPr>
        <w:t>By September 2031, 1</w:t>
      </w:r>
      <w:r w:rsidR="00C36BF6" w:rsidRPr="00113364">
        <w:rPr>
          <w:rFonts w:ascii="Arial" w:hAnsi="Arial" w:cs="Arial"/>
        </w:rPr>
        <w:t>2.9</w:t>
      </w:r>
      <w:r w:rsidR="002D617D" w:rsidRPr="00113364">
        <w:rPr>
          <w:rFonts w:ascii="Arial" w:hAnsi="Arial" w:cs="Arial"/>
        </w:rPr>
        <w:t xml:space="preserve"> percent of migratory students will score at proficiency (level 4) on the ELPAC.</w:t>
      </w:r>
      <w:bookmarkEnd w:id="113"/>
    </w:p>
    <w:tbl>
      <w:tblPr>
        <w:tblStyle w:val="GridTable4-Accent5"/>
        <w:tblW w:w="13579" w:type="dxa"/>
        <w:tblLook w:val="0420" w:firstRow="1" w:lastRow="0" w:firstColumn="0" w:lastColumn="0" w:noHBand="0" w:noVBand="1"/>
        <w:tblDescription w:val="ELA Sub Questions"/>
      </w:tblPr>
      <w:tblGrid>
        <w:gridCol w:w="2947"/>
        <w:gridCol w:w="1913"/>
        <w:gridCol w:w="3640"/>
        <w:gridCol w:w="5079"/>
      </w:tblGrid>
      <w:tr w:rsidR="00E44DDD" w:rsidRPr="00113364" w14:paraId="2995653F"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2947" w:type="dxa"/>
            <w:tcBorders>
              <w:right w:val="single" w:sz="4" w:space="0" w:color="4472C4" w:themeColor="accent5"/>
            </w:tcBorders>
            <w:shd w:val="clear" w:color="auto" w:fill="1F3864" w:themeFill="accent5" w:themeFillShade="80"/>
            <w:vAlign w:val="center"/>
          </w:tcPr>
          <w:p w14:paraId="144D723E"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Sub Questions</w:t>
            </w:r>
          </w:p>
          <w:p w14:paraId="7A247F73"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913" w:type="dxa"/>
            <w:tcBorders>
              <w:left w:val="single" w:sz="4" w:space="0" w:color="4472C4" w:themeColor="accent5"/>
              <w:right w:val="single" w:sz="4" w:space="0" w:color="4472C4" w:themeColor="accent5"/>
            </w:tcBorders>
            <w:shd w:val="clear" w:color="auto" w:fill="1F3864" w:themeFill="accent5" w:themeFillShade="80"/>
            <w:vAlign w:val="center"/>
          </w:tcPr>
          <w:p w14:paraId="0949ACBB" w14:textId="6DCC9CCE" w:rsidR="00E44DDD" w:rsidRPr="00113364" w:rsidRDefault="00E44DDD" w:rsidP="00E53F38">
            <w:pPr>
              <w:jc w:val="center"/>
              <w:rPr>
                <w:rFonts w:ascii="Arial" w:hAnsi="Arial" w:cs="Arial"/>
                <w:b w:val="0"/>
                <w:color w:val="FFFFFF"/>
              </w:rPr>
            </w:pPr>
            <w:r w:rsidRPr="00113364">
              <w:rPr>
                <w:rFonts w:ascii="Arial" w:hAnsi="Arial" w:cs="Arial"/>
                <w:color w:val="FFFFFF"/>
              </w:rPr>
              <w:t>Data Sources</w:t>
            </w:r>
          </w:p>
        </w:tc>
        <w:tc>
          <w:tcPr>
            <w:tcW w:w="3640" w:type="dxa"/>
            <w:tcBorders>
              <w:left w:val="single" w:sz="4" w:space="0" w:color="4472C4" w:themeColor="accent5"/>
              <w:right w:val="single" w:sz="4" w:space="0" w:color="4472C4" w:themeColor="accent5"/>
            </w:tcBorders>
            <w:shd w:val="clear" w:color="auto" w:fill="1F3864" w:themeFill="accent5" w:themeFillShade="80"/>
            <w:vAlign w:val="center"/>
          </w:tcPr>
          <w:p w14:paraId="6A7432EF"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Data Collection Method</w:t>
            </w:r>
          </w:p>
          <w:p w14:paraId="06D2F317"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these</w:t>
            </w:r>
            <w:proofErr w:type="gramEnd"/>
            <w:r w:rsidRPr="00113364">
              <w:rPr>
                <w:rFonts w:ascii="Arial" w:hAnsi="Arial" w:cs="Arial"/>
                <w:color w:val="FFFFFF"/>
              </w:rPr>
              <w:t xml:space="preserve"> data.</w:t>
            </w:r>
          </w:p>
        </w:tc>
        <w:tc>
          <w:tcPr>
            <w:tcW w:w="5079" w:type="dxa"/>
            <w:tcBorders>
              <w:left w:val="single" w:sz="4" w:space="0" w:color="4472C4" w:themeColor="accent5"/>
            </w:tcBorders>
            <w:shd w:val="clear" w:color="auto" w:fill="1F3864" w:themeFill="accent5" w:themeFillShade="80"/>
            <w:vAlign w:val="center"/>
          </w:tcPr>
          <w:p w14:paraId="65C45AEC" w14:textId="377DBD1C" w:rsidR="00E44DDD" w:rsidRPr="00113364" w:rsidRDefault="00E44DDD" w:rsidP="00E53F38">
            <w:pPr>
              <w:jc w:val="center"/>
              <w:rPr>
                <w:rFonts w:ascii="Arial" w:hAnsi="Arial" w:cs="Arial"/>
                <w:b w:val="0"/>
                <w:color w:val="FFFFFF"/>
              </w:rPr>
            </w:pPr>
            <w:r w:rsidRPr="00113364">
              <w:rPr>
                <w:rFonts w:ascii="Arial" w:hAnsi="Arial" w:cs="Arial"/>
                <w:color w:val="FFFFFF"/>
              </w:rPr>
              <w:t>Indicators</w:t>
            </w:r>
          </w:p>
          <w:p w14:paraId="38E0F7F6" w14:textId="77777777" w:rsidR="00E44DDD" w:rsidRPr="00113364" w:rsidRDefault="00E44DDD"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DC6A20" w:rsidRPr="00113364" w14:paraId="3F590B0F" w14:textId="77777777" w:rsidTr="00940787">
        <w:trPr>
          <w:cnfStyle w:val="000000100000" w:firstRow="0" w:lastRow="0" w:firstColumn="0" w:lastColumn="0" w:oddVBand="0" w:evenVBand="0" w:oddHBand="1" w:evenHBand="0" w:firstRowFirstColumn="0" w:firstRowLastColumn="0" w:lastRowFirstColumn="0" w:lastRowLastColumn="0"/>
          <w:cantSplit/>
          <w:trHeight w:val="935"/>
        </w:trPr>
        <w:tc>
          <w:tcPr>
            <w:tcW w:w="2947" w:type="dxa"/>
          </w:tcPr>
          <w:p w14:paraId="6359E34C" w14:textId="152447CA" w:rsidR="00DC6A20" w:rsidRPr="00113364" w:rsidRDefault="00DC6A20">
            <w:pPr>
              <w:pStyle w:val="ListParagraph"/>
              <w:numPr>
                <w:ilvl w:val="1"/>
                <w:numId w:val="27"/>
              </w:numPr>
              <w:rPr>
                <w:rFonts w:ascii="Arial" w:eastAsia="Times New Roman" w:hAnsi="Arial" w:cs="Arial"/>
                <w:color w:val="222222"/>
              </w:rPr>
            </w:pPr>
            <w:r w:rsidRPr="00113364">
              <w:rPr>
                <w:rFonts w:ascii="Arial" w:eastAsia="Times New Roman" w:hAnsi="Arial" w:cs="Arial"/>
                <w:color w:val="000000"/>
              </w:rPr>
              <w:t xml:space="preserve">What </w:t>
            </w:r>
            <w:r w:rsidR="0028195B" w:rsidRPr="00113364">
              <w:rPr>
                <w:rFonts w:ascii="Arial" w:eastAsia="Times New Roman" w:hAnsi="Arial" w:cs="Arial"/>
                <w:color w:val="000000"/>
              </w:rPr>
              <w:t>percentage</w:t>
            </w:r>
            <w:r w:rsidR="00337E9A" w:rsidRPr="00113364">
              <w:rPr>
                <w:rFonts w:ascii="Arial" w:eastAsia="Times New Roman" w:hAnsi="Arial" w:cs="Arial"/>
                <w:color w:val="000000"/>
              </w:rPr>
              <w:t xml:space="preserve"> of m</w:t>
            </w:r>
            <w:r w:rsidR="00DF6230" w:rsidRPr="00113364">
              <w:rPr>
                <w:rFonts w:ascii="Arial" w:eastAsia="Times New Roman" w:hAnsi="Arial" w:cs="Arial"/>
                <w:color w:val="000000"/>
              </w:rPr>
              <w:t>igratory</w:t>
            </w:r>
            <w:r w:rsidR="00337E9A" w:rsidRPr="00113364">
              <w:rPr>
                <w:rFonts w:ascii="Arial" w:eastAsia="Times New Roman" w:hAnsi="Arial" w:cs="Arial"/>
                <w:color w:val="000000"/>
              </w:rPr>
              <w:t xml:space="preserve"> s</w:t>
            </w:r>
            <w:r w:rsidR="00DF6230" w:rsidRPr="00113364">
              <w:rPr>
                <w:rFonts w:ascii="Arial" w:eastAsia="Times New Roman" w:hAnsi="Arial" w:cs="Arial"/>
                <w:color w:val="000000"/>
              </w:rPr>
              <w:t>tudents score proficient and above in</w:t>
            </w:r>
            <w:r w:rsidR="007E73CF" w:rsidRPr="00113364">
              <w:rPr>
                <w:rFonts w:ascii="Arial" w:eastAsia="Times New Roman" w:hAnsi="Arial" w:cs="Arial"/>
                <w:color w:val="000000"/>
              </w:rPr>
              <w:t xml:space="preserve"> ELP achievement</w:t>
            </w:r>
            <w:r w:rsidRPr="00113364">
              <w:rPr>
                <w:rFonts w:ascii="Arial" w:eastAsia="Times New Roman" w:hAnsi="Arial" w:cs="Arial"/>
                <w:color w:val="000000"/>
              </w:rPr>
              <w:t>?</w:t>
            </w:r>
          </w:p>
        </w:tc>
        <w:tc>
          <w:tcPr>
            <w:tcW w:w="1913" w:type="dxa"/>
          </w:tcPr>
          <w:p w14:paraId="0A71CA68" w14:textId="77777777" w:rsidR="00DC6A20" w:rsidRPr="00113364" w:rsidRDefault="00DC6A20">
            <w:pPr>
              <w:pStyle w:val="ListParagraph"/>
              <w:numPr>
                <w:ilvl w:val="0"/>
                <w:numId w:val="26"/>
              </w:numPr>
              <w:ind w:left="165" w:hanging="165"/>
              <w:rPr>
                <w:rFonts w:ascii="Arial" w:hAnsi="Arial" w:cs="Arial"/>
              </w:rPr>
            </w:pPr>
            <w:r w:rsidRPr="00113364">
              <w:rPr>
                <w:rFonts w:ascii="Arial" w:hAnsi="Arial" w:cs="Arial"/>
              </w:rPr>
              <w:t>statewide assessments</w:t>
            </w:r>
          </w:p>
        </w:tc>
        <w:tc>
          <w:tcPr>
            <w:tcW w:w="3640" w:type="dxa"/>
          </w:tcPr>
          <w:p w14:paraId="4A6EAB8E" w14:textId="554C60CA" w:rsidR="00DC6A20" w:rsidRPr="00113364" w:rsidRDefault="00DC6A20">
            <w:pPr>
              <w:pStyle w:val="ListParagraph"/>
              <w:numPr>
                <w:ilvl w:val="0"/>
                <w:numId w:val="26"/>
              </w:numPr>
              <w:ind w:left="165" w:hanging="165"/>
              <w:rPr>
                <w:rFonts w:ascii="Arial" w:hAnsi="Arial" w:cs="Arial"/>
              </w:rPr>
            </w:pPr>
            <w:r w:rsidRPr="00113364">
              <w:rPr>
                <w:rFonts w:ascii="Arial" w:hAnsi="Arial" w:cs="Arial"/>
              </w:rPr>
              <w:t>MSIN requests and merges statewide assessment d</w:t>
            </w:r>
            <w:r w:rsidR="007E73CF" w:rsidRPr="00113364">
              <w:rPr>
                <w:rFonts w:ascii="Arial" w:hAnsi="Arial" w:cs="Arial"/>
              </w:rPr>
              <w:t>ata for each m</w:t>
            </w:r>
            <w:r w:rsidRPr="00113364">
              <w:rPr>
                <w:rFonts w:ascii="Arial" w:hAnsi="Arial" w:cs="Arial"/>
              </w:rPr>
              <w:t>igratory student</w:t>
            </w:r>
            <w:r w:rsidR="00F458B4">
              <w:rPr>
                <w:rFonts w:ascii="Arial" w:hAnsi="Arial" w:cs="Arial"/>
              </w:rPr>
              <w:t xml:space="preserve"> with assessment results</w:t>
            </w:r>
          </w:p>
        </w:tc>
        <w:tc>
          <w:tcPr>
            <w:tcW w:w="5079" w:type="dxa"/>
          </w:tcPr>
          <w:p w14:paraId="12B85422" w14:textId="7D4E5B4C" w:rsidR="00DC6A20" w:rsidRPr="00113364" w:rsidRDefault="00DC6A20">
            <w:pPr>
              <w:pStyle w:val="ListParagraph"/>
              <w:numPr>
                <w:ilvl w:val="0"/>
                <w:numId w:val="26"/>
              </w:numPr>
              <w:ind w:left="165" w:hanging="165"/>
              <w:rPr>
                <w:rFonts w:ascii="Arial" w:hAnsi="Arial" w:cs="Arial"/>
              </w:rPr>
            </w:pPr>
            <w:r w:rsidRPr="00113364">
              <w:rPr>
                <w:rFonts w:ascii="Arial" w:hAnsi="Arial" w:cs="Arial"/>
              </w:rPr>
              <w:t xml:space="preserve">Annual </w:t>
            </w:r>
            <w:r w:rsidR="00B03119">
              <w:rPr>
                <w:rFonts w:ascii="Arial" w:hAnsi="Arial" w:cs="Arial"/>
              </w:rPr>
              <w:t>ELP</w:t>
            </w:r>
            <w:r w:rsidR="00B21FF1" w:rsidRPr="00113364">
              <w:rPr>
                <w:rFonts w:ascii="Arial" w:hAnsi="Arial" w:cs="Arial"/>
              </w:rPr>
              <w:t xml:space="preserve"> data</w:t>
            </w:r>
            <w:r w:rsidRPr="00113364">
              <w:rPr>
                <w:rFonts w:ascii="Arial" w:hAnsi="Arial" w:cs="Arial"/>
              </w:rPr>
              <w:t>:</w:t>
            </w:r>
          </w:p>
          <w:p w14:paraId="44806542" w14:textId="77777777" w:rsidR="00DC6A20" w:rsidRPr="00113364" w:rsidRDefault="00337E9A">
            <w:pPr>
              <w:pStyle w:val="ListParagraph"/>
              <w:numPr>
                <w:ilvl w:val="1"/>
                <w:numId w:val="26"/>
              </w:numPr>
              <w:ind w:left="522" w:hanging="270"/>
              <w:rPr>
                <w:rFonts w:ascii="Arial" w:hAnsi="Arial" w:cs="Arial"/>
              </w:rPr>
            </w:pPr>
            <w:r w:rsidRPr="00113364">
              <w:rPr>
                <w:rFonts w:ascii="Arial" w:hAnsi="Arial" w:cs="Arial"/>
              </w:rPr>
              <w:t>Percent of migratory s</w:t>
            </w:r>
            <w:r w:rsidR="00DF6230" w:rsidRPr="00113364">
              <w:rPr>
                <w:rFonts w:ascii="Arial" w:hAnsi="Arial" w:cs="Arial"/>
              </w:rPr>
              <w:t>tudents scoring proficient or above on o</w:t>
            </w:r>
            <w:r w:rsidR="00DC6A20" w:rsidRPr="00113364">
              <w:rPr>
                <w:rFonts w:ascii="Arial" w:hAnsi="Arial" w:cs="Arial"/>
              </w:rPr>
              <w:t xml:space="preserve">verall </w:t>
            </w:r>
            <w:r w:rsidR="00DF6230" w:rsidRPr="00113364">
              <w:rPr>
                <w:rFonts w:ascii="Arial" w:hAnsi="Arial" w:cs="Arial"/>
              </w:rPr>
              <w:t xml:space="preserve">ELP </w:t>
            </w:r>
            <w:r w:rsidR="009F5BE5" w:rsidRPr="00113364">
              <w:rPr>
                <w:rFonts w:ascii="Arial" w:hAnsi="Arial" w:cs="Arial"/>
              </w:rPr>
              <w:t>a</w:t>
            </w:r>
            <w:r w:rsidR="00DC6A20" w:rsidRPr="00113364">
              <w:rPr>
                <w:rFonts w:ascii="Arial" w:hAnsi="Arial" w:cs="Arial"/>
              </w:rPr>
              <w:t>chievement</w:t>
            </w:r>
          </w:p>
          <w:p w14:paraId="0CB964B4" w14:textId="77777777" w:rsidR="00C01B6E" w:rsidRPr="00113364" w:rsidRDefault="00337E9A">
            <w:pPr>
              <w:pStyle w:val="ListParagraph"/>
              <w:numPr>
                <w:ilvl w:val="1"/>
                <w:numId w:val="26"/>
              </w:numPr>
              <w:ind w:left="522" w:hanging="270"/>
              <w:rPr>
                <w:rFonts w:ascii="Arial" w:hAnsi="Arial" w:cs="Arial"/>
              </w:rPr>
            </w:pPr>
            <w:r w:rsidRPr="00113364">
              <w:rPr>
                <w:rFonts w:ascii="Arial" w:hAnsi="Arial" w:cs="Arial"/>
              </w:rPr>
              <w:t>Percent of migratory s</w:t>
            </w:r>
            <w:r w:rsidR="00DF6230" w:rsidRPr="00113364">
              <w:rPr>
                <w:rFonts w:ascii="Arial" w:hAnsi="Arial" w:cs="Arial"/>
              </w:rPr>
              <w:t>tudents scoring proficient or above on a</w:t>
            </w:r>
            <w:r w:rsidR="00B21FF1" w:rsidRPr="00113364">
              <w:rPr>
                <w:rFonts w:ascii="Arial" w:hAnsi="Arial" w:cs="Arial"/>
              </w:rPr>
              <w:t>chievemen</w:t>
            </w:r>
            <w:r w:rsidR="009F5BE5" w:rsidRPr="00113364">
              <w:rPr>
                <w:rFonts w:ascii="Arial" w:hAnsi="Arial" w:cs="Arial"/>
              </w:rPr>
              <w:t>t by d</w:t>
            </w:r>
            <w:r w:rsidR="00B21FF1" w:rsidRPr="00113364">
              <w:rPr>
                <w:rFonts w:ascii="Arial" w:hAnsi="Arial" w:cs="Arial"/>
              </w:rPr>
              <w:t>omain</w:t>
            </w:r>
          </w:p>
        </w:tc>
      </w:tr>
    </w:tbl>
    <w:p w14:paraId="13F7C65F" w14:textId="2B18528B" w:rsidR="0010062C" w:rsidRPr="00113364" w:rsidRDefault="00D108B3">
      <w:pPr>
        <w:numPr>
          <w:ilvl w:val="6"/>
          <w:numId w:val="15"/>
        </w:numPr>
        <w:spacing w:before="240"/>
        <w:ind w:left="360"/>
        <w:rPr>
          <w:rFonts w:ascii="Arial" w:eastAsia="Times New Roman" w:hAnsi="Arial" w:cs="Arial"/>
          <w:bCs/>
        </w:rPr>
      </w:pPr>
      <w:r w:rsidRPr="00113364">
        <w:rPr>
          <w:rFonts w:ascii="Arial" w:eastAsia="Times New Roman" w:hAnsi="Arial" w:cs="Arial"/>
          <w:b/>
          <w:bCs/>
        </w:rPr>
        <w:t>SEL</w:t>
      </w:r>
      <w:r w:rsidR="0010062C" w:rsidRPr="00113364">
        <w:rPr>
          <w:rFonts w:ascii="Arial" w:eastAsia="Times New Roman" w:hAnsi="Arial" w:cs="Arial"/>
          <w:b/>
          <w:bCs/>
        </w:rPr>
        <w:t>:</w:t>
      </w:r>
      <w:r w:rsidR="0010062C" w:rsidRPr="00113364">
        <w:rPr>
          <w:rFonts w:ascii="Arial" w:eastAsia="Times New Roman" w:hAnsi="Arial" w:cs="Arial"/>
          <w:bCs/>
        </w:rPr>
        <w:t xml:space="preserve"> </w:t>
      </w:r>
      <w:r w:rsidRPr="00113364">
        <w:rPr>
          <w:rFonts w:ascii="Arial" w:eastAsia="Times New Roman" w:hAnsi="Arial" w:cs="Arial"/>
          <w:bCs/>
        </w:rPr>
        <w:t>Are</w:t>
      </w:r>
      <w:r w:rsidR="0010062C" w:rsidRPr="00113364">
        <w:rPr>
          <w:rFonts w:ascii="Arial" w:eastAsia="Times New Roman" w:hAnsi="Arial" w:cs="Arial"/>
          <w:bCs/>
        </w:rPr>
        <w:t xml:space="preserve"> migratory students</w:t>
      </w:r>
      <w:r w:rsidRPr="00113364">
        <w:rPr>
          <w:rFonts w:ascii="Arial" w:eastAsia="Times New Roman" w:hAnsi="Arial" w:cs="Arial"/>
          <w:bCs/>
        </w:rPr>
        <w:t>’ SEL knowledge and skills</w:t>
      </w:r>
      <w:r w:rsidR="0010062C" w:rsidRPr="00113364">
        <w:rPr>
          <w:rFonts w:ascii="Arial" w:eastAsia="Times New Roman" w:hAnsi="Arial" w:cs="Arial"/>
          <w:bCs/>
        </w:rPr>
        <w:t xml:space="preserve"> improving?</w:t>
      </w:r>
    </w:p>
    <w:p w14:paraId="2381F644" w14:textId="42CC7D99" w:rsidR="0010062C" w:rsidRPr="00113364" w:rsidRDefault="0010062C" w:rsidP="0010062C">
      <w:pPr>
        <w:ind w:left="360"/>
        <w:rPr>
          <w:rFonts w:ascii="Arial" w:hAnsi="Arial" w:cs="Arial"/>
        </w:rPr>
      </w:pPr>
      <w:r w:rsidRPr="00113364">
        <w:rPr>
          <w:rFonts w:ascii="Arial" w:hAnsi="Arial" w:cs="Arial"/>
          <w:b/>
        </w:rPr>
        <w:t>Performance Target:</w:t>
      </w:r>
      <w:r w:rsidRPr="00113364">
        <w:rPr>
          <w:rFonts w:ascii="Arial" w:hAnsi="Arial" w:cs="Arial"/>
        </w:rPr>
        <w:t xml:space="preserve"> </w:t>
      </w:r>
      <w:bookmarkStart w:id="114" w:name="_Hlk194940597"/>
      <w:r w:rsidR="002D617D" w:rsidRPr="00113364">
        <w:rPr>
          <w:rFonts w:ascii="Arial" w:hAnsi="Arial" w:cs="Arial"/>
        </w:rPr>
        <w:t>By September 2031, 50 percent of migratory students will participate in at least one instructional service, excluding credit accrual services, that</w:t>
      </w:r>
      <w:bookmarkEnd w:id="114"/>
      <w:r w:rsidR="002D617D" w:rsidRPr="00113364">
        <w:rPr>
          <w:rFonts w:ascii="Arial" w:hAnsi="Arial" w:cs="Arial"/>
        </w:rPr>
        <w:t xml:space="preserve"> include SEL.</w:t>
      </w:r>
    </w:p>
    <w:tbl>
      <w:tblPr>
        <w:tblStyle w:val="GridTable4-Accent5"/>
        <w:tblW w:w="13579" w:type="dxa"/>
        <w:tblLook w:val="0420" w:firstRow="1" w:lastRow="0" w:firstColumn="0" w:lastColumn="0" w:noHBand="0" w:noVBand="1"/>
        <w:tblDescription w:val="ELA Sub Questions"/>
      </w:tblPr>
      <w:tblGrid>
        <w:gridCol w:w="2947"/>
        <w:gridCol w:w="1913"/>
        <w:gridCol w:w="3640"/>
        <w:gridCol w:w="5079"/>
      </w:tblGrid>
      <w:tr w:rsidR="0010062C" w:rsidRPr="00113364" w14:paraId="7ED8FF3C" w14:textId="77777777" w:rsidTr="00EB4984">
        <w:trPr>
          <w:cnfStyle w:val="100000000000" w:firstRow="1" w:lastRow="0" w:firstColumn="0" w:lastColumn="0" w:oddVBand="0" w:evenVBand="0" w:oddHBand="0" w:evenHBand="0" w:firstRowFirstColumn="0" w:firstRowLastColumn="0" w:lastRowFirstColumn="0" w:lastRowLastColumn="0"/>
          <w:cantSplit/>
          <w:trHeight w:val="1034"/>
          <w:tblHeader/>
        </w:trPr>
        <w:tc>
          <w:tcPr>
            <w:tcW w:w="2947" w:type="dxa"/>
            <w:tcBorders>
              <w:right w:val="single" w:sz="4" w:space="0" w:color="4472C4" w:themeColor="accent5"/>
            </w:tcBorders>
            <w:shd w:val="clear" w:color="auto" w:fill="1F3864" w:themeFill="accent5" w:themeFillShade="80"/>
            <w:vAlign w:val="center"/>
          </w:tcPr>
          <w:p w14:paraId="4BD15AAE" w14:textId="77777777" w:rsidR="0010062C" w:rsidRPr="00113364" w:rsidRDefault="0010062C" w:rsidP="00EB4984">
            <w:pPr>
              <w:jc w:val="center"/>
              <w:rPr>
                <w:rFonts w:ascii="Arial" w:hAnsi="Arial" w:cs="Arial"/>
                <w:b w:val="0"/>
                <w:color w:val="FFFFFF"/>
              </w:rPr>
            </w:pPr>
            <w:r w:rsidRPr="00113364">
              <w:rPr>
                <w:rFonts w:ascii="Arial" w:hAnsi="Arial" w:cs="Arial"/>
                <w:color w:val="FFFFFF"/>
              </w:rPr>
              <w:t>Sub Questions</w:t>
            </w:r>
          </w:p>
          <w:p w14:paraId="3990A618" w14:textId="77777777" w:rsidR="0010062C" w:rsidRPr="00113364" w:rsidRDefault="0010062C" w:rsidP="00EB4984">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913" w:type="dxa"/>
            <w:tcBorders>
              <w:left w:val="single" w:sz="4" w:space="0" w:color="4472C4" w:themeColor="accent5"/>
              <w:right w:val="single" w:sz="4" w:space="0" w:color="4472C4" w:themeColor="accent5"/>
            </w:tcBorders>
            <w:shd w:val="clear" w:color="auto" w:fill="1F3864" w:themeFill="accent5" w:themeFillShade="80"/>
            <w:vAlign w:val="center"/>
          </w:tcPr>
          <w:p w14:paraId="7D40BB3C" w14:textId="77777777" w:rsidR="0010062C" w:rsidRPr="00113364" w:rsidRDefault="0010062C" w:rsidP="00EB4984">
            <w:pPr>
              <w:jc w:val="center"/>
              <w:rPr>
                <w:rFonts w:ascii="Arial" w:hAnsi="Arial" w:cs="Arial"/>
                <w:b w:val="0"/>
                <w:color w:val="FFFFFF"/>
              </w:rPr>
            </w:pPr>
            <w:r w:rsidRPr="00113364">
              <w:rPr>
                <w:rFonts w:ascii="Arial" w:hAnsi="Arial" w:cs="Arial"/>
                <w:color w:val="FFFFFF"/>
              </w:rPr>
              <w:t>Data Sources</w:t>
            </w:r>
          </w:p>
        </w:tc>
        <w:tc>
          <w:tcPr>
            <w:tcW w:w="3640" w:type="dxa"/>
            <w:tcBorders>
              <w:left w:val="single" w:sz="4" w:space="0" w:color="4472C4" w:themeColor="accent5"/>
              <w:right w:val="single" w:sz="4" w:space="0" w:color="4472C4" w:themeColor="accent5"/>
            </w:tcBorders>
            <w:shd w:val="clear" w:color="auto" w:fill="1F3864" w:themeFill="accent5" w:themeFillShade="80"/>
            <w:vAlign w:val="center"/>
          </w:tcPr>
          <w:p w14:paraId="375BE8CE" w14:textId="77777777" w:rsidR="0010062C" w:rsidRPr="00113364" w:rsidRDefault="0010062C" w:rsidP="00EB4984">
            <w:pPr>
              <w:jc w:val="center"/>
              <w:rPr>
                <w:rFonts w:ascii="Arial" w:hAnsi="Arial" w:cs="Arial"/>
                <w:b w:val="0"/>
                <w:color w:val="FFFFFF"/>
              </w:rPr>
            </w:pPr>
            <w:r w:rsidRPr="00113364">
              <w:rPr>
                <w:rFonts w:ascii="Arial" w:hAnsi="Arial" w:cs="Arial"/>
                <w:color w:val="FFFFFF"/>
              </w:rPr>
              <w:t>Data Collection Method</w:t>
            </w:r>
          </w:p>
          <w:p w14:paraId="5BFEF1FD" w14:textId="77777777" w:rsidR="0010062C" w:rsidRPr="00113364" w:rsidRDefault="0010062C" w:rsidP="00EB4984">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these</w:t>
            </w:r>
            <w:proofErr w:type="gramEnd"/>
            <w:r w:rsidRPr="00113364">
              <w:rPr>
                <w:rFonts w:ascii="Arial" w:hAnsi="Arial" w:cs="Arial"/>
                <w:color w:val="FFFFFF"/>
              </w:rPr>
              <w:t xml:space="preserve"> data.</w:t>
            </w:r>
          </w:p>
        </w:tc>
        <w:tc>
          <w:tcPr>
            <w:tcW w:w="5079" w:type="dxa"/>
            <w:tcBorders>
              <w:left w:val="single" w:sz="4" w:space="0" w:color="4472C4" w:themeColor="accent5"/>
            </w:tcBorders>
            <w:shd w:val="clear" w:color="auto" w:fill="1F3864" w:themeFill="accent5" w:themeFillShade="80"/>
            <w:vAlign w:val="center"/>
          </w:tcPr>
          <w:p w14:paraId="5E9657DE" w14:textId="77777777" w:rsidR="0010062C" w:rsidRPr="00113364" w:rsidRDefault="0010062C" w:rsidP="00EB4984">
            <w:pPr>
              <w:jc w:val="center"/>
              <w:rPr>
                <w:rFonts w:ascii="Arial" w:hAnsi="Arial" w:cs="Arial"/>
                <w:b w:val="0"/>
                <w:color w:val="FFFFFF"/>
              </w:rPr>
            </w:pPr>
            <w:r w:rsidRPr="00113364">
              <w:rPr>
                <w:rFonts w:ascii="Arial" w:hAnsi="Arial" w:cs="Arial"/>
                <w:color w:val="FFFFFF"/>
              </w:rPr>
              <w:t>Indicators</w:t>
            </w:r>
          </w:p>
          <w:p w14:paraId="48B5BB23" w14:textId="77777777" w:rsidR="0010062C" w:rsidRPr="00113364" w:rsidRDefault="0010062C" w:rsidP="00EB4984">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10062C" w:rsidRPr="00113364" w14:paraId="7CACE691" w14:textId="77777777" w:rsidTr="00EB4984">
        <w:trPr>
          <w:cnfStyle w:val="000000100000" w:firstRow="0" w:lastRow="0" w:firstColumn="0" w:lastColumn="0" w:oddVBand="0" w:evenVBand="0" w:oddHBand="1" w:evenHBand="0" w:firstRowFirstColumn="0" w:firstRowLastColumn="0" w:lastRowFirstColumn="0" w:lastRowLastColumn="0"/>
          <w:cantSplit/>
          <w:trHeight w:val="935"/>
        </w:trPr>
        <w:tc>
          <w:tcPr>
            <w:tcW w:w="2947" w:type="dxa"/>
          </w:tcPr>
          <w:p w14:paraId="65C4929C" w14:textId="1E72A12A" w:rsidR="0010062C" w:rsidRPr="00113364" w:rsidRDefault="0010062C">
            <w:pPr>
              <w:pStyle w:val="ListParagraph"/>
              <w:numPr>
                <w:ilvl w:val="1"/>
                <w:numId w:val="67"/>
              </w:numPr>
              <w:rPr>
                <w:rFonts w:ascii="Arial" w:eastAsia="Times New Roman" w:hAnsi="Arial" w:cs="Arial"/>
                <w:color w:val="222222"/>
              </w:rPr>
            </w:pPr>
            <w:r w:rsidRPr="00113364">
              <w:rPr>
                <w:rFonts w:ascii="Arial" w:eastAsia="Times New Roman" w:hAnsi="Arial" w:cs="Arial"/>
                <w:color w:val="000000"/>
              </w:rPr>
              <w:t xml:space="preserve">What </w:t>
            </w:r>
            <w:r w:rsidR="0028195B" w:rsidRPr="00113364">
              <w:rPr>
                <w:rFonts w:ascii="Arial" w:eastAsia="Times New Roman" w:hAnsi="Arial" w:cs="Arial"/>
                <w:color w:val="000000"/>
              </w:rPr>
              <w:t>percentage</w:t>
            </w:r>
            <w:r w:rsidRPr="00113364">
              <w:rPr>
                <w:rFonts w:ascii="Arial" w:eastAsia="Times New Roman" w:hAnsi="Arial" w:cs="Arial"/>
                <w:color w:val="000000"/>
              </w:rPr>
              <w:t xml:space="preserve"> of </w:t>
            </w:r>
            <w:r w:rsidR="009F1DA7" w:rsidRPr="00113364">
              <w:rPr>
                <w:rFonts w:ascii="Arial" w:eastAsia="Times New Roman" w:hAnsi="Arial" w:cs="Arial"/>
                <w:color w:val="000000"/>
              </w:rPr>
              <w:t xml:space="preserve">services </w:t>
            </w:r>
            <w:proofErr w:type="gramStart"/>
            <w:r w:rsidR="0028195B" w:rsidRPr="00113364">
              <w:rPr>
                <w:rFonts w:ascii="Arial" w:eastAsia="Times New Roman" w:hAnsi="Arial" w:cs="Arial"/>
                <w:color w:val="000000"/>
              </w:rPr>
              <w:t>includes</w:t>
            </w:r>
            <w:r w:rsidR="009F1DA7" w:rsidRPr="00113364">
              <w:rPr>
                <w:rFonts w:ascii="Arial" w:eastAsia="Times New Roman" w:hAnsi="Arial" w:cs="Arial"/>
                <w:color w:val="000000"/>
              </w:rPr>
              <w:t xml:space="preserve"> an SEL</w:t>
            </w:r>
            <w:proofErr w:type="gramEnd"/>
            <w:r w:rsidR="009F1DA7" w:rsidRPr="00113364">
              <w:rPr>
                <w:rFonts w:ascii="Arial" w:eastAsia="Times New Roman" w:hAnsi="Arial" w:cs="Arial"/>
                <w:color w:val="000000"/>
              </w:rPr>
              <w:t xml:space="preserve"> component</w:t>
            </w:r>
            <w:r w:rsidRPr="00113364">
              <w:rPr>
                <w:rFonts w:ascii="Arial" w:eastAsia="Times New Roman" w:hAnsi="Arial" w:cs="Arial"/>
                <w:color w:val="000000"/>
              </w:rPr>
              <w:t>?</w:t>
            </w:r>
          </w:p>
        </w:tc>
        <w:tc>
          <w:tcPr>
            <w:tcW w:w="1913" w:type="dxa"/>
          </w:tcPr>
          <w:p w14:paraId="41396794" w14:textId="7B73513F" w:rsidR="0010062C" w:rsidRPr="00113364" w:rsidRDefault="009F1DA7">
            <w:pPr>
              <w:pStyle w:val="ListParagraph"/>
              <w:numPr>
                <w:ilvl w:val="0"/>
                <w:numId w:val="26"/>
              </w:numPr>
              <w:ind w:left="165" w:hanging="165"/>
              <w:rPr>
                <w:rFonts w:ascii="Arial" w:hAnsi="Arial" w:cs="Arial"/>
              </w:rPr>
            </w:pPr>
            <w:r w:rsidRPr="00113364">
              <w:rPr>
                <w:rFonts w:ascii="Arial" w:hAnsi="Arial" w:cs="Arial"/>
              </w:rPr>
              <w:t>MSIN service data</w:t>
            </w:r>
          </w:p>
        </w:tc>
        <w:tc>
          <w:tcPr>
            <w:tcW w:w="3640" w:type="dxa"/>
          </w:tcPr>
          <w:p w14:paraId="52476ABD" w14:textId="2BD97492" w:rsidR="0010062C" w:rsidRPr="00113364" w:rsidRDefault="009F1DA7">
            <w:pPr>
              <w:pStyle w:val="ListParagraph"/>
              <w:numPr>
                <w:ilvl w:val="0"/>
                <w:numId w:val="26"/>
              </w:numPr>
              <w:ind w:left="165" w:hanging="165"/>
              <w:rPr>
                <w:rFonts w:ascii="Arial" w:hAnsi="Arial" w:cs="Arial"/>
              </w:rPr>
            </w:pPr>
            <w:r w:rsidRPr="00113364">
              <w:rPr>
                <w:rFonts w:ascii="Arial" w:hAnsi="Arial" w:cs="Arial"/>
              </w:rPr>
              <w:t>MEP staff set up services to include an SEL component and add student participation data annually</w:t>
            </w:r>
          </w:p>
        </w:tc>
        <w:tc>
          <w:tcPr>
            <w:tcW w:w="5079" w:type="dxa"/>
          </w:tcPr>
          <w:p w14:paraId="18D6A390" w14:textId="477A3D9F" w:rsidR="0010062C" w:rsidRPr="00113364" w:rsidRDefault="0028195B">
            <w:pPr>
              <w:pStyle w:val="ListParagraph"/>
              <w:numPr>
                <w:ilvl w:val="0"/>
                <w:numId w:val="26"/>
              </w:numPr>
              <w:ind w:left="165" w:hanging="165"/>
              <w:rPr>
                <w:rFonts w:ascii="Arial" w:hAnsi="Arial" w:cs="Arial"/>
              </w:rPr>
            </w:pPr>
            <w:r w:rsidRPr="00113364">
              <w:rPr>
                <w:rFonts w:ascii="Arial" w:hAnsi="Arial" w:cs="Arial"/>
              </w:rPr>
              <w:t>Service Set-up and Student Participation</w:t>
            </w:r>
            <w:r w:rsidR="0010062C" w:rsidRPr="00113364">
              <w:rPr>
                <w:rFonts w:ascii="Arial" w:hAnsi="Arial" w:cs="Arial"/>
              </w:rPr>
              <w:t xml:space="preserve"> data:</w:t>
            </w:r>
          </w:p>
          <w:p w14:paraId="7D4D890D" w14:textId="2EF4C8F4" w:rsidR="0010062C" w:rsidRPr="00113364" w:rsidRDefault="0010062C">
            <w:pPr>
              <w:pStyle w:val="ListParagraph"/>
              <w:numPr>
                <w:ilvl w:val="1"/>
                <w:numId w:val="26"/>
              </w:numPr>
              <w:ind w:left="522" w:hanging="270"/>
              <w:rPr>
                <w:rFonts w:ascii="Arial" w:hAnsi="Arial" w:cs="Arial"/>
              </w:rPr>
            </w:pPr>
            <w:r w:rsidRPr="00113364">
              <w:rPr>
                <w:rFonts w:ascii="Arial" w:hAnsi="Arial" w:cs="Arial"/>
              </w:rPr>
              <w:t xml:space="preserve">Percent of </w:t>
            </w:r>
            <w:r w:rsidR="0028195B" w:rsidRPr="00113364">
              <w:rPr>
                <w:rFonts w:ascii="Arial" w:hAnsi="Arial" w:cs="Arial"/>
              </w:rPr>
              <w:t>services that include an SEL component.</w:t>
            </w:r>
          </w:p>
          <w:p w14:paraId="228FAB57" w14:textId="4984651B" w:rsidR="0010062C" w:rsidRPr="00113364" w:rsidRDefault="0028195B">
            <w:pPr>
              <w:pStyle w:val="ListParagraph"/>
              <w:numPr>
                <w:ilvl w:val="1"/>
                <w:numId w:val="26"/>
              </w:numPr>
              <w:ind w:left="522" w:hanging="270"/>
              <w:rPr>
                <w:rFonts w:ascii="Arial" w:hAnsi="Arial" w:cs="Arial"/>
              </w:rPr>
            </w:pPr>
            <w:r w:rsidRPr="00113364">
              <w:rPr>
                <w:rFonts w:ascii="Arial" w:hAnsi="Arial" w:cs="Arial"/>
              </w:rPr>
              <w:t>Number of migratory children participating in services with SEL</w:t>
            </w:r>
          </w:p>
        </w:tc>
      </w:tr>
    </w:tbl>
    <w:p w14:paraId="560A04BB" w14:textId="77777777" w:rsidR="00E44DDD" w:rsidRPr="00113364" w:rsidRDefault="00E44DDD">
      <w:pPr>
        <w:numPr>
          <w:ilvl w:val="6"/>
          <w:numId w:val="46"/>
        </w:numPr>
        <w:spacing w:before="240"/>
        <w:ind w:left="360"/>
        <w:rPr>
          <w:rFonts w:ascii="Arial" w:eastAsia="Times New Roman" w:hAnsi="Arial" w:cs="Arial"/>
          <w:bCs/>
        </w:rPr>
      </w:pPr>
      <w:r w:rsidRPr="00113364">
        <w:rPr>
          <w:rFonts w:ascii="Arial" w:eastAsia="Times New Roman" w:hAnsi="Arial" w:cs="Arial"/>
          <w:b/>
          <w:bCs/>
        </w:rPr>
        <w:lastRenderedPageBreak/>
        <w:t>High School Graduation:</w:t>
      </w:r>
      <w:r w:rsidRPr="00113364">
        <w:rPr>
          <w:rFonts w:ascii="Arial" w:eastAsia="Times New Roman" w:hAnsi="Arial" w:cs="Arial"/>
          <w:bCs/>
        </w:rPr>
        <w:t xml:space="preserve"> Is the high </w:t>
      </w:r>
      <w:r w:rsidR="00377326" w:rsidRPr="00113364">
        <w:rPr>
          <w:rFonts w:ascii="Arial" w:eastAsia="Times New Roman" w:hAnsi="Arial" w:cs="Arial"/>
          <w:bCs/>
        </w:rPr>
        <w:t>school graduation rate of migratory students improving?</w:t>
      </w:r>
    </w:p>
    <w:p w14:paraId="5964624F" w14:textId="0C6DD643" w:rsidR="00E44DDD" w:rsidRPr="00113364" w:rsidRDefault="00E44DDD" w:rsidP="00C66062">
      <w:pPr>
        <w:ind w:left="360"/>
      </w:pPr>
      <w:r w:rsidRPr="00113364">
        <w:rPr>
          <w:rFonts w:ascii="Arial" w:hAnsi="Arial" w:cs="Arial"/>
          <w:b/>
        </w:rPr>
        <w:t>Performance Target:</w:t>
      </w:r>
      <w:r w:rsidRPr="00113364">
        <w:rPr>
          <w:rFonts w:ascii="Arial" w:hAnsi="Arial" w:cs="Arial"/>
        </w:rPr>
        <w:t xml:space="preserve"> </w:t>
      </w:r>
      <w:bookmarkStart w:id="115" w:name="_Hlk194940948"/>
      <w:r w:rsidR="002D617D" w:rsidRPr="00113364">
        <w:rPr>
          <w:rFonts w:ascii="Arial" w:hAnsi="Arial" w:cs="Arial"/>
        </w:rPr>
        <w:t>By September 2031, migratory students will have a graduation rate of at least 8</w:t>
      </w:r>
      <w:r w:rsidR="00C36BF6" w:rsidRPr="00113364">
        <w:rPr>
          <w:rFonts w:ascii="Arial" w:hAnsi="Arial" w:cs="Arial"/>
        </w:rPr>
        <w:t>7.80</w:t>
      </w:r>
      <w:r w:rsidR="002D617D" w:rsidRPr="00113364">
        <w:rPr>
          <w:rFonts w:ascii="Arial" w:hAnsi="Arial" w:cs="Arial"/>
        </w:rPr>
        <w:t xml:space="preserve"> percent.</w:t>
      </w:r>
      <w:bookmarkEnd w:id="115"/>
    </w:p>
    <w:tbl>
      <w:tblPr>
        <w:tblStyle w:val="GridTable4-Accent1"/>
        <w:tblW w:w="13579" w:type="dxa"/>
        <w:tblLook w:val="0420" w:firstRow="1" w:lastRow="0" w:firstColumn="0" w:lastColumn="0" w:noHBand="0" w:noVBand="1"/>
        <w:tblDescription w:val="High School Graduation Sub Questions"/>
      </w:tblPr>
      <w:tblGrid>
        <w:gridCol w:w="2947"/>
        <w:gridCol w:w="1913"/>
        <w:gridCol w:w="4045"/>
        <w:gridCol w:w="4674"/>
      </w:tblGrid>
      <w:tr w:rsidR="00377326" w:rsidRPr="00113364" w14:paraId="11808C3F"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2947" w:type="dxa"/>
            <w:tcBorders>
              <w:right w:val="single" w:sz="4" w:space="0" w:color="4472C4" w:themeColor="accent5"/>
            </w:tcBorders>
            <w:shd w:val="clear" w:color="auto" w:fill="1F3864" w:themeFill="accent5" w:themeFillShade="80"/>
            <w:vAlign w:val="center"/>
          </w:tcPr>
          <w:p w14:paraId="7B1C4B82"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Sub Questions</w:t>
            </w:r>
          </w:p>
          <w:p w14:paraId="0789C021"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913" w:type="dxa"/>
            <w:tcBorders>
              <w:left w:val="single" w:sz="4" w:space="0" w:color="4472C4" w:themeColor="accent5"/>
              <w:right w:val="single" w:sz="4" w:space="0" w:color="4472C4" w:themeColor="accent5"/>
            </w:tcBorders>
            <w:shd w:val="clear" w:color="auto" w:fill="1F3864" w:themeFill="accent5" w:themeFillShade="80"/>
            <w:vAlign w:val="center"/>
          </w:tcPr>
          <w:p w14:paraId="6A9772CD" w14:textId="2697489F" w:rsidR="00377326" w:rsidRPr="00113364" w:rsidRDefault="00377326" w:rsidP="00E53F38">
            <w:pPr>
              <w:jc w:val="center"/>
              <w:rPr>
                <w:rFonts w:ascii="Arial" w:hAnsi="Arial" w:cs="Arial"/>
                <w:b w:val="0"/>
                <w:color w:val="FFFFFF"/>
              </w:rPr>
            </w:pPr>
            <w:r w:rsidRPr="00113364">
              <w:rPr>
                <w:rFonts w:ascii="Arial" w:hAnsi="Arial" w:cs="Arial"/>
                <w:color w:val="FFFFFF"/>
              </w:rPr>
              <w:t>Data Sources</w:t>
            </w:r>
          </w:p>
        </w:tc>
        <w:tc>
          <w:tcPr>
            <w:tcW w:w="4045" w:type="dxa"/>
            <w:tcBorders>
              <w:left w:val="single" w:sz="4" w:space="0" w:color="4472C4" w:themeColor="accent5"/>
              <w:right w:val="single" w:sz="4" w:space="0" w:color="4472C4" w:themeColor="accent5"/>
            </w:tcBorders>
            <w:shd w:val="clear" w:color="auto" w:fill="1F3864" w:themeFill="accent5" w:themeFillShade="80"/>
            <w:vAlign w:val="center"/>
          </w:tcPr>
          <w:p w14:paraId="4F1C090D"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Data Collection Method</w:t>
            </w:r>
          </w:p>
          <w:p w14:paraId="019404C1" w14:textId="41834038" w:rsidR="00377326" w:rsidRPr="00113364" w:rsidRDefault="00377326"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r w:rsidR="00F0763D">
              <w:rPr>
                <w:rFonts w:ascii="Arial" w:hAnsi="Arial" w:cs="Arial"/>
                <w:color w:val="FFFFFF"/>
              </w:rPr>
              <w:t>this</w:t>
            </w:r>
            <w:r w:rsidRPr="00113364">
              <w:rPr>
                <w:rFonts w:ascii="Arial" w:hAnsi="Arial" w:cs="Arial"/>
                <w:color w:val="FFFFFF"/>
              </w:rPr>
              <w:t xml:space="preserve"> data.</w:t>
            </w:r>
          </w:p>
        </w:tc>
        <w:tc>
          <w:tcPr>
            <w:tcW w:w="4674" w:type="dxa"/>
            <w:tcBorders>
              <w:left w:val="single" w:sz="4" w:space="0" w:color="4472C4" w:themeColor="accent5"/>
            </w:tcBorders>
            <w:shd w:val="clear" w:color="auto" w:fill="1F3864" w:themeFill="accent5" w:themeFillShade="80"/>
            <w:vAlign w:val="center"/>
          </w:tcPr>
          <w:p w14:paraId="2687091A" w14:textId="14C9CB0A" w:rsidR="00377326" w:rsidRPr="00113364" w:rsidRDefault="00377326" w:rsidP="00E53F38">
            <w:pPr>
              <w:jc w:val="center"/>
              <w:rPr>
                <w:rFonts w:ascii="Arial" w:hAnsi="Arial" w:cs="Arial"/>
                <w:b w:val="0"/>
                <w:color w:val="FFFFFF"/>
              </w:rPr>
            </w:pPr>
            <w:r w:rsidRPr="00113364">
              <w:rPr>
                <w:rFonts w:ascii="Arial" w:hAnsi="Arial" w:cs="Arial"/>
                <w:color w:val="FFFFFF"/>
              </w:rPr>
              <w:t>Indicators</w:t>
            </w:r>
          </w:p>
          <w:p w14:paraId="2574EBA3"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EA493F" w:rsidRPr="00113364" w14:paraId="7D04D574" w14:textId="77777777" w:rsidTr="00CD6849">
        <w:trPr>
          <w:cnfStyle w:val="000000100000" w:firstRow="0" w:lastRow="0" w:firstColumn="0" w:lastColumn="0" w:oddVBand="0" w:evenVBand="0" w:oddHBand="1" w:evenHBand="0" w:firstRowFirstColumn="0" w:firstRowLastColumn="0" w:lastRowFirstColumn="0" w:lastRowLastColumn="0"/>
          <w:cantSplit/>
        </w:trPr>
        <w:tc>
          <w:tcPr>
            <w:tcW w:w="2947" w:type="dxa"/>
          </w:tcPr>
          <w:p w14:paraId="0B90F550" w14:textId="77777777" w:rsidR="00EA493F" w:rsidRPr="00113364" w:rsidRDefault="00337E9A">
            <w:pPr>
              <w:pStyle w:val="ListParagraph"/>
              <w:numPr>
                <w:ilvl w:val="1"/>
                <w:numId w:val="34"/>
              </w:numPr>
              <w:ind w:left="338"/>
              <w:rPr>
                <w:rFonts w:ascii="Arial" w:eastAsia="Times New Roman" w:hAnsi="Arial" w:cs="Arial"/>
                <w:color w:val="222222"/>
              </w:rPr>
            </w:pPr>
            <w:r w:rsidRPr="00113364">
              <w:rPr>
                <w:rFonts w:ascii="Arial" w:eastAsia="Times New Roman" w:hAnsi="Arial" w:cs="Arial"/>
                <w:color w:val="000000"/>
              </w:rPr>
              <w:t>What is the annual change in m</w:t>
            </w:r>
            <w:r w:rsidR="00D523A7" w:rsidRPr="00113364">
              <w:rPr>
                <w:rFonts w:ascii="Arial" w:eastAsia="Times New Roman" w:hAnsi="Arial" w:cs="Arial"/>
                <w:color w:val="000000"/>
              </w:rPr>
              <w:t xml:space="preserve">igratory </w:t>
            </w:r>
            <w:r w:rsidRPr="00113364">
              <w:rPr>
                <w:rFonts w:ascii="Arial" w:eastAsia="Times New Roman" w:hAnsi="Arial" w:cs="Arial"/>
                <w:color w:val="000000"/>
              </w:rPr>
              <w:t>s</w:t>
            </w:r>
            <w:r w:rsidR="00886B2A" w:rsidRPr="00113364">
              <w:rPr>
                <w:rFonts w:ascii="Arial" w:eastAsia="Times New Roman" w:hAnsi="Arial" w:cs="Arial"/>
                <w:color w:val="000000"/>
              </w:rPr>
              <w:t>tudent high school</w:t>
            </w:r>
            <w:r w:rsidR="00EA493F" w:rsidRPr="00113364">
              <w:rPr>
                <w:rFonts w:ascii="Arial" w:eastAsia="Times New Roman" w:hAnsi="Arial" w:cs="Arial"/>
                <w:color w:val="000000"/>
              </w:rPr>
              <w:t xml:space="preserve"> graduation rates?</w:t>
            </w:r>
          </w:p>
        </w:tc>
        <w:tc>
          <w:tcPr>
            <w:tcW w:w="1913" w:type="dxa"/>
          </w:tcPr>
          <w:p w14:paraId="531FC488" w14:textId="77777777" w:rsidR="00EA493F" w:rsidRPr="00113364" w:rsidRDefault="00F1584A">
            <w:pPr>
              <w:pStyle w:val="ListParagraph"/>
              <w:numPr>
                <w:ilvl w:val="0"/>
                <w:numId w:val="26"/>
              </w:numPr>
              <w:ind w:left="165" w:hanging="165"/>
              <w:rPr>
                <w:rFonts w:ascii="Arial" w:hAnsi="Arial" w:cs="Arial"/>
              </w:rPr>
            </w:pPr>
            <w:r w:rsidRPr="00113364">
              <w:rPr>
                <w:rFonts w:ascii="Arial" w:hAnsi="Arial" w:cs="Arial"/>
              </w:rPr>
              <w:t>LEAs report high school graduation data to CDE</w:t>
            </w:r>
          </w:p>
          <w:p w14:paraId="04C37C06" w14:textId="77777777" w:rsidR="00F1584A" w:rsidRPr="00113364" w:rsidRDefault="00F1584A">
            <w:pPr>
              <w:pStyle w:val="ListParagraph"/>
              <w:numPr>
                <w:ilvl w:val="0"/>
                <w:numId w:val="26"/>
              </w:numPr>
              <w:ind w:left="165" w:hanging="165"/>
              <w:rPr>
                <w:rFonts w:ascii="Arial" w:hAnsi="Arial" w:cs="Arial"/>
              </w:rPr>
            </w:pPr>
            <w:r w:rsidRPr="00113364">
              <w:rPr>
                <w:rFonts w:ascii="Arial" w:hAnsi="Arial" w:cs="Arial"/>
              </w:rPr>
              <w:t>DataQuest</w:t>
            </w:r>
          </w:p>
        </w:tc>
        <w:tc>
          <w:tcPr>
            <w:tcW w:w="4045" w:type="dxa"/>
          </w:tcPr>
          <w:p w14:paraId="5A79AF78" w14:textId="77777777" w:rsidR="00EA493F" w:rsidRPr="00113364" w:rsidRDefault="006B393D">
            <w:pPr>
              <w:pStyle w:val="ListParagraph"/>
              <w:numPr>
                <w:ilvl w:val="0"/>
                <w:numId w:val="26"/>
              </w:numPr>
              <w:ind w:left="165" w:hanging="165"/>
              <w:rPr>
                <w:rFonts w:ascii="Arial" w:hAnsi="Arial" w:cs="Arial"/>
              </w:rPr>
            </w:pPr>
            <w:r w:rsidRPr="00113364">
              <w:rPr>
                <w:rFonts w:ascii="Arial" w:hAnsi="Arial" w:cs="Arial"/>
              </w:rPr>
              <w:t>LEAs report high school graduation data to CDE</w:t>
            </w:r>
            <w:r w:rsidR="007F60C6" w:rsidRPr="00113364">
              <w:rPr>
                <w:rFonts w:ascii="Arial" w:hAnsi="Arial" w:cs="Arial"/>
              </w:rPr>
              <w:t xml:space="preserve"> annuall</w:t>
            </w:r>
            <w:r w:rsidR="00C01B6E" w:rsidRPr="00113364">
              <w:rPr>
                <w:rFonts w:ascii="Arial" w:hAnsi="Arial" w:cs="Arial"/>
              </w:rPr>
              <w:t>y</w:t>
            </w:r>
          </w:p>
        </w:tc>
        <w:tc>
          <w:tcPr>
            <w:tcW w:w="4674" w:type="dxa"/>
          </w:tcPr>
          <w:p w14:paraId="094D7EC4" w14:textId="77777777" w:rsidR="00EA493F" w:rsidRPr="00113364" w:rsidRDefault="007E7CC8">
            <w:pPr>
              <w:pStyle w:val="ListParagraph"/>
              <w:numPr>
                <w:ilvl w:val="0"/>
                <w:numId w:val="26"/>
              </w:numPr>
              <w:ind w:left="165" w:hanging="165"/>
              <w:rPr>
                <w:rFonts w:ascii="Arial" w:hAnsi="Arial" w:cs="Arial"/>
              </w:rPr>
            </w:pPr>
            <w:r w:rsidRPr="00113364">
              <w:rPr>
                <w:rFonts w:ascii="Arial" w:hAnsi="Arial" w:cs="Arial"/>
              </w:rPr>
              <w:t>Annual California high school graduation rate</w:t>
            </w:r>
          </w:p>
        </w:tc>
      </w:tr>
    </w:tbl>
    <w:p w14:paraId="3D7DC272" w14:textId="02F9B092" w:rsidR="00E44DDD" w:rsidRPr="00113364" w:rsidRDefault="00377326">
      <w:pPr>
        <w:numPr>
          <w:ilvl w:val="0"/>
          <w:numId w:val="34"/>
        </w:numPr>
        <w:spacing w:before="240"/>
        <w:ind w:left="360"/>
        <w:rPr>
          <w:rFonts w:ascii="Arial" w:eastAsia="Times New Roman" w:hAnsi="Arial" w:cs="Arial"/>
          <w:bCs/>
        </w:rPr>
      </w:pPr>
      <w:r w:rsidRPr="00113364">
        <w:rPr>
          <w:rFonts w:ascii="Arial" w:eastAsia="Times New Roman" w:hAnsi="Arial" w:cs="Arial"/>
          <w:b/>
          <w:bCs/>
        </w:rPr>
        <w:t>High School Drop Out Rate:</w:t>
      </w:r>
      <w:r w:rsidRPr="00113364">
        <w:rPr>
          <w:rFonts w:ascii="Arial" w:eastAsia="Times New Roman" w:hAnsi="Arial" w:cs="Arial"/>
          <w:bCs/>
        </w:rPr>
        <w:t xml:space="preserve"> Is the high school dropout rate of migratory students decreasing?</w:t>
      </w:r>
    </w:p>
    <w:p w14:paraId="1C995A45" w14:textId="7C392AA8" w:rsidR="00377326" w:rsidRPr="00113364" w:rsidRDefault="00377326" w:rsidP="00C66062">
      <w:pPr>
        <w:ind w:left="360"/>
      </w:pPr>
      <w:r w:rsidRPr="00113364">
        <w:rPr>
          <w:rFonts w:ascii="Arial" w:hAnsi="Arial" w:cs="Arial"/>
          <w:b/>
        </w:rPr>
        <w:t>Performance Target:</w:t>
      </w:r>
      <w:r w:rsidRPr="00113364">
        <w:rPr>
          <w:rFonts w:ascii="Arial" w:hAnsi="Arial" w:cs="Arial"/>
        </w:rPr>
        <w:t xml:space="preserve"> </w:t>
      </w:r>
      <w:bookmarkStart w:id="116" w:name="_Hlk194941007"/>
      <w:r w:rsidR="002D617D" w:rsidRPr="00113364">
        <w:rPr>
          <w:rFonts w:ascii="Arial" w:hAnsi="Arial" w:cs="Arial"/>
        </w:rPr>
        <w:t>By September 2031, the migratory student dropout rate will decrease to nine percent.</w:t>
      </w:r>
      <w:bookmarkEnd w:id="116"/>
    </w:p>
    <w:tbl>
      <w:tblPr>
        <w:tblStyle w:val="GridTable4-Accent1"/>
        <w:tblW w:w="13579" w:type="dxa"/>
        <w:tblLook w:val="0420" w:firstRow="1" w:lastRow="0" w:firstColumn="0" w:lastColumn="0" w:noHBand="0" w:noVBand="1"/>
        <w:tblDescription w:val="High School Drop Out Rate Sub Questions"/>
      </w:tblPr>
      <w:tblGrid>
        <w:gridCol w:w="2947"/>
        <w:gridCol w:w="1913"/>
        <w:gridCol w:w="4045"/>
        <w:gridCol w:w="4674"/>
      </w:tblGrid>
      <w:tr w:rsidR="00377326" w:rsidRPr="00113364" w14:paraId="0A891D5B"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2947" w:type="dxa"/>
            <w:tcBorders>
              <w:right w:val="single" w:sz="4" w:space="0" w:color="4472C4" w:themeColor="accent5"/>
            </w:tcBorders>
            <w:shd w:val="clear" w:color="auto" w:fill="1F3864" w:themeFill="accent5" w:themeFillShade="80"/>
            <w:vAlign w:val="center"/>
          </w:tcPr>
          <w:p w14:paraId="4228CE27"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Sub Questions</w:t>
            </w:r>
          </w:p>
          <w:p w14:paraId="327973C7"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913" w:type="dxa"/>
            <w:tcBorders>
              <w:left w:val="single" w:sz="4" w:space="0" w:color="4472C4" w:themeColor="accent5"/>
              <w:right w:val="single" w:sz="4" w:space="0" w:color="4472C4" w:themeColor="accent5"/>
            </w:tcBorders>
            <w:shd w:val="clear" w:color="auto" w:fill="1F3864" w:themeFill="accent5" w:themeFillShade="80"/>
            <w:vAlign w:val="center"/>
          </w:tcPr>
          <w:p w14:paraId="65E421F7" w14:textId="1C7EF8DB" w:rsidR="00377326" w:rsidRPr="00113364" w:rsidRDefault="00377326" w:rsidP="00E53F38">
            <w:pPr>
              <w:jc w:val="center"/>
              <w:rPr>
                <w:rFonts w:ascii="Arial" w:hAnsi="Arial" w:cs="Arial"/>
                <w:b w:val="0"/>
                <w:color w:val="FFFFFF"/>
              </w:rPr>
            </w:pPr>
            <w:r w:rsidRPr="00113364">
              <w:rPr>
                <w:rFonts w:ascii="Arial" w:hAnsi="Arial" w:cs="Arial"/>
                <w:color w:val="FFFFFF"/>
              </w:rPr>
              <w:t>Data Sources</w:t>
            </w:r>
          </w:p>
        </w:tc>
        <w:tc>
          <w:tcPr>
            <w:tcW w:w="4045" w:type="dxa"/>
            <w:tcBorders>
              <w:left w:val="single" w:sz="4" w:space="0" w:color="4472C4" w:themeColor="accent5"/>
              <w:right w:val="single" w:sz="4" w:space="0" w:color="4472C4" w:themeColor="accent5"/>
            </w:tcBorders>
            <w:shd w:val="clear" w:color="auto" w:fill="1F3864" w:themeFill="accent5" w:themeFillShade="80"/>
            <w:vAlign w:val="center"/>
          </w:tcPr>
          <w:p w14:paraId="7BF7DCF7"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Data Collection Method</w:t>
            </w:r>
          </w:p>
          <w:p w14:paraId="6EE4E092" w14:textId="4FE6840A" w:rsidR="00377326" w:rsidRPr="00113364" w:rsidRDefault="00377326" w:rsidP="00E53F38">
            <w:pPr>
              <w:jc w:val="center"/>
              <w:rPr>
                <w:rFonts w:ascii="Arial" w:hAnsi="Arial" w:cs="Arial"/>
                <w:b w:val="0"/>
                <w:color w:val="FFFFFF"/>
              </w:rPr>
            </w:pPr>
            <w:r w:rsidRPr="00113364">
              <w:rPr>
                <w:rFonts w:ascii="Arial" w:hAnsi="Arial" w:cs="Arial"/>
                <w:color w:val="FFFFFF"/>
              </w:rPr>
              <w:t>This is the method or tool we will use to collect th</w:t>
            </w:r>
            <w:r w:rsidR="00F0763D">
              <w:rPr>
                <w:rFonts w:ascii="Arial" w:hAnsi="Arial" w:cs="Arial"/>
                <w:color w:val="FFFFFF"/>
              </w:rPr>
              <w:t xml:space="preserve">is </w:t>
            </w:r>
            <w:r w:rsidRPr="00113364">
              <w:rPr>
                <w:rFonts w:ascii="Arial" w:hAnsi="Arial" w:cs="Arial"/>
                <w:color w:val="FFFFFF"/>
              </w:rPr>
              <w:t>data.</w:t>
            </w:r>
          </w:p>
        </w:tc>
        <w:tc>
          <w:tcPr>
            <w:tcW w:w="4674" w:type="dxa"/>
            <w:tcBorders>
              <w:left w:val="single" w:sz="4" w:space="0" w:color="4472C4" w:themeColor="accent5"/>
            </w:tcBorders>
            <w:shd w:val="clear" w:color="auto" w:fill="1F3864" w:themeFill="accent5" w:themeFillShade="80"/>
            <w:vAlign w:val="center"/>
          </w:tcPr>
          <w:p w14:paraId="5D883028" w14:textId="4E1DA234" w:rsidR="00377326" w:rsidRPr="00113364" w:rsidRDefault="00377326" w:rsidP="00E53F38">
            <w:pPr>
              <w:jc w:val="center"/>
              <w:rPr>
                <w:rFonts w:ascii="Arial" w:hAnsi="Arial" w:cs="Arial"/>
                <w:b w:val="0"/>
                <w:color w:val="FFFFFF"/>
              </w:rPr>
            </w:pPr>
            <w:r w:rsidRPr="00113364">
              <w:rPr>
                <w:rFonts w:ascii="Arial" w:hAnsi="Arial" w:cs="Arial"/>
                <w:color w:val="FFFFFF"/>
              </w:rPr>
              <w:t>Indicators</w:t>
            </w:r>
          </w:p>
          <w:p w14:paraId="4CAC56C2" w14:textId="77777777" w:rsidR="00377326" w:rsidRPr="00113364" w:rsidRDefault="00377326"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490947" w:rsidRPr="00113364" w14:paraId="02625BB3" w14:textId="77777777" w:rsidTr="00CD6849">
        <w:trPr>
          <w:cnfStyle w:val="000000100000" w:firstRow="0" w:lastRow="0" w:firstColumn="0" w:lastColumn="0" w:oddVBand="0" w:evenVBand="0" w:oddHBand="1" w:evenHBand="0" w:firstRowFirstColumn="0" w:firstRowLastColumn="0" w:lastRowFirstColumn="0" w:lastRowLastColumn="0"/>
          <w:cantSplit/>
        </w:trPr>
        <w:tc>
          <w:tcPr>
            <w:tcW w:w="2947" w:type="dxa"/>
          </w:tcPr>
          <w:p w14:paraId="4937ED79" w14:textId="77777777" w:rsidR="00490947" w:rsidRPr="00113364" w:rsidRDefault="00886B2A">
            <w:pPr>
              <w:pStyle w:val="ListParagraph"/>
              <w:numPr>
                <w:ilvl w:val="1"/>
                <w:numId w:val="44"/>
              </w:numPr>
              <w:rPr>
                <w:rFonts w:ascii="Arial" w:eastAsia="Times New Roman" w:hAnsi="Arial" w:cs="Arial"/>
                <w:color w:val="000000"/>
              </w:rPr>
            </w:pPr>
            <w:r w:rsidRPr="00113364">
              <w:rPr>
                <w:rFonts w:ascii="Arial" w:eastAsia="Times New Roman" w:hAnsi="Arial" w:cs="Arial"/>
                <w:color w:val="000000"/>
              </w:rPr>
              <w:t>Is the dropou</w:t>
            </w:r>
            <w:r w:rsidR="007F60C6" w:rsidRPr="00113364">
              <w:rPr>
                <w:rFonts w:ascii="Arial" w:eastAsia="Times New Roman" w:hAnsi="Arial" w:cs="Arial"/>
                <w:color w:val="000000"/>
              </w:rPr>
              <w:t>t rate decreasing annually for migratory s</w:t>
            </w:r>
            <w:r w:rsidRPr="00113364">
              <w:rPr>
                <w:rFonts w:ascii="Arial" w:eastAsia="Times New Roman" w:hAnsi="Arial" w:cs="Arial"/>
                <w:color w:val="000000"/>
              </w:rPr>
              <w:t>tudents</w:t>
            </w:r>
            <w:r w:rsidR="006B393D" w:rsidRPr="00113364">
              <w:rPr>
                <w:rFonts w:ascii="Arial" w:eastAsia="Times New Roman" w:hAnsi="Arial" w:cs="Arial"/>
                <w:color w:val="000000"/>
              </w:rPr>
              <w:t>?</w:t>
            </w:r>
          </w:p>
        </w:tc>
        <w:tc>
          <w:tcPr>
            <w:tcW w:w="1913" w:type="dxa"/>
          </w:tcPr>
          <w:p w14:paraId="019E0464" w14:textId="77777777" w:rsidR="00490947" w:rsidRPr="00113364" w:rsidRDefault="00F1584A">
            <w:pPr>
              <w:pStyle w:val="ListParagraph"/>
              <w:numPr>
                <w:ilvl w:val="0"/>
                <w:numId w:val="26"/>
              </w:numPr>
              <w:ind w:left="165" w:hanging="165"/>
              <w:rPr>
                <w:rFonts w:ascii="Arial" w:hAnsi="Arial" w:cs="Arial"/>
              </w:rPr>
            </w:pPr>
            <w:r w:rsidRPr="00113364">
              <w:rPr>
                <w:rFonts w:ascii="Arial" w:hAnsi="Arial" w:cs="Arial"/>
              </w:rPr>
              <w:t>LEA high school requirement criteria</w:t>
            </w:r>
          </w:p>
          <w:p w14:paraId="261B241B" w14:textId="77777777" w:rsidR="00F1584A" w:rsidRPr="00113364" w:rsidRDefault="00F1584A">
            <w:pPr>
              <w:pStyle w:val="ListParagraph"/>
              <w:numPr>
                <w:ilvl w:val="0"/>
                <w:numId w:val="26"/>
              </w:numPr>
              <w:ind w:left="165" w:hanging="165"/>
              <w:rPr>
                <w:rFonts w:ascii="Arial" w:hAnsi="Arial" w:cs="Arial"/>
              </w:rPr>
            </w:pPr>
            <w:r w:rsidRPr="00113364">
              <w:rPr>
                <w:rFonts w:ascii="Arial" w:hAnsi="Arial" w:cs="Arial"/>
              </w:rPr>
              <w:t>DataQuest</w:t>
            </w:r>
          </w:p>
        </w:tc>
        <w:tc>
          <w:tcPr>
            <w:tcW w:w="4045" w:type="dxa"/>
          </w:tcPr>
          <w:p w14:paraId="7A44E6FD" w14:textId="77777777" w:rsidR="00490947" w:rsidRPr="00113364" w:rsidRDefault="006B393D">
            <w:pPr>
              <w:pStyle w:val="ListParagraph"/>
              <w:numPr>
                <w:ilvl w:val="0"/>
                <w:numId w:val="26"/>
              </w:numPr>
              <w:ind w:left="165" w:hanging="165"/>
              <w:rPr>
                <w:rFonts w:ascii="Arial" w:hAnsi="Arial" w:cs="Arial"/>
              </w:rPr>
            </w:pPr>
            <w:r w:rsidRPr="00113364">
              <w:rPr>
                <w:rFonts w:ascii="Arial" w:hAnsi="Arial" w:cs="Arial"/>
              </w:rPr>
              <w:t xml:space="preserve">LEAs report high school </w:t>
            </w:r>
            <w:r w:rsidR="00886B2A" w:rsidRPr="00113364">
              <w:rPr>
                <w:rFonts w:ascii="Arial" w:hAnsi="Arial" w:cs="Arial"/>
              </w:rPr>
              <w:t>drop</w:t>
            </w:r>
            <w:r w:rsidR="007E7CC8" w:rsidRPr="00113364">
              <w:rPr>
                <w:rFonts w:ascii="Arial" w:hAnsi="Arial" w:cs="Arial"/>
              </w:rPr>
              <w:t>out</w:t>
            </w:r>
            <w:r w:rsidRPr="00113364">
              <w:rPr>
                <w:rFonts w:ascii="Arial" w:hAnsi="Arial" w:cs="Arial"/>
              </w:rPr>
              <w:t xml:space="preserve"> data to CDE</w:t>
            </w:r>
            <w:r w:rsidR="007E7CC8" w:rsidRPr="00113364">
              <w:rPr>
                <w:rFonts w:ascii="Arial" w:hAnsi="Arial" w:cs="Arial"/>
              </w:rPr>
              <w:t xml:space="preserve"> annually</w:t>
            </w:r>
          </w:p>
        </w:tc>
        <w:tc>
          <w:tcPr>
            <w:tcW w:w="4674" w:type="dxa"/>
          </w:tcPr>
          <w:p w14:paraId="405E72AE" w14:textId="77777777" w:rsidR="00490947" w:rsidRPr="00113364" w:rsidRDefault="007E7CC8">
            <w:pPr>
              <w:pStyle w:val="ListParagraph"/>
              <w:numPr>
                <w:ilvl w:val="0"/>
                <w:numId w:val="26"/>
              </w:numPr>
              <w:ind w:left="165" w:hanging="165"/>
              <w:rPr>
                <w:rFonts w:ascii="Arial" w:hAnsi="Arial" w:cs="Arial"/>
              </w:rPr>
            </w:pPr>
            <w:r w:rsidRPr="00113364">
              <w:rPr>
                <w:rFonts w:ascii="Arial" w:hAnsi="Arial" w:cs="Arial"/>
              </w:rPr>
              <w:t xml:space="preserve">Annual California </w:t>
            </w:r>
            <w:r w:rsidR="00A13308" w:rsidRPr="00113364">
              <w:rPr>
                <w:rFonts w:ascii="Arial" w:hAnsi="Arial" w:cs="Arial"/>
              </w:rPr>
              <w:t xml:space="preserve">high school </w:t>
            </w:r>
            <w:r w:rsidR="00886B2A" w:rsidRPr="00113364">
              <w:rPr>
                <w:rFonts w:ascii="Arial" w:hAnsi="Arial" w:cs="Arial"/>
              </w:rPr>
              <w:t>drop</w:t>
            </w:r>
            <w:r w:rsidRPr="00113364">
              <w:rPr>
                <w:rFonts w:ascii="Arial" w:hAnsi="Arial" w:cs="Arial"/>
              </w:rPr>
              <w:t>out rate</w:t>
            </w:r>
          </w:p>
        </w:tc>
      </w:tr>
    </w:tbl>
    <w:p w14:paraId="12649761" w14:textId="5E1E35A8" w:rsidR="00714D66" w:rsidRPr="00113364" w:rsidRDefault="00127E07" w:rsidP="002103F7">
      <w:pPr>
        <w:pStyle w:val="Heading4"/>
        <w:rPr>
          <w:sz w:val="24"/>
        </w:rPr>
      </w:pPr>
      <w:r w:rsidRPr="00113364">
        <w:br w:type="page"/>
      </w:r>
      <w:bookmarkStart w:id="117" w:name="_Toc204755378"/>
      <w:r w:rsidR="00714D66" w:rsidRPr="00113364">
        <w:rPr>
          <w:sz w:val="24"/>
        </w:rPr>
        <w:lastRenderedPageBreak/>
        <w:t xml:space="preserve">Table </w:t>
      </w:r>
      <w:r w:rsidR="00720887" w:rsidRPr="00113364">
        <w:rPr>
          <w:sz w:val="24"/>
        </w:rPr>
        <w:fldChar w:fldCharType="begin"/>
      </w:r>
      <w:r w:rsidR="00720887" w:rsidRPr="00113364">
        <w:rPr>
          <w:sz w:val="24"/>
        </w:rPr>
        <w:instrText xml:space="preserve"> SEQ Table \* ARABIC </w:instrText>
      </w:r>
      <w:r w:rsidR="00720887" w:rsidRPr="00113364">
        <w:rPr>
          <w:sz w:val="24"/>
        </w:rPr>
        <w:fldChar w:fldCharType="separate"/>
      </w:r>
      <w:r w:rsidR="001362A0">
        <w:rPr>
          <w:noProof/>
          <w:sz w:val="24"/>
        </w:rPr>
        <w:t>42</w:t>
      </w:r>
      <w:r w:rsidR="00720887" w:rsidRPr="00113364">
        <w:rPr>
          <w:noProof/>
          <w:sz w:val="24"/>
        </w:rPr>
        <w:fldChar w:fldCharType="end"/>
      </w:r>
      <w:r w:rsidR="00714D66" w:rsidRPr="00113364">
        <w:rPr>
          <w:sz w:val="24"/>
        </w:rPr>
        <w:t xml:space="preserve">. Sub Questions, Data Sources, Collection Methods, and Indicators for the </w:t>
      </w:r>
      <w:r w:rsidR="00EF750E" w:rsidRPr="00113364">
        <w:rPr>
          <w:sz w:val="24"/>
        </w:rPr>
        <w:t xml:space="preserve">Performance Targets </w:t>
      </w:r>
      <w:r w:rsidR="00714D66" w:rsidRPr="00113364">
        <w:rPr>
          <w:sz w:val="24"/>
        </w:rPr>
        <w:t>for Output-based Focus Areas</w:t>
      </w:r>
      <w:bookmarkEnd w:id="117"/>
    </w:p>
    <w:p w14:paraId="3810244E" w14:textId="309152D3" w:rsidR="00377326" w:rsidRPr="00113364" w:rsidRDefault="00377326">
      <w:pPr>
        <w:numPr>
          <w:ilvl w:val="0"/>
          <w:numId w:val="34"/>
        </w:numPr>
        <w:spacing w:before="120"/>
        <w:ind w:left="360"/>
        <w:rPr>
          <w:rFonts w:ascii="Arial" w:eastAsia="Times New Roman" w:hAnsi="Arial" w:cs="Arial"/>
          <w:bCs/>
        </w:rPr>
      </w:pPr>
      <w:r w:rsidRPr="00113364">
        <w:rPr>
          <w:rFonts w:ascii="Arial" w:eastAsia="Times New Roman" w:hAnsi="Arial" w:cs="Arial"/>
          <w:b/>
          <w:bCs/>
        </w:rPr>
        <w:t>School Readiness:</w:t>
      </w:r>
      <w:r w:rsidRPr="00113364">
        <w:rPr>
          <w:rFonts w:ascii="Arial" w:eastAsia="Times New Roman" w:hAnsi="Arial" w:cs="Arial"/>
          <w:bCs/>
        </w:rPr>
        <w:t xml:space="preserve"> Is migratory child participation in school readiness services increasing? Are migratory children ready for </w:t>
      </w:r>
      <w:r w:rsidR="0078677C" w:rsidRPr="00113364">
        <w:rPr>
          <w:rFonts w:ascii="Arial" w:eastAsia="Times New Roman" w:hAnsi="Arial" w:cs="Arial"/>
          <w:bCs/>
        </w:rPr>
        <w:t>kindergarten</w:t>
      </w:r>
      <w:r w:rsidRPr="00113364">
        <w:rPr>
          <w:rFonts w:ascii="Arial" w:eastAsia="Times New Roman" w:hAnsi="Arial" w:cs="Arial"/>
          <w:bCs/>
        </w:rPr>
        <w:t>?</w:t>
      </w:r>
    </w:p>
    <w:p w14:paraId="5E4D9A6D" w14:textId="61321DA5" w:rsidR="00377326" w:rsidRPr="00113364" w:rsidRDefault="00377326" w:rsidP="00C66062">
      <w:pPr>
        <w:ind w:left="360"/>
      </w:pPr>
      <w:r w:rsidRPr="00113364">
        <w:rPr>
          <w:rFonts w:ascii="Arial" w:hAnsi="Arial" w:cs="Arial"/>
          <w:b/>
        </w:rPr>
        <w:t>Performance Target:</w:t>
      </w:r>
      <w:r w:rsidRPr="00113364">
        <w:rPr>
          <w:rFonts w:ascii="Arial" w:hAnsi="Arial" w:cs="Arial"/>
        </w:rPr>
        <w:t xml:space="preserve"> </w:t>
      </w:r>
      <w:r w:rsidR="002D617D" w:rsidRPr="00113364">
        <w:rPr>
          <w:rFonts w:ascii="Arial" w:hAnsi="Arial" w:cs="Arial"/>
        </w:rPr>
        <w:t>By September 2031, 40 percent of migratory children (ages 3–5) will attend 15 hours or more of school readiness services for dual language learners.</w:t>
      </w:r>
    </w:p>
    <w:tbl>
      <w:tblPr>
        <w:tblStyle w:val="GridTable4-Accent1"/>
        <w:tblW w:w="13536" w:type="dxa"/>
        <w:tblLayout w:type="fixed"/>
        <w:tblLook w:val="0420" w:firstRow="1" w:lastRow="0" w:firstColumn="0" w:lastColumn="0" w:noHBand="0" w:noVBand="1"/>
        <w:tblDescription w:val="School Readiness Sub Questions"/>
      </w:tblPr>
      <w:tblGrid>
        <w:gridCol w:w="3258"/>
        <w:gridCol w:w="1710"/>
        <w:gridCol w:w="3240"/>
        <w:gridCol w:w="5328"/>
      </w:tblGrid>
      <w:tr w:rsidR="009206CE" w:rsidRPr="00113364" w14:paraId="2FF9A2A4"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3258" w:type="dxa"/>
            <w:tcBorders>
              <w:right w:val="single" w:sz="4" w:space="0" w:color="4472C4" w:themeColor="accent5"/>
            </w:tcBorders>
            <w:shd w:val="clear" w:color="auto" w:fill="1F3864" w:themeFill="accent5" w:themeFillShade="80"/>
            <w:vAlign w:val="center"/>
          </w:tcPr>
          <w:p w14:paraId="622A3C7C" w14:textId="77777777" w:rsidR="00714D66" w:rsidRPr="00113364" w:rsidRDefault="00714D66" w:rsidP="00E53F38">
            <w:pPr>
              <w:jc w:val="center"/>
              <w:rPr>
                <w:rFonts w:ascii="Arial" w:hAnsi="Arial" w:cs="Arial"/>
                <w:b w:val="0"/>
                <w:color w:val="FFFFFF"/>
              </w:rPr>
            </w:pPr>
            <w:r w:rsidRPr="00113364">
              <w:rPr>
                <w:rFonts w:ascii="Arial" w:hAnsi="Arial" w:cs="Arial"/>
                <w:color w:val="FFFFFF"/>
              </w:rPr>
              <w:t>Sub Questions</w:t>
            </w:r>
          </w:p>
          <w:p w14:paraId="095F48AD" w14:textId="77777777" w:rsidR="00714D66" w:rsidRPr="00113364" w:rsidRDefault="00714D66" w:rsidP="00E53F38">
            <w:pPr>
              <w:jc w:val="center"/>
              <w:rPr>
                <w:rFonts w:ascii="Arial" w:hAnsi="Arial" w:cs="Arial"/>
                <w:b w:val="0"/>
                <w:color w:val="FFFFFF"/>
              </w:rPr>
            </w:pPr>
            <w:r w:rsidRPr="00113364">
              <w:rPr>
                <w:rFonts w:ascii="Arial" w:hAnsi="Arial" w:cs="Arial"/>
                <w:color w:val="FFFFFF"/>
              </w:rPr>
              <w:t>These questions articulate the main issues that wil</w:t>
            </w:r>
            <w:r w:rsidR="00862AE4" w:rsidRPr="00113364">
              <w:rPr>
                <w:rFonts w:ascii="Arial" w:hAnsi="Arial" w:cs="Arial"/>
                <w:color w:val="FFFFFF"/>
              </w:rPr>
              <w:t>l be addressed in the review</w:t>
            </w:r>
            <w:r w:rsidR="007F60C6" w:rsidRPr="00113364">
              <w:rPr>
                <w:rFonts w:ascii="Arial" w:hAnsi="Arial" w:cs="Arial"/>
                <w:color w:val="FFFFFF"/>
              </w:rPr>
              <w:t>.</w:t>
            </w:r>
          </w:p>
        </w:tc>
        <w:tc>
          <w:tcPr>
            <w:tcW w:w="1710" w:type="dxa"/>
            <w:tcBorders>
              <w:left w:val="single" w:sz="4" w:space="0" w:color="4472C4" w:themeColor="accent5"/>
              <w:right w:val="single" w:sz="4" w:space="0" w:color="4472C4" w:themeColor="accent5"/>
            </w:tcBorders>
            <w:shd w:val="clear" w:color="auto" w:fill="1F3864" w:themeFill="accent5" w:themeFillShade="80"/>
            <w:vAlign w:val="center"/>
          </w:tcPr>
          <w:p w14:paraId="210C7BFD" w14:textId="61E48B04" w:rsidR="00714D66" w:rsidRPr="00113364" w:rsidRDefault="00714D66" w:rsidP="00E53F38">
            <w:pPr>
              <w:jc w:val="center"/>
              <w:rPr>
                <w:rFonts w:ascii="Arial" w:hAnsi="Arial" w:cs="Arial"/>
                <w:b w:val="0"/>
                <w:color w:val="FFFFFF"/>
              </w:rPr>
            </w:pPr>
            <w:r w:rsidRPr="00113364">
              <w:rPr>
                <w:rFonts w:ascii="Arial" w:hAnsi="Arial" w:cs="Arial"/>
                <w:color w:val="FFFFFF"/>
              </w:rPr>
              <w:t>Data Sources</w:t>
            </w:r>
          </w:p>
        </w:tc>
        <w:tc>
          <w:tcPr>
            <w:tcW w:w="3240" w:type="dxa"/>
            <w:tcBorders>
              <w:left w:val="single" w:sz="4" w:space="0" w:color="4472C4" w:themeColor="accent5"/>
              <w:right w:val="single" w:sz="4" w:space="0" w:color="4472C4" w:themeColor="accent5"/>
            </w:tcBorders>
            <w:shd w:val="clear" w:color="auto" w:fill="1F3864" w:themeFill="accent5" w:themeFillShade="80"/>
            <w:vAlign w:val="center"/>
          </w:tcPr>
          <w:p w14:paraId="76FD5F57" w14:textId="77777777" w:rsidR="00714D66" w:rsidRPr="00113364" w:rsidRDefault="00714D66" w:rsidP="00E53F38">
            <w:pPr>
              <w:jc w:val="center"/>
              <w:rPr>
                <w:rFonts w:ascii="Arial" w:hAnsi="Arial" w:cs="Arial"/>
                <w:b w:val="0"/>
                <w:color w:val="FFFFFF"/>
              </w:rPr>
            </w:pPr>
            <w:r w:rsidRPr="00113364">
              <w:rPr>
                <w:rFonts w:ascii="Arial" w:hAnsi="Arial" w:cs="Arial"/>
                <w:color w:val="FFFFFF"/>
              </w:rPr>
              <w:t>Data Collection Method</w:t>
            </w:r>
          </w:p>
          <w:p w14:paraId="713F82EA" w14:textId="155AED17" w:rsidR="00714D66" w:rsidRPr="00113364" w:rsidRDefault="00714D66" w:rsidP="00E53F38">
            <w:pPr>
              <w:jc w:val="center"/>
              <w:rPr>
                <w:rFonts w:ascii="Arial" w:hAnsi="Arial" w:cs="Arial"/>
                <w:b w:val="0"/>
                <w:color w:val="FFFFFF"/>
              </w:rPr>
            </w:pPr>
            <w:r w:rsidRPr="00113364">
              <w:rPr>
                <w:rFonts w:ascii="Arial" w:hAnsi="Arial" w:cs="Arial"/>
                <w:color w:val="FFFFFF"/>
              </w:rPr>
              <w:t>This is the method or tool we will use to collect th</w:t>
            </w:r>
            <w:r w:rsidR="000B4594">
              <w:rPr>
                <w:rFonts w:ascii="Arial" w:hAnsi="Arial" w:cs="Arial"/>
                <w:color w:val="FFFFFF"/>
              </w:rPr>
              <w:t xml:space="preserve">is </w:t>
            </w:r>
            <w:r w:rsidRPr="00113364">
              <w:rPr>
                <w:rFonts w:ascii="Arial" w:hAnsi="Arial" w:cs="Arial"/>
                <w:color w:val="FFFFFF"/>
              </w:rPr>
              <w:t>data.</w:t>
            </w:r>
          </w:p>
        </w:tc>
        <w:tc>
          <w:tcPr>
            <w:tcW w:w="5328" w:type="dxa"/>
            <w:tcBorders>
              <w:left w:val="single" w:sz="4" w:space="0" w:color="4472C4" w:themeColor="accent5"/>
            </w:tcBorders>
            <w:shd w:val="clear" w:color="auto" w:fill="1F3864" w:themeFill="accent5" w:themeFillShade="80"/>
            <w:vAlign w:val="center"/>
          </w:tcPr>
          <w:p w14:paraId="2C8E4405" w14:textId="17B60866" w:rsidR="00714D66" w:rsidRPr="00113364" w:rsidRDefault="00714D66" w:rsidP="00E53F38">
            <w:pPr>
              <w:jc w:val="center"/>
              <w:rPr>
                <w:rFonts w:ascii="Arial" w:hAnsi="Arial" w:cs="Arial"/>
                <w:b w:val="0"/>
                <w:color w:val="FFFFFF"/>
              </w:rPr>
            </w:pPr>
            <w:r w:rsidRPr="00113364">
              <w:rPr>
                <w:rFonts w:ascii="Arial" w:hAnsi="Arial" w:cs="Arial"/>
                <w:color w:val="FFFFFF"/>
              </w:rPr>
              <w:t>Indicators</w:t>
            </w:r>
          </w:p>
          <w:p w14:paraId="68D434C7" w14:textId="77777777" w:rsidR="00714D66" w:rsidRPr="00113364" w:rsidRDefault="00714D66" w:rsidP="00E53F38">
            <w:pPr>
              <w:jc w:val="center"/>
              <w:rPr>
                <w:rFonts w:ascii="Arial" w:hAnsi="Arial" w:cs="Arial"/>
                <w:b w:val="0"/>
                <w:color w:val="FFFFFF"/>
              </w:rPr>
            </w:pPr>
            <w:r w:rsidRPr="00113364">
              <w:rPr>
                <w:rFonts w:ascii="Arial" w:hAnsi="Arial" w:cs="Arial"/>
                <w:color w:val="FFFFFF"/>
              </w:rPr>
              <w:t xml:space="preserve">These </w:t>
            </w:r>
            <w:r w:rsidR="007F60C6" w:rsidRPr="00113364">
              <w:rPr>
                <w:rFonts w:ascii="Arial" w:hAnsi="Arial" w:cs="Arial"/>
                <w:color w:val="FFFFFF"/>
              </w:rPr>
              <w:t>define the evidence we collect—</w:t>
            </w:r>
            <w:r w:rsidRPr="00113364">
              <w:rPr>
                <w:rFonts w:ascii="Arial" w:hAnsi="Arial" w:cs="Arial"/>
                <w:color w:val="FFFFFF"/>
              </w:rPr>
              <w:t xml:space="preserve">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w:t>
            </w:r>
            <w:r w:rsidR="00886B2A" w:rsidRPr="00113364">
              <w:rPr>
                <w:rFonts w:ascii="Arial" w:hAnsi="Arial" w:cs="Arial"/>
                <w:color w:val="FFFFFF"/>
              </w:rPr>
              <w:t>,</w:t>
            </w:r>
            <w:r w:rsidRPr="00113364">
              <w:rPr>
                <w:rFonts w:ascii="Arial" w:hAnsi="Arial" w:cs="Arial"/>
                <w:color w:val="FFFFFF"/>
              </w:rPr>
              <w:t xml:space="preserve"> and measurable.</w:t>
            </w:r>
          </w:p>
        </w:tc>
      </w:tr>
      <w:tr w:rsidR="00142F53" w:rsidRPr="00113364" w14:paraId="0105EA60" w14:textId="77777777" w:rsidTr="00940787">
        <w:trPr>
          <w:cnfStyle w:val="000000100000" w:firstRow="0" w:lastRow="0" w:firstColumn="0" w:lastColumn="0" w:oddVBand="0" w:evenVBand="0" w:oddHBand="1" w:evenHBand="0" w:firstRowFirstColumn="0" w:firstRowLastColumn="0" w:lastRowFirstColumn="0" w:lastRowLastColumn="0"/>
          <w:cantSplit/>
          <w:trHeight w:val="773"/>
        </w:trPr>
        <w:tc>
          <w:tcPr>
            <w:tcW w:w="3258" w:type="dxa"/>
          </w:tcPr>
          <w:p w14:paraId="16E13A15" w14:textId="77777777" w:rsidR="00714D66" w:rsidRPr="00113364" w:rsidRDefault="00714D66">
            <w:pPr>
              <w:pStyle w:val="ListParagraph"/>
              <w:numPr>
                <w:ilvl w:val="1"/>
                <w:numId w:val="28"/>
              </w:numPr>
              <w:ind w:left="533" w:hanging="533"/>
              <w:rPr>
                <w:rFonts w:ascii="Arial" w:eastAsia="Times New Roman" w:hAnsi="Arial" w:cs="Arial"/>
                <w:color w:val="222222"/>
              </w:rPr>
            </w:pPr>
            <w:r w:rsidRPr="00113364">
              <w:rPr>
                <w:rFonts w:ascii="Arial" w:eastAsia="Times New Roman" w:hAnsi="Arial" w:cs="Arial"/>
                <w:color w:val="000000"/>
              </w:rPr>
              <w:t xml:space="preserve">What is the annual change in </w:t>
            </w:r>
            <w:r w:rsidR="00CB72A5" w:rsidRPr="00113364">
              <w:rPr>
                <w:rFonts w:ascii="Arial" w:eastAsia="Times New Roman" w:hAnsi="Arial" w:cs="Arial"/>
                <w:color w:val="000000"/>
              </w:rPr>
              <w:t>migratory child</w:t>
            </w:r>
            <w:r w:rsidR="001C0225" w:rsidRPr="00113364">
              <w:rPr>
                <w:rFonts w:ascii="Arial" w:eastAsia="Times New Roman" w:hAnsi="Arial" w:cs="Arial"/>
                <w:color w:val="000000"/>
              </w:rPr>
              <w:t xml:space="preserve"> participation in school readiness services</w:t>
            </w:r>
            <w:r w:rsidRPr="00113364">
              <w:rPr>
                <w:rFonts w:ascii="Arial" w:eastAsia="Times New Roman" w:hAnsi="Arial" w:cs="Arial"/>
                <w:color w:val="000000"/>
              </w:rPr>
              <w:t>?</w:t>
            </w:r>
          </w:p>
        </w:tc>
        <w:tc>
          <w:tcPr>
            <w:tcW w:w="1710" w:type="dxa"/>
          </w:tcPr>
          <w:p w14:paraId="597DFC90" w14:textId="77777777" w:rsidR="00714D66" w:rsidRPr="00113364" w:rsidRDefault="007E73CF">
            <w:pPr>
              <w:pStyle w:val="ListParagraph"/>
              <w:numPr>
                <w:ilvl w:val="0"/>
                <w:numId w:val="26"/>
              </w:numPr>
              <w:ind w:left="165" w:hanging="165"/>
              <w:rPr>
                <w:rFonts w:ascii="Arial" w:hAnsi="Arial" w:cs="Arial"/>
              </w:rPr>
            </w:pPr>
            <w:r w:rsidRPr="00113364">
              <w:rPr>
                <w:rFonts w:ascii="Arial" w:hAnsi="Arial" w:cs="Arial"/>
              </w:rPr>
              <w:t>Attendance lists</w:t>
            </w:r>
          </w:p>
        </w:tc>
        <w:tc>
          <w:tcPr>
            <w:tcW w:w="3240" w:type="dxa"/>
          </w:tcPr>
          <w:p w14:paraId="514EFE59" w14:textId="77777777" w:rsidR="00714D66" w:rsidRPr="00113364" w:rsidRDefault="00714D66">
            <w:pPr>
              <w:pStyle w:val="ListParagraph"/>
              <w:numPr>
                <w:ilvl w:val="0"/>
                <w:numId w:val="26"/>
              </w:numPr>
              <w:ind w:left="165" w:hanging="165"/>
              <w:rPr>
                <w:rFonts w:ascii="Arial" w:hAnsi="Arial" w:cs="Arial"/>
              </w:rPr>
            </w:pPr>
            <w:r w:rsidRPr="00113364">
              <w:rPr>
                <w:rFonts w:ascii="Arial" w:hAnsi="Arial" w:cs="Arial"/>
              </w:rPr>
              <w:t xml:space="preserve">Subgrantees enter </w:t>
            </w:r>
            <w:r w:rsidR="00BF71F9" w:rsidRPr="00113364">
              <w:rPr>
                <w:rFonts w:ascii="Arial" w:hAnsi="Arial" w:cs="Arial"/>
              </w:rPr>
              <w:t>the number of migrator</w:t>
            </w:r>
            <w:r w:rsidR="00CB72A5" w:rsidRPr="00113364">
              <w:rPr>
                <w:rFonts w:ascii="Arial" w:hAnsi="Arial" w:cs="Arial"/>
              </w:rPr>
              <w:t xml:space="preserve">y children participating in </w:t>
            </w:r>
            <w:r w:rsidR="00BF71F9" w:rsidRPr="00113364">
              <w:rPr>
                <w:rFonts w:ascii="Arial" w:hAnsi="Arial" w:cs="Arial"/>
              </w:rPr>
              <w:t>school readiness services.</w:t>
            </w:r>
          </w:p>
        </w:tc>
        <w:tc>
          <w:tcPr>
            <w:tcW w:w="5328" w:type="dxa"/>
          </w:tcPr>
          <w:p w14:paraId="5E807499" w14:textId="77777777" w:rsidR="00C01B6E" w:rsidRPr="00113364" w:rsidRDefault="00CB72A5">
            <w:pPr>
              <w:pStyle w:val="ListParagraph"/>
              <w:numPr>
                <w:ilvl w:val="0"/>
                <w:numId w:val="26"/>
              </w:numPr>
              <w:ind w:left="165" w:hanging="165"/>
              <w:rPr>
                <w:rFonts w:ascii="Arial" w:hAnsi="Arial" w:cs="Arial"/>
              </w:rPr>
            </w:pPr>
            <w:r w:rsidRPr="00113364">
              <w:rPr>
                <w:rFonts w:ascii="Arial" w:hAnsi="Arial" w:cs="Arial"/>
              </w:rPr>
              <w:t>Number of unduplicate</w:t>
            </w:r>
            <w:r w:rsidR="007F60C6" w:rsidRPr="00113364">
              <w:rPr>
                <w:rFonts w:ascii="Arial" w:hAnsi="Arial" w:cs="Arial"/>
              </w:rPr>
              <w:t>d m</w:t>
            </w:r>
            <w:r w:rsidR="007E7CC8" w:rsidRPr="00113364">
              <w:rPr>
                <w:rFonts w:ascii="Arial" w:hAnsi="Arial" w:cs="Arial"/>
              </w:rPr>
              <w:t>igratory children who participate in 15 hours or more of a school readiness service</w:t>
            </w:r>
            <w:r w:rsidRPr="00113364">
              <w:rPr>
                <w:rFonts w:ascii="Arial" w:hAnsi="Arial" w:cs="Arial"/>
              </w:rPr>
              <w:t xml:space="preserve"> per year</w:t>
            </w:r>
            <w:r w:rsidR="007E7CC8" w:rsidRPr="00113364">
              <w:rPr>
                <w:rFonts w:ascii="Arial" w:hAnsi="Arial" w:cs="Arial"/>
              </w:rPr>
              <w:t xml:space="preserve">. </w:t>
            </w:r>
          </w:p>
        </w:tc>
      </w:tr>
    </w:tbl>
    <w:p w14:paraId="4AC12F6A" w14:textId="42115DE8" w:rsidR="0028195B" w:rsidRPr="00113364" w:rsidRDefault="000D1B33">
      <w:pPr>
        <w:numPr>
          <w:ilvl w:val="0"/>
          <w:numId w:val="34"/>
        </w:numPr>
        <w:spacing w:before="120"/>
        <w:ind w:left="360"/>
        <w:rPr>
          <w:rFonts w:ascii="Arial" w:eastAsia="Times New Roman" w:hAnsi="Arial" w:cs="Arial"/>
          <w:bCs/>
        </w:rPr>
      </w:pPr>
      <w:r w:rsidRPr="00113364">
        <w:br w:type="page"/>
      </w:r>
      <w:r w:rsidR="0028195B" w:rsidRPr="00113364">
        <w:rPr>
          <w:rFonts w:ascii="Arial" w:hAnsi="Arial" w:cs="Arial"/>
          <w:b/>
          <w:bCs/>
        </w:rPr>
        <w:lastRenderedPageBreak/>
        <w:t>School Readiness (Partnering with Parents to Support Early Learnin</w:t>
      </w:r>
      <w:r w:rsidR="0028195B" w:rsidRPr="00113364">
        <w:rPr>
          <w:rFonts w:ascii="Arial" w:hAnsi="Arial" w:cs="Arial"/>
        </w:rPr>
        <w:t>g)</w:t>
      </w:r>
      <w:r w:rsidR="00643D65" w:rsidRPr="00113364">
        <w:rPr>
          <w:rFonts w:ascii="Arial" w:eastAsia="Times New Roman" w:hAnsi="Arial" w:cs="Arial"/>
        </w:rPr>
        <w:t>:</w:t>
      </w:r>
      <w:r w:rsidR="0028195B" w:rsidRPr="00113364">
        <w:rPr>
          <w:rFonts w:ascii="Arial" w:eastAsia="Times New Roman" w:hAnsi="Arial" w:cs="Arial"/>
          <w:bCs/>
        </w:rPr>
        <w:t xml:space="preserve"> Is migratory child participation in school readiness services increasing? Are migratory children ready for </w:t>
      </w:r>
      <w:r w:rsidR="00B542CB">
        <w:rPr>
          <w:rFonts w:ascii="Arial" w:eastAsia="Times New Roman" w:hAnsi="Arial" w:cs="Arial"/>
          <w:bCs/>
        </w:rPr>
        <w:t>k</w:t>
      </w:r>
      <w:r w:rsidR="0028195B" w:rsidRPr="00113364">
        <w:rPr>
          <w:rFonts w:ascii="Arial" w:eastAsia="Times New Roman" w:hAnsi="Arial" w:cs="Arial"/>
          <w:bCs/>
        </w:rPr>
        <w:t>indergarten?</w:t>
      </w:r>
    </w:p>
    <w:p w14:paraId="7044C574" w14:textId="58BA2573" w:rsidR="0028195B" w:rsidRPr="00113364" w:rsidRDefault="0028195B" w:rsidP="0028195B">
      <w:pPr>
        <w:ind w:left="360"/>
      </w:pPr>
      <w:r w:rsidRPr="00113364">
        <w:rPr>
          <w:rFonts w:ascii="Arial" w:hAnsi="Arial" w:cs="Arial"/>
          <w:b/>
        </w:rPr>
        <w:t>Performance Target:</w:t>
      </w:r>
      <w:r w:rsidRPr="00113364">
        <w:rPr>
          <w:rFonts w:ascii="Arial" w:hAnsi="Arial" w:cs="Arial"/>
        </w:rPr>
        <w:t xml:space="preserve"> </w:t>
      </w:r>
      <w:r w:rsidR="002D617D" w:rsidRPr="00113364">
        <w:rPr>
          <w:rFonts w:ascii="Arial" w:hAnsi="Arial" w:cs="Arial"/>
        </w:rPr>
        <w:t xml:space="preserve">By September 2031, 40 percent of migratory children (ages </w:t>
      </w:r>
      <w:r w:rsidR="00C36BF6" w:rsidRPr="00113364">
        <w:rPr>
          <w:rFonts w:ascii="Arial" w:hAnsi="Arial" w:cs="Arial"/>
        </w:rPr>
        <w:t>Pre-K and TK</w:t>
      </w:r>
      <w:r w:rsidR="002D617D" w:rsidRPr="00113364">
        <w:rPr>
          <w:rFonts w:ascii="Arial" w:hAnsi="Arial" w:cs="Arial"/>
        </w:rPr>
        <w:t>) will attend 15 hours or more of school readiness services for dual language learners.</w:t>
      </w:r>
    </w:p>
    <w:tbl>
      <w:tblPr>
        <w:tblStyle w:val="GridTable4-Accent1"/>
        <w:tblW w:w="13536" w:type="dxa"/>
        <w:tblLayout w:type="fixed"/>
        <w:tblLook w:val="0420" w:firstRow="1" w:lastRow="0" w:firstColumn="0" w:lastColumn="0" w:noHBand="0" w:noVBand="1"/>
        <w:tblDescription w:val="Out of School Youth Sub Questions"/>
      </w:tblPr>
      <w:tblGrid>
        <w:gridCol w:w="2965"/>
        <w:gridCol w:w="1800"/>
        <w:gridCol w:w="3623"/>
        <w:gridCol w:w="5148"/>
      </w:tblGrid>
      <w:tr w:rsidR="00643D65" w:rsidRPr="00113364" w14:paraId="3CD21772" w14:textId="77777777" w:rsidTr="00AA0DEB">
        <w:trPr>
          <w:cnfStyle w:val="100000000000" w:firstRow="1" w:lastRow="0" w:firstColumn="0" w:lastColumn="0" w:oddVBand="0" w:evenVBand="0" w:oddHBand="0" w:evenHBand="0" w:firstRowFirstColumn="0" w:firstRowLastColumn="0" w:lastRowFirstColumn="0" w:lastRowLastColumn="0"/>
          <w:cantSplit/>
          <w:trHeight w:val="1034"/>
          <w:tblHeader/>
        </w:trPr>
        <w:tc>
          <w:tcPr>
            <w:tcW w:w="2965" w:type="dxa"/>
            <w:tcBorders>
              <w:right w:val="single" w:sz="4" w:space="0" w:color="4472C4" w:themeColor="accent5"/>
            </w:tcBorders>
            <w:shd w:val="clear" w:color="auto" w:fill="1F3864" w:themeFill="accent5" w:themeFillShade="80"/>
            <w:vAlign w:val="center"/>
          </w:tcPr>
          <w:p w14:paraId="4185214B" w14:textId="77777777" w:rsidR="00643D65" w:rsidRPr="00113364" w:rsidRDefault="00643D65" w:rsidP="00EB4984">
            <w:pPr>
              <w:jc w:val="center"/>
              <w:rPr>
                <w:rFonts w:ascii="Arial" w:hAnsi="Arial" w:cs="Arial"/>
                <w:b w:val="0"/>
                <w:color w:val="FFFFFF"/>
              </w:rPr>
            </w:pPr>
            <w:r w:rsidRPr="00113364">
              <w:rPr>
                <w:rFonts w:ascii="Arial" w:hAnsi="Arial" w:cs="Arial"/>
                <w:color w:val="FFFFFF"/>
              </w:rPr>
              <w:t>Sub Questions</w:t>
            </w:r>
          </w:p>
          <w:p w14:paraId="2B5B10B7" w14:textId="77777777" w:rsidR="00643D65" w:rsidRPr="00113364" w:rsidRDefault="00643D65" w:rsidP="00EB4984">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800" w:type="dxa"/>
            <w:tcBorders>
              <w:left w:val="single" w:sz="4" w:space="0" w:color="4472C4" w:themeColor="accent5"/>
              <w:right w:val="single" w:sz="4" w:space="0" w:color="4472C4" w:themeColor="accent5"/>
            </w:tcBorders>
            <w:shd w:val="clear" w:color="auto" w:fill="1F3864" w:themeFill="accent5" w:themeFillShade="80"/>
            <w:vAlign w:val="center"/>
          </w:tcPr>
          <w:p w14:paraId="5F9D077B" w14:textId="77777777" w:rsidR="00643D65" w:rsidRPr="00113364" w:rsidRDefault="00643D65" w:rsidP="00EB4984">
            <w:pPr>
              <w:jc w:val="center"/>
              <w:rPr>
                <w:rFonts w:ascii="Arial" w:hAnsi="Arial" w:cs="Arial"/>
                <w:b w:val="0"/>
                <w:color w:val="FFFFFF"/>
              </w:rPr>
            </w:pPr>
            <w:r w:rsidRPr="00113364">
              <w:rPr>
                <w:rFonts w:ascii="Arial" w:hAnsi="Arial" w:cs="Arial"/>
                <w:color w:val="FFFFFF"/>
              </w:rPr>
              <w:t>Data Sources</w:t>
            </w:r>
          </w:p>
        </w:tc>
        <w:tc>
          <w:tcPr>
            <w:tcW w:w="3623" w:type="dxa"/>
            <w:tcBorders>
              <w:left w:val="single" w:sz="4" w:space="0" w:color="4472C4" w:themeColor="accent5"/>
              <w:right w:val="single" w:sz="4" w:space="0" w:color="4472C4" w:themeColor="accent5"/>
            </w:tcBorders>
            <w:shd w:val="clear" w:color="auto" w:fill="1F3864" w:themeFill="accent5" w:themeFillShade="80"/>
            <w:vAlign w:val="center"/>
          </w:tcPr>
          <w:p w14:paraId="2634F312" w14:textId="77777777" w:rsidR="00643D65" w:rsidRPr="00113364" w:rsidRDefault="00643D65" w:rsidP="00EB4984">
            <w:pPr>
              <w:jc w:val="center"/>
              <w:rPr>
                <w:rFonts w:ascii="Arial" w:hAnsi="Arial" w:cs="Arial"/>
                <w:b w:val="0"/>
                <w:color w:val="FFFFFF"/>
              </w:rPr>
            </w:pPr>
            <w:r w:rsidRPr="00113364">
              <w:rPr>
                <w:rFonts w:ascii="Arial" w:hAnsi="Arial" w:cs="Arial"/>
                <w:color w:val="FFFFFF"/>
              </w:rPr>
              <w:t>Data Collection Method</w:t>
            </w:r>
          </w:p>
          <w:p w14:paraId="585DB6E7" w14:textId="6F1719DA" w:rsidR="00643D65" w:rsidRPr="00113364" w:rsidRDefault="00643D65" w:rsidP="00EB4984">
            <w:pPr>
              <w:jc w:val="center"/>
              <w:rPr>
                <w:rFonts w:ascii="Arial" w:hAnsi="Arial" w:cs="Arial"/>
                <w:b w:val="0"/>
                <w:color w:val="FFFFFF"/>
              </w:rPr>
            </w:pPr>
            <w:r w:rsidRPr="00113364">
              <w:rPr>
                <w:rFonts w:ascii="Arial" w:hAnsi="Arial" w:cs="Arial"/>
                <w:color w:val="FFFFFF"/>
              </w:rPr>
              <w:t>This is the method or tool we will use to collect th</w:t>
            </w:r>
            <w:r w:rsidR="000B4594">
              <w:rPr>
                <w:rFonts w:ascii="Arial" w:hAnsi="Arial" w:cs="Arial"/>
                <w:color w:val="FFFFFF"/>
              </w:rPr>
              <w:t xml:space="preserve">is </w:t>
            </w:r>
            <w:r w:rsidRPr="00113364">
              <w:rPr>
                <w:rFonts w:ascii="Arial" w:hAnsi="Arial" w:cs="Arial"/>
                <w:color w:val="FFFFFF"/>
              </w:rPr>
              <w:t>data.</w:t>
            </w:r>
          </w:p>
        </w:tc>
        <w:tc>
          <w:tcPr>
            <w:tcW w:w="5148" w:type="dxa"/>
            <w:tcBorders>
              <w:left w:val="single" w:sz="4" w:space="0" w:color="4472C4" w:themeColor="accent5"/>
            </w:tcBorders>
            <w:shd w:val="clear" w:color="auto" w:fill="1F3864" w:themeFill="accent5" w:themeFillShade="80"/>
            <w:vAlign w:val="center"/>
          </w:tcPr>
          <w:p w14:paraId="1E3EB30E" w14:textId="77777777" w:rsidR="00643D65" w:rsidRPr="00113364" w:rsidRDefault="00643D65" w:rsidP="00EB4984">
            <w:pPr>
              <w:jc w:val="center"/>
              <w:rPr>
                <w:rFonts w:ascii="Arial" w:hAnsi="Arial" w:cs="Arial"/>
                <w:b w:val="0"/>
                <w:color w:val="FFFFFF"/>
              </w:rPr>
            </w:pPr>
            <w:r w:rsidRPr="00113364">
              <w:rPr>
                <w:rFonts w:ascii="Arial" w:hAnsi="Arial" w:cs="Arial"/>
                <w:color w:val="FFFFFF"/>
              </w:rPr>
              <w:t>Indicators</w:t>
            </w:r>
          </w:p>
          <w:p w14:paraId="6667F294" w14:textId="77777777" w:rsidR="00643D65" w:rsidRPr="00113364" w:rsidRDefault="00643D65" w:rsidP="00EB4984">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AA0DEB" w:rsidRPr="00113364" w14:paraId="2BC880DC" w14:textId="77777777" w:rsidTr="00B85529">
        <w:trPr>
          <w:cnfStyle w:val="000000100000" w:firstRow="0" w:lastRow="0" w:firstColumn="0" w:lastColumn="0" w:oddVBand="0" w:evenVBand="0" w:oddHBand="1" w:evenHBand="0" w:firstRowFirstColumn="0" w:firstRowLastColumn="0" w:lastRowFirstColumn="0" w:lastRowLastColumn="0"/>
          <w:cantSplit/>
          <w:trHeight w:val="1034"/>
        </w:trPr>
        <w:tc>
          <w:tcPr>
            <w:tcW w:w="2965" w:type="dxa"/>
            <w:tcBorders>
              <w:right w:val="single" w:sz="4" w:space="0" w:color="4472C4" w:themeColor="accent5"/>
            </w:tcBorders>
            <w:shd w:val="clear" w:color="auto" w:fill="auto"/>
            <w:vAlign w:val="center"/>
          </w:tcPr>
          <w:p w14:paraId="6699997B" w14:textId="524A67D8" w:rsidR="00AA0DEB" w:rsidRPr="00AA0DEB" w:rsidRDefault="00AA0DEB" w:rsidP="00AA0DEB">
            <w:pPr>
              <w:pStyle w:val="ListParagraph"/>
              <w:numPr>
                <w:ilvl w:val="1"/>
                <w:numId w:val="34"/>
              </w:numPr>
              <w:ind w:left="340"/>
              <w:rPr>
                <w:rFonts w:ascii="Arial" w:eastAsia="Times New Roman" w:hAnsi="Arial" w:cs="Arial"/>
                <w:color w:val="222222"/>
              </w:rPr>
            </w:pPr>
            <w:r w:rsidRPr="00113364">
              <w:rPr>
                <w:rFonts w:ascii="Arial" w:eastAsia="Times New Roman" w:hAnsi="Arial" w:cs="Arial"/>
                <w:color w:val="000000"/>
              </w:rPr>
              <w:t>What is the annual change in migratory child participation in school readiness services?</w:t>
            </w:r>
          </w:p>
        </w:tc>
        <w:tc>
          <w:tcPr>
            <w:tcW w:w="1800" w:type="dxa"/>
            <w:tcBorders>
              <w:left w:val="single" w:sz="4" w:space="0" w:color="4472C4" w:themeColor="accent5"/>
              <w:right w:val="single" w:sz="4" w:space="0" w:color="4472C4" w:themeColor="accent5"/>
            </w:tcBorders>
            <w:shd w:val="clear" w:color="auto" w:fill="auto"/>
          </w:tcPr>
          <w:p w14:paraId="2DA1E40B" w14:textId="1F465AE6" w:rsidR="00AA0DEB" w:rsidRPr="00AA0DEB" w:rsidRDefault="00AA0DEB" w:rsidP="00B85529">
            <w:pPr>
              <w:pStyle w:val="ListParagraph"/>
              <w:numPr>
                <w:ilvl w:val="0"/>
                <w:numId w:val="26"/>
              </w:numPr>
              <w:ind w:left="158" w:hanging="158"/>
              <w:rPr>
                <w:rFonts w:ascii="Arial" w:hAnsi="Arial" w:cs="Arial"/>
              </w:rPr>
            </w:pPr>
            <w:r w:rsidRPr="00AA0DEB">
              <w:rPr>
                <w:rFonts w:ascii="Arial" w:hAnsi="Arial" w:cs="Arial"/>
              </w:rPr>
              <w:t>Attendance lists</w:t>
            </w:r>
          </w:p>
        </w:tc>
        <w:tc>
          <w:tcPr>
            <w:tcW w:w="3623" w:type="dxa"/>
            <w:tcBorders>
              <w:left w:val="single" w:sz="4" w:space="0" w:color="4472C4" w:themeColor="accent5"/>
              <w:right w:val="single" w:sz="4" w:space="0" w:color="4472C4" w:themeColor="accent5"/>
            </w:tcBorders>
            <w:shd w:val="clear" w:color="auto" w:fill="auto"/>
          </w:tcPr>
          <w:p w14:paraId="36B6441A" w14:textId="5583808E" w:rsidR="00AA0DEB" w:rsidRPr="00AA0DEB" w:rsidRDefault="00AA0DEB" w:rsidP="00B85529">
            <w:pPr>
              <w:pStyle w:val="ListParagraph"/>
              <w:numPr>
                <w:ilvl w:val="0"/>
                <w:numId w:val="26"/>
              </w:numPr>
              <w:ind w:left="165" w:hanging="165"/>
              <w:rPr>
                <w:rFonts w:ascii="Arial" w:hAnsi="Arial" w:cs="Arial"/>
              </w:rPr>
            </w:pPr>
            <w:r w:rsidRPr="00113364">
              <w:rPr>
                <w:rFonts w:ascii="Arial" w:hAnsi="Arial" w:cs="Arial"/>
              </w:rPr>
              <w:t>Subgrantees enter the number of migratory children participating in school readiness services.</w:t>
            </w:r>
          </w:p>
        </w:tc>
        <w:tc>
          <w:tcPr>
            <w:tcW w:w="5148" w:type="dxa"/>
            <w:tcBorders>
              <w:left w:val="single" w:sz="4" w:space="0" w:color="4472C4" w:themeColor="accent5"/>
            </w:tcBorders>
            <w:shd w:val="clear" w:color="auto" w:fill="auto"/>
          </w:tcPr>
          <w:p w14:paraId="095F6593" w14:textId="7BBB70BC" w:rsidR="00AA0DEB" w:rsidRPr="00AA0DEB" w:rsidRDefault="00AA0DEB" w:rsidP="00B85529">
            <w:pPr>
              <w:pStyle w:val="ListParagraph"/>
              <w:numPr>
                <w:ilvl w:val="0"/>
                <w:numId w:val="26"/>
              </w:numPr>
              <w:ind w:left="165" w:hanging="165"/>
              <w:rPr>
                <w:rFonts w:ascii="Arial" w:hAnsi="Arial" w:cs="Arial"/>
              </w:rPr>
            </w:pPr>
            <w:r w:rsidRPr="00113364">
              <w:rPr>
                <w:rFonts w:ascii="Arial" w:hAnsi="Arial" w:cs="Arial"/>
              </w:rPr>
              <w:t>Number of unduplicated migratory children who participate in 15 hours or more of a school readiness service per year.</w:t>
            </w:r>
          </w:p>
        </w:tc>
      </w:tr>
    </w:tbl>
    <w:p w14:paraId="314432A8" w14:textId="38B68554" w:rsidR="000D1B33" w:rsidRPr="00113364" w:rsidRDefault="000D1B33">
      <w:pPr>
        <w:numPr>
          <w:ilvl w:val="0"/>
          <w:numId w:val="34"/>
        </w:numPr>
        <w:spacing w:before="240"/>
        <w:ind w:left="360"/>
        <w:rPr>
          <w:rFonts w:ascii="Arial" w:eastAsia="Times New Roman" w:hAnsi="Arial" w:cs="Arial"/>
          <w:bCs/>
        </w:rPr>
      </w:pPr>
      <w:r w:rsidRPr="00113364">
        <w:rPr>
          <w:rFonts w:ascii="Arial" w:eastAsia="Times New Roman" w:hAnsi="Arial" w:cs="Arial"/>
          <w:b/>
          <w:bCs/>
        </w:rPr>
        <w:t>Out of School Youth:</w:t>
      </w:r>
      <w:r w:rsidRPr="00113364">
        <w:rPr>
          <w:rFonts w:ascii="Arial" w:eastAsia="Times New Roman" w:hAnsi="Arial" w:cs="Arial"/>
          <w:bCs/>
        </w:rPr>
        <w:t xml:space="preserve"> Are </w:t>
      </w:r>
      <w:r w:rsidR="0028195B" w:rsidRPr="00113364">
        <w:rPr>
          <w:rFonts w:ascii="Arial" w:eastAsia="Times New Roman" w:hAnsi="Arial" w:cs="Arial"/>
          <w:bCs/>
        </w:rPr>
        <w:t>the OSYs receiving the information on CTE they need to explore future opportunities?</w:t>
      </w:r>
    </w:p>
    <w:p w14:paraId="205813CD" w14:textId="55024B3D" w:rsidR="000D1B33" w:rsidRPr="00113364" w:rsidRDefault="000D1B33" w:rsidP="00C36BF6">
      <w:pPr>
        <w:rPr>
          <w:rFonts w:ascii="Arial" w:hAnsi="Arial" w:cs="Arial"/>
        </w:rPr>
      </w:pPr>
      <w:r w:rsidRPr="00113364">
        <w:rPr>
          <w:rFonts w:ascii="Arial" w:hAnsi="Arial" w:cs="Arial"/>
          <w:b/>
        </w:rPr>
        <w:t>Performance Target:</w:t>
      </w:r>
      <w:r w:rsidRPr="00113364">
        <w:rPr>
          <w:rFonts w:ascii="Arial" w:hAnsi="Arial" w:cs="Arial"/>
        </w:rPr>
        <w:t xml:space="preserve"> </w:t>
      </w:r>
      <w:r w:rsidR="00C36BF6" w:rsidRPr="00113364">
        <w:rPr>
          <w:rFonts w:ascii="Arial" w:hAnsi="Arial" w:cs="Arial"/>
        </w:rPr>
        <w:t>By September 2031, 75 percent of OSY, who indicated a need on the INA, will complete an ESL, GED, or literacy class.</w:t>
      </w:r>
    </w:p>
    <w:tbl>
      <w:tblPr>
        <w:tblStyle w:val="GridTable4-Accent1"/>
        <w:tblW w:w="13536" w:type="dxa"/>
        <w:tblLayout w:type="fixed"/>
        <w:tblLook w:val="0420" w:firstRow="1" w:lastRow="0" w:firstColumn="0" w:lastColumn="0" w:noHBand="0" w:noVBand="1"/>
        <w:tblDescription w:val="Out of School Youth Sub Questions"/>
      </w:tblPr>
      <w:tblGrid>
        <w:gridCol w:w="2628"/>
        <w:gridCol w:w="2160"/>
        <w:gridCol w:w="3600"/>
        <w:gridCol w:w="5148"/>
      </w:tblGrid>
      <w:tr w:rsidR="000D1B33" w:rsidRPr="00113364" w14:paraId="6346C175"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2628" w:type="dxa"/>
            <w:tcBorders>
              <w:right w:val="single" w:sz="4" w:space="0" w:color="4472C4" w:themeColor="accent5"/>
            </w:tcBorders>
            <w:shd w:val="clear" w:color="auto" w:fill="1F3864" w:themeFill="accent5" w:themeFillShade="80"/>
            <w:vAlign w:val="center"/>
          </w:tcPr>
          <w:p w14:paraId="6DFC5EDC"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Sub Questions</w:t>
            </w:r>
          </w:p>
          <w:p w14:paraId="05D01164"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2160" w:type="dxa"/>
            <w:tcBorders>
              <w:left w:val="single" w:sz="4" w:space="0" w:color="4472C4" w:themeColor="accent5"/>
              <w:right w:val="single" w:sz="4" w:space="0" w:color="4472C4" w:themeColor="accent5"/>
            </w:tcBorders>
            <w:shd w:val="clear" w:color="auto" w:fill="1F3864" w:themeFill="accent5" w:themeFillShade="80"/>
            <w:vAlign w:val="center"/>
          </w:tcPr>
          <w:p w14:paraId="6B9A6274" w14:textId="3D6CF2C4" w:rsidR="000D1B33" w:rsidRPr="00113364" w:rsidRDefault="000D1B33" w:rsidP="00E53F38">
            <w:pPr>
              <w:jc w:val="center"/>
              <w:rPr>
                <w:rFonts w:ascii="Arial" w:hAnsi="Arial" w:cs="Arial"/>
                <w:b w:val="0"/>
                <w:color w:val="FFFFFF"/>
              </w:rPr>
            </w:pPr>
            <w:r w:rsidRPr="00113364">
              <w:rPr>
                <w:rFonts w:ascii="Arial" w:hAnsi="Arial" w:cs="Arial"/>
                <w:color w:val="FFFFFF"/>
              </w:rPr>
              <w:t>Data Sources</w:t>
            </w:r>
          </w:p>
        </w:tc>
        <w:tc>
          <w:tcPr>
            <w:tcW w:w="3600" w:type="dxa"/>
            <w:tcBorders>
              <w:left w:val="single" w:sz="4" w:space="0" w:color="4472C4" w:themeColor="accent5"/>
              <w:right w:val="single" w:sz="4" w:space="0" w:color="4472C4" w:themeColor="accent5"/>
            </w:tcBorders>
            <w:shd w:val="clear" w:color="auto" w:fill="1F3864" w:themeFill="accent5" w:themeFillShade="80"/>
            <w:vAlign w:val="center"/>
          </w:tcPr>
          <w:p w14:paraId="1CBFF9A6"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Data Collection Method</w:t>
            </w:r>
          </w:p>
          <w:p w14:paraId="0BD91260" w14:textId="3A2C009E"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w:t>
            </w:r>
            <w:r w:rsidR="000B4594">
              <w:rPr>
                <w:rFonts w:ascii="Arial" w:hAnsi="Arial" w:cs="Arial"/>
                <w:color w:val="FFFFFF"/>
              </w:rPr>
              <w:t>ese</w:t>
            </w:r>
            <w:proofErr w:type="gramEnd"/>
            <w:r w:rsidR="000B4594">
              <w:rPr>
                <w:rFonts w:ascii="Arial" w:hAnsi="Arial" w:cs="Arial"/>
                <w:color w:val="FFFFFF"/>
              </w:rPr>
              <w:t xml:space="preserve"> </w:t>
            </w:r>
            <w:r w:rsidRPr="00113364">
              <w:rPr>
                <w:rFonts w:ascii="Arial" w:hAnsi="Arial" w:cs="Arial"/>
                <w:color w:val="FFFFFF"/>
              </w:rPr>
              <w:t>data.</w:t>
            </w:r>
          </w:p>
        </w:tc>
        <w:tc>
          <w:tcPr>
            <w:tcW w:w="5148" w:type="dxa"/>
            <w:tcBorders>
              <w:left w:val="single" w:sz="4" w:space="0" w:color="4472C4" w:themeColor="accent5"/>
            </w:tcBorders>
            <w:shd w:val="clear" w:color="auto" w:fill="1F3864" w:themeFill="accent5" w:themeFillShade="80"/>
            <w:vAlign w:val="center"/>
          </w:tcPr>
          <w:p w14:paraId="21A2A1C7" w14:textId="17AA2E82" w:rsidR="000D1B33" w:rsidRPr="00113364" w:rsidRDefault="000D1B33" w:rsidP="00E53F38">
            <w:pPr>
              <w:jc w:val="center"/>
              <w:rPr>
                <w:rFonts w:ascii="Arial" w:hAnsi="Arial" w:cs="Arial"/>
                <w:b w:val="0"/>
                <w:color w:val="FFFFFF"/>
              </w:rPr>
            </w:pPr>
            <w:r w:rsidRPr="00113364">
              <w:rPr>
                <w:rFonts w:ascii="Arial" w:hAnsi="Arial" w:cs="Arial"/>
                <w:color w:val="FFFFFF"/>
              </w:rPr>
              <w:t>Indicators</w:t>
            </w:r>
          </w:p>
          <w:p w14:paraId="77250BE8"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142F53" w:rsidRPr="00113364" w14:paraId="431DC351"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2628" w:type="dxa"/>
          </w:tcPr>
          <w:p w14:paraId="2C78A136" w14:textId="0BB95DA0" w:rsidR="00B73A48" w:rsidRPr="00113364" w:rsidRDefault="00B73A48">
            <w:pPr>
              <w:pStyle w:val="ListParagraph"/>
              <w:numPr>
                <w:ilvl w:val="1"/>
                <w:numId w:val="34"/>
              </w:numPr>
              <w:ind w:left="340"/>
              <w:rPr>
                <w:rFonts w:ascii="Arial" w:eastAsia="Times New Roman" w:hAnsi="Arial" w:cs="Arial"/>
                <w:color w:val="222222"/>
              </w:rPr>
            </w:pPr>
            <w:r w:rsidRPr="00113364">
              <w:rPr>
                <w:rFonts w:ascii="Arial" w:eastAsia="Times New Roman" w:hAnsi="Arial" w:cs="Arial"/>
                <w:color w:val="000000"/>
              </w:rPr>
              <w:t xml:space="preserve">What is the annual change in participation in MEP </w:t>
            </w:r>
            <w:r w:rsidR="00823993" w:rsidRPr="00113364">
              <w:rPr>
                <w:rFonts w:ascii="Arial" w:eastAsia="Times New Roman" w:hAnsi="Arial" w:cs="Arial"/>
                <w:color w:val="000000"/>
              </w:rPr>
              <w:t>CTE workshops</w:t>
            </w:r>
            <w:r w:rsidRPr="00113364">
              <w:rPr>
                <w:rFonts w:ascii="Arial" w:eastAsia="Times New Roman" w:hAnsi="Arial" w:cs="Arial"/>
                <w:color w:val="000000"/>
              </w:rPr>
              <w:t xml:space="preserve"> for migratory OSY?</w:t>
            </w:r>
          </w:p>
        </w:tc>
        <w:tc>
          <w:tcPr>
            <w:tcW w:w="2160" w:type="dxa"/>
          </w:tcPr>
          <w:p w14:paraId="2ACD6A30" w14:textId="44C2061A" w:rsidR="00B73A48" w:rsidRPr="00113364" w:rsidRDefault="00823993">
            <w:pPr>
              <w:pStyle w:val="ListParagraph"/>
              <w:numPr>
                <w:ilvl w:val="0"/>
                <w:numId w:val="26"/>
              </w:numPr>
              <w:ind w:left="165" w:hanging="165"/>
              <w:rPr>
                <w:rFonts w:ascii="Arial" w:hAnsi="Arial" w:cs="Arial"/>
              </w:rPr>
            </w:pPr>
            <w:r w:rsidRPr="00113364">
              <w:rPr>
                <w:rFonts w:ascii="Arial" w:hAnsi="Arial" w:cs="Arial"/>
              </w:rPr>
              <w:t>MSIN INA Report and MPO Report</w:t>
            </w:r>
          </w:p>
        </w:tc>
        <w:tc>
          <w:tcPr>
            <w:tcW w:w="3600" w:type="dxa"/>
          </w:tcPr>
          <w:p w14:paraId="035BA12B" w14:textId="77777777" w:rsidR="00823993" w:rsidRPr="00113364" w:rsidRDefault="00823993">
            <w:pPr>
              <w:pStyle w:val="ListParagraph"/>
              <w:numPr>
                <w:ilvl w:val="0"/>
                <w:numId w:val="26"/>
              </w:numPr>
              <w:rPr>
                <w:rFonts w:ascii="Arial" w:hAnsi="Arial" w:cs="Arial"/>
              </w:rPr>
            </w:pPr>
            <w:r w:rsidRPr="00113364">
              <w:rPr>
                <w:rFonts w:ascii="Arial" w:hAnsi="Arial" w:cs="Arial"/>
              </w:rPr>
              <w:t>Subgrantees complete the INA to identify certain needs.</w:t>
            </w:r>
          </w:p>
          <w:p w14:paraId="5F6FAB2B" w14:textId="16F57FC0" w:rsidR="002A6C38" w:rsidRPr="00113364" w:rsidRDefault="00B73A48">
            <w:pPr>
              <w:pStyle w:val="ListParagraph"/>
              <w:numPr>
                <w:ilvl w:val="0"/>
                <w:numId w:val="26"/>
              </w:numPr>
              <w:rPr>
                <w:rFonts w:ascii="Arial" w:hAnsi="Arial" w:cs="Arial"/>
              </w:rPr>
            </w:pPr>
            <w:r w:rsidRPr="00113364">
              <w:rPr>
                <w:rFonts w:ascii="Arial" w:hAnsi="Arial" w:cs="Arial"/>
              </w:rPr>
              <w:t xml:space="preserve">Subgrantees enter </w:t>
            </w:r>
            <w:r w:rsidR="00C30893">
              <w:rPr>
                <w:rFonts w:ascii="Arial" w:hAnsi="Arial" w:cs="Arial"/>
              </w:rPr>
              <w:t>workshop</w:t>
            </w:r>
            <w:r w:rsidRPr="00113364">
              <w:rPr>
                <w:rFonts w:ascii="Arial" w:hAnsi="Arial" w:cs="Arial"/>
              </w:rPr>
              <w:t xml:space="preserve"> data into MSIN for each migratory </w:t>
            </w:r>
            <w:r w:rsidR="00C30893">
              <w:rPr>
                <w:rFonts w:ascii="Arial" w:hAnsi="Arial" w:cs="Arial"/>
              </w:rPr>
              <w:t>OSY</w:t>
            </w:r>
            <w:r w:rsidR="002A6C38" w:rsidRPr="00113364">
              <w:rPr>
                <w:rFonts w:ascii="Arial" w:hAnsi="Arial" w:cs="Arial"/>
              </w:rPr>
              <w:t>:</w:t>
            </w:r>
          </w:p>
        </w:tc>
        <w:tc>
          <w:tcPr>
            <w:tcW w:w="5148" w:type="dxa"/>
          </w:tcPr>
          <w:p w14:paraId="3CC7D477" w14:textId="77777777" w:rsidR="00B73A48" w:rsidRPr="00113364" w:rsidRDefault="00085638">
            <w:pPr>
              <w:pStyle w:val="ListParagraph"/>
              <w:numPr>
                <w:ilvl w:val="0"/>
                <w:numId w:val="26"/>
              </w:numPr>
              <w:ind w:left="165" w:hanging="165"/>
              <w:rPr>
                <w:rFonts w:ascii="Arial" w:hAnsi="Arial" w:cs="Arial"/>
              </w:rPr>
            </w:pPr>
            <w:r w:rsidRPr="00113364">
              <w:rPr>
                <w:rFonts w:ascii="Arial" w:hAnsi="Arial" w:cs="Arial"/>
              </w:rPr>
              <w:t xml:space="preserve">Number of </w:t>
            </w:r>
            <w:r w:rsidR="00823993" w:rsidRPr="00113364">
              <w:rPr>
                <w:rFonts w:ascii="Arial" w:hAnsi="Arial" w:cs="Arial"/>
              </w:rPr>
              <w:t>OSY with an identified need on the INA.</w:t>
            </w:r>
          </w:p>
          <w:p w14:paraId="5A066A02" w14:textId="6E0ECB50" w:rsidR="00823993" w:rsidRPr="00113364" w:rsidRDefault="00823993">
            <w:pPr>
              <w:pStyle w:val="ListParagraph"/>
              <w:numPr>
                <w:ilvl w:val="0"/>
                <w:numId w:val="26"/>
              </w:numPr>
              <w:ind w:left="165" w:hanging="165"/>
              <w:rPr>
                <w:rFonts w:ascii="Arial" w:hAnsi="Arial" w:cs="Arial"/>
              </w:rPr>
            </w:pPr>
            <w:r w:rsidRPr="00113364">
              <w:rPr>
                <w:rFonts w:ascii="Arial" w:hAnsi="Arial" w:cs="Arial"/>
              </w:rPr>
              <w:t>Of those with an identified need, what number participated in a service?</w:t>
            </w:r>
          </w:p>
        </w:tc>
      </w:tr>
      <w:tr w:rsidR="00823993" w:rsidRPr="00113364" w14:paraId="1813E728" w14:textId="77777777" w:rsidTr="00940787">
        <w:trPr>
          <w:cantSplit/>
        </w:trPr>
        <w:tc>
          <w:tcPr>
            <w:tcW w:w="2628" w:type="dxa"/>
          </w:tcPr>
          <w:p w14:paraId="00F1E87F" w14:textId="621AB553" w:rsidR="00823993" w:rsidRPr="00113364" w:rsidRDefault="00823993">
            <w:pPr>
              <w:pStyle w:val="ListParagraph"/>
              <w:numPr>
                <w:ilvl w:val="1"/>
                <w:numId w:val="34"/>
              </w:numPr>
              <w:ind w:left="340"/>
              <w:rPr>
                <w:rFonts w:ascii="Arial" w:eastAsia="Times New Roman" w:hAnsi="Arial" w:cs="Arial"/>
                <w:color w:val="000000"/>
              </w:rPr>
            </w:pPr>
            <w:r w:rsidRPr="00113364">
              <w:rPr>
                <w:rFonts w:ascii="Arial" w:eastAsia="Times New Roman" w:hAnsi="Arial" w:cs="Arial"/>
                <w:color w:val="000000"/>
              </w:rPr>
              <w:lastRenderedPageBreak/>
              <w:t>Did the OSY who indicated a need on the INA for CTE information receive those services?</w:t>
            </w:r>
          </w:p>
        </w:tc>
        <w:tc>
          <w:tcPr>
            <w:tcW w:w="2160" w:type="dxa"/>
          </w:tcPr>
          <w:p w14:paraId="5B71058F" w14:textId="60C2072E" w:rsidR="00823993" w:rsidRPr="00113364" w:rsidRDefault="00823993">
            <w:pPr>
              <w:pStyle w:val="ListParagraph"/>
              <w:numPr>
                <w:ilvl w:val="0"/>
                <w:numId w:val="26"/>
              </w:numPr>
              <w:ind w:left="165" w:hanging="165"/>
              <w:rPr>
                <w:rFonts w:ascii="Arial" w:hAnsi="Arial" w:cs="Arial"/>
              </w:rPr>
            </w:pPr>
            <w:r w:rsidRPr="00113364">
              <w:rPr>
                <w:rFonts w:ascii="Arial" w:hAnsi="Arial" w:cs="Arial"/>
              </w:rPr>
              <w:t>MSIN INA Report and MPO Report</w:t>
            </w:r>
          </w:p>
        </w:tc>
        <w:tc>
          <w:tcPr>
            <w:tcW w:w="3600" w:type="dxa"/>
          </w:tcPr>
          <w:p w14:paraId="19992EEA" w14:textId="77777777" w:rsidR="00C30893" w:rsidRDefault="00823993">
            <w:pPr>
              <w:pStyle w:val="ListParagraph"/>
              <w:numPr>
                <w:ilvl w:val="0"/>
                <w:numId w:val="26"/>
              </w:numPr>
              <w:rPr>
                <w:rFonts w:ascii="Arial" w:hAnsi="Arial" w:cs="Arial"/>
              </w:rPr>
            </w:pPr>
            <w:r w:rsidRPr="00113364">
              <w:rPr>
                <w:rFonts w:ascii="Arial" w:hAnsi="Arial" w:cs="Arial"/>
              </w:rPr>
              <w:t xml:space="preserve">MEP staff complete INAs to identify a need. </w:t>
            </w:r>
          </w:p>
          <w:p w14:paraId="19EF2C59" w14:textId="37DC4D95" w:rsidR="00823993" w:rsidRPr="00113364" w:rsidRDefault="00823993">
            <w:pPr>
              <w:pStyle w:val="ListParagraph"/>
              <w:numPr>
                <w:ilvl w:val="0"/>
                <w:numId w:val="26"/>
              </w:numPr>
              <w:rPr>
                <w:rFonts w:ascii="Arial" w:hAnsi="Arial" w:cs="Arial"/>
              </w:rPr>
            </w:pPr>
            <w:r w:rsidRPr="00113364">
              <w:rPr>
                <w:rFonts w:ascii="Arial" w:hAnsi="Arial" w:cs="Arial"/>
              </w:rPr>
              <w:t>MEP staff will input OSY participation in a CTE workshop</w:t>
            </w:r>
            <w:r w:rsidR="002F7061">
              <w:rPr>
                <w:rFonts w:ascii="Arial" w:hAnsi="Arial" w:cs="Arial"/>
              </w:rPr>
              <w:t xml:space="preserve"> into MSIN</w:t>
            </w:r>
            <w:r w:rsidRPr="00113364">
              <w:rPr>
                <w:rFonts w:ascii="Arial" w:hAnsi="Arial" w:cs="Arial"/>
              </w:rPr>
              <w:t>.</w:t>
            </w:r>
          </w:p>
        </w:tc>
        <w:tc>
          <w:tcPr>
            <w:tcW w:w="5148" w:type="dxa"/>
          </w:tcPr>
          <w:p w14:paraId="73F87AED" w14:textId="77777777" w:rsidR="00823993" w:rsidRPr="00113364" w:rsidRDefault="00823993">
            <w:pPr>
              <w:pStyle w:val="ListParagraph"/>
              <w:numPr>
                <w:ilvl w:val="0"/>
                <w:numId w:val="26"/>
              </w:numPr>
              <w:ind w:left="165" w:hanging="165"/>
              <w:rPr>
                <w:rFonts w:ascii="Arial" w:hAnsi="Arial" w:cs="Arial"/>
              </w:rPr>
            </w:pPr>
            <w:r w:rsidRPr="00113364">
              <w:rPr>
                <w:rFonts w:ascii="Arial" w:hAnsi="Arial" w:cs="Arial"/>
              </w:rPr>
              <w:t>Number of students with an identified need for CTE.</w:t>
            </w:r>
          </w:p>
          <w:p w14:paraId="078518C5" w14:textId="6F83661C" w:rsidR="00823993" w:rsidRPr="00113364" w:rsidRDefault="00823993">
            <w:pPr>
              <w:pStyle w:val="ListParagraph"/>
              <w:numPr>
                <w:ilvl w:val="0"/>
                <w:numId w:val="26"/>
              </w:numPr>
              <w:ind w:left="165" w:hanging="165"/>
              <w:rPr>
                <w:rFonts w:ascii="Arial" w:hAnsi="Arial" w:cs="Arial"/>
              </w:rPr>
            </w:pPr>
            <w:r w:rsidRPr="00113364">
              <w:rPr>
                <w:rFonts w:ascii="Arial" w:hAnsi="Arial" w:cs="Arial"/>
              </w:rPr>
              <w:t>Of those with an identified need, what number participated in a service?</w:t>
            </w:r>
          </w:p>
        </w:tc>
      </w:tr>
    </w:tbl>
    <w:p w14:paraId="0F29959C" w14:textId="47F167F9" w:rsidR="000D1B33" w:rsidRPr="00113364" w:rsidRDefault="000D1B33">
      <w:pPr>
        <w:numPr>
          <w:ilvl w:val="0"/>
          <w:numId w:val="34"/>
        </w:numPr>
        <w:spacing w:before="240"/>
        <w:ind w:left="360"/>
        <w:rPr>
          <w:rFonts w:ascii="Arial" w:eastAsia="Times New Roman" w:hAnsi="Arial" w:cs="Arial"/>
          <w:bCs/>
        </w:rPr>
      </w:pPr>
      <w:r w:rsidRPr="00113364">
        <w:rPr>
          <w:rFonts w:ascii="Arial" w:eastAsia="Times New Roman" w:hAnsi="Arial" w:cs="Arial"/>
          <w:b/>
          <w:bCs/>
        </w:rPr>
        <w:t>Out of School Youth:</w:t>
      </w:r>
      <w:r w:rsidRPr="00113364">
        <w:rPr>
          <w:rFonts w:ascii="Arial" w:eastAsia="Times New Roman" w:hAnsi="Arial" w:cs="Arial"/>
          <w:bCs/>
        </w:rPr>
        <w:t xml:space="preserve"> Is the number of OSY enrolling in (and completing) ESL or literacy classes increasing?</w:t>
      </w:r>
    </w:p>
    <w:p w14:paraId="495D46E8" w14:textId="5098EE44" w:rsidR="000D1B33" w:rsidRPr="00113364" w:rsidRDefault="000D1B33" w:rsidP="002D617D">
      <w:pPr>
        <w:rPr>
          <w:rFonts w:ascii="Arial" w:hAnsi="Arial" w:cs="Arial"/>
        </w:rPr>
      </w:pPr>
      <w:r w:rsidRPr="00113364">
        <w:rPr>
          <w:rFonts w:ascii="Arial" w:hAnsi="Arial" w:cs="Arial"/>
          <w:b/>
        </w:rPr>
        <w:t>Performance Target:</w:t>
      </w:r>
      <w:r w:rsidRPr="00113364">
        <w:rPr>
          <w:rFonts w:ascii="Arial" w:hAnsi="Arial" w:cs="Arial"/>
        </w:rPr>
        <w:t xml:space="preserve"> </w:t>
      </w:r>
      <w:bookmarkStart w:id="118" w:name="_Hlk95826109"/>
      <w:r w:rsidR="002D617D" w:rsidRPr="00113364">
        <w:rPr>
          <w:rFonts w:ascii="Arial" w:hAnsi="Arial" w:cs="Arial"/>
        </w:rPr>
        <w:t>By September 2031, 75 percent of OSY, who indicated a need on the INA, will complete an ESL, GED, or literacy class.</w:t>
      </w:r>
      <w:bookmarkEnd w:id="118"/>
    </w:p>
    <w:tbl>
      <w:tblPr>
        <w:tblStyle w:val="GridTable4-Accent1"/>
        <w:tblW w:w="13536" w:type="dxa"/>
        <w:tblLayout w:type="fixed"/>
        <w:tblLook w:val="0420" w:firstRow="1" w:lastRow="0" w:firstColumn="0" w:lastColumn="0" w:noHBand="0" w:noVBand="1"/>
        <w:tblDescription w:val="Out of School Youth Sub Questions"/>
      </w:tblPr>
      <w:tblGrid>
        <w:gridCol w:w="3078"/>
        <w:gridCol w:w="1980"/>
        <w:gridCol w:w="3600"/>
        <w:gridCol w:w="4878"/>
      </w:tblGrid>
      <w:tr w:rsidR="000D1B33" w:rsidRPr="00113364" w14:paraId="291A751B"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3078" w:type="dxa"/>
            <w:tcBorders>
              <w:right w:val="single" w:sz="4" w:space="0" w:color="4472C4" w:themeColor="accent5"/>
            </w:tcBorders>
            <w:shd w:val="clear" w:color="auto" w:fill="1F3864" w:themeFill="accent5" w:themeFillShade="80"/>
            <w:vAlign w:val="center"/>
          </w:tcPr>
          <w:p w14:paraId="1A7605D4"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Sub Questions</w:t>
            </w:r>
          </w:p>
          <w:p w14:paraId="3CCA5DCC"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980" w:type="dxa"/>
            <w:tcBorders>
              <w:left w:val="single" w:sz="4" w:space="0" w:color="4472C4" w:themeColor="accent5"/>
              <w:right w:val="single" w:sz="4" w:space="0" w:color="4472C4" w:themeColor="accent5"/>
            </w:tcBorders>
            <w:shd w:val="clear" w:color="auto" w:fill="1F3864" w:themeFill="accent5" w:themeFillShade="80"/>
            <w:vAlign w:val="center"/>
          </w:tcPr>
          <w:p w14:paraId="70765F2C" w14:textId="76C6FAE1" w:rsidR="000D1B33" w:rsidRPr="00113364" w:rsidRDefault="000D1B33" w:rsidP="00E53F38">
            <w:pPr>
              <w:jc w:val="center"/>
              <w:rPr>
                <w:rFonts w:ascii="Arial" w:hAnsi="Arial" w:cs="Arial"/>
                <w:b w:val="0"/>
                <w:color w:val="FFFFFF"/>
              </w:rPr>
            </w:pPr>
            <w:r w:rsidRPr="00113364">
              <w:rPr>
                <w:rFonts w:ascii="Arial" w:hAnsi="Arial" w:cs="Arial"/>
                <w:color w:val="FFFFFF"/>
              </w:rPr>
              <w:t>Data Sources</w:t>
            </w:r>
          </w:p>
        </w:tc>
        <w:tc>
          <w:tcPr>
            <w:tcW w:w="3600" w:type="dxa"/>
            <w:tcBorders>
              <w:left w:val="single" w:sz="4" w:space="0" w:color="4472C4" w:themeColor="accent5"/>
              <w:right w:val="single" w:sz="4" w:space="0" w:color="4472C4" w:themeColor="accent5"/>
            </w:tcBorders>
            <w:shd w:val="clear" w:color="auto" w:fill="1F3864" w:themeFill="accent5" w:themeFillShade="80"/>
            <w:vAlign w:val="center"/>
          </w:tcPr>
          <w:p w14:paraId="082E0204"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Data Collection Method</w:t>
            </w:r>
          </w:p>
          <w:p w14:paraId="680FFDA3"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these</w:t>
            </w:r>
            <w:proofErr w:type="gramEnd"/>
            <w:r w:rsidRPr="00113364">
              <w:rPr>
                <w:rFonts w:ascii="Arial" w:hAnsi="Arial" w:cs="Arial"/>
                <w:color w:val="FFFFFF"/>
              </w:rPr>
              <w:t xml:space="preserve"> data.</w:t>
            </w:r>
          </w:p>
        </w:tc>
        <w:tc>
          <w:tcPr>
            <w:tcW w:w="4878" w:type="dxa"/>
            <w:tcBorders>
              <w:left w:val="single" w:sz="4" w:space="0" w:color="4472C4" w:themeColor="accent5"/>
            </w:tcBorders>
            <w:shd w:val="clear" w:color="auto" w:fill="1F3864" w:themeFill="accent5" w:themeFillShade="80"/>
            <w:vAlign w:val="center"/>
          </w:tcPr>
          <w:p w14:paraId="48823A2B" w14:textId="4A9378C8" w:rsidR="000D1B33" w:rsidRPr="00113364" w:rsidRDefault="000D1B33" w:rsidP="00E53F38">
            <w:pPr>
              <w:jc w:val="center"/>
              <w:rPr>
                <w:rFonts w:ascii="Arial" w:hAnsi="Arial" w:cs="Arial"/>
                <w:b w:val="0"/>
                <w:color w:val="FFFFFF"/>
              </w:rPr>
            </w:pPr>
            <w:r w:rsidRPr="00113364">
              <w:rPr>
                <w:rFonts w:ascii="Arial" w:hAnsi="Arial" w:cs="Arial"/>
                <w:color w:val="FFFFFF"/>
              </w:rPr>
              <w:t>Indicators</w:t>
            </w:r>
          </w:p>
          <w:p w14:paraId="46FE694C"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142F53" w:rsidRPr="00113364" w14:paraId="3043751B"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3078" w:type="dxa"/>
          </w:tcPr>
          <w:p w14:paraId="770B673E" w14:textId="1845B1C8" w:rsidR="007B0584" w:rsidRPr="00113364" w:rsidRDefault="003B1E63">
            <w:pPr>
              <w:pStyle w:val="ListParagraph"/>
              <w:numPr>
                <w:ilvl w:val="1"/>
                <w:numId w:val="34"/>
              </w:numPr>
              <w:ind w:left="520" w:hanging="540"/>
              <w:rPr>
                <w:rFonts w:ascii="Arial" w:eastAsia="Times New Roman" w:hAnsi="Arial" w:cs="Arial"/>
                <w:color w:val="000000"/>
              </w:rPr>
            </w:pPr>
            <w:r w:rsidRPr="00113364">
              <w:rPr>
                <w:rFonts w:ascii="Arial" w:eastAsia="Times New Roman" w:hAnsi="Arial" w:cs="Arial"/>
                <w:color w:val="000000"/>
              </w:rPr>
              <w:t>What is the annual change in participation in MEP EL</w:t>
            </w:r>
            <w:r w:rsidR="00740CB9" w:rsidRPr="00113364">
              <w:rPr>
                <w:rFonts w:ascii="Arial" w:eastAsia="Times New Roman" w:hAnsi="Arial" w:cs="Arial"/>
                <w:color w:val="000000"/>
              </w:rPr>
              <w:t>A</w:t>
            </w:r>
            <w:r w:rsidR="00FA5394" w:rsidRPr="00113364">
              <w:rPr>
                <w:rFonts w:ascii="Arial" w:eastAsia="Times New Roman" w:hAnsi="Arial" w:cs="Arial"/>
                <w:color w:val="000000"/>
              </w:rPr>
              <w:t>, ELD, or ESL</w:t>
            </w:r>
            <w:r w:rsidRPr="00113364">
              <w:rPr>
                <w:rFonts w:ascii="Arial" w:eastAsia="Times New Roman" w:hAnsi="Arial" w:cs="Arial"/>
                <w:color w:val="000000"/>
              </w:rPr>
              <w:t xml:space="preserve"> classes for migratory OSY?</w:t>
            </w:r>
          </w:p>
        </w:tc>
        <w:tc>
          <w:tcPr>
            <w:tcW w:w="1980" w:type="dxa"/>
          </w:tcPr>
          <w:p w14:paraId="0B84BEF2" w14:textId="240E0760" w:rsidR="003B1E63" w:rsidRPr="00113364" w:rsidRDefault="00823993">
            <w:pPr>
              <w:pStyle w:val="ListParagraph"/>
              <w:numPr>
                <w:ilvl w:val="0"/>
                <w:numId w:val="26"/>
              </w:numPr>
              <w:ind w:left="165" w:hanging="165"/>
              <w:rPr>
                <w:rFonts w:ascii="Arial" w:hAnsi="Arial" w:cs="Arial"/>
              </w:rPr>
            </w:pPr>
            <w:r w:rsidRPr="00113364">
              <w:rPr>
                <w:rFonts w:ascii="Arial" w:hAnsi="Arial" w:cs="Arial"/>
              </w:rPr>
              <w:t>MSIN INA and MPO Report</w:t>
            </w:r>
          </w:p>
        </w:tc>
        <w:tc>
          <w:tcPr>
            <w:tcW w:w="3600" w:type="dxa"/>
          </w:tcPr>
          <w:p w14:paraId="7E9E027B" w14:textId="4ABA6327" w:rsidR="003B1E63" w:rsidRPr="00113364" w:rsidRDefault="003B1E63">
            <w:pPr>
              <w:pStyle w:val="ListParagraph"/>
              <w:numPr>
                <w:ilvl w:val="0"/>
                <w:numId w:val="26"/>
              </w:numPr>
              <w:ind w:left="165" w:hanging="165"/>
              <w:rPr>
                <w:rFonts w:ascii="Arial" w:hAnsi="Arial" w:cs="Arial"/>
              </w:rPr>
            </w:pPr>
            <w:r w:rsidRPr="00113364">
              <w:rPr>
                <w:rFonts w:ascii="Arial" w:hAnsi="Arial" w:cs="Arial"/>
              </w:rPr>
              <w:t xml:space="preserve">Subgrantees enter </w:t>
            </w:r>
            <w:r w:rsidR="00007ABB" w:rsidRPr="00113364">
              <w:rPr>
                <w:rFonts w:ascii="Arial" w:hAnsi="Arial" w:cs="Arial"/>
              </w:rPr>
              <w:t>service</w:t>
            </w:r>
            <w:r w:rsidR="00C01B6E" w:rsidRPr="00113364">
              <w:rPr>
                <w:rFonts w:ascii="Arial" w:hAnsi="Arial" w:cs="Arial"/>
              </w:rPr>
              <w:t xml:space="preserve"> data into MSIN for each migratory </w:t>
            </w:r>
            <w:r w:rsidR="00C30893">
              <w:rPr>
                <w:rFonts w:ascii="Arial" w:hAnsi="Arial" w:cs="Arial"/>
              </w:rPr>
              <w:t xml:space="preserve">OSY who participated in </w:t>
            </w:r>
            <w:r w:rsidR="00F458B4">
              <w:rPr>
                <w:rFonts w:ascii="Arial" w:hAnsi="Arial" w:cs="Arial"/>
              </w:rPr>
              <w:t>English services</w:t>
            </w:r>
            <w:r w:rsidR="003869EE">
              <w:rPr>
                <w:rFonts w:ascii="Arial" w:hAnsi="Arial" w:cs="Arial"/>
              </w:rPr>
              <w:t>.</w:t>
            </w:r>
          </w:p>
        </w:tc>
        <w:tc>
          <w:tcPr>
            <w:tcW w:w="4878" w:type="dxa"/>
          </w:tcPr>
          <w:p w14:paraId="3DE05783" w14:textId="69707D2F" w:rsidR="00823993" w:rsidRPr="00113364" w:rsidRDefault="00823993">
            <w:pPr>
              <w:pStyle w:val="ListParagraph"/>
              <w:numPr>
                <w:ilvl w:val="0"/>
                <w:numId w:val="26"/>
              </w:numPr>
              <w:ind w:left="165" w:hanging="165"/>
              <w:rPr>
                <w:rFonts w:ascii="Arial" w:hAnsi="Arial" w:cs="Arial"/>
              </w:rPr>
            </w:pPr>
            <w:r w:rsidRPr="00113364">
              <w:rPr>
                <w:rFonts w:ascii="Arial" w:hAnsi="Arial" w:cs="Arial"/>
              </w:rPr>
              <w:t>Number of OSY with an identified need in ELA</w:t>
            </w:r>
            <w:r w:rsidR="00537BCF" w:rsidRPr="00113364">
              <w:rPr>
                <w:rFonts w:ascii="Arial" w:hAnsi="Arial" w:cs="Arial"/>
              </w:rPr>
              <w:t>, ELD, or ESL</w:t>
            </w:r>
          </w:p>
          <w:p w14:paraId="55FD425C" w14:textId="703D2141" w:rsidR="003B1E63" w:rsidRPr="00113364" w:rsidRDefault="007E7CC8">
            <w:pPr>
              <w:pStyle w:val="ListParagraph"/>
              <w:numPr>
                <w:ilvl w:val="0"/>
                <w:numId w:val="26"/>
              </w:numPr>
              <w:ind w:left="165" w:hanging="165"/>
              <w:rPr>
                <w:rFonts w:ascii="Arial" w:hAnsi="Arial" w:cs="Arial"/>
              </w:rPr>
            </w:pPr>
            <w:r w:rsidRPr="00113364">
              <w:rPr>
                <w:rFonts w:ascii="Arial" w:hAnsi="Arial" w:cs="Arial"/>
              </w:rPr>
              <w:t xml:space="preserve">Number of </w:t>
            </w:r>
            <w:r w:rsidR="00C93696" w:rsidRPr="00113364">
              <w:rPr>
                <w:rFonts w:ascii="Arial" w:hAnsi="Arial" w:cs="Arial"/>
              </w:rPr>
              <w:t>OSY</w:t>
            </w:r>
            <w:r w:rsidR="00823993" w:rsidRPr="00113364">
              <w:rPr>
                <w:rFonts w:ascii="Arial" w:hAnsi="Arial" w:cs="Arial"/>
              </w:rPr>
              <w:t xml:space="preserve"> with an identified need</w:t>
            </w:r>
            <w:r w:rsidR="00C93696" w:rsidRPr="00113364">
              <w:rPr>
                <w:rFonts w:ascii="Arial" w:hAnsi="Arial" w:cs="Arial"/>
              </w:rPr>
              <w:t xml:space="preserve"> who </w:t>
            </w:r>
            <w:r w:rsidR="00537BCF" w:rsidRPr="00113364">
              <w:rPr>
                <w:rFonts w:ascii="Arial" w:hAnsi="Arial" w:cs="Arial"/>
              </w:rPr>
              <w:t>participated in</w:t>
            </w:r>
            <w:r w:rsidR="00C93696" w:rsidRPr="00113364">
              <w:rPr>
                <w:rFonts w:ascii="Arial" w:hAnsi="Arial" w:cs="Arial"/>
              </w:rPr>
              <w:t xml:space="preserve"> an EL</w:t>
            </w:r>
            <w:r w:rsidR="00740CB9" w:rsidRPr="00113364">
              <w:rPr>
                <w:rFonts w:ascii="Arial" w:hAnsi="Arial" w:cs="Arial"/>
              </w:rPr>
              <w:t>A</w:t>
            </w:r>
            <w:r w:rsidR="00C93696" w:rsidRPr="00113364">
              <w:rPr>
                <w:rFonts w:ascii="Arial" w:hAnsi="Arial" w:cs="Arial"/>
              </w:rPr>
              <w:t xml:space="preserve"> service</w:t>
            </w:r>
          </w:p>
          <w:p w14:paraId="0ED22E36" w14:textId="318D3386" w:rsidR="00823993" w:rsidRPr="00113364" w:rsidRDefault="00537BCF">
            <w:pPr>
              <w:pStyle w:val="ListParagraph"/>
              <w:numPr>
                <w:ilvl w:val="0"/>
                <w:numId w:val="68"/>
              </w:numPr>
              <w:rPr>
                <w:rFonts w:ascii="Arial" w:hAnsi="Arial" w:cs="Arial"/>
              </w:rPr>
            </w:pPr>
            <w:r w:rsidRPr="00113364">
              <w:rPr>
                <w:rFonts w:ascii="Arial" w:hAnsi="Arial" w:cs="Arial"/>
              </w:rPr>
              <w:t>Course participation tracked via the MPO Report</w:t>
            </w:r>
          </w:p>
        </w:tc>
      </w:tr>
      <w:tr w:rsidR="00537BCF" w:rsidRPr="00113364" w14:paraId="3DDE9389" w14:textId="77777777" w:rsidTr="00EB4984">
        <w:trPr>
          <w:cantSplit/>
        </w:trPr>
        <w:tc>
          <w:tcPr>
            <w:tcW w:w="3078" w:type="dxa"/>
          </w:tcPr>
          <w:p w14:paraId="5AA79008" w14:textId="1ABB90A4" w:rsidR="00537BCF" w:rsidRPr="00113364" w:rsidRDefault="00537BCF">
            <w:pPr>
              <w:pStyle w:val="ListParagraph"/>
              <w:numPr>
                <w:ilvl w:val="1"/>
                <w:numId w:val="34"/>
              </w:numPr>
              <w:ind w:left="533" w:hanging="533"/>
              <w:rPr>
                <w:rFonts w:ascii="Arial" w:eastAsia="Times New Roman" w:hAnsi="Arial" w:cs="Arial"/>
                <w:color w:val="000000"/>
              </w:rPr>
            </w:pPr>
            <w:r w:rsidRPr="00113364">
              <w:rPr>
                <w:rFonts w:ascii="Arial" w:eastAsia="Times New Roman" w:hAnsi="Arial" w:cs="Arial"/>
                <w:color w:val="000000"/>
              </w:rPr>
              <w:t>What is the annual change in ELA, ELD, or ESL referrals offered to OSY?</w:t>
            </w:r>
          </w:p>
        </w:tc>
        <w:tc>
          <w:tcPr>
            <w:tcW w:w="1980" w:type="dxa"/>
          </w:tcPr>
          <w:p w14:paraId="694D5CD1" w14:textId="6B4D3AAB"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MSIN INA and Service Report</w:t>
            </w:r>
          </w:p>
        </w:tc>
        <w:tc>
          <w:tcPr>
            <w:tcW w:w="3600" w:type="dxa"/>
          </w:tcPr>
          <w:p w14:paraId="57EEBCEE" w14:textId="75D3E0C9"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 xml:space="preserve">Subgrantees enter service data into MSIN for each migratory </w:t>
            </w:r>
            <w:r w:rsidR="00C30893">
              <w:rPr>
                <w:rFonts w:ascii="Arial" w:hAnsi="Arial" w:cs="Arial"/>
              </w:rPr>
              <w:t>OSY</w:t>
            </w:r>
            <w:r w:rsidR="00F458B4">
              <w:rPr>
                <w:rFonts w:ascii="Arial" w:hAnsi="Arial" w:cs="Arial"/>
              </w:rPr>
              <w:t xml:space="preserve"> referral</w:t>
            </w:r>
            <w:r w:rsidR="003869EE">
              <w:rPr>
                <w:rFonts w:ascii="Arial" w:hAnsi="Arial" w:cs="Arial"/>
              </w:rPr>
              <w:t>.</w:t>
            </w:r>
          </w:p>
        </w:tc>
        <w:tc>
          <w:tcPr>
            <w:tcW w:w="4878" w:type="dxa"/>
          </w:tcPr>
          <w:p w14:paraId="2B7B2098" w14:textId="2466EE1A"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Number of OSY with an identified need in ELA, ELD, or ESL</w:t>
            </w:r>
          </w:p>
          <w:p w14:paraId="7CD2CBBA" w14:textId="105183C2"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 xml:space="preserve">Number of English literacy referrals given to migratory </w:t>
            </w:r>
            <w:r w:rsidR="00C30893">
              <w:rPr>
                <w:rFonts w:ascii="Arial" w:hAnsi="Arial" w:cs="Arial"/>
              </w:rPr>
              <w:t>OSY</w:t>
            </w:r>
            <w:r w:rsidRPr="00113364">
              <w:rPr>
                <w:rFonts w:ascii="Arial" w:hAnsi="Arial" w:cs="Arial"/>
              </w:rPr>
              <w:t>s annually</w:t>
            </w:r>
          </w:p>
        </w:tc>
      </w:tr>
      <w:tr w:rsidR="00142F53" w:rsidRPr="00113364" w14:paraId="56089486"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3078" w:type="dxa"/>
          </w:tcPr>
          <w:p w14:paraId="7FD0EAD1" w14:textId="4C653CE6" w:rsidR="007B0584" w:rsidRPr="00113364" w:rsidRDefault="00B73A48">
            <w:pPr>
              <w:pStyle w:val="ListParagraph"/>
              <w:numPr>
                <w:ilvl w:val="1"/>
                <w:numId w:val="34"/>
              </w:numPr>
              <w:ind w:left="520" w:hanging="540"/>
              <w:rPr>
                <w:rFonts w:ascii="Arial" w:eastAsia="Times New Roman" w:hAnsi="Arial" w:cs="Arial"/>
                <w:color w:val="000000"/>
              </w:rPr>
            </w:pPr>
            <w:r w:rsidRPr="00113364">
              <w:rPr>
                <w:rFonts w:ascii="Arial" w:eastAsia="Times New Roman" w:hAnsi="Arial" w:cs="Arial"/>
                <w:color w:val="000000"/>
              </w:rPr>
              <w:lastRenderedPageBreak/>
              <w:t xml:space="preserve">What is the annual change in </w:t>
            </w:r>
            <w:r w:rsidR="005C68CD" w:rsidRPr="00113364">
              <w:rPr>
                <w:rFonts w:ascii="Arial" w:eastAsia="Times New Roman" w:hAnsi="Arial" w:cs="Arial"/>
                <w:color w:val="000000"/>
              </w:rPr>
              <w:t>GED</w:t>
            </w:r>
            <w:r w:rsidR="003B1E63" w:rsidRPr="00113364">
              <w:rPr>
                <w:rFonts w:ascii="Arial" w:eastAsia="Times New Roman" w:hAnsi="Arial" w:cs="Arial"/>
                <w:color w:val="000000"/>
              </w:rPr>
              <w:t xml:space="preserve"> class </w:t>
            </w:r>
            <w:r w:rsidR="00537BCF" w:rsidRPr="00113364">
              <w:rPr>
                <w:rFonts w:ascii="Arial" w:eastAsia="Times New Roman" w:hAnsi="Arial" w:cs="Arial"/>
                <w:color w:val="000000"/>
              </w:rPr>
              <w:t>participation</w:t>
            </w:r>
            <w:r w:rsidR="003B1E63" w:rsidRPr="00113364">
              <w:rPr>
                <w:rFonts w:ascii="Arial" w:eastAsia="Times New Roman" w:hAnsi="Arial" w:cs="Arial"/>
                <w:color w:val="000000"/>
              </w:rPr>
              <w:t xml:space="preserve"> for</w:t>
            </w:r>
            <w:r w:rsidRPr="00113364">
              <w:rPr>
                <w:rFonts w:ascii="Arial" w:eastAsia="Times New Roman" w:hAnsi="Arial" w:cs="Arial"/>
                <w:color w:val="000000"/>
              </w:rPr>
              <w:t xml:space="preserve"> migratory OSY?</w:t>
            </w:r>
          </w:p>
        </w:tc>
        <w:tc>
          <w:tcPr>
            <w:tcW w:w="1980" w:type="dxa"/>
          </w:tcPr>
          <w:p w14:paraId="0CCD6271" w14:textId="5CACA2E1" w:rsidR="00B73A48" w:rsidRPr="00113364" w:rsidRDefault="00823993">
            <w:pPr>
              <w:pStyle w:val="ListParagraph"/>
              <w:numPr>
                <w:ilvl w:val="0"/>
                <w:numId w:val="26"/>
              </w:numPr>
              <w:ind w:left="165" w:hanging="165"/>
              <w:rPr>
                <w:rFonts w:ascii="Arial" w:hAnsi="Arial" w:cs="Arial"/>
              </w:rPr>
            </w:pPr>
            <w:r w:rsidRPr="00113364">
              <w:rPr>
                <w:rFonts w:ascii="Arial" w:hAnsi="Arial" w:cs="Arial"/>
              </w:rPr>
              <w:t>MSIN INA and MPO Report</w:t>
            </w:r>
          </w:p>
        </w:tc>
        <w:tc>
          <w:tcPr>
            <w:tcW w:w="3600" w:type="dxa"/>
          </w:tcPr>
          <w:p w14:paraId="3E464F1C" w14:textId="7E751550" w:rsidR="00B73A48" w:rsidRPr="00113364" w:rsidRDefault="00B73A48">
            <w:pPr>
              <w:pStyle w:val="ListParagraph"/>
              <w:numPr>
                <w:ilvl w:val="0"/>
                <w:numId w:val="26"/>
              </w:numPr>
              <w:ind w:left="165" w:hanging="165"/>
              <w:rPr>
                <w:rFonts w:ascii="Arial" w:hAnsi="Arial" w:cs="Arial"/>
              </w:rPr>
            </w:pPr>
            <w:r w:rsidRPr="00113364">
              <w:rPr>
                <w:rFonts w:ascii="Arial" w:hAnsi="Arial" w:cs="Arial"/>
              </w:rPr>
              <w:t xml:space="preserve">Subgrantees enter </w:t>
            </w:r>
            <w:r w:rsidR="00007ABB" w:rsidRPr="00113364">
              <w:rPr>
                <w:rFonts w:ascii="Arial" w:hAnsi="Arial" w:cs="Arial"/>
              </w:rPr>
              <w:t>service</w:t>
            </w:r>
            <w:r w:rsidR="00C93696" w:rsidRPr="00113364">
              <w:rPr>
                <w:rFonts w:ascii="Arial" w:hAnsi="Arial" w:cs="Arial"/>
              </w:rPr>
              <w:t xml:space="preserve"> data into MSIN for each </w:t>
            </w:r>
            <w:r w:rsidR="00C01B6E" w:rsidRPr="00113364">
              <w:rPr>
                <w:rFonts w:ascii="Arial" w:hAnsi="Arial" w:cs="Arial"/>
              </w:rPr>
              <w:t>migratory student</w:t>
            </w:r>
            <w:r w:rsidR="00F458B4">
              <w:rPr>
                <w:rFonts w:ascii="Arial" w:hAnsi="Arial" w:cs="Arial"/>
              </w:rPr>
              <w:t xml:space="preserve"> who participated in GED services</w:t>
            </w:r>
          </w:p>
        </w:tc>
        <w:tc>
          <w:tcPr>
            <w:tcW w:w="4878" w:type="dxa"/>
          </w:tcPr>
          <w:p w14:paraId="2A55B8A5" w14:textId="14C62B23" w:rsidR="003B1E63" w:rsidRPr="00113364" w:rsidRDefault="007E7CC8">
            <w:pPr>
              <w:pStyle w:val="ListParagraph"/>
              <w:numPr>
                <w:ilvl w:val="0"/>
                <w:numId w:val="26"/>
              </w:numPr>
              <w:ind w:left="165" w:hanging="165"/>
              <w:rPr>
                <w:rFonts w:ascii="Arial" w:hAnsi="Arial" w:cs="Arial"/>
              </w:rPr>
            </w:pPr>
            <w:r w:rsidRPr="00113364">
              <w:rPr>
                <w:rFonts w:ascii="Arial" w:hAnsi="Arial" w:cs="Arial"/>
              </w:rPr>
              <w:t xml:space="preserve">Number of OSY who </w:t>
            </w:r>
            <w:r w:rsidR="00537BCF" w:rsidRPr="00113364">
              <w:rPr>
                <w:rFonts w:ascii="Arial" w:hAnsi="Arial" w:cs="Arial"/>
              </w:rPr>
              <w:t>participated in</w:t>
            </w:r>
            <w:r w:rsidR="005C68CD" w:rsidRPr="00113364">
              <w:rPr>
                <w:rFonts w:ascii="Arial" w:hAnsi="Arial" w:cs="Arial"/>
              </w:rPr>
              <w:t xml:space="preserve"> a GED or </w:t>
            </w:r>
            <w:r w:rsidR="00C93696" w:rsidRPr="00113364">
              <w:rPr>
                <w:rFonts w:ascii="Arial" w:hAnsi="Arial" w:cs="Arial"/>
              </w:rPr>
              <w:t>high school equivalency program</w:t>
            </w:r>
          </w:p>
          <w:p w14:paraId="359952C1" w14:textId="2D3F8C9E" w:rsidR="00B73A48" w:rsidRPr="00113364" w:rsidRDefault="000909E8">
            <w:pPr>
              <w:pStyle w:val="ListParagraph"/>
              <w:numPr>
                <w:ilvl w:val="0"/>
                <w:numId w:val="29"/>
              </w:numPr>
              <w:rPr>
                <w:rFonts w:ascii="Arial" w:hAnsi="Arial" w:cs="Arial"/>
              </w:rPr>
            </w:pPr>
            <w:r w:rsidRPr="00113364">
              <w:rPr>
                <w:rFonts w:ascii="Arial" w:hAnsi="Arial" w:cs="Arial"/>
              </w:rPr>
              <w:t>Course</w:t>
            </w:r>
            <w:r w:rsidR="00537BCF" w:rsidRPr="00113364">
              <w:rPr>
                <w:rFonts w:ascii="Arial" w:hAnsi="Arial" w:cs="Arial"/>
              </w:rPr>
              <w:t xml:space="preserve"> participation</w:t>
            </w:r>
            <w:r w:rsidRPr="00113364">
              <w:rPr>
                <w:rFonts w:ascii="Arial" w:hAnsi="Arial" w:cs="Arial"/>
              </w:rPr>
              <w:t xml:space="preserve"> tracked via the </w:t>
            </w:r>
            <w:r w:rsidR="00823993" w:rsidRPr="00113364">
              <w:rPr>
                <w:rFonts w:ascii="Arial" w:hAnsi="Arial" w:cs="Arial"/>
              </w:rPr>
              <w:t>MPO Report</w:t>
            </w:r>
          </w:p>
        </w:tc>
      </w:tr>
      <w:tr w:rsidR="00537BCF" w:rsidRPr="00113364" w14:paraId="5EE109A1" w14:textId="77777777" w:rsidTr="00EB4984">
        <w:trPr>
          <w:cantSplit/>
        </w:trPr>
        <w:tc>
          <w:tcPr>
            <w:tcW w:w="3078" w:type="dxa"/>
          </w:tcPr>
          <w:p w14:paraId="2F1A5B6D" w14:textId="5FCB63DA" w:rsidR="00537BCF" w:rsidRPr="00113364" w:rsidRDefault="00537BCF">
            <w:pPr>
              <w:pStyle w:val="ListParagraph"/>
              <w:numPr>
                <w:ilvl w:val="1"/>
                <w:numId w:val="34"/>
              </w:numPr>
              <w:ind w:left="533" w:hanging="533"/>
              <w:rPr>
                <w:rFonts w:ascii="Arial" w:eastAsia="Times New Roman" w:hAnsi="Arial" w:cs="Arial"/>
                <w:color w:val="000000"/>
              </w:rPr>
            </w:pPr>
            <w:r w:rsidRPr="00113364">
              <w:rPr>
                <w:rFonts w:ascii="Arial" w:eastAsia="Times New Roman" w:hAnsi="Arial" w:cs="Arial"/>
                <w:color w:val="000000"/>
              </w:rPr>
              <w:t>What is the annual change in GED referrals offered to OSY?</w:t>
            </w:r>
          </w:p>
        </w:tc>
        <w:tc>
          <w:tcPr>
            <w:tcW w:w="1980" w:type="dxa"/>
          </w:tcPr>
          <w:p w14:paraId="21322590" w14:textId="754A51E7"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MSIN INA and Service Report</w:t>
            </w:r>
          </w:p>
        </w:tc>
        <w:tc>
          <w:tcPr>
            <w:tcW w:w="3600" w:type="dxa"/>
          </w:tcPr>
          <w:p w14:paraId="1BD7CB4C" w14:textId="44F0E86F"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Subgrantees enter mental health service data into MSIN for each migratory student</w:t>
            </w:r>
            <w:r w:rsidR="00F458B4">
              <w:rPr>
                <w:rFonts w:ascii="Arial" w:hAnsi="Arial" w:cs="Arial"/>
              </w:rPr>
              <w:t xml:space="preserve"> who received a referral to a GED service.</w:t>
            </w:r>
          </w:p>
        </w:tc>
        <w:tc>
          <w:tcPr>
            <w:tcW w:w="4878" w:type="dxa"/>
          </w:tcPr>
          <w:p w14:paraId="409EEF1D" w14:textId="0FF06D5D"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Number of OSY with an identified need in GED services</w:t>
            </w:r>
          </w:p>
          <w:p w14:paraId="2C47F079" w14:textId="27321167" w:rsidR="00537BCF" w:rsidRPr="00113364" w:rsidRDefault="00537BCF">
            <w:pPr>
              <w:pStyle w:val="ListParagraph"/>
              <w:numPr>
                <w:ilvl w:val="0"/>
                <w:numId w:val="26"/>
              </w:numPr>
              <w:ind w:left="165" w:hanging="165"/>
              <w:rPr>
                <w:rFonts w:ascii="Arial" w:hAnsi="Arial" w:cs="Arial"/>
              </w:rPr>
            </w:pPr>
            <w:r w:rsidRPr="00113364">
              <w:rPr>
                <w:rFonts w:ascii="Arial" w:hAnsi="Arial" w:cs="Arial"/>
              </w:rPr>
              <w:t>Number of referrals given to migratory students annually for GED services</w:t>
            </w:r>
          </w:p>
        </w:tc>
      </w:tr>
    </w:tbl>
    <w:p w14:paraId="2236AD6D" w14:textId="4F1EA44A" w:rsidR="000D1B33" w:rsidRPr="00113364" w:rsidRDefault="000D1B33">
      <w:pPr>
        <w:numPr>
          <w:ilvl w:val="0"/>
          <w:numId w:val="34"/>
        </w:numPr>
        <w:spacing w:before="240"/>
        <w:ind w:left="360"/>
        <w:rPr>
          <w:rFonts w:ascii="Arial" w:eastAsia="Times New Roman" w:hAnsi="Arial" w:cs="Arial"/>
          <w:b/>
          <w:bCs/>
        </w:rPr>
      </w:pPr>
      <w:r w:rsidRPr="00113364">
        <w:rPr>
          <w:rFonts w:ascii="Arial" w:eastAsia="Times New Roman" w:hAnsi="Arial" w:cs="Arial"/>
          <w:b/>
          <w:bCs/>
        </w:rPr>
        <w:t xml:space="preserve">Health: </w:t>
      </w:r>
      <w:r w:rsidRPr="00113364">
        <w:rPr>
          <w:rFonts w:ascii="Arial" w:eastAsia="Times New Roman" w:hAnsi="Arial" w:cs="Arial"/>
          <w:bCs/>
        </w:rPr>
        <w:t>Is the number of migratory students accessing mental health services increasing?</w:t>
      </w:r>
    </w:p>
    <w:p w14:paraId="26A7F2C9" w14:textId="7BD48547" w:rsidR="000D1B33" w:rsidRPr="00113364" w:rsidRDefault="000D1B33" w:rsidP="006A6171">
      <w:pPr>
        <w:ind w:left="360"/>
      </w:pPr>
      <w:r w:rsidRPr="00113364">
        <w:rPr>
          <w:rFonts w:ascii="Arial" w:hAnsi="Arial" w:cs="Arial"/>
          <w:b/>
        </w:rPr>
        <w:t>Performance Target</w:t>
      </w:r>
      <w:r w:rsidR="00537BCF" w:rsidRPr="00113364">
        <w:rPr>
          <w:rFonts w:ascii="Arial" w:hAnsi="Arial" w:cs="Arial"/>
        </w:rPr>
        <w:t xml:space="preserve">: </w:t>
      </w:r>
      <w:r w:rsidR="002D617D" w:rsidRPr="00113364">
        <w:rPr>
          <w:rFonts w:ascii="Arial" w:hAnsi="Arial" w:cs="Arial"/>
        </w:rPr>
        <w:t xml:space="preserve">By September 2031, </w:t>
      </w:r>
      <w:r w:rsidR="00C36BF6" w:rsidRPr="00113364">
        <w:rPr>
          <w:rFonts w:ascii="Arial" w:hAnsi="Arial" w:cs="Arial"/>
        </w:rPr>
        <w:t>78</w:t>
      </w:r>
      <w:r w:rsidR="002D617D" w:rsidRPr="00113364">
        <w:rPr>
          <w:rFonts w:ascii="Arial" w:hAnsi="Arial" w:cs="Arial"/>
        </w:rPr>
        <w:t xml:space="preserve"> percent of migratory students who want to improve their mental health as indicated on the INA will receive at least one health service or referral.</w:t>
      </w:r>
    </w:p>
    <w:tbl>
      <w:tblPr>
        <w:tblStyle w:val="GridTable4-Accent1"/>
        <w:tblW w:w="13536" w:type="dxa"/>
        <w:tblLayout w:type="fixed"/>
        <w:tblLook w:val="0420" w:firstRow="1" w:lastRow="0" w:firstColumn="0" w:lastColumn="0" w:noHBand="0" w:noVBand="1"/>
        <w:tblDescription w:val="Health Sub Questions"/>
      </w:tblPr>
      <w:tblGrid>
        <w:gridCol w:w="3078"/>
        <w:gridCol w:w="1980"/>
        <w:gridCol w:w="3600"/>
        <w:gridCol w:w="4878"/>
      </w:tblGrid>
      <w:tr w:rsidR="000D1B33" w:rsidRPr="00113364" w14:paraId="78DB1DF7"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3078" w:type="dxa"/>
            <w:tcBorders>
              <w:right w:val="single" w:sz="4" w:space="0" w:color="4472C4" w:themeColor="accent5"/>
            </w:tcBorders>
            <w:shd w:val="clear" w:color="auto" w:fill="1F3864" w:themeFill="accent5" w:themeFillShade="80"/>
            <w:vAlign w:val="center"/>
          </w:tcPr>
          <w:p w14:paraId="1419C7BD"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Sub Questions</w:t>
            </w:r>
          </w:p>
          <w:p w14:paraId="3C105269"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980" w:type="dxa"/>
            <w:tcBorders>
              <w:left w:val="single" w:sz="4" w:space="0" w:color="4472C4" w:themeColor="accent5"/>
              <w:right w:val="single" w:sz="4" w:space="0" w:color="4472C4" w:themeColor="accent5"/>
            </w:tcBorders>
            <w:shd w:val="clear" w:color="auto" w:fill="1F3864" w:themeFill="accent5" w:themeFillShade="80"/>
            <w:vAlign w:val="center"/>
          </w:tcPr>
          <w:p w14:paraId="15552080" w14:textId="168D71FE" w:rsidR="000D1B33" w:rsidRPr="00113364" w:rsidRDefault="000D1B33" w:rsidP="00E53F38">
            <w:pPr>
              <w:jc w:val="center"/>
              <w:rPr>
                <w:rFonts w:ascii="Arial" w:hAnsi="Arial" w:cs="Arial"/>
                <w:b w:val="0"/>
                <w:color w:val="FFFFFF"/>
              </w:rPr>
            </w:pPr>
            <w:r w:rsidRPr="00113364">
              <w:rPr>
                <w:rFonts w:ascii="Arial" w:hAnsi="Arial" w:cs="Arial"/>
                <w:color w:val="FFFFFF"/>
              </w:rPr>
              <w:t>Data Sources</w:t>
            </w:r>
          </w:p>
        </w:tc>
        <w:tc>
          <w:tcPr>
            <w:tcW w:w="3600" w:type="dxa"/>
            <w:tcBorders>
              <w:left w:val="single" w:sz="4" w:space="0" w:color="4472C4" w:themeColor="accent5"/>
              <w:right w:val="single" w:sz="4" w:space="0" w:color="4472C4" w:themeColor="accent5"/>
            </w:tcBorders>
            <w:shd w:val="clear" w:color="auto" w:fill="1F3864" w:themeFill="accent5" w:themeFillShade="80"/>
            <w:vAlign w:val="center"/>
          </w:tcPr>
          <w:p w14:paraId="7DCC7CBA"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Data Collection Method</w:t>
            </w:r>
          </w:p>
          <w:p w14:paraId="28D9EE8C"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these</w:t>
            </w:r>
            <w:proofErr w:type="gramEnd"/>
            <w:r w:rsidRPr="00113364">
              <w:rPr>
                <w:rFonts w:ascii="Arial" w:hAnsi="Arial" w:cs="Arial"/>
                <w:color w:val="FFFFFF"/>
              </w:rPr>
              <w:t xml:space="preserve"> data.</w:t>
            </w:r>
          </w:p>
        </w:tc>
        <w:tc>
          <w:tcPr>
            <w:tcW w:w="4878" w:type="dxa"/>
            <w:tcBorders>
              <w:left w:val="single" w:sz="4" w:space="0" w:color="4472C4" w:themeColor="accent5"/>
            </w:tcBorders>
            <w:shd w:val="clear" w:color="auto" w:fill="1F3864" w:themeFill="accent5" w:themeFillShade="80"/>
            <w:vAlign w:val="center"/>
          </w:tcPr>
          <w:p w14:paraId="4BA137D1" w14:textId="4B5ACEE0" w:rsidR="000D1B33" w:rsidRPr="00113364" w:rsidRDefault="000D1B33" w:rsidP="00E53F38">
            <w:pPr>
              <w:jc w:val="center"/>
              <w:rPr>
                <w:rFonts w:ascii="Arial" w:hAnsi="Arial" w:cs="Arial"/>
                <w:b w:val="0"/>
                <w:color w:val="FFFFFF"/>
              </w:rPr>
            </w:pPr>
            <w:r w:rsidRPr="00113364">
              <w:rPr>
                <w:rFonts w:ascii="Arial" w:hAnsi="Arial" w:cs="Arial"/>
                <w:color w:val="FFFFFF"/>
              </w:rPr>
              <w:t>Indicators</w:t>
            </w:r>
          </w:p>
          <w:p w14:paraId="02E7274B"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142F53" w:rsidRPr="00113364" w14:paraId="45D64D89"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3078" w:type="dxa"/>
          </w:tcPr>
          <w:p w14:paraId="09199601" w14:textId="079D122C" w:rsidR="007B0584" w:rsidRPr="00113364" w:rsidRDefault="00F1584A">
            <w:pPr>
              <w:pStyle w:val="ListParagraph"/>
              <w:numPr>
                <w:ilvl w:val="1"/>
                <w:numId w:val="34"/>
              </w:numPr>
              <w:ind w:left="520" w:hanging="540"/>
              <w:rPr>
                <w:rFonts w:ascii="Arial" w:eastAsia="Times New Roman" w:hAnsi="Arial" w:cs="Arial"/>
                <w:color w:val="000000"/>
              </w:rPr>
            </w:pPr>
            <w:r w:rsidRPr="00113364">
              <w:rPr>
                <w:rFonts w:ascii="Arial" w:eastAsia="Times New Roman" w:hAnsi="Arial" w:cs="Arial"/>
                <w:color w:val="000000"/>
              </w:rPr>
              <w:t>What is the annual change in men</w:t>
            </w:r>
            <w:r w:rsidR="00C93696" w:rsidRPr="00113364">
              <w:rPr>
                <w:rFonts w:ascii="Arial" w:eastAsia="Times New Roman" w:hAnsi="Arial" w:cs="Arial"/>
                <w:color w:val="000000"/>
              </w:rPr>
              <w:t>tal health</w:t>
            </w:r>
            <w:r w:rsidR="00C01B6E" w:rsidRPr="00113364">
              <w:rPr>
                <w:rFonts w:ascii="Arial" w:eastAsia="Times New Roman" w:hAnsi="Arial" w:cs="Arial"/>
                <w:color w:val="000000"/>
              </w:rPr>
              <w:t xml:space="preserve"> services offered to migratory s</w:t>
            </w:r>
            <w:r w:rsidR="00C93696" w:rsidRPr="00113364">
              <w:rPr>
                <w:rFonts w:ascii="Arial" w:eastAsia="Times New Roman" w:hAnsi="Arial" w:cs="Arial"/>
                <w:color w:val="000000"/>
              </w:rPr>
              <w:t>tudents</w:t>
            </w:r>
            <w:r w:rsidRPr="00113364">
              <w:rPr>
                <w:rFonts w:ascii="Arial" w:eastAsia="Times New Roman" w:hAnsi="Arial" w:cs="Arial"/>
                <w:color w:val="000000"/>
              </w:rPr>
              <w:t>?</w:t>
            </w:r>
          </w:p>
        </w:tc>
        <w:tc>
          <w:tcPr>
            <w:tcW w:w="1980" w:type="dxa"/>
          </w:tcPr>
          <w:p w14:paraId="359C65ED" w14:textId="78A82BFC" w:rsidR="00F1584A" w:rsidRPr="00113364" w:rsidRDefault="00537BCF">
            <w:pPr>
              <w:pStyle w:val="ListParagraph"/>
              <w:numPr>
                <w:ilvl w:val="0"/>
                <w:numId w:val="26"/>
              </w:numPr>
              <w:ind w:left="165" w:hanging="165"/>
              <w:rPr>
                <w:rFonts w:ascii="Arial" w:hAnsi="Arial" w:cs="Arial"/>
              </w:rPr>
            </w:pPr>
            <w:r w:rsidRPr="00113364">
              <w:rPr>
                <w:rFonts w:ascii="Arial" w:hAnsi="Arial" w:cs="Arial"/>
              </w:rPr>
              <w:t>MSIN INA and MPO Report</w:t>
            </w:r>
          </w:p>
        </w:tc>
        <w:tc>
          <w:tcPr>
            <w:tcW w:w="3600" w:type="dxa"/>
          </w:tcPr>
          <w:p w14:paraId="128E0321" w14:textId="2BFDC719" w:rsidR="00F1584A" w:rsidRPr="00F458B4" w:rsidRDefault="00F1584A" w:rsidP="00F458B4">
            <w:pPr>
              <w:pStyle w:val="ListParagraph"/>
              <w:numPr>
                <w:ilvl w:val="0"/>
                <w:numId w:val="26"/>
              </w:numPr>
              <w:ind w:left="165" w:hanging="165"/>
              <w:rPr>
                <w:rFonts w:ascii="Arial" w:hAnsi="Arial" w:cs="Arial"/>
              </w:rPr>
            </w:pPr>
            <w:r w:rsidRPr="00113364">
              <w:rPr>
                <w:rFonts w:ascii="Arial" w:hAnsi="Arial" w:cs="Arial"/>
              </w:rPr>
              <w:t xml:space="preserve">Subgrantees enter </w:t>
            </w:r>
            <w:r w:rsidR="00801A8B" w:rsidRPr="00113364">
              <w:rPr>
                <w:rFonts w:ascii="Arial" w:hAnsi="Arial" w:cs="Arial"/>
              </w:rPr>
              <w:t xml:space="preserve">mental </w:t>
            </w:r>
            <w:r w:rsidRPr="00113364">
              <w:rPr>
                <w:rFonts w:ascii="Arial" w:hAnsi="Arial" w:cs="Arial"/>
              </w:rPr>
              <w:t>health s</w:t>
            </w:r>
            <w:r w:rsidR="00C93696" w:rsidRPr="00113364">
              <w:rPr>
                <w:rFonts w:ascii="Arial" w:hAnsi="Arial" w:cs="Arial"/>
              </w:rPr>
              <w:t xml:space="preserve">ervice data into MSIN for each </w:t>
            </w:r>
            <w:r w:rsidR="00C01B6E" w:rsidRPr="00113364">
              <w:rPr>
                <w:rFonts w:ascii="Arial" w:hAnsi="Arial" w:cs="Arial"/>
              </w:rPr>
              <w:t>migratory student</w:t>
            </w:r>
            <w:r w:rsidR="00F458B4">
              <w:rPr>
                <w:rFonts w:ascii="Arial" w:hAnsi="Arial" w:cs="Arial"/>
              </w:rPr>
              <w:t xml:space="preserve"> who participated in mental health services.</w:t>
            </w:r>
          </w:p>
        </w:tc>
        <w:tc>
          <w:tcPr>
            <w:tcW w:w="4878" w:type="dxa"/>
          </w:tcPr>
          <w:p w14:paraId="6D1AD0EB" w14:textId="77777777" w:rsidR="00F1584A" w:rsidRPr="00113364" w:rsidRDefault="005C68CD">
            <w:pPr>
              <w:pStyle w:val="ListParagraph"/>
              <w:numPr>
                <w:ilvl w:val="0"/>
                <w:numId w:val="26"/>
              </w:numPr>
              <w:ind w:left="165" w:hanging="165"/>
              <w:rPr>
                <w:rFonts w:ascii="Arial" w:hAnsi="Arial" w:cs="Arial"/>
              </w:rPr>
            </w:pPr>
            <w:r w:rsidRPr="00113364">
              <w:rPr>
                <w:rFonts w:ascii="Arial" w:hAnsi="Arial" w:cs="Arial"/>
              </w:rPr>
              <w:t>Number of men</w:t>
            </w:r>
            <w:r w:rsidR="00C93696" w:rsidRPr="00113364">
              <w:rPr>
                <w:rFonts w:ascii="Arial" w:hAnsi="Arial" w:cs="Arial"/>
              </w:rPr>
              <w:t xml:space="preserve">tal health services offered to </w:t>
            </w:r>
            <w:r w:rsidR="00C01B6E" w:rsidRPr="00113364">
              <w:rPr>
                <w:rFonts w:ascii="Arial" w:hAnsi="Arial" w:cs="Arial"/>
              </w:rPr>
              <w:t xml:space="preserve">migratory students </w:t>
            </w:r>
            <w:r w:rsidR="00C93696" w:rsidRPr="00113364">
              <w:rPr>
                <w:rFonts w:ascii="Arial" w:hAnsi="Arial" w:cs="Arial"/>
              </w:rPr>
              <w:t>annually</w:t>
            </w:r>
          </w:p>
          <w:p w14:paraId="38CDAF99" w14:textId="77777777" w:rsidR="005C68CD" w:rsidRPr="00113364" w:rsidRDefault="00C93696">
            <w:pPr>
              <w:pStyle w:val="ListParagraph"/>
              <w:numPr>
                <w:ilvl w:val="0"/>
                <w:numId w:val="26"/>
              </w:numPr>
              <w:ind w:left="165" w:hanging="165"/>
              <w:rPr>
                <w:rFonts w:ascii="Arial" w:hAnsi="Arial" w:cs="Arial"/>
              </w:rPr>
            </w:pPr>
            <w:r w:rsidRPr="00113364">
              <w:rPr>
                <w:rFonts w:ascii="Arial" w:hAnsi="Arial" w:cs="Arial"/>
              </w:rPr>
              <w:t xml:space="preserve">Number of </w:t>
            </w:r>
            <w:r w:rsidR="00C01B6E" w:rsidRPr="00113364">
              <w:rPr>
                <w:rFonts w:ascii="Arial" w:hAnsi="Arial" w:cs="Arial"/>
              </w:rPr>
              <w:t xml:space="preserve">migratory students </w:t>
            </w:r>
            <w:r w:rsidR="005C68CD" w:rsidRPr="00113364">
              <w:rPr>
                <w:rFonts w:ascii="Arial" w:hAnsi="Arial" w:cs="Arial"/>
              </w:rPr>
              <w:t>who c</w:t>
            </w:r>
            <w:r w:rsidRPr="00113364">
              <w:rPr>
                <w:rFonts w:ascii="Arial" w:hAnsi="Arial" w:cs="Arial"/>
              </w:rPr>
              <w:t>omplete a mental health service</w:t>
            </w:r>
          </w:p>
        </w:tc>
      </w:tr>
      <w:tr w:rsidR="00142F53" w:rsidRPr="00113364" w14:paraId="2BE80715" w14:textId="77777777" w:rsidTr="00940787">
        <w:trPr>
          <w:cantSplit/>
        </w:trPr>
        <w:tc>
          <w:tcPr>
            <w:tcW w:w="3078" w:type="dxa"/>
          </w:tcPr>
          <w:p w14:paraId="49694926" w14:textId="77777777" w:rsidR="007B0584" w:rsidRPr="00113364" w:rsidRDefault="00F1584A">
            <w:pPr>
              <w:pStyle w:val="ListParagraph"/>
              <w:numPr>
                <w:ilvl w:val="1"/>
                <w:numId w:val="34"/>
              </w:numPr>
              <w:ind w:left="533" w:hanging="533"/>
              <w:rPr>
                <w:rFonts w:ascii="Arial" w:eastAsia="Times New Roman" w:hAnsi="Arial" w:cs="Arial"/>
                <w:color w:val="000000"/>
              </w:rPr>
            </w:pPr>
            <w:r w:rsidRPr="00113364">
              <w:rPr>
                <w:rFonts w:ascii="Arial" w:eastAsia="Times New Roman" w:hAnsi="Arial" w:cs="Arial"/>
                <w:color w:val="000000"/>
              </w:rPr>
              <w:lastRenderedPageBreak/>
              <w:t>What is the annual change in ment</w:t>
            </w:r>
            <w:r w:rsidR="00C01B6E" w:rsidRPr="00113364">
              <w:rPr>
                <w:rFonts w:ascii="Arial" w:eastAsia="Times New Roman" w:hAnsi="Arial" w:cs="Arial"/>
                <w:color w:val="000000"/>
              </w:rPr>
              <w:t>al health referrals offered to migratory s</w:t>
            </w:r>
            <w:r w:rsidR="00801A8B" w:rsidRPr="00113364">
              <w:rPr>
                <w:rFonts w:ascii="Arial" w:eastAsia="Times New Roman" w:hAnsi="Arial" w:cs="Arial"/>
                <w:color w:val="000000"/>
              </w:rPr>
              <w:t>tudents</w:t>
            </w:r>
            <w:r w:rsidRPr="00113364">
              <w:rPr>
                <w:rFonts w:ascii="Arial" w:eastAsia="Times New Roman" w:hAnsi="Arial" w:cs="Arial"/>
                <w:color w:val="000000"/>
              </w:rPr>
              <w:t>?</w:t>
            </w:r>
          </w:p>
        </w:tc>
        <w:tc>
          <w:tcPr>
            <w:tcW w:w="1980" w:type="dxa"/>
          </w:tcPr>
          <w:p w14:paraId="67282279" w14:textId="1D1A5F8F" w:rsidR="00F1584A" w:rsidRPr="00113364" w:rsidRDefault="00537BCF">
            <w:pPr>
              <w:pStyle w:val="ListParagraph"/>
              <w:numPr>
                <w:ilvl w:val="0"/>
                <w:numId w:val="26"/>
              </w:numPr>
              <w:ind w:left="165" w:hanging="165"/>
              <w:rPr>
                <w:rFonts w:ascii="Arial" w:hAnsi="Arial" w:cs="Arial"/>
              </w:rPr>
            </w:pPr>
            <w:r w:rsidRPr="00113364">
              <w:rPr>
                <w:rFonts w:ascii="Arial" w:hAnsi="Arial" w:cs="Arial"/>
              </w:rPr>
              <w:t>MSIN INA and MPO Report</w:t>
            </w:r>
          </w:p>
        </w:tc>
        <w:tc>
          <w:tcPr>
            <w:tcW w:w="3600" w:type="dxa"/>
          </w:tcPr>
          <w:p w14:paraId="09BF7CD6" w14:textId="47124608" w:rsidR="00F1584A" w:rsidRPr="00113364" w:rsidRDefault="00F1584A">
            <w:pPr>
              <w:pStyle w:val="ListParagraph"/>
              <w:numPr>
                <w:ilvl w:val="0"/>
                <w:numId w:val="26"/>
              </w:numPr>
              <w:ind w:left="165" w:hanging="165"/>
              <w:rPr>
                <w:rFonts w:ascii="Arial" w:hAnsi="Arial" w:cs="Arial"/>
              </w:rPr>
            </w:pPr>
            <w:r w:rsidRPr="00113364">
              <w:rPr>
                <w:rFonts w:ascii="Arial" w:hAnsi="Arial" w:cs="Arial"/>
              </w:rPr>
              <w:t xml:space="preserve">Subgrantees enter </w:t>
            </w:r>
            <w:r w:rsidR="00801A8B" w:rsidRPr="00113364">
              <w:rPr>
                <w:rFonts w:ascii="Arial" w:hAnsi="Arial" w:cs="Arial"/>
              </w:rPr>
              <w:t xml:space="preserve">mental </w:t>
            </w:r>
            <w:r w:rsidRPr="00113364">
              <w:rPr>
                <w:rFonts w:ascii="Arial" w:hAnsi="Arial" w:cs="Arial"/>
              </w:rPr>
              <w:t>health s</w:t>
            </w:r>
            <w:r w:rsidR="00801A8B" w:rsidRPr="00113364">
              <w:rPr>
                <w:rFonts w:ascii="Arial" w:hAnsi="Arial" w:cs="Arial"/>
              </w:rPr>
              <w:t xml:space="preserve">ervice data into MSIN for each </w:t>
            </w:r>
            <w:r w:rsidR="00C01B6E" w:rsidRPr="00113364">
              <w:rPr>
                <w:rFonts w:ascii="Arial" w:hAnsi="Arial" w:cs="Arial"/>
              </w:rPr>
              <w:t>migratory student</w:t>
            </w:r>
            <w:r w:rsidR="00F458B4">
              <w:rPr>
                <w:rFonts w:ascii="Arial" w:hAnsi="Arial" w:cs="Arial"/>
              </w:rPr>
              <w:t xml:space="preserve"> who received a mental health referral</w:t>
            </w:r>
          </w:p>
        </w:tc>
        <w:tc>
          <w:tcPr>
            <w:tcW w:w="4878" w:type="dxa"/>
          </w:tcPr>
          <w:p w14:paraId="1224E168" w14:textId="77777777" w:rsidR="00F1584A" w:rsidRPr="00113364" w:rsidRDefault="005C68CD">
            <w:pPr>
              <w:pStyle w:val="ListParagraph"/>
              <w:numPr>
                <w:ilvl w:val="0"/>
                <w:numId w:val="26"/>
              </w:numPr>
              <w:ind w:left="165" w:hanging="165"/>
              <w:rPr>
                <w:rFonts w:ascii="Arial" w:hAnsi="Arial" w:cs="Arial"/>
              </w:rPr>
            </w:pPr>
            <w:r w:rsidRPr="00113364">
              <w:rPr>
                <w:rFonts w:ascii="Arial" w:hAnsi="Arial" w:cs="Arial"/>
              </w:rPr>
              <w:t>Number of me</w:t>
            </w:r>
            <w:r w:rsidR="00801A8B" w:rsidRPr="00113364">
              <w:rPr>
                <w:rFonts w:ascii="Arial" w:hAnsi="Arial" w:cs="Arial"/>
              </w:rPr>
              <w:t xml:space="preserve">ntal health referrals given to </w:t>
            </w:r>
            <w:r w:rsidR="00C01B6E" w:rsidRPr="00113364">
              <w:rPr>
                <w:rFonts w:ascii="Arial" w:hAnsi="Arial" w:cs="Arial"/>
              </w:rPr>
              <w:t xml:space="preserve">migratory students </w:t>
            </w:r>
            <w:r w:rsidRPr="00113364">
              <w:rPr>
                <w:rFonts w:ascii="Arial" w:hAnsi="Arial" w:cs="Arial"/>
              </w:rPr>
              <w:t>annually</w:t>
            </w:r>
          </w:p>
        </w:tc>
      </w:tr>
    </w:tbl>
    <w:p w14:paraId="4DE4BD7E" w14:textId="6FBF0273" w:rsidR="000D1B33" w:rsidRPr="00113364" w:rsidRDefault="000D1B33">
      <w:pPr>
        <w:pStyle w:val="ListParagraph"/>
        <w:numPr>
          <w:ilvl w:val="0"/>
          <w:numId w:val="34"/>
        </w:numPr>
        <w:spacing w:before="240"/>
        <w:ind w:left="360"/>
        <w:rPr>
          <w:rFonts w:ascii="Arial" w:eastAsia="Times New Roman" w:hAnsi="Arial" w:cs="Arial"/>
          <w:b/>
          <w:bCs/>
        </w:rPr>
      </w:pPr>
      <w:r w:rsidRPr="00113364">
        <w:rPr>
          <w:rFonts w:ascii="Arial" w:eastAsia="Times New Roman" w:hAnsi="Arial" w:cs="Arial"/>
          <w:b/>
          <w:bCs/>
        </w:rPr>
        <w:t xml:space="preserve">Parent and Family Engagement: </w:t>
      </w:r>
      <w:r w:rsidRPr="00113364">
        <w:rPr>
          <w:rFonts w:ascii="Arial" w:eastAsia="Times New Roman" w:hAnsi="Arial" w:cs="Arial"/>
          <w:bCs/>
        </w:rPr>
        <w:t xml:space="preserve">Is parent and family engagement in the MEP </w:t>
      </w:r>
      <w:r w:rsidR="00FA5394" w:rsidRPr="00113364">
        <w:rPr>
          <w:rFonts w:ascii="Arial" w:eastAsia="Times New Roman" w:hAnsi="Arial" w:cs="Arial"/>
          <w:bCs/>
        </w:rPr>
        <w:t>building parents’ capacity to support their children’s academic success and overall well-being</w:t>
      </w:r>
      <w:r w:rsidRPr="00113364">
        <w:rPr>
          <w:rFonts w:ascii="Arial" w:eastAsia="Times New Roman" w:hAnsi="Arial" w:cs="Arial"/>
          <w:bCs/>
        </w:rPr>
        <w:t>?</w:t>
      </w:r>
    </w:p>
    <w:p w14:paraId="5B465D1E" w14:textId="5EBD65B7" w:rsidR="000D1B33" w:rsidRPr="00113364" w:rsidRDefault="000D1B33" w:rsidP="00FA5394">
      <w:pPr>
        <w:ind w:left="360"/>
      </w:pPr>
      <w:r w:rsidRPr="00113364">
        <w:rPr>
          <w:rFonts w:ascii="Arial" w:hAnsi="Arial" w:cs="Arial"/>
          <w:b/>
        </w:rPr>
        <w:t xml:space="preserve">Performance Target: </w:t>
      </w:r>
      <w:r w:rsidR="00537BCF" w:rsidRPr="00113364">
        <w:rPr>
          <w:rFonts w:ascii="Arial" w:hAnsi="Arial" w:cs="Arial"/>
        </w:rPr>
        <w:t>By September 203</w:t>
      </w:r>
      <w:r w:rsidR="002D617D" w:rsidRPr="00113364">
        <w:rPr>
          <w:rFonts w:ascii="Arial" w:hAnsi="Arial" w:cs="Arial"/>
        </w:rPr>
        <w:t>1</w:t>
      </w:r>
      <w:r w:rsidR="00537BCF" w:rsidRPr="00113364">
        <w:rPr>
          <w:rFonts w:ascii="Arial" w:hAnsi="Arial" w:cs="Arial"/>
        </w:rPr>
        <w:t xml:space="preserve">, </w:t>
      </w:r>
      <w:r w:rsidR="002D617D" w:rsidRPr="00113364">
        <w:rPr>
          <w:rFonts w:ascii="Arial" w:hAnsi="Arial" w:cs="Arial"/>
        </w:rPr>
        <w:t>65</w:t>
      </w:r>
      <w:r w:rsidR="00537BCF" w:rsidRPr="00113364">
        <w:rPr>
          <w:rFonts w:ascii="Arial" w:hAnsi="Arial" w:cs="Arial"/>
        </w:rPr>
        <w:t xml:space="preserve"> percent of parents/guardians who participated in MEP parent engagement activities will rate services as “effective” in enhancing their ability to support their children’s educational and overall well-being.</w:t>
      </w:r>
    </w:p>
    <w:tbl>
      <w:tblPr>
        <w:tblStyle w:val="GridTable4-Accent1"/>
        <w:tblW w:w="13536" w:type="dxa"/>
        <w:tblLayout w:type="fixed"/>
        <w:tblLook w:val="0420" w:firstRow="1" w:lastRow="0" w:firstColumn="0" w:lastColumn="0" w:noHBand="0" w:noVBand="1"/>
        <w:tblDescription w:val="Parent and Family Engagement Sub Questions"/>
      </w:tblPr>
      <w:tblGrid>
        <w:gridCol w:w="3618"/>
        <w:gridCol w:w="1440"/>
        <w:gridCol w:w="2970"/>
        <w:gridCol w:w="5508"/>
      </w:tblGrid>
      <w:tr w:rsidR="000D1B33" w:rsidRPr="00113364" w14:paraId="4D766E33"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3618" w:type="dxa"/>
            <w:tcBorders>
              <w:right w:val="single" w:sz="4" w:space="0" w:color="4472C4" w:themeColor="accent5"/>
            </w:tcBorders>
            <w:shd w:val="clear" w:color="auto" w:fill="1F4E79" w:themeFill="accent1" w:themeFillShade="80"/>
            <w:vAlign w:val="center"/>
          </w:tcPr>
          <w:p w14:paraId="356F39A4"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Sub Questions</w:t>
            </w:r>
          </w:p>
          <w:p w14:paraId="07031815"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440" w:type="dxa"/>
            <w:tcBorders>
              <w:left w:val="single" w:sz="4" w:space="0" w:color="4472C4" w:themeColor="accent5"/>
              <w:right w:val="single" w:sz="4" w:space="0" w:color="4472C4" w:themeColor="accent5"/>
            </w:tcBorders>
            <w:shd w:val="clear" w:color="auto" w:fill="1F4E79" w:themeFill="accent1" w:themeFillShade="80"/>
            <w:vAlign w:val="center"/>
          </w:tcPr>
          <w:p w14:paraId="7A937CF9" w14:textId="75BF4AA7" w:rsidR="000D1B33" w:rsidRPr="00113364" w:rsidRDefault="000D1B33" w:rsidP="00E53F38">
            <w:pPr>
              <w:jc w:val="center"/>
              <w:rPr>
                <w:rFonts w:ascii="Arial" w:hAnsi="Arial" w:cs="Arial"/>
                <w:b w:val="0"/>
                <w:color w:val="FFFFFF"/>
              </w:rPr>
            </w:pPr>
            <w:r w:rsidRPr="00113364">
              <w:rPr>
                <w:rFonts w:ascii="Arial" w:hAnsi="Arial" w:cs="Arial"/>
                <w:color w:val="FFFFFF"/>
              </w:rPr>
              <w:t>Data Sources</w:t>
            </w:r>
          </w:p>
        </w:tc>
        <w:tc>
          <w:tcPr>
            <w:tcW w:w="2970" w:type="dxa"/>
            <w:tcBorders>
              <w:left w:val="single" w:sz="4" w:space="0" w:color="4472C4" w:themeColor="accent5"/>
              <w:right w:val="single" w:sz="4" w:space="0" w:color="4472C4" w:themeColor="accent5"/>
            </w:tcBorders>
            <w:shd w:val="clear" w:color="auto" w:fill="1F4E79" w:themeFill="accent1" w:themeFillShade="80"/>
            <w:vAlign w:val="center"/>
          </w:tcPr>
          <w:p w14:paraId="072E43B6"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Data Collection Method</w:t>
            </w:r>
          </w:p>
          <w:p w14:paraId="14E85C49" w14:textId="5675B0D9" w:rsidR="000D1B33" w:rsidRPr="00113364" w:rsidRDefault="000D1B33" w:rsidP="00E53F38">
            <w:pPr>
              <w:jc w:val="center"/>
              <w:rPr>
                <w:rFonts w:ascii="Arial" w:hAnsi="Arial" w:cs="Arial"/>
                <w:b w:val="0"/>
                <w:color w:val="FFFFFF"/>
              </w:rPr>
            </w:pPr>
            <w:r w:rsidRPr="00113364">
              <w:rPr>
                <w:rFonts w:ascii="Arial" w:hAnsi="Arial" w:cs="Arial"/>
                <w:color w:val="FFFFFF"/>
              </w:rPr>
              <w:t>This is the method or tool we will use to collect th</w:t>
            </w:r>
            <w:r w:rsidR="000B4594">
              <w:rPr>
                <w:rFonts w:ascii="Arial" w:hAnsi="Arial" w:cs="Arial"/>
                <w:color w:val="FFFFFF"/>
              </w:rPr>
              <w:t>is</w:t>
            </w:r>
            <w:r w:rsidRPr="00113364">
              <w:rPr>
                <w:rFonts w:ascii="Arial" w:hAnsi="Arial" w:cs="Arial"/>
                <w:color w:val="FFFFFF"/>
              </w:rPr>
              <w:t xml:space="preserve"> data.</w:t>
            </w:r>
          </w:p>
        </w:tc>
        <w:tc>
          <w:tcPr>
            <w:tcW w:w="5508" w:type="dxa"/>
            <w:tcBorders>
              <w:left w:val="single" w:sz="4" w:space="0" w:color="4472C4" w:themeColor="accent5"/>
            </w:tcBorders>
            <w:shd w:val="clear" w:color="auto" w:fill="1F4E79" w:themeFill="accent1" w:themeFillShade="80"/>
            <w:vAlign w:val="center"/>
          </w:tcPr>
          <w:p w14:paraId="312914B8" w14:textId="469FDC5B" w:rsidR="000D1B33" w:rsidRPr="00113364" w:rsidRDefault="000D1B33" w:rsidP="00E53F38">
            <w:pPr>
              <w:jc w:val="center"/>
              <w:rPr>
                <w:rFonts w:ascii="Arial" w:hAnsi="Arial" w:cs="Arial"/>
                <w:b w:val="0"/>
                <w:color w:val="FFFFFF"/>
              </w:rPr>
            </w:pPr>
            <w:r w:rsidRPr="00113364">
              <w:rPr>
                <w:rFonts w:ascii="Arial" w:hAnsi="Arial" w:cs="Arial"/>
                <w:color w:val="FFFFFF"/>
              </w:rPr>
              <w:t>Indicators</w:t>
            </w:r>
          </w:p>
          <w:p w14:paraId="100C932A"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142F53" w:rsidRPr="00113364" w14:paraId="5D99BC7A"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3618" w:type="dxa"/>
          </w:tcPr>
          <w:p w14:paraId="536E805B" w14:textId="7876EC47" w:rsidR="00F1584A" w:rsidRPr="00113364" w:rsidRDefault="00FA5394">
            <w:pPr>
              <w:pStyle w:val="ListParagraph"/>
              <w:numPr>
                <w:ilvl w:val="1"/>
                <w:numId w:val="34"/>
              </w:numPr>
              <w:ind w:left="520" w:hanging="540"/>
              <w:rPr>
                <w:rFonts w:ascii="Arial" w:eastAsia="Times New Roman" w:hAnsi="Arial" w:cs="Arial"/>
                <w:color w:val="000000"/>
              </w:rPr>
            </w:pPr>
            <w:r w:rsidRPr="00113364">
              <w:rPr>
                <w:rFonts w:ascii="Arial" w:eastAsia="Times New Roman" w:hAnsi="Arial" w:cs="Arial"/>
                <w:color w:val="000000"/>
              </w:rPr>
              <w:t>Of the parents who attended MEP activities, what is the annual change of parents reporting the MEP prepared them to support their children’s academic success and overall well-being</w:t>
            </w:r>
            <w:r w:rsidR="007B0584" w:rsidRPr="00113364">
              <w:rPr>
                <w:rFonts w:ascii="Arial" w:eastAsia="Times New Roman" w:hAnsi="Arial" w:cs="Arial"/>
                <w:color w:val="000000"/>
              </w:rPr>
              <w:t>?</w:t>
            </w:r>
          </w:p>
        </w:tc>
        <w:tc>
          <w:tcPr>
            <w:tcW w:w="1440" w:type="dxa"/>
          </w:tcPr>
          <w:p w14:paraId="513EF721" w14:textId="54A17DD1" w:rsidR="00F1584A" w:rsidRPr="00113364" w:rsidRDefault="00FA5394">
            <w:pPr>
              <w:pStyle w:val="ListParagraph"/>
              <w:numPr>
                <w:ilvl w:val="0"/>
                <w:numId w:val="26"/>
              </w:numPr>
              <w:ind w:left="165" w:hanging="165"/>
              <w:rPr>
                <w:rFonts w:ascii="Arial" w:hAnsi="Arial" w:cs="Arial"/>
              </w:rPr>
            </w:pPr>
            <w:r w:rsidRPr="00113364">
              <w:rPr>
                <w:rFonts w:ascii="Arial" w:hAnsi="Arial" w:cs="Arial"/>
              </w:rPr>
              <w:t>Parent survey</w:t>
            </w:r>
          </w:p>
        </w:tc>
        <w:tc>
          <w:tcPr>
            <w:tcW w:w="2970" w:type="dxa"/>
          </w:tcPr>
          <w:p w14:paraId="779B7F2E" w14:textId="533FED74" w:rsidR="00F1584A" w:rsidRPr="00113364" w:rsidRDefault="00F458B4">
            <w:pPr>
              <w:pStyle w:val="ListParagraph"/>
              <w:numPr>
                <w:ilvl w:val="0"/>
                <w:numId w:val="26"/>
              </w:numPr>
              <w:ind w:left="165" w:hanging="165"/>
              <w:rPr>
                <w:rFonts w:ascii="Arial" w:hAnsi="Arial" w:cs="Arial"/>
              </w:rPr>
            </w:pPr>
            <w:r>
              <w:rPr>
                <w:rFonts w:ascii="Arial" w:hAnsi="Arial" w:cs="Arial"/>
              </w:rPr>
              <w:t>The s</w:t>
            </w:r>
            <w:r w:rsidR="00FA5394" w:rsidRPr="00113364">
              <w:rPr>
                <w:rFonts w:ascii="Arial" w:hAnsi="Arial" w:cs="Arial"/>
              </w:rPr>
              <w:t xml:space="preserve">tate will collect survey responses from parents </w:t>
            </w:r>
            <w:r w:rsidR="00737DC5">
              <w:rPr>
                <w:rFonts w:ascii="Arial" w:hAnsi="Arial" w:cs="Arial"/>
              </w:rPr>
              <w:t xml:space="preserve">residing </w:t>
            </w:r>
            <w:r w:rsidR="00FA5394" w:rsidRPr="00113364">
              <w:rPr>
                <w:rFonts w:ascii="Arial" w:hAnsi="Arial" w:cs="Arial"/>
              </w:rPr>
              <w:t xml:space="preserve">in all 20 </w:t>
            </w:r>
            <w:r w:rsidR="00737DC5">
              <w:rPr>
                <w:rFonts w:ascii="Arial" w:hAnsi="Arial" w:cs="Arial"/>
              </w:rPr>
              <w:t>subgrantee</w:t>
            </w:r>
            <w:r w:rsidR="00FA5394" w:rsidRPr="00113364">
              <w:rPr>
                <w:rFonts w:ascii="Arial" w:hAnsi="Arial" w:cs="Arial"/>
              </w:rPr>
              <w:t xml:space="preserve"> areas.</w:t>
            </w:r>
          </w:p>
        </w:tc>
        <w:tc>
          <w:tcPr>
            <w:tcW w:w="5508" w:type="dxa"/>
          </w:tcPr>
          <w:p w14:paraId="236B11E1" w14:textId="13E075B7" w:rsidR="00F1584A" w:rsidRPr="00113364" w:rsidRDefault="00FA5394">
            <w:pPr>
              <w:pStyle w:val="ListParagraph"/>
              <w:numPr>
                <w:ilvl w:val="0"/>
                <w:numId w:val="26"/>
              </w:numPr>
              <w:ind w:left="165" w:hanging="165"/>
              <w:rPr>
                <w:rFonts w:ascii="Arial" w:hAnsi="Arial" w:cs="Arial"/>
              </w:rPr>
            </w:pPr>
            <w:r w:rsidRPr="00113364">
              <w:rPr>
                <w:rFonts w:ascii="Arial" w:hAnsi="Arial" w:cs="Arial"/>
              </w:rPr>
              <w:t>Percentage of parents indicating that attending MEP activities effectively prepared them to support their children’s academic journey and well-being.</w:t>
            </w:r>
          </w:p>
        </w:tc>
      </w:tr>
    </w:tbl>
    <w:p w14:paraId="48466912" w14:textId="77777777" w:rsidR="000D1B33" w:rsidRPr="00113364" w:rsidRDefault="000D1B33">
      <w:pPr>
        <w:numPr>
          <w:ilvl w:val="0"/>
          <w:numId w:val="34"/>
        </w:numPr>
        <w:spacing w:before="240"/>
        <w:ind w:left="0"/>
        <w:rPr>
          <w:rFonts w:ascii="Arial" w:eastAsia="Times New Roman" w:hAnsi="Arial" w:cs="Arial"/>
          <w:b/>
          <w:bCs/>
        </w:rPr>
      </w:pPr>
      <w:r w:rsidRPr="00113364">
        <w:rPr>
          <w:rFonts w:ascii="Arial" w:eastAsia="Times New Roman" w:hAnsi="Arial" w:cs="Arial"/>
          <w:b/>
          <w:bCs/>
        </w:rPr>
        <w:lastRenderedPageBreak/>
        <w:t xml:space="preserve">Student Engagement: </w:t>
      </w:r>
      <w:r w:rsidRPr="00113364">
        <w:rPr>
          <w:rFonts w:ascii="Arial" w:eastAsia="Times New Roman" w:hAnsi="Arial" w:cs="Arial"/>
          <w:bCs/>
        </w:rPr>
        <w:t>Is student engagement in the MEP and at school increasing?</w:t>
      </w:r>
    </w:p>
    <w:p w14:paraId="5039A012" w14:textId="278CDDBD" w:rsidR="000D1B33" w:rsidRPr="00113364" w:rsidRDefault="000D1B33" w:rsidP="00537BCF">
      <w:pPr>
        <w:spacing w:after="160" w:line="259" w:lineRule="auto"/>
        <w:rPr>
          <w:rFonts w:ascii="Arial" w:hAnsi="Arial" w:cs="Arial"/>
        </w:rPr>
      </w:pPr>
      <w:r w:rsidRPr="00113364">
        <w:rPr>
          <w:rFonts w:ascii="Arial" w:hAnsi="Arial" w:cs="Arial"/>
          <w:b/>
        </w:rPr>
        <w:t xml:space="preserve">Performance Target: </w:t>
      </w:r>
      <w:bookmarkStart w:id="119" w:name="_Hlk95826866"/>
      <w:r w:rsidR="002D617D" w:rsidRPr="00113364">
        <w:rPr>
          <w:rFonts w:ascii="Arial" w:hAnsi="Arial" w:cs="Arial"/>
        </w:rPr>
        <w:t xml:space="preserve">By September 2031, 80 percent of students will attend at least one service </w:t>
      </w:r>
      <w:bookmarkEnd w:id="119"/>
      <w:r w:rsidR="002D617D" w:rsidRPr="00113364">
        <w:rPr>
          <w:rFonts w:ascii="Arial" w:hAnsi="Arial" w:cs="Arial"/>
        </w:rPr>
        <w:t>that includes culturally sustaining pedagogy</w:t>
      </w:r>
      <w:r w:rsidR="00537BCF" w:rsidRPr="00113364">
        <w:rPr>
          <w:rFonts w:ascii="Arial" w:hAnsi="Arial" w:cs="Arial"/>
        </w:rPr>
        <w:t>.</w:t>
      </w:r>
    </w:p>
    <w:tbl>
      <w:tblPr>
        <w:tblStyle w:val="GridTable4-Accent1"/>
        <w:tblW w:w="13536" w:type="dxa"/>
        <w:tblLayout w:type="fixed"/>
        <w:tblLook w:val="0420" w:firstRow="1" w:lastRow="0" w:firstColumn="0" w:lastColumn="0" w:noHBand="0" w:noVBand="1"/>
        <w:tblDescription w:val="Student Engagement Sub Questions"/>
      </w:tblPr>
      <w:tblGrid>
        <w:gridCol w:w="3618"/>
        <w:gridCol w:w="1530"/>
        <w:gridCol w:w="3510"/>
        <w:gridCol w:w="4878"/>
      </w:tblGrid>
      <w:tr w:rsidR="000D1B33" w:rsidRPr="00113364" w14:paraId="01310739" w14:textId="77777777" w:rsidTr="00E53F38">
        <w:trPr>
          <w:cnfStyle w:val="100000000000" w:firstRow="1" w:lastRow="0" w:firstColumn="0" w:lastColumn="0" w:oddVBand="0" w:evenVBand="0" w:oddHBand="0" w:evenHBand="0" w:firstRowFirstColumn="0" w:firstRowLastColumn="0" w:lastRowFirstColumn="0" w:lastRowLastColumn="0"/>
          <w:cantSplit/>
          <w:trHeight w:val="1034"/>
          <w:tblHeader/>
        </w:trPr>
        <w:tc>
          <w:tcPr>
            <w:tcW w:w="3618" w:type="dxa"/>
            <w:tcBorders>
              <w:right w:val="single" w:sz="4" w:space="0" w:color="4472C4" w:themeColor="accent5"/>
            </w:tcBorders>
            <w:shd w:val="clear" w:color="auto" w:fill="1F4E79" w:themeFill="accent1" w:themeFillShade="80"/>
            <w:vAlign w:val="center"/>
          </w:tcPr>
          <w:p w14:paraId="4DBEA5C9"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Sub Questions</w:t>
            </w:r>
          </w:p>
          <w:p w14:paraId="25EAE24B"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These questions articulate the main issues that will be addressed in the review.</w:t>
            </w:r>
          </w:p>
        </w:tc>
        <w:tc>
          <w:tcPr>
            <w:tcW w:w="1530" w:type="dxa"/>
            <w:tcBorders>
              <w:left w:val="single" w:sz="4" w:space="0" w:color="4472C4" w:themeColor="accent5"/>
              <w:right w:val="single" w:sz="4" w:space="0" w:color="4472C4" w:themeColor="accent5"/>
            </w:tcBorders>
            <w:shd w:val="clear" w:color="auto" w:fill="1F4E79" w:themeFill="accent1" w:themeFillShade="80"/>
            <w:vAlign w:val="center"/>
          </w:tcPr>
          <w:p w14:paraId="4F49CFA7" w14:textId="7DD57A47" w:rsidR="000D1B33" w:rsidRPr="00113364" w:rsidRDefault="000D1B33" w:rsidP="00E53F38">
            <w:pPr>
              <w:jc w:val="center"/>
              <w:rPr>
                <w:rFonts w:ascii="Arial" w:hAnsi="Arial" w:cs="Arial"/>
                <w:b w:val="0"/>
                <w:color w:val="FFFFFF"/>
              </w:rPr>
            </w:pPr>
            <w:r w:rsidRPr="00113364">
              <w:rPr>
                <w:rFonts w:ascii="Arial" w:hAnsi="Arial" w:cs="Arial"/>
                <w:color w:val="FFFFFF"/>
              </w:rPr>
              <w:t>Data Sources</w:t>
            </w:r>
          </w:p>
        </w:tc>
        <w:tc>
          <w:tcPr>
            <w:tcW w:w="3510" w:type="dxa"/>
            <w:tcBorders>
              <w:left w:val="single" w:sz="4" w:space="0" w:color="4472C4" w:themeColor="accent5"/>
              <w:right w:val="single" w:sz="4" w:space="0" w:color="4472C4" w:themeColor="accent5"/>
            </w:tcBorders>
            <w:shd w:val="clear" w:color="auto" w:fill="1F4E79" w:themeFill="accent1" w:themeFillShade="80"/>
            <w:vAlign w:val="center"/>
          </w:tcPr>
          <w:p w14:paraId="5DB0086B"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Data Collection Method</w:t>
            </w:r>
          </w:p>
          <w:p w14:paraId="453FC70A"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This is the method or tool we will use to collect </w:t>
            </w:r>
            <w:proofErr w:type="gramStart"/>
            <w:r w:rsidRPr="00113364">
              <w:rPr>
                <w:rFonts w:ascii="Arial" w:hAnsi="Arial" w:cs="Arial"/>
                <w:color w:val="FFFFFF"/>
              </w:rPr>
              <w:t>these</w:t>
            </w:r>
            <w:proofErr w:type="gramEnd"/>
            <w:r w:rsidRPr="00113364">
              <w:rPr>
                <w:rFonts w:ascii="Arial" w:hAnsi="Arial" w:cs="Arial"/>
                <w:color w:val="FFFFFF"/>
              </w:rPr>
              <w:t xml:space="preserve"> data.</w:t>
            </w:r>
          </w:p>
        </w:tc>
        <w:tc>
          <w:tcPr>
            <w:tcW w:w="4878" w:type="dxa"/>
            <w:tcBorders>
              <w:left w:val="single" w:sz="4" w:space="0" w:color="4472C4" w:themeColor="accent5"/>
            </w:tcBorders>
            <w:shd w:val="clear" w:color="auto" w:fill="1F4E79" w:themeFill="accent1" w:themeFillShade="80"/>
            <w:vAlign w:val="center"/>
          </w:tcPr>
          <w:p w14:paraId="3AC3A020" w14:textId="01C0F33A" w:rsidR="000D1B33" w:rsidRPr="00113364" w:rsidRDefault="000D1B33" w:rsidP="00E53F38">
            <w:pPr>
              <w:jc w:val="center"/>
              <w:rPr>
                <w:rFonts w:ascii="Arial" w:hAnsi="Arial" w:cs="Arial"/>
                <w:b w:val="0"/>
                <w:color w:val="FFFFFF"/>
              </w:rPr>
            </w:pPr>
            <w:r w:rsidRPr="00113364">
              <w:rPr>
                <w:rFonts w:ascii="Arial" w:hAnsi="Arial" w:cs="Arial"/>
                <w:color w:val="FFFFFF"/>
              </w:rPr>
              <w:t>Indicators</w:t>
            </w:r>
          </w:p>
          <w:p w14:paraId="7DE2CF20" w14:textId="77777777" w:rsidR="000D1B33" w:rsidRPr="00113364" w:rsidRDefault="000D1B33" w:rsidP="00E53F38">
            <w:pPr>
              <w:jc w:val="center"/>
              <w:rPr>
                <w:rFonts w:ascii="Arial" w:hAnsi="Arial" w:cs="Arial"/>
                <w:b w:val="0"/>
                <w:color w:val="FFFFFF"/>
              </w:rPr>
            </w:pPr>
            <w:r w:rsidRPr="00113364">
              <w:rPr>
                <w:rFonts w:ascii="Arial" w:hAnsi="Arial" w:cs="Arial"/>
                <w:color w:val="FFFFFF"/>
              </w:rPr>
              <w:t xml:space="preserve">These define the evidence we collect—they are measures that monitor progress and if things are changing the way we </w:t>
            </w:r>
            <w:proofErr w:type="gramStart"/>
            <w:r w:rsidRPr="00113364">
              <w:rPr>
                <w:rFonts w:ascii="Arial" w:hAnsi="Arial" w:cs="Arial"/>
                <w:color w:val="FFFFFF"/>
              </w:rPr>
              <w:t>anticipated</w:t>
            </w:r>
            <w:proofErr w:type="gramEnd"/>
            <w:r w:rsidRPr="00113364">
              <w:rPr>
                <w:rFonts w:ascii="Arial" w:hAnsi="Arial" w:cs="Arial"/>
                <w:color w:val="FFFFFF"/>
              </w:rPr>
              <w:t>. They are specific, observable, and measurable.</w:t>
            </w:r>
          </w:p>
        </w:tc>
      </w:tr>
      <w:tr w:rsidR="00142F53" w:rsidRPr="00113364" w14:paraId="166CB540" w14:textId="77777777" w:rsidTr="00940787">
        <w:trPr>
          <w:cnfStyle w:val="000000100000" w:firstRow="0" w:lastRow="0" w:firstColumn="0" w:lastColumn="0" w:oddVBand="0" w:evenVBand="0" w:oddHBand="1" w:evenHBand="0" w:firstRowFirstColumn="0" w:firstRowLastColumn="0" w:lastRowFirstColumn="0" w:lastRowLastColumn="0"/>
          <w:cantSplit/>
        </w:trPr>
        <w:tc>
          <w:tcPr>
            <w:tcW w:w="3618" w:type="dxa"/>
          </w:tcPr>
          <w:p w14:paraId="50EECE47" w14:textId="3180429E" w:rsidR="00D96A40" w:rsidRPr="00113364" w:rsidRDefault="00D96A40">
            <w:pPr>
              <w:pStyle w:val="ListParagraph"/>
              <w:numPr>
                <w:ilvl w:val="1"/>
                <w:numId w:val="34"/>
              </w:numPr>
              <w:ind w:left="520" w:hanging="540"/>
              <w:rPr>
                <w:rFonts w:ascii="Arial" w:eastAsia="Times New Roman" w:hAnsi="Arial" w:cs="Arial"/>
                <w:color w:val="000000"/>
              </w:rPr>
            </w:pPr>
            <w:r w:rsidRPr="00113364">
              <w:rPr>
                <w:rFonts w:ascii="Arial" w:eastAsia="Times New Roman" w:hAnsi="Arial" w:cs="Arial"/>
                <w:color w:val="000000"/>
              </w:rPr>
              <w:t xml:space="preserve">How many MEP </w:t>
            </w:r>
            <w:r w:rsidR="00FA5394" w:rsidRPr="00113364">
              <w:rPr>
                <w:rFonts w:ascii="Arial" w:eastAsia="Times New Roman" w:hAnsi="Arial" w:cs="Arial"/>
                <w:color w:val="000000"/>
              </w:rPr>
              <w:t xml:space="preserve">instructional </w:t>
            </w:r>
            <w:r w:rsidRPr="00113364">
              <w:rPr>
                <w:rFonts w:ascii="Arial" w:eastAsia="Times New Roman" w:hAnsi="Arial" w:cs="Arial"/>
                <w:color w:val="000000"/>
              </w:rPr>
              <w:t xml:space="preserve">services offer </w:t>
            </w:r>
            <w:r w:rsidR="00FA5394" w:rsidRPr="00113364">
              <w:rPr>
                <w:rFonts w:ascii="Arial" w:eastAsia="Times New Roman" w:hAnsi="Arial" w:cs="Arial"/>
                <w:color w:val="000000"/>
              </w:rPr>
              <w:t>culturally sustaining pedagogy</w:t>
            </w:r>
            <w:r w:rsidRPr="00113364">
              <w:rPr>
                <w:rFonts w:ascii="Arial" w:eastAsia="Times New Roman" w:hAnsi="Arial" w:cs="Arial"/>
                <w:color w:val="000000"/>
              </w:rPr>
              <w:t xml:space="preserve"> as </w:t>
            </w:r>
            <w:r w:rsidR="0028173F" w:rsidRPr="00113364">
              <w:rPr>
                <w:rFonts w:ascii="Arial" w:eastAsia="Times New Roman" w:hAnsi="Arial" w:cs="Arial"/>
                <w:color w:val="000000"/>
              </w:rPr>
              <w:t xml:space="preserve">a </w:t>
            </w:r>
            <w:r w:rsidRPr="00113364">
              <w:rPr>
                <w:rFonts w:ascii="Arial" w:eastAsia="Times New Roman" w:hAnsi="Arial" w:cs="Arial"/>
                <w:color w:val="000000"/>
              </w:rPr>
              <w:t>component to the service?</w:t>
            </w:r>
          </w:p>
        </w:tc>
        <w:tc>
          <w:tcPr>
            <w:tcW w:w="1530" w:type="dxa"/>
          </w:tcPr>
          <w:p w14:paraId="746C58F3" w14:textId="7AB92B05" w:rsidR="00D96A40" w:rsidRPr="00113364" w:rsidRDefault="00537BCF">
            <w:pPr>
              <w:pStyle w:val="ListParagraph"/>
              <w:numPr>
                <w:ilvl w:val="0"/>
                <w:numId w:val="26"/>
              </w:numPr>
              <w:ind w:left="165" w:hanging="165"/>
              <w:rPr>
                <w:rFonts w:ascii="Arial" w:hAnsi="Arial" w:cs="Arial"/>
              </w:rPr>
            </w:pPr>
            <w:r w:rsidRPr="00113364">
              <w:rPr>
                <w:rFonts w:ascii="Arial" w:hAnsi="Arial" w:cs="Arial"/>
              </w:rPr>
              <w:t>MSIN service data</w:t>
            </w:r>
          </w:p>
        </w:tc>
        <w:tc>
          <w:tcPr>
            <w:tcW w:w="3510" w:type="dxa"/>
          </w:tcPr>
          <w:p w14:paraId="7B9D61CD" w14:textId="77777777" w:rsidR="00D96A40" w:rsidRPr="00113364" w:rsidRDefault="00D96A40">
            <w:pPr>
              <w:pStyle w:val="ListParagraph"/>
              <w:numPr>
                <w:ilvl w:val="0"/>
                <w:numId w:val="26"/>
              </w:numPr>
              <w:ind w:left="165" w:hanging="165"/>
              <w:rPr>
                <w:rFonts w:ascii="Arial" w:hAnsi="Arial" w:cs="Arial"/>
              </w:rPr>
            </w:pPr>
            <w:r w:rsidRPr="00113364">
              <w:rPr>
                <w:rFonts w:ascii="Arial" w:hAnsi="Arial" w:cs="Arial"/>
              </w:rPr>
              <w:t>Subgrantees indicate which services have this component within MSIN</w:t>
            </w:r>
          </w:p>
        </w:tc>
        <w:tc>
          <w:tcPr>
            <w:tcW w:w="4878" w:type="dxa"/>
          </w:tcPr>
          <w:p w14:paraId="5FBDFBAB" w14:textId="1810437E" w:rsidR="00D96A40" w:rsidRPr="00113364" w:rsidRDefault="00FA5394">
            <w:pPr>
              <w:pStyle w:val="ListParagraph"/>
              <w:numPr>
                <w:ilvl w:val="0"/>
                <w:numId w:val="26"/>
              </w:numPr>
              <w:ind w:left="165" w:hanging="165"/>
              <w:rPr>
                <w:rFonts w:ascii="Arial" w:hAnsi="Arial" w:cs="Arial"/>
              </w:rPr>
            </w:pPr>
            <w:r w:rsidRPr="00113364">
              <w:rPr>
                <w:rFonts w:ascii="Arial" w:hAnsi="Arial" w:cs="Arial"/>
              </w:rPr>
              <w:t>MPO Report, l</w:t>
            </w:r>
            <w:r w:rsidR="00D96A40" w:rsidRPr="00113364">
              <w:rPr>
                <w:rFonts w:ascii="Arial" w:hAnsi="Arial" w:cs="Arial"/>
              </w:rPr>
              <w:t>esson plans</w:t>
            </w:r>
            <w:r w:rsidR="0028173F" w:rsidRPr="00113364">
              <w:rPr>
                <w:rFonts w:ascii="Arial" w:hAnsi="Arial" w:cs="Arial"/>
              </w:rPr>
              <w:t xml:space="preserve"> and</w:t>
            </w:r>
            <w:r w:rsidR="00E25C08" w:rsidRPr="00113364">
              <w:rPr>
                <w:rFonts w:ascii="Arial" w:hAnsi="Arial" w:cs="Arial"/>
              </w:rPr>
              <w:t xml:space="preserve"> g</w:t>
            </w:r>
            <w:r w:rsidR="00D96A40" w:rsidRPr="00113364">
              <w:rPr>
                <w:rFonts w:ascii="Arial" w:hAnsi="Arial" w:cs="Arial"/>
              </w:rPr>
              <w:t>rant application</w:t>
            </w:r>
          </w:p>
        </w:tc>
      </w:tr>
      <w:tr w:rsidR="00142F53" w:rsidRPr="00113364" w14:paraId="1ABFE568" w14:textId="77777777" w:rsidTr="00940787">
        <w:trPr>
          <w:cantSplit/>
        </w:trPr>
        <w:tc>
          <w:tcPr>
            <w:tcW w:w="3618" w:type="dxa"/>
          </w:tcPr>
          <w:p w14:paraId="637221D4" w14:textId="5290EE0A" w:rsidR="00D96A40" w:rsidRPr="00113364" w:rsidRDefault="00B055C9">
            <w:pPr>
              <w:pStyle w:val="ListParagraph"/>
              <w:numPr>
                <w:ilvl w:val="1"/>
                <w:numId w:val="34"/>
              </w:numPr>
              <w:ind w:left="533" w:hanging="533"/>
              <w:rPr>
                <w:rFonts w:ascii="Arial" w:eastAsia="Times New Roman" w:hAnsi="Arial" w:cs="Arial"/>
                <w:color w:val="000000"/>
              </w:rPr>
            </w:pPr>
            <w:r w:rsidRPr="00113364">
              <w:rPr>
                <w:rFonts w:ascii="Arial" w:eastAsia="Times New Roman" w:hAnsi="Arial" w:cs="Arial"/>
                <w:color w:val="000000"/>
              </w:rPr>
              <w:t>How effective are the annual staff development opportunities provided by the MEP subgrantee in preparing staff to implement culturally sustaining services?</w:t>
            </w:r>
          </w:p>
        </w:tc>
        <w:tc>
          <w:tcPr>
            <w:tcW w:w="1530" w:type="dxa"/>
          </w:tcPr>
          <w:p w14:paraId="2C88AA18" w14:textId="77777777" w:rsidR="00D96A40" w:rsidRPr="00113364" w:rsidRDefault="00D96A40">
            <w:pPr>
              <w:pStyle w:val="ListParagraph"/>
              <w:numPr>
                <w:ilvl w:val="0"/>
                <w:numId w:val="26"/>
              </w:numPr>
              <w:ind w:left="165" w:hanging="165"/>
              <w:rPr>
                <w:rFonts w:ascii="Arial" w:hAnsi="Arial" w:cs="Arial"/>
              </w:rPr>
            </w:pPr>
            <w:r w:rsidRPr="00113364">
              <w:rPr>
                <w:rFonts w:ascii="Arial" w:hAnsi="Arial" w:cs="Arial"/>
              </w:rPr>
              <w:t>Local data</w:t>
            </w:r>
          </w:p>
        </w:tc>
        <w:tc>
          <w:tcPr>
            <w:tcW w:w="3510" w:type="dxa"/>
          </w:tcPr>
          <w:p w14:paraId="11F219A9" w14:textId="5FDF5E9B" w:rsidR="00D96A40" w:rsidRPr="00113364" w:rsidRDefault="00D96A40">
            <w:pPr>
              <w:pStyle w:val="ListParagraph"/>
              <w:numPr>
                <w:ilvl w:val="0"/>
                <w:numId w:val="26"/>
              </w:numPr>
              <w:ind w:left="165" w:hanging="165"/>
              <w:rPr>
                <w:rFonts w:ascii="Arial" w:hAnsi="Arial" w:cs="Arial"/>
              </w:rPr>
            </w:pPr>
            <w:r w:rsidRPr="00113364">
              <w:rPr>
                <w:rFonts w:ascii="Arial" w:hAnsi="Arial" w:cs="Arial"/>
              </w:rPr>
              <w:t xml:space="preserve">Subgrantees </w:t>
            </w:r>
            <w:r w:rsidR="00537BCF" w:rsidRPr="00113364">
              <w:rPr>
                <w:rFonts w:ascii="Arial" w:hAnsi="Arial" w:cs="Arial"/>
              </w:rPr>
              <w:t>submit documentation (i.e., training materials and attendance sheets) to the CDE for review.</w:t>
            </w:r>
          </w:p>
        </w:tc>
        <w:tc>
          <w:tcPr>
            <w:tcW w:w="4878" w:type="dxa"/>
          </w:tcPr>
          <w:p w14:paraId="0FCF320D" w14:textId="77777777" w:rsidR="00D96A40" w:rsidRPr="00113364" w:rsidRDefault="00D96A40">
            <w:pPr>
              <w:pStyle w:val="ListParagraph"/>
              <w:numPr>
                <w:ilvl w:val="0"/>
                <w:numId w:val="26"/>
              </w:numPr>
              <w:ind w:left="165" w:hanging="165"/>
              <w:rPr>
                <w:rFonts w:ascii="Arial" w:hAnsi="Arial" w:cs="Arial"/>
              </w:rPr>
            </w:pPr>
            <w:r w:rsidRPr="00113364">
              <w:rPr>
                <w:rFonts w:ascii="Arial" w:hAnsi="Arial" w:cs="Arial"/>
              </w:rPr>
              <w:t>Lesson plans</w:t>
            </w:r>
            <w:r w:rsidR="0028173F" w:rsidRPr="00113364">
              <w:rPr>
                <w:rFonts w:ascii="Arial" w:hAnsi="Arial" w:cs="Arial"/>
              </w:rPr>
              <w:t xml:space="preserve"> and</w:t>
            </w:r>
            <w:r w:rsidR="00E25C08" w:rsidRPr="00113364">
              <w:rPr>
                <w:rFonts w:ascii="Arial" w:hAnsi="Arial" w:cs="Arial"/>
              </w:rPr>
              <w:t xml:space="preserve"> g</w:t>
            </w:r>
            <w:r w:rsidRPr="00113364">
              <w:rPr>
                <w:rFonts w:ascii="Arial" w:hAnsi="Arial" w:cs="Arial"/>
              </w:rPr>
              <w:t>rant application</w:t>
            </w:r>
          </w:p>
        </w:tc>
      </w:tr>
    </w:tbl>
    <w:p w14:paraId="4ED08199" w14:textId="77777777" w:rsidR="00EA493F" w:rsidRPr="00113364" w:rsidRDefault="00EA493F" w:rsidP="00EF3956">
      <w:pPr>
        <w:rPr>
          <w:rFonts w:ascii="Arial" w:hAnsi="Arial" w:cs="Arial"/>
        </w:rPr>
        <w:sectPr w:rsidR="00EA493F" w:rsidRPr="00113364" w:rsidSect="00142F53">
          <w:pgSz w:w="15840" w:h="12240" w:orient="landscape"/>
          <w:pgMar w:top="1440" w:right="1440" w:bottom="1440" w:left="1440" w:header="720" w:footer="720" w:gutter="0"/>
          <w:cols w:space="720"/>
          <w:titlePg/>
          <w:docGrid w:linePitch="360"/>
        </w:sectPr>
      </w:pPr>
    </w:p>
    <w:p w14:paraId="3008BAFA" w14:textId="77777777" w:rsidR="00714FEB" w:rsidRPr="00113364" w:rsidRDefault="00714FEB" w:rsidP="003F0CBE">
      <w:pPr>
        <w:pStyle w:val="Heading3"/>
      </w:pPr>
      <w:bookmarkStart w:id="120" w:name="_Toc203568860"/>
      <w:r w:rsidRPr="00113364">
        <w:lastRenderedPageBreak/>
        <w:t>Technical Assistance and Monitoring</w:t>
      </w:r>
      <w:bookmarkEnd w:id="120"/>
    </w:p>
    <w:p w14:paraId="59F9CDFA" w14:textId="7D1DB234" w:rsidR="00714FEB" w:rsidRPr="00113364" w:rsidRDefault="00714FEB" w:rsidP="00714FEB">
      <w:pPr>
        <w:rPr>
          <w:rFonts w:ascii="Arial" w:hAnsi="Arial" w:cs="Arial"/>
        </w:rPr>
      </w:pPr>
      <w:r w:rsidRPr="00113364">
        <w:rPr>
          <w:rFonts w:ascii="Arial" w:hAnsi="Arial" w:cs="Arial"/>
        </w:rPr>
        <w:t>In addition to ensuring compliance with state and federal regulations for the MEP through the Federal Program Monitoring process, the CDE will also provide technical assistance and monitoring for strategies tha</w:t>
      </w:r>
      <w:r w:rsidR="0006562C" w:rsidRPr="00113364">
        <w:rPr>
          <w:rFonts w:ascii="Arial" w:hAnsi="Arial" w:cs="Arial"/>
        </w:rPr>
        <w:t xml:space="preserve">t are difficult to </w:t>
      </w:r>
      <w:r w:rsidR="0004455C" w:rsidRPr="00113364">
        <w:rPr>
          <w:rFonts w:ascii="Arial" w:hAnsi="Arial" w:cs="Arial"/>
        </w:rPr>
        <w:t>quantify and</w:t>
      </w:r>
      <w:r w:rsidRPr="00113364">
        <w:rPr>
          <w:rFonts w:ascii="Arial" w:hAnsi="Arial" w:cs="Arial"/>
        </w:rPr>
        <w:t xml:space="preserve"> will support improving migratory students’ academic achievement and overall well-being. </w:t>
      </w:r>
      <w:r w:rsidR="00A35F85" w:rsidRPr="00113364">
        <w:rPr>
          <w:rFonts w:ascii="Arial" w:hAnsi="Arial" w:cs="Arial"/>
        </w:rPr>
        <w:t>The</w:t>
      </w:r>
      <w:r w:rsidRPr="00113364">
        <w:rPr>
          <w:rFonts w:ascii="Arial" w:hAnsi="Arial" w:cs="Arial"/>
        </w:rPr>
        <w:t xml:space="preserve"> CDE will monitor the</w:t>
      </w:r>
      <w:r w:rsidR="00FB7104" w:rsidRPr="00113364">
        <w:rPr>
          <w:rFonts w:ascii="Arial" w:hAnsi="Arial" w:cs="Arial"/>
        </w:rPr>
        <w:t xml:space="preserve"> implementation of the broader programmatic strategies suggested</w:t>
      </w:r>
      <w:r w:rsidRPr="00113364">
        <w:rPr>
          <w:rFonts w:ascii="Arial" w:hAnsi="Arial" w:cs="Arial"/>
        </w:rPr>
        <w:t xml:space="preserve"> by the</w:t>
      </w:r>
      <w:r w:rsidR="00EF59DB" w:rsidRPr="00113364">
        <w:rPr>
          <w:rFonts w:ascii="Arial" w:hAnsi="Arial" w:cs="Arial"/>
        </w:rPr>
        <w:t xml:space="preserve"> </w:t>
      </w:r>
      <w:r w:rsidRPr="00113364">
        <w:rPr>
          <w:rFonts w:ascii="Arial" w:hAnsi="Arial" w:cs="Arial"/>
        </w:rPr>
        <w:t>committ</w:t>
      </w:r>
      <w:r w:rsidR="0058530A" w:rsidRPr="00113364">
        <w:rPr>
          <w:rFonts w:ascii="Arial" w:hAnsi="Arial" w:cs="Arial"/>
        </w:rPr>
        <w:t>ee</w:t>
      </w:r>
      <w:r w:rsidR="00B055C9" w:rsidRPr="00113364">
        <w:rPr>
          <w:rFonts w:ascii="Arial" w:hAnsi="Arial" w:cs="Arial"/>
        </w:rPr>
        <w:t xml:space="preserve"> and CDE Data and Management Team</w:t>
      </w:r>
      <w:r w:rsidR="0058530A" w:rsidRPr="00113364">
        <w:rPr>
          <w:rFonts w:ascii="Arial" w:hAnsi="Arial" w:cs="Arial"/>
        </w:rPr>
        <w:t xml:space="preserve"> </w:t>
      </w:r>
      <w:r w:rsidR="00525DA8" w:rsidRPr="00113364">
        <w:rPr>
          <w:rFonts w:ascii="Arial" w:hAnsi="Arial" w:cs="Arial"/>
        </w:rPr>
        <w:t xml:space="preserve">and required by law </w:t>
      </w:r>
      <w:r w:rsidR="00A35F85" w:rsidRPr="00113364">
        <w:rPr>
          <w:rFonts w:ascii="Arial" w:hAnsi="Arial" w:cs="Arial"/>
        </w:rPr>
        <w:t>which include</w:t>
      </w:r>
      <w:r w:rsidR="00FB7104" w:rsidRPr="00113364">
        <w:rPr>
          <w:rFonts w:ascii="Arial" w:hAnsi="Arial" w:cs="Arial"/>
        </w:rPr>
        <w:t>:</w:t>
      </w:r>
    </w:p>
    <w:p w14:paraId="50A538AB" w14:textId="77777777" w:rsidR="00525DA8" w:rsidRPr="00113364" w:rsidRDefault="00525DA8">
      <w:pPr>
        <w:pStyle w:val="ListParagraph"/>
        <w:numPr>
          <w:ilvl w:val="0"/>
          <w:numId w:val="35"/>
        </w:numPr>
        <w:spacing w:before="240"/>
        <w:contextualSpacing w:val="0"/>
        <w:rPr>
          <w:rFonts w:ascii="Arial" w:hAnsi="Arial" w:cs="Arial"/>
        </w:rPr>
      </w:pPr>
      <w:r w:rsidRPr="00113364">
        <w:rPr>
          <w:rFonts w:ascii="Arial" w:hAnsi="Arial" w:cs="Arial"/>
        </w:rPr>
        <w:t>Monitoring implementation of the SDP strategies across the state.</w:t>
      </w:r>
    </w:p>
    <w:p w14:paraId="4D8E03AA" w14:textId="7041643E" w:rsidR="00525DA8" w:rsidRPr="00113364" w:rsidRDefault="00525DA8">
      <w:pPr>
        <w:pStyle w:val="ListParagraph"/>
        <w:numPr>
          <w:ilvl w:val="0"/>
          <w:numId w:val="35"/>
        </w:numPr>
        <w:spacing w:before="240"/>
        <w:contextualSpacing w:val="0"/>
        <w:rPr>
          <w:rFonts w:ascii="Arial" w:hAnsi="Arial" w:cs="Arial"/>
        </w:rPr>
      </w:pPr>
      <w:r w:rsidRPr="00113364">
        <w:rPr>
          <w:rFonts w:ascii="Arial" w:hAnsi="Arial" w:cs="Arial"/>
        </w:rPr>
        <w:t xml:space="preserve">Ensuring </w:t>
      </w:r>
      <w:r w:rsidR="003860FA">
        <w:rPr>
          <w:rFonts w:ascii="Arial" w:hAnsi="Arial" w:cs="Arial"/>
        </w:rPr>
        <w:t xml:space="preserve">regional and district </w:t>
      </w:r>
      <w:r w:rsidRPr="00113364">
        <w:rPr>
          <w:rFonts w:ascii="Arial" w:hAnsi="Arial" w:cs="Arial"/>
        </w:rPr>
        <w:t>staff as well as parents learn about the requirements in the updated SDP.</w:t>
      </w:r>
    </w:p>
    <w:p w14:paraId="7C8B1EBD" w14:textId="355C488F" w:rsidR="00FB7104" w:rsidRPr="00113364" w:rsidRDefault="00FB7104">
      <w:pPr>
        <w:pStyle w:val="ListParagraph"/>
        <w:numPr>
          <w:ilvl w:val="0"/>
          <w:numId w:val="35"/>
        </w:numPr>
        <w:spacing w:before="240"/>
        <w:contextualSpacing w:val="0"/>
        <w:rPr>
          <w:rFonts w:ascii="Arial" w:hAnsi="Arial" w:cs="Arial"/>
        </w:rPr>
      </w:pPr>
      <w:r w:rsidRPr="00113364">
        <w:rPr>
          <w:rFonts w:ascii="Arial" w:hAnsi="Arial" w:cs="Arial"/>
        </w:rPr>
        <w:t>Increas</w:t>
      </w:r>
      <w:r w:rsidR="00A567A7" w:rsidRPr="00113364">
        <w:rPr>
          <w:rFonts w:ascii="Arial" w:hAnsi="Arial" w:cs="Arial"/>
        </w:rPr>
        <w:t>ing</w:t>
      </w:r>
      <w:r w:rsidRPr="00113364">
        <w:rPr>
          <w:rFonts w:ascii="Arial" w:hAnsi="Arial" w:cs="Arial"/>
        </w:rPr>
        <w:t xml:space="preserve"> parent and family outreach efforts via </w:t>
      </w:r>
      <w:r w:rsidR="00B055C9" w:rsidRPr="00113364">
        <w:rPr>
          <w:rFonts w:ascii="Arial" w:hAnsi="Arial" w:cs="Arial"/>
        </w:rPr>
        <w:t xml:space="preserve">various </w:t>
      </w:r>
      <w:r w:rsidR="002F7061">
        <w:rPr>
          <w:rFonts w:ascii="Arial" w:hAnsi="Arial" w:cs="Arial"/>
        </w:rPr>
        <w:t>strategies</w:t>
      </w:r>
      <w:r w:rsidR="00B055C9" w:rsidRPr="00113364">
        <w:rPr>
          <w:rFonts w:ascii="Arial" w:hAnsi="Arial" w:cs="Arial"/>
        </w:rPr>
        <w:t xml:space="preserve"> including </w:t>
      </w:r>
      <w:r w:rsidR="00525DA8" w:rsidRPr="00113364">
        <w:rPr>
          <w:rFonts w:ascii="Arial" w:hAnsi="Arial" w:cs="Arial"/>
        </w:rPr>
        <w:t xml:space="preserve">use of the upcoming </w:t>
      </w:r>
      <w:r w:rsidR="00B055C9" w:rsidRPr="00113364">
        <w:rPr>
          <w:rFonts w:ascii="Arial" w:hAnsi="Arial" w:cs="Arial"/>
        </w:rPr>
        <w:t>communications toolkit.</w:t>
      </w:r>
    </w:p>
    <w:p w14:paraId="002738F1" w14:textId="7B4DDB18" w:rsidR="00FB7104" w:rsidRPr="00113364" w:rsidRDefault="00A567A7">
      <w:pPr>
        <w:pStyle w:val="ListParagraph"/>
        <w:numPr>
          <w:ilvl w:val="0"/>
          <w:numId w:val="35"/>
        </w:numPr>
        <w:spacing w:before="240"/>
        <w:contextualSpacing w:val="0"/>
        <w:rPr>
          <w:rFonts w:ascii="Arial" w:hAnsi="Arial" w:cs="Arial"/>
        </w:rPr>
      </w:pPr>
      <w:r w:rsidRPr="00113364">
        <w:rPr>
          <w:rFonts w:ascii="Arial" w:hAnsi="Arial" w:cs="Arial"/>
        </w:rPr>
        <w:t>Ensuring s</w:t>
      </w:r>
      <w:r w:rsidR="00FB7104" w:rsidRPr="00113364">
        <w:rPr>
          <w:rFonts w:ascii="Arial" w:hAnsi="Arial" w:cs="Arial"/>
        </w:rPr>
        <w:t xml:space="preserve">taff </w:t>
      </w:r>
      <w:r w:rsidRPr="00113364">
        <w:rPr>
          <w:rFonts w:ascii="Arial" w:hAnsi="Arial" w:cs="Arial"/>
        </w:rPr>
        <w:t>participate in</w:t>
      </w:r>
      <w:r w:rsidR="00FB7104" w:rsidRPr="00113364">
        <w:rPr>
          <w:rFonts w:ascii="Arial" w:hAnsi="Arial" w:cs="Arial"/>
        </w:rPr>
        <w:t xml:space="preserve"> professional development that aligns with the needs and st</w:t>
      </w:r>
      <w:r w:rsidR="0006562C" w:rsidRPr="00113364">
        <w:rPr>
          <w:rFonts w:ascii="Arial" w:hAnsi="Arial" w:cs="Arial"/>
        </w:rPr>
        <w:t xml:space="preserve">rategies identified in the </w:t>
      </w:r>
      <w:r w:rsidR="00452477" w:rsidRPr="00113364">
        <w:rPr>
          <w:rFonts w:ascii="Arial" w:hAnsi="Arial" w:cs="Arial"/>
        </w:rPr>
        <w:t>SDP</w:t>
      </w:r>
      <w:r w:rsidRPr="00113364">
        <w:rPr>
          <w:rFonts w:ascii="Arial" w:hAnsi="Arial" w:cs="Arial"/>
        </w:rPr>
        <w:t>.</w:t>
      </w:r>
    </w:p>
    <w:p w14:paraId="7BC027D3" w14:textId="6582E450" w:rsidR="00FB7104" w:rsidRPr="00113364" w:rsidRDefault="00FB7104">
      <w:pPr>
        <w:pStyle w:val="ListParagraph"/>
        <w:numPr>
          <w:ilvl w:val="0"/>
          <w:numId w:val="35"/>
        </w:numPr>
        <w:spacing w:before="240"/>
        <w:contextualSpacing w:val="0"/>
        <w:rPr>
          <w:rFonts w:ascii="Arial" w:hAnsi="Arial" w:cs="Arial"/>
        </w:rPr>
      </w:pPr>
      <w:r w:rsidRPr="00113364">
        <w:rPr>
          <w:rFonts w:ascii="Arial" w:hAnsi="Arial" w:cs="Arial"/>
        </w:rPr>
        <w:t>Provid</w:t>
      </w:r>
      <w:r w:rsidR="00A567A7" w:rsidRPr="00113364">
        <w:rPr>
          <w:rFonts w:ascii="Arial" w:hAnsi="Arial" w:cs="Arial"/>
        </w:rPr>
        <w:t>ing</w:t>
      </w:r>
      <w:r w:rsidRPr="00113364">
        <w:rPr>
          <w:rFonts w:ascii="Arial" w:hAnsi="Arial" w:cs="Arial"/>
        </w:rPr>
        <w:t xml:space="preserve"> </w:t>
      </w:r>
      <w:r w:rsidR="00B055C9" w:rsidRPr="00113364">
        <w:rPr>
          <w:rFonts w:ascii="Arial" w:hAnsi="Arial" w:cs="Arial"/>
        </w:rPr>
        <w:t>accelerated learning</w:t>
      </w:r>
      <w:r w:rsidRPr="00113364">
        <w:rPr>
          <w:rFonts w:ascii="Arial" w:hAnsi="Arial" w:cs="Arial"/>
        </w:rPr>
        <w:t xml:space="preserve"> to address gaps in literacy (e.g., fluency, comprehension, etc.)</w:t>
      </w:r>
      <w:r w:rsidR="00A567A7" w:rsidRPr="00113364">
        <w:rPr>
          <w:rFonts w:ascii="Arial" w:hAnsi="Arial" w:cs="Arial"/>
        </w:rPr>
        <w:t>.</w:t>
      </w:r>
    </w:p>
    <w:p w14:paraId="15C4C54A" w14:textId="28B93127" w:rsidR="00FB7104" w:rsidRPr="00113364" w:rsidRDefault="00FB7104">
      <w:pPr>
        <w:pStyle w:val="ListParagraph"/>
        <w:numPr>
          <w:ilvl w:val="0"/>
          <w:numId w:val="35"/>
        </w:numPr>
        <w:spacing w:before="240"/>
        <w:contextualSpacing w:val="0"/>
        <w:rPr>
          <w:rFonts w:ascii="Arial" w:hAnsi="Arial" w:cs="Arial"/>
        </w:rPr>
      </w:pPr>
      <w:r w:rsidRPr="00113364">
        <w:rPr>
          <w:rFonts w:ascii="Arial" w:hAnsi="Arial" w:cs="Arial"/>
        </w:rPr>
        <w:t>Conduct</w:t>
      </w:r>
      <w:r w:rsidR="00A567A7" w:rsidRPr="00113364">
        <w:rPr>
          <w:rFonts w:ascii="Arial" w:hAnsi="Arial" w:cs="Arial"/>
        </w:rPr>
        <w:t>ing</w:t>
      </w:r>
      <w:r w:rsidRPr="00113364">
        <w:rPr>
          <w:rFonts w:ascii="Arial" w:hAnsi="Arial" w:cs="Arial"/>
        </w:rPr>
        <w:t xml:space="preserve"> INA</w:t>
      </w:r>
      <w:r w:rsidR="00B17615" w:rsidRPr="00113364">
        <w:rPr>
          <w:rFonts w:ascii="Arial" w:hAnsi="Arial" w:cs="Arial"/>
        </w:rPr>
        <w:t>/ILP</w:t>
      </w:r>
      <w:r w:rsidR="00A567A7" w:rsidRPr="00113364">
        <w:rPr>
          <w:rFonts w:ascii="Arial" w:hAnsi="Arial" w:cs="Arial"/>
        </w:rPr>
        <w:t>s</w:t>
      </w:r>
      <w:r w:rsidRPr="00113364">
        <w:rPr>
          <w:rFonts w:ascii="Arial" w:hAnsi="Arial" w:cs="Arial"/>
        </w:rPr>
        <w:t xml:space="preserve"> </w:t>
      </w:r>
      <w:r w:rsidR="00B055C9" w:rsidRPr="00113364">
        <w:rPr>
          <w:rFonts w:ascii="Arial" w:hAnsi="Arial" w:cs="Arial"/>
        </w:rPr>
        <w:t xml:space="preserve">as quickly as possible when </w:t>
      </w:r>
      <w:r w:rsidRPr="00113364">
        <w:rPr>
          <w:rFonts w:ascii="Arial" w:hAnsi="Arial" w:cs="Arial"/>
        </w:rPr>
        <w:t>migratory child</w:t>
      </w:r>
      <w:r w:rsidR="00A567A7" w:rsidRPr="00113364">
        <w:rPr>
          <w:rFonts w:ascii="Arial" w:hAnsi="Arial" w:cs="Arial"/>
        </w:rPr>
        <w:t>ren</w:t>
      </w:r>
      <w:r w:rsidRPr="00113364">
        <w:rPr>
          <w:rFonts w:ascii="Arial" w:hAnsi="Arial" w:cs="Arial"/>
        </w:rPr>
        <w:t xml:space="preserve"> enroll</w:t>
      </w:r>
      <w:r w:rsidR="00B055C9" w:rsidRPr="00113364">
        <w:rPr>
          <w:rFonts w:ascii="Arial" w:hAnsi="Arial" w:cs="Arial"/>
        </w:rPr>
        <w:t xml:space="preserve"> into the program</w:t>
      </w:r>
      <w:r w:rsidRPr="00113364">
        <w:rPr>
          <w:rFonts w:ascii="Arial" w:hAnsi="Arial" w:cs="Arial"/>
        </w:rPr>
        <w:t xml:space="preserve"> </w:t>
      </w:r>
      <w:r w:rsidR="00B055C9" w:rsidRPr="00113364">
        <w:rPr>
          <w:rFonts w:ascii="Arial" w:hAnsi="Arial" w:cs="Arial"/>
        </w:rPr>
        <w:t>to identify which services</w:t>
      </w:r>
      <w:r w:rsidR="002F7061">
        <w:rPr>
          <w:rFonts w:ascii="Arial" w:hAnsi="Arial" w:cs="Arial"/>
        </w:rPr>
        <w:t xml:space="preserve"> the student should receive</w:t>
      </w:r>
      <w:r w:rsidR="00A567A7" w:rsidRPr="00113364">
        <w:rPr>
          <w:rFonts w:ascii="Arial" w:hAnsi="Arial" w:cs="Arial"/>
        </w:rPr>
        <w:t>.</w:t>
      </w:r>
      <w:r w:rsidR="00B055C9" w:rsidRPr="00113364">
        <w:rPr>
          <w:rFonts w:ascii="Arial" w:hAnsi="Arial" w:cs="Arial"/>
        </w:rPr>
        <w:t xml:space="preserve"> </w:t>
      </w:r>
    </w:p>
    <w:p w14:paraId="38D15E82" w14:textId="7515F01A" w:rsidR="005B6631" w:rsidRPr="00113364" w:rsidRDefault="005B6631">
      <w:pPr>
        <w:pStyle w:val="ListParagraph"/>
        <w:numPr>
          <w:ilvl w:val="0"/>
          <w:numId w:val="35"/>
        </w:numPr>
        <w:spacing w:before="240"/>
        <w:contextualSpacing w:val="0"/>
        <w:rPr>
          <w:rFonts w:ascii="Arial" w:hAnsi="Arial" w:cs="Arial"/>
        </w:rPr>
      </w:pPr>
      <w:r w:rsidRPr="00113364">
        <w:rPr>
          <w:rFonts w:ascii="Arial" w:hAnsi="Arial" w:cs="Arial"/>
        </w:rPr>
        <w:t>Implement</w:t>
      </w:r>
      <w:r w:rsidR="003860FA">
        <w:rPr>
          <w:rFonts w:ascii="Arial" w:hAnsi="Arial" w:cs="Arial"/>
        </w:rPr>
        <w:t>i</w:t>
      </w:r>
      <w:r w:rsidR="00383E3C">
        <w:rPr>
          <w:rFonts w:ascii="Arial" w:hAnsi="Arial" w:cs="Arial"/>
        </w:rPr>
        <w:t>ng</w:t>
      </w:r>
      <w:r w:rsidRPr="00113364">
        <w:rPr>
          <w:rFonts w:ascii="Arial" w:hAnsi="Arial" w:cs="Arial"/>
        </w:rPr>
        <w:t xml:space="preserve"> health education that provides students and parents with the knowledge, attitudes, skills</w:t>
      </w:r>
      <w:r w:rsidR="0006562C" w:rsidRPr="00113364">
        <w:rPr>
          <w:rFonts w:ascii="Arial" w:hAnsi="Arial" w:cs="Arial"/>
        </w:rPr>
        <w:t>,</w:t>
      </w:r>
      <w:r w:rsidRPr="00113364">
        <w:rPr>
          <w:rFonts w:ascii="Arial" w:hAnsi="Arial" w:cs="Arial"/>
        </w:rPr>
        <w:t xml:space="preserve"> and experiences needed for lifelon</w:t>
      </w:r>
      <w:r w:rsidR="0006562C" w:rsidRPr="00113364">
        <w:rPr>
          <w:rFonts w:ascii="Arial" w:hAnsi="Arial" w:cs="Arial"/>
        </w:rPr>
        <w:t>g health (Family Health Nights)</w:t>
      </w:r>
      <w:r w:rsidR="00A567A7" w:rsidRPr="00113364">
        <w:rPr>
          <w:rFonts w:ascii="Arial" w:hAnsi="Arial" w:cs="Arial"/>
        </w:rPr>
        <w:t>.</w:t>
      </w:r>
    </w:p>
    <w:p w14:paraId="532364A9" w14:textId="5A91B2E1" w:rsidR="005B6631" w:rsidRPr="00113364" w:rsidRDefault="005B6631">
      <w:pPr>
        <w:pStyle w:val="ListParagraph"/>
        <w:numPr>
          <w:ilvl w:val="0"/>
          <w:numId w:val="35"/>
        </w:numPr>
        <w:spacing w:before="240"/>
        <w:contextualSpacing w:val="0"/>
        <w:rPr>
          <w:rFonts w:ascii="Arial" w:hAnsi="Arial" w:cs="Arial"/>
        </w:rPr>
      </w:pPr>
      <w:r w:rsidRPr="00113364">
        <w:rPr>
          <w:rFonts w:ascii="Arial" w:hAnsi="Arial" w:cs="Arial"/>
        </w:rPr>
        <w:t>Partner</w:t>
      </w:r>
      <w:r w:rsidR="00383E3C">
        <w:rPr>
          <w:rFonts w:ascii="Arial" w:hAnsi="Arial" w:cs="Arial"/>
        </w:rPr>
        <w:t>ing</w:t>
      </w:r>
      <w:r w:rsidRPr="00113364">
        <w:rPr>
          <w:rFonts w:ascii="Arial" w:hAnsi="Arial" w:cs="Arial"/>
        </w:rPr>
        <w:t xml:space="preserve"> with community organizations to develop referral mechanisms to mental health and behavioral s</w:t>
      </w:r>
      <w:r w:rsidR="0006562C" w:rsidRPr="00113364">
        <w:rPr>
          <w:rFonts w:ascii="Arial" w:hAnsi="Arial" w:cs="Arial"/>
        </w:rPr>
        <w:t>upport services</w:t>
      </w:r>
      <w:r w:rsidR="00A567A7" w:rsidRPr="00113364">
        <w:rPr>
          <w:rFonts w:ascii="Arial" w:hAnsi="Arial" w:cs="Arial"/>
        </w:rPr>
        <w:t>.</w:t>
      </w:r>
    </w:p>
    <w:p w14:paraId="0FD99385" w14:textId="49C114AB" w:rsidR="005B6631" w:rsidRPr="00113364" w:rsidRDefault="005B6631">
      <w:pPr>
        <w:pStyle w:val="ListParagraph"/>
        <w:numPr>
          <w:ilvl w:val="0"/>
          <w:numId w:val="35"/>
        </w:numPr>
        <w:spacing w:before="240"/>
        <w:contextualSpacing w:val="0"/>
        <w:rPr>
          <w:rFonts w:ascii="Arial" w:hAnsi="Arial" w:cs="Arial"/>
        </w:rPr>
      </w:pPr>
      <w:r w:rsidRPr="00113364">
        <w:rPr>
          <w:rFonts w:ascii="Arial" w:hAnsi="Arial" w:cs="Arial"/>
        </w:rPr>
        <w:t>Work</w:t>
      </w:r>
      <w:r w:rsidR="00383E3C">
        <w:rPr>
          <w:rFonts w:ascii="Arial" w:hAnsi="Arial" w:cs="Arial"/>
        </w:rPr>
        <w:t>ing</w:t>
      </w:r>
      <w:r w:rsidRPr="00113364">
        <w:rPr>
          <w:rFonts w:ascii="Arial" w:hAnsi="Arial" w:cs="Arial"/>
        </w:rPr>
        <w:t xml:space="preserve"> with schools and districts to encourage migratory parent participation on various school councils (e.g., P</w:t>
      </w:r>
      <w:r w:rsidR="00B542CB">
        <w:rPr>
          <w:rFonts w:ascii="Arial" w:hAnsi="Arial" w:cs="Arial"/>
        </w:rPr>
        <w:t>AC</w:t>
      </w:r>
      <w:r w:rsidRPr="00113364">
        <w:rPr>
          <w:rFonts w:ascii="Arial" w:hAnsi="Arial" w:cs="Arial"/>
        </w:rPr>
        <w:t>, E</w:t>
      </w:r>
      <w:r w:rsidR="00A35F85" w:rsidRPr="00113364">
        <w:rPr>
          <w:rFonts w:ascii="Arial" w:hAnsi="Arial" w:cs="Arial"/>
        </w:rPr>
        <w:t xml:space="preserve">nglish </w:t>
      </w:r>
      <w:r w:rsidRPr="00113364">
        <w:rPr>
          <w:rFonts w:ascii="Arial" w:hAnsi="Arial" w:cs="Arial"/>
        </w:rPr>
        <w:t>L</w:t>
      </w:r>
      <w:r w:rsidR="00A35F85" w:rsidRPr="00113364">
        <w:rPr>
          <w:rFonts w:ascii="Arial" w:hAnsi="Arial" w:cs="Arial"/>
        </w:rPr>
        <w:t xml:space="preserve">earner </w:t>
      </w:r>
      <w:r w:rsidRPr="00113364">
        <w:rPr>
          <w:rFonts w:ascii="Arial" w:hAnsi="Arial" w:cs="Arial"/>
        </w:rPr>
        <w:t>A</w:t>
      </w:r>
      <w:r w:rsidR="00A35F85" w:rsidRPr="00113364">
        <w:rPr>
          <w:rFonts w:ascii="Arial" w:hAnsi="Arial" w:cs="Arial"/>
        </w:rPr>
        <w:t xml:space="preserve">dvisory </w:t>
      </w:r>
      <w:r w:rsidRPr="00113364">
        <w:rPr>
          <w:rFonts w:ascii="Arial" w:hAnsi="Arial" w:cs="Arial"/>
        </w:rPr>
        <w:t>C</w:t>
      </w:r>
      <w:r w:rsidR="00A35F85" w:rsidRPr="00113364">
        <w:rPr>
          <w:rFonts w:ascii="Arial" w:hAnsi="Arial" w:cs="Arial"/>
        </w:rPr>
        <w:t>ouncil</w:t>
      </w:r>
      <w:r w:rsidRPr="00113364">
        <w:rPr>
          <w:rFonts w:ascii="Arial" w:hAnsi="Arial" w:cs="Arial"/>
        </w:rPr>
        <w:t>, D</w:t>
      </w:r>
      <w:r w:rsidR="00A35F85" w:rsidRPr="00113364">
        <w:rPr>
          <w:rFonts w:ascii="Arial" w:hAnsi="Arial" w:cs="Arial"/>
        </w:rPr>
        <w:t xml:space="preserve">ual </w:t>
      </w:r>
      <w:r w:rsidRPr="00113364">
        <w:rPr>
          <w:rFonts w:ascii="Arial" w:hAnsi="Arial" w:cs="Arial"/>
        </w:rPr>
        <w:t>L</w:t>
      </w:r>
      <w:r w:rsidR="00A35F85" w:rsidRPr="00113364">
        <w:rPr>
          <w:rFonts w:ascii="Arial" w:hAnsi="Arial" w:cs="Arial"/>
        </w:rPr>
        <w:t xml:space="preserve">anguage </w:t>
      </w:r>
      <w:r w:rsidRPr="00113364">
        <w:rPr>
          <w:rFonts w:ascii="Arial" w:hAnsi="Arial" w:cs="Arial"/>
        </w:rPr>
        <w:t>A</w:t>
      </w:r>
      <w:r w:rsidR="00A35F85" w:rsidRPr="00113364">
        <w:rPr>
          <w:rFonts w:ascii="Arial" w:hAnsi="Arial" w:cs="Arial"/>
        </w:rPr>
        <w:t xml:space="preserve">dvisory </w:t>
      </w:r>
      <w:r w:rsidRPr="00113364">
        <w:rPr>
          <w:rFonts w:ascii="Arial" w:hAnsi="Arial" w:cs="Arial"/>
        </w:rPr>
        <w:t>C</w:t>
      </w:r>
      <w:r w:rsidR="00A35F85" w:rsidRPr="00113364">
        <w:rPr>
          <w:rFonts w:ascii="Arial" w:hAnsi="Arial" w:cs="Arial"/>
        </w:rPr>
        <w:t>ouncil</w:t>
      </w:r>
      <w:r w:rsidR="0006562C" w:rsidRPr="00113364">
        <w:rPr>
          <w:rFonts w:ascii="Arial" w:hAnsi="Arial" w:cs="Arial"/>
        </w:rPr>
        <w:t>, etc.)</w:t>
      </w:r>
      <w:r w:rsidR="00A567A7" w:rsidRPr="00113364">
        <w:rPr>
          <w:rFonts w:ascii="Arial" w:hAnsi="Arial" w:cs="Arial"/>
        </w:rPr>
        <w:t>.</w:t>
      </w:r>
    </w:p>
    <w:p w14:paraId="28FD0CEA" w14:textId="4C49D638" w:rsidR="00F1002A" w:rsidRPr="00113364" w:rsidRDefault="00F1002A">
      <w:pPr>
        <w:pStyle w:val="ListParagraph"/>
        <w:numPr>
          <w:ilvl w:val="0"/>
          <w:numId w:val="35"/>
        </w:numPr>
        <w:spacing w:before="240"/>
        <w:contextualSpacing w:val="0"/>
        <w:rPr>
          <w:rFonts w:ascii="Arial" w:hAnsi="Arial" w:cs="Arial"/>
        </w:rPr>
      </w:pPr>
      <w:r w:rsidRPr="00113364">
        <w:rPr>
          <w:rFonts w:ascii="Arial" w:hAnsi="Arial" w:cs="Arial"/>
        </w:rPr>
        <w:t>Increas</w:t>
      </w:r>
      <w:r w:rsidR="00383E3C">
        <w:rPr>
          <w:rFonts w:ascii="Arial" w:hAnsi="Arial" w:cs="Arial"/>
        </w:rPr>
        <w:t>ing</w:t>
      </w:r>
      <w:r w:rsidRPr="00113364">
        <w:rPr>
          <w:rFonts w:ascii="Arial" w:hAnsi="Arial" w:cs="Arial"/>
        </w:rPr>
        <w:t xml:space="preserve"> migrant high school students’ sense of belonging </w:t>
      </w:r>
      <w:r w:rsidR="0006562C" w:rsidRPr="00113364">
        <w:rPr>
          <w:rFonts w:ascii="Arial" w:hAnsi="Arial" w:cs="Arial"/>
        </w:rPr>
        <w:t>through mentoring opportunities</w:t>
      </w:r>
      <w:r w:rsidR="00792090">
        <w:rPr>
          <w:rFonts w:ascii="Arial" w:hAnsi="Arial" w:cs="Arial"/>
        </w:rPr>
        <w:t>.</w:t>
      </w:r>
    </w:p>
    <w:p w14:paraId="0EE53E4F" w14:textId="0F42D378" w:rsidR="00714FEB" w:rsidRPr="00113364" w:rsidRDefault="00BB4C7C" w:rsidP="00767B67">
      <w:pPr>
        <w:spacing w:before="240" w:after="240"/>
        <w:rPr>
          <w:rFonts w:ascii="Arial" w:hAnsi="Arial" w:cs="Arial"/>
        </w:rPr>
      </w:pPr>
      <w:r w:rsidRPr="00113364">
        <w:rPr>
          <w:rFonts w:ascii="Arial" w:hAnsi="Arial" w:cs="Arial"/>
        </w:rPr>
        <w:t xml:space="preserve">These strategies will only be </w:t>
      </w:r>
      <w:r w:rsidR="00737DC5">
        <w:rPr>
          <w:rFonts w:ascii="Arial" w:hAnsi="Arial" w:cs="Arial"/>
        </w:rPr>
        <w:t>encouraged</w:t>
      </w:r>
      <w:r w:rsidR="0006562C" w:rsidRPr="00113364">
        <w:rPr>
          <w:rFonts w:ascii="Arial" w:hAnsi="Arial" w:cs="Arial"/>
        </w:rPr>
        <w:t xml:space="preserve"> on an informal level</w:t>
      </w:r>
      <w:r w:rsidRPr="00113364">
        <w:rPr>
          <w:rFonts w:ascii="Arial" w:hAnsi="Arial" w:cs="Arial"/>
        </w:rPr>
        <w:t xml:space="preserve">, unless otherwise noted in California </w:t>
      </w:r>
      <w:r w:rsidRPr="00113364">
        <w:rPr>
          <w:rFonts w:ascii="Arial" w:hAnsi="Arial" w:cs="Arial"/>
          <w:i/>
        </w:rPr>
        <w:t>Education Code</w:t>
      </w:r>
      <w:r w:rsidR="004A1766">
        <w:rPr>
          <w:rFonts w:ascii="Arial" w:hAnsi="Arial" w:cs="Arial"/>
        </w:rPr>
        <w:t xml:space="preserve"> </w:t>
      </w:r>
      <w:r w:rsidRPr="00113364">
        <w:rPr>
          <w:rFonts w:ascii="Arial" w:hAnsi="Arial" w:cs="Arial"/>
        </w:rPr>
        <w:t xml:space="preserve">or as a term of </w:t>
      </w:r>
      <w:proofErr w:type="gramStart"/>
      <w:r w:rsidRPr="00113364">
        <w:rPr>
          <w:rFonts w:ascii="Arial" w:hAnsi="Arial" w:cs="Arial"/>
        </w:rPr>
        <w:t>the grant</w:t>
      </w:r>
      <w:proofErr w:type="gramEnd"/>
      <w:r w:rsidRPr="00113364">
        <w:rPr>
          <w:rFonts w:ascii="Arial" w:hAnsi="Arial" w:cs="Arial"/>
        </w:rPr>
        <w:t xml:space="preserve"> approval. </w:t>
      </w:r>
      <w:r w:rsidR="00EF59DB" w:rsidRPr="00113364">
        <w:rPr>
          <w:rFonts w:ascii="Arial" w:hAnsi="Arial" w:cs="Arial"/>
        </w:rPr>
        <w:t xml:space="preserve">The </w:t>
      </w:r>
      <w:r w:rsidR="004D4FC7" w:rsidRPr="00113364">
        <w:rPr>
          <w:rFonts w:ascii="Arial" w:hAnsi="Arial" w:cs="Arial"/>
        </w:rPr>
        <w:t>CNA SDP</w:t>
      </w:r>
      <w:r w:rsidR="00EF59DB" w:rsidRPr="00113364">
        <w:rPr>
          <w:rFonts w:ascii="Arial" w:hAnsi="Arial" w:cs="Arial"/>
        </w:rPr>
        <w:t xml:space="preserve"> Committee </w:t>
      </w:r>
      <w:r w:rsidRPr="00113364">
        <w:rPr>
          <w:rFonts w:ascii="Arial" w:hAnsi="Arial" w:cs="Arial"/>
        </w:rPr>
        <w:t>identified additional considerations for program improvement locally and at the state level</w:t>
      </w:r>
      <w:r w:rsidR="00953B61" w:rsidRPr="00113364">
        <w:rPr>
          <w:rFonts w:ascii="Arial" w:hAnsi="Arial" w:cs="Arial"/>
        </w:rPr>
        <w:t xml:space="preserve"> that could not be included in the general framework due to the sheer number of </w:t>
      </w:r>
      <w:r w:rsidR="00953B61" w:rsidRPr="00113364">
        <w:rPr>
          <w:rFonts w:ascii="Arial" w:hAnsi="Arial" w:cs="Arial"/>
        </w:rPr>
        <w:lastRenderedPageBreak/>
        <w:t>recommendations; however, the state, and possibly subgrantees, will lead e</w:t>
      </w:r>
      <w:r w:rsidR="00E30DA7" w:rsidRPr="00113364">
        <w:rPr>
          <w:rFonts w:ascii="Arial" w:hAnsi="Arial" w:cs="Arial"/>
        </w:rPr>
        <w:t xml:space="preserve">fforts to address some of these </w:t>
      </w:r>
      <w:r w:rsidR="00953B61" w:rsidRPr="00113364">
        <w:rPr>
          <w:rFonts w:ascii="Arial" w:hAnsi="Arial" w:cs="Arial"/>
        </w:rPr>
        <w:t>recommendations.</w:t>
      </w:r>
    </w:p>
    <w:p w14:paraId="0B941340" w14:textId="77777777" w:rsidR="004F6691" w:rsidRPr="00113364" w:rsidRDefault="002F7419" w:rsidP="003F0CBE">
      <w:pPr>
        <w:pStyle w:val="Heading3"/>
      </w:pPr>
      <w:bookmarkStart w:id="121" w:name="_Toc203568861"/>
      <w:r w:rsidRPr="00113364">
        <w:t xml:space="preserve">Additional </w:t>
      </w:r>
      <w:r w:rsidR="00724D10" w:rsidRPr="00113364">
        <w:t>Considerations for Program Improvement</w:t>
      </w:r>
      <w:bookmarkEnd w:id="121"/>
    </w:p>
    <w:p w14:paraId="4AB33AB8" w14:textId="06FA26D7" w:rsidR="0079266D" w:rsidRPr="00113364" w:rsidRDefault="0079266D" w:rsidP="00767B67">
      <w:pPr>
        <w:spacing w:after="240"/>
        <w:rPr>
          <w:rFonts w:ascii="Arial" w:hAnsi="Arial" w:cs="Arial"/>
        </w:rPr>
      </w:pPr>
      <w:r w:rsidRPr="00113364">
        <w:rPr>
          <w:rFonts w:ascii="Arial" w:hAnsi="Arial" w:cs="Arial"/>
        </w:rPr>
        <w:t xml:space="preserve">This section of the </w:t>
      </w:r>
      <w:r w:rsidR="00452477" w:rsidRPr="00113364">
        <w:rPr>
          <w:rFonts w:ascii="Arial" w:hAnsi="Arial" w:cs="Arial"/>
        </w:rPr>
        <w:t>SDP</w:t>
      </w:r>
      <w:r w:rsidRPr="00113364">
        <w:rPr>
          <w:rFonts w:ascii="Arial" w:hAnsi="Arial" w:cs="Arial"/>
        </w:rPr>
        <w:t xml:space="preserve"> outlines additional </w:t>
      </w:r>
      <w:r w:rsidR="00FB2C86" w:rsidRPr="00113364">
        <w:rPr>
          <w:rFonts w:ascii="Arial" w:hAnsi="Arial" w:cs="Arial"/>
        </w:rPr>
        <w:t>recommendations</w:t>
      </w:r>
      <w:r w:rsidRPr="00113364">
        <w:rPr>
          <w:rFonts w:ascii="Arial" w:hAnsi="Arial" w:cs="Arial"/>
        </w:rPr>
        <w:t xml:space="preserve"> for </w:t>
      </w:r>
      <w:r w:rsidR="00FB2C86" w:rsidRPr="00113364">
        <w:rPr>
          <w:rFonts w:ascii="Arial" w:hAnsi="Arial" w:cs="Arial"/>
        </w:rPr>
        <w:t>local and statewide</w:t>
      </w:r>
      <w:r w:rsidRPr="00113364">
        <w:rPr>
          <w:rFonts w:ascii="Arial" w:hAnsi="Arial" w:cs="Arial"/>
        </w:rPr>
        <w:t xml:space="preserve"> development of various components of</w:t>
      </w:r>
      <w:r w:rsidR="0006562C" w:rsidRPr="00113364">
        <w:rPr>
          <w:rFonts w:ascii="Arial" w:hAnsi="Arial" w:cs="Arial"/>
        </w:rPr>
        <w:t xml:space="preserve"> the MEP. More robust data need</w:t>
      </w:r>
      <w:r w:rsidR="00F60CB4">
        <w:rPr>
          <w:rFonts w:ascii="Arial" w:hAnsi="Arial" w:cs="Arial"/>
        </w:rPr>
        <w:t>s</w:t>
      </w:r>
      <w:r w:rsidRPr="00113364">
        <w:rPr>
          <w:rFonts w:ascii="Arial" w:hAnsi="Arial" w:cs="Arial"/>
        </w:rPr>
        <w:t xml:space="preserve"> to be collected for better evaluation of the needs identified within the CNA</w:t>
      </w:r>
      <w:r w:rsidR="00FB2C86" w:rsidRPr="00113364">
        <w:rPr>
          <w:rFonts w:ascii="Arial" w:hAnsi="Arial" w:cs="Arial"/>
        </w:rPr>
        <w:t xml:space="preserve"> as well as program impact</w:t>
      </w:r>
      <w:r w:rsidRPr="00113364">
        <w:rPr>
          <w:rFonts w:ascii="Arial" w:hAnsi="Arial" w:cs="Arial"/>
        </w:rPr>
        <w:t xml:space="preserve">. </w:t>
      </w:r>
      <w:r w:rsidR="00B90FA2" w:rsidRPr="00113364">
        <w:rPr>
          <w:rFonts w:ascii="Arial" w:hAnsi="Arial" w:cs="Arial"/>
        </w:rPr>
        <w:t xml:space="preserve">Additionally, the </w:t>
      </w:r>
      <w:r w:rsidR="004D4FC7" w:rsidRPr="00113364">
        <w:rPr>
          <w:rFonts w:ascii="Arial" w:hAnsi="Arial" w:cs="Arial"/>
        </w:rPr>
        <w:t>CNA SDP</w:t>
      </w:r>
      <w:r w:rsidR="00B90FA2" w:rsidRPr="00113364">
        <w:rPr>
          <w:rFonts w:ascii="Arial" w:hAnsi="Arial" w:cs="Arial"/>
        </w:rPr>
        <w:t xml:space="preserve"> Committee </w:t>
      </w:r>
      <w:r w:rsidR="00FB2C86" w:rsidRPr="00113364">
        <w:rPr>
          <w:rFonts w:ascii="Arial" w:hAnsi="Arial" w:cs="Arial"/>
        </w:rPr>
        <w:t>offered</w:t>
      </w:r>
      <w:r w:rsidR="00B90FA2" w:rsidRPr="00113364">
        <w:rPr>
          <w:rFonts w:ascii="Arial" w:hAnsi="Arial" w:cs="Arial"/>
        </w:rPr>
        <w:t xml:space="preserve"> recommendations</w:t>
      </w:r>
      <w:r w:rsidR="00834801" w:rsidRPr="00113364">
        <w:rPr>
          <w:rFonts w:ascii="Arial" w:hAnsi="Arial" w:cs="Arial"/>
        </w:rPr>
        <w:t xml:space="preserve"> in the areas of high school graduation, OSY</w:t>
      </w:r>
      <w:r w:rsidR="0006562C" w:rsidRPr="00113364">
        <w:rPr>
          <w:rFonts w:ascii="Arial" w:hAnsi="Arial" w:cs="Arial"/>
        </w:rPr>
        <w:t>,</w:t>
      </w:r>
      <w:r w:rsidR="00834801" w:rsidRPr="00113364">
        <w:rPr>
          <w:rFonts w:ascii="Arial" w:hAnsi="Arial" w:cs="Arial"/>
        </w:rPr>
        <w:t xml:space="preserve"> and student engagement.</w:t>
      </w:r>
      <w:r w:rsidRPr="00113364">
        <w:rPr>
          <w:rFonts w:ascii="Arial" w:hAnsi="Arial" w:cs="Arial"/>
        </w:rPr>
        <w:t xml:space="preserve"> </w:t>
      </w:r>
      <w:r w:rsidR="00AC7AA1" w:rsidRPr="00113364">
        <w:rPr>
          <w:rFonts w:ascii="Arial" w:hAnsi="Arial" w:cs="Arial"/>
        </w:rPr>
        <w:t xml:space="preserve">Further program guidance on parent and family involvement </w:t>
      </w:r>
      <w:proofErr w:type="gramStart"/>
      <w:r w:rsidR="00AC7AA1" w:rsidRPr="00113364">
        <w:rPr>
          <w:rFonts w:ascii="Arial" w:hAnsi="Arial" w:cs="Arial"/>
        </w:rPr>
        <w:t>are</w:t>
      </w:r>
      <w:proofErr w:type="gramEnd"/>
      <w:r w:rsidR="00AC7AA1" w:rsidRPr="00113364">
        <w:rPr>
          <w:rFonts w:ascii="Arial" w:hAnsi="Arial" w:cs="Arial"/>
        </w:rPr>
        <w:t xml:space="preserve"> identified in the </w:t>
      </w:r>
      <w:r w:rsidR="00AC7AA1" w:rsidRPr="00113364">
        <w:rPr>
          <w:rFonts w:ascii="Arial" w:hAnsi="Arial" w:cs="Arial"/>
          <w:i/>
        </w:rPr>
        <w:t>Parent Involvement Plan</w:t>
      </w:r>
      <w:r w:rsidR="00AC7AA1" w:rsidRPr="00113364">
        <w:rPr>
          <w:rFonts w:ascii="Arial" w:hAnsi="Arial" w:cs="Arial"/>
        </w:rPr>
        <w:t xml:space="preserve"> section.</w:t>
      </w:r>
    </w:p>
    <w:p w14:paraId="58E06EB9" w14:textId="77777777" w:rsidR="0079266D" w:rsidRPr="00113364" w:rsidRDefault="0019456D" w:rsidP="003F0CBE">
      <w:pPr>
        <w:pStyle w:val="Heading3"/>
      </w:pPr>
      <w:bookmarkStart w:id="122" w:name="_Toc203568862"/>
      <w:r w:rsidRPr="00113364">
        <w:t>Recommendations for Further Data Collection and Reporting</w:t>
      </w:r>
      <w:bookmarkEnd w:id="122"/>
    </w:p>
    <w:p w14:paraId="35048CCB" w14:textId="268E4D89" w:rsidR="0079266D" w:rsidRPr="00113364" w:rsidRDefault="00CB2692" w:rsidP="005A4784">
      <w:pPr>
        <w:spacing w:before="240"/>
        <w:rPr>
          <w:rFonts w:ascii="Arial" w:hAnsi="Arial" w:cs="Arial"/>
        </w:rPr>
      </w:pPr>
      <w:r w:rsidRPr="00113364">
        <w:rPr>
          <w:rFonts w:ascii="Arial" w:hAnsi="Arial" w:cs="Arial"/>
        </w:rPr>
        <w:t>O</w:t>
      </w:r>
      <w:r w:rsidR="00834801" w:rsidRPr="00113364">
        <w:rPr>
          <w:rFonts w:ascii="Arial" w:hAnsi="Arial" w:cs="Arial"/>
        </w:rPr>
        <w:t>utlining</w:t>
      </w:r>
      <w:r w:rsidRPr="00113364">
        <w:rPr>
          <w:rFonts w:ascii="Arial" w:hAnsi="Arial" w:cs="Arial"/>
        </w:rPr>
        <w:t xml:space="preserve"> </w:t>
      </w:r>
      <w:r w:rsidR="0079266D" w:rsidRPr="00113364">
        <w:rPr>
          <w:rFonts w:ascii="Arial" w:hAnsi="Arial" w:cs="Arial"/>
        </w:rPr>
        <w:t xml:space="preserve">a data plan for the next </w:t>
      </w:r>
      <w:r w:rsidRPr="00113364">
        <w:rPr>
          <w:rFonts w:ascii="Arial" w:hAnsi="Arial" w:cs="Arial"/>
        </w:rPr>
        <w:t xml:space="preserve">cycle of the </w:t>
      </w:r>
      <w:r w:rsidR="004D4FC7" w:rsidRPr="00113364">
        <w:rPr>
          <w:rFonts w:ascii="Arial" w:hAnsi="Arial" w:cs="Arial"/>
        </w:rPr>
        <w:t>CNA SDP</w:t>
      </w:r>
      <w:r w:rsidRPr="00113364">
        <w:rPr>
          <w:rFonts w:ascii="Arial" w:hAnsi="Arial" w:cs="Arial"/>
        </w:rPr>
        <w:t xml:space="preserve"> process, t</w:t>
      </w:r>
      <w:r w:rsidR="0079266D" w:rsidRPr="00113364">
        <w:rPr>
          <w:rFonts w:ascii="Arial" w:hAnsi="Arial" w:cs="Arial"/>
        </w:rPr>
        <w:t xml:space="preserve">he CDE </w:t>
      </w:r>
      <w:r w:rsidRPr="00113364">
        <w:rPr>
          <w:rFonts w:ascii="Arial" w:hAnsi="Arial" w:cs="Arial"/>
        </w:rPr>
        <w:t xml:space="preserve">and local partners </w:t>
      </w:r>
      <w:r w:rsidR="00233CA0" w:rsidRPr="00113364">
        <w:rPr>
          <w:rFonts w:ascii="Arial" w:hAnsi="Arial" w:cs="Arial"/>
        </w:rPr>
        <w:t xml:space="preserve">identified a need around </w:t>
      </w:r>
      <w:r w:rsidR="0079266D" w:rsidRPr="00113364">
        <w:rPr>
          <w:rFonts w:ascii="Arial" w:hAnsi="Arial" w:cs="Arial"/>
        </w:rPr>
        <w:t>data colle</w:t>
      </w:r>
      <w:r w:rsidR="00233CA0" w:rsidRPr="00113364">
        <w:rPr>
          <w:rFonts w:ascii="Arial" w:hAnsi="Arial" w:cs="Arial"/>
        </w:rPr>
        <w:t>ction, reporting</w:t>
      </w:r>
      <w:r w:rsidR="0006562C" w:rsidRPr="00113364">
        <w:rPr>
          <w:rFonts w:ascii="Arial" w:hAnsi="Arial" w:cs="Arial"/>
        </w:rPr>
        <w:t>,</w:t>
      </w:r>
      <w:r w:rsidR="00233CA0" w:rsidRPr="00113364">
        <w:rPr>
          <w:rFonts w:ascii="Arial" w:hAnsi="Arial" w:cs="Arial"/>
        </w:rPr>
        <w:t xml:space="preserve"> and training for</w:t>
      </w:r>
      <w:r w:rsidR="0079266D" w:rsidRPr="00113364">
        <w:rPr>
          <w:rFonts w:ascii="Arial" w:hAnsi="Arial" w:cs="Arial"/>
        </w:rPr>
        <w:t xml:space="preserve"> the following areas: </w:t>
      </w:r>
      <w:r w:rsidR="000448D5" w:rsidRPr="00113364">
        <w:rPr>
          <w:rFonts w:ascii="Arial" w:hAnsi="Arial" w:cs="Arial"/>
        </w:rPr>
        <w:t>ELA</w:t>
      </w:r>
      <w:r w:rsidR="0079266D" w:rsidRPr="00113364">
        <w:rPr>
          <w:rFonts w:ascii="Arial" w:hAnsi="Arial" w:cs="Arial"/>
        </w:rPr>
        <w:t xml:space="preserve">, high school </w:t>
      </w:r>
      <w:r w:rsidR="000448D5" w:rsidRPr="00113364">
        <w:rPr>
          <w:rFonts w:ascii="Arial" w:hAnsi="Arial" w:cs="Arial"/>
        </w:rPr>
        <w:t>case management</w:t>
      </w:r>
      <w:r w:rsidR="0079266D" w:rsidRPr="00113364">
        <w:rPr>
          <w:rFonts w:ascii="Arial" w:hAnsi="Arial" w:cs="Arial"/>
        </w:rPr>
        <w:t xml:space="preserve">, </w:t>
      </w:r>
      <w:r w:rsidR="000448D5" w:rsidRPr="00113364">
        <w:rPr>
          <w:rFonts w:ascii="Arial" w:hAnsi="Arial" w:cs="Arial"/>
        </w:rPr>
        <w:t>conducting an INA</w:t>
      </w:r>
      <w:r w:rsidR="0079266D" w:rsidRPr="00113364">
        <w:rPr>
          <w:rFonts w:ascii="Arial" w:hAnsi="Arial" w:cs="Arial"/>
        </w:rPr>
        <w:t>,</w:t>
      </w:r>
      <w:r w:rsidR="000448D5" w:rsidRPr="00113364">
        <w:rPr>
          <w:rFonts w:ascii="Arial" w:hAnsi="Arial" w:cs="Arial"/>
        </w:rPr>
        <w:t xml:space="preserve"> SEL, culturally sustaining pedagogy, integrated ELD</w:t>
      </w:r>
      <w:r w:rsidR="0006562C" w:rsidRPr="00113364">
        <w:rPr>
          <w:rFonts w:ascii="Arial" w:hAnsi="Arial" w:cs="Arial"/>
        </w:rPr>
        <w:t>,</w:t>
      </w:r>
      <w:r w:rsidR="0079266D" w:rsidRPr="00113364">
        <w:rPr>
          <w:rFonts w:ascii="Arial" w:hAnsi="Arial" w:cs="Arial"/>
        </w:rPr>
        <w:t xml:space="preserve"> and student engagement. </w:t>
      </w:r>
      <w:r w:rsidR="00233CA0" w:rsidRPr="00113364">
        <w:rPr>
          <w:rFonts w:ascii="Arial" w:hAnsi="Arial" w:cs="Arial"/>
        </w:rPr>
        <w:t>The followi</w:t>
      </w:r>
      <w:r w:rsidR="00D54B98" w:rsidRPr="00113364">
        <w:rPr>
          <w:rFonts w:ascii="Arial" w:hAnsi="Arial" w:cs="Arial"/>
        </w:rPr>
        <w:t>ng is an outline detailing</w:t>
      </w:r>
      <w:r w:rsidR="00233CA0" w:rsidRPr="00113364">
        <w:rPr>
          <w:rFonts w:ascii="Arial" w:hAnsi="Arial" w:cs="Arial"/>
        </w:rPr>
        <w:t xml:space="preserve"> objectives and action items:</w:t>
      </w:r>
    </w:p>
    <w:p w14:paraId="0A9A1C92" w14:textId="77777777" w:rsidR="0079266D" w:rsidRPr="00113364" w:rsidRDefault="00233CA0" w:rsidP="005A4784">
      <w:pPr>
        <w:spacing w:before="240"/>
        <w:rPr>
          <w:rFonts w:ascii="Arial" w:hAnsi="Arial" w:cs="Arial"/>
        </w:rPr>
      </w:pPr>
      <w:r w:rsidRPr="00113364">
        <w:rPr>
          <w:rFonts w:ascii="Arial" w:hAnsi="Arial" w:cs="Arial"/>
        </w:rPr>
        <w:t>Over</w:t>
      </w:r>
      <w:r w:rsidR="0079266D" w:rsidRPr="00113364">
        <w:rPr>
          <w:rFonts w:ascii="Arial" w:hAnsi="Arial" w:cs="Arial"/>
        </w:rPr>
        <w:t xml:space="preserve"> the next three years, the CDE will take the following steps to collect more robust data to measure</w:t>
      </w:r>
      <w:r w:rsidRPr="00113364">
        <w:rPr>
          <w:rFonts w:ascii="Arial" w:hAnsi="Arial" w:cs="Arial"/>
        </w:rPr>
        <w:t xml:space="preserve"> the specific impact of program services for the </w:t>
      </w:r>
      <w:r w:rsidR="00747ECB" w:rsidRPr="00113364">
        <w:rPr>
          <w:rFonts w:ascii="Arial" w:hAnsi="Arial" w:cs="Arial"/>
        </w:rPr>
        <w:t xml:space="preserve">focus </w:t>
      </w:r>
      <w:r w:rsidRPr="00113364">
        <w:rPr>
          <w:rFonts w:ascii="Arial" w:hAnsi="Arial" w:cs="Arial"/>
        </w:rPr>
        <w:t>areas identified above</w:t>
      </w:r>
      <w:r w:rsidR="00DC0C63" w:rsidRPr="00113364">
        <w:rPr>
          <w:rFonts w:ascii="Arial" w:hAnsi="Arial" w:cs="Arial"/>
        </w:rPr>
        <w:t>:</w:t>
      </w:r>
    </w:p>
    <w:p w14:paraId="5546B1D4" w14:textId="638E317B" w:rsidR="0079266D" w:rsidRPr="00113364" w:rsidRDefault="00F16401">
      <w:pPr>
        <w:pStyle w:val="ListParagraph"/>
        <w:numPr>
          <w:ilvl w:val="0"/>
          <w:numId w:val="18"/>
        </w:numPr>
        <w:spacing w:before="240"/>
        <w:contextualSpacing w:val="0"/>
        <w:rPr>
          <w:rFonts w:ascii="Arial" w:hAnsi="Arial" w:cs="Arial"/>
        </w:rPr>
      </w:pPr>
      <w:r w:rsidRPr="00113364">
        <w:rPr>
          <w:rFonts w:ascii="Arial" w:hAnsi="Arial" w:cs="Arial"/>
        </w:rPr>
        <w:t>Collaborate with</w:t>
      </w:r>
      <w:r w:rsidR="0079266D" w:rsidRPr="00113364">
        <w:rPr>
          <w:rFonts w:ascii="Arial" w:hAnsi="Arial" w:cs="Arial"/>
        </w:rPr>
        <w:t xml:space="preserve"> </w:t>
      </w:r>
      <w:r w:rsidR="00BA03C8" w:rsidRPr="00113364">
        <w:rPr>
          <w:rFonts w:ascii="Arial" w:hAnsi="Arial" w:cs="Arial"/>
        </w:rPr>
        <w:t>partners to</w:t>
      </w:r>
      <w:r w:rsidR="0079266D" w:rsidRPr="00113364">
        <w:rPr>
          <w:rFonts w:ascii="Arial" w:hAnsi="Arial" w:cs="Arial"/>
        </w:rPr>
        <w:t xml:space="preserve"> </w:t>
      </w:r>
      <w:r w:rsidR="00BA03C8" w:rsidRPr="00113364">
        <w:rPr>
          <w:rFonts w:ascii="Arial" w:hAnsi="Arial" w:cs="Arial"/>
        </w:rPr>
        <w:t>develop the</w:t>
      </w:r>
      <w:r w:rsidR="0079266D" w:rsidRPr="00113364">
        <w:rPr>
          <w:rFonts w:ascii="Arial" w:hAnsi="Arial" w:cs="Arial"/>
        </w:rPr>
        <w:t xml:space="preserve"> </w:t>
      </w:r>
      <w:r w:rsidR="000448D5" w:rsidRPr="00113364">
        <w:rPr>
          <w:rFonts w:ascii="Arial" w:hAnsi="Arial" w:cs="Arial"/>
        </w:rPr>
        <w:t>MPO Reports to measure annual progress</w:t>
      </w:r>
      <w:r w:rsidR="0079266D" w:rsidRPr="00113364">
        <w:rPr>
          <w:rFonts w:ascii="Arial" w:hAnsi="Arial" w:cs="Arial"/>
        </w:rPr>
        <w:t>.</w:t>
      </w:r>
    </w:p>
    <w:p w14:paraId="1420F2FA" w14:textId="77777777" w:rsidR="0079266D" w:rsidRPr="00113364" w:rsidRDefault="0079266D">
      <w:pPr>
        <w:pStyle w:val="ListParagraph"/>
        <w:numPr>
          <w:ilvl w:val="1"/>
          <w:numId w:val="18"/>
        </w:numPr>
        <w:spacing w:before="240"/>
        <w:contextualSpacing w:val="0"/>
        <w:rPr>
          <w:rFonts w:ascii="Arial" w:hAnsi="Arial" w:cs="Arial"/>
        </w:rPr>
      </w:pPr>
      <w:r w:rsidRPr="00113364">
        <w:rPr>
          <w:rFonts w:ascii="Arial" w:hAnsi="Arial" w:cs="Arial"/>
        </w:rPr>
        <w:t xml:space="preserve">Discuss </w:t>
      </w:r>
      <w:r w:rsidR="0044137F" w:rsidRPr="00113364">
        <w:rPr>
          <w:rFonts w:ascii="Arial" w:hAnsi="Arial" w:cs="Arial"/>
        </w:rPr>
        <w:t>the following</w:t>
      </w:r>
      <w:r w:rsidRPr="00113364">
        <w:rPr>
          <w:rFonts w:ascii="Arial" w:hAnsi="Arial" w:cs="Arial"/>
        </w:rPr>
        <w:t xml:space="preserve">: 1) </w:t>
      </w:r>
      <w:r w:rsidR="00B01949" w:rsidRPr="00113364">
        <w:rPr>
          <w:rFonts w:ascii="Arial" w:hAnsi="Arial" w:cs="Arial"/>
        </w:rPr>
        <w:t xml:space="preserve">timeline for project development and implementation 2) </w:t>
      </w:r>
      <w:r w:rsidR="0044137F" w:rsidRPr="00113364">
        <w:rPr>
          <w:rFonts w:ascii="Arial" w:hAnsi="Arial" w:cs="Arial"/>
        </w:rPr>
        <w:t xml:space="preserve">a tool that </w:t>
      </w:r>
      <w:r w:rsidR="00F16401" w:rsidRPr="00113364">
        <w:rPr>
          <w:rFonts w:ascii="Arial" w:hAnsi="Arial" w:cs="Arial"/>
        </w:rPr>
        <w:t xml:space="preserve">measures </w:t>
      </w:r>
      <w:proofErr w:type="gramStart"/>
      <w:r w:rsidR="00F16401" w:rsidRPr="00113364">
        <w:rPr>
          <w:rFonts w:ascii="Arial" w:hAnsi="Arial" w:cs="Arial"/>
        </w:rPr>
        <w:t>change</w:t>
      </w:r>
      <w:proofErr w:type="gramEnd"/>
      <w:r w:rsidRPr="00113364">
        <w:rPr>
          <w:rFonts w:ascii="Arial" w:hAnsi="Arial" w:cs="Arial"/>
        </w:rPr>
        <w:t xml:space="preserve"> in </w:t>
      </w:r>
      <w:r w:rsidR="00F16401" w:rsidRPr="00113364">
        <w:rPr>
          <w:rFonts w:ascii="Arial" w:hAnsi="Arial" w:cs="Arial"/>
        </w:rPr>
        <w:t>skills,</w:t>
      </w:r>
      <w:r w:rsidRPr="00113364">
        <w:rPr>
          <w:rFonts w:ascii="Arial" w:hAnsi="Arial" w:cs="Arial"/>
        </w:rPr>
        <w:t xml:space="preserve"> knowledge</w:t>
      </w:r>
      <w:r w:rsidR="00F16401" w:rsidRPr="00113364">
        <w:rPr>
          <w:rFonts w:ascii="Arial" w:hAnsi="Arial" w:cs="Arial"/>
        </w:rPr>
        <w:t>, behavior, etc.</w:t>
      </w:r>
      <w:r w:rsidR="00B01949" w:rsidRPr="00113364">
        <w:rPr>
          <w:rFonts w:ascii="Arial" w:hAnsi="Arial" w:cs="Arial"/>
        </w:rPr>
        <w:t>, 3</w:t>
      </w:r>
      <w:r w:rsidRPr="00113364">
        <w:rPr>
          <w:rFonts w:ascii="Arial" w:hAnsi="Arial" w:cs="Arial"/>
        </w:rPr>
        <w:t xml:space="preserve">) is </w:t>
      </w:r>
      <w:r w:rsidR="00F16401" w:rsidRPr="00113364">
        <w:rPr>
          <w:rFonts w:ascii="Arial" w:hAnsi="Arial" w:cs="Arial"/>
        </w:rPr>
        <w:t xml:space="preserve">it </w:t>
      </w:r>
      <w:r w:rsidRPr="00113364">
        <w:rPr>
          <w:rFonts w:ascii="Arial" w:hAnsi="Arial" w:cs="Arial"/>
        </w:rPr>
        <w:t>feasible to</w:t>
      </w:r>
      <w:r w:rsidR="0044137F" w:rsidRPr="00113364">
        <w:rPr>
          <w:rFonts w:ascii="Arial" w:hAnsi="Arial" w:cs="Arial"/>
        </w:rPr>
        <w:t xml:space="preserve"> implement</w:t>
      </w:r>
      <w:r w:rsidR="00B01949" w:rsidRPr="00113364">
        <w:rPr>
          <w:rFonts w:ascii="Arial" w:hAnsi="Arial" w:cs="Arial"/>
        </w:rPr>
        <w:t>, 4</w:t>
      </w:r>
      <w:r w:rsidRPr="00113364">
        <w:rPr>
          <w:rFonts w:ascii="Arial" w:hAnsi="Arial" w:cs="Arial"/>
        </w:rPr>
        <w:t>) the data c</w:t>
      </w:r>
      <w:r w:rsidR="00B01949" w:rsidRPr="00113364">
        <w:rPr>
          <w:rFonts w:ascii="Arial" w:hAnsi="Arial" w:cs="Arial"/>
        </w:rPr>
        <w:t>ollection and storage process, 5) data security measures, and 6</w:t>
      </w:r>
      <w:r w:rsidRPr="00113364">
        <w:rPr>
          <w:rFonts w:ascii="Arial" w:hAnsi="Arial" w:cs="Arial"/>
        </w:rPr>
        <w:t>) data reporting at the local and state levels.</w:t>
      </w:r>
    </w:p>
    <w:p w14:paraId="4F1615F2" w14:textId="77777777" w:rsidR="0079266D" w:rsidRPr="00113364" w:rsidRDefault="00B01949">
      <w:pPr>
        <w:pStyle w:val="ListParagraph"/>
        <w:numPr>
          <w:ilvl w:val="0"/>
          <w:numId w:val="18"/>
        </w:numPr>
        <w:spacing w:before="240" w:after="240"/>
        <w:contextualSpacing w:val="0"/>
        <w:rPr>
          <w:rFonts w:ascii="Arial" w:hAnsi="Arial" w:cs="Arial"/>
        </w:rPr>
      </w:pPr>
      <w:r w:rsidRPr="00113364">
        <w:rPr>
          <w:rFonts w:ascii="Arial" w:hAnsi="Arial" w:cs="Arial"/>
        </w:rPr>
        <w:t xml:space="preserve">Develop the following </w:t>
      </w:r>
      <w:r w:rsidR="0079266D" w:rsidRPr="00113364">
        <w:rPr>
          <w:rFonts w:ascii="Arial" w:hAnsi="Arial" w:cs="Arial"/>
        </w:rPr>
        <w:t xml:space="preserve">milestones </w:t>
      </w:r>
      <w:r w:rsidRPr="00113364">
        <w:rPr>
          <w:rFonts w:ascii="Arial" w:hAnsi="Arial" w:cs="Arial"/>
        </w:rPr>
        <w:t>for project implementation</w:t>
      </w:r>
      <w:r w:rsidR="0079266D" w:rsidRPr="00113364">
        <w:rPr>
          <w:rFonts w:ascii="Arial" w:hAnsi="Arial" w:cs="Arial"/>
        </w:rPr>
        <w:t>.</w:t>
      </w:r>
    </w:p>
    <w:p w14:paraId="1D54B670" w14:textId="77777777" w:rsidR="00BD4F35" w:rsidRPr="00113364" w:rsidRDefault="0079266D">
      <w:pPr>
        <w:pStyle w:val="ListParagraph"/>
        <w:numPr>
          <w:ilvl w:val="1"/>
          <w:numId w:val="18"/>
        </w:numPr>
        <w:spacing w:after="240"/>
        <w:contextualSpacing w:val="0"/>
        <w:rPr>
          <w:rFonts w:ascii="Arial" w:hAnsi="Arial" w:cs="Arial"/>
        </w:rPr>
      </w:pPr>
      <w:r w:rsidRPr="00113364">
        <w:rPr>
          <w:rFonts w:ascii="Arial" w:hAnsi="Arial" w:cs="Arial"/>
        </w:rPr>
        <w:t xml:space="preserve">Develop and implement a state-standardized evaluation tool to identify the impact of the </w:t>
      </w:r>
      <w:r w:rsidR="00B01949" w:rsidRPr="00113364">
        <w:rPr>
          <w:rFonts w:ascii="Arial" w:hAnsi="Arial" w:cs="Arial"/>
        </w:rPr>
        <w:t>service</w:t>
      </w:r>
      <w:r w:rsidRPr="00113364">
        <w:rPr>
          <w:rFonts w:ascii="Arial" w:hAnsi="Arial" w:cs="Arial"/>
        </w:rPr>
        <w:t>.</w:t>
      </w:r>
    </w:p>
    <w:p w14:paraId="55E7B224" w14:textId="7DA172E0" w:rsidR="0079266D" w:rsidRPr="00113364" w:rsidRDefault="0079266D">
      <w:pPr>
        <w:pStyle w:val="ListParagraph"/>
        <w:numPr>
          <w:ilvl w:val="1"/>
          <w:numId w:val="18"/>
        </w:numPr>
        <w:spacing w:after="240"/>
        <w:contextualSpacing w:val="0"/>
        <w:rPr>
          <w:rFonts w:ascii="Arial" w:hAnsi="Arial" w:cs="Arial"/>
        </w:rPr>
      </w:pPr>
      <w:r w:rsidRPr="00113364">
        <w:rPr>
          <w:rFonts w:ascii="Arial" w:hAnsi="Arial" w:cs="Arial"/>
        </w:rPr>
        <w:t>Train MEP staff on the importance of the evaluation tool and how to utilize the tool through a standardized process to reduce error</w:t>
      </w:r>
      <w:r w:rsidR="00D54B98" w:rsidRPr="00113364">
        <w:rPr>
          <w:rFonts w:ascii="Arial" w:hAnsi="Arial" w:cs="Arial"/>
        </w:rPr>
        <w:t>s</w:t>
      </w:r>
      <w:r w:rsidRPr="00113364">
        <w:rPr>
          <w:rFonts w:ascii="Arial" w:hAnsi="Arial" w:cs="Arial"/>
        </w:rPr>
        <w:t xml:space="preserve"> in data collection methods.</w:t>
      </w:r>
    </w:p>
    <w:p w14:paraId="34A9E58C" w14:textId="77777777" w:rsidR="0079266D" w:rsidRPr="00113364" w:rsidRDefault="0079266D">
      <w:pPr>
        <w:pStyle w:val="ListParagraph"/>
        <w:numPr>
          <w:ilvl w:val="1"/>
          <w:numId w:val="18"/>
        </w:numPr>
        <w:rPr>
          <w:rFonts w:ascii="Arial" w:hAnsi="Arial" w:cs="Arial"/>
        </w:rPr>
      </w:pPr>
      <w:r w:rsidRPr="00113364">
        <w:rPr>
          <w:rFonts w:ascii="Arial" w:hAnsi="Arial" w:cs="Arial"/>
        </w:rPr>
        <w:t xml:space="preserve">Provide professional development time to review </w:t>
      </w:r>
      <w:r w:rsidR="00BD4F35" w:rsidRPr="00113364">
        <w:rPr>
          <w:rFonts w:ascii="Arial" w:hAnsi="Arial" w:cs="Arial"/>
        </w:rPr>
        <w:t xml:space="preserve">relevant </w:t>
      </w:r>
      <w:r w:rsidRPr="00113364">
        <w:rPr>
          <w:rFonts w:ascii="Arial" w:hAnsi="Arial" w:cs="Arial"/>
        </w:rPr>
        <w:t>data to employ during discussions of continuous program service improvement.</w:t>
      </w:r>
    </w:p>
    <w:p w14:paraId="1C264F4F" w14:textId="4558260A" w:rsidR="001C61F0" w:rsidRPr="00113364" w:rsidRDefault="00AC7AA1">
      <w:pPr>
        <w:pStyle w:val="ListParagraph"/>
        <w:numPr>
          <w:ilvl w:val="0"/>
          <w:numId w:val="18"/>
        </w:numPr>
        <w:spacing w:before="240"/>
        <w:contextualSpacing w:val="0"/>
        <w:rPr>
          <w:rFonts w:ascii="Arial" w:hAnsi="Arial" w:cs="Arial"/>
        </w:rPr>
      </w:pPr>
      <w:r w:rsidRPr="00113364">
        <w:rPr>
          <w:rFonts w:ascii="Arial" w:hAnsi="Arial" w:cs="Arial"/>
        </w:rPr>
        <w:t>Impleme</w:t>
      </w:r>
      <w:r w:rsidR="001C61F0" w:rsidRPr="00113364">
        <w:rPr>
          <w:rFonts w:ascii="Arial" w:hAnsi="Arial" w:cs="Arial"/>
        </w:rPr>
        <w:t>nt the data collection process and tool</w:t>
      </w:r>
      <w:r w:rsidRPr="00113364">
        <w:rPr>
          <w:rFonts w:ascii="Arial" w:hAnsi="Arial" w:cs="Arial"/>
        </w:rPr>
        <w:t xml:space="preserve"> statewide and reevaluate the process during the next cycle of the CNA and </w:t>
      </w:r>
      <w:r w:rsidR="00452477" w:rsidRPr="00113364">
        <w:rPr>
          <w:rFonts w:ascii="Arial" w:hAnsi="Arial" w:cs="Arial"/>
        </w:rPr>
        <w:t>SDP</w:t>
      </w:r>
      <w:r w:rsidRPr="00113364">
        <w:rPr>
          <w:rFonts w:ascii="Arial" w:hAnsi="Arial" w:cs="Arial"/>
        </w:rPr>
        <w:t xml:space="preserve"> development.</w:t>
      </w:r>
    </w:p>
    <w:p w14:paraId="04BD4712" w14:textId="11B752ED" w:rsidR="00071F66" w:rsidRPr="00113364" w:rsidRDefault="00071F66" w:rsidP="005A4784">
      <w:pPr>
        <w:spacing w:before="240"/>
        <w:rPr>
          <w:rFonts w:ascii="Arial" w:hAnsi="Arial" w:cs="Arial"/>
        </w:rPr>
      </w:pPr>
      <w:r w:rsidRPr="00113364">
        <w:rPr>
          <w:rFonts w:ascii="Arial" w:hAnsi="Arial" w:cs="Arial"/>
        </w:rPr>
        <w:lastRenderedPageBreak/>
        <w:t xml:space="preserve">Additionally, the CDE is working with </w:t>
      </w:r>
      <w:r w:rsidR="00FA42F2" w:rsidRPr="00113364">
        <w:rPr>
          <w:rFonts w:ascii="Arial" w:hAnsi="Arial" w:cs="Arial"/>
        </w:rPr>
        <w:t xml:space="preserve">partners on two fronts: </w:t>
      </w:r>
      <w:r w:rsidR="001C61F0" w:rsidRPr="00113364">
        <w:rPr>
          <w:rFonts w:ascii="Arial" w:hAnsi="Arial" w:cs="Arial"/>
        </w:rPr>
        <w:t>(</w:t>
      </w:r>
      <w:r w:rsidR="00FA42F2" w:rsidRPr="00113364">
        <w:rPr>
          <w:rFonts w:ascii="Arial" w:hAnsi="Arial" w:cs="Arial"/>
        </w:rPr>
        <w:t xml:space="preserve">1) </w:t>
      </w:r>
      <w:r w:rsidR="001260BB" w:rsidRPr="00113364">
        <w:rPr>
          <w:rFonts w:ascii="Arial" w:hAnsi="Arial" w:cs="Arial"/>
        </w:rPr>
        <w:t>to increase migratory student participation</w:t>
      </w:r>
      <w:r w:rsidR="001C61F0" w:rsidRPr="00113364">
        <w:rPr>
          <w:rFonts w:ascii="Arial" w:hAnsi="Arial" w:cs="Arial"/>
        </w:rPr>
        <w:t xml:space="preserve"> i</w:t>
      </w:r>
      <w:r w:rsidR="00FA42F2" w:rsidRPr="00113364">
        <w:rPr>
          <w:rFonts w:ascii="Arial" w:hAnsi="Arial" w:cs="Arial"/>
        </w:rPr>
        <w:t>n</w:t>
      </w:r>
      <w:r w:rsidR="001C61F0" w:rsidRPr="00113364">
        <w:rPr>
          <w:rFonts w:ascii="Arial" w:hAnsi="Arial" w:cs="Arial"/>
        </w:rPr>
        <w:t xml:space="preserve"> the</w:t>
      </w:r>
      <w:r w:rsidR="00FA42F2" w:rsidRPr="00113364">
        <w:rPr>
          <w:rFonts w:ascii="Arial" w:hAnsi="Arial" w:cs="Arial"/>
        </w:rPr>
        <w:t xml:space="preserve"> California’s Healthy Kids Survey</w:t>
      </w:r>
      <w:r w:rsidR="001260BB" w:rsidRPr="00113364">
        <w:rPr>
          <w:rFonts w:ascii="Arial" w:hAnsi="Arial" w:cs="Arial"/>
        </w:rPr>
        <w:t xml:space="preserve"> with the possible result of getting a representative sample that will support the MEPs efforts to pr</w:t>
      </w:r>
      <w:r w:rsidR="00FA42F2" w:rsidRPr="00113364">
        <w:rPr>
          <w:rFonts w:ascii="Arial" w:hAnsi="Arial" w:cs="Arial"/>
        </w:rPr>
        <w:t xml:space="preserve">ovide targeted health services, and </w:t>
      </w:r>
      <w:r w:rsidR="001C61F0" w:rsidRPr="00113364">
        <w:rPr>
          <w:rFonts w:ascii="Arial" w:hAnsi="Arial" w:cs="Arial"/>
        </w:rPr>
        <w:t>(</w:t>
      </w:r>
      <w:r w:rsidR="00FA42F2" w:rsidRPr="00113364">
        <w:rPr>
          <w:rFonts w:ascii="Arial" w:hAnsi="Arial" w:cs="Arial"/>
        </w:rPr>
        <w:t xml:space="preserve">2) </w:t>
      </w:r>
      <w:r w:rsidR="00AC0184" w:rsidRPr="00113364">
        <w:rPr>
          <w:rFonts w:ascii="Arial" w:hAnsi="Arial" w:cs="Arial"/>
        </w:rPr>
        <w:t>refine the M</w:t>
      </w:r>
      <w:r w:rsidR="00B542CB">
        <w:rPr>
          <w:rFonts w:ascii="Arial" w:hAnsi="Arial" w:cs="Arial"/>
        </w:rPr>
        <w:t>SIN</w:t>
      </w:r>
      <w:r w:rsidR="00AC0184" w:rsidRPr="00113364">
        <w:rPr>
          <w:rFonts w:ascii="Arial" w:hAnsi="Arial" w:cs="Arial"/>
        </w:rPr>
        <w:t xml:space="preserve"> to include data collection methods for both </w:t>
      </w:r>
      <w:r w:rsidR="00940B6C" w:rsidRPr="00113364">
        <w:rPr>
          <w:rFonts w:ascii="Arial" w:hAnsi="Arial" w:cs="Arial"/>
        </w:rPr>
        <w:t>measurable program outcomes</w:t>
      </w:r>
      <w:r w:rsidR="00AC0184" w:rsidRPr="00113364">
        <w:rPr>
          <w:rFonts w:ascii="Arial" w:hAnsi="Arial" w:cs="Arial"/>
        </w:rPr>
        <w:t xml:space="preserve"> and </w:t>
      </w:r>
      <w:r w:rsidR="00EF750E" w:rsidRPr="00113364">
        <w:rPr>
          <w:rFonts w:ascii="Arial" w:hAnsi="Arial" w:cs="Arial"/>
        </w:rPr>
        <w:t>performance targets</w:t>
      </w:r>
      <w:r w:rsidR="00AC0184" w:rsidRPr="00113364">
        <w:rPr>
          <w:rFonts w:ascii="Arial" w:hAnsi="Arial" w:cs="Arial"/>
        </w:rPr>
        <w:t xml:space="preserve"> (see the </w:t>
      </w:r>
      <w:r w:rsidR="00BA03C8" w:rsidRPr="00113364">
        <w:rPr>
          <w:rFonts w:ascii="Arial" w:hAnsi="Arial" w:cs="Arial"/>
        </w:rPr>
        <w:t>Evaluation</w:t>
      </w:r>
      <w:r w:rsidR="00ED68F8" w:rsidRPr="00113364">
        <w:rPr>
          <w:rFonts w:ascii="Arial" w:hAnsi="Arial" w:cs="Arial"/>
        </w:rPr>
        <w:t xml:space="preserve"> Plan</w:t>
      </w:r>
      <w:r w:rsidR="00AC0184" w:rsidRPr="00113364">
        <w:rPr>
          <w:rFonts w:ascii="Arial" w:hAnsi="Arial" w:cs="Arial"/>
        </w:rPr>
        <w:t xml:space="preserve"> section for more information on these elements).</w:t>
      </w:r>
    </w:p>
    <w:p w14:paraId="6C5C27F2" w14:textId="77777777" w:rsidR="00AC7AA1" w:rsidRPr="00113364" w:rsidRDefault="0019456D" w:rsidP="002103F7">
      <w:pPr>
        <w:pStyle w:val="Heading4"/>
      </w:pPr>
      <w:r w:rsidRPr="00113364">
        <w:t xml:space="preserve">Additional </w:t>
      </w:r>
      <w:r w:rsidR="00A57CCE" w:rsidRPr="00113364">
        <w:t>Considerations</w:t>
      </w:r>
      <w:r w:rsidRPr="00113364">
        <w:t xml:space="preserve"> for </w:t>
      </w:r>
      <w:r w:rsidR="00AC7AA1" w:rsidRPr="00113364">
        <w:t>High School Graduation and Dropout</w:t>
      </w:r>
      <w:r w:rsidR="001C61F0" w:rsidRPr="00113364">
        <w:t xml:space="preserve"> Rates</w:t>
      </w:r>
    </w:p>
    <w:p w14:paraId="267567C6" w14:textId="588C3A0B" w:rsidR="0019456D" w:rsidRPr="00113364" w:rsidRDefault="0019456D" w:rsidP="005A4784">
      <w:pPr>
        <w:spacing w:before="240"/>
        <w:rPr>
          <w:rFonts w:ascii="Arial" w:hAnsi="Arial" w:cs="Arial"/>
        </w:rPr>
      </w:pPr>
      <w:r w:rsidRPr="00113364">
        <w:rPr>
          <w:rFonts w:ascii="Arial" w:hAnsi="Arial" w:cs="Arial"/>
        </w:rPr>
        <w:t xml:space="preserve">In addition to increasing the high school graduation rate and decreasing the dropout rate, </w:t>
      </w:r>
      <w:r w:rsidR="00EF59DB" w:rsidRPr="00113364">
        <w:rPr>
          <w:rFonts w:ascii="Arial" w:hAnsi="Arial" w:cs="Arial"/>
        </w:rPr>
        <w:t xml:space="preserve">the committee </w:t>
      </w:r>
      <w:r w:rsidRPr="00113364">
        <w:rPr>
          <w:rFonts w:ascii="Arial" w:hAnsi="Arial" w:cs="Arial"/>
        </w:rPr>
        <w:t>offered additional strategies for local MEPs to consider:</w:t>
      </w:r>
    </w:p>
    <w:p w14:paraId="011AF053" w14:textId="7C57CEA6" w:rsidR="0019456D" w:rsidRPr="00113364" w:rsidRDefault="0019456D" w:rsidP="002E2476">
      <w:pPr>
        <w:pStyle w:val="ListParagraph"/>
        <w:numPr>
          <w:ilvl w:val="0"/>
          <w:numId w:val="11"/>
        </w:numPr>
        <w:spacing w:before="240" w:after="240"/>
        <w:contextualSpacing w:val="0"/>
        <w:rPr>
          <w:rFonts w:ascii="Arial" w:hAnsi="Arial" w:cs="Arial"/>
        </w:rPr>
      </w:pPr>
      <w:r w:rsidRPr="00113364">
        <w:rPr>
          <w:rFonts w:ascii="Arial" w:hAnsi="Arial" w:cs="Arial"/>
        </w:rPr>
        <w:t>Support for long-term EL</w:t>
      </w:r>
      <w:r w:rsidR="00EF59DB" w:rsidRPr="00113364">
        <w:rPr>
          <w:rFonts w:ascii="Arial" w:hAnsi="Arial" w:cs="Arial"/>
        </w:rPr>
        <w:t xml:space="preserve"> </w:t>
      </w:r>
      <w:r w:rsidRPr="00113364">
        <w:rPr>
          <w:rFonts w:ascii="Arial" w:hAnsi="Arial" w:cs="Arial"/>
        </w:rPr>
        <w:t>s</w:t>
      </w:r>
      <w:r w:rsidR="00EF59DB" w:rsidRPr="00113364">
        <w:rPr>
          <w:rFonts w:ascii="Arial" w:hAnsi="Arial" w:cs="Arial"/>
        </w:rPr>
        <w:t>tudents</w:t>
      </w:r>
      <w:r w:rsidRPr="00113364">
        <w:rPr>
          <w:rFonts w:ascii="Arial" w:hAnsi="Arial" w:cs="Arial"/>
        </w:rPr>
        <w:t xml:space="preserve"> – </w:t>
      </w:r>
      <w:r w:rsidR="000448D5" w:rsidRPr="00113364">
        <w:rPr>
          <w:rFonts w:ascii="Arial" w:hAnsi="Arial" w:cs="Arial"/>
        </w:rPr>
        <w:t>The CDE Data and Management and c</w:t>
      </w:r>
      <w:r w:rsidR="0004661B" w:rsidRPr="00113364">
        <w:rPr>
          <w:rFonts w:ascii="Arial" w:hAnsi="Arial" w:cs="Arial"/>
        </w:rPr>
        <w:t xml:space="preserve">ommittee members </w:t>
      </w:r>
      <w:r w:rsidRPr="00113364">
        <w:rPr>
          <w:rFonts w:ascii="Arial" w:hAnsi="Arial" w:cs="Arial"/>
        </w:rPr>
        <w:t>believe that long-term EL students do not receive enough support to meet their academic needs. The hypothesis is that long-term</w:t>
      </w:r>
      <w:r w:rsidR="001C61F0" w:rsidRPr="00113364">
        <w:rPr>
          <w:rFonts w:ascii="Arial" w:hAnsi="Arial" w:cs="Arial"/>
        </w:rPr>
        <w:t xml:space="preserve"> </w:t>
      </w:r>
      <w:r w:rsidR="002E2476" w:rsidRPr="00113364">
        <w:rPr>
          <w:rFonts w:ascii="Arial" w:hAnsi="Arial" w:cs="Arial"/>
        </w:rPr>
        <w:t>m</w:t>
      </w:r>
      <w:r w:rsidR="001C61F0" w:rsidRPr="00113364">
        <w:rPr>
          <w:rFonts w:ascii="Arial" w:hAnsi="Arial" w:cs="Arial"/>
        </w:rPr>
        <w:t>igratory</w:t>
      </w:r>
      <w:r w:rsidRPr="00113364">
        <w:rPr>
          <w:rFonts w:ascii="Arial" w:hAnsi="Arial" w:cs="Arial"/>
        </w:rPr>
        <w:t xml:space="preserve"> </w:t>
      </w:r>
      <w:r w:rsidR="000448D5" w:rsidRPr="00113364">
        <w:rPr>
          <w:rFonts w:ascii="Arial" w:hAnsi="Arial" w:cs="Arial"/>
        </w:rPr>
        <w:t>multilingual</w:t>
      </w:r>
      <w:r w:rsidR="00EF59DB" w:rsidRPr="00113364">
        <w:rPr>
          <w:rFonts w:ascii="Arial" w:hAnsi="Arial" w:cs="Arial"/>
        </w:rPr>
        <w:t xml:space="preserve"> </w:t>
      </w:r>
      <w:r w:rsidRPr="00113364">
        <w:rPr>
          <w:rFonts w:ascii="Arial" w:hAnsi="Arial" w:cs="Arial"/>
        </w:rPr>
        <w:t>s</w:t>
      </w:r>
      <w:r w:rsidR="00EF59DB" w:rsidRPr="00113364">
        <w:rPr>
          <w:rFonts w:ascii="Arial" w:hAnsi="Arial" w:cs="Arial"/>
        </w:rPr>
        <w:t>tudents</w:t>
      </w:r>
      <w:r w:rsidRPr="00113364">
        <w:rPr>
          <w:rFonts w:ascii="Arial" w:hAnsi="Arial" w:cs="Arial"/>
        </w:rPr>
        <w:t xml:space="preserve"> </w:t>
      </w:r>
      <w:r w:rsidR="001C61F0" w:rsidRPr="00113364">
        <w:rPr>
          <w:rFonts w:ascii="Arial" w:hAnsi="Arial" w:cs="Arial"/>
        </w:rPr>
        <w:t>are more likely to drop out than</w:t>
      </w:r>
      <w:r w:rsidRPr="00113364">
        <w:rPr>
          <w:rFonts w:ascii="Arial" w:hAnsi="Arial" w:cs="Arial"/>
        </w:rPr>
        <w:t xml:space="preserve"> migratory students who </w:t>
      </w:r>
      <w:proofErr w:type="gramStart"/>
      <w:r w:rsidRPr="00113364">
        <w:rPr>
          <w:rFonts w:ascii="Arial" w:hAnsi="Arial" w:cs="Arial"/>
        </w:rPr>
        <w:t>are able to</w:t>
      </w:r>
      <w:proofErr w:type="gramEnd"/>
      <w:r w:rsidRPr="00113364">
        <w:rPr>
          <w:rFonts w:ascii="Arial" w:hAnsi="Arial" w:cs="Arial"/>
        </w:rPr>
        <w:t xml:space="preserve"> reclassify. MEPs should</w:t>
      </w:r>
      <w:r w:rsidR="00857C19" w:rsidRPr="00113364">
        <w:rPr>
          <w:rFonts w:ascii="Arial" w:hAnsi="Arial" w:cs="Arial"/>
        </w:rPr>
        <w:t xml:space="preserve"> train staff to</w:t>
      </w:r>
      <w:r w:rsidRPr="00113364">
        <w:rPr>
          <w:rFonts w:ascii="Arial" w:hAnsi="Arial" w:cs="Arial"/>
        </w:rPr>
        <w:t xml:space="preserve"> identify the long-term EL</w:t>
      </w:r>
      <w:r w:rsidR="00EF59DB" w:rsidRPr="00113364">
        <w:rPr>
          <w:rFonts w:ascii="Arial" w:hAnsi="Arial" w:cs="Arial"/>
        </w:rPr>
        <w:t xml:space="preserve"> </w:t>
      </w:r>
      <w:r w:rsidRPr="00113364">
        <w:rPr>
          <w:rFonts w:ascii="Arial" w:hAnsi="Arial" w:cs="Arial"/>
        </w:rPr>
        <w:t>s</w:t>
      </w:r>
      <w:r w:rsidR="00EF59DB" w:rsidRPr="00113364">
        <w:rPr>
          <w:rFonts w:ascii="Arial" w:hAnsi="Arial" w:cs="Arial"/>
        </w:rPr>
        <w:t>tudents</w:t>
      </w:r>
      <w:r w:rsidRPr="00113364">
        <w:rPr>
          <w:rFonts w:ascii="Arial" w:hAnsi="Arial" w:cs="Arial"/>
        </w:rPr>
        <w:t xml:space="preserve"> in their </w:t>
      </w:r>
      <w:r w:rsidR="00857C19" w:rsidRPr="00113364">
        <w:rPr>
          <w:rFonts w:ascii="Arial" w:hAnsi="Arial" w:cs="Arial"/>
        </w:rPr>
        <w:t>regions, build relationships with these youth, monitor credit accrual starting in middle school</w:t>
      </w:r>
      <w:r w:rsidR="001C61F0" w:rsidRPr="00113364">
        <w:rPr>
          <w:rFonts w:ascii="Arial" w:hAnsi="Arial" w:cs="Arial"/>
        </w:rPr>
        <w:t>,</w:t>
      </w:r>
      <w:r w:rsidR="00857C19" w:rsidRPr="00113364">
        <w:rPr>
          <w:rFonts w:ascii="Arial" w:hAnsi="Arial" w:cs="Arial"/>
        </w:rPr>
        <w:t xml:space="preserve"> and provide information on</w:t>
      </w:r>
      <w:r w:rsidR="000448D5" w:rsidRPr="00113364">
        <w:rPr>
          <w:rFonts w:ascii="Arial" w:hAnsi="Arial" w:cs="Arial"/>
        </w:rPr>
        <w:t xml:space="preserve"> various future opportunities including UC, CSU, and</w:t>
      </w:r>
      <w:r w:rsidR="00857C19" w:rsidRPr="00113364">
        <w:rPr>
          <w:rFonts w:ascii="Arial" w:hAnsi="Arial" w:cs="Arial"/>
        </w:rPr>
        <w:t xml:space="preserve"> </w:t>
      </w:r>
      <w:r w:rsidR="000448D5" w:rsidRPr="00113364">
        <w:rPr>
          <w:rFonts w:ascii="Arial" w:hAnsi="Arial" w:cs="Arial"/>
        </w:rPr>
        <w:t>CTE</w:t>
      </w:r>
      <w:r w:rsidR="00857C19" w:rsidRPr="00113364">
        <w:rPr>
          <w:rFonts w:ascii="Arial" w:hAnsi="Arial" w:cs="Arial"/>
        </w:rPr>
        <w:t xml:space="preserve">. </w:t>
      </w:r>
      <w:r w:rsidRPr="00113364">
        <w:rPr>
          <w:rFonts w:ascii="Arial" w:hAnsi="Arial" w:cs="Arial"/>
        </w:rPr>
        <w:t>More da</w:t>
      </w:r>
      <w:r w:rsidR="001C61F0" w:rsidRPr="00113364">
        <w:rPr>
          <w:rFonts w:ascii="Arial" w:hAnsi="Arial" w:cs="Arial"/>
        </w:rPr>
        <w:t>ta on migratory long-term EL</w:t>
      </w:r>
      <w:r w:rsidR="00EF59DB" w:rsidRPr="00113364">
        <w:rPr>
          <w:rFonts w:ascii="Arial" w:hAnsi="Arial" w:cs="Arial"/>
        </w:rPr>
        <w:t xml:space="preserve"> </w:t>
      </w:r>
      <w:r w:rsidR="001C61F0" w:rsidRPr="00113364">
        <w:rPr>
          <w:rFonts w:ascii="Arial" w:hAnsi="Arial" w:cs="Arial"/>
        </w:rPr>
        <w:t>s</w:t>
      </w:r>
      <w:r w:rsidR="00EF59DB" w:rsidRPr="00113364">
        <w:rPr>
          <w:rFonts w:ascii="Arial" w:hAnsi="Arial" w:cs="Arial"/>
        </w:rPr>
        <w:t>tudents</w:t>
      </w:r>
      <w:r w:rsidR="001C61F0" w:rsidRPr="00113364">
        <w:rPr>
          <w:rFonts w:ascii="Arial" w:hAnsi="Arial" w:cs="Arial"/>
        </w:rPr>
        <w:t xml:space="preserve"> are</w:t>
      </w:r>
      <w:r w:rsidRPr="00113364">
        <w:rPr>
          <w:rFonts w:ascii="Arial" w:hAnsi="Arial" w:cs="Arial"/>
        </w:rPr>
        <w:t xml:space="preserve"> needed to determine where there is an actual need.</w:t>
      </w:r>
    </w:p>
    <w:p w14:paraId="3ACAE630" w14:textId="40F507A5" w:rsidR="002E2476" w:rsidRPr="00113364" w:rsidRDefault="002E2476" w:rsidP="002E2476">
      <w:pPr>
        <w:pStyle w:val="ListParagraph"/>
        <w:numPr>
          <w:ilvl w:val="1"/>
          <w:numId w:val="11"/>
        </w:numPr>
        <w:spacing w:before="240" w:after="240"/>
        <w:contextualSpacing w:val="0"/>
        <w:rPr>
          <w:rFonts w:ascii="Arial" w:hAnsi="Arial" w:cs="Arial"/>
        </w:rPr>
      </w:pPr>
      <w:r w:rsidRPr="00113364">
        <w:rPr>
          <w:rFonts w:ascii="Arial" w:hAnsi="Arial" w:cs="Arial"/>
        </w:rPr>
        <w:t>A long-term English learner student is generally defined as an E</w:t>
      </w:r>
      <w:r w:rsidR="00B542CB">
        <w:rPr>
          <w:rFonts w:ascii="Arial" w:hAnsi="Arial" w:cs="Arial"/>
        </w:rPr>
        <w:t>L</w:t>
      </w:r>
      <w:r w:rsidRPr="00113364">
        <w:rPr>
          <w:rFonts w:ascii="Arial" w:hAnsi="Arial" w:cs="Arial"/>
        </w:rPr>
        <w:t xml:space="preserve"> student who has not achieved ELP within a specified number of years and has not reclassified as fluent English proficient. In 2022–23, 17 percent of migratory, multilingual students were classified as long-term EL students. Not reclassifying means that migratory, multilingual students need to enroll in ELD classes instead of other classes limiting their ability to take other electives and/or meet UC/CSU entrance requirements.</w:t>
      </w:r>
    </w:p>
    <w:p w14:paraId="01824805" w14:textId="5408547F" w:rsidR="008C24F6" w:rsidRPr="00113364" w:rsidRDefault="008C24F6" w:rsidP="005A4784">
      <w:pPr>
        <w:pStyle w:val="ListParagraph"/>
        <w:numPr>
          <w:ilvl w:val="0"/>
          <w:numId w:val="11"/>
        </w:numPr>
        <w:spacing w:before="240"/>
        <w:contextualSpacing w:val="0"/>
        <w:rPr>
          <w:rFonts w:ascii="Arial" w:hAnsi="Arial" w:cs="Arial"/>
        </w:rPr>
      </w:pPr>
      <w:r w:rsidRPr="00113364">
        <w:rPr>
          <w:rFonts w:ascii="Arial" w:hAnsi="Arial" w:cs="Arial"/>
        </w:rPr>
        <w:t>Enrichment</w:t>
      </w:r>
      <w:r w:rsidR="00857C19" w:rsidRPr="00113364">
        <w:rPr>
          <w:rFonts w:ascii="Arial" w:hAnsi="Arial" w:cs="Arial"/>
        </w:rPr>
        <w:t xml:space="preserve"> Services – </w:t>
      </w:r>
      <w:r w:rsidR="00EF59DB" w:rsidRPr="00113364">
        <w:rPr>
          <w:rFonts w:ascii="Arial" w:hAnsi="Arial" w:cs="Arial"/>
        </w:rPr>
        <w:t xml:space="preserve">Committee members </w:t>
      </w:r>
      <w:r w:rsidR="00857C19" w:rsidRPr="00113364">
        <w:rPr>
          <w:rFonts w:ascii="Arial" w:hAnsi="Arial" w:cs="Arial"/>
        </w:rPr>
        <w:t>are concerned that the MEP provides limited options to high school students overall. Credit accrual</w:t>
      </w:r>
      <w:r w:rsidR="00525DA8" w:rsidRPr="00113364">
        <w:rPr>
          <w:rFonts w:ascii="Arial" w:hAnsi="Arial" w:cs="Arial"/>
        </w:rPr>
        <w:t>,</w:t>
      </w:r>
      <w:r w:rsidR="00857C19" w:rsidRPr="00113364">
        <w:rPr>
          <w:rFonts w:ascii="Arial" w:hAnsi="Arial" w:cs="Arial"/>
        </w:rPr>
        <w:t xml:space="preserve"> </w:t>
      </w:r>
      <w:r w:rsidR="00525DA8" w:rsidRPr="00113364">
        <w:rPr>
          <w:rFonts w:ascii="Arial" w:hAnsi="Arial" w:cs="Arial"/>
        </w:rPr>
        <w:t>case management, and student leadership</w:t>
      </w:r>
      <w:r w:rsidR="00857C19" w:rsidRPr="00113364">
        <w:rPr>
          <w:rFonts w:ascii="Arial" w:hAnsi="Arial" w:cs="Arial"/>
        </w:rPr>
        <w:t xml:space="preserve"> services are standard services offered statewide as is Speech and Debate. Many regions </w:t>
      </w:r>
      <w:r w:rsidR="00525DA8" w:rsidRPr="00113364">
        <w:rPr>
          <w:rFonts w:ascii="Arial" w:hAnsi="Arial" w:cs="Arial"/>
        </w:rPr>
        <w:t>offer</w:t>
      </w:r>
      <w:r w:rsidR="00857C19" w:rsidRPr="00113364">
        <w:rPr>
          <w:rFonts w:ascii="Arial" w:hAnsi="Arial" w:cs="Arial"/>
        </w:rPr>
        <w:t xml:space="preserve"> students the opportunity to participate in science, technology, engineering, and </w:t>
      </w:r>
      <w:r w:rsidR="00E7492F" w:rsidRPr="00113364">
        <w:rPr>
          <w:rFonts w:ascii="Arial" w:hAnsi="Arial" w:cs="Arial"/>
        </w:rPr>
        <w:t>mathematics</w:t>
      </w:r>
      <w:r w:rsidR="00857C19" w:rsidRPr="00113364">
        <w:rPr>
          <w:rFonts w:ascii="Arial" w:hAnsi="Arial" w:cs="Arial"/>
        </w:rPr>
        <w:t xml:space="preserve"> (STEM) services. Subgrantees should not only offer engaging and rigorous </w:t>
      </w:r>
      <w:r w:rsidR="00525DA8" w:rsidRPr="00113364">
        <w:rPr>
          <w:rFonts w:ascii="Arial" w:hAnsi="Arial" w:cs="Arial"/>
        </w:rPr>
        <w:t>services to address the needs identified in the SDP</w:t>
      </w:r>
      <w:r w:rsidR="00857C19" w:rsidRPr="00113364">
        <w:rPr>
          <w:rFonts w:ascii="Arial" w:hAnsi="Arial" w:cs="Arial"/>
        </w:rPr>
        <w:t xml:space="preserve">, but </w:t>
      </w:r>
      <w:r w:rsidR="00525DA8" w:rsidRPr="00113364">
        <w:rPr>
          <w:rFonts w:ascii="Arial" w:hAnsi="Arial" w:cs="Arial"/>
        </w:rPr>
        <w:t>shoul</w:t>
      </w:r>
      <w:r w:rsidR="00857C19" w:rsidRPr="00113364">
        <w:rPr>
          <w:rFonts w:ascii="Arial" w:hAnsi="Arial" w:cs="Arial"/>
        </w:rPr>
        <w:t>d offer enrichment services like STEM</w:t>
      </w:r>
      <w:r w:rsidRPr="00113364">
        <w:rPr>
          <w:rFonts w:ascii="Arial" w:hAnsi="Arial" w:cs="Arial"/>
        </w:rPr>
        <w:t>, space camp</w:t>
      </w:r>
      <w:r w:rsidR="004C2A0E" w:rsidRPr="00113364">
        <w:rPr>
          <w:rFonts w:ascii="Arial" w:hAnsi="Arial" w:cs="Arial"/>
        </w:rPr>
        <w:t>,</w:t>
      </w:r>
      <w:r w:rsidRPr="00113364">
        <w:rPr>
          <w:rFonts w:ascii="Arial" w:hAnsi="Arial" w:cs="Arial"/>
        </w:rPr>
        <w:t xml:space="preserve"> or mentoring services for students who need a positive role model.</w:t>
      </w:r>
    </w:p>
    <w:p w14:paraId="7E118D34" w14:textId="77777777" w:rsidR="00AC7AA1" w:rsidRPr="00113364" w:rsidRDefault="00A57CCE" w:rsidP="002103F7">
      <w:pPr>
        <w:pStyle w:val="Heading4"/>
      </w:pPr>
      <w:r w:rsidRPr="00113364">
        <w:t xml:space="preserve">Recommendations for Supporting </w:t>
      </w:r>
      <w:r w:rsidR="00862AE4" w:rsidRPr="00113364">
        <w:t>Out-of-</w:t>
      </w:r>
      <w:r w:rsidR="00AC7AA1" w:rsidRPr="00113364">
        <w:t>School Youth</w:t>
      </w:r>
    </w:p>
    <w:p w14:paraId="026301BC" w14:textId="694293DE" w:rsidR="00A57CCE" w:rsidRPr="00113364" w:rsidRDefault="001C61F0" w:rsidP="005A4784">
      <w:pPr>
        <w:spacing w:before="240" w:after="240"/>
        <w:rPr>
          <w:rFonts w:ascii="Arial" w:hAnsi="Arial" w:cs="Arial"/>
        </w:rPr>
      </w:pPr>
      <w:r w:rsidRPr="00113364">
        <w:rPr>
          <w:rFonts w:ascii="Arial" w:hAnsi="Arial" w:cs="Arial"/>
        </w:rPr>
        <w:t>OSY are a population of concern since</w:t>
      </w:r>
      <w:r w:rsidR="00A57CCE" w:rsidRPr="00113364">
        <w:rPr>
          <w:rFonts w:ascii="Arial" w:hAnsi="Arial" w:cs="Arial"/>
        </w:rPr>
        <w:t xml:space="preserve"> they face additional challenges to acquiring an education and becoming gainfully employed as they lack a guardian</w:t>
      </w:r>
      <w:r w:rsidR="00E60A5A" w:rsidRPr="00113364">
        <w:rPr>
          <w:rFonts w:ascii="Arial" w:hAnsi="Arial" w:cs="Arial"/>
        </w:rPr>
        <w:t xml:space="preserve"> or</w:t>
      </w:r>
      <w:r w:rsidR="00A57CCE" w:rsidRPr="00113364">
        <w:rPr>
          <w:rFonts w:ascii="Arial" w:hAnsi="Arial" w:cs="Arial"/>
        </w:rPr>
        <w:t xml:space="preserve"> support system. </w:t>
      </w:r>
      <w:r w:rsidR="00A57CCE" w:rsidRPr="00113364">
        <w:rPr>
          <w:rFonts w:ascii="Arial" w:hAnsi="Arial" w:cs="Arial"/>
        </w:rPr>
        <w:lastRenderedPageBreak/>
        <w:t>Locating OSY is also a major challenge for the MEP</w:t>
      </w:r>
      <w:r w:rsidRPr="00113364">
        <w:rPr>
          <w:rFonts w:ascii="Arial" w:hAnsi="Arial" w:cs="Arial"/>
        </w:rPr>
        <w:t xml:space="preserve"> because</w:t>
      </w:r>
      <w:r w:rsidR="00E60A5A" w:rsidRPr="00113364">
        <w:rPr>
          <w:rFonts w:ascii="Arial" w:hAnsi="Arial" w:cs="Arial"/>
        </w:rPr>
        <w:t xml:space="preserve"> they work long hours and are a highly mobile population with unreliable contact information. Data needs for OSY are included in t</w:t>
      </w:r>
      <w:r w:rsidR="00171580" w:rsidRPr="00113364">
        <w:rPr>
          <w:rFonts w:ascii="Arial" w:hAnsi="Arial" w:cs="Arial"/>
        </w:rPr>
        <w:t xml:space="preserve">he first part of this section. </w:t>
      </w:r>
      <w:r w:rsidR="00EF59DB" w:rsidRPr="00113364">
        <w:rPr>
          <w:rFonts w:ascii="Arial" w:hAnsi="Arial" w:cs="Arial"/>
        </w:rPr>
        <w:t xml:space="preserve">The </w:t>
      </w:r>
      <w:r w:rsidR="004D4FC7" w:rsidRPr="00113364">
        <w:rPr>
          <w:rFonts w:ascii="Arial" w:hAnsi="Arial" w:cs="Arial"/>
        </w:rPr>
        <w:t>CNA SDP</w:t>
      </w:r>
      <w:r w:rsidR="00EF59DB" w:rsidRPr="00113364">
        <w:rPr>
          <w:rFonts w:ascii="Arial" w:hAnsi="Arial" w:cs="Arial"/>
        </w:rPr>
        <w:t xml:space="preserve"> Committee </w:t>
      </w:r>
      <w:r w:rsidR="00E60A5A" w:rsidRPr="00113364">
        <w:rPr>
          <w:rFonts w:ascii="Arial" w:hAnsi="Arial" w:cs="Arial"/>
        </w:rPr>
        <w:t xml:space="preserve">suggested the following to increase support </w:t>
      </w:r>
      <w:proofErr w:type="gramStart"/>
      <w:r w:rsidR="00E60A5A" w:rsidRPr="00113364">
        <w:rPr>
          <w:rFonts w:ascii="Arial" w:hAnsi="Arial" w:cs="Arial"/>
        </w:rPr>
        <w:t>of</w:t>
      </w:r>
      <w:proofErr w:type="gramEnd"/>
      <w:r w:rsidR="00E60A5A" w:rsidRPr="00113364">
        <w:rPr>
          <w:rFonts w:ascii="Arial" w:hAnsi="Arial" w:cs="Arial"/>
        </w:rPr>
        <w:t xml:space="preserve"> OSY:</w:t>
      </w:r>
    </w:p>
    <w:p w14:paraId="2B463B93" w14:textId="11086DFC" w:rsidR="00E60A5A" w:rsidRPr="00113364" w:rsidRDefault="00E60A5A">
      <w:pPr>
        <w:pStyle w:val="ListParagraph"/>
        <w:numPr>
          <w:ilvl w:val="0"/>
          <w:numId w:val="20"/>
        </w:numPr>
        <w:rPr>
          <w:rFonts w:ascii="Arial" w:hAnsi="Arial" w:cs="Arial"/>
        </w:rPr>
      </w:pPr>
      <w:r w:rsidRPr="00113364">
        <w:rPr>
          <w:rFonts w:ascii="Arial" w:hAnsi="Arial" w:cs="Arial"/>
        </w:rPr>
        <w:t>Transportation services – Many OSY do not have access to transportation services; therefore</w:t>
      </w:r>
      <w:r w:rsidR="00EF59DB" w:rsidRPr="00113364">
        <w:rPr>
          <w:rFonts w:ascii="Arial" w:hAnsi="Arial" w:cs="Arial"/>
        </w:rPr>
        <w:t>,</w:t>
      </w:r>
      <w:r w:rsidRPr="00113364">
        <w:rPr>
          <w:rFonts w:ascii="Arial" w:hAnsi="Arial" w:cs="Arial"/>
        </w:rPr>
        <w:t xml:space="preserve"> they are unable to attend services. MEPs should provide access to transportation (e.g., bus and transit passes, carpooling opportunities). </w:t>
      </w:r>
    </w:p>
    <w:p w14:paraId="40684BAC" w14:textId="26617B9C" w:rsidR="00E60A5A" w:rsidRPr="00113364" w:rsidRDefault="00E60A5A">
      <w:pPr>
        <w:pStyle w:val="ListParagraph"/>
        <w:numPr>
          <w:ilvl w:val="0"/>
          <w:numId w:val="20"/>
        </w:numPr>
        <w:spacing w:before="240"/>
        <w:contextualSpacing w:val="0"/>
        <w:rPr>
          <w:rFonts w:ascii="Arial" w:hAnsi="Arial" w:cs="Arial"/>
        </w:rPr>
      </w:pPr>
      <w:r w:rsidRPr="00113364">
        <w:rPr>
          <w:rFonts w:ascii="Arial" w:hAnsi="Arial" w:cs="Arial"/>
        </w:rPr>
        <w:t xml:space="preserve">Life skills – Due to a lack of consistency in reporting “life skills” as a service across regions, </w:t>
      </w:r>
      <w:r w:rsidR="00EF59DB" w:rsidRPr="00113364">
        <w:rPr>
          <w:rFonts w:ascii="Arial" w:hAnsi="Arial" w:cs="Arial"/>
        </w:rPr>
        <w:t xml:space="preserve">committee members </w:t>
      </w:r>
      <w:r w:rsidRPr="00113364">
        <w:rPr>
          <w:rFonts w:ascii="Arial" w:hAnsi="Arial" w:cs="Arial"/>
        </w:rPr>
        <w:t>requested a definition of “life skills” services</w:t>
      </w:r>
      <w:r w:rsidR="002B4A43" w:rsidRPr="00113364">
        <w:rPr>
          <w:rFonts w:ascii="Arial" w:hAnsi="Arial" w:cs="Arial"/>
        </w:rPr>
        <w:t xml:space="preserve">. The CDE </w:t>
      </w:r>
      <w:r w:rsidR="00330649" w:rsidRPr="00113364">
        <w:rPr>
          <w:rFonts w:ascii="Arial" w:hAnsi="Arial" w:cs="Arial"/>
        </w:rPr>
        <w:t xml:space="preserve">will provide guidance on life skill services before the implementation of the </w:t>
      </w:r>
      <w:r w:rsidR="00452477" w:rsidRPr="00113364">
        <w:rPr>
          <w:rFonts w:ascii="Arial" w:hAnsi="Arial" w:cs="Arial"/>
        </w:rPr>
        <w:t>SDP</w:t>
      </w:r>
      <w:r w:rsidR="00330649" w:rsidRPr="00113364">
        <w:rPr>
          <w:rFonts w:ascii="Arial" w:hAnsi="Arial" w:cs="Arial"/>
        </w:rPr>
        <w:t xml:space="preserve">. </w:t>
      </w:r>
    </w:p>
    <w:p w14:paraId="7C2BEB15" w14:textId="77777777" w:rsidR="00AC7AA1" w:rsidRPr="00113364" w:rsidRDefault="009E4270" w:rsidP="002103F7">
      <w:pPr>
        <w:pStyle w:val="Heading4"/>
      </w:pPr>
      <w:r w:rsidRPr="00113364">
        <w:t xml:space="preserve">Further </w:t>
      </w:r>
      <w:r w:rsidR="00AC7AA1" w:rsidRPr="00113364">
        <w:t>Student Engagement</w:t>
      </w:r>
      <w:r w:rsidR="00BB4C7C" w:rsidRPr="00113364">
        <w:t xml:space="preserve"> Opportunities</w:t>
      </w:r>
    </w:p>
    <w:p w14:paraId="3BE69085" w14:textId="694BF516" w:rsidR="0055121F" w:rsidRPr="00113364" w:rsidRDefault="0055121F" w:rsidP="005A4784">
      <w:pPr>
        <w:spacing w:before="240"/>
        <w:rPr>
          <w:rFonts w:ascii="Arial" w:hAnsi="Arial" w:cs="Arial"/>
        </w:rPr>
      </w:pPr>
      <w:r w:rsidRPr="00113364">
        <w:rPr>
          <w:rFonts w:ascii="Arial" w:hAnsi="Arial" w:cs="Arial"/>
        </w:rPr>
        <w:t>Student engagement increases as students gain confidence, academic</w:t>
      </w:r>
      <w:r w:rsidR="001C61F0" w:rsidRPr="00113364">
        <w:rPr>
          <w:rFonts w:ascii="Arial" w:hAnsi="Arial" w:cs="Arial"/>
        </w:rPr>
        <w:t>,</w:t>
      </w:r>
      <w:r w:rsidRPr="00113364">
        <w:rPr>
          <w:rFonts w:ascii="Arial" w:hAnsi="Arial" w:cs="Arial"/>
        </w:rPr>
        <w:t xml:space="preserve"> and social-emotional skills. </w:t>
      </w:r>
      <w:r w:rsidR="008B4755" w:rsidRPr="00113364">
        <w:rPr>
          <w:rFonts w:ascii="Arial" w:hAnsi="Arial" w:cs="Arial"/>
        </w:rPr>
        <w:t>Offering high-quality, challenging and fun services incentivizes student participation and learning. Cultural</w:t>
      </w:r>
      <w:r w:rsidR="001C61F0" w:rsidRPr="00113364">
        <w:rPr>
          <w:rFonts w:ascii="Arial" w:hAnsi="Arial" w:cs="Arial"/>
        </w:rPr>
        <w:t>ly</w:t>
      </w:r>
      <w:r w:rsidR="008B4755" w:rsidRPr="00113364">
        <w:rPr>
          <w:rFonts w:ascii="Arial" w:hAnsi="Arial" w:cs="Arial"/>
        </w:rPr>
        <w:t xml:space="preserve"> competent MEP staff can help increase student engagement and support migratory students’ p</w:t>
      </w:r>
      <w:r w:rsidRPr="00113364">
        <w:rPr>
          <w:rFonts w:ascii="Arial" w:hAnsi="Arial" w:cs="Arial"/>
        </w:rPr>
        <w:t xml:space="preserve">ride in </w:t>
      </w:r>
      <w:r w:rsidR="002E2476" w:rsidRPr="00113364">
        <w:rPr>
          <w:rFonts w:ascii="Arial" w:hAnsi="Arial" w:cs="Arial"/>
        </w:rPr>
        <w:t>oneself</w:t>
      </w:r>
      <w:r w:rsidR="008B4755" w:rsidRPr="00113364">
        <w:rPr>
          <w:rFonts w:ascii="Arial" w:hAnsi="Arial" w:cs="Arial"/>
        </w:rPr>
        <w:t xml:space="preserve"> and culture.</w:t>
      </w:r>
      <w:r w:rsidR="00071F66" w:rsidRPr="00113364">
        <w:rPr>
          <w:rFonts w:ascii="Arial" w:hAnsi="Arial" w:cs="Arial"/>
        </w:rPr>
        <w:t xml:space="preserve"> Increasing student engagement through building relationships with students and parents, establishing a sense of belonging and offering interactive, rigorous services will result in an effective program that makes a dramatic impact on the lives of migratory families. The following considerations for program improvement were identified by the </w:t>
      </w:r>
      <w:r w:rsidR="004D4FC7" w:rsidRPr="00113364">
        <w:rPr>
          <w:rFonts w:ascii="Arial" w:hAnsi="Arial" w:cs="Arial"/>
        </w:rPr>
        <w:t>CNA SDP</w:t>
      </w:r>
      <w:r w:rsidR="00EF59DB" w:rsidRPr="00113364">
        <w:rPr>
          <w:rFonts w:ascii="Arial" w:hAnsi="Arial" w:cs="Arial"/>
        </w:rPr>
        <w:t xml:space="preserve"> C</w:t>
      </w:r>
      <w:r w:rsidR="00071F66" w:rsidRPr="00113364">
        <w:rPr>
          <w:rFonts w:ascii="Arial" w:hAnsi="Arial" w:cs="Arial"/>
        </w:rPr>
        <w:t>ommittee.</w:t>
      </w:r>
    </w:p>
    <w:p w14:paraId="17431CF4" w14:textId="5F0279AF" w:rsidR="008B4755" w:rsidRPr="00113364" w:rsidRDefault="00071F66" w:rsidP="005A4784">
      <w:pPr>
        <w:spacing w:before="240" w:after="240"/>
        <w:rPr>
          <w:rFonts w:ascii="Arial" w:hAnsi="Arial" w:cs="Arial"/>
        </w:rPr>
      </w:pPr>
      <w:r w:rsidRPr="00113364">
        <w:rPr>
          <w:rFonts w:ascii="Arial" w:hAnsi="Arial" w:cs="Arial"/>
        </w:rPr>
        <w:t xml:space="preserve">Although </w:t>
      </w:r>
      <w:r w:rsidR="00A35F85" w:rsidRPr="00113364">
        <w:rPr>
          <w:rFonts w:ascii="Arial" w:hAnsi="Arial" w:cs="Arial"/>
        </w:rPr>
        <w:t>in 20</w:t>
      </w:r>
      <w:r w:rsidR="00BA03C8" w:rsidRPr="00113364">
        <w:rPr>
          <w:rFonts w:ascii="Arial" w:hAnsi="Arial" w:cs="Arial"/>
        </w:rPr>
        <w:t>22</w:t>
      </w:r>
      <w:r w:rsidR="00A35F85" w:rsidRPr="00113364">
        <w:rPr>
          <w:rFonts w:ascii="Arial" w:hAnsi="Arial" w:cs="Arial"/>
        </w:rPr>
        <w:t>–</w:t>
      </w:r>
      <w:r w:rsidR="00BA03C8" w:rsidRPr="00113364">
        <w:rPr>
          <w:rFonts w:ascii="Arial" w:hAnsi="Arial" w:cs="Arial"/>
        </w:rPr>
        <w:t>23</w:t>
      </w:r>
      <w:r w:rsidR="00A35F85" w:rsidRPr="00113364">
        <w:rPr>
          <w:rFonts w:ascii="Arial" w:hAnsi="Arial" w:cs="Arial"/>
        </w:rPr>
        <w:t>, the graduation rate was 82</w:t>
      </w:r>
      <w:r w:rsidR="00BA03C8" w:rsidRPr="00113364">
        <w:rPr>
          <w:rFonts w:ascii="Arial" w:hAnsi="Arial" w:cs="Arial"/>
        </w:rPr>
        <w:t>.8</w:t>
      </w:r>
      <w:r w:rsidR="00A35F85" w:rsidRPr="00113364">
        <w:rPr>
          <w:rFonts w:ascii="Arial" w:hAnsi="Arial" w:cs="Arial"/>
        </w:rPr>
        <w:t xml:space="preserve"> percent</w:t>
      </w:r>
      <w:r w:rsidR="008B4755" w:rsidRPr="00113364">
        <w:rPr>
          <w:rFonts w:ascii="Arial" w:hAnsi="Arial" w:cs="Arial"/>
        </w:rPr>
        <w:t xml:space="preserve">, </w:t>
      </w:r>
      <w:r w:rsidR="00EF59DB" w:rsidRPr="00113364">
        <w:rPr>
          <w:rFonts w:ascii="Arial" w:hAnsi="Arial" w:cs="Arial"/>
        </w:rPr>
        <w:t xml:space="preserve">committee members </w:t>
      </w:r>
      <w:r w:rsidRPr="00113364">
        <w:rPr>
          <w:rFonts w:ascii="Arial" w:hAnsi="Arial" w:cs="Arial"/>
        </w:rPr>
        <w:t>felt that graduates</w:t>
      </w:r>
      <w:r w:rsidR="008B4755" w:rsidRPr="00113364">
        <w:rPr>
          <w:rFonts w:ascii="Arial" w:hAnsi="Arial" w:cs="Arial"/>
        </w:rPr>
        <w:t xml:space="preserve"> are not sufficiently college and career ready with the appropriate social-emotional and academic skills.</w:t>
      </w:r>
      <w:r w:rsidRPr="00113364">
        <w:rPr>
          <w:rFonts w:ascii="Arial" w:hAnsi="Arial" w:cs="Arial"/>
        </w:rPr>
        <w:t xml:space="preserve"> Similarly, </w:t>
      </w:r>
      <w:r w:rsidR="00EF59DB" w:rsidRPr="00113364">
        <w:rPr>
          <w:rFonts w:ascii="Arial" w:hAnsi="Arial" w:cs="Arial"/>
        </w:rPr>
        <w:t xml:space="preserve">committee members </w:t>
      </w:r>
      <w:r w:rsidRPr="00113364">
        <w:rPr>
          <w:rFonts w:ascii="Arial" w:hAnsi="Arial" w:cs="Arial"/>
        </w:rPr>
        <w:t>believe there is room to improve access to high-quality academic content, targeted/individualized instruction</w:t>
      </w:r>
      <w:r w:rsidR="001C61F0" w:rsidRPr="00113364">
        <w:rPr>
          <w:rFonts w:ascii="Arial" w:hAnsi="Arial" w:cs="Arial"/>
        </w:rPr>
        <w:t>,</w:t>
      </w:r>
      <w:r w:rsidRPr="00113364">
        <w:rPr>
          <w:rFonts w:ascii="Arial" w:hAnsi="Arial" w:cs="Arial"/>
        </w:rPr>
        <w:t xml:space="preserve"> and multicultural competent teachers and administrators. Subgrantees should consider the following actions:</w:t>
      </w:r>
    </w:p>
    <w:p w14:paraId="04BA7FEE" w14:textId="77777777" w:rsidR="00071F66" w:rsidRPr="00113364" w:rsidRDefault="00071F66">
      <w:pPr>
        <w:pStyle w:val="ListParagraph"/>
        <w:numPr>
          <w:ilvl w:val="0"/>
          <w:numId w:val="24"/>
        </w:numPr>
        <w:rPr>
          <w:rFonts w:ascii="Arial" w:hAnsi="Arial" w:cs="Arial"/>
        </w:rPr>
      </w:pPr>
      <w:r w:rsidRPr="00113364">
        <w:rPr>
          <w:rFonts w:ascii="Arial" w:hAnsi="Arial" w:cs="Arial"/>
        </w:rPr>
        <w:t>Acknowledge migratory students</w:t>
      </w:r>
      <w:r w:rsidR="001C61F0" w:rsidRPr="00113364">
        <w:rPr>
          <w:rFonts w:ascii="Arial" w:hAnsi="Arial" w:cs="Arial"/>
        </w:rPr>
        <w:t>’</w:t>
      </w:r>
      <w:r w:rsidRPr="00113364">
        <w:rPr>
          <w:rFonts w:ascii="Arial" w:hAnsi="Arial" w:cs="Arial"/>
        </w:rPr>
        <w:t xml:space="preserve"> barriers t</w:t>
      </w:r>
      <w:r w:rsidR="001C61F0" w:rsidRPr="00113364">
        <w:rPr>
          <w:rFonts w:ascii="Arial" w:hAnsi="Arial" w:cs="Arial"/>
        </w:rPr>
        <w:t>o participation and create</w:t>
      </w:r>
      <w:r w:rsidRPr="00113364">
        <w:rPr>
          <w:rFonts w:ascii="Arial" w:hAnsi="Arial" w:cs="Arial"/>
        </w:rPr>
        <w:t xml:space="preserve"> a sense of belonging.</w:t>
      </w:r>
    </w:p>
    <w:p w14:paraId="01CA8549" w14:textId="77777777" w:rsidR="00071F66" w:rsidRPr="00113364" w:rsidRDefault="001C61F0">
      <w:pPr>
        <w:pStyle w:val="ListParagraph"/>
        <w:numPr>
          <w:ilvl w:val="0"/>
          <w:numId w:val="24"/>
        </w:numPr>
        <w:spacing w:before="240" w:after="240"/>
        <w:contextualSpacing w:val="0"/>
        <w:rPr>
          <w:rFonts w:ascii="Arial" w:hAnsi="Arial" w:cs="Arial"/>
        </w:rPr>
      </w:pPr>
      <w:r w:rsidRPr="00113364">
        <w:rPr>
          <w:rFonts w:ascii="Arial" w:hAnsi="Arial" w:cs="Arial"/>
        </w:rPr>
        <w:t>Provide</w:t>
      </w:r>
      <w:r w:rsidR="00071F66" w:rsidRPr="00113364">
        <w:rPr>
          <w:rFonts w:ascii="Arial" w:hAnsi="Arial" w:cs="Arial"/>
        </w:rPr>
        <w:t xml:space="preserve"> training to parents on how they influence student engagement. </w:t>
      </w:r>
    </w:p>
    <w:p w14:paraId="2D979921" w14:textId="799A0753" w:rsidR="00BA03C8" w:rsidRPr="00113364" w:rsidRDefault="00BA03C8">
      <w:pPr>
        <w:pStyle w:val="ListParagraph"/>
        <w:numPr>
          <w:ilvl w:val="0"/>
          <w:numId w:val="24"/>
        </w:numPr>
        <w:spacing w:after="240"/>
        <w:contextualSpacing w:val="0"/>
        <w:rPr>
          <w:rFonts w:ascii="Arial" w:hAnsi="Arial" w:cs="Arial"/>
        </w:rPr>
      </w:pPr>
      <w:r w:rsidRPr="00113364">
        <w:rPr>
          <w:rFonts w:ascii="Arial" w:hAnsi="Arial" w:cs="Arial"/>
        </w:rPr>
        <w:t>Ensure health</w:t>
      </w:r>
      <w:r w:rsidR="00737DC5">
        <w:rPr>
          <w:rFonts w:ascii="Arial" w:hAnsi="Arial" w:cs="Arial"/>
        </w:rPr>
        <w:t>y</w:t>
      </w:r>
      <w:r w:rsidRPr="00113364">
        <w:rPr>
          <w:rFonts w:ascii="Arial" w:hAnsi="Arial" w:cs="Arial"/>
        </w:rPr>
        <w:t xml:space="preserve"> food options are provided whenever possible (e.g., Regional Parent Conference).</w:t>
      </w:r>
    </w:p>
    <w:p w14:paraId="5168015C" w14:textId="79A798A3" w:rsidR="001C61F0" w:rsidRPr="00113364" w:rsidRDefault="00071F66">
      <w:pPr>
        <w:pStyle w:val="ListParagraph"/>
        <w:numPr>
          <w:ilvl w:val="0"/>
          <w:numId w:val="24"/>
        </w:numPr>
        <w:spacing w:after="240"/>
        <w:contextualSpacing w:val="0"/>
        <w:rPr>
          <w:rFonts w:ascii="Arial" w:hAnsi="Arial" w:cs="Arial"/>
        </w:rPr>
      </w:pPr>
      <w:r w:rsidRPr="00113364">
        <w:rPr>
          <w:rFonts w:ascii="Arial" w:hAnsi="Arial" w:cs="Arial"/>
        </w:rPr>
        <w:t>Provide professional development</w:t>
      </w:r>
      <w:r w:rsidR="001C61F0" w:rsidRPr="00113364">
        <w:rPr>
          <w:rFonts w:ascii="Arial" w:hAnsi="Arial" w:cs="Arial"/>
        </w:rPr>
        <w:t xml:space="preserve"> to </w:t>
      </w:r>
      <w:r w:rsidR="00791178" w:rsidRPr="00113364">
        <w:rPr>
          <w:rFonts w:ascii="Arial" w:hAnsi="Arial" w:cs="Arial"/>
        </w:rPr>
        <w:t>all instructional staff, certificated and classified,</w:t>
      </w:r>
      <w:r w:rsidRPr="00113364">
        <w:rPr>
          <w:rFonts w:ascii="Arial" w:hAnsi="Arial" w:cs="Arial"/>
        </w:rPr>
        <w:t xml:space="preserve"> o</w:t>
      </w:r>
      <w:r w:rsidR="00862AE4" w:rsidRPr="00113364">
        <w:rPr>
          <w:rFonts w:ascii="Arial" w:hAnsi="Arial" w:cs="Arial"/>
        </w:rPr>
        <w:t>n increasing student engagement</w:t>
      </w:r>
      <w:r w:rsidR="00DB0B5D" w:rsidRPr="00113364">
        <w:rPr>
          <w:rFonts w:ascii="Arial" w:hAnsi="Arial" w:cs="Arial"/>
        </w:rPr>
        <w:t>. A few strategies include:</w:t>
      </w:r>
    </w:p>
    <w:p w14:paraId="1E08F6F9" w14:textId="658071DF" w:rsidR="00071F66" w:rsidRPr="00113364" w:rsidRDefault="00525DA8">
      <w:pPr>
        <w:pStyle w:val="ListParagraph"/>
        <w:numPr>
          <w:ilvl w:val="1"/>
          <w:numId w:val="24"/>
        </w:numPr>
        <w:spacing w:after="240"/>
        <w:contextualSpacing w:val="0"/>
        <w:rPr>
          <w:rFonts w:ascii="Arial" w:hAnsi="Arial" w:cs="Arial"/>
        </w:rPr>
      </w:pPr>
      <w:r w:rsidRPr="00113364">
        <w:rPr>
          <w:rFonts w:ascii="Arial" w:hAnsi="Arial" w:cs="Arial"/>
        </w:rPr>
        <w:lastRenderedPageBreak/>
        <w:t>Cultivat</w:t>
      </w:r>
      <w:r w:rsidR="00792090">
        <w:rPr>
          <w:rFonts w:ascii="Arial" w:hAnsi="Arial" w:cs="Arial"/>
        </w:rPr>
        <w:t>ing</w:t>
      </w:r>
      <w:r w:rsidRPr="00113364">
        <w:rPr>
          <w:rFonts w:ascii="Arial" w:hAnsi="Arial" w:cs="Arial"/>
        </w:rPr>
        <w:t xml:space="preserve"> an environment where students approach learning with a growth mindset</w:t>
      </w:r>
      <w:r w:rsidR="00792090">
        <w:rPr>
          <w:rFonts w:ascii="Arial" w:hAnsi="Arial" w:cs="Arial"/>
        </w:rPr>
        <w:t>.</w:t>
      </w:r>
    </w:p>
    <w:p w14:paraId="58F7830D" w14:textId="0B9D687C" w:rsidR="00071F66" w:rsidRPr="00113364" w:rsidRDefault="00071F66">
      <w:pPr>
        <w:pStyle w:val="ListParagraph"/>
        <w:numPr>
          <w:ilvl w:val="1"/>
          <w:numId w:val="24"/>
        </w:numPr>
        <w:spacing w:after="240"/>
        <w:contextualSpacing w:val="0"/>
        <w:rPr>
          <w:rFonts w:ascii="Arial" w:hAnsi="Arial" w:cs="Arial"/>
        </w:rPr>
      </w:pPr>
      <w:r w:rsidRPr="00113364">
        <w:rPr>
          <w:rFonts w:ascii="Arial" w:hAnsi="Arial" w:cs="Arial"/>
        </w:rPr>
        <w:t>Build</w:t>
      </w:r>
      <w:r w:rsidR="00792090">
        <w:rPr>
          <w:rFonts w:ascii="Arial" w:hAnsi="Arial" w:cs="Arial"/>
        </w:rPr>
        <w:t>ing</w:t>
      </w:r>
      <w:r w:rsidRPr="00113364">
        <w:rPr>
          <w:rFonts w:ascii="Arial" w:hAnsi="Arial" w:cs="Arial"/>
        </w:rPr>
        <w:t xml:space="preserve"> the teacher-student relationship</w:t>
      </w:r>
      <w:r w:rsidR="00792090">
        <w:rPr>
          <w:rFonts w:ascii="Arial" w:hAnsi="Arial" w:cs="Arial"/>
        </w:rPr>
        <w:t>.</w:t>
      </w:r>
    </w:p>
    <w:p w14:paraId="2A6B6656" w14:textId="30BE02D0" w:rsidR="00071F66" w:rsidRPr="00113364" w:rsidRDefault="00071F66">
      <w:pPr>
        <w:pStyle w:val="ListParagraph"/>
        <w:numPr>
          <w:ilvl w:val="1"/>
          <w:numId w:val="24"/>
        </w:numPr>
        <w:spacing w:after="240"/>
        <w:contextualSpacing w:val="0"/>
        <w:rPr>
          <w:rFonts w:ascii="Arial" w:hAnsi="Arial" w:cs="Arial"/>
        </w:rPr>
      </w:pPr>
      <w:r w:rsidRPr="00113364">
        <w:rPr>
          <w:rFonts w:ascii="Arial" w:hAnsi="Arial" w:cs="Arial"/>
        </w:rPr>
        <w:t>Assess</w:t>
      </w:r>
      <w:r w:rsidR="00792090">
        <w:rPr>
          <w:rFonts w:ascii="Arial" w:hAnsi="Arial" w:cs="Arial"/>
        </w:rPr>
        <w:t>ing</w:t>
      </w:r>
      <w:r w:rsidRPr="00113364">
        <w:rPr>
          <w:rFonts w:ascii="Arial" w:hAnsi="Arial" w:cs="Arial"/>
        </w:rPr>
        <w:t xml:space="preserve"> student needs</w:t>
      </w:r>
      <w:r w:rsidR="00273A70" w:rsidRPr="00113364">
        <w:rPr>
          <w:rFonts w:ascii="Arial" w:hAnsi="Arial" w:cs="Arial"/>
        </w:rPr>
        <w:t xml:space="preserve"> informally, so instructional staff can respond to them in real time</w:t>
      </w:r>
      <w:r w:rsidR="00792090">
        <w:rPr>
          <w:rFonts w:ascii="Arial" w:hAnsi="Arial" w:cs="Arial"/>
        </w:rPr>
        <w:t>.</w:t>
      </w:r>
    </w:p>
    <w:p w14:paraId="7541B832" w14:textId="047EAE06" w:rsidR="00071F66" w:rsidRPr="00113364" w:rsidRDefault="00071F66">
      <w:pPr>
        <w:pStyle w:val="ListParagraph"/>
        <w:numPr>
          <w:ilvl w:val="1"/>
          <w:numId w:val="24"/>
        </w:numPr>
        <w:spacing w:after="240"/>
        <w:contextualSpacing w:val="0"/>
        <w:rPr>
          <w:rFonts w:ascii="Arial" w:hAnsi="Arial" w:cs="Arial"/>
        </w:rPr>
      </w:pPr>
      <w:r w:rsidRPr="00113364">
        <w:rPr>
          <w:rFonts w:ascii="Arial" w:hAnsi="Arial" w:cs="Arial"/>
        </w:rPr>
        <w:t>Monitor</w:t>
      </w:r>
      <w:r w:rsidR="00792090">
        <w:rPr>
          <w:rFonts w:ascii="Arial" w:hAnsi="Arial" w:cs="Arial"/>
        </w:rPr>
        <w:t>ing</w:t>
      </w:r>
      <w:r w:rsidRPr="00113364">
        <w:rPr>
          <w:rFonts w:ascii="Arial" w:hAnsi="Arial" w:cs="Arial"/>
        </w:rPr>
        <w:t xml:space="preserve"> student achievement and providing prompt feedback</w:t>
      </w:r>
      <w:r w:rsidR="00792090">
        <w:rPr>
          <w:rFonts w:ascii="Arial" w:hAnsi="Arial" w:cs="Arial"/>
        </w:rPr>
        <w:t>.</w:t>
      </w:r>
    </w:p>
    <w:p w14:paraId="59C64510" w14:textId="77777777" w:rsidR="00D84B70" w:rsidRPr="00113364" w:rsidRDefault="00D23418" w:rsidP="002103F7">
      <w:pPr>
        <w:pStyle w:val="Heading4"/>
      </w:pPr>
      <w:r w:rsidRPr="00113364">
        <w:t>Additional Local Migrant Education Program Considerations</w:t>
      </w:r>
    </w:p>
    <w:p w14:paraId="265467BB" w14:textId="5822A3AD" w:rsidR="00D23418" w:rsidRPr="00113364" w:rsidRDefault="00D23418">
      <w:pPr>
        <w:pStyle w:val="ListParagraph"/>
        <w:numPr>
          <w:ilvl w:val="0"/>
          <w:numId w:val="25"/>
        </w:numPr>
        <w:spacing w:before="240" w:after="240"/>
        <w:contextualSpacing w:val="0"/>
        <w:rPr>
          <w:rFonts w:ascii="Arial" w:hAnsi="Arial" w:cs="Arial"/>
        </w:rPr>
      </w:pPr>
      <w:r w:rsidRPr="00113364">
        <w:rPr>
          <w:rFonts w:ascii="Arial" w:hAnsi="Arial" w:cs="Arial"/>
        </w:rPr>
        <w:t>Hire qualified, skillful</w:t>
      </w:r>
      <w:r w:rsidR="00792090">
        <w:rPr>
          <w:rFonts w:ascii="Arial" w:hAnsi="Arial" w:cs="Arial"/>
        </w:rPr>
        <w:t>, and</w:t>
      </w:r>
      <w:r w:rsidRPr="00113364">
        <w:rPr>
          <w:rFonts w:ascii="Arial" w:hAnsi="Arial" w:cs="Arial"/>
        </w:rPr>
        <w:t xml:space="preserve"> responsive </w:t>
      </w:r>
      <w:r w:rsidR="00273A70" w:rsidRPr="00113364">
        <w:rPr>
          <w:rFonts w:ascii="Arial" w:hAnsi="Arial" w:cs="Arial"/>
        </w:rPr>
        <w:t xml:space="preserve">certified </w:t>
      </w:r>
      <w:r w:rsidRPr="00113364">
        <w:rPr>
          <w:rFonts w:ascii="Arial" w:hAnsi="Arial" w:cs="Arial"/>
        </w:rPr>
        <w:t>teachers</w:t>
      </w:r>
      <w:r w:rsidR="00273A70" w:rsidRPr="00113364">
        <w:rPr>
          <w:rFonts w:ascii="Arial" w:hAnsi="Arial" w:cs="Arial"/>
        </w:rPr>
        <w:t xml:space="preserve"> </w:t>
      </w:r>
      <w:r w:rsidRPr="00113364">
        <w:rPr>
          <w:rFonts w:ascii="Arial" w:hAnsi="Arial" w:cs="Arial"/>
        </w:rPr>
        <w:t xml:space="preserve">for </w:t>
      </w:r>
      <w:r w:rsidR="00273A70" w:rsidRPr="00113364">
        <w:rPr>
          <w:rFonts w:ascii="Arial" w:hAnsi="Arial" w:cs="Arial"/>
        </w:rPr>
        <w:t>regular school year and summer</w:t>
      </w:r>
      <w:r w:rsidRPr="00113364">
        <w:rPr>
          <w:rFonts w:ascii="Arial" w:hAnsi="Arial" w:cs="Arial"/>
        </w:rPr>
        <w:t xml:space="preserve"> programs.</w:t>
      </w:r>
    </w:p>
    <w:p w14:paraId="0F1C4083" w14:textId="576E6DD1" w:rsidR="00D23418" w:rsidRPr="00113364" w:rsidRDefault="00D23418">
      <w:pPr>
        <w:pStyle w:val="ListParagraph"/>
        <w:numPr>
          <w:ilvl w:val="0"/>
          <w:numId w:val="25"/>
        </w:numPr>
        <w:spacing w:after="240"/>
        <w:contextualSpacing w:val="0"/>
        <w:rPr>
          <w:rFonts w:ascii="Arial" w:hAnsi="Arial" w:cs="Arial"/>
        </w:rPr>
      </w:pPr>
      <w:r w:rsidRPr="00113364">
        <w:rPr>
          <w:rFonts w:ascii="Arial" w:hAnsi="Arial" w:cs="Arial"/>
        </w:rPr>
        <w:t>Increase program coordination and communication with parents and</w:t>
      </w:r>
      <w:r w:rsidR="00754324" w:rsidRPr="00113364">
        <w:rPr>
          <w:rFonts w:ascii="Arial" w:hAnsi="Arial" w:cs="Arial"/>
        </w:rPr>
        <w:t xml:space="preserve"> other</w:t>
      </w:r>
      <w:r w:rsidRPr="00113364">
        <w:rPr>
          <w:rFonts w:ascii="Arial" w:hAnsi="Arial" w:cs="Arial"/>
        </w:rPr>
        <w:t xml:space="preserve"> </w:t>
      </w:r>
      <w:r w:rsidR="00EF59DB" w:rsidRPr="00113364">
        <w:rPr>
          <w:rFonts w:ascii="Arial" w:hAnsi="Arial" w:cs="Arial"/>
        </w:rPr>
        <w:t>interested parties</w:t>
      </w:r>
      <w:r w:rsidRPr="00113364">
        <w:rPr>
          <w:rFonts w:ascii="Arial" w:hAnsi="Arial" w:cs="Arial"/>
        </w:rPr>
        <w:t>.</w:t>
      </w:r>
    </w:p>
    <w:p w14:paraId="49E39152" w14:textId="77777777" w:rsidR="00D23418" w:rsidRPr="00113364" w:rsidRDefault="00D23418">
      <w:pPr>
        <w:pStyle w:val="ListParagraph"/>
        <w:numPr>
          <w:ilvl w:val="0"/>
          <w:numId w:val="25"/>
        </w:numPr>
        <w:spacing w:after="240"/>
        <w:contextualSpacing w:val="0"/>
        <w:rPr>
          <w:rFonts w:ascii="Arial" w:hAnsi="Arial" w:cs="Arial"/>
        </w:rPr>
      </w:pPr>
      <w:r w:rsidRPr="00113364">
        <w:rPr>
          <w:rFonts w:ascii="Arial" w:hAnsi="Arial" w:cs="Arial"/>
        </w:rPr>
        <w:t>Increase participation in parent trainings/workshops to build capacity and knowledge.</w:t>
      </w:r>
    </w:p>
    <w:p w14:paraId="3A4AC551" w14:textId="18B8A7CB" w:rsidR="00D23418" w:rsidRPr="00113364" w:rsidRDefault="00D23418">
      <w:pPr>
        <w:pStyle w:val="ListParagraph"/>
        <w:numPr>
          <w:ilvl w:val="0"/>
          <w:numId w:val="25"/>
        </w:numPr>
        <w:spacing w:after="240"/>
        <w:contextualSpacing w:val="0"/>
        <w:rPr>
          <w:rFonts w:ascii="Arial" w:hAnsi="Arial" w:cs="Arial"/>
        </w:rPr>
      </w:pPr>
      <w:r w:rsidRPr="00113364">
        <w:rPr>
          <w:rFonts w:ascii="Arial" w:hAnsi="Arial" w:cs="Arial"/>
        </w:rPr>
        <w:t xml:space="preserve">Improve </w:t>
      </w:r>
      <w:r w:rsidR="00754324" w:rsidRPr="00113364">
        <w:rPr>
          <w:rFonts w:ascii="Arial" w:hAnsi="Arial" w:cs="Arial"/>
        </w:rPr>
        <w:t xml:space="preserve">student attendance with a focus on building strong school-to-home connections. </w:t>
      </w:r>
    </w:p>
    <w:p w14:paraId="618075B0" w14:textId="0CAAFED3" w:rsidR="00D23418" w:rsidRPr="00113364" w:rsidRDefault="00D23418">
      <w:pPr>
        <w:pStyle w:val="ListParagraph"/>
        <w:numPr>
          <w:ilvl w:val="0"/>
          <w:numId w:val="25"/>
        </w:numPr>
        <w:spacing w:after="240"/>
        <w:contextualSpacing w:val="0"/>
        <w:rPr>
          <w:rFonts w:ascii="Arial" w:hAnsi="Arial" w:cs="Arial"/>
        </w:rPr>
      </w:pPr>
      <w:r w:rsidRPr="00113364">
        <w:rPr>
          <w:rFonts w:ascii="Arial" w:hAnsi="Arial" w:cs="Arial"/>
        </w:rPr>
        <w:t>Increase access to technology and high-quality bilingual materials</w:t>
      </w:r>
      <w:r w:rsidR="00754324" w:rsidRPr="00113364">
        <w:rPr>
          <w:rFonts w:ascii="Arial" w:hAnsi="Arial" w:cs="Arial"/>
        </w:rPr>
        <w:t xml:space="preserve"> for instructional services</w:t>
      </w:r>
      <w:r w:rsidRPr="00113364">
        <w:rPr>
          <w:rFonts w:ascii="Arial" w:hAnsi="Arial" w:cs="Arial"/>
        </w:rPr>
        <w:t>.</w:t>
      </w:r>
    </w:p>
    <w:p w14:paraId="182FC2CC" w14:textId="40B8A797" w:rsidR="00D23418" w:rsidRPr="00113364" w:rsidRDefault="00D23418">
      <w:pPr>
        <w:pStyle w:val="ListParagraph"/>
        <w:numPr>
          <w:ilvl w:val="0"/>
          <w:numId w:val="25"/>
        </w:numPr>
        <w:spacing w:after="240"/>
        <w:contextualSpacing w:val="0"/>
        <w:rPr>
          <w:rFonts w:ascii="Arial" w:hAnsi="Arial" w:cs="Arial"/>
        </w:rPr>
      </w:pPr>
      <w:r w:rsidRPr="00113364">
        <w:rPr>
          <w:rFonts w:ascii="Arial" w:hAnsi="Arial" w:cs="Arial"/>
        </w:rPr>
        <w:t xml:space="preserve">Offer family engagement and family biliteracy </w:t>
      </w:r>
      <w:r w:rsidR="00754324" w:rsidRPr="00113364">
        <w:rPr>
          <w:rFonts w:ascii="Arial" w:hAnsi="Arial" w:cs="Arial"/>
        </w:rPr>
        <w:t xml:space="preserve">activities (e.g., </w:t>
      </w:r>
      <w:r w:rsidR="00E7492F" w:rsidRPr="00113364">
        <w:rPr>
          <w:rFonts w:ascii="Arial" w:hAnsi="Arial" w:cs="Arial"/>
        </w:rPr>
        <w:t>Mathematics</w:t>
      </w:r>
      <w:r w:rsidR="00754324" w:rsidRPr="00113364">
        <w:rPr>
          <w:rFonts w:ascii="Arial" w:hAnsi="Arial" w:cs="Arial"/>
        </w:rPr>
        <w:t xml:space="preserve"> Family Nights)</w:t>
      </w:r>
      <w:r w:rsidRPr="00113364">
        <w:rPr>
          <w:rFonts w:ascii="Arial" w:hAnsi="Arial" w:cs="Arial"/>
        </w:rPr>
        <w:t>.</w:t>
      </w:r>
    </w:p>
    <w:p w14:paraId="7B50C820" w14:textId="63700DFF" w:rsidR="00D23418" w:rsidRPr="00113364" w:rsidRDefault="00273A70">
      <w:pPr>
        <w:pStyle w:val="ListParagraph"/>
        <w:numPr>
          <w:ilvl w:val="0"/>
          <w:numId w:val="25"/>
        </w:numPr>
        <w:spacing w:after="240"/>
        <w:contextualSpacing w:val="0"/>
        <w:rPr>
          <w:rFonts w:ascii="Arial" w:hAnsi="Arial" w:cs="Arial"/>
        </w:rPr>
      </w:pPr>
      <w:r w:rsidRPr="00113364">
        <w:rPr>
          <w:rFonts w:ascii="Arial" w:hAnsi="Arial" w:cs="Arial"/>
        </w:rPr>
        <w:t xml:space="preserve">To enhance service content with the inclusion of integrated ELD and culturally sustaining pedagogy, consider reducing the number of services offered to focus on improving </w:t>
      </w:r>
      <w:r w:rsidR="00754324" w:rsidRPr="00113364">
        <w:rPr>
          <w:rFonts w:ascii="Arial" w:hAnsi="Arial" w:cs="Arial"/>
        </w:rPr>
        <w:t>the quality</w:t>
      </w:r>
      <w:r w:rsidRPr="00113364">
        <w:rPr>
          <w:rFonts w:ascii="Arial" w:hAnsi="Arial" w:cs="Arial"/>
        </w:rPr>
        <w:t xml:space="preserve"> of services. For example, if you offer four</w:t>
      </w:r>
      <w:r w:rsidR="00754324" w:rsidRPr="00113364">
        <w:rPr>
          <w:rFonts w:ascii="Arial" w:hAnsi="Arial" w:cs="Arial"/>
        </w:rPr>
        <w:t xml:space="preserve"> instructional</w:t>
      </w:r>
      <w:r w:rsidRPr="00113364">
        <w:rPr>
          <w:rFonts w:ascii="Arial" w:hAnsi="Arial" w:cs="Arial"/>
        </w:rPr>
        <w:t xml:space="preserve"> services, maybe only offer three so you can use funding to </w:t>
      </w:r>
      <w:r w:rsidR="00754324" w:rsidRPr="00113364">
        <w:rPr>
          <w:rFonts w:ascii="Arial" w:hAnsi="Arial" w:cs="Arial"/>
        </w:rPr>
        <w:t xml:space="preserve">update the fourth service’s curriculum. This would significantly improve some ELA services. For those who want to teach science through ELA standards, this provides the opportunity to build a curriculum while still offering services. In many cases, services have open spots, so there is still the opportunity to maintain participation. </w:t>
      </w:r>
    </w:p>
    <w:p w14:paraId="651A606B" w14:textId="346F9BE8" w:rsidR="00D23418" w:rsidRPr="00113364" w:rsidRDefault="00D23418">
      <w:pPr>
        <w:pStyle w:val="ListParagraph"/>
        <w:numPr>
          <w:ilvl w:val="0"/>
          <w:numId w:val="25"/>
        </w:numPr>
        <w:spacing w:after="240"/>
        <w:contextualSpacing w:val="0"/>
        <w:rPr>
          <w:rFonts w:ascii="Arial" w:hAnsi="Arial" w:cs="Arial"/>
        </w:rPr>
      </w:pPr>
      <w:r w:rsidRPr="00113364">
        <w:rPr>
          <w:rFonts w:ascii="Arial" w:hAnsi="Arial" w:cs="Arial"/>
        </w:rPr>
        <w:t>Address the socio-economic barriers to participation: transportation, childcare, nutrition, hours of services that conflict with work hours, coordination with other community services.</w:t>
      </w:r>
    </w:p>
    <w:p w14:paraId="5B92FB17" w14:textId="386AFDEE" w:rsidR="00BA03C8" w:rsidRPr="00113364" w:rsidRDefault="00BA03C8">
      <w:pPr>
        <w:pStyle w:val="ListParagraph"/>
        <w:numPr>
          <w:ilvl w:val="1"/>
          <w:numId w:val="25"/>
        </w:numPr>
        <w:spacing w:after="240"/>
        <w:contextualSpacing w:val="0"/>
        <w:rPr>
          <w:rFonts w:ascii="Arial" w:hAnsi="Arial" w:cs="Arial"/>
        </w:rPr>
      </w:pPr>
      <w:r w:rsidRPr="00113364">
        <w:rPr>
          <w:rFonts w:ascii="Arial" w:hAnsi="Arial" w:cs="Arial"/>
        </w:rPr>
        <w:lastRenderedPageBreak/>
        <w:t>Ensure nutritious food offerings for snacks and light meals when services are offered during mealtimes.</w:t>
      </w:r>
    </w:p>
    <w:p w14:paraId="3D0BE0A5" w14:textId="77777777" w:rsidR="009E4270" w:rsidRPr="00113364" w:rsidRDefault="009E4270" w:rsidP="005A4784">
      <w:pPr>
        <w:spacing w:before="240"/>
        <w:rPr>
          <w:rFonts w:ascii="Arial" w:eastAsia="Times New Roman" w:hAnsi="Arial" w:cs="Arial"/>
        </w:rPr>
      </w:pPr>
      <w:r w:rsidRPr="00113364">
        <w:rPr>
          <w:rFonts w:ascii="Arial" w:hAnsi="Arial" w:cs="Arial"/>
        </w:rPr>
        <w:t>These additional consi</w:t>
      </w:r>
      <w:r w:rsidRPr="00113364">
        <w:rPr>
          <w:rFonts w:ascii="Arial" w:eastAsia="Times New Roman" w:hAnsi="Arial" w:cs="Arial"/>
        </w:rPr>
        <w:t>derations for program improvement provide further guidance for the MEP subgrantees in the various focus areas.</w:t>
      </w:r>
    </w:p>
    <w:p w14:paraId="0BB5FA3A" w14:textId="77777777" w:rsidR="004F6691" w:rsidRPr="00113364" w:rsidRDefault="00D23418" w:rsidP="00C6453E">
      <w:pPr>
        <w:pStyle w:val="Heading2"/>
      </w:pPr>
      <w:r w:rsidRPr="00113364">
        <w:br w:type="page"/>
      </w:r>
      <w:bookmarkStart w:id="123" w:name="_Toc203568863"/>
      <w:r w:rsidR="00293E5D" w:rsidRPr="00113364">
        <w:lastRenderedPageBreak/>
        <w:t xml:space="preserve">Section IV: </w:t>
      </w:r>
      <w:r w:rsidR="00AB5388" w:rsidRPr="00113364">
        <w:t>Priority for Services</w:t>
      </w:r>
      <w:r w:rsidR="004F6691" w:rsidRPr="00113364">
        <w:t xml:space="preserve"> Students</w:t>
      </w:r>
      <w:bookmarkEnd w:id="123"/>
    </w:p>
    <w:p w14:paraId="5F4D4634" w14:textId="4B0A0BD0" w:rsidR="006D4E43" w:rsidRPr="00113364" w:rsidRDefault="000963A5" w:rsidP="00D00F5B">
      <w:pPr>
        <w:contextualSpacing/>
        <w:rPr>
          <w:rFonts w:ascii="Arial" w:hAnsi="Arial" w:cs="Arial"/>
        </w:rPr>
      </w:pPr>
      <w:r w:rsidRPr="00113364">
        <w:rPr>
          <w:rFonts w:ascii="Arial" w:eastAsia="Times New Roman" w:hAnsi="Arial" w:cs="Arial"/>
        </w:rPr>
        <w:t xml:space="preserve">In accordance with Section 1304 of ESSA, </w:t>
      </w:r>
      <w:r w:rsidR="002760D7" w:rsidRPr="00113364">
        <w:rPr>
          <w:rFonts w:ascii="Arial" w:eastAsia="Times New Roman" w:hAnsi="Arial" w:cs="Arial"/>
        </w:rPr>
        <w:t>the CDE created a process to identify and prioritize services for stude</w:t>
      </w:r>
      <w:r w:rsidR="006D7AEF" w:rsidRPr="00113364">
        <w:rPr>
          <w:rFonts w:ascii="Arial" w:eastAsia="Times New Roman" w:hAnsi="Arial" w:cs="Arial"/>
        </w:rPr>
        <w:t xml:space="preserve">nts who meet the criteria </w:t>
      </w:r>
      <w:r w:rsidR="002760D7" w:rsidRPr="00113364">
        <w:rPr>
          <w:rFonts w:ascii="Arial" w:eastAsia="Times New Roman" w:hAnsi="Arial" w:cs="Arial"/>
        </w:rPr>
        <w:t xml:space="preserve">PFS. </w:t>
      </w:r>
      <w:r w:rsidR="00093419" w:rsidRPr="00113364">
        <w:rPr>
          <w:rFonts w:ascii="Arial" w:hAnsi="Arial" w:cs="Arial"/>
        </w:rPr>
        <w:t>S</w:t>
      </w:r>
      <w:r w:rsidR="006D7AEF" w:rsidRPr="00113364">
        <w:rPr>
          <w:rFonts w:ascii="Arial" w:hAnsi="Arial" w:cs="Arial"/>
        </w:rPr>
        <w:t xml:space="preserve">tudents </w:t>
      </w:r>
      <w:r w:rsidR="00093419" w:rsidRPr="00113364">
        <w:rPr>
          <w:rFonts w:ascii="Arial" w:hAnsi="Arial" w:cs="Arial"/>
        </w:rPr>
        <w:t xml:space="preserve">who qualify as PFS </w:t>
      </w:r>
      <w:r w:rsidR="006D7AEF" w:rsidRPr="00113364">
        <w:rPr>
          <w:rFonts w:ascii="Arial" w:hAnsi="Arial" w:cs="Arial"/>
        </w:rPr>
        <w:t xml:space="preserve">are a subpopulation of migratory students who are eligible for services and who are most mobile and in need of </w:t>
      </w:r>
      <w:r w:rsidR="00A76692" w:rsidRPr="00113364">
        <w:rPr>
          <w:rFonts w:ascii="Arial" w:hAnsi="Arial" w:cs="Arial"/>
        </w:rPr>
        <w:t>accelerated learning</w:t>
      </w:r>
      <w:r w:rsidR="006D4E43" w:rsidRPr="00113364">
        <w:rPr>
          <w:rFonts w:ascii="Arial" w:hAnsi="Arial" w:cs="Arial"/>
        </w:rPr>
        <w:t xml:space="preserve">. </w:t>
      </w:r>
      <w:r w:rsidR="006D7AEF" w:rsidRPr="00113364">
        <w:rPr>
          <w:rFonts w:ascii="Arial" w:hAnsi="Arial" w:cs="Arial"/>
        </w:rPr>
        <w:t xml:space="preserve">According to Section 1304, </w:t>
      </w:r>
      <w:r w:rsidR="00B521B9" w:rsidRPr="00113364">
        <w:rPr>
          <w:rFonts w:ascii="Arial" w:hAnsi="Arial" w:cs="Arial"/>
        </w:rPr>
        <w:t xml:space="preserve">eligible </w:t>
      </w:r>
      <w:r w:rsidR="006D4E43" w:rsidRPr="00113364">
        <w:rPr>
          <w:rFonts w:ascii="Arial" w:hAnsi="Arial" w:cs="Arial"/>
        </w:rPr>
        <w:t>migratory students must meet the following requirements</w:t>
      </w:r>
      <w:r w:rsidR="006D7AEF" w:rsidRPr="00113364">
        <w:rPr>
          <w:rFonts w:ascii="Arial" w:hAnsi="Arial" w:cs="Arial"/>
        </w:rPr>
        <w:t xml:space="preserve"> </w:t>
      </w:r>
      <w:proofErr w:type="gramStart"/>
      <w:r w:rsidR="006D7AEF" w:rsidRPr="00113364">
        <w:rPr>
          <w:rFonts w:ascii="Arial" w:hAnsi="Arial" w:cs="Arial"/>
        </w:rPr>
        <w:t>in order to</w:t>
      </w:r>
      <w:proofErr w:type="gramEnd"/>
      <w:r w:rsidR="006D7AEF" w:rsidRPr="00113364">
        <w:rPr>
          <w:rFonts w:ascii="Arial" w:hAnsi="Arial" w:cs="Arial"/>
        </w:rPr>
        <w:t xml:space="preserve"> be considered PFS</w:t>
      </w:r>
      <w:r w:rsidR="006D4E43" w:rsidRPr="00113364">
        <w:rPr>
          <w:rFonts w:ascii="Arial" w:hAnsi="Arial" w:cs="Arial"/>
        </w:rPr>
        <w:t>:</w:t>
      </w:r>
    </w:p>
    <w:p w14:paraId="328B2F81" w14:textId="2A9C3EA3" w:rsidR="006D4E43" w:rsidRPr="00113364" w:rsidRDefault="006D4E43" w:rsidP="005A4784">
      <w:pPr>
        <w:pStyle w:val="ListParagraph"/>
        <w:numPr>
          <w:ilvl w:val="0"/>
          <w:numId w:val="1"/>
        </w:numPr>
        <w:spacing w:before="240" w:after="240"/>
        <w:contextualSpacing w:val="0"/>
        <w:rPr>
          <w:rFonts w:ascii="Arial" w:hAnsi="Arial" w:cs="Arial"/>
        </w:rPr>
      </w:pPr>
      <w:r w:rsidRPr="00113364">
        <w:rPr>
          <w:rFonts w:ascii="Arial" w:hAnsi="Arial" w:cs="Arial"/>
        </w:rPr>
        <w:t>Made a qualifying move within the previous one-year period, and who</w:t>
      </w:r>
      <w:r w:rsidR="00AB54AF">
        <w:rPr>
          <w:rFonts w:ascii="Arial" w:hAnsi="Arial" w:cs="Arial"/>
        </w:rPr>
        <w:t>:</w:t>
      </w:r>
    </w:p>
    <w:p w14:paraId="20AA2FF2" w14:textId="77777777" w:rsidR="009F33C6" w:rsidRPr="00113364" w:rsidRDefault="006D4E43" w:rsidP="005A4784">
      <w:pPr>
        <w:pStyle w:val="ListParagraph"/>
        <w:numPr>
          <w:ilvl w:val="1"/>
          <w:numId w:val="1"/>
        </w:numPr>
        <w:spacing w:before="240" w:after="240"/>
        <w:contextualSpacing w:val="0"/>
        <w:rPr>
          <w:rFonts w:ascii="Arial" w:hAnsi="Arial" w:cs="Arial"/>
        </w:rPr>
      </w:pPr>
      <w:r w:rsidRPr="00113364">
        <w:rPr>
          <w:rFonts w:ascii="Arial" w:hAnsi="Arial" w:cs="Arial"/>
        </w:rPr>
        <w:t>are failing, or most at risk of failing, to meet the challenging State academic standards; or</w:t>
      </w:r>
    </w:p>
    <w:p w14:paraId="3BFE26B7" w14:textId="77777777" w:rsidR="00835BD6" w:rsidRPr="00113364" w:rsidRDefault="006D4E43" w:rsidP="005A4784">
      <w:pPr>
        <w:pStyle w:val="ListParagraph"/>
        <w:numPr>
          <w:ilvl w:val="1"/>
          <w:numId w:val="1"/>
        </w:numPr>
        <w:spacing w:before="240" w:after="240"/>
        <w:contextualSpacing w:val="0"/>
        <w:rPr>
          <w:rFonts w:ascii="Arial" w:hAnsi="Arial" w:cs="Arial"/>
        </w:rPr>
      </w:pPr>
      <w:r w:rsidRPr="00113364">
        <w:rPr>
          <w:rFonts w:ascii="Arial" w:hAnsi="Arial" w:cs="Arial"/>
        </w:rPr>
        <w:t>have dropped out of school.</w:t>
      </w:r>
    </w:p>
    <w:p w14:paraId="644A56FD" w14:textId="0D1EACFF" w:rsidR="00771B1F" w:rsidRPr="00771B1F" w:rsidRDefault="00246F19" w:rsidP="00771B1F">
      <w:pPr>
        <w:spacing w:after="240"/>
        <w:rPr>
          <w:rFonts w:ascii="Arial" w:hAnsi="Arial" w:cs="Arial"/>
        </w:rPr>
      </w:pPr>
      <w:r w:rsidRPr="00113364">
        <w:rPr>
          <w:rFonts w:ascii="Arial" w:hAnsi="Arial" w:cs="Arial"/>
        </w:rPr>
        <w:t xml:space="preserve">In addition to meeting the </w:t>
      </w:r>
      <w:r w:rsidR="00EB6991">
        <w:rPr>
          <w:rFonts w:ascii="Arial" w:hAnsi="Arial" w:cs="Arial"/>
        </w:rPr>
        <w:t xml:space="preserve">move </w:t>
      </w:r>
      <w:r w:rsidRPr="00113364">
        <w:rPr>
          <w:rFonts w:ascii="Arial" w:hAnsi="Arial" w:cs="Arial"/>
        </w:rPr>
        <w:t xml:space="preserve">requirements of the federal classification for PFS, students must also </w:t>
      </w:r>
      <w:r w:rsidR="006D7AEF" w:rsidRPr="00113364">
        <w:rPr>
          <w:rFonts w:ascii="Arial" w:hAnsi="Arial" w:cs="Arial"/>
        </w:rPr>
        <w:t xml:space="preserve">meet California’s definition of “failing, or most at risk of failing.” Migratory students who meet the federal requirements and who </w:t>
      </w:r>
      <w:r w:rsidR="00771B1F">
        <w:rPr>
          <w:rFonts w:ascii="Arial" w:hAnsi="Arial" w:cs="Arial"/>
        </w:rPr>
        <w:t xml:space="preserve">meet the definition for “failing or at-risk of failing” </w:t>
      </w:r>
      <w:r w:rsidR="006D7AEF" w:rsidRPr="00113364">
        <w:rPr>
          <w:rFonts w:ascii="Arial" w:hAnsi="Arial" w:cs="Arial"/>
        </w:rPr>
        <w:t>are considered PFS students</w:t>
      </w:r>
      <w:r w:rsidRPr="00113364">
        <w:rPr>
          <w:rFonts w:ascii="Arial" w:hAnsi="Arial" w:cs="Arial"/>
        </w:rPr>
        <w:t xml:space="preserve">. </w:t>
      </w:r>
      <w:r w:rsidR="006F0C1A" w:rsidRPr="00113364">
        <w:rPr>
          <w:rFonts w:ascii="Arial" w:hAnsi="Arial" w:cs="Arial"/>
        </w:rPr>
        <w:t xml:space="preserve">The CDE defines “failing, or most at risk of failing” </w:t>
      </w:r>
      <w:r w:rsidR="00DC2E53">
        <w:rPr>
          <w:rFonts w:ascii="Arial" w:hAnsi="Arial" w:cs="Arial"/>
        </w:rPr>
        <w:t>includes</w:t>
      </w:r>
      <w:r w:rsidR="00AB54AF">
        <w:rPr>
          <w:rFonts w:ascii="Arial" w:hAnsi="Arial" w:cs="Arial"/>
        </w:rPr>
        <w:t xml:space="preserve"> one of the following</w:t>
      </w:r>
      <w:r w:rsidR="00DC2E53">
        <w:rPr>
          <w:rFonts w:ascii="Arial" w:hAnsi="Arial" w:cs="Arial"/>
        </w:rPr>
        <w:t xml:space="preserve"> in the child record</w:t>
      </w:r>
      <w:r w:rsidR="006F0C1A" w:rsidRPr="00113364">
        <w:rPr>
          <w:rFonts w:ascii="Arial" w:hAnsi="Arial" w:cs="Arial"/>
        </w:rPr>
        <w:t>:</w:t>
      </w:r>
    </w:p>
    <w:p w14:paraId="12F80520" w14:textId="6CDF6835" w:rsidR="00771B1F" w:rsidRPr="00771B1F" w:rsidRDefault="00771B1F" w:rsidP="00771B1F">
      <w:pPr>
        <w:numPr>
          <w:ilvl w:val="0"/>
          <w:numId w:val="73"/>
        </w:numPr>
        <w:rPr>
          <w:rFonts w:ascii="Arial" w:hAnsi="Arial" w:cs="Arial"/>
        </w:rPr>
      </w:pPr>
      <w:r w:rsidRPr="00771B1F">
        <w:rPr>
          <w:rFonts w:ascii="Arial" w:hAnsi="Arial" w:cs="Arial"/>
        </w:rPr>
        <w:t>CAASPP ELA Achievement Level of 1</w:t>
      </w:r>
      <w:r>
        <w:rPr>
          <w:rFonts w:ascii="Arial" w:hAnsi="Arial" w:cs="Arial"/>
        </w:rPr>
        <w:t>–</w:t>
      </w:r>
      <w:proofErr w:type="gramStart"/>
      <w:r w:rsidRPr="00771B1F">
        <w:rPr>
          <w:rFonts w:ascii="Arial" w:hAnsi="Arial" w:cs="Arial"/>
        </w:rPr>
        <w:t>2</w:t>
      </w:r>
      <w:r w:rsidR="00DC2E53">
        <w:rPr>
          <w:rFonts w:ascii="Arial" w:hAnsi="Arial" w:cs="Arial"/>
        </w:rPr>
        <w:t>;</w:t>
      </w:r>
      <w:proofErr w:type="gramEnd"/>
    </w:p>
    <w:p w14:paraId="4FE94E9A" w14:textId="51ADB496" w:rsidR="00771B1F" w:rsidRPr="00771B1F" w:rsidRDefault="00771B1F" w:rsidP="00771B1F">
      <w:pPr>
        <w:numPr>
          <w:ilvl w:val="0"/>
          <w:numId w:val="73"/>
        </w:numPr>
        <w:rPr>
          <w:rFonts w:ascii="Arial" w:hAnsi="Arial" w:cs="Arial"/>
        </w:rPr>
      </w:pPr>
      <w:r w:rsidRPr="00771B1F">
        <w:rPr>
          <w:rFonts w:ascii="Arial" w:hAnsi="Arial" w:cs="Arial"/>
        </w:rPr>
        <w:t>CAASPP Math Achievement Level of 1</w:t>
      </w:r>
      <w:r>
        <w:rPr>
          <w:rFonts w:ascii="Arial" w:hAnsi="Arial" w:cs="Arial"/>
        </w:rPr>
        <w:t>–</w:t>
      </w:r>
      <w:proofErr w:type="gramStart"/>
      <w:r w:rsidRPr="00771B1F">
        <w:rPr>
          <w:rFonts w:ascii="Arial" w:hAnsi="Arial" w:cs="Arial"/>
        </w:rPr>
        <w:t>2</w:t>
      </w:r>
      <w:r w:rsidR="00DC2E53">
        <w:rPr>
          <w:rFonts w:ascii="Arial" w:hAnsi="Arial" w:cs="Arial"/>
        </w:rPr>
        <w:t>;</w:t>
      </w:r>
      <w:proofErr w:type="gramEnd"/>
    </w:p>
    <w:p w14:paraId="447949B4" w14:textId="6DA8BBA3" w:rsidR="00771B1F" w:rsidRPr="00771B1F" w:rsidRDefault="00771B1F" w:rsidP="00771B1F">
      <w:pPr>
        <w:numPr>
          <w:ilvl w:val="0"/>
          <w:numId w:val="73"/>
        </w:numPr>
        <w:rPr>
          <w:rFonts w:ascii="Arial" w:hAnsi="Arial" w:cs="Arial"/>
        </w:rPr>
      </w:pPr>
      <w:r w:rsidRPr="00771B1F">
        <w:rPr>
          <w:rFonts w:ascii="Arial" w:hAnsi="Arial" w:cs="Arial"/>
        </w:rPr>
        <w:t>ELPAC Performance Level of 1</w:t>
      </w:r>
      <w:r>
        <w:rPr>
          <w:rFonts w:ascii="Arial" w:hAnsi="Arial" w:cs="Arial"/>
        </w:rPr>
        <w:t>–</w:t>
      </w:r>
      <w:r w:rsidRPr="00771B1F">
        <w:rPr>
          <w:rFonts w:ascii="Arial" w:hAnsi="Arial" w:cs="Arial"/>
        </w:rPr>
        <w:t>3</w:t>
      </w:r>
      <w:r w:rsidR="00DC2E53">
        <w:rPr>
          <w:rFonts w:ascii="Arial" w:hAnsi="Arial" w:cs="Arial"/>
        </w:rPr>
        <w:t>; or</w:t>
      </w:r>
    </w:p>
    <w:p w14:paraId="7C0D5D79" w14:textId="7D334423" w:rsidR="00771B1F" w:rsidRPr="00771B1F" w:rsidRDefault="00771B1F" w:rsidP="00EB6991">
      <w:pPr>
        <w:numPr>
          <w:ilvl w:val="0"/>
          <w:numId w:val="73"/>
        </w:numPr>
        <w:spacing w:after="240"/>
        <w:rPr>
          <w:rFonts w:ascii="Arial" w:hAnsi="Arial" w:cs="Arial"/>
        </w:rPr>
      </w:pPr>
      <w:r w:rsidRPr="00771B1F">
        <w:rPr>
          <w:rFonts w:ascii="Arial" w:hAnsi="Arial" w:cs="Arial"/>
        </w:rPr>
        <w:t xml:space="preserve">English </w:t>
      </w:r>
      <w:r w:rsidR="00EB6991">
        <w:rPr>
          <w:rFonts w:ascii="Arial" w:hAnsi="Arial" w:cs="Arial"/>
        </w:rPr>
        <w:t>l</w:t>
      </w:r>
      <w:r w:rsidRPr="00771B1F">
        <w:rPr>
          <w:rFonts w:ascii="Arial" w:hAnsi="Arial" w:cs="Arial"/>
        </w:rPr>
        <w:t>earner status</w:t>
      </w:r>
      <w:r w:rsidR="00DC2E53">
        <w:rPr>
          <w:rFonts w:ascii="Arial" w:hAnsi="Arial" w:cs="Arial"/>
        </w:rPr>
        <w:t>.</w:t>
      </w:r>
    </w:p>
    <w:p w14:paraId="12DCFAF3" w14:textId="666BFB12" w:rsidR="00771B1F" w:rsidRPr="00771B1F" w:rsidRDefault="00771B1F" w:rsidP="00771B1F">
      <w:pPr>
        <w:spacing w:after="240"/>
        <w:rPr>
          <w:rFonts w:ascii="Arial" w:hAnsi="Arial" w:cs="Arial"/>
        </w:rPr>
      </w:pPr>
      <w:r w:rsidRPr="00771B1F">
        <w:rPr>
          <w:rFonts w:ascii="Arial" w:hAnsi="Arial" w:cs="Arial"/>
        </w:rPr>
        <w:t>This student performance data represents prior year summative (end-of-year) assessment results.</w:t>
      </w:r>
      <w:r w:rsidR="00EB6991">
        <w:rPr>
          <w:rFonts w:ascii="Arial" w:hAnsi="Arial" w:cs="Arial"/>
        </w:rPr>
        <w:t xml:space="preserve"> </w:t>
      </w:r>
      <w:r w:rsidRPr="00771B1F">
        <w:rPr>
          <w:rFonts w:ascii="Arial" w:hAnsi="Arial" w:cs="Arial"/>
        </w:rPr>
        <w:t>E</w:t>
      </w:r>
      <w:r w:rsidR="00EB6991">
        <w:rPr>
          <w:rFonts w:ascii="Arial" w:hAnsi="Arial" w:cs="Arial"/>
        </w:rPr>
        <w:t>nglish learner</w:t>
      </w:r>
      <w:r w:rsidRPr="00771B1F">
        <w:rPr>
          <w:rFonts w:ascii="Arial" w:hAnsi="Arial" w:cs="Arial"/>
        </w:rPr>
        <w:t xml:space="preserve"> and </w:t>
      </w:r>
      <w:r w:rsidR="00EB6991">
        <w:rPr>
          <w:rFonts w:ascii="Arial" w:hAnsi="Arial" w:cs="Arial"/>
        </w:rPr>
        <w:t>d</w:t>
      </w:r>
      <w:r w:rsidRPr="00771B1F">
        <w:rPr>
          <w:rFonts w:ascii="Arial" w:hAnsi="Arial" w:cs="Arial"/>
        </w:rPr>
        <w:t>ropout status are indicators derived by CDE staff and provided to WestEd for use in the Academic Risk and PFS calculations.</w:t>
      </w:r>
    </w:p>
    <w:p w14:paraId="78E707D1" w14:textId="6BD5F9D0" w:rsidR="00D00F5B" w:rsidRPr="00113364" w:rsidRDefault="00D00F5B" w:rsidP="00DF455D">
      <w:pPr>
        <w:contextualSpacing/>
        <w:rPr>
          <w:rFonts w:ascii="Arial" w:eastAsia="Times New Roman" w:hAnsi="Arial" w:cs="Arial"/>
        </w:rPr>
      </w:pPr>
      <w:r w:rsidRPr="00113364">
        <w:rPr>
          <w:rFonts w:ascii="Arial" w:eastAsia="Times New Roman" w:hAnsi="Arial" w:cs="Arial"/>
        </w:rPr>
        <w:t xml:space="preserve">Identifying migratory children as PFS </w:t>
      </w:r>
      <w:r w:rsidR="00827A62" w:rsidRPr="00113364">
        <w:rPr>
          <w:rFonts w:ascii="Arial" w:eastAsia="Times New Roman" w:hAnsi="Arial" w:cs="Arial"/>
        </w:rPr>
        <w:t xml:space="preserve">happens </w:t>
      </w:r>
      <w:r w:rsidR="00417A4F" w:rsidRPr="00113364">
        <w:rPr>
          <w:rFonts w:ascii="Arial" w:eastAsia="Times New Roman" w:hAnsi="Arial" w:cs="Arial"/>
        </w:rPr>
        <w:t>once a year</w:t>
      </w:r>
      <w:r w:rsidR="00827A62" w:rsidRPr="00113364">
        <w:rPr>
          <w:rFonts w:ascii="Arial" w:eastAsia="Times New Roman" w:hAnsi="Arial" w:cs="Arial"/>
        </w:rPr>
        <w:t xml:space="preserve"> through California’s</w:t>
      </w:r>
      <w:r w:rsidRPr="00113364">
        <w:rPr>
          <w:rFonts w:ascii="Arial" w:eastAsia="Times New Roman" w:hAnsi="Arial" w:cs="Arial"/>
        </w:rPr>
        <w:t xml:space="preserve"> MSIN system. </w:t>
      </w:r>
      <w:r w:rsidR="00B521B9" w:rsidRPr="00113364">
        <w:rPr>
          <w:rFonts w:ascii="Arial" w:eastAsia="Times New Roman" w:hAnsi="Arial" w:cs="Arial"/>
        </w:rPr>
        <w:t>Migratory children</w:t>
      </w:r>
      <w:r w:rsidR="00DB0B5D" w:rsidRPr="00113364">
        <w:rPr>
          <w:rFonts w:ascii="Arial" w:eastAsia="Times New Roman" w:hAnsi="Arial" w:cs="Arial"/>
        </w:rPr>
        <w:t xml:space="preserve"> and </w:t>
      </w:r>
      <w:r w:rsidR="00417A4F" w:rsidRPr="00113364">
        <w:rPr>
          <w:rFonts w:ascii="Arial" w:eastAsia="Times New Roman" w:hAnsi="Arial" w:cs="Arial"/>
        </w:rPr>
        <w:t>youth</w:t>
      </w:r>
      <w:r w:rsidR="00B521B9" w:rsidRPr="00113364">
        <w:rPr>
          <w:rFonts w:ascii="Arial" w:eastAsia="Times New Roman" w:hAnsi="Arial" w:cs="Arial"/>
        </w:rPr>
        <w:t xml:space="preserve"> </w:t>
      </w:r>
      <w:r w:rsidR="00813A5F">
        <w:rPr>
          <w:rFonts w:ascii="Arial" w:eastAsia="Times New Roman" w:hAnsi="Arial" w:cs="Arial"/>
        </w:rPr>
        <w:t>are</w:t>
      </w:r>
      <w:r w:rsidR="00737DC5">
        <w:rPr>
          <w:rFonts w:ascii="Arial" w:eastAsia="Times New Roman" w:hAnsi="Arial" w:cs="Arial"/>
        </w:rPr>
        <w:t xml:space="preserve"> </w:t>
      </w:r>
      <w:r w:rsidR="00B521B9" w:rsidRPr="00113364">
        <w:rPr>
          <w:rFonts w:ascii="Arial" w:eastAsia="Times New Roman" w:hAnsi="Arial" w:cs="Arial"/>
        </w:rPr>
        <w:t xml:space="preserve">evaluated using the state's criteria as soon as the </w:t>
      </w:r>
      <w:r w:rsidR="002F7061">
        <w:rPr>
          <w:rFonts w:ascii="Arial" w:eastAsia="Times New Roman" w:hAnsi="Arial" w:cs="Arial"/>
        </w:rPr>
        <w:t>Migrant Education Office</w:t>
      </w:r>
      <w:r w:rsidR="00075D94" w:rsidRPr="00113364">
        <w:rPr>
          <w:rFonts w:ascii="Arial" w:eastAsia="Times New Roman" w:hAnsi="Arial" w:cs="Arial"/>
        </w:rPr>
        <w:t xml:space="preserve"> has access to the CAASPP data</w:t>
      </w:r>
      <w:r w:rsidR="00737DC5">
        <w:rPr>
          <w:rFonts w:ascii="Arial" w:eastAsia="Times New Roman" w:hAnsi="Arial" w:cs="Arial"/>
        </w:rPr>
        <w:t xml:space="preserve">. </w:t>
      </w:r>
      <w:r w:rsidR="008C5833" w:rsidRPr="00113364">
        <w:rPr>
          <w:rFonts w:ascii="Arial" w:eastAsia="Times New Roman" w:hAnsi="Arial" w:cs="Arial"/>
        </w:rPr>
        <w:t xml:space="preserve">Once this </w:t>
      </w:r>
      <w:r w:rsidR="00813A5F">
        <w:rPr>
          <w:rFonts w:ascii="Arial" w:eastAsia="Times New Roman" w:hAnsi="Arial" w:cs="Arial"/>
        </w:rPr>
        <w:t>data is received</w:t>
      </w:r>
      <w:r w:rsidR="00737DC5">
        <w:rPr>
          <w:rFonts w:ascii="Arial" w:eastAsia="Times New Roman" w:hAnsi="Arial" w:cs="Arial"/>
        </w:rPr>
        <w:t xml:space="preserve"> </w:t>
      </w:r>
      <w:r w:rsidR="008C5833" w:rsidRPr="00113364">
        <w:rPr>
          <w:rFonts w:ascii="Arial" w:eastAsia="Times New Roman" w:hAnsi="Arial" w:cs="Arial"/>
        </w:rPr>
        <w:t>all students who have moved within the previous 12-month period and are either 1) failing, or most at risk of failing or 2) have dropped out of school</w:t>
      </w:r>
      <w:r w:rsidR="00737DC5">
        <w:rPr>
          <w:rFonts w:ascii="Arial" w:eastAsia="Times New Roman" w:hAnsi="Arial" w:cs="Arial"/>
        </w:rPr>
        <w:t xml:space="preserve"> are given a PFS indicator</w:t>
      </w:r>
      <w:r w:rsidR="008C5833" w:rsidRPr="00113364">
        <w:rPr>
          <w:rFonts w:ascii="Arial" w:eastAsia="Times New Roman" w:hAnsi="Arial" w:cs="Arial"/>
        </w:rPr>
        <w:t xml:space="preserve">. </w:t>
      </w:r>
      <w:r w:rsidR="004D45A7" w:rsidRPr="00113364">
        <w:rPr>
          <w:rFonts w:ascii="Arial" w:eastAsia="Times New Roman" w:hAnsi="Arial" w:cs="Arial"/>
        </w:rPr>
        <w:t>In October, t</w:t>
      </w:r>
      <w:r w:rsidR="008C5833" w:rsidRPr="00113364">
        <w:rPr>
          <w:rFonts w:ascii="Arial" w:eastAsia="Times New Roman" w:hAnsi="Arial" w:cs="Arial"/>
        </w:rPr>
        <w:t xml:space="preserve">he CDE alerts the field when the </w:t>
      </w:r>
      <w:r w:rsidR="004D45A7" w:rsidRPr="00113364">
        <w:rPr>
          <w:rFonts w:ascii="Arial" w:eastAsia="Times New Roman" w:hAnsi="Arial" w:cs="Arial"/>
        </w:rPr>
        <w:t xml:space="preserve">PFS list is available for the </w:t>
      </w:r>
      <w:r w:rsidR="002F7061">
        <w:rPr>
          <w:rFonts w:ascii="Arial" w:eastAsia="Times New Roman" w:hAnsi="Arial" w:cs="Arial"/>
        </w:rPr>
        <w:t>current school</w:t>
      </w:r>
      <w:r w:rsidR="002F7061" w:rsidRPr="00113364">
        <w:rPr>
          <w:rFonts w:ascii="Arial" w:eastAsia="Times New Roman" w:hAnsi="Arial" w:cs="Arial"/>
        </w:rPr>
        <w:t xml:space="preserve"> </w:t>
      </w:r>
      <w:r w:rsidR="004D45A7" w:rsidRPr="00113364">
        <w:rPr>
          <w:rFonts w:ascii="Arial" w:eastAsia="Times New Roman" w:hAnsi="Arial" w:cs="Arial"/>
        </w:rPr>
        <w:t xml:space="preserve">year. </w:t>
      </w:r>
    </w:p>
    <w:p w14:paraId="5223CE37" w14:textId="30704358" w:rsidR="004F6691" w:rsidRPr="00113364" w:rsidRDefault="00286522" w:rsidP="005A4784">
      <w:pPr>
        <w:spacing w:before="240"/>
        <w:rPr>
          <w:rFonts w:ascii="Arial" w:hAnsi="Arial" w:cs="Arial"/>
        </w:rPr>
      </w:pPr>
      <w:r w:rsidRPr="00113364">
        <w:rPr>
          <w:rFonts w:ascii="Arial" w:hAnsi="Arial" w:cs="Arial"/>
        </w:rPr>
        <w:t>Local MEPs</w:t>
      </w:r>
      <w:r w:rsidR="002C73CF" w:rsidRPr="00113364">
        <w:rPr>
          <w:rFonts w:ascii="Arial" w:hAnsi="Arial" w:cs="Arial"/>
        </w:rPr>
        <w:t xml:space="preserve"> develop services </w:t>
      </w:r>
      <w:r w:rsidR="007D764C" w:rsidRPr="00113364">
        <w:rPr>
          <w:rFonts w:ascii="Arial" w:hAnsi="Arial" w:cs="Arial"/>
        </w:rPr>
        <w:t>based on</w:t>
      </w:r>
      <w:r w:rsidR="00673A9F" w:rsidRPr="00113364">
        <w:rPr>
          <w:rFonts w:ascii="Arial" w:hAnsi="Arial" w:cs="Arial"/>
        </w:rPr>
        <w:t xml:space="preserve"> the </w:t>
      </w:r>
      <w:r w:rsidR="002C73CF" w:rsidRPr="00113364">
        <w:rPr>
          <w:rFonts w:ascii="Arial" w:hAnsi="Arial" w:cs="Arial"/>
        </w:rPr>
        <w:t xml:space="preserve">needs of migratory students with special attention </w:t>
      </w:r>
      <w:r w:rsidR="00B50FE1" w:rsidRPr="00113364">
        <w:rPr>
          <w:rFonts w:ascii="Arial" w:hAnsi="Arial" w:cs="Arial"/>
        </w:rPr>
        <w:t xml:space="preserve">paid </w:t>
      </w:r>
      <w:r w:rsidR="002C73CF" w:rsidRPr="00113364">
        <w:rPr>
          <w:rFonts w:ascii="Arial" w:hAnsi="Arial" w:cs="Arial"/>
        </w:rPr>
        <w:t xml:space="preserve">to the needs of migratory PFS students. </w:t>
      </w:r>
      <w:r w:rsidR="00E4676D" w:rsidRPr="00113364">
        <w:rPr>
          <w:rFonts w:ascii="Arial" w:hAnsi="Arial" w:cs="Arial"/>
        </w:rPr>
        <w:t>While the MEP subgrantees have access to the PFS list to prioritize PFS students</w:t>
      </w:r>
      <w:r w:rsidR="00B50FE1" w:rsidRPr="00113364">
        <w:rPr>
          <w:rFonts w:ascii="Arial" w:hAnsi="Arial" w:cs="Arial"/>
        </w:rPr>
        <w:t xml:space="preserve"> when enrolling migratory students and families in various services</w:t>
      </w:r>
      <w:r w:rsidR="00E4676D" w:rsidRPr="00113364">
        <w:rPr>
          <w:rFonts w:ascii="Arial" w:hAnsi="Arial" w:cs="Arial"/>
        </w:rPr>
        <w:t>, more tools are available to ensure PFS students are prioritized for instructional and support services</w:t>
      </w:r>
      <w:r w:rsidR="00B50FE1" w:rsidRPr="00113364">
        <w:rPr>
          <w:rFonts w:ascii="Arial" w:hAnsi="Arial" w:cs="Arial"/>
        </w:rPr>
        <w:t xml:space="preserve">. </w:t>
      </w:r>
      <w:r w:rsidR="00E4676D" w:rsidRPr="00113364">
        <w:rPr>
          <w:rFonts w:ascii="Arial" w:hAnsi="Arial" w:cs="Arial"/>
        </w:rPr>
        <w:t xml:space="preserve">The </w:t>
      </w:r>
      <w:r w:rsidR="002333F4" w:rsidRPr="00113364">
        <w:rPr>
          <w:rFonts w:ascii="Arial" w:hAnsi="Arial" w:cs="Arial"/>
        </w:rPr>
        <w:t xml:space="preserve">SDP MPO Reports </w:t>
      </w:r>
      <w:r w:rsidR="00673A9F" w:rsidRPr="00113364">
        <w:rPr>
          <w:rFonts w:ascii="Arial" w:hAnsi="Arial" w:cs="Arial"/>
        </w:rPr>
        <w:t>provided through</w:t>
      </w:r>
      <w:r w:rsidR="002333F4" w:rsidRPr="00113364">
        <w:rPr>
          <w:rFonts w:ascii="Arial" w:hAnsi="Arial" w:cs="Arial"/>
        </w:rPr>
        <w:t xml:space="preserve"> MSIN contain several features. The most helpful features for service enrollment include being able to classify all students with a specific need which streamlines </w:t>
      </w:r>
      <w:r w:rsidR="002333F4" w:rsidRPr="00113364">
        <w:rPr>
          <w:rFonts w:ascii="Arial" w:hAnsi="Arial" w:cs="Arial"/>
        </w:rPr>
        <w:lastRenderedPageBreak/>
        <w:t>enrollment into aligning services</w:t>
      </w:r>
      <w:r w:rsidR="000740DA" w:rsidRPr="00113364">
        <w:rPr>
          <w:rFonts w:ascii="Arial" w:hAnsi="Arial" w:cs="Arial"/>
        </w:rPr>
        <w:t xml:space="preserve">. Moreover, </w:t>
      </w:r>
      <w:r w:rsidR="002333F4" w:rsidRPr="00113364">
        <w:rPr>
          <w:rFonts w:ascii="Arial" w:hAnsi="Arial" w:cs="Arial"/>
        </w:rPr>
        <w:t>the inclusion of a PFS indicator</w:t>
      </w:r>
      <w:r w:rsidR="000740DA" w:rsidRPr="00113364">
        <w:rPr>
          <w:rFonts w:ascii="Arial" w:hAnsi="Arial" w:cs="Arial"/>
        </w:rPr>
        <w:t xml:space="preserve"> was essential</w:t>
      </w:r>
      <w:r w:rsidR="002333F4" w:rsidRPr="00113364">
        <w:rPr>
          <w:rFonts w:ascii="Arial" w:hAnsi="Arial" w:cs="Arial"/>
        </w:rPr>
        <w:t xml:space="preserve">, so those students are offered services before non-PFS students. </w:t>
      </w:r>
      <w:r w:rsidR="00B50FE1" w:rsidRPr="00113364">
        <w:rPr>
          <w:rFonts w:ascii="Arial" w:hAnsi="Arial" w:cs="Arial"/>
        </w:rPr>
        <w:t>Additionally, subgrantees provide extra support for the PFS students within program services</w:t>
      </w:r>
      <w:r w:rsidR="00CD143F" w:rsidRPr="00113364">
        <w:rPr>
          <w:rFonts w:ascii="Arial" w:hAnsi="Arial" w:cs="Arial"/>
        </w:rPr>
        <w:t xml:space="preserve"> </w:t>
      </w:r>
      <w:r w:rsidR="00673A9F" w:rsidRPr="00113364">
        <w:rPr>
          <w:rFonts w:ascii="Arial" w:hAnsi="Arial" w:cs="Arial"/>
        </w:rPr>
        <w:t xml:space="preserve">by offering </w:t>
      </w:r>
      <w:r w:rsidR="003B0C5C" w:rsidRPr="00113364">
        <w:rPr>
          <w:rFonts w:ascii="Arial" w:hAnsi="Arial" w:cs="Arial"/>
        </w:rPr>
        <w:t>additional program outreach</w:t>
      </w:r>
      <w:r w:rsidR="00CD143F" w:rsidRPr="00113364">
        <w:rPr>
          <w:rFonts w:ascii="Arial" w:hAnsi="Arial" w:cs="Arial"/>
        </w:rPr>
        <w:t xml:space="preserve">, </w:t>
      </w:r>
      <w:r w:rsidR="003B0C5C" w:rsidRPr="00113364">
        <w:rPr>
          <w:rFonts w:ascii="Arial" w:hAnsi="Arial" w:cs="Arial"/>
        </w:rPr>
        <w:t>addressing any unaddressed needs</w:t>
      </w:r>
      <w:r w:rsidR="004F20F8" w:rsidRPr="00113364">
        <w:rPr>
          <w:rFonts w:ascii="Arial" w:hAnsi="Arial" w:cs="Arial"/>
        </w:rPr>
        <w:t>,</w:t>
      </w:r>
      <w:r w:rsidR="00CD143F" w:rsidRPr="00113364">
        <w:rPr>
          <w:rFonts w:ascii="Arial" w:hAnsi="Arial" w:cs="Arial"/>
        </w:rPr>
        <w:t xml:space="preserve"> and </w:t>
      </w:r>
      <w:r w:rsidR="009F3F4B" w:rsidRPr="00113364">
        <w:rPr>
          <w:rFonts w:ascii="Arial" w:hAnsi="Arial" w:cs="Arial"/>
        </w:rPr>
        <w:t>providing</w:t>
      </w:r>
      <w:r w:rsidR="00673A9F" w:rsidRPr="00113364">
        <w:rPr>
          <w:rFonts w:ascii="Arial" w:hAnsi="Arial" w:cs="Arial"/>
        </w:rPr>
        <w:t xml:space="preserve"> </w:t>
      </w:r>
      <w:r w:rsidR="00CD143F" w:rsidRPr="00113364">
        <w:rPr>
          <w:rFonts w:ascii="Arial" w:hAnsi="Arial" w:cs="Arial"/>
        </w:rPr>
        <w:t>extra staff support</w:t>
      </w:r>
      <w:r w:rsidR="003B0C5C" w:rsidRPr="00113364">
        <w:rPr>
          <w:rFonts w:ascii="Arial" w:hAnsi="Arial" w:cs="Arial"/>
        </w:rPr>
        <w:t xml:space="preserve"> to connect families to resources</w:t>
      </w:r>
      <w:r w:rsidR="00CD143F" w:rsidRPr="00113364">
        <w:rPr>
          <w:rFonts w:ascii="Arial" w:hAnsi="Arial" w:cs="Arial"/>
        </w:rPr>
        <w:t>.</w:t>
      </w:r>
    </w:p>
    <w:p w14:paraId="42AB0665" w14:textId="1C854EDC" w:rsidR="006C504D" w:rsidRPr="00113364" w:rsidRDefault="00D84B70" w:rsidP="002103F7">
      <w:pPr>
        <w:pStyle w:val="Heading2"/>
      </w:pPr>
      <w:r w:rsidRPr="00113364">
        <w:br w:type="page"/>
      </w:r>
      <w:bookmarkStart w:id="124" w:name="_Toc203568864"/>
      <w:bookmarkStart w:id="125" w:name="_Hlk191289076"/>
      <w:r w:rsidR="002103F7" w:rsidRPr="00113364">
        <w:lastRenderedPageBreak/>
        <w:t>S</w:t>
      </w:r>
      <w:r w:rsidR="00293E5D" w:rsidRPr="00113364">
        <w:t xml:space="preserve">ection V: </w:t>
      </w:r>
      <w:r w:rsidR="006C504D" w:rsidRPr="00113364">
        <w:t>Identification and Recruitment Plan</w:t>
      </w:r>
      <w:bookmarkEnd w:id="124"/>
    </w:p>
    <w:p w14:paraId="5837EC91" w14:textId="3AA2FD2F" w:rsidR="00695D98" w:rsidRPr="00113364" w:rsidRDefault="00695D98" w:rsidP="00695D98">
      <w:pPr>
        <w:autoSpaceDE w:val="0"/>
        <w:autoSpaceDN w:val="0"/>
        <w:adjustRightInd w:val="0"/>
        <w:contextualSpacing/>
        <w:rPr>
          <w:rFonts w:ascii="Arial" w:hAnsi="Arial" w:cs="Arial"/>
        </w:rPr>
      </w:pPr>
      <w:r w:rsidRPr="00113364">
        <w:rPr>
          <w:rFonts w:ascii="Arial" w:hAnsi="Arial" w:cs="Arial"/>
        </w:rPr>
        <w:t xml:space="preserve">The process of identifying and recruiting </w:t>
      </w:r>
      <w:r w:rsidR="00673A9F" w:rsidRPr="00113364">
        <w:rPr>
          <w:rFonts w:ascii="Arial" w:hAnsi="Arial" w:cs="Arial"/>
        </w:rPr>
        <w:t xml:space="preserve">eligible children for MEP services </w:t>
      </w:r>
      <w:r w:rsidRPr="00113364">
        <w:rPr>
          <w:rFonts w:ascii="Arial" w:hAnsi="Arial" w:cs="Arial"/>
        </w:rPr>
        <w:t>is a federal program requirement and the responsibility of each state accepting MEP funds. In California, the regional and district staff tas</w:t>
      </w:r>
      <w:r w:rsidR="00673A9F" w:rsidRPr="00113364">
        <w:rPr>
          <w:rFonts w:ascii="Arial" w:hAnsi="Arial" w:cs="Arial"/>
        </w:rPr>
        <w:t>k</w:t>
      </w:r>
      <w:r w:rsidRPr="00113364">
        <w:rPr>
          <w:rFonts w:ascii="Arial" w:hAnsi="Arial" w:cs="Arial"/>
        </w:rPr>
        <w:t xml:space="preserve">ed with identification and recruitment (I&amp;R) represent the </w:t>
      </w:r>
      <w:r w:rsidR="005F3D4B" w:rsidRPr="00113364">
        <w:rPr>
          <w:rFonts w:ascii="Arial" w:hAnsi="Arial" w:cs="Arial"/>
        </w:rPr>
        <w:t>state MEP</w:t>
      </w:r>
      <w:r w:rsidRPr="00113364">
        <w:rPr>
          <w:rFonts w:ascii="Arial" w:hAnsi="Arial" w:cs="Arial"/>
        </w:rPr>
        <w:t xml:space="preserve">. Only fully trained and authorized personnel are permitted to identify and recruit families and youths for the MEP. A “recruiter” refers to anyone who has been authorized to identify and recruit migrant students, regardless of the official or colloquial title by which he or she operates and any other job duties he or she may be required to perform. </w:t>
      </w:r>
    </w:p>
    <w:p w14:paraId="747B6D96" w14:textId="6E86F139" w:rsidR="00695D98" w:rsidRPr="00113364" w:rsidRDefault="00695D98" w:rsidP="00695D98">
      <w:pPr>
        <w:autoSpaceDE w:val="0"/>
        <w:autoSpaceDN w:val="0"/>
        <w:adjustRightInd w:val="0"/>
        <w:spacing w:before="240"/>
        <w:rPr>
          <w:rFonts w:ascii="Arial" w:hAnsi="Arial" w:cs="Arial"/>
        </w:rPr>
      </w:pPr>
      <w:r w:rsidRPr="00113364">
        <w:rPr>
          <w:rFonts w:ascii="Arial" w:hAnsi="Arial" w:cs="Arial"/>
        </w:rPr>
        <w:t xml:space="preserve">“Identification” means locating migratory families and youths. “Recruitment” refers to </w:t>
      </w:r>
      <w:proofErr w:type="gramStart"/>
      <w:r w:rsidRPr="00113364">
        <w:rPr>
          <w:rFonts w:ascii="Arial" w:hAnsi="Arial" w:cs="Arial"/>
        </w:rPr>
        <w:t>making contact with</w:t>
      </w:r>
      <w:proofErr w:type="gramEnd"/>
      <w:r w:rsidRPr="00113364">
        <w:rPr>
          <w:rFonts w:ascii="Arial" w:hAnsi="Arial" w:cs="Arial"/>
        </w:rPr>
        <w:t xml:space="preserve"> migratory families and youths and (a) describing MEP services, (b) securing the necessary information to determine eligibility for program services, and (c) recording the basis of eligibility on a Certificate of Eligibility (COE). Successful recruitment results in the enrollment of migratory children or youths in the MEP. </w:t>
      </w:r>
    </w:p>
    <w:p w14:paraId="3E27F772" w14:textId="4DD7C313" w:rsidR="00695D98" w:rsidRPr="00113364" w:rsidRDefault="00695D98" w:rsidP="00695D98">
      <w:pPr>
        <w:autoSpaceDE w:val="0"/>
        <w:autoSpaceDN w:val="0"/>
        <w:adjustRightInd w:val="0"/>
        <w:spacing w:before="240"/>
        <w:rPr>
          <w:rFonts w:ascii="Arial" w:hAnsi="Arial" w:cs="Arial"/>
        </w:rPr>
      </w:pPr>
      <w:r w:rsidRPr="00113364">
        <w:rPr>
          <w:rFonts w:ascii="Arial" w:hAnsi="Arial" w:cs="Arial"/>
        </w:rPr>
        <w:t xml:space="preserve">As described earlier in this plan, the CDE administers MEP services and activities through subgrantee regions and districts. To the extent possible, subgrantee regions and districts track the departure as well as the arrival of migratory families and youths in their area. This practice is useful because: (1) it helps CDE plan the program by determining an accurate number of eligible </w:t>
      </w:r>
      <w:r w:rsidR="005F3D4B" w:rsidRPr="00113364">
        <w:rPr>
          <w:rFonts w:ascii="Arial" w:hAnsi="Arial" w:cs="Arial"/>
        </w:rPr>
        <w:t xml:space="preserve">migratory </w:t>
      </w:r>
      <w:r w:rsidRPr="00113364">
        <w:rPr>
          <w:rFonts w:ascii="Arial" w:hAnsi="Arial" w:cs="Arial"/>
        </w:rPr>
        <w:t>children and youths in the state; (2) it allows the region</w:t>
      </w:r>
      <w:r w:rsidR="005F3D4B" w:rsidRPr="00113364">
        <w:rPr>
          <w:rFonts w:ascii="Arial" w:hAnsi="Arial" w:cs="Arial"/>
        </w:rPr>
        <w:t xml:space="preserve"> or district</w:t>
      </w:r>
      <w:r w:rsidRPr="00113364">
        <w:rPr>
          <w:rFonts w:ascii="Arial" w:hAnsi="Arial" w:cs="Arial"/>
        </w:rPr>
        <w:t xml:space="preserve"> to notify the receiving site in advance</w:t>
      </w:r>
      <w:r w:rsidR="005F3D4B" w:rsidRPr="00113364">
        <w:rPr>
          <w:rFonts w:ascii="Arial" w:hAnsi="Arial" w:cs="Arial"/>
        </w:rPr>
        <w:t xml:space="preserve"> of arrival,</w:t>
      </w:r>
      <w:r w:rsidRPr="00113364">
        <w:rPr>
          <w:rFonts w:ascii="Arial" w:hAnsi="Arial" w:cs="Arial"/>
        </w:rPr>
        <w:t xml:space="preserve"> and through the MSIX system, that the migratory child or youth is </w:t>
      </w:r>
      <w:r w:rsidR="00113364" w:rsidRPr="00113364">
        <w:rPr>
          <w:rFonts w:ascii="Arial" w:hAnsi="Arial" w:cs="Arial"/>
        </w:rPr>
        <w:t>in</w:t>
      </w:r>
      <w:r w:rsidRPr="00113364">
        <w:rPr>
          <w:rFonts w:ascii="Arial" w:hAnsi="Arial" w:cs="Arial"/>
        </w:rPr>
        <w:t xml:space="preserve"> route; and (3) it allows the region </w:t>
      </w:r>
      <w:r w:rsidR="005F3D4B" w:rsidRPr="00113364">
        <w:rPr>
          <w:rFonts w:ascii="Arial" w:hAnsi="Arial" w:cs="Arial"/>
        </w:rPr>
        <w:t xml:space="preserve">or district </w:t>
      </w:r>
      <w:r w:rsidRPr="00113364">
        <w:rPr>
          <w:rFonts w:ascii="Arial" w:hAnsi="Arial" w:cs="Arial"/>
        </w:rPr>
        <w:t xml:space="preserve">to identify possible PFS students. </w:t>
      </w:r>
    </w:p>
    <w:p w14:paraId="1E4CB63E" w14:textId="171AF6F2" w:rsidR="00695D98" w:rsidRPr="00113364" w:rsidRDefault="00695D98" w:rsidP="00767B67">
      <w:pPr>
        <w:autoSpaceDE w:val="0"/>
        <w:autoSpaceDN w:val="0"/>
        <w:adjustRightInd w:val="0"/>
        <w:spacing w:before="240" w:after="240"/>
        <w:rPr>
          <w:rFonts w:ascii="Arial" w:hAnsi="Arial" w:cs="Arial"/>
        </w:rPr>
      </w:pPr>
      <w:r w:rsidRPr="00113364">
        <w:rPr>
          <w:rFonts w:ascii="Arial" w:hAnsi="Arial" w:cs="Arial"/>
        </w:rPr>
        <w:t>Because I&amp;R is essentially the foundation of the program, the recruiter plays a vital role. It is the recruiter who identifies potential migratory families and youths through school and community-based recruitment strategies and determines program eligibility. Recruiters obtain data by interviewing the parent or guardian of the child or youth in cases where the child moves on his or her own. In addition, a recruiter might be assigned by the region or district to work in a single school or multiple school districts. California’s</w:t>
      </w:r>
      <w:r w:rsidRPr="00113364">
        <w:rPr>
          <w:rFonts w:ascii="Arial" w:hAnsi="Arial" w:cs="Arial"/>
          <w:i/>
        </w:rPr>
        <w:t xml:space="preserve"> MEP I&amp;R Manual</w:t>
      </w:r>
      <w:r w:rsidRPr="00113364">
        <w:rPr>
          <w:rFonts w:ascii="Arial" w:hAnsi="Arial" w:cs="Arial"/>
        </w:rPr>
        <w:t xml:space="preserve"> outlines the policies and procedures for the identification and recruitment of migrant children as well as the MEP requirements.</w:t>
      </w:r>
    </w:p>
    <w:p w14:paraId="560211BB" w14:textId="56A4B5DB" w:rsidR="006C504D" w:rsidRPr="00113364" w:rsidRDefault="006C504D" w:rsidP="003F0CBE">
      <w:pPr>
        <w:pStyle w:val="Heading3"/>
      </w:pPr>
      <w:bookmarkStart w:id="126" w:name="_Toc203568865"/>
      <w:r w:rsidRPr="00113364">
        <w:t>Local</w:t>
      </w:r>
      <w:r w:rsidR="00695D98" w:rsidRPr="00113364">
        <w:t xml:space="preserve"> and State</w:t>
      </w:r>
      <w:r w:rsidRPr="00113364">
        <w:t xml:space="preserve"> Training</w:t>
      </w:r>
      <w:bookmarkEnd w:id="126"/>
    </w:p>
    <w:p w14:paraId="6D5EBE5B" w14:textId="77777777" w:rsidR="00695D98" w:rsidRPr="00113364" w:rsidRDefault="00695D98" w:rsidP="00767B67">
      <w:pPr>
        <w:pStyle w:val="Default"/>
        <w:spacing w:before="240" w:after="240"/>
        <w:rPr>
          <w:rFonts w:ascii="Arial" w:hAnsi="Arial" w:cs="Arial"/>
        </w:rPr>
      </w:pPr>
      <w:r w:rsidRPr="00113364">
        <w:rPr>
          <w:rFonts w:ascii="Arial" w:hAnsi="Arial" w:cs="Arial"/>
        </w:rPr>
        <w:t xml:space="preserve">To be effective in I&amp;R, a recruiter must become skilled in performing a range of duties and adapting to situations. The CDE requires the subgrantees to ensure that adequate training on child eligibility, COE completion, and I&amp;R procedures is provided for all personnel who are involved in any aspect of the I&amp;R process in their subgrantee areas. Regions and districts must also equip the recruiters with the necessary tools to be successful by: (1) providing qualified trainers, (2) employing a standardized training curriculum, (3) conducting ongoing training and support, and (4) certifying that all </w:t>
      </w:r>
      <w:r w:rsidRPr="00113364">
        <w:rPr>
          <w:rFonts w:ascii="Arial" w:hAnsi="Arial" w:cs="Arial"/>
        </w:rPr>
        <w:lastRenderedPageBreak/>
        <w:t xml:space="preserve">recruiters and eligibility reviewers (State Education Agency [SEA] reviewers) have successfully completed local and State I&amp;R trainings. </w:t>
      </w:r>
    </w:p>
    <w:p w14:paraId="486F0C69" w14:textId="77777777" w:rsidR="006C504D" w:rsidRPr="00113364" w:rsidRDefault="006C504D" w:rsidP="003F0CBE">
      <w:pPr>
        <w:pStyle w:val="Heading3"/>
      </w:pPr>
      <w:bookmarkStart w:id="127" w:name="_Toc203568866"/>
      <w:r w:rsidRPr="00113364">
        <w:t>Local Training</w:t>
      </w:r>
      <w:bookmarkEnd w:id="127"/>
    </w:p>
    <w:p w14:paraId="673BF32E" w14:textId="06526B45" w:rsidR="006C504D" w:rsidRPr="00113364" w:rsidRDefault="006C504D" w:rsidP="005A4784">
      <w:pPr>
        <w:pStyle w:val="Default"/>
        <w:spacing w:before="240"/>
        <w:rPr>
          <w:rFonts w:ascii="Arial" w:hAnsi="Arial" w:cs="Arial"/>
          <w:color w:val="auto"/>
        </w:rPr>
      </w:pPr>
      <w:r w:rsidRPr="00113364">
        <w:rPr>
          <w:rFonts w:ascii="Arial" w:hAnsi="Arial" w:cs="Arial"/>
          <w:color w:val="auto"/>
        </w:rPr>
        <w:t xml:space="preserve">The regional and district offices, under the direction of CDE, will be responsible for providing professional development for recruiters at the time of hire, as well as ongoing training for I&amp;R personnel throughout the year. I&amp;R personnel must understand their role, how their job fits within the organization, and where to go when they have questions or problems. Regular, ongoing training for I&amp;R staff is crucial to the success of local and State I&amp;R efforts and to ensure staff understand the regulatory criteria essential to making accurate eligibility determinations. Training is delivered by experienced I&amp;R practitioners approved by the State. The trainers have a thorough knowledge of federal and State policies related to the I&amp;R </w:t>
      </w:r>
      <w:r w:rsidR="001A764E" w:rsidRPr="00113364">
        <w:rPr>
          <w:rFonts w:ascii="Arial" w:hAnsi="Arial" w:cs="Arial"/>
          <w:color w:val="auto"/>
        </w:rPr>
        <w:t>process and</w:t>
      </w:r>
      <w:r w:rsidRPr="00113364">
        <w:rPr>
          <w:rFonts w:ascii="Arial" w:hAnsi="Arial" w:cs="Arial"/>
          <w:color w:val="auto"/>
        </w:rPr>
        <w:t xml:space="preserve"> are thoroughly acquainted with the National I&amp;R Training Curriculum. If a subgrantee does not have a qualified trainer, the local director will contact the CDE to arrange training.</w:t>
      </w:r>
    </w:p>
    <w:p w14:paraId="01ED2027" w14:textId="620191F2" w:rsidR="006C504D" w:rsidRPr="00113364" w:rsidRDefault="006C504D" w:rsidP="005A4784">
      <w:pPr>
        <w:pStyle w:val="Default"/>
        <w:spacing w:before="240" w:after="240"/>
        <w:rPr>
          <w:rFonts w:ascii="Arial" w:hAnsi="Arial" w:cs="Arial"/>
          <w:color w:val="auto"/>
        </w:rPr>
      </w:pPr>
      <w:r w:rsidRPr="00113364">
        <w:rPr>
          <w:rFonts w:ascii="Arial" w:hAnsi="Arial" w:cs="Arial"/>
          <w:color w:val="auto"/>
        </w:rPr>
        <w:t xml:space="preserve">In California, before a new recruiter recruits independently, he or she shadows a knowledgeable and skillful recruiter during eligibility interviews with migratory families. During this training period, the I&amp;R coordinator/trainer will: (1) check the new recruiter’s understanding </w:t>
      </w:r>
      <w:r w:rsidR="00DC2E53">
        <w:rPr>
          <w:rFonts w:ascii="Arial" w:hAnsi="Arial" w:cs="Arial"/>
          <w:color w:val="auto"/>
        </w:rPr>
        <w:t>of</w:t>
      </w:r>
      <w:r w:rsidRPr="00113364">
        <w:rPr>
          <w:rFonts w:ascii="Arial" w:hAnsi="Arial" w:cs="Arial"/>
          <w:color w:val="auto"/>
        </w:rPr>
        <w:t xml:space="preserve"> eligibility determinations, (2) pose questions and possible interview/recruitment scenarios, (3) evaluate the level of competency of the new recruiter, and (4) observe the new recruiter conduct an eligibility interview. On an ongoing basis, the I&amp;R coordinator/trainer will also provide opportunities for the new recruiter and other recruitment staff to talk about situations they have encountered and discuss whether </w:t>
      </w:r>
      <w:proofErr w:type="gramStart"/>
      <w:r w:rsidRPr="00113364">
        <w:rPr>
          <w:rFonts w:ascii="Arial" w:hAnsi="Arial" w:cs="Arial"/>
          <w:color w:val="auto"/>
        </w:rPr>
        <w:t>particular students</w:t>
      </w:r>
      <w:proofErr w:type="gramEnd"/>
      <w:r w:rsidRPr="00113364">
        <w:rPr>
          <w:rFonts w:ascii="Arial" w:hAnsi="Arial" w:cs="Arial"/>
          <w:color w:val="auto"/>
        </w:rPr>
        <w:t xml:space="preserve"> are eligible for the MEP. The I&amp;R coordinator/trainer will determine when the recruiter is ready to work without supervision. </w:t>
      </w:r>
    </w:p>
    <w:p w14:paraId="00F735FD" w14:textId="77777777" w:rsidR="006C504D" w:rsidRPr="00113364" w:rsidRDefault="006C504D" w:rsidP="00767B67">
      <w:pPr>
        <w:pStyle w:val="Default"/>
        <w:spacing w:after="240"/>
        <w:rPr>
          <w:rFonts w:ascii="Arial" w:hAnsi="Arial" w:cs="Arial"/>
          <w:color w:val="auto"/>
        </w:rPr>
      </w:pPr>
      <w:r w:rsidRPr="00113364">
        <w:rPr>
          <w:rFonts w:ascii="Arial" w:hAnsi="Arial" w:cs="Arial"/>
          <w:color w:val="auto"/>
        </w:rPr>
        <w:t xml:space="preserve">All subgrantees will use the National I&amp;R Training Curriculum as a framework to deliver I&amp;R </w:t>
      </w:r>
      <w:proofErr w:type="gramStart"/>
      <w:r w:rsidRPr="00113364">
        <w:rPr>
          <w:rFonts w:ascii="Arial" w:hAnsi="Arial" w:cs="Arial"/>
          <w:color w:val="auto"/>
        </w:rPr>
        <w:t>trainings</w:t>
      </w:r>
      <w:proofErr w:type="gramEnd"/>
      <w:r w:rsidRPr="00113364">
        <w:rPr>
          <w:rFonts w:ascii="Arial" w:hAnsi="Arial" w:cs="Arial"/>
          <w:color w:val="auto"/>
        </w:rPr>
        <w:t xml:space="preserve"> to recruiters. The CDE recommends tha</w:t>
      </w:r>
      <w:r w:rsidR="004F20F8" w:rsidRPr="00113364">
        <w:rPr>
          <w:rFonts w:ascii="Arial" w:hAnsi="Arial" w:cs="Arial"/>
          <w:color w:val="auto"/>
        </w:rPr>
        <w:t xml:space="preserve">t training for all I&amp;R staff </w:t>
      </w:r>
      <w:r w:rsidRPr="00113364">
        <w:rPr>
          <w:rFonts w:ascii="Arial" w:hAnsi="Arial" w:cs="Arial"/>
          <w:color w:val="auto"/>
        </w:rPr>
        <w:t xml:space="preserve">be conducted monthly. The training sessions are to include examples of issues encountered during regional re-interviews, COE reviews, and group discussions. </w:t>
      </w:r>
    </w:p>
    <w:p w14:paraId="26DED8C5" w14:textId="77777777" w:rsidR="006C504D" w:rsidRPr="00113364" w:rsidRDefault="006C504D" w:rsidP="003F0CBE">
      <w:pPr>
        <w:pStyle w:val="Heading3"/>
      </w:pPr>
      <w:bookmarkStart w:id="128" w:name="_Toc203568867"/>
      <w:r w:rsidRPr="00113364">
        <w:t>State Training</w:t>
      </w:r>
      <w:bookmarkEnd w:id="128"/>
      <w:r w:rsidRPr="00113364">
        <w:t xml:space="preserve"> </w:t>
      </w:r>
    </w:p>
    <w:p w14:paraId="4E2ECE55" w14:textId="77777777" w:rsidR="006C504D" w:rsidRPr="00113364" w:rsidRDefault="006C504D" w:rsidP="005A4784">
      <w:pPr>
        <w:pStyle w:val="Default"/>
        <w:spacing w:before="240" w:after="240"/>
        <w:rPr>
          <w:rFonts w:ascii="Arial" w:hAnsi="Arial" w:cs="Arial"/>
          <w:bCs/>
          <w:color w:val="auto"/>
        </w:rPr>
      </w:pPr>
      <w:r w:rsidRPr="00113364">
        <w:rPr>
          <w:rFonts w:ascii="Arial" w:hAnsi="Arial" w:cs="Arial"/>
          <w:bCs/>
          <w:color w:val="auto"/>
        </w:rPr>
        <w:t xml:space="preserve">In addition to the local subgrantee training each recruiter receives, the CDE offers various trainings to </w:t>
      </w:r>
      <w:proofErr w:type="gramStart"/>
      <w:r w:rsidRPr="00113364">
        <w:rPr>
          <w:rFonts w:ascii="Arial" w:hAnsi="Arial" w:cs="Arial"/>
          <w:bCs/>
          <w:color w:val="auto"/>
        </w:rPr>
        <w:t>all of</w:t>
      </w:r>
      <w:proofErr w:type="gramEnd"/>
      <w:r w:rsidRPr="00113364">
        <w:rPr>
          <w:rFonts w:ascii="Arial" w:hAnsi="Arial" w:cs="Arial"/>
          <w:bCs/>
          <w:color w:val="auto"/>
        </w:rPr>
        <w:t xml:space="preserve"> the local MEPs:</w:t>
      </w:r>
    </w:p>
    <w:p w14:paraId="74AE7897" w14:textId="02F48518" w:rsidR="006C504D" w:rsidRPr="00113364" w:rsidRDefault="006C504D">
      <w:pPr>
        <w:pStyle w:val="Default"/>
        <w:numPr>
          <w:ilvl w:val="0"/>
          <w:numId w:val="23"/>
        </w:numPr>
        <w:spacing w:after="240"/>
        <w:rPr>
          <w:rFonts w:ascii="Arial" w:hAnsi="Arial" w:cs="Arial"/>
          <w:color w:val="auto"/>
        </w:rPr>
      </w:pPr>
      <w:r w:rsidRPr="00113364">
        <w:rPr>
          <w:rFonts w:ascii="Arial" w:hAnsi="Arial" w:cs="Arial"/>
          <w:bCs/>
          <w:color w:val="auto"/>
        </w:rPr>
        <w:t xml:space="preserve">SEA Reviewer Trainings </w:t>
      </w:r>
      <w:r w:rsidRPr="00113364">
        <w:rPr>
          <w:rFonts w:ascii="Arial" w:hAnsi="Arial" w:cs="Arial"/>
          <w:color w:val="auto"/>
        </w:rPr>
        <w:t xml:space="preserve">– All designated SEA reviewers will attend </w:t>
      </w:r>
      <w:r w:rsidR="0007655F" w:rsidRPr="00113364">
        <w:rPr>
          <w:rFonts w:ascii="Arial" w:hAnsi="Arial" w:cs="Arial"/>
          <w:color w:val="auto"/>
        </w:rPr>
        <w:t xml:space="preserve">all </w:t>
      </w:r>
      <w:r w:rsidRPr="00113364">
        <w:rPr>
          <w:rFonts w:ascii="Arial" w:hAnsi="Arial" w:cs="Arial"/>
          <w:color w:val="auto"/>
        </w:rPr>
        <w:t xml:space="preserve">mandatory training conducted by the State. Every subgrantee will have a qualified representative attend these mandatory </w:t>
      </w:r>
      <w:proofErr w:type="gramStart"/>
      <w:r w:rsidRPr="00113364">
        <w:rPr>
          <w:rFonts w:ascii="Arial" w:hAnsi="Arial" w:cs="Arial"/>
          <w:color w:val="auto"/>
        </w:rPr>
        <w:t>trainings</w:t>
      </w:r>
      <w:proofErr w:type="gramEnd"/>
      <w:r w:rsidRPr="00113364">
        <w:rPr>
          <w:rFonts w:ascii="Arial" w:hAnsi="Arial" w:cs="Arial"/>
          <w:color w:val="auto"/>
        </w:rPr>
        <w:t xml:space="preserve">. </w:t>
      </w:r>
    </w:p>
    <w:p w14:paraId="64553BFA" w14:textId="70390566" w:rsidR="006C504D" w:rsidRPr="00113364" w:rsidRDefault="0007655F">
      <w:pPr>
        <w:pStyle w:val="Default"/>
        <w:numPr>
          <w:ilvl w:val="0"/>
          <w:numId w:val="23"/>
        </w:numPr>
        <w:spacing w:after="240"/>
        <w:rPr>
          <w:rFonts w:ascii="Arial" w:hAnsi="Arial" w:cs="Arial"/>
          <w:color w:val="auto"/>
        </w:rPr>
      </w:pPr>
      <w:r w:rsidRPr="00113364">
        <w:rPr>
          <w:rFonts w:ascii="Arial" w:hAnsi="Arial" w:cs="Arial"/>
          <w:bCs/>
          <w:color w:val="auto"/>
        </w:rPr>
        <w:t xml:space="preserve">Subgrantee </w:t>
      </w:r>
      <w:r w:rsidR="006C504D" w:rsidRPr="00113364">
        <w:rPr>
          <w:rFonts w:ascii="Arial" w:hAnsi="Arial" w:cs="Arial"/>
          <w:bCs/>
          <w:color w:val="auto"/>
        </w:rPr>
        <w:t xml:space="preserve">I&amp;R Coordinator/Trainer Meetings </w:t>
      </w:r>
      <w:r w:rsidR="006C504D" w:rsidRPr="00113364">
        <w:rPr>
          <w:rFonts w:ascii="Arial" w:hAnsi="Arial" w:cs="Arial"/>
          <w:color w:val="auto"/>
        </w:rPr>
        <w:t xml:space="preserve">– The State will schedule remote/virtual meetings with local I&amp;R coordinators to provide updates, guidance, and instructions. At least once per year, the CDE will schedule an in-person </w:t>
      </w:r>
      <w:r w:rsidR="006C504D" w:rsidRPr="00113364">
        <w:rPr>
          <w:rFonts w:ascii="Arial" w:hAnsi="Arial" w:cs="Arial"/>
          <w:color w:val="auto"/>
        </w:rPr>
        <w:lastRenderedPageBreak/>
        <w:t>meeting with this group to provide support, training</w:t>
      </w:r>
      <w:r w:rsidR="001E5135" w:rsidRPr="00113364">
        <w:rPr>
          <w:rFonts w:ascii="Arial" w:hAnsi="Arial" w:cs="Arial"/>
          <w:color w:val="auto"/>
        </w:rPr>
        <w:t>,</w:t>
      </w:r>
      <w:r w:rsidR="006C504D" w:rsidRPr="00113364">
        <w:rPr>
          <w:rFonts w:ascii="Arial" w:hAnsi="Arial" w:cs="Arial"/>
          <w:color w:val="auto"/>
        </w:rPr>
        <w:t xml:space="preserve"> and additional guidance to promote consistency in all I&amp;R activities. </w:t>
      </w:r>
    </w:p>
    <w:p w14:paraId="34EAE13A" w14:textId="6B07FA37" w:rsidR="006C504D" w:rsidRPr="00113364" w:rsidRDefault="006C504D">
      <w:pPr>
        <w:pStyle w:val="Default"/>
        <w:numPr>
          <w:ilvl w:val="0"/>
          <w:numId w:val="23"/>
        </w:numPr>
        <w:spacing w:after="240"/>
        <w:rPr>
          <w:rFonts w:ascii="Arial" w:hAnsi="Arial" w:cs="Arial"/>
          <w:color w:val="auto"/>
        </w:rPr>
      </w:pPr>
      <w:r w:rsidRPr="00113364">
        <w:rPr>
          <w:rFonts w:ascii="Arial" w:hAnsi="Arial" w:cs="Arial"/>
          <w:bCs/>
          <w:color w:val="auto"/>
        </w:rPr>
        <w:t>Statewide I&amp;R and Data Training</w:t>
      </w:r>
      <w:r w:rsidRPr="00113364">
        <w:rPr>
          <w:rFonts w:ascii="Arial" w:hAnsi="Arial" w:cs="Arial"/>
          <w:b/>
          <w:bCs/>
          <w:color w:val="auto"/>
        </w:rPr>
        <w:t xml:space="preserve"> </w:t>
      </w:r>
      <w:r w:rsidRPr="00113364">
        <w:rPr>
          <w:rFonts w:ascii="Arial" w:hAnsi="Arial" w:cs="Arial"/>
          <w:color w:val="auto"/>
        </w:rPr>
        <w:t xml:space="preserve">– Attendance at the I&amp;R and Data Trainings will be required for all recruiters and SEA reviewers. The CDE will develop the training sessions to address areas of improvement that are revealed from the results of re-interviews, </w:t>
      </w:r>
      <w:r w:rsidR="0007655F" w:rsidRPr="00113364">
        <w:rPr>
          <w:rFonts w:ascii="Arial" w:hAnsi="Arial" w:cs="Arial"/>
          <w:color w:val="auto"/>
        </w:rPr>
        <w:t>s</w:t>
      </w:r>
      <w:r w:rsidRPr="00113364">
        <w:rPr>
          <w:rFonts w:ascii="Arial" w:hAnsi="Arial" w:cs="Arial"/>
          <w:color w:val="auto"/>
        </w:rPr>
        <w:t>tate review of COEs</w:t>
      </w:r>
      <w:r w:rsidR="0007655F" w:rsidRPr="00113364">
        <w:rPr>
          <w:rFonts w:ascii="Arial" w:hAnsi="Arial" w:cs="Arial"/>
          <w:color w:val="auto"/>
        </w:rPr>
        <w:t>,</w:t>
      </w:r>
      <w:r w:rsidRPr="00113364">
        <w:rPr>
          <w:rFonts w:ascii="Arial" w:hAnsi="Arial" w:cs="Arial"/>
          <w:color w:val="auto"/>
        </w:rPr>
        <w:t xml:space="preserve"> and staff observations. </w:t>
      </w:r>
    </w:p>
    <w:p w14:paraId="2BCB713B" w14:textId="5F9A47D7" w:rsidR="00695D98" w:rsidRPr="00113364" w:rsidRDefault="00695D98">
      <w:pPr>
        <w:pStyle w:val="Default"/>
        <w:numPr>
          <w:ilvl w:val="0"/>
          <w:numId w:val="23"/>
        </w:numPr>
        <w:spacing w:after="240"/>
        <w:rPr>
          <w:rFonts w:ascii="Arial" w:hAnsi="Arial" w:cs="Arial"/>
        </w:rPr>
      </w:pPr>
      <w:r w:rsidRPr="00113364">
        <w:rPr>
          <w:rFonts w:ascii="Arial" w:hAnsi="Arial" w:cs="Arial"/>
          <w:color w:val="auto"/>
        </w:rPr>
        <w:t xml:space="preserve">Statewide I&amp;R Professional Learning Network – </w:t>
      </w:r>
      <w:r w:rsidRPr="00113364">
        <w:rPr>
          <w:rFonts w:ascii="Arial" w:hAnsi="Arial" w:cs="Arial"/>
        </w:rPr>
        <w:t xml:space="preserve">The I&amp;R Professional Learning Network (PLN) provides MEP subgrantees the ability to collaboratively identify I&amp;R problems of practice, identify the root causes, implement practices to address the problem of practice and evaluate </w:t>
      </w:r>
      <w:proofErr w:type="gramStart"/>
      <w:r w:rsidRPr="00113364">
        <w:rPr>
          <w:rFonts w:ascii="Arial" w:hAnsi="Arial" w:cs="Arial"/>
        </w:rPr>
        <w:t>whether or not</w:t>
      </w:r>
      <w:proofErr w:type="gramEnd"/>
      <w:r w:rsidRPr="00113364">
        <w:rPr>
          <w:rFonts w:ascii="Arial" w:hAnsi="Arial" w:cs="Arial"/>
        </w:rPr>
        <w:t xml:space="preserve"> the practice(s) addressed the specific issue. </w:t>
      </w:r>
      <w:r w:rsidR="000B4CE9" w:rsidRPr="00113364">
        <w:rPr>
          <w:rFonts w:ascii="Arial" w:hAnsi="Arial" w:cs="Arial"/>
        </w:rPr>
        <w:t xml:space="preserve">This activity will continue </w:t>
      </w:r>
      <w:proofErr w:type="gramStart"/>
      <w:r w:rsidR="000B4CE9" w:rsidRPr="00113364">
        <w:rPr>
          <w:rFonts w:ascii="Arial" w:hAnsi="Arial" w:cs="Arial"/>
        </w:rPr>
        <w:t>as long as</w:t>
      </w:r>
      <w:proofErr w:type="gramEnd"/>
      <w:r w:rsidR="000B4CE9" w:rsidRPr="00113364">
        <w:rPr>
          <w:rFonts w:ascii="Arial" w:hAnsi="Arial" w:cs="Arial"/>
        </w:rPr>
        <w:t xml:space="preserve"> funding is available.</w:t>
      </w:r>
    </w:p>
    <w:p w14:paraId="1C2753ED" w14:textId="780F9FDA" w:rsidR="00695D98" w:rsidRPr="00113364" w:rsidRDefault="00695D98" w:rsidP="000B4CE9">
      <w:pPr>
        <w:pStyle w:val="Default"/>
        <w:numPr>
          <w:ilvl w:val="0"/>
          <w:numId w:val="23"/>
        </w:numPr>
        <w:spacing w:after="240"/>
        <w:rPr>
          <w:rFonts w:ascii="Arial" w:hAnsi="Arial" w:cs="Arial"/>
        </w:rPr>
      </w:pPr>
      <w:r w:rsidRPr="00113364">
        <w:rPr>
          <w:rFonts w:ascii="Arial" w:hAnsi="Arial" w:cs="Arial"/>
        </w:rPr>
        <w:t>Statewide Community of Practice – Communities of practice (CoP) are groups of people who share a concern or a passion for something they do and learn how to do it better as they interact regularly. The CoP works to expand California's employer-based recruitment with an emphasis on qualifying temporary work. In the CoP, participants will apply improvement science to a statewide problem of practice that is customized to meet local, regional/district needs throughout the year. Coaching will be offered during virtual office hours for 90 minutes a couple of weeks after each meeting.</w:t>
      </w:r>
      <w:r w:rsidR="000B4CE9" w:rsidRPr="00113364">
        <w:rPr>
          <w:rFonts w:ascii="Arial" w:hAnsi="Arial" w:cs="Arial"/>
        </w:rPr>
        <w:t xml:space="preserve"> This activity will continue </w:t>
      </w:r>
      <w:proofErr w:type="gramStart"/>
      <w:r w:rsidR="000B4CE9" w:rsidRPr="00113364">
        <w:rPr>
          <w:rFonts w:ascii="Arial" w:hAnsi="Arial" w:cs="Arial"/>
        </w:rPr>
        <w:t>as long as</w:t>
      </w:r>
      <w:proofErr w:type="gramEnd"/>
      <w:r w:rsidR="000B4CE9" w:rsidRPr="00113364">
        <w:rPr>
          <w:rFonts w:ascii="Arial" w:hAnsi="Arial" w:cs="Arial"/>
        </w:rPr>
        <w:t xml:space="preserve"> funding is available.</w:t>
      </w:r>
    </w:p>
    <w:p w14:paraId="31CF4E21" w14:textId="67E4D991" w:rsidR="006C504D" w:rsidRPr="00113364" w:rsidRDefault="006C504D">
      <w:pPr>
        <w:pStyle w:val="Default"/>
        <w:numPr>
          <w:ilvl w:val="0"/>
          <w:numId w:val="23"/>
        </w:numPr>
        <w:spacing w:after="240"/>
        <w:rPr>
          <w:rFonts w:ascii="Arial" w:hAnsi="Arial" w:cs="Arial"/>
          <w:color w:val="auto"/>
        </w:rPr>
      </w:pPr>
      <w:r w:rsidRPr="00113364">
        <w:rPr>
          <w:rFonts w:ascii="Arial" w:hAnsi="Arial" w:cs="Arial"/>
          <w:bCs/>
          <w:color w:val="auto"/>
        </w:rPr>
        <w:t>I&amp;R Webinars</w:t>
      </w:r>
      <w:r w:rsidRPr="00113364">
        <w:rPr>
          <w:rFonts w:ascii="Arial" w:hAnsi="Arial" w:cs="Arial"/>
          <w:b/>
          <w:bCs/>
          <w:color w:val="auto"/>
        </w:rPr>
        <w:t xml:space="preserve"> </w:t>
      </w:r>
      <w:r w:rsidRPr="00113364">
        <w:rPr>
          <w:rFonts w:ascii="Arial" w:hAnsi="Arial" w:cs="Arial"/>
          <w:color w:val="auto"/>
        </w:rPr>
        <w:t xml:space="preserve">– At least once per year, the CDE will hold a mandatory training for all recruiters. Various webinars will be offered to accommodate the working schedules of the full-time and part-time recruiters working in the state. The training sessions are archived to remain available to I&amp;R staff who were unable to view them at the time they were presented. </w:t>
      </w:r>
      <w:proofErr w:type="gramStart"/>
      <w:r w:rsidRPr="00113364">
        <w:rPr>
          <w:rFonts w:ascii="Arial" w:hAnsi="Arial" w:cs="Arial"/>
          <w:color w:val="auto"/>
        </w:rPr>
        <w:t>Trainings</w:t>
      </w:r>
      <w:proofErr w:type="gramEnd"/>
      <w:r w:rsidRPr="00113364">
        <w:rPr>
          <w:rFonts w:ascii="Arial" w:hAnsi="Arial" w:cs="Arial"/>
          <w:color w:val="auto"/>
        </w:rPr>
        <w:t xml:space="preserve"> are </w:t>
      </w:r>
      <w:r w:rsidR="0004198E" w:rsidRPr="00113364">
        <w:rPr>
          <w:rFonts w:ascii="Arial" w:hAnsi="Arial" w:cs="Arial"/>
          <w:color w:val="auto"/>
        </w:rPr>
        <w:t xml:space="preserve">developed </w:t>
      </w:r>
      <w:proofErr w:type="gramStart"/>
      <w:r w:rsidR="0004198E" w:rsidRPr="00113364">
        <w:rPr>
          <w:rFonts w:ascii="Arial" w:hAnsi="Arial" w:cs="Arial"/>
          <w:color w:val="auto"/>
        </w:rPr>
        <w:t xml:space="preserve">on the basis </w:t>
      </w:r>
      <w:r w:rsidRPr="00113364">
        <w:rPr>
          <w:rFonts w:ascii="Arial" w:hAnsi="Arial" w:cs="Arial"/>
          <w:color w:val="auto"/>
        </w:rPr>
        <w:t>o</w:t>
      </w:r>
      <w:r w:rsidR="0004198E" w:rsidRPr="00113364">
        <w:rPr>
          <w:rFonts w:ascii="Arial" w:hAnsi="Arial" w:cs="Arial"/>
          <w:color w:val="auto"/>
        </w:rPr>
        <w:t>f</w:t>
      </w:r>
      <w:proofErr w:type="gramEnd"/>
      <w:r w:rsidRPr="00113364">
        <w:rPr>
          <w:rFonts w:ascii="Arial" w:hAnsi="Arial" w:cs="Arial"/>
          <w:color w:val="auto"/>
        </w:rPr>
        <w:t xml:space="preserve"> the California </w:t>
      </w:r>
      <w:r w:rsidRPr="00113364">
        <w:rPr>
          <w:rFonts w:ascii="Arial" w:hAnsi="Arial" w:cs="Arial"/>
          <w:i/>
          <w:color w:val="auto"/>
        </w:rPr>
        <w:t>MEP</w:t>
      </w:r>
      <w:r w:rsidRPr="00113364">
        <w:rPr>
          <w:rFonts w:ascii="Arial" w:hAnsi="Arial" w:cs="Arial"/>
          <w:color w:val="auto"/>
        </w:rPr>
        <w:t xml:space="preserve"> </w:t>
      </w:r>
      <w:r w:rsidRPr="00113364">
        <w:rPr>
          <w:rFonts w:ascii="Arial" w:hAnsi="Arial" w:cs="Arial"/>
          <w:i/>
          <w:color w:val="auto"/>
        </w:rPr>
        <w:t xml:space="preserve">I&amp;R Manual </w:t>
      </w:r>
      <w:r w:rsidRPr="00113364">
        <w:rPr>
          <w:rFonts w:ascii="Arial" w:hAnsi="Arial" w:cs="Arial"/>
          <w:color w:val="auto"/>
        </w:rPr>
        <w:t>and the National I&amp;R Curriculum as well as identified areas of imp</w:t>
      </w:r>
      <w:r w:rsidR="001E5135" w:rsidRPr="00113364">
        <w:rPr>
          <w:rFonts w:ascii="Arial" w:hAnsi="Arial" w:cs="Arial"/>
          <w:color w:val="auto"/>
        </w:rPr>
        <w:t xml:space="preserve">rovement that were revealed </w:t>
      </w:r>
      <w:proofErr w:type="gramStart"/>
      <w:r w:rsidR="001E5135" w:rsidRPr="00113364">
        <w:rPr>
          <w:rFonts w:ascii="Arial" w:hAnsi="Arial" w:cs="Arial"/>
          <w:color w:val="auto"/>
        </w:rPr>
        <w:t>as a result</w:t>
      </w:r>
      <w:r w:rsidRPr="00113364">
        <w:rPr>
          <w:rFonts w:ascii="Arial" w:hAnsi="Arial" w:cs="Arial"/>
          <w:color w:val="auto"/>
        </w:rPr>
        <w:t xml:space="preserve"> of</w:t>
      </w:r>
      <w:proofErr w:type="gramEnd"/>
      <w:r w:rsidRPr="00113364">
        <w:rPr>
          <w:rFonts w:ascii="Arial" w:hAnsi="Arial" w:cs="Arial"/>
          <w:color w:val="auto"/>
        </w:rPr>
        <w:t xml:space="preserve"> re-interviews, </w:t>
      </w:r>
      <w:r w:rsidR="0004198E" w:rsidRPr="00113364">
        <w:rPr>
          <w:rFonts w:ascii="Arial" w:hAnsi="Arial" w:cs="Arial"/>
          <w:color w:val="auto"/>
        </w:rPr>
        <w:t>s</w:t>
      </w:r>
      <w:r w:rsidRPr="00113364">
        <w:rPr>
          <w:rFonts w:ascii="Arial" w:hAnsi="Arial" w:cs="Arial"/>
          <w:color w:val="auto"/>
        </w:rPr>
        <w:t xml:space="preserve">tate review of COEs, and staff observations. </w:t>
      </w:r>
    </w:p>
    <w:p w14:paraId="78F51C94" w14:textId="2BC64C3D" w:rsidR="006C504D" w:rsidRPr="00113364" w:rsidRDefault="006C504D">
      <w:pPr>
        <w:pStyle w:val="Default"/>
        <w:numPr>
          <w:ilvl w:val="0"/>
          <w:numId w:val="23"/>
        </w:numPr>
        <w:spacing w:after="240"/>
        <w:rPr>
          <w:rFonts w:ascii="Arial" w:hAnsi="Arial" w:cs="Arial"/>
          <w:b/>
          <w:bCs/>
          <w:color w:val="auto"/>
        </w:rPr>
      </w:pPr>
      <w:r w:rsidRPr="00113364">
        <w:rPr>
          <w:rFonts w:ascii="Arial" w:hAnsi="Arial" w:cs="Arial"/>
          <w:bCs/>
          <w:color w:val="auto"/>
        </w:rPr>
        <w:t>On-site Training for Subgrantee Staff</w:t>
      </w:r>
      <w:r w:rsidRPr="00113364">
        <w:rPr>
          <w:rFonts w:ascii="Arial" w:hAnsi="Arial" w:cs="Arial"/>
          <w:b/>
          <w:bCs/>
          <w:color w:val="auto"/>
        </w:rPr>
        <w:t xml:space="preserve"> </w:t>
      </w:r>
      <w:r w:rsidRPr="00113364">
        <w:rPr>
          <w:rFonts w:ascii="Arial" w:hAnsi="Arial" w:cs="Arial"/>
          <w:color w:val="auto"/>
        </w:rPr>
        <w:t xml:space="preserve">– Upon a subgrantee director’s request or as determined by the </w:t>
      </w:r>
      <w:r w:rsidR="0004198E" w:rsidRPr="00113364">
        <w:rPr>
          <w:rFonts w:ascii="Arial" w:hAnsi="Arial" w:cs="Arial"/>
          <w:color w:val="auto"/>
        </w:rPr>
        <w:t>s</w:t>
      </w:r>
      <w:r w:rsidRPr="00113364">
        <w:rPr>
          <w:rFonts w:ascii="Arial" w:hAnsi="Arial" w:cs="Arial"/>
          <w:color w:val="auto"/>
        </w:rPr>
        <w:t xml:space="preserve">tate, onsite training will be available to train new recruiters or reinforce training in areas of identified weakness. </w:t>
      </w:r>
    </w:p>
    <w:p w14:paraId="6E565CBD" w14:textId="77777777" w:rsidR="006C504D" w:rsidRPr="00113364" w:rsidRDefault="006C504D" w:rsidP="003F0CBE">
      <w:pPr>
        <w:pStyle w:val="Heading3"/>
      </w:pPr>
      <w:bookmarkStart w:id="129" w:name="_Toc203568868"/>
      <w:r w:rsidRPr="00113364">
        <w:t>Quality Control: Process for Resolving Eligibility Questions</w:t>
      </w:r>
      <w:bookmarkEnd w:id="129"/>
      <w:r w:rsidRPr="00113364">
        <w:t xml:space="preserve"> </w:t>
      </w:r>
    </w:p>
    <w:p w14:paraId="0230ABFC" w14:textId="0951AB7B" w:rsidR="006C504D" w:rsidRPr="00113364" w:rsidRDefault="006C504D" w:rsidP="005A4784">
      <w:pPr>
        <w:pStyle w:val="Default"/>
        <w:spacing w:before="240" w:after="240"/>
        <w:rPr>
          <w:rFonts w:ascii="Arial" w:hAnsi="Arial" w:cs="Arial"/>
          <w:bCs/>
        </w:rPr>
      </w:pPr>
      <w:r w:rsidRPr="00113364">
        <w:rPr>
          <w:rFonts w:ascii="Arial" w:hAnsi="Arial" w:cs="Arial"/>
          <w:bCs/>
        </w:rPr>
        <w:t xml:space="preserve">The CDE’s I&amp;R Quality Control Plan follows federal statute and guidance as well as applicable State guidance. Quality control happens both at the local subgrantee and State levels. At the local level, recruiters are supervised and supported by the I&amp;R coordinator/trainer. Subgrantee I&amp;R coordinators/trainers regularly observe and provide </w:t>
      </w:r>
      <w:r w:rsidRPr="00113364">
        <w:rPr>
          <w:rFonts w:ascii="Arial" w:hAnsi="Arial" w:cs="Arial"/>
          <w:bCs/>
        </w:rPr>
        <w:lastRenderedPageBreak/>
        <w:t xml:space="preserve">feedback to the recruiter as well as make at </w:t>
      </w:r>
      <w:r w:rsidR="00541796" w:rsidRPr="00113364">
        <w:rPr>
          <w:rFonts w:ascii="Arial" w:hAnsi="Arial" w:cs="Arial"/>
          <w:bCs/>
        </w:rPr>
        <w:t>least</w:t>
      </w:r>
      <w:r w:rsidRPr="00113364">
        <w:rPr>
          <w:rFonts w:ascii="Arial" w:hAnsi="Arial" w:cs="Arial"/>
          <w:bCs/>
        </w:rPr>
        <w:t xml:space="preserve"> one annual evaluation/assessment of the recruiter’s overall performance.</w:t>
      </w:r>
    </w:p>
    <w:p w14:paraId="204296A0" w14:textId="77777777" w:rsidR="006C504D" w:rsidRPr="00113364" w:rsidRDefault="006C504D" w:rsidP="006C504D">
      <w:pPr>
        <w:pStyle w:val="Default"/>
        <w:rPr>
          <w:rFonts w:ascii="Arial" w:hAnsi="Arial" w:cs="Arial"/>
          <w:bCs/>
        </w:rPr>
      </w:pPr>
      <w:r w:rsidRPr="00113364">
        <w:rPr>
          <w:rFonts w:ascii="Arial" w:hAnsi="Arial" w:cs="Arial"/>
        </w:rPr>
        <w:t xml:space="preserve">Additionally, when a recruiter encounters a situation where the eligibility status of a family is unclear, the recruiter will consult California’s </w:t>
      </w:r>
      <w:r w:rsidRPr="00113364">
        <w:rPr>
          <w:rFonts w:ascii="Arial" w:hAnsi="Arial" w:cs="Arial"/>
          <w:i/>
        </w:rPr>
        <w:t>MEP I&amp;R Manual.</w:t>
      </w:r>
      <w:r w:rsidRPr="00113364">
        <w:rPr>
          <w:rFonts w:ascii="Arial" w:hAnsi="Arial" w:cs="Arial"/>
        </w:rPr>
        <w:t xml:space="preserve"> If the answer to the recruiter’s eligibility question is not conclusively answered in the </w:t>
      </w:r>
      <w:r w:rsidRPr="00113364">
        <w:rPr>
          <w:rFonts w:ascii="Arial" w:hAnsi="Arial" w:cs="Arial"/>
          <w:i/>
        </w:rPr>
        <w:t>Manual</w:t>
      </w:r>
      <w:r w:rsidRPr="00113364">
        <w:rPr>
          <w:rFonts w:ascii="Arial" w:hAnsi="Arial" w:cs="Arial"/>
        </w:rPr>
        <w:t xml:space="preserve">, the recruiter should consult with his or her </w:t>
      </w:r>
      <w:r w:rsidRPr="00113364">
        <w:rPr>
          <w:rFonts w:ascii="Arial" w:hAnsi="Arial" w:cs="Arial"/>
          <w:bCs/>
        </w:rPr>
        <w:t xml:space="preserve">I&amp;R coordinator/trainer. </w:t>
      </w:r>
    </w:p>
    <w:p w14:paraId="359934D2" w14:textId="0D3112C0" w:rsidR="006C504D" w:rsidRPr="00113364" w:rsidRDefault="006C504D" w:rsidP="005A4784">
      <w:pPr>
        <w:pStyle w:val="Default"/>
        <w:spacing w:before="240"/>
        <w:rPr>
          <w:rFonts w:ascii="Arial" w:hAnsi="Arial" w:cs="Arial"/>
          <w:b/>
          <w:bCs/>
        </w:rPr>
      </w:pPr>
      <w:r w:rsidRPr="00113364">
        <w:rPr>
          <w:rFonts w:ascii="Arial" w:hAnsi="Arial" w:cs="Arial"/>
          <w:bCs/>
        </w:rPr>
        <w:t>If the I&amp;R coordinator/trainer does not have the answer, California has an I&amp;R help desk available through the</w:t>
      </w:r>
      <w:r w:rsidR="001E5135" w:rsidRPr="00113364">
        <w:rPr>
          <w:rFonts w:ascii="Arial" w:hAnsi="Arial" w:cs="Arial"/>
        </w:rPr>
        <w:t xml:space="preserve"> MSIN</w:t>
      </w:r>
      <w:r w:rsidRPr="00113364">
        <w:rPr>
          <w:rFonts w:ascii="Arial" w:hAnsi="Arial" w:cs="Arial"/>
        </w:rPr>
        <w:t xml:space="preserve"> statewide database Web site. </w:t>
      </w:r>
      <w:r w:rsidRPr="00113364">
        <w:rPr>
          <w:rFonts w:ascii="Arial" w:hAnsi="Arial" w:cs="Arial"/>
          <w:color w:val="auto"/>
        </w:rPr>
        <w:t>The coordinator will provide the relevant facts that would affect the eligibility determination and the number of students whose eligibility would potentially be affected. If the question regarding eligibility cannot be resolved by the help desk, the help desk staff will forward the question to the State. If the question cannot be resolved at the State level, the CDE I&amp;R consultant will submit the question to the feder</w:t>
      </w:r>
      <w:r w:rsidR="00077DE5" w:rsidRPr="00113364">
        <w:rPr>
          <w:rFonts w:ascii="Arial" w:hAnsi="Arial" w:cs="Arial"/>
          <w:color w:val="auto"/>
        </w:rPr>
        <w:t>al OME</w:t>
      </w:r>
      <w:r w:rsidRPr="00113364">
        <w:rPr>
          <w:rFonts w:ascii="Arial" w:hAnsi="Arial" w:cs="Arial"/>
          <w:color w:val="auto"/>
        </w:rPr>
        <w:t xml:space="preserve">. Once OME responds, the I&amp;R consultant will provide the response to the subgrantee’s coordinator and the I&amp;R help desk to be archived for future reference. </w:t>
      </w:r>
    </w:p>
    <w:p w14:paraId="518C2BB6" w14:textId="77777777" w:rsidR="006C504D" w:rsidRPr="00113364" w:rsidRDefault="006C504D" w:rsidP="005A4784">
      <w:pPr>
        <w:pStyle w:val="Default"/>
        <w:spacing w:before="240" w:after="240"/>
        <w:rPr>
          <w:rFonts w:ascii="Arial" w:hAnsi="Arial" w:cs="Arial"/>
          <w:color w:val="auto"/>
        </w:rPr>
      </w:pPr>
      <w:r w:rsidRPr="00113364">
        <w:rPr>
          <w:rFonts w:ascii="Arial" w:hAnsi="Arial" w:cs="Arial"/>
          <w:color w:val="auto"/>
        </w:rPr>
        <w:t xml:space="preserve">Other methods used by the CDE for ensuring fidelity in qualifying eligible migratory children for services include the federally required annual verification process, statewide re-interviews, and data verification process. Annual verification requires subgrantee regions and districts to make contact with all families and youths in their area at least once each year (typically on the anniversary of their qualifying arrival date or during the re-enrollment period) to find out if they are still in the area, have made another qualifying move, or are in need of program services. </w:t>
      </w:r>
    </w:p>
    <w:p w14:paraId="0975D3A4" w14:textId="77777777" w:rsidR="006C504D" w:rsidRPr="00113364" w:rsidRDefault="006C504D" w:rsidP="006C504D">
      <w:pPr>
        <w:pStyle w:val="Default"/>
        <w:rPr>
          <w:rFonts w:ascii="Arial" w:hAnsi="Arial" w:cs="Arial"/>
          <w:color w:val="auto"/>
        </w:rPr>
      </w:pPr>
      <w:r w:rsidRPr="00113364">
        <w:rPr>
          <w:rFonts w:ascii="Arial" w:hAnsi="Arial" w:cs="Arial"/>
          <w:color w:val="auto"/>
        </w:rPr>
        <w:t xml:space="preserve">At the State level, </w:t>
      </w:r>
      <w:r w:rsidRPr="00113364">
        <w:rPr>
          <w:rFonts w:ascii="Arial" w:hAnsi="Arial" w:cs="Arial"/>
        </w:rPr>
        <w:t>the CDE conducts data validation monito</w:t>
      </w:r>
      <w:r w:rsidR="00077DE5" w:rsidRPr="00113364">
        <w:rPr>
          <w:rFonts w:ascii="Arial" w:hAnsi="Arial" w:cs="Arial"/>
        </w:rPr>
        <w:t xml:space="preserve">ring to verify that MSIN data </w:t>
      </w:r>
      <w:proofErr w:type="gramStart"/>
      <w:r w:rsidR="00077DE5" w:rsidRPr="00113364">
        <w:rPr>
          <w:rFonts w:ascii="Arial" w:hAnsi="Arial" w:cs="Arial"/>
        </w:rPr>
        <w:t>are</w:t>
      </w:r>
      <w:proofErr w:type="gramEnd"/>
      <w:r w:rsidRPr="00113364">
        <w:rPr>
          <w:rFonts w:ascii="Arial" w:hAnsi="Arial" w:cs="Arial"/>
        </w:rPr>
        <w:t xml:space="preserve"> correct. At the same time, </w:t>
      </w:r>
      <w:proofErr w:type="gramStart"/>
      <w:r w:rsidRPr="00113364">
        <w:rPr>
          <w:rFonts w:ascii="Arial" w:hAnsi="Arial" w:cs="Arial"/>
        </w:rPr>
        <w:t>the CDE</w:t>
      </w:r>
      <w:proofErr w:type="gramEnd"/>
      <w:r w:rsidRPr="00113364">
        <w:rPr>
          <w:rFonts w:ascii="Arial" w:hAnsi="Arial" w:cs="Arial"/>
        </w:rPr>
        <w:t xml:space="preserve"> conducts a quality review of COEs to verify eligibility.</w:t>
      </w:r>
      <w:r w:rsidRPr="00113364">
        <w:rPr>
          <w:rFonts w:ascii="Arial" w:hAnsi="Arial" w:cs="Arial"/>
          <w:color w:val="auto"/>
        </w:rPr>
        <w:t xml:space="preserve"> When the data ve</w:t>
      </w:r>
      <w:r w:rsidR="00077DE5" w:rsidRPr="00113364">
        <w:rPr>
          <w:rFonts w:ascii="Arial" w:hAnsi="Arial" w:cs="Arial"/>
          <w:color w:val="auto"/>
        </w:rPr>
        <w:t>rification and quality review are</w:t>
      </w:r>
      <w:r w:rsidRPr="00113364">
        <w:rPr>
          <w:rFonts w:ascii="Arial" w:hAnsi="Arial" w:cs="Arial"/>
          <w:color w:val="auto"/>
        </w:rPr>
        <w:t xml:space="preserve"> completed, the CDE I&amp;R consultant notifies the subgrantee of the results of the review and explains the basis for any concerns, questions or ineligibility determinations. Any students who are determined to be ineligible through this review are removed from the COE or the COE is marked for deletion, whichever action is appropriate. </w:t>
      </w:r>
      <w:r w:rsidRPr="00113364">
        <w:rPr>
          <w:rFonts w:ascii="Arial" w:hAnsi="Arial" w:cs="Arial"/>
        </w:rPr>
        <w:t xml:space="preserve">The results of the quality review are compiled into quarterly monitoring logs that list the number and types of errors/discrepancies within each section of the COE and the actions taken. These quarterly reports are shared by e-mail with the subgrantee MEP offices to assist them in planning local </w:t>
      </w:r>
      <w:proofErr w:type="gramStart"/>
      <w:r w:rsidRPr="00113364">
        <w:rPr>
          <w:rFonts w:ascii="Arial" w:hAnsi="Arial" w:cs="Arial"/>
        </w:rPr>
        <w:t>trainings</w:t>
      </w:r>
      <w:proofErr w:type="gramEnd"/>
      <w:r w:rsidRPr="00113364">
        <w:rPr>
          <w:rFonts w:ascii="Arial" w:hAnsi="Arial" w:cs="Arial"/>
        </w:rPr>
        <w:t>.</w:t>
      </w:r>
    </w:p>
    <w:p w14:paraId="0844EAFC" w14:textId="77777777" w:rsidR="006C504D" w:rsidRPr="00113364" w:rsidRDefault="006C504D" w:rsidP="005A4784">
      <w:pPr>
        <w:pStyle w:val="Default"/>
        <w:spacing w:before="240" w:after="240"/>
        <w:rPr>
          <w:rFonts w:ascii="Arial" w:hAnsi="Arial" w:cs="Arial"/>
        </w:rPr>
      </w:pPr>
      <w:r w:rsidRPr="00113364">
        <w:rPr>
          <w:rFonts w:ascii="Arial" w:hAnsi="Arial" w:cs="Arial"/>
        </w:rPr>
        <w:t xml:space="preserve">Federal regulations require that all state MEPs annually conduct statewide re-interviews. Conducting re-interviews makes it possible for a state to identify problems early on so that the problems can be corrected. The results of the statewide re-interviews are compiled into a MEP re-interview report. In California, this activity is conducted quarterly with families that have a COE with a qualifying move during the current reporting period as soon as possible after recruiters complete the COEs. The </w:t>
      </w:r>
      <w:r w:rsidRPr="00113364">
        <w:rPr>
          <w:rFonts w:ascii="Arial" w:hAnsi="Arial" w:cs="Arial"/>
        </w:rPr>
        <w:lastRenderedPageBreak/>
        <w:t>CDE uses the re-interview report for submission of the annual student counts to the federal government.</w:t>
      </w:r>
    </w:p>
    <w:p w14:paraId="1DA3C837" w14:textId="2F44BACD" w:rsidR="00976DBD" w:rsidRPr="00113364" w:rsidRDefault="006C504D" w:rsidP="00976DBD">
      <w:pPr>
        <w:pStyle w:val="Default"/>
        <w:spacing w:after="240"/>
        <w:rPr>
          <w:rFonts w:ascii="Arial" w:hAnsi="Arial" w:cs="Arial"/>
        </w:rPr>
      </w:pPr>
      <w:r w:rsidRPr="00113364">
        <w:rPr>
          <w:rFonts w:ascii="Arial" w:hAnsi="Arial" w:cs="Arial"/>
        </w:rPr>
        <w:t xml:space="preserve">The CDE also uses the statewide re-interview report to identify subgrantees with the highest discrepancy rates for participation in the State’s corrective action process. The purpose of this process is to identify causes of discrepancies or errors in COEs and to develop resolution </w:t>
      </w:r>
      <w:r w:rsidRPr="00113364">
        <w:rPr>
          <w:rFonts w:ascii="Arial" w:hAnsi="Arial" w:cs="Arial"/>
          <w:color w:val="auto"/>
        </w:rPr>
        <w:t xml:space="preserve">strategies to assist subgrantees in reducing deficiency rates and implementing sound, sustained I&amp;R practices to prevent future errors in eligibility determinations. </w:t>
      </w:r>
      <w:r w:rsidRPr="00113364">
        <w:rPr>
          <w:rFonts w:ascii="Arial" w:hAnsi="Arial" w:cs="Arial"/>
        </w:rPr>
        <w:t>In the corrective action process, the CDE schedules quarterly status meetings with selected subgrantees to assess progress. When a subgrantee demonstrates that the problems have been resolved as evidenced by the elimination of discrepancies, the CDE I&amp;R consultant will inform the subgrantee of the end of the corrective action process.</w:t>
      </w:r>
    </w:p>
    <w:bookmarkEnd w:id="125"/>
    <w:p w14:paraId="27AD33BD" w14:textId="77777777" w:rsidR="009F3F4B" w:rsidRPr="00113364" w:rsidRDefault="009F3F4B">
      <w:pPr>
        <w:rPr>
          <w:rFonts w:ascii="Arial" w:eastAsia="Times New Roman" w:hAnsi="Arial" w:cs="Arial"/>
          <w:b/>
          <w:sz w:val="32"/>
        </w:rPr>
      </w:pPr>
      <w:r w:rsidRPr="00113364">
        <w:br w:type="page"/>
      </w:r>
    </w:p>
    <w:p w14:paraId="70DED659" w14:textId="51FB104D" w:rsidR="004F6691" w:rsidRPr="00113364" w:rsidRDefault="00293E5D" w:rsidP="00C6453E">
      <w:pPr>
        <w:pStyle w:val="Heading2"/>
      </w:pPr>
      <w:bookmarkStart w:id="130" w:name="_Toc203568869"/>
      <w:r w:rsidRPr="00113364">
        <w:lastRenderedPageBreak/>
        <w:t xml:space="preserve">Section VI: </w:t>
      </w:r>
      <w:r w:rsidR="004F6691" w:rsidRPr="00113364">
        <w:t>Parent Involvement Plan</w:t>
      </w:r>
      <w:bookmarkEnd w:id="130"/>
    </w:p>
    <w:p w14:paraId="137833E3" w14:textId="2850D170" w:rsidR="0004198E" w:rsidRPr="00113364" w:rsidRDefault="00992F7F" w:rsidP="000145F2">
      <w:pPr>
        <w:rPr>
          <w:rFonts w:ascii="Arial" w:hAnsi="Arial" w:cs="Arial"/>
        </w:rPr>
      </w:pPr>
      <w:r w:rsidRPr="00113364">
        <w:rPr>
          <w:rFonts w:ascii="Arial" w:hAnsi="Arial" w:cs="Arial"/>
        </w:rPr>
        <w:t>Parent and family involvement</w:t>
      </w:r>
      <w:r w:rsidR="00E22495" w:rsidRPr="00113364">
        <w:rPr>
          <w:rFonts w:ascii="Arial" w:hAnsi="Arial" w:cs="Arial"/>
        </w:rPr>
        <w:t xml:space="preserve"> </w:t>
      </w:r>
      <w:proofErr w:type="gramStart"/>
      <w:r w:rsidR="00E22495" w:rsidRPr="00113364">
        <w:rPr>
          <w:rFonts w:ascii="Arial" w:hAnsi="Arial" w:cs="Arial"/>
        </w:rPr>
        <w:t>are</w:t>
      </w:r>
      <w:proofErr w:type="gramEnd"/>
      <w:r w:rsidR="00E22495" w:rsidRPr="00113364">
        <w:rPr>
          <w:rFonts w:ascii="Arial" w:hAnsi="Arial" w:cs="Arial"/>
        </w:rPr>
        <w:t xml:space="preserve"> cornerstones of</w:t>
      </w:r>
      <w:r w:rsidRPr="00113364">
        <w:rPr>
          <w:rFonts w:ascii="Arial" w:hAnsi="Arial" w:cs="Arial"/>
        </w:rPr>
        <w:t xml:space="preserve"> </w:t>
      </w:r>
      <w:r w:rsidR="006C748F" w:rsidRPr="00113364">
        <w:rPr>
          <w:rFonts w:ascii="Arial" w:hAnsi="Arial" w:cs="Arial"/>
        </w:rPr>
        <w:t>the MEP</w:t>
      </w:r>
      <w:r w:rsidR="004744C9" w:rsidRPr="00113364">
        <w:rPr>
          <w:rFonts w:ascii="Arial" w:hAnsi="Arial" w:cs="Arial"/>
        </w:rPr>
        <w:t>,</w:t>
      </w:r>
      <w:r w:rsidR="006C748F" w:rsidRPr="00113364">
        <w:rPr>
          <w:rFonts w:ascii="Arial" w:hAnsi="Arial" w:cs="Arial"/>
        </w:rPr>
        <w:t xml:space="preserve"> and t</w:t>
      </w:r>
      <w:r w:rsidR="00464015" w:rsidRPr="00113364">
        <w:rPr>
          <w:rFonts w:ascii="Arial" w:hAnsi="Arial" w:cs="Arial"/>
        </w:rPr>
        <w:t>he CDE supports local</w:t>
      </w:r>
      <w:r w:rsidR="00395349" w:rsidRPr="00113364">
        <w:rPr>
          <w:rFonts w:ascii="Arial" w:hAnsi="Arial" w:cs="Arial"/>
        </w:rPr>
        <w:t xml:space="preserve"> </w:t>
      </w:r>
      <w:r w:rsidR="00D33B25" w:rsidRPr="00113364">
        <w:rPr>
          <w:rFonts w:ascii="Arial" w:hAnsi="Arial" w:cs="Arial"/>
        </w:rPr>
        <w:t xml:space="preserve">and statewide </w:t>
      </w:r>
      <w:r w:rsidR="00464015" w:rsidRPr="00113364">
        <w:rPr>
          <w:rFonts w:ascii="Arial" w:hAnsi="Arial" w:cs="Arial"/>
        </w:rPr>
        <w:t xml:space="preserve">opportunities to increase </w:t>
      </w:r>
      <w:r w:rsidR="00395349" w:rsidRPr="00113364">
        <w:rPr>
          <w:rFonts w:ascii="Arial" w:hAnsi="Arial" w:cs="Arial"/>
        </w:rPr>
        <w:t xml:space="preserve">formal and informal </w:t>
      </w:r>
      <w:r w:rsidR="00464015" w:rsidRPr="00113364">
        <w:rPr>
          <w:rFonts w:ascii="Arial" w:hAnsi="Arial" w:cs="Arial"/>
        </w:rPr>
        <w:t>parent involvement.</w:t>
      </w:r>
      <w:r w:rsidR="00D33B25" w:rsidRPr="00113364">
        <w:rPr>
          <w:rFonts w:ascii="Arial" w:hAnsi="Arial" w:cs="Arial"/>
        </w:rPr>
        <w:t xml:space="preserve"> </w:t>
      </w:r>
      <w:r w:rsidR="00B41718" w:rsidRPr="00113364">
        <w:rPr>
          <w:rFonts w:ascii="Arial" w:hAnsi="Arial" w:cs="Arial"/>
        </w:rPr>
        <w:t>Opportunities for</w:t>
      </w:r>
      <w:r w:rsidR="00464015" w:rsidRPr="00113364">
        <w:rPr>
          <w:rFonts w:ascii="Arial" w:hAnsi="Arial" w:cs="Arial"/>
        </w:rPr>
        <w:t xml:space="preserve"> formal</w:t>
      </w:r>
      <w:r w:rsidR="00B41718" w:rsidRPr="00113364">
        <w:rPr>
          <w:rFonts w:ascii="Arial" w:hAnsi="Arial" w:cs="Arial"/>
        </w:rPr>
        <w:t xml:space="preserve"> parent and family involvement</w:t>
      </w:r>
      <w:r w:rsidR="00464015" w:rsidRPr="00113364">
        <w:rPr>
          <w:rFonts w:ascii="Arial" w:hAnsi="Arial" w:cs="Arial"/>
        </w:rPr>
        <w:t xml:space="preserve"> </w:t>
      </w:r>
      <w:r w:rsidR="00A35F85" w:rsidRPr="00113364">
        <w:rPr>
          <w:rFonts w:ascii="Arial" w:hAnsi="Arial" w:cs="Arial"/>
        </w:rPr>
        <w:t xml:space="preserve">occur </w:t>
      </w:r>
      <w:r w:rsidR="00464015" w:rsidRPr="00113364">
        <w:rPr>
          <w:rFonts w:ascii="Arial" w:hAnsi="Arial" w:cs="Arial"/>
        </w:rPr>
        <w:t xml:space="preserve">through </w:t>
      </w:r>
      <w:r w:rsidR="00B31AE4" w:rsidRPr="00113364">
        <w:rPr>
          <w:rFonts w:ascii="Arial" w:hAnsi="Arial" w:cs="Arial"/>
        </w:rPr>
        <w:t xml:space="preserve">participation </w:t>
      </w:r>
      <w:r w:rsidR="00541796" w:rsidRPr="00113364">
        <w:rPr>
          <w:rFonts w:ascii="Arial" w:hAnsi="Arial" w:cs="Arial"/>
        </w:rPr>
        <w:t>in</w:t>
      </w:r>
      <w:r w:rsidR="00B31AE4" w:rsidRPr="00113364">
        <w:rPr>
          <w:rFonts w:ascii="Arial" w:hAnsi="Arial" w:cs="Arial"/>
        </w:rPr>
        <w:t xml:space="preserve"> PAC</w:t>
      </w:r>
      <w:r w:rsidR="004744C9" w:rsidRPr="00113364">
        <w:rPr>
          <w:rFonts w:ascii="Arial" w:hAnsi="Arial" w:cs="Arial"/>
        </w:rPr>
        <w:t>s</w:t>
      </w:r>
      <w:r w:rsidR="00220B9E" w:rsidRPr="00113364">
        <w:rPr>
          <w:rFonts w:ascii="Arial" w:hAnsi="Arial" w:cs="Arial"/>
        </w:rPr>
        <w:t xml:space="preserve"> which</w:t>
      </w:r>
      <w:r w:rsidR="00B41718" w:rsidRPr="00113364">
        <w:rPr>
          <w:rFonts w:ascii="Arial" w:hAnsi="Arial" w:cs="Arial"/>
        </w:rPr>
        <w:t xml:space="preserve"> occur at the district, regional and state level</w:t>
      </w:r>
      <w:r w:rsidR="00220B9E" w:rsidRPr="00113364">
        <w:rPr>
          <w:rFonts w:ascii="Arial" w:hAnsi="Arial" w:cs="Arial"/>
        </w:rPr>
        <w:t>s in</w:t>
      </w:r>
      <w:r w:rsidR="00B41718" w:rsidRPr="00113364">
        <w:rPr>
          <w:rFonts w:ascii="Arial" w:hAnsi="Arial" w:cs="Arial"/>
        </w:rPr>
        <w:t xml:space="preserve"> accordance with Section 1304(c)(3) of the E</w:t>
      </w:r>
      <w:r w:rsidR="004A1766">
        <w:rPr>
          <w:rFonts w:ascii="Arial" w:hAnsi="Arial" w:cs="Arial"/>
        </w:rPr>
        <w:t>SEA</w:t>
      </w:r>
      <w:r w:rsidR="00220B9E" w:rsidRPr="00113364">
        <w:rPr>
          <w:rFonts w:ascii="Arial" w:hAnsi="Arial" w:cs="Arial"/>
        </w:rPr>
        <w:t xml:space="preserve">. </w:t>
      </w:r>
      <w:r w:rsidR="00B41718" w:rsidRPr="00113364">
        <w:rPr>
          <w:rFonts w:ascii="Arial" w:hAnsi="Arial" w:cs="Arial"/>
        </w:rPr>
        <w:t>D</w:t>
      </w:r>
      <w:r w:rsidR="004A1766">
        <w:rPr>
          <w:rFonts w:ascii="Arial" w:hAnsi="Arial" w:cs="Arial"/>
        </w:rPr>
        <w:t>FDs</w:t>
      </w:r>
      <w:r w:rsidR="00B41718" w:rsidRPr="00113364">
        <w:rPr>
          <w:rFonts w:ascii="Arial" w:hAnsi="Arial" w:cs="Arial"/>
        </w:rPr>
        <w:t>, and</w:t>
      </w:r>
      <w:r w:rsidR="00D33B25" w:rsidRPr="00113364">
        <w:rPr>
          <w:rFonts w:ascii="Arial" w:hAnsi="Arial" w:cs="Arial"/>
        </w:rPr>
        <w:t xml:space="preserve"> reimbursement</w:t>
      </w:r>
      <w:r w:rsidR="00B41718" w:rsidRPr="00113364">
        <w:rPr>
          <w:rFonts w:ascii="Arial" w:hAnsi="Arial" w:cs="Arial"/>
        </w:rPr>
        <w:t xml:space="preserve"> districts within a larger region operate district-wide PACs while </w:t>
      </w:r>
      <w:r w:rsidR="00435863" w:rsidRPr="00113364">
        <w:rPr>
          <w:rFonts w:ascii="Arial" w:hAnsi="Arial" w:cs="Arial"/>
        </w:rPr>
        <w:t xml:space="preserve">multi-district regions </w:t>
      </w:r>
      <w:r w:rsidR="00B41718" w:rsidRPr="00113364">
        <w:rPr>
          <w:rFonts w:ascii="Arial" w:hAnsi="Arial" w:cs="Arial"/>
        </w:rPr>
        <w:t xml:space="preserve">operate a RPAC. </w:t>
      </w:r>
      <w:r w:rsidR="00D33B25" w:rsidRPr="00113364">
        <w:rPr>
          <w:rFonts w:ascii="Arial" w:hAnsi="Arial" w:cs="Arial"/>
        </w:rPr>
        <w:t xml:space="preserve">MEP subgrantees elect a member from each region to serve on the SPAC. </w:t>
      </w:r>
      <w:r w:rsidR="00890904" w:rsidRPr="00113364">
        <w:rPr>
          <w:rFonts w:ascii="Arial" w:hAnsi="Arial" w:cs="Arial"/>
        </w:rPr>
        <w:t>The California</w:t>
      </w:r>
      <w:r w:rsidR="00D33B25" w:rsidRPr="00113364">
        <w:rPr>
          <w:rFonts w:ascii="Arial" w:hAnsi="Arial" w:cs="Arial"/>
        </w:rPr>
        <w:t xml:space="preserve"> </w:t>
      </w:r>
      <w:r w:rsidR="00D33B25" w:rsidRPr="00113364">
        <w:rPr>
          <w:rFonts w:ascii="Arial" w:hAnsi="Arial" w:cs="Arial"/>
          <w:i/>
          <w:iCs/>
        </w:rPr>
        <w:t xml:space="preserve">Education Code </w:t>
      </w:r>
      <w:r w:rsidR="00D33B25" w:rsidRPr="00113364">
        <w:rPr>
          <w:rFonts w:ascii="Arial" w:hAnsi="Arial" w:cs="Arial"/>
        </w:rPr>
        <w:t xml:space="preserve">and state regulations </w:t>
      </w:r>
      <w:r w:rsidR="00B41718" w:rsidRPr="00113364">
        <w:rPr>
          <w:rFonts w:ascii="Arial" w:hAnsi="Arial" w:cs="Arial"/>
        </w:rPr>
        <w:t xml:space="preserve">outline the </w:t>
      </w:r>
      <w:r w:rsidR="006611EC" w:rsidRPr="00113364">
        <w:rPr>
          <w:rFonts w:ascii="Arial" w:hAnsi="Arial" w:cs="Arial"/>
        </w:rPr>
        <w:t>structure</w:t>
      </w:r>
      <w:r w:rsidR="004744C9" w:rsidRPr="00113364">
        <w:rPr>
          <w:rFonts w:ascii="Arial" w:hAnsi="Arial" w:cs="Arial"/>
        </w:rPr>
        <w:t xml:space="preserve"> and</w:t>
      </w:r>
      <w:r w:rsidR="006611EC" w:rsidRPr="00113364">
        <w:rPr>
          <w:rFonts w:ascii="Arial" w:hAnsi="Arial" w:cs="Arial"/>
        </w:rPr>
        <w:t xml:space="preserve"> membership composition</w:t>
      </w:r>
      <w:r w:rsidR="00D33B25" w:rsidRPr="00113364">
        <w:rPr>
          <w:rFonts w:ascii="Arial" w:hAnsi="Arial" w:cs="Arial"/>
        </w:rPr>
        <w:t xml:space="preserve"> at the local and state level</w:t>
      </w:r>
      <w:r w:rsidR="00561AEB" w:rsidRPr="00113364">
        <w:rPr>
          <w:rFonts w:ascii="Arial" w:hAnsi="Arial" w:cs="Arial"/>
        </w:rPr>
        <w:t xml:space="preserve"> for parent advisory committees</w:t>
      </w:r>
      <w:r w:rsidR="00681474" w:rsidRPr="00113364">
        <w:rPr>
          <w:rFonts w:ascii="Arial" w:hAnsi="Arial" w:cs="Arial"/>
        </w:rPr>
        <w:t xml:space="preserve">. </w:t>
      </w:r>
      <w:r w:rsidR="004744C9" w:rsidRPr="00113364">
        <w:rPr>
          <w:rFonts w:ascii="Arial" w:hAnsi="Arial" w:cs="Arial"/>
        </w:rPr>
        <w:t xml:space="preserve">Membership of </w:t>
      </w:r>
      <w:r w:rsidR="004E5949" w:rsidRPr="00113364">
        <w:rPr>
          <w:rFonts w:ascii="Arial" w:hAnsi="Arial" w:cs="Arial"/>
        </w:rPr>
        <w:t>PACs</w:t>
      </w:r>
      <w:r w:rsidR="00B41718" w:rsidRPr="00113364">
        <w:rPr>
          <w:rFonts w:ascii="Arial" w:hAnsi="Arial" w:cs="Arial"/>
        </w:rPr>
        <w:t xml:space="preserve"> must be comprised of at least two-thirds of parents with migratory </w:t>
      </w:r>
      <w:proofErr w:type="gramStart"/>
      <w:r w:rsidR="00B41718" w:rsidRPr="00113364">
        <w:rPr>
          <w:rFonts w:ascii="Arial" w:hAnsi="Arial" w:cs="Arial"/>
        </w:rPr>
        <w:t>children,</w:t>
      </w:r>
      <w:proofErr w:type="gramEnd"/>
      <w:r w:rsidR="00B41718" w:rsidRPr="00113364">
        <w:rPr>
          <w:rFonts w:ascii="Arial" w:hAnsi="Arial" w:cs="Arial"/>
        </w:rPr>
        <w:t xml:space="preserve"> </w:t>
      </w:r>
      <w:r w:rsidR="00F30AED" w:rsidRPr="00113364">
        <w:rPr>
          <w:rFonts w:ascii="Arial" w:hAnsi="Arial" w:cs="Arial"/>
        </w:rPr>
        <w:t xml:space="preserve">meetings must be in a language all members can </w:t>
      </w:r>
      <w:r w:rsidR="00D33B25" w:rsidRPr="00113364">
        <w:rPr>
          <w:rFonts w:ascii="Arial" w:hAnsi="Arial" w:cs="Arial"/>
        </w:rPr>
        <w:t>understand and</w:t>
      </w:r>
      <w:r w:rsidR="00B41718" w:rsidRPr="00113364">
        <w:rPr>
          <w:rFonts w:ascii="Arial" w:hAnsi="Arial" w:cs="Arial"/>
        </w:rPr>
        <w:t xml:space="preserve"> must meet at</w:t>
      </w:r>
      <w:r w:rsidR="00D33B25" w:rsidRPr="00113364">
        <w:rPr>
          <w:rFonts w:ascii="Arial" w:hAnsi="Arial" w:cs="Arial"/>
        </w:rPr>
        <w:t xml:space="preserve"> a</w:t>
      </w:r>
      <w:r w:rsidR="00B41718" w:rsidRPr="00113364">
        <w:rPr>
          <w:rFonts w:ascii="Arial" w:hAnsi="Arial" w:cs="Arial"/>
        </w:rPr>
        <w:t xml:space="preserve"> minimum </w:t>
      </w:r>
      <w:r w:rsidR="00D33B25" w:rsidRPr="00113364">
        <w:rPr>
          <w:rFonts w:ascii="Arial" w:hAnsi="Arial" w:cs="Arial"/>
        </w:rPr>
        <w:t xml:space="preserve">of </w:t>
      </w:r>
      <w:r w:rsidR="00B41718" w:rsidRPr="00113364">
        <w:rPr>
          <w:rFonts w:ascii="Arial" w:hAnsi="Arial" w:cs="Arial"/>
        </w:rPr>
        <w:t xml:space="preserve">six times a year. </w:t>
      </w:r>
    </w:p>
    <w:p w14:paraId="2FD1F990" w14:textId="0ADD7F80" w:rsidR="00681474" w:rsidRPr="00113364" w:rsidRDefault="00B41718" w:rsidP="00B85529">
      <w:pPr>
        <w:spacing w:before="240"/>
        <w:rPr>
          <w:rFonts w:ascii="Arial" w:hAnsi="Arial" w:cs="Arial"/>
        </w:rPr>
      </w:pPr>
      <w:r w:rsidRPr="00113364">
        <w:rPr>
          <w:rFonts w:ascii="Arial" w:hAnsi="Arial" w:cs="Arial"/>
        </w:rPr>
        <w:t>During the</w:t>
      </w:r>
      <w:r w:rsidR="00561AEB" w:rsidRPr="00113364">
        <w:rPr>
          <w:rFonts w:ascii="Arial" w:hAnsi="Arial" w:cs="Arial"/>
        </w:rPr>
        <w:t xml:space="preserve"> local and state</w:t>
      </w:r>
      <w:r w:rsidRPr="00113364">
        <w:rPr>
          <w:rFonts w:ascii="Arial" w:hAnsi="Arial" w:cs="Arial"/>
        </w:rPr>
        <w:t xml:space="preserve"> PAC </w:t>
      </w:r>
      <w:r w:rsidR="00D27058" w:rsidRPr="00113364">
        <w:rPr>
          <w:rFonts w:ascii="Arial" w:hAnsi="Arial" w:cs="Arial"/>
        </w:rPr>
        <w:t>meetings</w:t>
      </w:r>
      <w:r w:rsidRPr="00113364">
        <w:rPr>
          <w:rFonts w:ascii="Arial" w:hAnsi="Arial" w:cs="Arial"/>
        </w:rPr>
        <w:t xml:space="preserve">, members are provided with </w:t>
      </w:r>
      <w:r w:rsidR="00097B74" w:rsidRPr="00113364">
        <w:rPr>
          <w:rFonts w:ascii="Arial" w:hAnsi="Arial" w:cs="Arial"/>
        </w:rPr>
        <w:t xml:space="preserve">information and training on </w:t>
      </w:r>
      <w:r w:rsidR="00737DC5">
        <w:rPr>
          <w:rFonts w:ascii="Arial" w:hAnsi="Arial" w:cs="Arial"/>
        </w:rPr>
        <w:t>many</w:t>
      </w:r>
      <w:r w:rsidR="00097B74" w:rsidRPr="00113364">
        <w:rPr>
          <w:rFonts w:ascii="Arial" w:hAnsi="Arial" w:cs="Arial"/>
        </w:rPr>
        <w:t xml:space="preserve"> areas relevant to the MEP and </w:t>
      </w:r>
      <w:r w:rsidR="005C3A5A" w:rsidRPr="00113364">
        <w:rPr>
          <w:rFonts w:ascii="Arial" w:hAnsi="Arial" w:cs="Arial"/>
        </w:rPr>
        <w:t xml:space="preserve">participate in the MEP quality improvement cycle by </w:t>
      </w:r>
      <w:r w:rsidR="00410E7A" w:rsidRPr="00113364">
        <w:rPr>
          <w:rFonts w:ascii="Arial" w:hAnsi="Arial" w:cs="Arial"/>
        </w:rPr>
        <w:t>reviewing annual needs assessment data and previewing services to be offered for the upcoming year</w:t>
      </w:r>
      <w:r w:rsidR="00395349" w:rsidRPr="00113364">
        <w:rPr>
          <w:rFonts w:ascii="Arial" w:hAnsi="Arial" w:cs="Arial"/>
        </w:rPr>
        <w:t>.</w:t>
      </w:r>
      <w:r w:rsidR="002F2A4F" w:rsidRPr="00113364">
        <w:rPr>
          <w:rFonts w:ascii="Arial" w:hAnsi="Arial" w:cs="Arial"/>
        </w:rPr>
        <w:t xml:space="preserve"> </w:t>
      </w:r>
      <w:r w:rsidR="00561AEB" w:rsidRPr="00113364">
        <w:rPr>
          <w:rFonts w:ascii="Arial" w:hAnsi="Arial" w:cs="Arial"/>
        </w:rPr>
        <w:t xml:space="preserve">It’s also during this time that MEP subgrantees and parents consult on key elements of the program such as </w:t>
      </w:r>
      <w:r w:rsidR="00410E7A" w:rsidRPr="00113364">
        <w:rPr>
          <w:rFonts w:ascii="Arial" w:hAnsi="Arial" w:cs="Arial"/>
        </w:rPr>
        <w:t xml:space="preserve">ideas for presentations to </w:t>
      </w:r>
      <w:r w:rsidR="00890904" w:rsidRPr="00113364">
        <w:rPr>
          <w:rFonts w:ascii="Arial" w:hAnsi="Arial" w:cs="Arial"/>
        </w:rPr>
        <w:t>include</w:t>
      </w:r>
      <w:r w:rsidR="00410E7A" w:rsidRPr="00113364">
        <w:rPr>
          <w:rFonts w:ascii="Arial" w:hAnsi="Arial" w:cs="Arial"/>
        </w:rPr>
        <w:t xml:space="preserve"> local and statewide conferences, prioritization of unexpected funding (</w:t>
      </w:r>
      <w:r w:rsidR="001D5D71" w:rsidRPr="00113364">
        <w:rPr>
          <w:rFonts w:ascii="Arial" w:hAnsi="Arial" w:cs="Arial"/>
        </w:rPr>
        <w:t xml:space="preserve">e.g., Elementary and Secondary School Emergency Relief Fund), and participation </w:t>
      </w:r>
      <w:r w:rsidR="0004198E" w:rsidRPr="00113364">
        <w:rPr>
          <w:rFonts w:ascii="Arial" w:hAnsi="Arial" w:cs="Arial"/>
        </w:rPr>
        <w:t>i</w:t>
      </w:r>
      <w:r w:rsidR="001D5D71" w:rsidRPr="00113364">
        <w:rPr>
          <w:rFonts w:ascii="Arial" w:hAnsi="Arial" w:cs="Arial"/>
        </w:rPr>
        <w:t>n the development of the statewide CNA and SDP.</w:t>
      </w:r>
    </w:p>
    <w:p w14:paraId="255FCC13" w14:textId="14CFEF29" w:rsidR="00B41718" w:rsidRPr="00113364" w:rsidRDefault="00017CE0" w:rsidP="005A4784">
      <w:pPr>
        <w:spacing w:before="240"/>
        <w:rPr>
          <w:rFonts w:ascii="Arial" w:hAnsi="Arial" w:cs="Arial"/>
        </w:rPr>
      </w:pPr>
      <w:r w:rsidRPr="00113364">
        <w:rPr>
          <w:rFonts w:ascii="Arial" w:hAnsi="Arial" w:cs="Arial"/>
        </w:rPr>
        <w:t>Informal opportunities for parent</w:t>
      </w:r>
      <w:r w:rsidR="008250C7" w:rsidRPr="00113364">
        <w:rPr>
          <w:rFonts w:ascii="Arial" w:hAnsi="Arial" w:cs="Arial"/>
        </w:rPr>
        <w:t xml:space="preserve"> and family</w:t>
      </w:r>
      <w:r w:rsidRPr="00113364">
        <w:rPr>
          <w:rFonts w:ascii="Arial" w:hAnsi="Arial" w:cs="Arial"/>
        </w:rPr>
        <w:t xml:space="preserve"> involvement </w:t>
      </w:r>
      <w:r w:rsidR="00077A33" w:rsidRPr="00113364">
        <w:rPr>
          <w:rFonts w:ascii="Arial" w:hAnsi="Arial" w:cs="Arial"/>
        </w:rPr>
        <w:t xml:space="preserve">occur throughout the year at the local level. </w:t>
      </w:r>
      <w:r w:rsidR="00F9153D" w:rsidRPr="00113364">
        <w:rPr>
          <w:rFonts w:ascii="Arial" w:hAnsi="Arial" w:cs="Arial"/>
        </w:rPr>
        <w:t xml:space="preserve">These </w:t>
      </w:r>
      <w:r w:rsidR="001D5D71" w:rsidRPr="00113364">
        <w:rPr>
          <w:rFonts w:ascii="Arial" w:hAnsi="Arial" w:cs="Arial"/>
        </w:rPr>
        <w:t>activities</w:t>
      </w:r>
      <w:r w:rsidR="004744C9" w:rsidRPr="00113364">
        <w:rPr>
          <w:rFonts w:ascii="Arial" w:hAnsi="Arial" w:cs="Arial"/>
        </w:rPr>
        <w:t xml:space="preserve"> vary by subgrantee</w:t>
      </w:r>
      <w:r w:rsidR="00F9153D" w:rsidRPr="00113364">
        <w:rPr>
          <w:rFonts w:ascii="Arial" w:hAnsi="Arial" w:cs="Arial"/>
        </w:rPr>
        <w:t xml:space="preserve"> and include </w:t>
      </w:r>
      <w:r w:rsidR="00494831" w:rsidRPr="00113364">
        <w:rPr>
          <w:rFonts w:ascii="Arial" w:hAnsi="Arial" w:cs="Arial"/>
        </w:rPr>
        <w:t xml:space="preserve">assorted </w:t>
      </w:r>
      <w:r w:rsidR="00F9153D" w:rsidRPr="00113364">
        <w:rPr>
          <w:rFonts w:ascii="Arial" w:hAnsi="Arial" w:cs="Arial"/>
        </w:rPr>
        <w:t xml:space="preserve">workshops to increase parent support of student’s academic achievement and overall well-being, </w:t>
      </w:r>
      <w:r w:rsidR="00494831" w:rsidRPr="00113364">
        <w:rPr>
          <w:rFonts w:ascii="Arial" w:hAnsi="Arial" w:cs="Arial"/>
        </w:rPr>
        <w:t xml:space="preserve">supporting early education, steps to graduating high school, college requirements, </w:t>
      </w:r>
      <w:r w:rsidR="00F9153D" w:rsidRPr="00113364">
        <w:rPr>
          <w:rFonts w:ascii="Arial" w:hAnsi="Arial" w:cs="Arial"/>
        </w:rPr>
        <w:t xml:space="preserve">family literacy nights, parent </w:t>
      </w:r>
      <w:r w:rsidR="00494831" w:rsidRPr="00113364">
        <w:rPr>
          <w:rFonts w:ascii="Arial" w:hAnsi="Arial" w:cs="Arial"/>
        </w:rPr>
        <w:t>conferences</w:t>
      </w:r>
      <w:r w:rsidR="004744C9" w:rsidRPr="00113364">
        <w:rPr>
          <w:rFonts w:ascii="Arial" w:hAnsi="Arial" w:cs="Arial"/>
        </w:rPr>
        <w:t>,</w:t>
      </w:r>
      <w:r w:rsidR="00494831" w:rsidRPr="00113364">
        <w:rPr>
          <w:rFonts w:ascii="Arial" w:hAnsi="Arial" w:cs="Arial"/>
        </w:rPr>
        <w:t xml:space="preserve"> and opportunities to visit institutions of higher learning.</w:t>
      </w:r>
      <w:r w:rsidR="00C27EAE" w:rsidRPr="00113364">
        <w:rPr>
          <w:rFonts w:ascii="Arial" w:hAnsi="Arial" w:cs="Arial"/>
        </w:rPr>
        <w:t xml:space="preserve"> Table </w:t>
      </w:r>
      <w:r w:rsidR="001D5D71" w:rsidRPr="00113364">
        <w:rPr>
          <w:rFonts w:ascii="Arial" w:hAnsi="Arial" w:cs="Arial"/>
        </w:rPr>
        <w:t>4</w:t>
      </w:r>
      <w:r w:rsidR="00DC2E53">
        <w:rPr>
          <w:rFonts w:ascii="Arial" w:hAnsi="Arial" w:cs="Arial"/>
        </w:rPr>
        <w:t>3</w:t>
      </w:r>
      <w:r w:rsidR="00A155EF" w:rsidRPr="00113364">
        <w:rPr>
          <w:rFonts w:ascii="Arial" w:hAnsi="Arial" w:cs="Arial"/>
        </w:rPr>
        <w:t xml:space="preserve"> identifies strategies to increase parent and family involvement at the state and local levels.</w:t>
      </w:r>
    </w:p>
    <w:p w14:paraId="6724C8AC" w14:textId="5AD87349" w:rsidR="00A155EF" w:rsidRPr="004D30F4" w:rsidRDefault="00A155EF" w:rsidP="003F0CBE">
      <w:pPr>
        <w:pStyle w:val="Heading3"/>
      </w:pPr>
      <w:bookmarkStart w:id="131" w:name="_Toc203568870"/>
      <w:bookmarkStart w:id="132" w:name="_Toc204755379"/>
      <w:r w:rsidRPr="004D30F4">
        <w:lastRenderedPageBreak/>
        <w:t xml:space="preserve">Table </w:t>
      </w:r>
      <w:fldSimple w:instr=" SEQ Table \* ARABIC ">
        <w:r w:rsidR="001362A0" w:rsidRPr="004D30F4">
          <w:rPr>
            <w:noProof/>
          </w:rPr>
          <w:t>43</w:t>
        </w:r>
      </w:fldSimple>
      <w:r w:rsidRPr="004D30F4">
        <w:t>. State and Local Strategies to Increase Parent and Family Involvement</w:t>
      </w:r>
      <w:bookmarkEnd w:id="131"/>
      <w:bookmarkEnd w:id="132"/>
    </w:p>
    <w:tbl>
      <w:tblPr>
        <w:tblStyle w:val="GridTable4-Accent6"/>
        <w:tblW w:w="0" w:type="auto"/>
        <w:tblLook w:val="0420" w:firstRow="1" w:lastRow="0" w:firstColumn="0" w:lastColumn="0" w:noHBand="0" w:noVBand="1"/>
        <w:tblDescription w:val="State and Local Strategies to Increase Parent and Family Involvement"/>
      </w:tblPr>
      <w:tblGrid>
        <w:gridCol w:w="2084"/>
        <w:gridCol w:w="3225"/>
        <w:gridCol w:w="4041"/>
      </w:tblGrid>
      <w:tr w:rsidR="005C5821" w:rsidRPr="00113364" w14:paraId="126B64EE" w14:textId="77777777" w:rsidTr="00940787">
        <w:trPr>
          <w:cnfStyle w:val="100000000000" w:firstRow="1" w:lastRow="0" w:firstColumn="0" w:lastColumn="0" w:oddVBand="0" w:evenVBand="0" w:oddHBand="0" w:evenHBand="0" w:firstRowFirstColumn="0" w:firstRowLastColumn="0" w:lastRowFirstColumn="0" w:lastRowLastColumn="0"/>
          <w:cantSplit/>
          <w:trHeight w:val="344"/>
          <w:tblHeader/>
        </w:trPr>
        <w:tc>
          <w:tcPr>
            <w:tcW w:w="2085" w:type="dxa"/>
            <w:tcBorders>
              <w:right w:val="single" w:sz="4" w:space="0" w:color="70AD47" w:themeColor="accent6"/>
            </w:tcBorders>
            <w:shd w:val="clear" w:color="auto" w:fill="385623" w:themeFill="accent6" w:themeFillShade="80"/>
          </w:tcPr>
          <w:p w14:paraId="09334B2D" w14:textId="77777777" w:rsidR="00494831" w:rsidRPr="00113364" w:rsidRDefault="00E009EA" w:rsidP="00B85529">
            <w:pPr>
              <w:spacing w:before="100" w:beforeAutospacing="1" w:after="100" w:afterAutospacing="1"/>
              <w:jc w:val="center"/>
              <w:rPr>
                <w:rFonts w:ascii="Arial" w:hAnsi="Arial" w:cs="Arial"/>
                <w:b w:val="0"/>
                <w:color w:val="FFFFFF"/>
              </w:rPr>
            </w:pPr>
            <w:r w:rsidRPr="00113364">
              <w:rPr>
                <w:rFonts w:ascii="Arial" w:hAnsi="Arial" w:cs="Arial"/>
                <w:color w:val="FFFFFF"/>
              </w:rPr>
              <w:t>Objectives</w:t>
            </w:r>
          </w:p>
        </w:tc>
        <w:tc>
          <w:tcPr>
            <w:tcW w:w="3240" w:type="dxa"/>
            <w:tcBorders>
              <w:left w:val="single" w:sz="4" w:space="0" w:color="70AD47" w:themeColor="accent6"/>
              <w:right w:val="single" w:sz="4" w:space="0" w:color="70AD47" w:themeColor="accent6"/>
            </w:tcBorders>
            <w:shd w:val="clear" w:color="auto" w:fill="385623" w:themeFill="accent6" w:themeFillShade="80"/>
          </w:tcPr>
          <w:p w14:paraId="0FD7A4EA" w14:textId="77777777" w:rsidR="00494831" w:rsidRPr="00113364" w:rsidRDefault="00301CFA" w:rsidP="00142F53">
            <w:pPr>
              <w:spacing w:before="100" w:beforeAutospacing="1" w:after="100" w:afterAutospacing="1"/>
              <w:jc w:val="center"/>
              <w:rPr>
                <w:rFonts w:ascii="Arial" w:hAnsi="Arial" w:cs="Arial"/>
                <w:b w:val="0"/>
                <w:color w:val="FFFFFF"/>
              </w:rPr>
            </w:pPr>
            <w:r w:rsidRPr="00113364">
              <w:rPr>
                <w:rFonts w:ascii="Arial" w:hAnsi="Arial" w:cs="Arial"/>
                <w:color w:val="FFFFFF"/>
              </w:rPr>
              <w:t>State</w:t>
            </w:r>
            <w:r w:rsidR="00E009EA" w:rsidRPr="00113364">
              <w:rPr>
                <w:rFonts w:ascii="Arial" w:hAnsi="Arial" w:cs="Arial"/>
                <w:color w:val="FFFFFF"/>
              </w:rPr>
              <w:t xml:space="preserve"> Strategies</w:t>
            </w:r>
          </w:p>
        </w:tc>
        <w:tc>
          <w:tcPr>
            <w:tcW w:w="4065" w:type="dxa"/>
            <w:tcBorders>
              <w:left w:val="single" w:sz="4" w:space="0" w:color="70AD47" w:themeColor="accent6"/>
            </w:tcBorders>
            <w:shd w:val="clear" w:color="auto" w:fill="385623" w:themeFill="accent6" w:themeFillShade="80"/>
          </w:tcPr>
          <w:p w14:paraId="5EDE54E3" w14:textId="77777777" w:rsidR="00494831" w:rsidRPr="00113364" w:rsidRDefault="00301CFA" w:rsidP="00142F53">
            <w:pPr>
              <w:spacing w:before="100" w:beforeAutospacing="1" w:after="100" w:afterAutospacing="1"/>
              <w:jc w:val="center"/>
              <w:rPr>
                <w:rFonts w:ascii="Arial" w:hAnsi="Arial" w:cs="Arial"/>
                <w:b w:val="0"/>
                <w:color w:val="FFFFFF"/>
              </w:rPr>
            </w:pPr>
            <w:r w:rsidRPr="00113364">
              <w:rPr>
                <w:rFonts w:ascii="Arial" w:hAnsi="Arial" w:cs="Arial"/>
                <w:color w:val="FFFFFF"/>
              </w:rPr>
              <w:t>Local</w:t>
            </w:r>
            <w:r w:rsidR="00E009EA" w:rsidRPr="00113364">
              <w:rPr>
                <w:rFonts w:ascii="Arial" w:hAnsi="Arial" w:cs="Arial"/>
                <w:color w:val="FFFFFF"/>
              </w:rPr>
              <w:t xml:space="preserve"> Strategies</w:t>
            </w:r>
          </w:p>
        </w:tc>
      </w:tr>
      <w:tr w:rsidR="005C5821" w:rsidRPr="00113364" w14:paraId="6839F41C" w14:textId="77777777" w:rsidTr="00940787">
        <w:trPr>
          <w:cnfStyle w:val="000000100000" w:firstRow="0" w:lastRow="0" w:firstColumn="0" w:lastColumn="0" w:oddVBand="0" w:evenVBand="0" w:oddHBand="1" w:evenHBand="0" w:firstRowFirstColumn="0" w:firstRowLastColumn="0" w:lastRowFirstColumn="0" w:lastRowLastColumn="0"/>
          <w:cantSplit/>
          <w:trHeight w:val="677"/>
        </w:trPr>
        <w:tc>
          <w:tcPr>
            <w:tcW w:w="2085" w:type="dxa"/>
            <w:hideMark/>
          </w:tcPr>
          <w:p w14:paraId="3D0BB77B" w14:textId="77777777" w:rsidR="00896E40" w:rsidRPr="00113364" w:rsidRDefault="00D954D1" w:rsidP="00A76692">
            <w:pPr>
              <w:spacing w:before="100" w:beforeAutospacing="1" w:after="100" w:afterAutospacing="1"/>
              <w:rPr>
                <w:rFonts w:ascii="Arial" w:hAnsi="Arial" w:cs="Arial"/>
              </w:rPr>
            </w:pPr>
            <w:r w:rsidRPr="00113364">
              <w:rPr>
                <w:rFonts w:ascii="Arial" w:hAnsi="Arial" w:cs="Arial"/>
              </w:rPr>
              <w:t>Home Support</w:t>
            </w:r>
            <w:r w:rsidR="00896E40" w:rsidRPr="00113364">
              <w:rPr>
                <w:rFonts w:ascii="Arial" w:hAnsi="Arial" w:cs="Arial"/>
              </w:rPr>
              <w:t>: Assist families in setting home conditions that support children as stude</w:t>
            </w:r>
            <w:r w:rsidR="00773107" w:rsidRPr="00113364">
              <w:rPr>
                <w:rFonts w:ascii="Arial" w:hAnsi="Arial" w:cs="Arial"/>
              </w:rPr>
              <w:t>nts at each age and grade level</w:t>
            </w:r>
            <w:r w:rsidR="00C27EAE" w:rsidRPr="00113364">
              <w:rPr>
                <w:rFonts w:ascii="Arial" w:hAnsi="Arial" w:cs="Arial"/>
              </w:rPr>
              <w:t>.</w:t>
            </w:r>
          </w:p>
        </w:tc>
        <w:tc>
          <w:tcPr>
            <w:tcW w:w="3240" w:type="dxa"/>
            <w:hideMark/>
          </w:tcPr>
          <w:p w14:paraId="058ACC4B" w14:textId="77777777" w:rsidR="00896E40" w:rsidRPr="00113364" w:rsidRDefault="00896E40" w:rsidP="00142F53">
            <w:pPr>
              <w:numPr>
                <w:ilvl w:val="0"/>
                <w:numId w:val="5"/>
              </w:numPr>
              <w:tabs>
                <w:tab w:val="clear" w:pos="720"/>
                <w:tab w:val="num" w:pos="362"/>
              </w:tabs>
              <w:spacing w:before="100" w:beforeAutospacing="1" w:after="100" w:afterAutospacing="1"/>
              <w:ind w:left="345" w:hanging="270"/>
              <w:rPr>
                <w:rFonts w:ascii="Arial" w:hAnsi="Arial" w:cs="Arial"/>
              </w:rPr>
            </w:pPr>
            <w:r w:rsidRPr="00113364">
              <w:rPr>
                <w:rFonts w:ascii="Arial" w:hAnsi="Arial" w:cs="Arial"/>
              </w:rPr>
              <w:t>Disseminate information on best practices in family outreach.</w:t>
            </w:r>
          </w:p>
          <w:p w14:paraId="38CC0E39" w14:textId="77777777" w:rsidR="00896E40" w:rsidRPr="00113364" w:rsidRDefault="00896E40" w:rsidP="00142F53">
            <w:pPr>
              <w:numPr>
                <w:ilvl w:val="0"/>
                <w:numId w:val="5"/>
              </w:numPr>
              <w:tabs>
                <w:tab w:val="clear" w:pos="720"/>
                <w:tab w:val="num" w:pos="362"/>
              </w:tabs>
              <w:spacing w:before="100" w:beforeAutospacing="1" w:after="100" w:afterAutospacing="1"/>
              <w:ind w:left="345" w:hanging="270"/>
              <w:rPr>
                <w:rFonts w:ascii="Arial" w:hAnsi="Arial" w:cs="Arial"/>
              </w:rPr>
            </w:pPr>
            <w:r w:rsidRPr="00113364">
              <w:rPr>
                <w:rFonts w:ascii="Arial" w:hAnsi="Arial" w:cs="Arial"/>
              </w:rPr>
              <w:t xml:space="preserve">Share information on </w:t>
            </w:r>
            <w:r w:rsidR="00314A97" w:rsidRPr="00113364">
              <w:rPr>
                <w:rFonts w:ascii="Arial" w:hAnsi="Arial" w:cs="Arial"/>
              </w:rPr>
              <w:t>statewide health initiatives and health programs (e.g.</w:t>
            </w:r>
            <w:r w:rsidR="00B1744E" w:rsidRPr="00113364">
              <w:rPr>
                <w:rFonts w:ascii="Arial" w:hAnsi="Arial" w:cs="Arial"/>
              </w:rPr>
              <w:t>,</w:t>
            </w:r>
            <w:r w:rsidR="00314A97" w:rsidRPr="00113364">
              <w:rPr>
                <w:rFonts w:ascii="Arial" w:hAnsi="Arial" w:cs="Arial"/>
              </w:rPr>
              <w:t xml:space="preserve"> Covered California, CDE Summer Meal Program</w:t>
            </w:r>
            <w:r w:rsidR="00D954D1" w:rsidRPr="00113364">
              <w:rPr>
                <w:rFonts w:ascii="Arial" w:hAnsi="Arial" w:cs="Arial"/>
              </w:rPr>
              <w:t>, etc.</w:t>
            </w:r>
            <w:r w:rsidR="00314A97" w:rsidRPr="00113364">
              <w:rPr>
                <w:rFonts w:ascii="Arial" w:hAnsi="Arial" w:cs="Arial"/>
              </w:rPr>
              <w:t>) that provide services to families.</w:t>
            </w:r>
          </w:p>
        </w:tc>
        <w:tc>
          <w:tcPr>
            <w:tcW w:w="4065" w:type="dxa"/>
            <w:hideMark/>
          </w:tcPr>
          <w:p w14:paraId="074A644C" w14:textId="77777777" w:rsidR="00896E40" w:rsidRPr="00113364" w:rsidRDefault="00314A97" w:rsidP="00142F53">
            <w:pPr>
              <w:numPr>
                <w:ilvl w:val="0"/>
                <w:numId w:val="6"/>
              </w:numPr>
              <w:tabs>
                <w:tab w:val="clear" w:pos="720"/>
                <w:tab w:val="num" w:pos="435"/>
              </w:tabs>
              <w:spacing w:before="100" w:beforeAutospacing="1" w:after="100" w:afterAutospacing="1"/>
              <w:ind w:left="435" w:hanging="270"/>
              <w:rPr>
                <w:rFonts w:ascii="Arial" w:hAnsi="Arial" w:cs="Arial"/>
              </w:rPr>
            </w:pPr>
            <w:r w:rsidRPr="00113364">
              <w:rPr>
                <w:rFonts w:ascii="Arial" w:hAnsi="Arial" w:cs="Arial"/>
              </w:rPr>
              <w:t>Disseminate</w:t>
            </w:r>
            <w:r w:rsidR="00896E40" w:rsidRPr="00113364">
              <w:rPr>
                <w:rFonts w:ascii="Arial" w:hAnsi="Arial" w:cs="Arial"/>
              </w:rPr>
              <w:t xml:space="preserve"> information on parent involvement, nutrition, health</w:t>
            </w:r>
            <w:r w:rsidR="00773107" w:rsidRPr="00113364">
              <w:rPr>
                <w:rFonts w:ascii="Arial" w:hAnsi="Arial" w:cs="Arial"/>
              </w:rPr>
              <w:t>,</w:t>
            </w:r>
            <w:r w:rsidRPr="00113364">
              <w:rPr>
                <w:rFonts w:ascii="Arial" w:hAnsi="Arial" w:cs="Arial"/>
              </w:rPr>
              <w:t xml:space="preserve"> </w:t>
            </w:r>
            <w:r w:rsidR="00896E40" w:rsidRPr="00113364">
              <w:rPr>
                <w:rFonts w:ascii="Arial" w:hAnsi="Arial" w:cs="Arial"/>
              </w:rPr>
              <w:t>and other services</w:t>
            </w:r>
            <w:r w:rsidRPr="00113364">
              <w:rPr>
                <w:rFonts w:ascii="Arial" w:hAnsi="Arial" w:cs="Arial"/>
              </w:rPr>
              <w:t xml:space="preserve"> to parents </w:t>
            </w:r>
            <w:r w:rsidR="005C5821" w:rsidRPr="00113364">
              <w:rPr>
                <w:rFonts w:ascii="Arial" w:hAnsi="Arial" w:cs="Arial"/>
              </w:rPr>
              <w:t>via</w:t>
            </w:r>
            <w:r w:rsidRPr="00113364">
              <w:rPr>
                <w:rFonts w:ascii="Arial" w:hAnsi="Arial" w:cs="Arial"/>
              </w:rPr>
              <w:t xml:space="preserve"> </w:t>
            </w:r>
            <w:r w:rsidR="005C5821" w:rsidRPr="00113364">
              <w:rPr>
                <w:rFonts w:ascii="Arial" w:hAnsi="Arial" w:cs="Arial"/>
              </w:rPr>
              <w:t>parent</w:t>
            </w:r>
            <w:r w:rsidRPr="00113364">
              <w:rPr>
                <w:rFonts w:ascii="Arial" w:hAnsi="Arial" w:cs="Arial"/>
              </w:rPr>
              <w:t xml:space="preserve"> meetings, during the I&amp;R process, </w:t>
            </w:r>
            <w:r w:rsidR="005C5821" w:rsidRPr="00113364">
              <w:rPr>
                <w:rFonts w:ascii="Arial" w:hAnsi="Arial" w:cs="Arial"/>
              </w:rPr>
              <w:t xml:space="preserve">at </w:t>
            </w:r>
            <w:r w:rsidRPr="00113364">
              <w:rPr>
                <w:rFonts w:ascii="Arial" w:hAnsi="Arial" w:cs="Arial"/>
              </w:rPr>
              <w:t>workshops, etc</w:t>
            </w:r>
            <w:r w:rsidR="00896E40" w:rsidRPr="00113364">
              <w:rPr>
                <w:rFonts w:ascii="Arial" w:hAnsi="Arial" w:cs="Arial"/>
              </w:rPr>
              <w:t>.</w:t>
            </w:r>
          </w:p>
          <w:p w14:paraId="4BF664F1" w14:textId="77777777" w:rsidR="00D954D1" w:rsidRPr="00113364" w:rsidRDefault="00D954D1" w:rsidP="00142F53">
            <w:pPr>
              <w:numPr>
                <w:ilvl w:val="0"/>
                <w:numId w:val="6"/>
              </w:numPr>
              <w:tabs>
                <w:tab w:val="clear" w:pos="720"/>
                <w:tab w:val="num" w:pos="435"/>
              </w:tabs>
              <w:spacing w:before="100" w:beforeAutospacing="1" w:after="100" w:afterAutospacing="1"/>
              <w:ind w:left="435" w:hanging="270"/>
              <w:rPr>
                <w:rFonts w:ascii="Arial" w:hAnsi="Arial" w:cs="Arial"/>
              </w:rPr>
            </w:pPr>
            <w:r w:rsidRPr="00113364">
              <w:rPr>
                <w:rFonts w:ascii="Arial" w:hAnsi="Arial" w:cs="Arial"/>
              </w:rPr>
              <w:t>Share resources (e.g.</w:t>
            </w:r>
            <w:r w:rsidR="00B1744E" w:rsidRPr="00113364">
              <w:rPr>
                <w:rFonts w:ascii="Arial" w:hAnsi="Arial" w:cs="Arial"/>
              </w:rPr>
              <w:t>,</w:t>
            </w:r>
            <w:r w:rsidRPr="00113364">
              <w:rPr>
                <w:rFonts w:ascii="Arial" w:hAnsi="Arial" w:cs="Arial"/>
              </w:rPr>
              <w:t xml:space="preserve"> nutrition, food stability, transportation, etc.) available within the community.</w:t>
            </w:r>
          </w:p>
          <w:p w14:paraId="468B4745" w14:textId="77777777" w:rsidR="00896E40" w:rsidRPr="00113364" w:rsidRDefault="005C5821" w:rsidP="00142F53">
            <w:pPr>
              <w:numPr>
                <w:ilvl w:val="0"/>
                <w:numId w:val="6"/>
              </w:numPr>
              <w:tabs>
                <w:tab w:val="clear" w:pos="720"/>
                <w:tab w:val="num" w:pos="435"/>
              </w:tabs>
              <w:spacing w:before="100" w:beforeAutospacing="1" w:after="100" w:afterAutospacing="1"/>
              <w:ind w:left="435" w:hanging="270"/>
              <w:rPr>
                <w:rFonts w:ascii="Arial" w:hAnsi="Arial" w:cs="Arial"/>
              </w:rPr>
            </w:pPr>
            <w:r w:rsidRPr="00113364">
              <w:rPr>
                <w:rFonts w:ascii="Arial" w:hAnsi="Arial" w:cs="Arial"/>
              </w:rPr>
              <w:t>Inform parents and family</w:t>
            </w:r>
            <w:r w:rsidR="00896E40" w:rsidRPr="00113364">
              <w:rPr>
                <w:rFonts w:ascii="Arial" w:hAnsi="Arial" w:cs="Arial"/>
              </w:rPr>
              <w:t xml:space="preserve"> about developmental stages</w:t>
            </w:r>
            <w:r w:rsidR="00D954D1" w:rsidRPr="00113364">
              <w:rPr>
                <w:rFonts w:ascii="Arial" w:hAnsi="Arial" w:cs="Arial"/>
              </w:rPr>
              <w:t xml:space="preserve"> during parent workshops</w:t>
            </w:r>
            <w:r w:rsidR="00896E40" w:rsidRPr="00113364">
              <w:rPr>
                <w:rFonts w:ascii="Arial" w:hAnsi="Arial" w:cs="Arial"/>
              </w:rPr>
              <w:t>.</w:t>
            </w:r>
          </w:p>
        </w:tc>
      </w:tr>
      <w:tr w:rsidR="002119CE" w:rsidRPr="00113364" w14:paraId="27806DE8" w14:textId="77777777" w:rsidTr="00940787">
        <w:trPr>
          <w:cantSplit/>
          <w:trHeight w:val="5690"/>
        </w:trPr>
        <w:tc>
          <w:tcPr>
            <w:tcW w:w="2085" w:type="dxa"/>
          </w:tcPr>
          <w:p w14:paraId="1256D268" w14:textId="77777777" w:rsidR="002119CE" w:rsidRPr="00113364" w:rsidRDefault="002119CE" w:rsidP="008C24F6">
            <w:pPr>
              <w:rPr>
                <w:rFonts w:ascii="Arial" w:hAnsi="Arial" w:cs="Arial"/>
              </w:rPr>
            </w:pPr>
            <w:r w:rsidRPr="00113364">
              <w:rPr>
                <w:rFonts w:ascii="Arial" w:hAnsi="Arial" w:cs="Arial"/>
              </w:rPr>
              <w:t>Skill Development: Increase parent capacity to participate at the s</w:t>
            </w:r>
            <w:r w:rsidR="005C4E1A" w:rsidRPr="00113364">
              <w:rPr>
                <w:rFonts w:ascii="Arial" w:hAnsi="Arial" w:cs="Arial"/>
              </w:rPr>
              <w:t>chool and district, or regional,</w:t>
            </w:r>
            <w:r w:rsidRPr="00113364">
              <w:rPr>
                <w:rFonts w:ascii="Arial" w:hAnsi="Arial" w:cs="Arial"/>
              </w:rPr>
              <w:t xml:space="preserve"> level</w:t>
            </w:r>
            <w:r w:rsidR="005C4E1A" w:rsidRPr="00113364">
              <w:rPr>
                <w:rFonts w:ascii="Arial" w:hAnsi="Arial" w:cs="Arial"/>
              </w:rPr>
              <w:t>.</w:t>
            </w:r>
          </w:p>
        </w:tc>
        <w:tc>
          <w:tcPr>
            <w:tcW w:w="3240" w:type="dxa"/>
          </w:tcPr>
          <w:p w14:paraId="27D29967" w14:textId="77777777" w:rsidR="002119CE" w:rsidRPr="00113364" w:rsidRDefault="0047706A" w:rsidP="00142F53">
            <w:pPr>
              <w:pStyle w:val="ListParagraph"/>
              <w:numPr>
                <w:ilvl w:val="0"/>
                <w:numId w:val="9"/>
              </w:numPr>
              <w:ind w:left="345" w:hanging="270"/>
              <w:rPr>
                <w:rFonts w:ascii="Arial" w:hAnsi="Arial" w:cs="Arial"/>
              </w:rPr>
            </w:pPr>
            <w:r w:rsidRPr="00113364">
              <w:rPr>
                <w:rFonts w:ascii="Arial" w:hAnsi="Arial" w:cs="Arial"/>
              </w:rPr>
              <w:t>Disseminat</w:t>
            </w:r>
            <w:r w:rsidR="0042552C" w:rsidRPr="00113364">
              <w:rPr>
                <w:rFonts w:ascii="Arial" w:hAnsi="Arial" w:cs="Arial"/>
              </w:rPr>
              <w:t>e research on the impact of parent involvement on student achievement.</w:t>
            </w:r>
          </w:p>
          <w:p w14:paraId="5553D20B" w14:textId="2AB3B758" w:rsidR="001B50D5" w:rsidRPr="00113364" w:rsidRDefault="001B50D5" w:rsidP="00142F53">
            <w:pPr>
              <w:pStyle w:val="ListParagraph"/>
              <w:numPr>
                <w:ilvl w:val="0"/>
                <w:numId w:val="9"/>
              </w:numPr>
              <w:ind w:left="345" w:hanging="270"/>
              <w:rPr>
                <w:rFonts w:ascii="Arial" w:hAnsi="Arial" w:cs="Arial"/>
              </w:rPr>
            </w:pPr>
            <w:r w:rsidRPr="00113364">
              <w:rPr>
                <w:rFonts w:ascii="Arial" w:hAnsi="Arial" w:cs="Arial"/>
              </w:rPr>
              <w:t xml:space="preserve">Include migratory parents in the development of the statewide CNA and </w:t>
            </w:r>
            <w:r w:rsidR="00452477" w:rsidRPr="00113364">
              <w:rPr>
                <w:rFonts w:ascii="Arial" w:hAnsi="Arial" w:cs="Arial"/>
              </w:rPr>
              <w:t>SDP</w:t>
            </w:r>
            <w:r w:rsidRPr="00113364">
              <w:rPr>
                <w:rFonts w:ascii="Arial" w:hAnsi="Arial" w:cs="Arial"/>
              </w:rPr>
              <w:t>.</w:t>
            </w:r>
            <w:r w:rsidR="008437E7" w:rsidRPr="00113364">
              <w:rPr>
                <w:rFonts w:ascii="Arial" w:hAnsi="Arial" w:cs="Arial"/>
              </w:rPr>
              <w:t xml:space="preserve"> </w:t>
            </w:r>
          </w:p>
          <w:p w14:paraId="0BADD0BB" w14:textId="77777777" w:rsidR="005C4E1A" w:rsidRPr="00113364" w:rsidRDefault="005C4E1A" w:rsidP="00142F53">
            <w:pPr>
              <w:pStyle w:val="ListParagraph"/>
              <w:numPr>
                <w:ilvl w:val="0"/>
                <w:numId w:val="9"/>
              </w:numPr>
              <w:ind w:left="345" w:hanging="270"/>
              <w:rPr>
                <w:rFonts w:ascii="Arial" w:hAnsi="Arial" w:cs="Arial"/>
              </w:rPr>
            </w:pPr>
            <w:r w:rsidRPr="00113364">
              <w:rPr>
                <w:rFonts w:ascii="Arial" w:hAnsi="Arial" w:cs="Arial"/>
              </w:rPr>
              <w:t>Provide training and information sharing opportunities through the SPAC.</w:t>
            </w:r>
          </w:p>
        </w:tc>
        <w:tc>
          <w:tcPr>
            <w:tcW w:w="4065" w:type="dxa"/>
          </w:tcPr>
          <w:p w14:paraId="262D5C85" w14:textId="77777777" w:rsidR="002119CE" w:rsidRPr="00113364" w:rsidRDefault="0042552C" w:rsidP="00142F53">
            <w:pPr>
              <w:numPr>
                <w:ilvl w:val="0"/>
                <w:numId w:val="7"/>
              </w:numPr>
              <w:tabs>
                <w:tab w:val="clear" w:pos="720"/>
                <w:tab w:val="num" w:pos="435"/>
              </w:tabs>
              <w:ind w:left="435" w:hanging="270"/>
              <w:rPr>
                <w:rFonts w:ascii="Arial" w:hAnsi="Arial" w:cs="Arial"/>
              </w:rPr>
            </w:pPr>
            <w:r w:rsidRPr="00113364">
              <w:rPr>
                <w:rFonts w:ascii="Arial" w:hAnsi="Arial" w:cs="Arial"/>
              </w:rPr>
              <w:t>Train parents on how to read and interpret student achievement data.</w:t>
            </w:r>
          </w:p>
          <w:p w14:paraId="354311D7" w14:textId="77777777" w:rsidR="0042552C" w:rsidRPr="00113364" w:rsidRDefault="0042552C" w:rsidP="00142F53">
            <w:pPr>
              <w:numPr>
                <w:ilvl w:val="0"/>
                <w:numId w:val="7"/>
              </w:numPr>
              <w:tabs>
                <w:tab w:val="clear" w:pos="720"/>
                <w:tab w:val="num" w:pos="435"/>
              </w:tabs>
              <w:ind w:left="435" w:hanging="270"/>
              <w:rPr>
                <w:rFonts w:ascii="Arial" w:hAnsi="Arial" w:cs="Arial"/>
              </w:rPr>
            </w:pPr>
            <w:r w:rsidRPr="00113364">
              <w:rPr>
                <w:rFonts w:ascii="Arial" w:hAnsi="Arial" w:cs="Arial"/>
              </w:rPr>
              <w:t>Train parents to participate in curricular and budgetary decision making.</w:t>
            </w:r>
          </w:p>
          <w:p w14:paraId="69102F6F" w14:textId="77777777" w:rsidR="0042552C" w:rsidRPr="00113364" w:rsidRDefault="005C4E1A" w:rsidP="00142F53">
            <w:pPr>
              <w:numPr>
                <w:ilvl w:val="0"/>
                <w:numId w:val="7"/>
              </w:numPr>
              <w:tabs>
                <w:tab w:val="clear" w:pos="720"/>
                <w:tab w:val="num" w:pos="435"/>
              </w:tabs>
              <w:ind w:left="435" w:hanging="270"/>
              <w:rPr>
                <w:rFonts w:ascii="Arial" w:hAnsi="Arial" w:cs="Arial"/>
              </w:rPr>
            </w:pPr>
            <w:r w:rsidRPr="00113364">
              <w:rPr>
                <w:rFonts w:ascii="Arial" w:hAnsi="Arial" w:cs="Arial"/>
              </w:rPr>
              <w:t>Train parents on partnership building strategies to connect with family, school</w:t>
            </w:r>
            <w:r w:rsidR="00773107" w:rsidRPr="00113364">
              <w:rPr>
                <w:rFonts w:ascii="Arial" w:hAnsi="Arial" w:cs="Arial"/>
              </w:rPr>
              <w:t>,</w:t>
            </w:r>
            <w:r w:rsidRPr="00113364">
              <w:rPr>
                <w:rFonts w:ascii="Arial" w:hAnsi="Arial" w:cs="Arial"/>
              </w:rPr>
              <w:t xml:space="preserve"> and the community.</w:t>
            </w:r>
          </w:p>
          <w:p w14:paraId="2CF8965C" w14:textId="77777777" w:rsidR="005C4E1A" w:rsidRPr="00113364" w:rsidRDefault="005C4E1A" w:rsidP="00142F53">
            <w:pPr>
              <w:numPr>
                <w:ilvl w:val="0"/>
                <w:numId w:val="7"/>
              </w:numPr>
              <w:tabs>
                <w:tab w:val="clear" w:pos="720"/>
                <w:tab w:val="num" w:pos="435"/>
              </w:tabs>
              <w:ind w:left="435" w:hanging="270"/>
              <w:rPr>
                <w:rFonts w:ascii="Arial" w:hAnsi="Arial" w:cs="Arial"/>
              </w:rPr>
            </w:pPr>
            <w:r w:rsidRPr="00113364">
              <w:rPr>
                <w:rFonts w:ascii="Arial" w:hAnsi="Arial" w:cs="Arial"/>
              </w:rPr>
              <w:t>Provide workshops including:</w:t>
            </w:r>
          </w:p>
          <w:p w14:paraId="57AD0383" w14:textId="77777777" w:rsidR="005C4E1A" w:rsidRPr="00113364" w:rsidRDefault="00BD3B1E" w:rsidP="00142F53">
            <w:pPr>
              <w:pStyle w:val="ListParagraph"/>
              <w:numPr>
                <w:ilvl w:val="0"/>
                <w:numId w:val="10"/>
              </w:numPr>
              <w:tabs>
                <w:tab w:val="num" w:pos="795"/>
              </w:tabs>
              <w:ind w:left="795"/>
              <w:rPr>
                <w:rFonts w:ascii="Arial" w:hAnsi="Arial" w:cs="Arial"/>
              </w:rPr>
            </w:pPr>
            <w:r w:rsidRPr="00113364">
              <w:rPr>
                <w:rFonts w:ascii="Arial" w:hAnsi="Arial" w:cs="Arial"/>
              </w:rPr>
              <w:t>Parent and family engagement</w:t>
            </w:r>
          </w:p>
          <w:p w14:paraId="236CAC5B" w14:textId="77777777" w:rsidR="00BD3B1E" w:rsidRPr="00113364" w:rsidRDefault="00BD3B1E" w:rsidP="00142F53">
            <w:pPr>
              <w:pStyle w:val="ListParagraph"/>
              <w:numPr>
                <w:ilvl w:val="0"/>
                <w:numId w:val="10"/>
              </w:numPr>
              <w:tabs>
                <w:tab w:val="num" w:pos="795"/>
              </w:tabs>
              <w:ind w:left="795"/>
              <w:rPr>
                <w:rFonts w:ascii="Arial" w:hAnsi="Arial" w:cs="Arial"/>
              </w:rPr>
            </w:pPr>
            <w:r w:rsidRPr="00113364">
              <w:rPr>
                <w:rFonts w:ascii="Arial" w:hAnsi="Arial" w:cs="Arial"/>
              </w:rPr>
              <w:t>Supporting high school graduation</w:t>
            </w:r>
          </w:p>
          <w:p w14:paraId="1B1CEAE3" w14:textId="3F7F7BE5" w:rsidR="00BD3B1E" w:rsidRPr="00113364" w:rsidRDefault="00BD3B1E" w:rsidP="00142F53">
            <w:pPr>
              <w:pStyle w:val="ListParagraph"/>
              <w:numPr>
                <w:ilvl w:val="0"/>
                <w:numId w:val="10"/>
              </w:numPr>
              <w:tabs>
                <w:tab w:val="num" w:pos="795"/>
              </w:tabs>
              <w:ind w:left="795"/>
              <w:rPr>
                <w:rFonts w:ascii="Arial" w:hAnsi="Arial" w:cs="Arial"/>
              </w:rPr>
            </w:pPr>
            <w:r w:rsidRPr="00113364">
              <w:rPr>
                <w:rFonts w:ascii="Arial" w:hAnsi="Arial" w:cs="Arial"/>
              </w:rPr>
              <w:t>C</w:t>
            </w:r>
            <w:r w:rsidR="004A1766">
              <w:rPr>
                <w:rFonts w:ascii="Arial" w:hAnsi="Arial" w:cs="Arial"/>
              </w:rPr>
              <w:t>TE</w:t>
            </w:r>
          </w:p>
          <w:p w14:paraId="3F6BD969" w14:textId="77777777" w:rsidR="00BD3B1E" w:rsidRPr="00113364" w:rsidRDefault="00BD3B1E" w:rsidP="00142F53">
            <w:pPr>
              <w:pStyle w:val="ListParagraph"/>
              <w:numPr>
                <w:ilvl w:val="0"/>
                <w:numId w:val="10"/>
              </w:numPr>
              <w:tabs>
                <w:tab w:val="num" w:pos="795"/>
              </w:tabs>
              <w:ind w:left="795"/>
              <w:rPr>
                <w:rFonts w:ascii="Arial" w:hAnsi="Arial" w:cs="Arial"/>
              </w:rPr>
            </w:pPr>
            <w:r w:rsidRPr="00113364">
              <w:rPr>
                <w:rFonts w:ascii="Arial" w:hAnsi="Arial" w:cs="Arial"/>
              </w:rPr>
              <w:t>Academic and education vocabulary (e.g.,</w:t>
            </w:r>
            <w:r w:rsidR="00A345CA" w:rsidRPr="00113364">
              <w:rPr>
                <w:rFonts w:ascii="Arial" w:hAnsi="Arial" w:cs="Arial"/>
              </w:rPr>
              <w:t xml:space="preserve"> acronyms, A-G, parent homework dictionary, etc.).</w:t>
            </w:r>
          </w:p>
        </w:tc>
      </w:tr>
      <w:tr w:rsidR="008C24F6" w:rsidRPr="00113364" w14:paraId="12740F2D" w14:textId="77777777" w:rsidTr="00940787">
        <w:trPr>
          <w:cnfStyle w:val="000000100000" w:firstRow="0" w:lastRow="0" w:firstColumn="0" w:lastColumn="0" w:oddVBand="0" w:evenVBand="0" w:oddHBand="1" w:evenHBand="0" w:firstRowFirstColumn="0" w:firstRowLastColumn="0" w:lastRowFirstColumn="0" w:lastRowLastColumn="0"/>
          <w:cantSplit/>
          <w:trHeight w:val="2576"/>
        </w:trPr>
        <w:tc>
          <w:tcPr>
            <w:tcW w:w="2085" w:type="dxa"/>
          </w:tcPr>
          <w:p w14:paraId="0505322E" w14:textId="77777777" w:rsidR="008C24F6" w:rsidRPr="00113364" w:rsidRDefault="008C24F6" w:rsidP="008C24F6">
            <w:pPr>
              <w:rPr>
                <w:rFonts w:ascii="Arial" w:hAnsi="Arial" w:cs="Arial"/>
              </w:rPr>
            </w:pPr>
            <w:r w:rsidRPr="00113364">
              <w:rPr>
                <w:rFonts w:ascii="Arial" w:hAnsi="Arial" w:cs="Arial"/>
              </w:rPr>
              <w:lastRenderedPageBreak/>
              <w:t>Participation:</w:t>
            </w:r>
          </w:p>
          <w:p w14:paraId="3362BA78" w14:textId="77777777" w:rsidR="008C24F6" w:rsidRPr="00113364" w:rsidRDefault="00C27EAE" w:rsidP="008C24F6">
            <w:pPr>
              <w:rPr>
                <w:rFonts w:ascii="Arial" w:hAnsi="Arial" w:cs="Arial"/>
              </w:rPr>
            </w:pPr>
            <w:r w:rsidRPr="00113364">
              <w:rPr>
                <w:rFonts w:ascii="Arial" w:hAnsi="Arial" w:cs="Arial"/>
              </w:rPr>
              <w:t>Increase parent participation.</w:t>
            </w:r>
          </w:p>
        </w:tc>
        <w:tc>
          <w:tcPr>
            <w:tcW w:w="3240" w:type="dxa"/>
          </w:tcPr>
          <w:p w14:paraId="6D986A6D" w14:textId="77777777" w:rsidR="008C24F6" w:rsidRPr="00113364" w:rsidRDefault="008C24F6" w:rsidP="00142F53">
            <w:pPr>
              <w:pStyle w:val="ListParagraph"/>
              <w:numPr>
                <w:ilvl w:val="0"/>
                <w:numId w:val="9"/>
              </w:numPr>
              <w:ind w:left="345" w:hanging="270"/>
              <w:rPr>
                <w:rFonts w:ascii="Arial" w:hAnsi="Arial" w:cs="Arial"/>
              </w:rPr>
            </w:pPr>
            <w:r w:rsidRPr="00113364">
              <w:rPr>
                <w:rFonts w:ascii="Arial" w:hAnsi="Arial" w:cs="Arial"/>
              </w:rPr>
              <w:t xml:space="preserve">Disseminate evidence-based practices on family outreach. </w:t>
            </w:r>
          </w:p>
          <w:p w14:paraId="0B37D9D4" w14:textId="77777777" w:rsidR="008C24F6" w:rsidRPr="00113364" w:rsidRDefault="008C24F6" w:rsidP="00142F53">
            <w:pPr>
              <w:pStyle w:val="ListParagraph"/>
              <w:numPr>
                <w:ilvl w:val="0"/>
                <w:numId w:val="9"/>
              </w:numPr>
              <w:ind w:left="345" w:hanging="270"/>
              <w:rPr>
                <w:rFonts w:ascii="Arial" w:hAnsi="Arial" w:cs="Arial"/>
              </w:rPr>
            </w:pPr>
            <w:r w:rsidRPr="00113364">
              <w:rPr>
                <w:rFonts w:ascii="Arial" w:hAnsi="Arial" w:cs="Arial"/>
              </w:rPr>
              <w:t>Provide subgrantees with a forum to discuss parent participation and outreach strategies.</w:t>
            </w:r>
          </w:p>
        </w:tc>
        <w:tc>
          <w:tcPr>
            <w:tcW w:w="4065" w:type="dxa"/>
          </w:tcPr>
          <w:p w14:paraId="78AC41CD" w14:textId="77777777" w:rsidR="008C24F6" w:rsidRPr="00113364" w:rsidRDefault="008C24F6" w:rsidP="00142F53">
            <w:pPr>
              <w:numPr>
                <w:ilvl w:val="0"/>
                <w:numId w:val="7"/>
              </w:numPr>
              <w:tabs>
                <w:tab w:val="clear" w:pos="720"/>
                <w:tab w:val="num" w:pos="435"/>
              </w:tabs>
              <w:ind w:left="435" w:hanging="270"/>
              <w:rPr>
                <w:rFonts w:ascii="Arial" w:hAnsi="Arial" w:cs="Arial"/>
              </w:rPr>
            </w:pPr>
            <w:r w:rsidRPr="00113364">
              <w:rPr>
                <w:rFonts w:ascii="Arial" w:hAnsi="Arial" w:cs="Arial"/>
              </w:rPr>
              <w:t>Use a variety of methods to re</w:t>
            </w:r>
            <w:r w:rsidR="00F71478" w:rsidRPr="00113364">
              <w:rPr>
                <w:rFonts w:ascii="Arial" w:hAnsi="Arial" w:cs="Arial"/>
              </w:rPr>
              <w:t>cruit parents (e.g., work with the PAC or R</w:t>
            </w:r>
            <w:r w:rsidR="00773107" w:rsidRPr="00113364">
              <w:rPr>
                <w:rFonts w:ascii="Arial" w:hAnsi="Arial" w:cs="Arial"/>
              </w:rPr>
              <w:t>P</w:t>
            </w:r>
            <w:r w:rsidR="00F71478" w:rsidRPr="00113364">
              <w:rPr>
                <w:rFonts w:ascii="Arial" w:hAnsi="Arial" w:cs="Arial"/>
              </w:rPr>
              <w:t>AC to help enroll migratory families, phone call/text reminders</w:t>
            </w:r>
            <w:r w:rsidRPr="00113364">
              <w:rPr>
                <w:rFonts w:ascii="Arial" w:hAnsi="Arial" w:cs="Arial"/>
              </w:rPr>
              <w:t xml:space="preserve"> before each class, </w:t>
            </w:r>
            <w:r w:rsidR="00F71478" w:rsidRPr="00113364">
              <w:rPr>
                <w:rFonts w:ascii="Arial" w:hAnsi="Arial" w:cs="Arial"/>
              </w:rPr>
              <w:t>collaborate with community-based organizations).</w:t>
            </w:r>
          </w:p>
          <w:p w14:paraId="036540A0" w14:textId="77777777" w:rsidR="00F71478" w:rsidRPr="00113364" w:rsidRDefault="00F71478" w:rsidP="00142F53">
            <w:pPr>
              <w:numPr>
                <w:ilvl w:val="0"/>
                <w:numId w:val="7"/>
              </w:numPr>
              <w:tabs>
                <w:tab w:val="clear" w:pos="720"/>
                <w:tab w:val="num" w:pos="435"/>
              </w:tabs>
              <w:ind w:left="435" w:hanging="270"/>
              <w:rPr>
                <w:rFonts w:ascii="Arial" w:hAnsi="Arial" w:cs="Arial"/>
              </w:rPr>
            </w:pPr>
            <w:r w:rsidRPr="00113364">
              <w:rPr>
                <w:rFonts w:ascii="Arial" w:hAnsi="Arial" w:cs="Arial"/>
              </w:rPr>
              <w:t>Collaborate with school administrators and staff to encourage participation in the MEP.</w:t>
            </w:r>
          </w:p>
          <w:p w14:paraId="5E6CE402" w14:textId="77777777" w:rsidR="004C2A0E" w:rsidRPr="00113364" w:rsidRDefault="004C2A0E" w:rsidP="00142F53">
            <w:pPr>
              <w:numPr>
                <w:ilvl w:val="0"/>
                <w:numId w:val="7"/>
              </w:numPr>
              <w:tabs>
                <w:tab w:val="clear" w:pos="720"/>
                <w:tab w:val="num" w:pos="435"/>
              </w:tabs>
              <w:ind w:left="435" w:hanging="270"/>
              <w:rPr>
                <w:rFonts w:ascii="Arial" w:hAnsi="Arial" w:cs="Arial"/>
              </w:rPr>
            </w:pPr>
            <w:r w:rsidRPr="00113364">
              <w:rPr>
                <w:rFonts w:ascii="Arial" w:hAnsi="Arial" w:cs="Arial"/>
              </w:rPr>
              <w:t>Incentivize participation through student recognition nights and monthly raffles.</w:t>
            </w:r>
          </w:p>
        </w:tc>
      </w:tr>
      <w:tr w:rsidR="005C5821" w:rsidRPr="00113364" w14:paraId="3B998C05" w14:textId="77777777" w:rsidTr="00940787">
        <w:trPr>
          <w:cantSplit/>
          <w:trHeight w:val="5537"/>
        </w:trPr>
        <w:tc>
          <w:tcPr>
            <w:tcW w:w="2085" w:type="dxa"/>
            <w:hideMark/>
          </w:tcPr>
          <w:p w14:paraId="0976DAC9" w14:textId="77777777" w:rsidR="00896E40" w:rsidRPr="00113364" w:rsidRDefault="00D954D1" w:rsidP="00B21C78">
            <w:pPr>
              <w:spacing w:before="100" w:beforeAutospacing="1" w:after="100" w:afterAutospacing="1"/>
              <w:rPr>
                <w:rFonts w:ascii="Arial" w:hAnsi="Arial" w:cs="Arial"/>
              </w:rPr>
            </w:pPr>
            <w:r w:rsidRPr="00113364">
              <w:rPr>
                <w:rFonts w:ascii="Arial" w:hAnsi="Arial" w:cs="Arial"/>
              </w:rPr>
              <w:t>Communication</w:t>
            </w:r>
            <w:r w:rsidR="00896E40" w:rsidRPr="00113364">
              <w:rPr>
                <w:rFonts w:ascii="Arial" w:hAnsi="Arial" w:cs="Arial"/>
              </w:rPr>
              <w:t xml:space="preserve">: Develop communication </w:t>
            </w:r>
            <w:r w:rsidRPr="00113364">
              <w:rPr>
                <w:rFonts w:ascii="Arial" w:hAnsi="Arial" w:cs="Arial"/>
              </w:rPr>
              <w:t xml:space="preserve">channels </w:t>
            </w:r>
            <w:r w:rsidR="00B21C78" w:rsidRPr="00113364">
              <w:rPr>
                <w:rFonts w:ascii="Arial" w:hAnsi="Arial" w:cs="Arial"/>
              </w:rPr>
              <w:t>between families,</w:t>
            </w:r>
            <w:r w:rsidR="00896E40" w:rsidRPr="00113364">
              <w:rPr>
                <w:rFonts w:ascii="Arial" w:hAnsi="Arial" w:cs="Arial"/>
              </w:rPr>
              <w:t xml:space="preserve"> the MEP and schools.</w:t>
            </w:r>
          </w:p>
        </w:tc>
        <w:tc>
          <w:tcPr>
            <w:tcW w:w="3240" w:type="dxa"/>
            <w:hideMark/>
          </w:tcPr>
          <w:p w14:paraId="2FB415A8" w14:textId="77777777" w:rsidR="000F624F" w:rsidRPr="00113364" w:rsidRDefault="006A563E" w:rsidP="00142F53">
            <w:pPr>
              <w:pStyle w:val="ListParagraph"/>
              <w:numPr>
                <w:ilvl w:val="0"/>
                <w:numId w:val="9"/>
              </w:numPr>
              <w:spacing w:before="100" w:beforeAutospacing="1" w:after="100" w:afterAutospacing="1"/>
              <w:ind w:left="345" w:hanging="270"/>
              <w:rPr>
                <w:rFonts w:ascii="Arial" w:hAnsi="Arial" w:cs="Arial"/>
              </w:rPr>
            </w:pPr>
            <w:r w:rsidRPr="00113364">
              <w:rPr>
                <w:rFonts w:ascii="Arial" w:hAnsi="Arial" w:cs="Arial"/>
              </w:rPr>
              <w:t>Discuss the importance of two</w:t>
            </w:r>
            <w:r w:rsidR="000F624F" w:rsidRPr="00113364">
              <w:rPr>
                <w:rFonts w:ascii="Arial" w:hAnsi="Arial" w:cs="Arial"/>
              </w:rPr>
              <w:t>-way communication between parents, the MEP</w:t>
            </w:r>
            <w:r w:rsidR="00773107" w:rsidRPr="00113364">
              <w:rPr>
                <w:rFonts w:ascii="Arial" w:hAnsi="Arial" w:cs="Arial"/>
              </w:rPr>
              <w:t>,</w:t>
            </w:r>
            <w:r w:rsidR="000F624F" w:rsidRPr="00113364">
              <w:rPr>
                <w:rFonts w:ascii="Arial" w:hAnsi="Arial" w:cs="Arial"/>
              </w:rPr>
              <w:t xml:space="preserve"> and schools.</w:t>
            </w:r>
          </w:p>
          <w:p w14:paraId="2AAF9032" w14:textId="77777777" w:rsidR="00896E40" w:rsidRPr="00113364" w:rsidRDefault="00896E40" w:rsidP="00142F53">
            <w:pPr>
              <w:pStyle w:val="ListParagraph"/>
              <w:numPr>
                <w:ilvl w:val="0"/>
                <w:numId w:val="9"/>
              </w:numPr>
              <w:spacing w:before="100" w:beforeAutospacing="1" w:after="100" w:afterAutospacing="1"/>
              <w:ind w:left="345" w:hanging="270"/>
              <w:rPr>
                <w:rFonts w:ascii="Arial" w:hAnsi="Arial" w:cs="Arial"/>
              </w:rPr>
            </w:pPr>
            <w:r w:rsidRPr="00113364">
              <w:rPr>
                <w:rFonts w:ascii="Arial" w:hAnsi="Arial" w:cs="Arial"/>
              </w:rPr>
              <w:t>Compile resources and best practic</w:t>
            </w:r>
            <w:r w:rsidR="00D674B8" w:rsidRPr="00113364">
              <w:rPr>
                <w:rFonts w:ascii="Arial" w:hAnsi="Arial" w:cs="Arial"/>
              </w:rPr>
              <w:t>es related to creating migratory-</w:t>
            </w:r>
            <w:r w:rsidRPr="00113364">
              <w:rPr>
                <w:rFonts w:ascii="Arial" w:hAnsi="Arial" w:cs="Arial"/>
              </w:rPr>
              <w:t>family friendly schools.</w:t>
            </w:r>
          </w:p>
        </w:tc>
        <w:tc>
          <w:tcPr>
            <w:tcW w:w="4065" w:type="dxa"/>
            <w:hideMark/>
          </w:tcPr>
          <w:p w14:paraId="2C3B908D" w14:textId="77777777" w:rsidR="006A563E" w:rsidRPr="00113364" w:rsidRDefault="00B16E6A" w:rsidP="00142F53">
            <w:pPr>
              <w:numPr>
                <w:ilvl w:val="0"/>
                <w:numId w:val="7"/>
              </w:numPr>
              <w:tabs>
                <w:tab w:val="clear" w:pos="720"/>
                <w:tab w:val="num" w:pos="435"/>
              </w:tabs>
              <w:spacing w:before="100" w:beforeAutospacing="1" w:after="100" w:afterAutospacing="1"/>
              <w:ind w:left="435" w:hanging="270"/>
              <w:rPr>
                <w:rFonts w:ascii="Arial" w:hAnsi="Arial" w:cs="Arial"/>
              </w:rPr>
            </w:pPr>
            <w:r w:rsidRPr="00113364">
              <w:rPr>
                <w:rFonts w:ascii="Arial" w:hAnsi="Arial" w:cs="Arial"/>
              </w:rPr>
              <w:t>Work with</w:t>
            </w:r>
            <w:r w:rsidR="006A563E" w:rsidRPr="00113364">
              <w:rPr>
                <w:rFonts w:ascii="Arial" w:hAnsi="Arial" w:cs="Arial"/>
              </w:rPr>
              <w:t xml:space="preserve"> schools, districts and parents </w:t>
            </w:r>
            <w:r w:rsidRPr="00113364">
              <w:rPr>
                <w:rFonts w:ascii="Arial" w:hAnsi="Arial" w:cs="Arial"/>
              </w:rPr>
              <w:t>to</w:t>
            </w:r>
            <w:r w:rsidR="006A563E" w:rsidRPr="00113364">
              <w:rPr>
                <w:rFonts w:ascii="Arial" w:hAnsi="Arial" w:cs="Arial"/>
              </w:rPr>
              <w:t xml:space="preserve"> encourag</w:t>
            </w:r>
            <w:r w:rsidR="00FC3AE8" w:rsidRPr="00113364">
              <w:rPr>
                <w:rFonts w:ascii="Arial" w:hAnsi="Arial" w:cs="Arial"/>
              </w:rPr>
              <w:t>e</w:t>
            </w:r>
            <w:r w:rsidR="006A563E" w:rsidRPr="00113364">
              <w:rPr>
                <w:rFonts w:ascii="Arial" w:hAnsi="Arial" w:cs="Arial"/>
              </w:rPr>
              <w:t xml:space="preserve"> </w:t>
            </w:r>
            <w:r w:rsidR="00E10BEB" w:rsidRPr="00113364">
              <w:rPr>
                <w:rFonts w:ascii="Arial" w:hAnsi="Arial" w:cs="Arial"/>
              </w:rPr>
              <w:t>migratory parents</w:t>
            </w:r>
            <w:r w:rsidR="006A563E" w:rsidRPr="00113364">
              <w:rPr>
                <w:rFonts w:ascii="Arial" w:hAnsi="Arial" w:cs="Arial"/>
              </w:rPr>
              <w:t xml:space="preserve"> to become more involved at school</w:t>
            </w:r>
            <w:r w:rsidR="00E10BEB" w:rsidRPr="00113364">
              <w:rPr>
                <w:rFonts w:ascii="Arial" w:hAnsi="Arial" w:cs="Arial"/>
              </w:rPr>
              <w:t xml:space="preserve"> (e.g., DELAC, ELAC, school events, etc.)</w:t>
            </w:r>
            <w:r w:rsidR="006A563E" w:rsidRPr="00113364">
              <w:rPr>
                <w:rFonts w:ascii="Arial" w:hAnsi="Arial" w:cs="Arial"/>
              </w:rPr>
              <w:t xml:space="preserve">. </w:t>
            </w:r>
          </w:p>
          <w:p w14:paraId="04254885" w14:textId="77777777" w:rsidR="006A563E" w:rsidRPr="00113364" w:rsidRDefault="00896E40" w:rsidP="00142F53">
            <w:pPr>
              <w:numPr>
                <w:ilvl w:val="0"/>
                <w:numId w:val="7"/>
              </w:numPr>
              <w:tabs>
                <w:tab w:val="clear" w:pos="720"/>
                <w:tab w:val="num" w:pos="435"/>
              </w:tabs>
              <w:spacing w:before="100" w:beforeAutospacing="1" w:after="100" w:afterAutospacing="1"/>
              <w:ind w:left="435" w:hanging="270"/>
              <w:rPr>
                <w:rFonts w:ascii="Arial" w:hAnsi="Arial" w:cs="Arial"/>
              </w:rPr>
            </w:pPr>
            <w:r w:rsidRPr="00113364">
              <w:rPr>
                <w:rFonts w:ascii="Arial" w:hAnsi="Arial" w:cs="Arial"/>
              </w:rPr>
              <w:t>Provide professional development for school staff on understanding the migrato</w:t>
            </w:r>
            <w:r w:rsidR="00D674B8" w:rsidRPr="00113364">
              <w:rPr>
                <w:rFonts w:ascii="Arial" w:hAnsi="Arial" w:cs="Arial"/>
              </w:rPr>
              <w:t>ry lifestyle, cultural</w:t>
            </w:r>
            <w:r w:rsidR="006A563E" w:rsidRPr="00113364">
              <w:rPr>
                <w:rFonts w:ascii="Arial" w:hAnsi="Arial" w:cs="Arial"/>
              </w:rPr>
              <w:t xml:space="preserve"> heritage and home environment.</w:t>
            </w:r>
          </w:p>
          <w:p w14:paraId="255BBAE2" w14:textId="533AD526" w:rsidR="00896E40" w:rsidRPr="00113364" w:rsidRDefault="006A563E" w:rsidP="00142F53">
            <w:pPr>
              <w:numPr>
                <w:ilvl w:val="0"/>
                <w:numId w:val="7"/>
              </w:numPr>
              <w:tabs>
                <w:tab w:val="clear" w:pos="720"/>
                <w:tab w:val="num" w:pos="435"/>
              </w:tabs>
              <w:spacing w:before="100" w:beforeAutospacing="1" w:after="100" w:afterAutospacing="1"/>
              <w:ind w:left="435" w:hanging="270"/>
              <w:rPr>
                <w:rFonts w:ascii="Arial" w:hAnsi="Arial" w:cs="Arial"/>
              </w:rPr>
            </w:pPr>
            <w:r w:rsidRPr="00113364">
              <w:rPr>
                <w:rFonts w:ascii="Arial" w:hAnsi="Arial" w:cs="Arial"/>
              </w:rPr>
              <w:t>Work with districts and schools to deliver</w:t>
            </w:r>
            <w:r w:rsidR="00896E40" w:rsidRPr="00113364">
              <w:rPr>
                <w:rFonts w:ascii="Arial" w:hAnsi="Arial" w:cs="Arial"/>
              </w:rPr>
              <w:t xml:space="preserve"> important home information in appropriate languages</w:t>
            </w:r>
            <w:r w:rsidR="00761A04" w:rsidRPr="00113364">
              <w:rPr>
                <w:rFonts w:ascii="Arial" w:hAnsi="Arial" w:cs="Arial"/>
              </w:rPr>
              <w:t xml:space="preserve"> (e</w:t>
            </w:r>
            <w:r w:rsidR="00E22495" w:rsidRPr="00113364">
              <w:rPr>
                <w:rFonts w:ascii="Arial" w:hAnsi="Arial" w:cs="Arial"/>
              </w:rPr>
              <w:t>.g.,</w:t>
            </w:r>
            <w:r w:rsidRPr="00113364">
              <w:rPr>
                <w:rFonts w:ascii="Arial" w:hAnsi="Arial" w:cs="Arial"/>
              </w:rPr>
              <w:t xml:space="preserve"> have a Mixteco interpreter call home with information)</w:t>
            </w:r>
            <w:r w:rsidR="00896E40" w:rsidRPr="00113364">
              <w:rPr>
                <w:rFonts w:ascii="Arial" w:hAnsi="Arial" w:cs="Arial"/>
              </w:rPr>
              <w:t>.</w:t>
            </w:r>
          </w:p>
          <w:p w14:paraId="4B1D3C27" w14:textId="77777777" w:rsidR="00F71478" w:rsidRPr="00113364" w:rsidRDefault="00896E40" w:rsidP="00142F53">
            <w:pPr>
              <w:numPr>
                <w:ilvl w:val="0"/>
                <w:numId w:val="7"/>
              </w:numPr>
              <w:tabs>
                <w:tab w:val="clear" w:pos="720"/>
                <w:tab w:val="num" w:pos="435"/>
              </w:tabs>
              <w:ind w:left="435" w:hanging="270"/>
              <w:rPr>
                <w:rFonts w:ascii="Arial" w:hAnsi="Arial" w:cs="Arial"/>
              </w:rPr>
            </w:pPr>
            <w:r w:rsidRPr="00113364">
              <w:rPr>
                <w:rFonts w:ascii="Arial" w:hAnsi="Arial" w:cs="Arial"/>
              </w:rPr>
              <w:t xml:space="preserve">Provide </w:t>
            </w:r>
            <w:r w:rsidR="006A563E" w:rsidRPr="00113364">
              <w:rPr>
                <w:rFonts w:ascii="Arial" w:hAnsi="Arial" w:cs="Arial"/>
              </w:rPr>
              <w:t>resources to migratory</w:t>
            </w:r>
            <w:r w:rsidRPr="00113364">
              <w:rPr>
                <w:rFonts w:ascii="Arial" w:hAnsi="Arial" w:cs="Arial"/>
              </w:rPr>
              <w:t xml:space="preserve"> families </w:t>
            </w:r>
            <w:r w:rsidR="00F71478" w:rsidRPr="00113364">
              <w:rPr>
                <w:rFonts w:ascii="Arial" w:hAnsi="Arial" w:cs="Arial"/>
              </w:rPr>
              <w:t>on</w:t>
            </w:r>
            <w:r w:rsidRPr="00113364">
              <w:rPr>
                <w:rFonts w:ascii="Arial" w:hAnsi="Arial" w:cs="Arial"/>
              </w:rPr>
              <w:t xml:space="preserve"> </w:t>
            </w:r>
            <w:r w:rsidR="006A563E" w:rsidRPr="00113364">
              <w:rPr>
                <w:rFonts w:ascii="Arial" w:hAnsi="Arial" w:cs="Arial"/>
              </w:rPr>
              <w:t xml:space="preserve">high school </w:t>
            </w:r>
            <w:r w:rsidRPr="00113364">
              <w:rPr>
                <w:rFonts w:ascii="Arial" w:hAnsi="Arial" w:cs="Arial"/>
              </w:rPr>
              <w:t>graduation requirements and post-secondary opportunities.</w:t>
            </w:r>
          </w:p>
        </w:tc>
      </w:tr>
      <w:tr w:rsidR="006A563E" w:rsidRPr="00113364" w14:paraId="4D0DF45C" w14:textId="77777777" w:rsidTr="00940787">
        <w:trPr>
          <w:cnfStyle w:val="000000100000" w:firstRow="0" w:lastRow="0" w:firstColumn="0" w:lastColumn="0" w:oddVBand="0" w:evenVBand="0" w:oddHBand="1" w:evenHBand="0" w:firstRowFirstColumn="0" w:firstRowLastColumn="0" w:lastRowFirstColumn="0" w:lastRowLastColumn="0"/>
          <w:cantSplit/>
          <w:trHeight w:val="2585"/>
        </w:trPr>
        <w:tc>
          <w:tcPr>
            <w:tcW w:w="2085" w:type="dxa"/>
          </w:tcPr>
          <w:p w14:paraId="0C9D6C38" w14:textId="77777777" w:rsidR="006A563E" w:rsidRPr="00113364" w:rsidRDefault="00B16E6A" w:rsidP="006A563E">
            <w:pPr>
              <w:spacing w:before="100" w:beforeAutospacing="1" w:after="100" w:afterAutospacing="1"/>
              <w:rPr>
                <w:rFonts w:ascii="Arial" w:hAnsi="Arial" w:cs="Arial"/>
              </w:rPr>
            </w:pPr>
            <w:r w:rsidRPr="00113364">
              <w:rPr>
                <w:rFonts w:ascii="Arial" w:hAnsi="Arial" w:cs="Arial"/>
              </w:rPr>
              <w:lastRenderedPageBreak/>
              <w:t>Regional Collabo</w:t>
            </w:r>
            <w:r w:rsidR="00EA2E99" w:rsidRPr="00113364">
              <w:rPr>
                <w:rFonts w:ascii="Arial" w:hAnsi="Arial" w:cs="Arial"/>
              </w:rPr>
              <w:t>r</w:t>
            </w:r>
            <w:r w:rsidRPr="00113364">
              <w:rPr>
                <w:rFonts w:ascii="Arial" w:hAnsi="Arial" w:cs="Arial"/>
              </w:rPr>
              <w:t>ation</w:t>
            </w:r>
            <w:r w:rsidR="006A563E" w:rsidRPr="00113364">
              <w:rPr>
                <w:rFonts w:ascii="Arial" w:hAnsi="Arial" w:cs="Arial"/>
              </w:rPr>
              <w:t>: Develop communication channels between the MEP and school</w:t>
            </w:r>
            <w:r w:rsidR="00EA2E99" w:rsidRPr="00113364">
              <w:rPr>
                <w:rFonts w:ascii="Arial" w:hAnsi="Arial" w:cs="Arial"/>
              </w:rPr>
              <w:t>s/</w:t>
            </w:r>
            <w:r w:rsidR="006A563E" w:rsidRPr="00113364">
              <w:rPr>
                <w:rFonts w:ascii="Arial" w:hAnsi="Arial" w:cs="Arial"/>
              </w:rPr>
              <w:t>district administration</w:t>
            </w:r>
            <w:r w:rsidR="00773107" w:rsidRPr="00113364">
              <w:rPr>
                <w:rFonts w:ascii="Arial" w:hAnsi="Arial" w:cs="Arial"/>
              </w:rPr>
              <w:t>,</w:t>
            </w:r>
            <w:r w:rsidR="006A563E" w:rsidRPr="00113364">
              <w:rPr>
                <w:rFonts w:ascii="Arial" w:hAnsi="Arial" w:cs="Arial"/>
              </w:rPr>
              <w:t xml:space="preserve"> and staff.</w:t>
            </w:r>
          </w:p>
        </w:tc>
        <w:tc>
          <w:tcPr>
            <w:tcW w:w="3240" w:type="dxa"/>
          </w:tcPr>
          <w:p w14:paraId="0E4D5000" w14:textId="2B272C8C" w:rsidR="006A563E" w:rsidRPr="00113364" w:rsidRDefault="00647732" w:rsidP="00142F53">
            <w:pPr>
              <w:pStyle w:val="ListParagraph"/>
              <w:numPr>
                <w:ilvl w:val="0"/>
                <w:numId w:val="9"/>
              </w:numPr>
              <w:spacing w:before="100" w:beforeAutospacing="1" w:after="100" w:afterAutospacing="1"/>
              <w:ind w:left="345" w:hanging="270"/>
              <w:rPr>
                <w:rFonts w:ascii="Arial" w:hAnsi="Arial" w:cs="Arial"/>
              </w:rPr>
            </w:pPr>
            <w:r w:rsidRPr="00113364">
              <w:rPr>
                <w:rFonts w:ascii="Arial" w:hAnsi="Arial" w:cs="Arial"/>
              </w:rPr>
              <w:t xml:space="preserve">Provide MEP Directors and staff with </w:t>
            </w:r>
            <w:r w:rsidR="00541796" w:rsidRPr="00113364">
              <w:rPr>
                <w:rFonts w:ascii="Arial" w:hAnsi="Arial" w:cs="Arial"/>
              </w:rPr>
              <w:t>the best</w:t>
            </w:r>
            <w:r w:rsidRPr="00113364">
              <w:rPr>
                <w:rFonts w:ascii="Arial" w:hAnsi="Arial" w:cs="Arial"/>
              </w:rPr>
              <w:t xml:space="preserve"> practices for communi</w:t>
            </w:r>
            <w:r w:rsidR="00F71478" w:rsidRPr="00113364">
              <w:rPr>
                <w:rFonts w:ascii="Arial" w:hAnsi="Arial" w:cs="Arial"/>
              </w:rPr>
              <w:t>cati</w:t>
            </w:r>
            <w:r w:rsidR="00171580" w:rsidRPr="00113364">
              <w:rPr>
                <w:rFonts w:ascii="Arial" w:hAnsi="Arial" w:cs="Arial"/>
              </w:rPr>
              <w:t>ng and working with schools and</w:t>
            </w:r>
            <w:r w:rsidRPr="00113364">
              <w:rPr>
                <w:rFonts w:ascii="Arial" w:hAnsi="Arial" w:cs="Arial"/>
              </w:rPr>
              <w:t xml:space="preserve"> districts to ensure an integrated and efficient approach to supporting migratory families.</w:t>
            </w:r>
          </w:p>
        </w:tc>
        <w:tc>
          <w:tcPr>
            <w:tcW w:w="4065" w:type="dxa"/>
          </w:tcPr>
          <w:p w14:paraId="4702D78E" w14:textId="77777777" w:rsidR="006A563E" w:rsidRPr="00113364" w:rsidRDefault="006A563E" w:rsidP="00142F53">
            <w:pPr>
              <w:numPr>
                <w:ilvl w:val="0"/>
                <w:numId w:val="9"/>
              </w:numPr>
              <w:spacing w:before="100" w:beforeAutospacing="1" w:after="100" w:afterAutospacing="1"/>
              <w:ind w:left="435" w:hanging="270"/>
              <w:rPr>
                <w:rFonts w:ascii="Arial" w:hAnsi="Arial" w:cs="Arial"/>
              </w:rPr>
            </w:pPr>
            <w:r w:rsidRPr="00113364">
              <w:rPr>
                <w:rFonts w:ascii="Arial" w:hAnsi="Arial" w:cs="Arial"/>
              </w:rPr>
              <w:t>Meet with schools</w:t>
            </w:r>
            <w:r w:rsidR="00F71478" w:rsidRPr="00113364">
              <w:rPr>
                <w:rFonts w:ascii="Arial" w:hAnsi="Arial" w:cs="Arial"/>
              </w:rPr>
              <w:t>/districts</w:t>
            </w:r>
            <w:r w:rsidRPr="00113364">
              <w:rPr>
                <w:rFonts w:ascii="Arial" w:hAnsi="Arial" w:cs="Arial"/>
              </w:rPr>
              <w:t xml:space="preserve"> </w:t>
            </w:r>
            <w:r w:rsidR="00647732" w:rsidRPr="00113364">
              <w:rPr>
                <w:rFonts w:ascii="Arial" w:hAnsi="Arial" w:cs="Arial"/>
              </w:rPr>
              <w:t xml:space="preserve">on a regular basis </w:t>
            </w:r>
            <w:r w:rsidRPr="00113364">
              <w:rPr>
                <w:rFonts w:ascii="Arial" w:hAnsi="Arial" w:cs="Arial"/>
              </w:rPr>
              <w:t>to identify ways to collaborate and offer integrated services to migratory students and families.</w:t>
            </w:r>
          </w:p>
          <w:p w14:paraId="53144E55" w14:textId="77777777" w:rsidR="006A563E" w:rsidRPr="00113364" w:rsidRDefault="006A563E" w:rsidP="00142F53">
            <w:pPr>
              <w:numPr>
                <w:ilvl w:val="0"/>
                <w:numId w:val="9"/>
              </w:numPr>
              <w:spacing w:before="100" w:beforeAutospacing="1"/>
              <w:ind w:left="432" w:hanging="274"/>
              <w:rPr>
                <w:rFonts w:ascii="Arial" w:hAnsi="Arial" w:cs="Arial"/>
              </w:rPr>
            </w:pPr>
            <w:r w:rsidRPr="00113364">
              <w:rPr>
                <w:rFonts w:ascii="Arial" w:hAnsi="Arial" w:cs="Arial"/>
              </w:rPr>
              <w:t>Meet with districts and schools</w:t>
            </w:r>
            <w:r w:rsidR="00647732" w:rsidRPr="00113364">
              <w:rPr>
                <w:rFonts w:ascii="Arial" w:hAnsi="Arial" w:cs="Arial"/>
              </w:rPr>
              <w:t xml:space="preserve"> on a regular basis</w:t>
            </w:r>
            <w:r w:rsidRPr="00113364">
              <w:rPr>
                <w:rFonts w:ascii="Arial" w:hAnsi="Arial" w:cs="Arial"/>
              </w:rPr>
              <w:t xml:space="preserve"> to strategically plan events so that MEP and school events are not in conflict.</w:t>
            </w:r>
          </w:p>
        </w:tc>
      </w:tr>
      <w:tr w:rsidR="005C5821" w:rsidRPr="00113364" w14:paraId="286135F8" w14:textId="77777777" w:rsidTr="00940787">
        <w:trPr>
          <w:cantSplit/>
        </w:trPr>
        <w:tc>
          <w:tcPr>
            <w:tcW w:w="2085" w:type="dxa"/>
            <w:hideMark/>
          </w:tcPr>
          <w:p w14:paraId="2B645353" w14:textId="77777777" w:rsidR="00896E40" w:rsidRPr="00113364" w:rsidRDefault="005C5821" w:rsidP="00BA57E2">
            <w:pPr>
              <w:spacing w:before="100" w:beforeAutospacing="1" w:after="100" w:afterAutospacing="1"/>
              <w:rPr>
                <w:rFonts w:ascii="Arial" w:hAnsi="Arial" w:cs="Arial"/>
              </w:rPr>
            </w:pPr>
            <w:r w:rsidRPr="00113364">
              <w:rPr>
                <w:rFonts w:ascii="Arial" w:hAnsi="Arial" w:cs="Arial"/>
              </w:rPr>
              <w:t xml:space="preserve">Supporting Academics: Prepare </w:t>
            </w:r>
            <w:r w:rsidR="00896E40" w:rsidRPr="00113364">
              <w:rPr>
                <w:rFonts w:ascii="Arial" w:hAnsi="Arial" w:cs="Arial"/>
              </w:rPr>
              <w:t xml:space="preserve">families </w:t>
            </w:r>
            <w:r w:rsidRPr="00113364">
              <w:rPr>
                <w:rFonts w:ascii="Arial" w:hAnsi="Arial" w:cs="Arial"/>
              </w:rPr>
              <w:t>to support their</w:t>
            </w:r>
            <w:r w:rsidR="00896E40" w:rsidRPr="00113364">
              <w:rPr>
                <w:rFonts w:ascii="Arial" w:hAnsi="Arial" w:cs="Arial"/>
              </w:rPr>
              <w:t xml:space="preserve"> children’s learning.</w:t>
            </w:r>
          </w:p>
        </w:tc>
        <w:tc>
          <w:tcPr>
            <w:tcW w:w="3240" w:type="dxa"/>
            <w:hideMark/>
          </w:tcPr>
          <w:p w14:paraId="42DD7231" w14:textId="77777777" w:rsidR="00896E40" w:rsidRPr="00113364" w:rsidRDefault="00896E40" w:rsidP="00142F53">
            <w:pPr>
              <w:pStyle w:val="ListParagraph"/>
              <w:numPr>
                <w:ilvl w:val="0"/>
                <w:numId w:val="9"/>
              </w:numPr>
              <w:spacing w:before="100" w:beforeAutospacing="1" w:after="100" w:afterAutospacing="1"/>
              <w:ind w:left="345" w:hanging="270"/>
              <w:rPr>
                <w:rFonts w:ascii="Arial" w:hAnsi="Arial" w:cs="Arial"/>
              </w:rPr>
            </w:pPr>
            <w:r w:rsidRPr="00113364">
              <w:rPr>
                <w:rFonts w:ascii="Arial" w:hAnsi="Arial" w:cs="Arial"/>
              </w:rPr>
              <w:t>Support local MEPs in rese</w:t>
            </w:r>
            <w:r w:rsidR="000F624F" w:rsidRPr="00113364">
              <w:rPr>
                <w:rFonts w:ascii="Arial" w:hAnsi="Arial" w:cs="Arial"/>
              </w:rPr>
              <w:t>arching, developing</w:t>
            </w:r>
            <w:r w:rsidR="00773107" w:rsidRPr="00113364">
              <w:rPr>
                <w:rFonts w:ascii="Arial" w:hAnsi="Arial" w:cs="Arial"/>
              </w:rPr>
              <w:t>,</w:t>
            </w:r>
            <w:r w:rsidRPr="00113364">
              <w:rPr>
                <w:rFonts w:ascii="Arial" w:hAnsi="Arial" w:cs="Arial"/>
              </w:rPr>
              <w:t xml:space="preserve"> and implementing home learning activities that support migrant student academic success.</w:t>
            </w:r>
          </w:p>
        </w:tc>
        <w:tc>
          <w:tcPr>
            <w:tcW w:w="4065" w:type="dxa"/>
            <w:hideMark/>
          </w:tcPr>
          <w:p w14:paraId="44728FE0" w14:textId="6E6583E6" w:rsidR="00896E40" w:rsidRPr="00113364" w:rsidRDefault="00896E40" w:rsidP="00142F53">
            <w:pPr>
              <w:numPr>
                <w:ilvl w:val="0"/>
                <w:numId w:val="8"/>
              </w:numPr>
              <w:tabs>
                <w:tab w:val="clear" w:pos="720"/>
                <w:tab w:val="num" w:pos="435"/>
              </w:tabs>
              <w:spacing w:before="100" w:beforeAutospacing="1"/>
              <w:ind w:left="432" w:hanging="274"/>
              <w:rPr>
                <w:rFonts w:ascii="Arial" w:hAnsi="Arial" w:cs="Arial"/>
              </w:rPr>
            </w:pPr>
            <w:r w:rsidRPr="00113364">
              <w:rPr>
                <w:rFonts w:ascii="Arial" w:hAnsi="Arial" w:cs="Arial"/>
              </w:rPr>
              <w:t xml:space="preserve">Offer family literacy opportunities, focused on </w:t>
            </w:r>
            <w:r w:rsidR="00E7492F" w:rsidRPr="00113364">
              <w:rPr>
                <w:rFonts w:ascii="Arial" w:hAnsi="Arial" w:cs="Arial"/>
              </w:rPr>
              <w:t>mathematics</w:t>
            </w:r>
            <w:r w:rsidRPr="00113364">
              <w:rPr>
                <w:rFonts w:ascii="Arial" w:hAnsi="Arial" w:cs="Arial"/>
              </w:rPr>
              <w:t xml:space="preserve"> and reading.</w:t>
            </w:r>
          </w:p>
          <w:p w14:paraId="7A06688D" w14:textId="60DC587C" w:rsidR="00896E40" w:rsidRPr="00113364" w:rsidRDefault="00896E40" w:rsidP="00142F53">
            <w:pPr>
              <w:numPr>
                <w:ilvl w:val="0"/>
                <w:numId w:val="8"/>
              </w:numPr>
              <w:tabs>
                <w:tab w:val="clear" w:pos="720"/>
                <w:tab w:val="num" w:pos="435"/>
              </w:tabs>
              <w:spacing w:before="100" w:beforeAutospacing="1"/>
              <w:ind w:left="432" w:hanging="274"/>
              <w:rPr>
                <w:rFonts w:ascii="Arial" w:hAnsi="Arial" w:cs="Arial"/>
              </w:rPr>
            </w:pPr>
            <w:r w:rsidRPr="00113364">
              <w:rPr>
                <w:rFonts w:ascii="Arial" w:hAnsi="Arial" w:cs="Arial"/>
              </w:rPr>
              <w:t xml:space="preserve">Instruct families on the use of hands-on activities for content area learning, </w:t>
            </w:r>
            <w:r w:rsidR="00773107" w:rsidRPr="00113364">
              <w:rPr>
                <w:rFonts w:ascii="Arial" w:hAnsi="Arial" w:cs="Arial"/>
              </w:rPr>
              <w:t>(</w:t>
            </w:r>
            <w:r w:rsidRPr="00113364">
              <w:rPr>
                <w:rFonts w:ascii="Arial" w:hAnsi="Arial" w:cs="Arial"/>
              </w:rPr>
              <w:t xml:space="preserve">e.g., </w:t>
            </w:r>
            <w:r w:rsidR="00E7492F" w:rsidRPr="00113364">
              <w:rPr>
                <w:rFonts w:ascii="Arial" w:hAnsi="Arial" w:cs="Arial"/>
              </w:rPr>
              <w:t>mathematics</w:t>
            </w:r>
            <w:r w:rsidRPr="00113364">
              <w:rPr>
                <w:rFonts w:ascii="Arial" w:hAnsi="Arial" w:cs="Arial"/>
              </w:rPr>
              <w:t xml:space="preserve"> manipulatives</w:t>
            </w:r>
            <w:r w:rsidR="00773107" w:rsidRPr="00113364">
              <w:rPr>
                <w:rFonts w:ascii="Arial" w:hAnsi="Arial" w:cs="Arial"/>
              </w:rPr>
              <w:t>)</w:t>
            </w:r>
            <w:r w:rsidRPr="00113364">
              <w:rPr>
                <w:rFonts w:ascii="Arial" w:hAnsi="Arial" w:cs="Arial"/>
              </w:rPr>
              <w:t>.</w:t>
            </w:r>
          </w:p>
          <w:p w14:paraId="62E5E3CE" w14:textId="18A9686F" w:rsidR="00896E40" w:rsidRPr="00113364" w:rsidRDefault="00DE4BB8" w:rsidP="00142F53">
            <w:pPr>
              <w:numPr>
                <w:ilvl w:val="0"/>
                <w:numId w:val="8"/>
              </w:numPr>
              <w:tabs>
                <w:tab w:val="clear" w:pos="720"/>
                <w:tab w:val="num" w:pos="435"/>
              </w:tabs>
              <w:spacing w:before="100" w:beforeAutospacing="1"/>
              <w:ind w:left="432" w:hanging="274"/>
              <w:rPr>
                <w:rFonts w:ascii="Arial" w:hAnsi="Arial" w:cs="Arial"/>
              </w:rPr>
            </w:pPr>
            <w:r w:rsidRPr="00113364">
              <w:rPr>
                <w:rFonts w:ascii="Arial" w:hAnsi="Arial" w:cs="Arial"/>
              </w:rPr>
              <w:t>Train</w:t>
            </w:r>
            <w:r w:rsidR="00BA57E2" w:rsidRPr="00113364">
              <w:rPr>
                <w:rFonts w:ascii="Arial" w:hAnsi="Arial" w:cs="Arial"/>
              </w:rPr>
              <w:t xml:space="preserve"> families to </w:t>
            </w:r>
            <w:r w:rsidR="00541796" w:rsidRPr="00113364">
              <w:rPr>
                <w:rFonts w:ascii="Arial" w:hAnsi="Arial" w:cs="Arial"/>
              </w:rPr>
              <w:t>build</w:t>
            </w:r>
            <w:r w:rsidR="00896E40" w:rsidRPr="00113364">
              <w:rPr>
                <w:rFonts w:ascii="Arial" w:hAnsi="Arial" w:cs="Arial"/>
              </w:rPr>
              <w:t xml:space="preserve"> school readiness skills.</w:t>
            </w:r>
          </w:p>
        </w:tc>
      </w:tr>
    </w:tbl>
    <w:p w14:paraId="3BFB7CD0" w14:textId="77777777" w:rsidR="00183CA9" w:rsidRPr="00113364" w:rsidRDefault="00183CA9">
      <w:pPr>
        <w:rPr>
          <w:rFonts w:ascii="Arial" w:eastAsia="Times New Roman" w:hAnsi="Arial"/>
          <w:i/>
          <w:sz w:val="32"/>
        </w:rPr>
      </w:pPr>
      <w:r w:rsidRPr="00113364">
        <w:br w:type="page"/>
      </w:r>
    </w:p>
    <w:p w14:paraId="346046A8" w14:textId="6C6363E0" w:rsidR="004F6691" w:rsidRPr="00113364" w:rsidRDefault="00293E5D" w:rsidP="00C6453E">
      <w:pPr>
        <w:pStyle w:val="Heading2"/>
      </w:pPr>
      <w:bookmarkStart w:id="133" w:name="_Toc203568871"/>
      <w:r w:rsidRPr="00113364">
        <w:lastRenderedPageBreak/>
        <w:t xml:space="preserve">Section VII: </w:t>
      </w:r>
      <w:r w:rsidR="004F6691" w:rsidRPr="00113364">
        <w:t>Exchange of Student Records</w:t>
      </w:r>
      <w:bookmarkEnd w:id="133"/>
    </w:p>
    <w:p w14:paraId="6C837385" w14:textId="77777777" w:rsidR="00D84B70" w:rsidRPr="00113364" w:rsidRDefault="00AA5066" w:rsidP="00EF2E4B">
      <w:pPr>
        <w:rPr>
          <w:rFonts w:ascii="Arial" w:hAnsi="Arial" w:cs="Arial"/>
        </w:rPr>
      </w:pPr>
      <w:r w:rsidRPr="00113364">
        <w:rPr>
          <w:rFonts w:ascii="Arial" w:hAnsi="Arial" w:cs="Arial"/>
        </w:rPr>
        <w:t>Educational continuity is one of the most pressing academic challenges facing our migratory students</w:t>
      </w:r>
      <w:r w:rsidR="00862F8C" w:rsidRPr="00113364">
        <w:rPr>
          <w:rFonts w:ascii="Arial" w:hAnsi="Arial" w:cs="Arial"/>
        </w:rPr>
        <w:t xml:space="preserve"> with PFS students being the most mobile subgroup of the migratory population. </w:t>
      </w:r>
      <w:r w:rsidR="00A37789" w:rsidRPr="00113364">
        <w:rPr>
          <w:rFonts w:ascii="Arial" w:hAnsi="Arial" w:cs="Arial"/>
        </w:rPr>
        <w:t xml:space="preserve">In accordance with Section 1304(D)(3), California has developed a data collection system to assist with reliable data collection and reporting as well as compliance with state and federal mandates on interstate and intrastate coordination of services for migratory children, including educational continuity. </w:t>
      </w:r>
    </w:p>
    <w:p w14:paraId="09F3A304" w14:textId="6E710A5E" w:rsidR="00D84B70" w:rsidRPr="00113364" w:rsidRDefault="00C11A9B" w:rsidP="005A4784">
      <w:pPr>
        <w:spacing w:before="240" w:after="240"/>
        <w:rPr>
          <w:rFonts w:ascii="Arial" w:hAnsi="Arial" w:cs="Arial"/>
        </w:rPr>
      </w:pPr>
      <w:r w:rsidRPr="00113364">
        <w:rPr>
          <w:rFonts w:ascii="Arial" w:hAnsi="Arial" w:cs="Arial"/>
        </w:rPr>
        <w:t xml:space="preserve">California’s </w:t>
      </w:r>
      <w:r w:rsidR="00776BE1" w:rsidRPr="00113364">
        <w:rPr>
          <w:rFonts w:ascii="Arial" w:hAnsi="Arial" w:cs="Arial"/>
        </w:rPr>
        <w:t>Title I, Part C funded subgrantees utilize the MSIX and the MSIN to promote interstate and</w:t>
      </w:r>
      <w:r w:rsidR="00776BE1" w:rsidRPr="00113364">
        <w:rPr>
          <w:rFonts w:ascii="Arial" w:hAnsi="Arial" w:cs="Arial"/>
          <w:spacing w:val="-8"/>
        </w:rPr>
        <w:t xml:space="preserve"> </w:t>
      </w:r>
      <w:r w:rsidR="00776BE1" w:rsidRPr="00113364">
        <w:rPr>
          <w:rFonts w:ascii="Arial" w:hAnsi="Arial" w:cs="Arial"/>
        </w:rPr>
        <w:t>intrastate coordination of services for migratory children and the timely transfer of pertinent school records. The MSIX is a federally funded national data collection system that ensures greater continuity of educational services for migratory children by providing a mechanism for all states to exchange education-related information on migratory children who move from one state to another. The MSIN is the California state equivalent to the MSIX and provides a mechanism for exchanging education-related information on migratory children who move within the state and assists the CDE-funded subgrantees in locating migrant students</w:t>
      </w:r>
      <w:r w:rsidR="00737DC5">
        <w:rPr>
          <w:rFonts w:ascii="Arial" w:hAnsi="Arial" w:cs="Arial"/>
        </w:rPr>
        <w:t>.</w:t>
      </w:r>
      <w:r w:rsidR="00776BE1" w:rsidRPr="00113364">
        <w:rPr>
          <w:rFonts w:ascii="Arial" w:hAnsi="Arial" w:cs="Arial"/>
        </w:rPr>
        <w:t xml:space="preserve"> Both the MSIX and the MSIN help to improve the timeliness of school enrollment, the appropriateness of grade and course placement, and the sharing of immunization information </w:t>
      </w:r>
      <w:r w:rsidR="00A37789" w:rsidRPr="00113364">
        <w:rPr>
          <w:rFonts w:ascii="Arial" w:hAnsi="Arial" w:cs="Arial"/>
        </w:rPr>
        <w:t xml:space="preserve">of migratory children. </w:t>
      </w:r>
    </w:p>
    <w:p w14:paraId="62C180EE" w14:textId="479E13C1" w:rsidR="004F6691" w:rsidRPr="00113364" w:rsidRDefault="00A37789" w:rsidP="00EF2E4B">
      <w:pPr>
        <w:rPr>
          <w:rFonts w:ascii="Arial" w:hAnsi="Arial" w:cs="Arial"/>
        </w:rPr>
      </w:pPr>
      <w:r w:rsidRPr="00113364">
        <w:rPr>
          <w:rFonts w:ascii="Arial" w:hAnsi="Arial" w:cs="Arial"/>
        </w:rPr>
        <w:t xml:space="preserve">Opportunities to </w:t>
      </w:r>
      <w:r w:rsidR="00776BE1" w:rsidRPr="00113364">
        <w:rPr>
          <w:rFonts w:ascii="Arial" w:hAnsi="Arial" w:cs="Arial"/>
        </w:rPr>
        <w:t>collaborate with other states servin</w:t>
      </w:r>
      <w:r w:rsidRPr="00113364">
        <w:rPr>
          <w:rFonts w:ascii="Arial" w:hAnsi="Arial" w:cs="Arial"/>
        </w:rPr>
        <w:t>g the same migratory students</w:t>
      </w:r>
      <w:r w:rsidR="00776BE1" w:rsidRPr="00113364">
        <w:rPr>
          <w:rFonts w:ascii="Arial" w:hAnsi="Arial" w:cs="Arial"/>
        </w:rPr>
        <w:t xml:space="preserve"> ensure th</w:t>
      </w:r>
      <w:r w:rsidRPr="00113364">
        <w:rPr>
          <w:rFonts w:ascii="Arial" w:hAnsi="Arial" w:cs="Arial"/>
        </w:rPr>
        <w:t>ese</w:t>
      </w:r>
      <w:r w:rsidR="00776BE1" w:rsidRPr="00113364">
        <w:rPr>
          <w:rFonts w:ascii="Arial" w:hAnsi="Arial" w:cs="Arial"/>
        </w:rPr>
        <w:t xml:space="preserve"> eligible students receive services as they </w:t>
      </w:r>
      <w:r w:rsidR="00D84B70" w:rsidRPr="00113364">
        <w:rPr>
          <w:rFonts w:ascii="Arial" w:hAnsi="Arial" w:cs="Arial"/>
        </w:rPr>
        <w:t>migrate. T</w:t>
      </w:r>
      <w:r w:rsidR="00776BE1" w:rsidRPr="00113364">
        <w:rPr>
          <w:rFonts w:ascii="Arial" w:hAnsi="Arial" w:cs="Arial"/>
        </w:rPr>
        <w:t>he CDE and subgrantees participate in interstate organizational meetings and conferences with the National Association of State Directors of Migrant Education</w:t>
      </w:r>
      <w:r w:rsidR="00183CA9" w:rsidRPr="00113364">
        <w:rPr>
          <w:rFonts w:ascii="Arial" w:hAnsi="Arial" w:cs="Arial"/>
        </w:rPr>
        <w:t xml:space="preserve"> and with staff from other states to coordinate timely transfer of student records between states through MSIX</w:t>
      </w:r>
      <w:r w:rsidR="00776BE1" w:rsidRPr="00113364">
        <w:rPr>
          <w:rFonts w:ascii="Arial" w:hAnsi="Arial" w:cs="Arial"/>
        </w:rPr>
        <w:t>.</w:t>
      </w:r>
      <w:r w:rsidR="00D84B70" w:rsidRPr="00113364">
        <w:rPr>
          <w:rFonts w:ascii="Arial" w:hAnsi="Arial" w:cs="Arial"/>
        </w:rPr>
        <w:t xml:space="preserve"> </w:t>
      </w:r>
    </w:p>
    <w:p w14:paraId="347C184F" w14:textId="77777777" w:rsidR="00AB5388" w:rsidRPr="00113364" w:rsidRDefault="00B25C17" w:rsidP="00C6453E">
      <w:pPr>
        <w:pStyle w:val="Heading2"/>
      </w:pPr>
      <w:r w:rsidRPr="00113364">
        <w:br w:type="page"/>
      </w:r>
      <w:bookmarkStart w:id="134" w:name="_Toc203568872"/>
      <w:r w:rsidR="00293E5D" w:rsidRPr="00113364">
        <w:lastRenderedPageBreak/>
        <w:t xml:space="preserve">Section VIII: </w:t>
      </w:r>
      <w:r w:rsidR="00AB5388" w:rsidRPr="00113364">
        <w:t>Migrant Education Program Professional Development Plan</w:t>
      </w:r>
      <w:bookmarkEnd w:id="134"/>
    </w:p>
    <w:p w14:paraId="17BD4D1E" w14:textId="0816C274" w:rsidR="004F6691" w:rsidRPr="00113364" w:rsidRDefault="006A536F" w:rsidP="00AB5388">
      <w:pPr>
        <w:rPr>
          <w:rFonts w:ascii="Arial" w:hAnsi="Arial" w:cs="Arial"/>
        </w:rPr>
      </w:pPr>
      <w:r w:rsidRPr="00113364">
        <w:rPr>
          <w:rFonts w:ascii="Arial" w:hAnsi="Arial" w:cs="Arial"/>
        </w:rPr>
        <w:t xml:space="preserve">Professional </w:t>
      </w:r>
      <w:r w:rsidR="00AC7FA8" w:rsidRPr="00113364">
        <w:rPr>
          <w:rFonts w:ascii="Arial" w:hAnsi="Arial" w:cs="Arial"/>
        </w:rPr>
        <w:t>learning</w:t>
      </w:r>
      <w:r w:rsidRPr="00113364">
        <w:rPr>
          <w:rFonts w:ascii="Arial" w:hAnsi="Arial" w:cs="Arial"/>
        </w:rPr>
        <w:t xml:space="preserve"> opportunities are provided to </w:t>
      </w:r>
      <w:r w:rsidR="00D734E4" w:rsidRPr="00113364">
        <w:rPr>
          <w:rFonts w:ascii="Arial" w:hAnsi="Arial" w:cs="Arial"/>
        </w:rPr>
        <w:t>subgrantees at the state and local level</w:t>
      </w:r>
      <w:r w:rsidR="000B7CB2" w:rsidRPr="00113364">
        <w:rPr>
          <w:rFonts w:ascii="Arial" w:hAnsi="Arial" w:cs="Arial"/>
        </w:rPr>
        <w:t>s</w:t>
      </w:r>
      <w:r w:rsidR="00D734E4" w:rsidRPr="00113364">
        <w:rPr>
          <w:rFonts w:ascii="Arial" w:hAnsi="Arial" w:cs="Arial"/>
        </w:rPr>
        <w:t>.</w:t>
      </w:r>
      <w:r w:rsidR="004F6691" w:rsidRPr="00113364">
        <w:rPr>
          <w:rFonts w:ascii="Arial" w:hAnsi="Arial" w:cs="Arial"/>
        </w:rPr>
        <w:t xml:space="preserve"> </w:t>
      </w:r>
      <w:r w:rsidR="00DE19AD" w:rsidRPr="00113364">
        <w:rPr>
          <w:rFonts w:ascii="Arial" w:hAnsi="Arial" w:cs="Arial"/>
        </w:rPr>
        <w:t>Content for</w:t>
      </w:r>
      <w:r w:rsidR="002022C5" w:rsidRPr="00113364">
        <w:rPr>
          <w:rFonts w:ascii="Arial" w:hAnsi="Arial" w:cs="Arial"/>
        </w:rPr>
        <w:t xml:space="preserve"> </w:t>
      </w:r>
      <w:r w:rsidR="001574F6" w:rsidRPr="00113364">
        <w:rPr>
          <w:rFonts w:ascii="Arial" w:hAnsi="Arial" w:cs="Arial"/>
        </w:rPr>
        <w:t>statewide</w:t>
      </w:r>
      <w:r w:rsidR="00AC7FA8" w:rsidRPr="00113364">
        <w:rPr>
          <w:rFonts w:ascii="Arial" w:hAnsi="Arial" w:cs="Arial"/>
        </w:rPr>
        <w:t xml:space="preserve"> staff development</w:t>
      </w:r>
      <w:r w:rsidR="00DE19AD" w:rsidRPr="00113364">
        <w:rPr>
          <w:rFonts w:ascii="Arial" w:hAnsi="Arial" w:cs="Arial"/>
        </w:rPr>
        <w:t xml:space="preserve"> is driven</w:t>
      </w:r>
      <w:r w:rsidR="002022C5" w:rsidRPr="00113364">
        <w:rPr>
          <w:rFonts w:ascii="Arial" w:hAnsi="Arial" w:cs="Arial"/>
        </w:rPr>
        <w:t xml:space="preserve"> by state and </w:t>
      </w:r>
      <w:r w:rsidR="009D47B8" w:rsidRPr="00113364">
        <w:rPr>
          <w:rFonts w:ascii="Arial" w:hAnsi="Arial" w:cs="Arial"/>
        </w:rPr>
        <w:t xml:space="preserve">federal </w:t>
      </w:r>
      <w:r w:rsidR="00FC3AE8" w:rsidRPr="00113364">
        <w:rPr>
          <w:rFonts w:ascii="Arial" w:hAnsi="Arial" w:cs="Arial"/>
        </w:rPr>
        <w:t xml:space="preserve">laws and </w:t>
      </w:r>
      <w:r w:rsidR="009D47B8" w:rsidRPr="00113364">
        <w:rPr>
          <w:rFonts w:ascii="Arial" w:hAnsi="Arial" w:cs="Arial"/>
        </w:rPr>
        <w:t>regulation</w:t>
      </w:r>
      <w:r w:rsidR="00FC3AE8" w:rsidRPr="00113364">
        <w:rPr>
          <w:rFonts w:ascii="Arial" w:hAnsi="Arial" w:cs="Arial"/>
        </w:rPr>
        <w:t>s</w:t>
      </w:r>
      <w:r w:rsidR="009D47B8" w:rsidRPr="00113364">
        <w:rPr>
          <w:rFonts w:ascii="Arial" w:hAnsi="Arial" w:cs="Arial"/>
        </w:rPr>
        <w:t xml:space="preserve">, </w:t>
      </w:r>
      <w:r w:rsidR="00AC7FA8" w:rsidRPr="00113364">
        <w:rPr>
          <w:rFonts w:ascii="Arial" w:hAnsi="Arial" w:cs="Arial"/>
        </w:rPr>
        <w:t xml:space="preserve">data from the SDP Annual Performance Progress Reports, </w:t>
      </w:r>
      <w:r w:rsidR="00FC3AE8" w:rsidRPr="00113364">
        <w:rPr>
          <w:rFonts w:ascii="Arial" w:hAnsi="Arial" w:cs="Arial"/>
        </w:rPr>
        <w:t>student</w:t>
      </w:r>
      <w:r w:rsidR="009D47B8" w:rsidRPr="00113364">
        <w:rPr>
          <w:rFonts w:ascii="Arial" w:hAnsi="Arial" w:cs="Arial"/>
        </w:rPr>
        <w:t xml:space="preserve"> needs identified by MEP Directors and staff</w:t>
      </w:r>
      <w:r w:rsidR="000B7CB2" w:rsidRPr="00113364">
        <w:rPr>
          <w:rFonts w:ascii="Arial" w:hAnsi="Arial" w:cs="Arial"/>
        </w:rPr>
        <w:t>, SPAC parents</w:t>
      </w:r>
      <w:r w:rsidR="00DC2E53">
        <w:rPr>
          <w:rFonts w:ascii="Arial" w:hAnsi="Arial" w:cs="Arial"/>
        </w:rPr>
        <w:t>,</w:t>
      </w:r>
      <w:r w:rsidR="009D47B8" w:rsidRPr="00113364">
        <w:rPr>
          <w:rFonts w:ascii="Arial" w:hAnsi="Arial" w:cs="Arial"/>
        </w:rPr>
        <w:t xml:space="preserve"> a</w:t>
      </w:r>
      <w:r w:rsidR="00AC7FA8" w:rsidRPr="00113364">
        <w:rPr>
          <w:rFonts w:ascii="Arial" w:hAnsi="Arial" w:cs="Arial"/>
        </w:rPr>
        <w:t>nd are aligned to</w:t>
      </w:r>
      <w:r w:rsidR="002022C5" w:rsidRPr="00113364">
        <w:rPr>
          <w:rFonts w:ascii="Arial" w:hAnsi="Arial" w:cs="Arial"/>
        </w:rPr>
        <w:t xml:space="preserve"> California’s Common Core State Standards.</w:t>
      </w:r>
      <w:r w:rsidR="009D47B8" w:rsidRPr="00113364">
        <w:rPr>
          <w:rFonts w:ascii="Arial" w:hAnsi="Arial" w:cs="Arial"/>
        </w:rPr>
        <w:t xml:space="preserve"> </w:t>
      </w:r>
      <w:r w:rsidR="006E3278" w:rsidRPr="00113364">
        <w:rPr>
          <w:rFonts w:ascii="Arial" w:hAnsi="Arial" w:cs="Arial"/>
        </w:rPr>
        <w:t xml:space="preserve">As mentioned </w:t>
      </w:r>
      <w:r w:rsidR="00183CA9" w:rsidRPr="00113364">
        <w:rPr>
          <w:rFonts w:ascii="Arial" w:hAnsi="Arial" w:cs="Arial"/>
        </w:rPr>
        <w:t>in Section V</w:t>
      </w:r>
      <w:r w:rsidR="006E3278" w:rsidRPr="00113364">
        <w:rPr>
          <w:rFonts w:ascii="Arial" w:hAnsi="Arial" w:cs="Arial"/>
        </w:rPr>
        <w:t xml:space="preserve">, the CDE provides extensive training </w:t>
      </w:r>
      <w:r w:rsidR="00AC7FA8" w:rsidRPr="00113364">
        <w:rPr>
          <w:rFonts w:ascii="Arial" w:hAnsi="Arial" w:cs="Arial"/>
        </w:rPr>
        <w:t>in</w:t>
      </w:r>
      <w:r w:rsidR="006E3278" w:rsidRPr="00113364">
        <w:rPr>
          <w:rFonts w:ascii="Arial" w:hAnsi="Arial" w:cs="Arial"/>
        </w:rPr>
        <w:t xml:space="preserve"> identification and </w:t>
      </w:r>
      <w:r w:rsidR="001C1253" w:rsidRPr="00113364">
        <w:rPr>
          <w:rFonts w:ascii="Arial" w:hAnsi="Arial" w:cs="Arial"/>
        </w:rPr>
        <w:t xml:space="preserve">recruitment. </w:t>
      </w:r>
      <w:r w:rsidR="009D47B8" w:rsidRPr="00113364">
        <w:rPr>
          <w:rFonts w:ascii="Arial" w:hAnsi="Arial" w:cs="Arial"/>
        </w:rPr>
        <w:t xml:space="preserve">Throughout the year, the CDE </w:t>
      </w:r>
      <w:r w:rsidR="001C1253" w:rsidRPr="00113364">
        <w:rPr>
          <w:rFonts w:ascii="Arial" w:hAnsi="Arial" w:cs="Arial"/>
        </w:rPr>
        <w:t xml:space="preserve">also </w:t>
      </w:r>
      <w:r w:rsidR="009D47B8" w:rsidRPr="00113364">
        <w:rPr>
          <w:rFonts w:ascii="Arial" w:hAnsi="Arial" w:cs="Arial"/>
        </w:rPr>
        <w:t xml:space="preserve">provides </w:t>
      </w:r>
      <w:r w:rsidR="00AC7FA8" w:rsidRPr="00113364">
        <w:rPr>
          <w:rFonts w:ascii="Arial" w:hAnsi="Arial" w:cs="Arial"/>
        </w:rPr>
        <w:t>professional learning opportunities</w:t>
      </w:r>
      <w:r w:rsidR="009D47B8" w:rsidRPr="00113364">
        <w:rPr>
          <w:rFonts w:ascii="Arial" w:hAnsi="Arial" w:cs="Arial"/>
        </w:rPr>
        <w:t xml:space="preserve"> to MEP Directors through quarterly MEP Director</w:t>
      </w:r>
      <w:r w:rsidR="006E3278" w:rsidRPr="00113364">
        <w:rPr>
          <w:rFonts w:ascii="Arial" w:hAnsi="Arial" w:cs="Arial"/>
        </w:rPr>
        <w:t>s’</w:t>
      </w:r>
      <w:r w:rsidR="009D47B8" w:rsidRPr="00113364">
        <w:rPr>
          <w:rFonts w:ascii="Arial" w:hAnsi="Arial" w:cs="Arial"/>
        </w:rPr>
        <w:t xml:space="preserve"> Meetings. </w:t>
      </w:r>
      <w:r w:rsidR="006E3278" w:rsidRPr="00113364">
        <w:rPr>
          <w:rFonts w:ascii="Arial" w:hAnsi="Arial" w:cs="Arial"/>
        </w:rPr>
        <w:t>A variety of topics are discussed during the year ranging from state and federal compliance, program improvement, fiscal</w:t>
      </w:r>
      <w:r w:rsidR="001C1253" w:rsidRPr="00113364">
        <w:rPr>
          <w:rFonts w:ascii="Arial" w:hAnsi="Arial" w:cs="Arial"/>
        </w:rPr>
        <w:t xml:space="preserve"> monitoring to data collection and current events that affect the MEP. </w:t>
      </w:r>
      <w:r w:rsidR="009D47B8" w:rsidRPr="00113364">
        <w:rPr>
          <w:rFonts w:ascii="Arial" w:hAnsi="Arial" w:cs="Arial"/>
        </w:rPr>
        <w:t xml:space="preserve">During these meetings, MEP Directors </w:t>
      </w:r>
      <w:proofErr w:type="gramStart"/>
      <w:r w:rsidR="001C1253" w:rsidRPr="00113364">
        <w:rPr>
          <w:rFonts w:ascii="Arial" w:hAnsi="Arial" w:cs="Arial"/>
        </w:rPr>
        <w:t>have the opportunity to</w:t>
      </w:r>
      <w:proofErr w:type="gramEnd"/>
      <w:r w:rsidR="009D47B8" w:rsidRPr="00113364">
        <w:rPr>
          <w:rFonts w:ascii="Arial" w:hAnsi="Arial" w:cs="Arial"/>
        </w:rPr>
        <w:t xml:space="preserve"> engage in peer-to-peer learning to identify various strategies </w:t>
      </w:r>
      <w:r w:rsidR="001C1253" w:rsidRPr="00113364">
        <w:rPr>
          <w:rFonts w:ascii="Arial" w:hAnsi="Arial" w:cs="Arial"/>
        </w:rPr>
        <w:t>to assist in the improvement of</w:t>
      </w:r>
      <w:r w:rsidR="009D47B8" w:rsidRPr="00113364">
        <w:rPr>
          <w:rFonts w:ascii="Arial" w:hAnsi="Arial" w:cs="Arial"/>
        </w:rPr>
        <w:t xml:space="preserve"> identification and recruitment, program development</w:t>
      </w:r>
      <w:r w:rsidR="00B25C17" w:rsidRPr="00113364">
        <w:rPr>
          <w:rFonts w:ascii="Arial" w:hAnsi="Arial" w:cs="Arial"/>
        </w:rPr>
        <w:t>,</w:t>
      </w:r>
      <w:r w:rsidR="000B7CB2" w:rsidRPr="00113364">
        <w:rPr>
          <w:rFonts w:ascii="Arial" w:hAnsi="Arial" w:cs="Arial"/>
        </w:rPr>
        <w:t xml:space="preserve"> and family outreach and participation. P</w:t>
      </w:r>
      <w:r w:rsidR="00AC7FA8" w:rsidRPr="00113364">
        <w:rPr>
          <w:rFonts w:ascii="Arial" w:hAnsi="Arial" w:cs="Arial"/>
        </w:rPr>
        <w:t>rofessional learning</w:t>
      </w:r>
      <w:r w:rsidR="000B7CB2" w:rsidRPr="00113364">
        <w:rPr>
          <w:rFonts w:ascii="Arial" w:hAnsi="Arial" w:cs="Arial"/>
        </w:rPr>
        <w:t xml:space="preserve"> is also a valuable aspect of the SPAC meetings. Parents </w:t>
      </w:r>
      <w:r w:rsidR="006E3278" w:rsidRPr="00113364">
        <w:rPr>
          <w:rFonts w:ascii="Arial" w:hAnsi="Arial" w:cs="Arial"/>
        </w:rPr>
        <w:t xml:space="preserve">are trained to formally participate on a statewide committee in addition to </w:t>
      </w:r>
      <w:r w:rsidR="000B7CB2" w:rsidRPr="00113364">
        <w:rPr>
          <w:rFonts w:ascii="Arial" w:hAnsi="Arial" w:cs="Arial"/>
        </w:rPr>
        <w:t>learn</w:t>
      </w:r>
      <w:r w:rsidR="006E3278" w:rsidRPr="00113364">
        <w:rPr>
          <w:rFonts w:ascii="Arial" w:hAnsi="Arial" w:cs="Arial"/>
        </w:rPr>
        <w:t>ing</w:t>
      </w:r>
      <w:r w:rsidR="000B7CB2" w:rsidRPr="00113364">
        <w:rPr>
          <w:rFonts w:ascii="Arial" w:hAnsi="Arial" w:cs="Arial"/>
        </w:rPr>
        <w:t xml:space="preserve"> about various school services </w:t>
      </w:r>
      <w:r w:rsidR="006E3278" w:rsidRPr="00113364">
        <w:rPr>
          <w:rFonts w:ascii="Arial" w:hAnsi="Arial" w:cs="Arial"/>
        </w:rPr>
        <w:t>within</w:t>
      </w:r>
      <w:r w:rsidR="001C1253" w:rsidRPr="00113364">
        <w:rPr>
          <w:rFonts w:ascii="Arial" w:hAnsi="Arial" w:cs="Arial"/>
        </w:rPr>
        <w:t>,</w:t>
      </w:r>
      <w:r w:rsidR="006E3278" w:rsidRPr="00113364">
        <w:rPr>
          <w:rFonts w:ascii="Arial" w:hAnsi="Arial" w:cs="Arial"/>
        </w:rPr>
        <w:t xml:space="preserve"> and </w:t>
      </w:r>
      <w:r w:rsidR="000B7CB2" w:rsidRPr="00113364">
        <w:rPr>
          <w:rFonts w:ascii="Arial" w:hAnsi="Arial" w:cs="Arial"/>
        </w:rPr>
        <w:t>outside</w:t>
      </w:r>
      <w:r w:rsidR="001C1253" w:rsidRPr="00113364">
        <w:rPr>
          <w:rFonts w:ascii="Arial" w:hAnsi="Arial" w:cs="Arial"/>
        </w:rPr>
        <w:t>,</w:t>
      </w:r>
      <w:r w:rsidR="000B7CB2" w:rsidRPr="00113364">
        <w:rPr>
          <w:rFonts w:ascii="Arial" w:hAnsi="Arial" w:cs="Arial"/>
        </w:rPr>
        <w:t xml:space="preserve"> of the MEP</w:t>
      </w:r>
      <w:r w:rsidR="006E3278" w:rsidRPr="00113364">
        <w:rPr>
          <w:rFonts w:ascii="Arial" w:hAnsi="Arial" w:cs="Arial"/>
        </w:rPr>
        <w:t xml:space="preserve"> to support their children. Both the MEP Directors’ and SPAC meetings are a way for the CDE to provide </w:t>
      </w:r>
      <w:r w:rsidR="001C1253" w:rsidRPr="00113364">
        <w:rPr>
          <w:rFonts w:ascii="Arial" w:hAnsi="Arial" w:cs="Arial"/>
        </w:rPr>
        <w:t xml:space="preserve">information on a statewide level with the expectation that Directors and SPAC members return to their regions to share the information </w:t>
      </w:r>
      <w:r w:rsidR="005B2C58" w:rsidRPr="00113364">
        <w:rPr>
          <w:rFonts w:ascii="Arial" w:hAnsi="Arial" w:cs="Arial"/>
        </w:rPr>
        <w:t>and train MEP staff and parents.</w:t>
      </w:r>
    </w:p>
    <w:p w14:paraId="54443723" w14:textId="18C0E19A" w:rsidR="005B2C58" w:rsidRPr="00113364" w:rsidRDefault="001C0BFD" w:rsidP="005A4784">
      <w:pPr>
        <w:spacing w:before="240"/>
        <w:rPr>
          <w:rFonts w:ascii="Arial" w:hAnsi="Arial" w:cs="Arial"/>
        </w:rPr>
      </w:pPr>
      <w:r w:rsidRPr="00113364">
        <w:rPr>
          <w:rFonts w:ascii="Arial" w:hAnsi="Arial" w:cs="Arial"/>
        </w:rPr>
        <w:t>Additional t</w:t>
      </w:r>
      <w:r w:rsidR="005B2C58" w:rsidRPr="00113364">
        <w:rPr>
          <w:rFonts w:ascii="Arial" w:hAnsi="Arial" w:cs="Arial"/>
        </w:rPr>
        <w:t xml:space="preserve">raining varies from year to year depending on needs identified </w:t>
      </w:r>
      <w:r w:rsidR="00183CA9" w:rsidRPr="00113364">
        <w:rPr>
          <w:rFonts w:ascii="Arial" w:hAnsi="Arial" w:cs="Arial"/>
        </w:rPr>
        <w:t xml:space="preserve">in the SDP Annual Performance Progress Reports and </w:t>
      </w:r>
      <w:r w:rsidR="005B2C58" w:rsidRPr="00113364">
        <w:rPr>
          <w:rFonts w:ascii="Arial" w:hAnsi="Arial" w:cs="Arial"/>
        </w:rPr>
        <w:t>by MEP Directors. For example, in 20</w:t>
      </w:r>
      <w:r w:rsidR="00183CA9" w:rsidRPr="00113364">
        <w:rPr>
          <w:rFonts w:ascii="Arial" w:hAnsi="Arial" w:cs="Arial"/>
        </w:rPr>
        <w:t>2</w:t>
      </w:r>
      <w:r w:rsidR="00AC7FA8" w:rsidRPr="00113364">
        <w:rPr>
          <w:rFonts w:ascii="Arial" w:hAnsi="Arial" w:cs="Arial"/>
        </w:rPr>
        <w:t>3</w:t>
      </w:r>
      <w:r w:rsidR="005B2C58" w:rsidRPr="00113364">
        <w:rPr>
          <w:rFonts w:ascii="Arial" w:hAnsi="Arial" w:cs="Arial"/>
        </w:rPr>
        <w:t>–</w:t>
      </w:r>
      <w:r w:rsidR="00183CA9" w:rsidRPr="00113364">
        <w:rPr>
          <w:rFonts w:ascii="Arial" w:hAnsi="Arial" w:cs="Arial"/>
        </w:rPr>
        <w:t>2</w:t>
      </w:r>
      <w:r w:rsidR="00AC7FA8" w:rsidRPr="00113364">
        <w:rPr>
          <w:rFonts w:ascii="Arial" w:hAnsi="Arial" w:cs="Arial"/>
        </w:rPr>
        <w:t>4</w:t>
      </w:r>
      <w:r w:rsidR="005B2C58" w:rsidRPr="00113364">
        <w:rPr>
          <w:rFonts w:ascii="Arial" w:hAnsi="Arial" w:cs="Arial"/>
        </w:rPr>
        <w:t xml:space="preserve">, the CDE offered Family Biliteracy training for all the participating MEPs. This training covered the CDE’s expectations in offering this service, provided an overview of the service and its implementation along with starting discussions around a statewide assessment </w:t>
      </w:r>
      <w:r w:rsidR="00541796" w:rsidRPr="00113364">
        <w:rPr>
          <w:rFonts w:ascii="Arial" w:hAnsi="Arial" w:cs="Arial"/>
        </w:rPr>
        <w:t>of</w:t>
      </w:r>
      <w:r w:rsidR="005B2C58" w:rsidRPr="00113364">
        <w:rPr>
          <w:rFonts w:ascii="Arial" w:hAnsi="Arial" w:cs="Arial"/>
        </w:rPr>
        <w:t xml:space="preserve"> school readiness. </w:t>
      </w:r>
      <w:r w:rsidR="00521BB1" w:rsidRPr="00113364">
        <w:rPr>
          <w:rFonts w:ascii="Arial" w:hAnsi="Arial" w:cs="Arial"/>
        </w:rPr>
        <w:t>In addition</w:t>
      </w:r>
      <w:r w:rsidR="00183CA9" w:rsidRPr="00113364">
        <w:rPr>
          <w:rFonts w:ascii="Arial" w:hAnsi="Arial" w:cs="Arial"/>
        </w:rPr>
        <w:t xml:space="preserve">, </w:t>
      </w:r>
      <w:r w:rsidR="00AC7FA8" w:rsidRPr="00113364">
        <w:rPr>
          <w:rFonts w:ascii="Arial" w:hAnsi="Arial" w:cs="Arial"/>
        </w:rPr>
        <w:t xml:space="preserve">data from the SDP Annual Performance Progress Report (2022–23) indicated that several subgrantees still had room for improvement on meeting MPOs with a direct link to the INA. For this reason, the CDE provided additional training on using the INA Report to plan services based on the needs identified in </w:t>
      </w:r>
      <w:proofErr w:type="gramStart"/>
      <w:r w:rsidR="00AC7FA8" w:rsidRPr="00113364">
        <w:rPr>
          <w:rFonts w:ascii="Arial" w:hAnsi="Arial" w:cs="Arial"/>
        </w:rPr>
        <w:t>the INA</w:t>
      </w:r>
      <w:proofErr w:type="gramEnd"/>
      <w:r w:rsidR="00AC7FA8" w:rsidRPr="00113364">
        <w:rPr>
          <w:rFonts w:ascii="Arial" w:hAnsi="Arial" w:cs="Arial"/>
        </w:rPr>
        <w:t xml:space="preserve">. </w:t>
      </w:r>
      <w:r w:rsidR="003130A9" w:rsidRPr="00113364">
        <w:rPr>
          <w:rFonts w:ascii="Arial" w:eastAsia="Times New Roman" w:hAnsi="Arial" w:cs="Arial"/>
          <w:color w:val="2C2C2E"/>
          <w:shd w:val="clear" w:color="auto" w:fill="FFFFFF"/>
        </w:rPr>
        <w:t xml:space="preserve">The CDE also offered </w:t>
      </w:r>
      <w:proofErr w:type="gramStart"/>
      <w:r w:rsidR="003130A9" w:rsidRPr="00113364">
        <w:rPr>
          <w:rFonts w:ascii="Arial" w:eastAsia="Times New Roman" w:hAnsi="Arial" w:cs="Arial"/>
          <w:color w:val="2C2C2E"/>
          <w:shd w:val="clear" w:color="auto" w:fill="FFFFFF"/>
        </w:rPr>
        <w:t>a number of</w:t>
      </w:r>
      <w:proofErr w:type="gramEnd"/>
      <w:r w:rsidR="003130A9" w:rsidRPr="00113364">
        <w:rPr>
          <w:rFonts w:ascii="Arial" w:eastAsia="Times New Roman" w:hAnsi="Arial" w:cs="Arial"/>
          <w:color w:val="2C2C2E"/>
          <w:shd w:val="clear" w:color="auto" w:fill="FFFFFF"/>
        </w:rPr>
        <w:t xml:space="preserve"> local mental health and suicide prevention trainings to support subgrantees in addressing mental health issues of migratory children. </w:t>
      </w:r>
      <w:r w:rsidR="00E66CBC" w:rsidRPr="00113364">
        <w:rPr>
          <w:rFonts w:ascii="Arial" w:eastAsia="Times New Roman" w:hAnsi="Arial" w:cs="Arial"/>
          <w:color w:val="2C2C2E"/>
          <w:shd w:val="clear" w:color="auto" w:fill="FFFFFF"/>
        </w:rPr>
        <w:t>Other opportunities to build MEP staff capacity to address the unique needs of migratory children include participation in G</w:t>
      </w:r>
      <w:r w:rsidR="003130A9" w:rsidRPr="00113364">
        <w:rPr>
          <w:rFonts w:ascii="Arial" w:eastAsia="Times New Roman" w:hAnsi="Arial" w:cs="Arial"/>
          <w:color w:val="2C2C2E"/>
          <w:shd w:val="clear" w:color="auto" w:fill="FFFFFF"/>
        </w:rPr>
        <w:t>raduation and Outcomes for Success for OSY events and meetings.</w:t>
      </w:r>
      <w:r w:rsidR="00E66CBC" w:rsidRPr="00113364">
        <w:rPr>
          <w:rFonts w:ascii="Arial" w:eastAsia="Times New Roman" w:hAnsi="Arial" w:cs="Arial"/>
          <w:color w:val="2C2C2E"/>
          <w:shd w:val="clear" w:color="auto" w:fill="FFFFFF"/>
        </w:rPr>
        <w:t xml:space="preserve"> </w:t>
      </w:r>
      <w:r w:rsidR="00AC7FA8" w:rsidRPr="00113364">
        <w:rPr>
          <w:rFonts w:ascii="Arial" w:eastAsia="Times New Roman" w:hAnsi="Arial" w:cs="Arial"/>
          <w:color w:val="2C2C2E"/>
          <w:shd w:val="clear" w:color="auto" w:fill="FFFFFF"/>
        </w:rPr>
        <w:t>During the past SDP, the</w:t>
      </w:r>
      <w:r w:rsidR="003D5F75" w:rsidRPr="00113364">
        <w:rPr>
          <w:rFonts w:ascii="Arial" w:eastAsia="Times New Roman" w:hAnsi="Arial" w:cs="Arial"/>
          <w:color w:val="2C2C2E"/>
          <w:shd w:val="clear" w:color="auto" w:fill="FFFFFF"/>
        </w:rPr>
        <w:t xml:space="preserve"> CDE </w:t>
      </w:r>
      <w:r w:rsidR="00AC7FA8" w:rsidRPr="00113364">
        <w:rPr>
          <w:rFonts w:ascii="Arial" w:eastAsia="Times New Roman" w:hAnsi="Arial" w:cs="Arial"/>
          <w:color w:val="2C2C2E"/>
          <w:shd w:val="clear" w:color="auto" w:fill="FFFFFF"/>
        </w:rPr>
        <w:t>brought</w:t>
      </w:r>
      <w:r w:rsidR="003D5F75" w:rsidRPr="00113364">
        <w:rPr>
          <w:rFonts w:ascii="Arial" w:eastAsia="Times New Roman" w:hAnsi="Arial" w:cs="Arial"/>
          <w:color w:val="2C2C2E"/>
          <w:shd w:val="clear" w:color="auto" w:fill="FFFFFF"/>
        </w:rPr>
        <w:t xml:space="preserve"> statewide health education</w:t>
      </w:r>
      <w:r w:rsidR="00AC7FA8" w:rsidRPr="00113364">
        <w:rPr>
          <w:rFonts w:ascii="Arial" w:eastAsia="Times New Roman" w:hAnsi="Arial" w:cs="Arial"/>
          <w:color w:val="2C2C2E"/>
          <w:shd w:val="clear" w:color="auto" w:fill="FFFFFF"/>
        </w:rPr>
        <w:t xml:space="preserve"> and culturally sustaining pedagogy</w:t>
      </w:r>
      <w:r w:rsidR="003D5F75" w:rsidRPr="00113364">
        <w:rPr>
          <w:rFonts w:ascii="Arial" w:eastAsia="Times New Roman" w:hAnsi="Arial" w:cs="Arial"/>
          <w:color w:val="2C2C2E"/>
          <w:shd w:val="clear" w:color="auto" w:fill="FFFFFF"/>
        </w:rPr>
        <w:t xml:space="preserve"> </w:t>
      </w:r>
      <w:r w:rsidR="00541796" w:rsidRPr="00113364">
        <w:rPr>
          <w:rFonts w:ascii="Arial" w:eastAsia="Times New Roman" w:hAnsi="Arial" w:cs="Arial"/>
          <w:color w:val="2C2C2E"/>
          <w:shd w:val="clear" w:color="auto" w:fill="FFFFFF"/>
        </w:rPr>
        <w:t>training</w:t>
      </w:r>
      <w:r w:rsidR="003D5F75" w:rsidRPr="00113364">
        <w:rPr>
          <w:rFonts w:ascii="Arial" w:eastAsia="Times New Roman" w:hAnsi="Arial" w:cs="Arial"/>
          <w:color w:val="2C2C2E"/>
          <w:shd w:val="clear" w:color="auto" w:fill="FFFFFF"/>
        </w:rPr>
        <w:t xml:space="preserve"> to all the local MEPs. These opportunities are an integral aspect of the continuous improvement cycle as they build capacity of the MEP Directors, staff</w:t>
      </w:r>
      <w:r w:rsidR="00B25C17" w:rsidRPr="00113364">
        <w:rPr>
          <w:rFonts w:ascii="Arial" w:eastAsia="Times New Roman" w:hAnsi="Arial" w:cs="Arial"/>
          <w:color w:val="2C2C2E"/>
          <w:shd w:val="clear" w:color="auto" w:fill="FFFFFF"/>
        </w:rPr>
        <w:t>,</w:t>
      </w:r>
      <w:r w:rsidR="003D5F75" w:rsidRPr="00113364">
        <w:rPr>
          <w:rFonts w:ascii="Arial" w:eastAsia="Times New Roman" w:hAnsi="Arial" w:cs="Arial"/>
          <w:color w:val="2C2C2E"/>
          <w:shd w:val="clear" w:color="auto" w:fill="FFFFFF"/>
        </w:rPr>
        <w:t xml:space="preserve"> and parents to administer the program.</w:t>
      </w:r>
      <w:r w:rsidR="00D80FE4" w:rsidRPr="00113364">
        <w:rPr>
          <w:rFonts w:ascii="Arial" w:eastAsia="Times New Roman" w:hAnsi="Arial" w:cs="Arial"/>
          <w:color w:val="2C2C2E"/>
          <w:shd w:val="clear" w:color="auto" w:fill="FFFFFF"/>
        </w:rPr>
        <w:t xml:space="preserve"> The next section outlines the CDE’s next steps in </w:t>
      </w:r>
      <w:r w:rsidR="00AC7FA8" w:rsidRPr="00113364">
        <w:rPr>
          <w:rFonts w:ascii="Arial" w:eastAsia="Times New Roman" w:hAnsi="Arial" w:cs="Arial"/>
          <w:color w:val="2C2C2E"/>
          <w:shd w:val="clear" w:color="auto" w:fill="FFFFFF"/>
        </w:rPr>
        <w:t>rolling out</w:t>
      </w:r>
      <w:r w:rsidR="00D80FE4" w:rsidRPr="00113364">
        <w:rPr>
          <w:rFonts w:ascii="Arial" w:eastAsia="Times New Roman" w:hAnsi="Arial" w:cs="Arial"/>
          <w:color w:val="2C2C2E"/>
          <w:shd w:val="clear" w:color="auto" w:fill="FFFFFF"/>
        </w:rPr>
        <w:t xml:space="preserve"> the </w:t>
      </w:r>
      <w:r w:rsidR="00452477" w:rsidRPr="00113364">
        <w:rPr>
          <w:rFonts w:ascii="Arial" w:eastAsia="Times New Roman" w:hAnsi="Arial" w:cs="Arial"/>
          <w:color w:val="2C2C2E"/>
          <w:shd w:val="clear" w:color="auto" w:fill="FFFFFF"/>
        </w:rPr>
        <w:t>SDP</w:t>
      </w:r>
      <w:r w:rsidR="00D80FE4" w:rsidRPr="00113364">
        <w:rPr>
          <w:rFonts w:ascii="Arial" w:eastAsia="Times New Roman" w:hAnsi="Arial" w:cs="Arial"/>
          <w:color w:val="2C2C2E"/>
          <w:shd w:val="clear" w:color="auto" w:fill="FFFFFF"/>
        </w:rPr>
        <w:t>.</w:t>
      </w:r>
    </w:p>
    <w:p w14:paraId="6F2602BA" w14:textId="77777777" w:rsidR="00183CA9" w:rsidRPr="00113364" w:rsidRDefault="00183CA9">
      <w:pPr>
        <w:rPr>
          <w:rFonts w:ascii="Arial" w:eastAsia="Times New Roman" w:hAnsi="Arial"/>
          <w:i/>
          <w:sz w:val="32"/>
        </w:rPr>
      </w:pPr>
      <w:r w:rsidRPr="00113364">
        <w:br w:type="page"/>
      </w:r>
    </w:p>
    <w:p w14:paraId="58041F3E" w14:textId="0B58F7C5" w:rsidR="004F6691" w:rsidRPr="00113364" w:rsidRDefault="00293E5D" w:rsidP="00C6453E">
      <w:pPr>
        <w:pStyle w:val="Heading2"/>
      </w:pPr>
      <w:bookmarkStart w:id="135" w:name="_Toc203568873"/>
      <w:r w:rsidRPr="00113364">
        <w:lastRenderedPageBreak/>
        <w:t xml:space="preserve">Section IX: </w:t>
      </w:r>
      <w:r w:rsidR="004F6691" w:rsidRPr="00113364">
        <w:t>Looking Forward: Next Steps</w:t>
      </w:r>
      <w:bookmarkEnd w:id="135"/>
    </w:p>
    <w:p w14:paraId="312F6C16" w14:textId="7DE46143" w:rsidR="006F5649" w:rsidRPr="00113364" w:rsidRDefault="00365E54" w:rsidP="00767B67">
      <w:pPr>
        <w:pStyle w:val="Default"/>
        <w:spacing w:after="240"/>
        <w:rPr>
          <w:rFonts w:ascii="Arial" w:hAnsi="Arial" w:cs="Arial"/>
        </w:rPr>
      </w:pPr>
      <w:r w:rsidRPr="00113364">
        <w:rPr>
          <w:rFonts w:ascii="Arial" w:hAnsi="Arial" w:cs="Arial"/>
        </w:rPr>
        <w:t xml:space="preserve">To support local MEPs in </w:t>
      </w:r>
      <w:r w:rsidR="0021030A" w:rsidRPr="00113364">
        <w:rPr>
          <w:rFonts w:ascii="Arial" w:hAnsi="Arial" w:cs="Arial"/>
        </w:rPr>
        <w:t xml:space="preserve">aligning </w:t>
      </w:r>
      <w:r w:rsidRPr="00113364">
        <w:rPr>
          <w:rFonts w:ascii="Arial" w:hAnsi="Arial" w:cs="Arial"/>
        </w:rPr>
        <w:t>program services to b</w:t>
      </w:r>
      <w:r w:rsidR="00B25C17" w:rsidRPr="00113364">
        <w:rPr>
          <w:rFonts w:ascii="Arial" w:hAnsi="Arial" w:cs="Arial"/>
        </w:rPr>
        <w:t>etter address migratory student</w:t>
      </w:r>
      <w:r w:rsidRPr="00113364">
        <w:rPr>
          <w:rFonts w:ascii="Arial" w:hAnsi="Arial" w:cs="Arial"/>
        </w:rPr>
        <w:t xml:space="preserve"> </w:t>
      </w:r>
      <w:r w:rsidR="00D80FE4" w:rsidRPr="00113364">
        <w:rPr>
          <w:rFonts w:ascii="Arial" w:hAnsi="Arial" w:cs="Arial"/>
        </w:rPr>
        <w:t xml:space="preserve">needs, the CDE will offer multiple training opportunities to subgrantees on the </w:t>
      </w:r>
      <w:r w:rsidR="00452477" w:rsidRPr="00113364">
        <w:rPr>
          <w:rFonts w:ascii="Arial" w:hAnsi="Arial" w:cs="Arial"/>
        </w:rPr>
        <w:t>SDP</w:t>
      </w:r>
      <w:r w:rsidR="00B25C17" w:rsidRPr="00113364">
        <w:rPr>
          <w:rFonts w:ascii="Arial" w:hAnsi="Arial" w:cs="Arial"/>
        </w:rPr>
        <w:t xml:space="preserve"> guidance and steps toward</w:t>
      </w:r>
      <w:r w:rsidR="006A5852" w:rsidRPr="00113364">
        <w:rPr>
          <w:rFonts w:ascii="Arial" w:hAnsi="Arial" w:cs="Arial"/>
        </w:rPr>
        <w:t xml:space="preserve"> implementation</w:t>
      </w:r>
      <w:r w:rsidR="00D80FE4" w:rsidRPr="00113364">
        <w:rPr>
          <w:rFonts w:ascii="Arial" w:hAnsi="Arial" w:cs="Arial"/>
        </w:rPr>
        <w:t xml:space="preserve">. The following tables detail the outreach activities to review the </w:t>
      </w:r>
      <w:r w:rsidR="00452477" w:rsidRPr="00113364">
        <w:rPr>
          <w:rFonts w:ascii="Arial" w:hAnsi="Arial" w:cs="Arial"/>
        </w:rPr>
        <w:t>SDP</w:t>
      </w:r>
      <w:r w:rsidR="00D80FE4" w:rsidRPr="00113364">
        <w:rPr>
          <w:rFonts w:ascii="Arial" w:hAnsi="Arial" w:cs="Arial"/>
        </w:rPr>
        <w:t xml:space="preserve"> with subgrantees and other </w:t>
      </w:r>
      <w:r w:rsidR="00EF59DB" w:rsidRPr="00113364">
        <w:rPr>
          <w:rFonts w:ascii="Arial" w:hAnsi="Arial" w:cs="Arial"/>
        </w:rPr>
        <w:t>interested parties</w:t>
      </w:r>
      <w:r w:rsidR="00D80FE4" w:rsidRPr="00113364">
        <w:rPr>
          <w:rFonts w:ascii="Arial" w:hAnsi="Arial" w:cs="Arial"/>
        </w:rPr>
        <w:t xml:space="preserve">. </w:t>
      </w:r>
    </w:p>
    <w:p w14:paraId="03524450" w14:textId="77777777" w:rsidR="004F6691" w:rsidRPr="00113364" w:rsidRDefault="004F6691" w:rsidP="003F0CBE">
      <w:pPr>
        <w:pStyle w:val="Heading3"/>
      </w:pPr>
      <w:bookmarkStart w:id="136" w:name="_Toc203568874"/>
      <w:r w:rsidRPr="00113364">
        <w:t>Communicating the</w:t>
      </w:r>
      <w:r w:rsidR="00791178" w:rsidRPr="00113364">
        <w:t xml:space="preserve"> State Service Delivery Plan</w:t>
      </w:r>
      <w:r w:rsidRPr="00113364">
        <w:t xml:space="preserve"> to Local Projects</w:t>
      </w:r>
      <w:bookmarkEnd w:id="136"/>
      <w:r w:rsidRPr="00113364">
        <w:t xml:space="preserve"> </w:t>
      </w:r>
    </w:p>
    <w:p w14:paraId="06136D02" w14:textId="40BDF28C" w:rsidR="00601662" w:rsidRPr="00B72CE1" w:rsidRDefault="00601662" w:rsidP="00B72CE1">
      <w:pPr>
        <w:pStyle w:val="Heading4"/>
        <w:spacing w:before="120" w:after="0"/>
        <w:rPr>
          <w:i/>
          <w:sz w:val="24"/>
        </w:rPr>
      </w:pPr>
      <w:bookmarkStart w:id="137" w:name="_Toc204755380"/>
      <w:r w:rsidRPr="00B72CE1">
        <w:rPr>
          <w:sz w:val="24"/>
        </w:rPr>
        <w:t xml:space="preserve">Table </w:t>
      </w:r>
      <w:r w:rsidR="006C4B40" w:rsidRPr="00B72CE1">
        <w:rPr>
          <w:i/>
          <w:sz w:val="24"/>
        </w:rPr>
        <w:fldChar w:fldCharType="begin"/>
      </w:r>
      <w:r w:rsidR="006C4B40" w:rsidRPr="00B72CE1">
        <w:rPr>
          <w:sz w:val="24"/>
        </w:rPr>
        <w:instrText xml:space="preserve"> SEQ Table \* ARABIC </w:instrText>
      </w:r>
      <w:r w:rsidR="006C4B40" w:rsidRPr="00B72CE1">
        <w:rPr>
          <w:i/>
          <w:sz w:val="24"/>
        </w:rPr>
        <w:fldChar w:fldCharType="separate"/>
      </w:r>
      <w:r w:rsidR="001362A0" w:rsidRPr="00B72CE1">
        <w:rPr>
          <w:noProof/>
          <w:sz w:val="24"/>
        </w:rPr>
        <w:t>44</w:t>
      </w:r>
      <w:r w:rsidR="006C4B40" w:rsidRPr="00B72CE1">
        <w:rPr>
          <w:i/>
          <w:noProof/>
          <w:sz w:val="24"/>
        </w:rPr>
        <w:fldChar w:fldCharType="end"/>
      </w:r>
      <w:r w:rsidRPr="00B72CE1">
        <w:rPr>
          <w:sz w:val="24"/>
        </w:rPr>
        <w:t xml:space="preserve">. </w:t>
      </w:r>
      <w:r w:rsidR="008E3AFA" w:rsidRPr="00B72CE1">
        <w:rPr>
          <w:sz w:val="24"/>
        </w:rPr>
        <w:t xml:space="preserve">State Service Delivery Plan </w:t>
      </w:r>
      <w:r w:rsidRPr="00B72CE1">
        <w:rPr>
          <w:sz w:val="24"/>
        </w:rPr>
        <w:t>Communication Plan for M</w:t>
      </w:r>
      <w:r w:rsidR="004A1766" w:rsidRPr="00B72CE1">
        <w:rPr>
          <w:sz w:val="24"/>
        </w:rPr>
        <w:t xml:space="preserve">igrant </w:t>
      </w:r>
      <w:r w:rsidRPr="00B72CE1">
        <w:rPr>
          <w:sz w:val="24"/>
        </w:rPr>
        <w:t>E</w:t>
      </w:r>
      <w:r w:rsidR="004A1766" w:rsidRPr="00B72CE1">
        <w:rPr>
          <w:sz w:val="24"/>
        </w:rPr>
        <w:t xml:space="preserve">ducation </w:t>
      </w:r>
      <w:r w:rsidRPr="00B72CE1">
        <w:rPr>
          <w:sz w:val="24"/>
        </w:rPr>
        <w:t>P</w:t>
      </w:r>
      <w:r w:rsidR="004A1766" w:rsidRPr="00B72CE1">
        <w:rPr>
          <w:sz w:val="24"/>
        </w:rPr>
        <w:t>rogram</w:t>
      </w:r>
      <w:r w:rsidRPr="00B72CE1">
        <w:rPr>
          <w:sz w:val="24"/>
        </w:rPr>
        <w:t xml:space="preserve"> Directors and Staff</w:t>
      </w:r>
      <w:bookmarkEnd w:id="137"/>
    </w:p>
    <w:tbl>
      <w:tblPr>
        <w:tblStyle w:val="GridTable4-Accent1"/>
        <w:tblW w:w="9625" w:type="dxa"/>
        <w:tblLayout w:type="fixed"/>
        <w:tblLook w:val="0420" w:firstRow="1" w:lastRow="0" w:firstColumn="0" w:lastColumn="0" w:noHBand="0" w:noVBand="1"/>
        <w:tblDescription w:val="State Service Delivery Plan Communication Timeline for MEP Directors and Staff"/>
      </w:tblPr>
      <w:tblGrid>
        <w:gridCol w:w="1345"/>
        <w:gridCol w:w="1620"/>
        <w:gridCol w:w="3420"/>
        <w:gridCol w:w="1710"/>
        <w:gridCol w:w="1530"/>
      </w:tblGrid>
      <w:tr w:rsidR="00F458B4" w:rsidRPr="00113364" w14:paraId="26DDB582" w14:textId="77777777" w:rsidTr="00767B67">
        <w:trPr>
          <w:cnfStyle w:val="100000000000" w:firstRow="1" w:lastRow="0" w:firstColumn="0" w:lastColumn="0" w:oddVBand="0" w:evenVBand="0" w:oddHBand="0" w:evenHBand="0" w:firstRowFirstColumn="0" w:firstRowLastColumn="0" w:lastRowFirstColumn="0" w:lastRowLastColumn="0"/>
          <w:cantSplit/>
          <w:trHeight w:val="286"/>
          <w:tblHeader/>
        </w:trPr>
        <w:tc>
          <w:tcPr>
            <w:tcW w:w="1345" w:type="dxa"/>
            <w:tcBorders>
              <w:right w:val="single" w:sz="4" w:space="0" w:color="5B9BD5"/>
            </w:tcBorders>
            <w:shd w:val="clear" w:color="auto" w:fill="1F3864" w:themeFill="accent5" w:themeFillShade="80"/>
          </w:tcPr>
          <w:p w14:paraId="3249A532" w14:textId="63C441B7" w:rsidR="00D133C6" w:rsidRPr="00113364" w:rsidRDefault="000D2F9B" w:rsidP="000D2F9B">
            <w:pPr>
              <w:rPr>
                <w:rFonts w:ascii="Arial" w:hAnsi="Arial" w:cs="Arial"/>
                <w:color w:val="FFFFFF"/>
              </w:rPr>
            </w:pPr>
            <w:r w:rsidRPr="00113364">
              <w:rPr>
                <w:rFonts w:ascii="Arial" w:hAnsi="Arial" w:cs="Arial"/>
                <w:color w:val="FFFFFF"/>
              </w:rPr>
              <w:t>Schedule</w:t>
            </w:r>
          </w:p>
        </w:tc>
        <w:tc>
          <w:tcPr>
            <w:tcW w:w="1620" w:type="dxa"/>
            <w:tcBorders>
              <w:left w:val="single" w:sz="4" w:space="0" w:color="5B9BD5"/>
              <w:right w:val="single" w:sz="4" w:space="0" w:color="5B9BD5"/>
            </w:tcBorders>
            <w:shd w:val="clear" w:color="auto" w:fill="1F3864" w:themeFill="accent5" w:themeFillShade="80"/>
          </w:tcPr>
          <w:p w14:paraId="4E5333DD" w14:textId="77777777" w:rsidR="00D133C6" w:rsidRPr="00113364" w:rsidRDefault="00D133C6" w:rsidP="00142F53">
            <w:pPr>
              <w:jc w:val="center"/>
              <w:rPr>
                <w:rFonts w:ascii="Arial" w:hAnsi="Arial" w:cs="Arial"/>
                <w:color w:val="FFFFFF"/>
              </w:rPr>
            </w:pPr>
            <w:r w:rsidRPr="00113364">
              <w:rPr>
                <w:rFonts w:ascii="Arial" w:hAnsi="Arial" w:cs="Arial"/>
                <w:color w:val="FFFFFF"/>
              </w:rPr>
              <w:t>Training</w:t>
            </w:r>
          </w:p>
        </w:tc>
        <w:tc>
          <w:tcPr>
            <w:tcW w:w="3420" w:type="dxa"/>
            <w:tcBorders>
              <w:left w:val="single" w:sz="4" w:space="0" w:color="5B9BD5"/>
              <w:right w:val="single" w:sz="4" w:space="0" w:color="5B9BD5"/>
            </w:tcBorders>
            <w:shd w:val="clear" w:color="auto" w:fill="1F3864" w:themeFill="accent5" w:themeFillShade="80"/>
          </w:tcPr>
          <w:p w14:paraId="68F98587" w14:textId="77777777" w:rsidR="00D133C6" w:rsidRPr="00113364" w:rsidRDefault="00E8548A" w:rsidP="00142F53">
            <w:pPr>
              <w:jc w:val="center"/>
              <w:rPr>
                <w:rFonts w:ascii="Arial" w:hAnsi="Arial" w:cs="Arial"/>
                <w:color w:val="FFFFFF"/>
              </w:rPr>
            </w:pPr>
            <w:r w:rsidRPr="00113364">
              <w:rPr>
                <w:rFonts w:ascii="Arial" w:hAnsi="Arial" w:cs="Arial"/>
                <w:color w:val="FFFFFF"/>
              </w:rPr>
              <w:t>Objectives</w:t>
            </w:r>
          </w:p>
        </w:tc>
        <w:tc>
          <w:tcPr>
            <w:tcW w:w="1710" w:type="dxa"/>
            <w:tcBorders>
              <w:left w:val="single" w:sz="4" w:space="0" w:color="5B9BD5"/>
              <w:right w:val="single" w:sz="4" w:space="0" w:color="5B9BD5"/>
            </w:tcBorders>
            <w:shd w:val="clear" w:color="auto" w:fill="1F3864" w:themeFill="accent5" w:themeFillShade="80"/>
          </w:tcPr>
          <w:p w14:paraId="47848547" w14:textId="77777777" w:rsidR="00D133C6" w:rsidRPr="00113364" w:rsidRDefault="00D133C6" w:rsidP="00142F53">
            <w:pPr>
              <w:jc w:val="center"/>
              <w:rPr>
                <w:rFonts w:ascii="Arial" w:hAnsi="Arial" w:cs="Arial"/>
                <w:color w:val="FFFFFF"/>
              </w:rPr>
            </w:pPr>
            <w:r w:rsidRPr="00113364">
              <w:rPr>
                <w:rFonts w:ascii="Arial" w:hAnsi="Arial" w:cs="Arial"/>
                <w:color w:val="FFFFFF"/>
              </w:rPr>
              <w:t>Where</w:t>
            </w:r>
          </w:p>
        </w:tc>
        <w:tc>
          <w:tcPr>
            <w:tcW w:w="1530" w:type="dxa"/>
            <w:tcBorders>
              <w:left w:val="single" w:sz="4" w:space="0" w:color="5B9BD5"/>
            </w:tcBorders>
            <w:shd w:val="clear" w:color="auto" w:fill="1F3864" w:themeFill="accent5" w:themeFillShade="80"/>
          </w:tcPr>
          <w:p w14:paraId="41F9CA96" w14:textId="77777777" w:rsidR="00D133C6" w:rsidRPr="00113364" w:rsidRDefault="00D133C6" w:rsidP="00142F53">
            <w:pPr>
              <w:jc w:val="center"/>
              <w:rPr>
                <w:rFonts w:ascii="Arial" w:hAnsi="Arial" w:cs="Arial"/>
                <w:color w:val="FFFFFF"/>
              </w:rPr>
            </w:pPr>
            <w:r w:rsidRPr="00113364">
              <w:rPr>
                <w:rFonts w:ascii="Arial" w:hAnsi="Arial" w:cs="Arial"/>
                <w:color w:val="FFFFFF"/>
              </w:rPr>
              <w:t>Audience</w:t>
            </w:r>
          </w:p>
        </w:tc>
      </w:tr>
      <w:tr w:rsidR="000D2F9B" w:rsidRPr="00113364" w14:paraId="1DCE6FAE" w14:textId="77777777" w:rsidTr="00767B67">
        <w:trPr>
          <w:cnfStyle w:val="000000100000" w:firstRow="0" w:lastRow="0" w:firstColumn="0" w:lastColumn="0" w:oddVBand="0" w:evenVBand="0" w:oddHBand="1" w:evenHBand="0" w:firstRowFirstColumn="0" w:firstRowLastColumn="0" w:lastRowFirstColumn="0" w:lastRowLastColumn="0"/>
          <w:cantSplit/>
          <w:trHeight w:val="1179"/>
        </w:trPr>
        <w:tc>
          <w:tcPr>
            <w:tcW w:w="1345" w:type="dxa"/>
          </w:tcPr>
          <w:p w14:paraId="22890DFA" w14:textId="590298FB" w:rsidR="00D133C6" w:rsidRPr="00113364" w:rsidRDefault="00D133C6" w:rsidP="00472899">
            <w:pPr>
              <w:rPr>
                <w:rFonts w:ascii="Arial" w:hAnsi="Arial" w:cs="Arial"/>
              </w:rPr>
            </w:pPr>
            <w:r w:rsidRPr="00113364">
              <w:rPr>
                <w:rFonts w:ascii="Arial" w:hAnsi="Arial" w:cs="Arial"/>
              </w:rPr>
              <w:t>Sept. 20</w:t>
            </w:r>
            <w:r w:rsidR="000D2F9B" w:rsidRPr="00113364">
              <w:rPr>
                <w:rFonts w:ascii="Arial" w:hAnsi="Arial" w:cs="Arial"/>
              </w:rPr>
              <w:t>25</w:t>
            </w:r>
          </w:p>
        </w:tc>
        <w:tc>
          <w:tcPr>
            <w:tcW w:w="1620" w:type="dxa"/>
          </w:tcPr>
          <w:p w14:paraId="7EE9E9D0" w14:textId="3053F7F8" w:rsidR="00D133C6" w:rsidRPr="00113364" w:rsidRDefault="00D133C6" w:rsidP="00472899">
            <w:pPr>
              <w:rPr>
                <w:rFonts w:ascii="Arial" w:hAnsi="Arial" w:cs="Arial"/>
              </w:rPr>
            </w:pPr>
            <w:r w:rsidRPr="00113364">
              <w:rPr>
                <w:rFonts w:ascii="Arial" w:hAnsi="Arial" w:cs="Arial"/>
              </w:rPr>
              <w:t xml:space="preserve">Overview of the </w:t>
            </w:r>
            <w:r w:rsidR="00452477" w:rsidRPr="00113364">
              <w:rPr>
                <w:rFonts w:ascii="Arial" w:hAnsi="Arial" w:cs="Arial"/>
              </w:rPr>
              <w:t>SDP</w:t>
            </w:r>
          </w:p>
        </w:tc>
        <w:tc>
          <w:tcPr>
            <w:tcW w:w="3420" w:type="dxa"/>
          </w:tcPr>
          <w:p w14:paraId="6EBBC107" w14:textId="1FAE58AA" w:rsidR="007B435A" w:rsidRPr="00113364" w:rsidRDefault="00E8548A">
            <w:pPr>
              <w:pStyle w:val="ListParagraph"/>
              <w:numPr>
                <w:ilvl w:val="6"/>
                <w:numId w:val="18"/>
              </w:numPr>
              <w:ind w:left="336"/>
              <w:rPr>
                <w:rFonts w:ascii="Arial" w:hAnsi="Arial" w:cs="Arial"/>
              </w:rPr>
            </w:pPr>
            <w:r w:rsidRPr="00113364">
              <w:rPr>
                <w:rFonts w:ascii="Arial" w:hAnsi="Arial" w:cs="Arial"/>
              </w:rPr>
              <w:t xml:space="preserve">Provide an overview of the </w:t>
            </w:r>
            <w:r w:rsidR="00452477" w:rsidRPr="00113364">
              <w:rPr>
                <w:rFonts w:ascii="Arial" w:hAnsi="Arial" w:cs="Arial"/>
              </w:rPr>
              <w:t>SDP</w:t>
            </w:r>
            <w:r w:rsidRPr="00113364">
              <w:rPr>
                <w:rFonts w:ascii="Arial" w:hAnsi="Arial" w:cs="Arial"/>
              </w:rPr>
              <w:t xml:space="preserve"> process.</w:t>
            </w:r>
          </w:p>
          <w:p w14:paraId="33E91C1C" w14:textId="6B829848" w:rsidR="00E8548A" w:rsidRPr="00113364" w:rsidRDefault="00E8548A">
            <w:pPr>
              <w:pStyle w:val="ListParagraph"/>
              <w:numPr>
                <w:ilvl w:val="6"/>
                <w:numId w:val="18"/>
              </w:numPr>
              <w:ind w:left="336"/>
              <w:rPr>
                <w:rFonts w:ascii="Arial" w:hAnsi="Arial" w:cs="Arial"/>
              </w:rPr>
            </w:pPr>
            <w:r w:rsidRPr="00113364">
              <w:rPr>
                <w:rFonts w:ascii="Arial" w:hAnsi="Arial" w:cs="Arial"/>
              </w:rPr>
              <w:t xml:space="preserve">Review </w:t>
            </w:r>
            <w:r w:rsidR="000D2F9B" w:rsidRPr="00113364">
              <w:rPr>
                <w:rFonts w:ascii="Arial" w:hAnsi="Arial" w:cs="Arial"/>
              </w:rPr>
              <w:t xml:space="preserve">strategies, MPOs, and performance targets </w:t>
            </w:r>
            <w:r w:rsidRPr="00113364">
              <w:rPr>
                <w:rFonts w:ascii="Arial" w:hAnsi="Arial" w:cs="Arial"/>
              </w:rPr>
              <w:t>for each focus area.</w:t>
            </w:r>
          </w:p>
        </w:tc>
        <w:tc>
          <w:tcPr>
            <w:tcW w:w="1710" w:type="dxa"/>
          </w:tcPr>
          <w:p w14:paraId="10E82DAD" w14:textId="77777777" w:rsidR="00D133C6" w:rsidRPr="00113364" w:rsidRDefault="00D133C6" w:rsidP="007B435A">
            <w:pPr>
              <w:rPr>
                <w:rFonts w:ascii="Arial" w:hAnsi="Arial" w:cs="Arial"/>
              </w:rPr>
            </w:pPr>
            <w:r w:rsidRPr="00113364">
              <w:rPr>
                <w:rFonts w:ascii="Arial" w:hAnsi="Arial" w:cs="Arial"/>
              </w:rPr>
              <w:t>MEP Director Meeting</w:t>
            </w:r>
          </w:p>
          <w:p w14:paraId="362CEE9C" w14:textId="4A035429" w:rsidR="00705CE8" w:rsidRPr="00113364" w:rsidRDefault="00705CE8" w:rsidP="007B435A">
            <w:pPr>
              <w:rPr>
                <w:rFonts w:ascii="Arial" w:hAnsi="Arial" w:cs="Arial"/>
              </w:rPr>
            </w:pPr>
            <w:r w:rsidRPr="00113364">
              <w:rPr>
                <w:rFonts w:ascii="Arial" w:hAnsi="Arial" w:cs="Arial"/>
              </w:rPr>
              <w:t xml:space="preserve">Sacramento, </w:t>
            </w:r>
            <w:r w:rsidR="009607AD" w:rsidRPr="00113364">
              <w:rPr>
                <w:rFonts w:ascii="Arial" w:hAnsi="Arial" w:cs="Arial"/>
              </w:rPr>
              <w:t>California</w:t>
            </w:r>
          </w:p>
        </w:tc>
        <w:tc>
          <w:tcPr>
            <w:tcW w:w="1530" w:type="dxa"/>
          </w:tcPr>
          <w:p w14:paraId="74CAA951" w14:textId="77777777" w:rsidR="00D133C6" w:rsidRPr="00113364" w:rsidRDefault="00D133C6" w:rsidP="00F62746">
            <w:pPr>
              <w:ind w:left="-18"/>
              <w:rPr>
                <w:rFonts w:ascii="Arial" w:hAnsi="Arial" w:cs="Arial"/>
              </w:rPr>
            </w:pPr>
            <w:r w:rsidRPr="00113364">
              <w:rPr>
                <w:rFonts w:ascii="Arial" w:hAnsi="Arial" w:cs="Arial"/>
              </w:rPr>
              <w:t>MEP Directors</w:t>
            </w:r>
          </w:p>
        </w:tc>
      </w:tr>
      <w:tr w:rsidR="00C87D86" w:rsidRPr="00113364" w14:paraId="16AEB9D4" w14:textId="77777777" w:rsidTr="00767B67">
        <w:trPr>
          <w:cantSplit/>
          <w:trHeight w:val="1179"/>
        </w:trPr>
        <w:tc>
          <w:tcPr>
            <w:tcW w:w="1345" w:type="dxa"/>
          </w:tcPr>
          <w:p w14:paraId="627E7226" w14:textId="36C6BBCC" w:rsidR="00C87D86" w:rsidRPr="00113364" w:rsidRDefault="00C87D86" w:rsidP="00C87D86">
            <w:pPr>
              <w:rPr>
                <w:rFonts w:ascii="Arial" w:hAnsi="Arial" w:cs="Arial"/>
              </w:rPr>
            </w:pPr>
            <w:r>
              <w:rPr>
                <w:rFonts w:ascii="Arial" w:hAnsi="Arial" w:cs="Arial"/>
              </w:rPr>
              <w:t>October 2025</w:t>
            </w:r>
          </w:p>
        </w:tc>
        <w:tc>
          <w:tcPr>
            <w:tcW w:w="1620" w:type="dxa"/>
          </w:tcPr>
          <w:p w14:paraId="27EE174A" w14:textId="411C52EB" w:rsidR="00C87D86" w:rsidRPr="00113364" w:rsidRDefault="00C87D86" w:rsidP="00C87D86">
            <w:pPr>
              <w:rPr>
                <w:rFonts w:ascii="Arial" w:hAnsi="Arial" w:cs="Arial"/>
              </w:rPr>
            </w:pPr>
            <w:r>
              <w:rPr>
                <w:rFonts w:ascii="Arial" w:hAnsi="Arial" w:cs="Arial"/>
              </w:rPr>
              <w:t>Building Student Engagement</w:t>
            </w:r>
          </w:p>
        </w:tc>
        <w:tc>
          <w:tcPr>
            <w:tcW w:w="3420" w:type="dxa"/>
          </w:tcPr>
          <w:p w14:paraId="09CC98B5" w14:textId="77777777" w:rsidR="00C87D86" w:rsidRDefault="00C87D86" w:rsidP="00C87D86">
            <w:pPr>
              <w:pStyle w:val="ListParagraph"/>
              <w:numPr>
                <w:ilvl w:val="6"/>
                <w:numId w:val="71"/>
              </w:numPr>
              <w:ind w:left="340"/>
              <w:rPr>
                <w:rFonts w:ascii="Arial" w:hAnsi="Arial" w:cs="Arial"/>
              </w:rPr>
            </w:pPr>
            <w:r>
              <w:rPr>
                <w:rFonts w:ascii="Arial" w:hAnsi="Arial" w:cs="Arial"/>
              </w:rPr>
              <w:t>Learn how to engage students in learning.</w:t>
            </w:r>
          </w:p>
          <w:p w14:paraId="7400328B" w14:textId="50D9849E" w:rsidR="00C87D86" w:rsidRPr="00113364" w:rsidRDefault="00C87D86" w:rsidP="00C87D86">
            <w:pPr>
              <w:pStyle w:val="ListParagraph"/>
              <w:numPr>
                <w:ilvl w:val="6"/>
                <w:numId w:val="71"/>
              </w:numPr>
              <w:ind w:left="340"/>
              <w:rPr>
                <w:rFonts w:ascii="Arial" w:hAnsi="Arial" w:cs="Arial"/>
              </w:rPr>
            </w:pPr>
            <w:r>
              <w:rPr>
                <w:rFonts w:ascii="Arial" w:hAnsi="Arial" w:cs="Arial"/>
              </w:rPr>
              <w:t>Review sample unit and lesson plans to increase engagement</w:t>
            </w:r>
            <w:r w:rsidR="00DC2E53">
              <w:rPr>
                <w:rFonts w:ascii="Arial" w:hAnsi="Arial" w:cs="Arial"/>
              </w:rPr>
              <w:t>.</w:t>
            </w:r>
            <w:r>
              <w:rPr>
                <w:rFonts w:ascii="Arial" w:hAnsi="Arial" w:cs="Arial"/>
              </w:rPr>
              <w:t xml:space="preserve"> </w:t>
            </w:r>
          </w:p>
        </w:tc>
        <w:tc>
          <w:tcPr>
            <w:tcW w:w="1710" w:type="dxa"/>
          </w:tcPr>
          <w:p w14:paraId="469FF555" w14:textId="6017DB39" w:rsidR="00C87D86" w:rsidRPr="00113364" w:rsidRDefault="00C87D86" w:rsidP="00C87D86">
            <w:pPr>
              <w:rPr>
                <w:rFonts w:ascii="Arial" w:hAnsi="Arial" w:cs="Arial"/>
              </w:rPr>
            </w:pPr>
            <w:r w:rsidRPr="00113364">
              <w:rPr>
                <w:rFonts w:ascii="Arial" w:hAnsi="Arial" w:cs="Arial"/>
              </w:rPr>
              <w:t>Webinar</w:t>
            </w:r>
          </w:p>
        </w:tc>
        <w:tc>
          <w:tcPr>
            <w:tcW w:w="1530" w:type="dxa"/>
          </w:tcPr>
          <w:p w14:paraId="01939B05" w14:textId="0E421471" w:rsidR="00C87D86" w:rsidRPr="00113364" w:rsidRDefault="00C87D86" w:rsidP="00C87D86">
            <w:pPr>
              <w:ind w:left="-18"/>
              <w:rPr>
                <w:rFonts w:ascii="Arial" w:hAnsi="Arial" w:cs="Arial"/>
              </w:rPr>
            </w:pPr>
            <w:r w:rsidRPr="00113364">
              <w:rPr>
                <w:rFonts w:ascii="Arial" w:hAnsi="Arial" w:cs="Arial"/>
              </w:rPr>
              <w:t>MEP Directors and staff</w:t>
            </w:r>
          </w:p>
        </w:tc>
      </w:tr>
      <w:tr w:rsidR="000D2F9B" w:rsidRPr="00113364" w14:paraId="191A15E7" w14:textId="77777777" w:rsidTr="00767B67">
        <w:trPr>
          <w:cnfStyle w:val="000000100000" w:firstRow="0" w:lastRow="0" w:firstColumn="0" w:lastColumn="0" w:oddVBand="0" w:evenVBand="0" w:oddHBand="1" w:evenHBand="0" w:firstRowFirstColumn="0" w:firstRowLastColumn="0" w:lastRowFirstColumn="0" w:lastRowLastColumn="0"/>
          <w:cantSplit/>
          <w:trHeight w:val="2633"/>
        </w:trPr>
        <w:tc>
          <w:tcPr>
            <w:tcW w:w="1345" w:type="dxa"/>
          </w:tcPr>
          <w:p w14:paraId="139F2561" w14:textId="500AF175" w:rsidR="00D133C6" w:rsidRPr="00113364" w:rsidRDefault="000D2F9B" w:rsidP="00472899">
            <w:pPr>
              <w:rPr>
                <w:rFonts w:ascii="Arial" w:hAnsi="Arial" w:cs="Arial"/>
              </w:rPr>
            </w:pPr>
            <w:r w:rsidRPr="00113364">
              <w:rPr>
                <w:rFonts w:ascii="Arial" w:hAnsi="Arial" w:cs="Arial"/>
              </w:rPr>
              <w:t>October 2025</w:t>
            </w:r>
          </w:p>
        </w:tc>
        <w:tc>
          <w:tcPr>
            <w:tcW w:w="1620" w:type="dxa"/>
          </w:tcPr>
          <w:p w14:paraId="5B69B26F" w14:textId="63E184EC" w:rsidR="00D133C6" w:rsidRPr="00113364" w:rsidRDefault="00D133C6" w:rsidP="00472899">
            <w:pPr>
              <w:rPr>
                <w:rFonts w:ascii="Arial" w:hAnsi="Arial" w:cs="Arial"/>
              </w:rPr>
            </w:pPr>
            <w:r w:rsidRPr="00113364">
              <w:rPr>
                <w:rFonts w:ascii="Arial" w:hAnsi="Arial" w:cs="Arial"/>
              </w:rPr>
              <w:t xml:space="preserve">Aligning MEP Services with the </w:t>
            </w:r>
            <w:r w:rsidR="00452477" w:rsidRPr="00113364">
              <w:rPr>
                <w:rFonts w:ascii="Arial" w:hAnsi="Arial" w:cs="Arial"/>
              </w:rPr>
              <w:t>SDP</w:t>
            </w:r>
          </w:p>
        </w:tc>
        <w:tc>
          <w:tcPr>
            <w:tcW w:w="3420" w:type="dxa"/>
          </w:tcPr>
          <w:p w14:paraId="10C73987" w14:textId="77777777" w:rsidR="000D2F9B" w:rsidRPr="00113364" w:rsidRDefault="000D2F9B">
            <w:pPr>
              <w:pStyle w:val="ListParagraph"/>
              <w:numPr>
                <w:ilvl w:val="6"/>
                <w:numId w:val="30"/>
              </w:numPr>
              <w:ind w:left="336"/>
              <w:rPr>
                <w:rFonts w:ascii="Arial" w:hAnsi="Arial" w:cs="Arial"/>
              </w:rPr>
            </w:pPr>
            <w:r w:rsidRPr="00113364">
              <w:rPr>
                <w:rFonts w:ascii="Arial" w:hAnsi="Arial" w:cs="Arial"/>
              </w:rPr>
              <w:t>Review strategies, MPOs, and performance targets for each focus area.</w:t>
            </w:r>
          </w:p>
          <w:p w14:paraId="72EB1BAB" w14:textId="7CC52879" w:rsidR="0082400C" w:rsidRPr="00113364" w:rsidRDefault="00E8548A">
            <w:pPr>
              <w:pStyle w:val="ListParagraph"/>
              <w:numPr>
                <w:ilvl w:val="6"/>
                <w:numId w:val="30"/>
              </w:numPr>
              <w:ind w:left="336"/>
              <w:rPr>
                <w:rFonts w:ascii="Arial" w:hAnsi="Arial" w:cs="Arial"/>
              </w:rPr>
            </w:pPr>
            <w:r w:rsidRPr="00113364">
              <w:rPr>
                <w:rFonts w:ascii="Arial" w:hAnsi="Arial" w:cs="Arial"/>
              </w:rPr>
              <w:t>Discuss MEP services that address all the focus areas.</w:t>
            </w:r>
          </w:p>
          <w:p w14:paraId="409154F3" w14:textId="3B9C78D4" w:rsidR="00E8548A" w:rsidRPr="00113364" w:rsidRDefault="00E8548A">
            <w:pPr>
              <w:pStyle w:val="ListParagraph"/>
              <w:numPr>
                <w:ilvl w:val="6"/>
                <w:numId w:val="30"/>
              </w:numPr>
              <w:ind w:left="336"/>
              <w:rPr>
                <w:rFonts w:ascii="Arial" w:hAnsi="Arial" w:cs="Arial"/>
              </w:rPr>
            </w:pPr>
            <w:r w:rsidRPr="00113364">
              <w:rPr>
                <w:rFonts w:ascii="Arial" w:hAnsi="Arial" w:cs="Arial"/>
              </w:rPr>
              <w:t xml:space="preserve">Identify </w:t>
            </w:r>
            <w:r w:rsidR="0082400C" w:rsidRPr="00113364">
              <w:rPr>
                <w:rFonts w:ascii="Arial" w:hAnsi="Arial" w:cs="Arial"/>
              </w:rPr>
              <w:t xml:space="preserve">services that already align with the </w:t>
            </w:r>
            <w:r w:rsidR="00452477" w:rsidRPr="00113364">
              <w:rPr>
                <w:rFonts w:ascii="Arial" w:hAnsi="Arial" w:cs="Arial"/>
              </w:rPr>
              <w:t>SDP</w:t>
            </w:r>
            <w:r w:rsidR="0082400C" w:rsidRPr="00113364">
              <w:rPr>
                <w:rFonts w:ascii="Arial" w:hAnsi="Arial" w:cs="Arial"/>
              </w:rPr>
              <w:t xml:space="preserve">, enhance services that partially align with the </w:t>
            </w:r>
            <w:r w:rsidR="00452477" w:rsidRPr="00113364">
              <w:rPr>
                <w:rFonts w:ascii="Arial" w:hAnsi="Arial" w:cs="Arial"/>
              </w:rPr>
              <w:t>SDP</w:t>
            </w:r>
            <w:r w:rsidR="00B25C17" w:rsidRPr="00113364">
              <w:rPr>
                <w:rFonts w:ascii="Arial" w:hAnsi="Arial" w:cs="Arial"/>
              </w:rPr>
              <w:t>,</w:t>
            </w:r>
            <w:r w:rsidR="0082400C" w:rsidRPr="00113364">
              <w:rPr>
                <w:rFonts w:ascii="Arial" w:hAnsi="Arial" w:cs="Arial"/>
              </w:rPr>
              <w:t xml:space="preserve"> and develop new services.</w:t>
            </w:r>
          </w:p>
        </w:tc>
        <w:tc>
          <w:tcPr>
            <w:tcW w:w="1710" w:type="dxa"/>
          </w:tcPr>
          <w:p w14:paraId="2274CDF7" w14:textId="7E75CE36" w:rsidR="00D133C6" w:rsidRPr="00113364" w:rsidRDefault="00C11858" w:rsidP="007B435A">
            <w:pPr>
              <w:rPr>
                <w:rFonts w:ascii="Arial" w:hAnsi="Arial" w:cs="Arial"/>
              </w:rPr>
            </w:pPr>
            <w:r w:rsidRPr="00113364">
              <w:rPr>
                <w:rFonts w:ascii="Arial" w:hAnsi="Arial" w:cs="Arial"/>
              </w:rPr>
              <w:t xml:space="preserve">Sacramento, </w:t>
            </w:r>
            <w:r w:rsidR="009607AD" w:rsidRPr="00113364">
              <w:rPr>
                <w:rFonts w:ascii="Arial" w:hAnsi="Arial" w:cs="Arial"/>
              </w:rPr>
              <w:t>California</w:t>
            </w:r>
          </w:p>
        </w:tc>
        <w:tc>
          <w:tcPr>
            <w:tcW w:w="1530" w:type="dxa"/>
          </w:tcPr>
          <w:p w14:paraId="760E2E7B" w14:textId="05C68637" w:rsidR="00D133C6" w:rsidRPr="00113364" w:rsidRDefault="00D133C6" w:rsidP="00F62746">
            <w:pPr>
              <w:ind w:left="-18"/>
              <w:rPr>
                <w:rFonts w:ascii="Arial" w:hAnsi="Arial" w:cs="Arial"/>
              </w:rPr>
            </w:pPr>
            <w:r w:rsidRPr="00113364">
              <w:rPr>
                <w:rFonts w:ascii="Arial" w:hAnsi="Arial" w:cs="Arial"/>
              </w:rPr>
              <w:t>Regional MEP staff</w:t>
            </w:r>
            <w:r w:rsidR="006F5649" w:rsidRPr="00113364">
              <w:rPr>
                <w:rFonts w:ascii="Arial" w:hAnsi="Arial" w:cs="Arial"/>
              </w:rPr>
              <w:t xml:space="preserve"> in </w:t>
            </w:r>
            <w:r w:rsidR="0082400C" w:rsidRPr="00113364">
              <w:rPr>
                <w:rFonts w:ascii="Arial" w:hAnsi="Arial" w:cs="Arial"/>
              </w:rPr>
              <w:t>Central</w:t>
            </w:r>
            <w:r w:rsidR="006F5649" w:rsidRPr="00113364">
              <w:rPr>
                <w:rFonts w:ascii="Arial" w:hAnsi="Arial" w:cs="Arial"/>
              </w:rPr>
              <w:t xml:space="preserve"> </w:t>
            </w:r>
            <w:r w:rsidR="009607AD" w:rsidRPr="00113364">
              <w:rPr>
                <w:rFonts w:ascii="Arial" w:hAnsi="Arial" w:cs="Arial"/>
              </w:rPr>
              <w:t>California</w:t>
            </w:r>
          </w:p>
        </w:tc>
      </w:tr>
      <w:tr w:rsidR="00F458B4" w:rsidRPr="00113364" w14:paraId="59086449" w14:textId="77777777" w:rsidTr="00767B67">
        <w:trPr>
          <w:cantSplit/>
          <w:trHeight w:val="2645"/>
        </w:trPr>
        <w:tc>
          <w:tcPr>
            <w:tcW w:w="1345" w:type="dxa"/>
          </w:tcPr>
          <w:p w14:paraId="18C70414" w14:textId="794D27A9" w:rsidR="0082400C" w:rsidRPr="00113364" w:rsidRDefault="000D2F9B" w:rsidP="009E4270">
            <w:pPr>
              <w:rPr>
                <w:rFonts w:ascii="Arial" w:hAnsi="Arial" w:cs="Arial"/>
              </w:rPr>
            </w:pPr>
            <w:r w:rsidRPr="00113364">
              <w:rPr>
                <w:rFonts w:ascii="Arial" w:hAnsi="Arial" w:cs="Arial"/>
              </w:rPr>
              <w:lastRenderedPageBreak/>
              <w:t>November 2025</w:t>
            </w:r>
          </w:p>
        </w:tc>
        <w:tc>
          <w:tcPr>
            <w:tcW w:w="1620" w:type="dxa"/>
          </w:tcPr>
          <w:p w14:paraId="25F43FD8" w14:textId="715DE2DA" w:rsidR="0082400C" w:rsidRPr="00113364" w:rsidRDefault="0082400C" w:rsidP="009E4270">
            <w:pPr>
              <w:rPr>
                <w:rFonts w:ascii="Arial" w:hAnsi="Arial" w:cs="Arial"/>
              </w:rPr>
            </w:pPr>
            <w:r w:rsidRPr="00113364">
              <w:rPr>
                <w:rFonts w:ascii="Arial" w:hAnsi="Arial" w:cs="Arial"/>
              </w:rPr>
              <w:t xml:space="preserve">Aligning MEP Services with the </w:t>
            </w:r>
            <w:r w:rsidR="00452477" w:rsidRPr="00113364">
              <w:rPr>
                <w:rFonts w:ascii="Arial" w:hAnsi="Arial" w:cs="Arial"/>
              </w:rPr>
              <w:t>SDP</w:t>
            </w:r>
          </w:p>
        </w:tc>
        <w:tc>
          <w:tcPr>
            <w:tcW w:w="3420" w:type="dxa"/>
          </w:tcPr>
          <w:p w14:paraId="26420D5F" w14:textId="443E6403" w:rsidR="0082400C" w:rsidRPr="00113364" w:rsidRDefault="000D2F9B">
            <w:pPr>
              <w:pStyle w:val="ListParagraph"/>
              <w:numPr>
                <w:ilvl w:val="6"/>
                <w:numId w:val="40"/>
              </w:numPr>
              <w:ind w:left="321"/>
              <w:rPr>
                <w:rFonts w:ascii="Arial" w:hAnsi="Arial" w:cs="Arial"/>
              </w:rPr>
            </w:pPr>
            <w:r w:rsidRPr="00113364">
              <w:rPr>
                <w:rFonts w:ascii="Arial" w:hAnsi="Arial" w:cs="Arial"/>
              </w:rPr>
              <w:t>Review strategies, MPOs, and performance targets for each focus area</w:t>
            </w:r>
            <w:r w:rsidR="0082400C" w:rsidRPr="00113364">
              <w:rPr>
                <w:rFonts w:ascii="Arial" w:hAnsi="Arial" w:cs="Arial"/>
              </w:rPr>
              <w:t>.</w:t>
            </w:r>
          </w:p>
          <w:p w14:paraId="4F07CF6D" w14:textId="567D69BB" w:rsidR="0082400C" w:rsidRPr="00113364" w:rsidRDefault="0082400C">
            <w:pPr>
              <w:pStyle w:val="ListParagraph"/>
              <w:numPr>
                <w:ilvl w:val="6"/>
                <w:numId w:val="40"/>
              </w:numPr>
              <w:ind w:left="336"/>
              <w:rPr>
                <w:rFonts w:ascii="Arial" w:hAnsi="Arial" w:cs="Arial"/>
              </w:rPr>
            </w:pPr>
            <w:r w:rsidRPr="00113364">
              <w:rPr>
                <w:rFonts w:ascii="Arial" w:hAnsi="Arial" w:cs="Arial"/>
              </w:rPr>
              <w:t>Discuss MEP services that address all the focus areas.</w:t>
            </w:r>
          </w:p>
          <w:p w14:paraId="79AD613C" w14:textId="16F8A860" w:rsidR="0082400C" w:rsidRPr="00113364" w:rsidRDefault="0082400C">
            <w:pPr>
              <w:pStyle w:val="ListParagraph"/>
              <w:numPr>
                <w:ilvl w:val="6"/>
                <w:numId w:val="40"/>
              </w:numPr>
              <w:ind w:left="336"/>
              <w:rPr>
                <w:rFonts w:ascii="Arial" w:hAnsi="Arial" w:cs="Arial"/>
              </w:rPr>
            </w:pPr>
            <w:r w:rsidRPr="00113364">
              <w:rPr>
                <w:rFonts w:ascii="Arial" w:hAnsi="Arial" w:cs="Arial"/>
              </w:rPr>
              <w:t xml:space="preserve">Identify services that already align with the </w:t>
            </w:r>
            <w:r w:rsidR="00452477" w:rsidRPr="00113364">
              <w:rPr>
                <w:rFonts w:ascii="Arial" w:hAnsi="Arial" w:cs="Arial"/>
              </w:rPr>
              <w:t>SDP</w:t>
            </w:r>
            <w:r w:rsidRPr="00113364">
              <w:rPr>
                <w:rFonts w:ascii="Arial" w:hAnsi="Arial" w:cs="Arial"/>
              </w:rPr>
              <w:t xml:space="preserve">, enhance services that partially align with the </w:t>
            </w:r>
            <w:r w:rsidR="00452477" w:rsidRPr="00113364">
              <w:rPr>
                <w:rFonts w:ascii="Arial" w:hAnsi="Arial" w:cs="Arial"/>
              </w:rPr>
              <w:t>SDP</w:t>
            </w:r>
            <w:r w:rsidR="00B25C17" w:rsidRPr="00113364">
              <w:rPr>
                <w:rFonts w:ascii="Arial" w:hAnsi="Arial" w:cs="Arial"/>
              </w:rPr>
              <w:t>,</w:t>
            </w:r>
            <w:r w:rsidRPr="00113364">
              <w:rPr>
                <w:rFonts w:ascii="Arial" w:hAnsi="Arial" w:cs="Arial"/>
              </w:rPr>
              <w:t xml:space="preserve"> and develop new services.</w:t>
            </w:r>
          </w:p>
        </w:tc>
        <w:tc>
          <w:tcPr>
            <w:tcW w:w="1710" w:type="dxa"/>
          </w:tcPr>
          <w:p w14:paraId="5430362E" w14:textId="77777777" w:rsidR="0082400C" w:rsidRDefault="00C11858" w:rsidP="009E4270">
            <w:pPr>
              <w:rPr>
                <w:rFonts w:ascii="Arial" w:hAnsi="Arial" w:cs="Arial"/>
              </w:rPr>
            </w:pPr>
            <w:r w:rsidRPr="00113364">
              <w:rPr>
                <w:rFonts w:ascii="Arial" w:hAnsi="Arial" w:cs="Arial"/>
              </w:rPr>
              <w:t xml:space="preserve">Fresno, </w:t>
            </w:r>
            <w:r w:rsidR="009607AD" w:rsidRPr="00113364">
              <w:rPr>
                <w:rFonts w:ascii="Arial" w:hAnsi="Arial" w:cs="Arial"/>
              </w:rPr>
              <w:t>California</w:t>
            </w:r>
          </w:p>
          <w:p w14:paraId="59B0909C" w14:textId="77777777" w:rsidR="00C87D86" w:rsidRDefault="00C87D86" w:rsidP="009E4270">
            <w:pPr>
              <w:rPr>
                <w:rFonts w:ascii="Arial" w:hAnsi="Arial" w:cs="Arial"/>
              </w:rPr>
            </w:pPr>
          </w:p>
          <w:p w14:paraId="70DD7FAA" w14:textId="77777777" w:rsidR="00C87D86" w:rsidRDefault="00C87D86" w:rsidP="009E4270">
            <w:pPr>
              <w:rPr>
                <w:rFonts w:ascii="Arial" w:hAnsi="Arial" w:cs="Arial"/>
              </w:rPr>
            </w:pPr>
            <w:r>
              <w:rPr>
                <w:rFonts w:ascii="Arial" w:hAnsi="Arial" w:cs="Arial"/>
              </w:rPr>
              <w:t xml:space="preserve">Monterey, </w:t>
            </w:r>
          </w:p>
          <w:p w14:paraId="0B78366F" w14:textId="53CFFF3E" w:rsidR="00C87D86" w:rsidRPr="00113364" w:rsidRDefault="00C87D86" w:rsidP="009E4270">
            <w:pPr>
              <w:rPr>
                <w:rFonts w:ascii="Arial" w:hAnsi="Arial" w:cs="Arial"/>
              </w:rPr>
            </w:pPr>
            <w:r>
              <w:rPr>
                <w:rFonts w:ascii="Arial" w:hAnsi="Arial" w:cs="Arial"/>
              </w:rPr>
              <w:t>California</w:t>
            </w:r>
          </w:p>
        </w:tc>
        <w:tc>
          <w:tcPr>
            <w:tcW w:w="1530" w:type="dxa"/>
          </w:tcPr>
          <w:p w14:paraId="1DCCE8B7" w14:textId="60E9C24F" w:rsidR="0082400C" w:rsidRPr="00113364" w:rsidRDefault="0082400C" w:rsidP="00F62746">
            <w:pPr>
              <w:ind w:left="-18"/>
              <w:rPr>
                <w:rFonts w:ascii="Arial" w:hAnsi="Arial" w:cs="Arial"/>
              </w:rPr>
            </w:pPr>
            <w:r w:rsidRPr="00113364">
              <w:rPr>
                <w:rFonts w:ascii="Arial" w:hAnsi="Arial" w:cs="Arial"/>
              </w:rPr>
              <w:t xml:space="preserve">Regional MEP staff in </w:t>
            </w:r>
            <w:r w:rsidR="00C87D86">
              <w:rPr>
                <w:rFonts w:ascii="Arial" w:hAnsi="Arial" w:cs="Arial"/>
              </w:rPr>
              <w:t xml:space="preserve">Central and </w:t>
            </w:r>
            <w:r w:rsidR="00E8105D" w:rsidRPr="00113364">
              <w:rPr>
                <w:rFonts w:ascii="Arial" w:hAnsi="Arial" w:cs="Arial"/>
              </w:rPr>
              <w:t>Northern</w:t>
            </w:r>
            <w:r w:rsidRPr="00113364">
              <w:rPr>
                <w:rFonts w:ascii="Arial" w:hAnsi="Arial" w:cs="Arial"/>
              </w:rPr>
              <w:t xml:space="preserve"> </w:t>
            </w:r>
            <w:r w:rsidR="009607AD" w:rsidRPr="00113364">
              <w:rPr>
                <w:rFonts w:ascii="Arial" w:hAnsi="Arial" w:cs="Arial"/>
              </w:rPr>
              <w:t>California</w:t>
            </w:r>
          </w:p>
        </w:tc>
      </w:tr>
      <w:tr w:rsidR="000D2F9B" w:rsidRPr="00113364" w14:paraId="296FE16A" w14:textId="77777777" w:rsidTr="00767B67">
        <w:trPr>
          <w:cnfStyle w:val="000000100000" w:firstRow="0" w:lastRow="0" w:firstColumn="0" w:lastColumn="0" w:oddVBand="0" w:evenVBand="0" w:oddHBand="1" w:evenHBand="0" w:firstRowFirstColumn="0" w:firstRowLastColumn="0" w:lastRowFirstColumn="0" w:lastRowLastColumn="0"/>
          <w:cantSplit/>
          <w:trHeight w:val="2061"/>
        </w:trPr>
        <w:tc>
          <w:tcPr>
            <w:tcW w:w="1345" w:type="dxa"/>
          </w:tcPr>
          <w:p w14:paraId="31FC1A04" w14:textId="447A3B54" w:rsidR="0082400C" w:rsidRPr="00113364" w:rsidRDefault="000D2F9B" w:rsidP="00705CE8">
            <w:pPr>
              <w:rPr>
                <w:rFonts w:ascii="Arial" w:hAnsi="Arial" w:cs="Arial"/>
              </w:rPr>
            </w:pPr>
            <w:r w:rsidRPr="00113364">
              <w:rPr>
                <w:rFonts w:ascii="Arial" w:hAnsi="Arial" w:cs="Arial"/>
              </w:rPr>
              <w:t>December 2025</w:t>
            </w:r>
          </w:p>
        </w:tc>
        <w:tc>
          <w:tcPr>
            <w:tcW w:w="1620" w:type="dxa"/>
          </w:tcPr>
          <w:p w14:paraId="2F7EC899" w14:textId="7047FF8B" w:rsidR="0082400C" w:rsidRPr="00113364" w:rsidRDefault="0082400C" w:rsidP="009E4270">
            <w:pPr>
              <w:rPr>
                <w:rFonts w:ascii="Arial" w:hAnsi="Arial" w:cs="Arial"/>
              </w:rPr>
            </w:pPr>
            <w:r w:rsidRPr="00113364">
              <w:rPr>
                <w:rFonts w:ascii="Arial" w:hAnsi="Arial" w:cs="Arial"/>
              </w:rPr>
              <w:t xml:space="preserve">Aligning MEP Services with the </w:t>
            </w:r>
            <w:r w:rsidR="00452477" w:rsidRPr="00113364">
              <w:rPr>
                <w:rFonts w:ascii="Arial" w:hAnsi="Arial" w:cs="Arial"/>
              </w:rPr>
              <w:t>SDP</w:t>
            </w:r>
          </w:p>
        </w:tc>
        <w:tc>
          <w:tcPr>
            <w:tcW w:w="3420" w:type="dxa"/>
          </w:tcPr>
          <w:p w14:paraId="4C887186" w14:textId="77777777" w:rsidR="000D2F9B" w:rsidRPr="00113364" w:rsidRDefault="000D2F9B">
            <w:pPr>
              <w:pStyle w:val="ListParagraph"/>
              <w:numPr>
                <w:ilvl w:val="6"/>
                <w:numId w:val="41"/>
              </w:numPr>
              <w:ind w:left="336"/>
              <w:rPr>
                <w:rFonts w:ascii="Arial" w:hAnsi="Arial" w:cs="Arial"/>
              </w:rPr>
            </w:pPr>
            <w:r w:rsidRPr="00113364">
              <w:rPr>
                <w:rFonts w:ascii="Arial" w:hAnsi="Arial" w:cs="Arial"/>
              </w:rPr>
              <w:t>Review strategies, MPOs, and performance targets for each focus area.</w:t>
            </w:r>
          </w:p>
          <w:p w14:paraId="5E5B87A3" w14:textId="290C456D" w:rsidR="0082400C" w:rsidRPr="00113364" w:rsidRDefault="0082400C">
            <w:pPr>
              <w:pStyle w:val="ListParagraph"/>
              <w:numPr>
                <w:ilvl w:val="6"/>
                <w:numId w:val="41"/>
              </w:numPr>
              <w:ind w:left="336"/>
              <w:rPr>
                <w:rFonts w:ascii="Arial" w:hAnsi="Arial" w:cs="Arial"/>
              </w:rPr>
            </w:pPr>
            <w:r w:rsidRPr="00113364">
              <w:rPr>
                <w:rFonts w:ascii="Arial" w:hAnsi="Arial" w:cs="Arial"/>
              </w:rPr>
              <w:t>Discuss MEP services that address all the focus areas.</w:t>
            </w:r>
          </w:p>
          <w:p w14:paraId="786F5067" w14:textId="58AB0E0B" w:rsidR="0082400C" w:rsidRPr="00113364" w:rsidRDefault="0082400C">
            <w:pPr>
              <w:pStyle w:val="ListParagraph"/>
              <w:numPr>
                <w:ilvl w:val="6"/>
                <w:numId w:val="41"/>
              </w:numPr>
              <w:ind w:left="336"/>
              <w:rPr>
                <w:rFonts w:ascii="Arial" w:hAnsi="Arial" w:cs="Arial"/>
              </w:rPr>
            </w:pPr>
            <w:r w:rsidRPr="00113364">
              <w:rPr>
                <w:rFonts w:ascii="Arial" w:hAnsi="Arial" w:cs="Arial"/>
              </w:rPr>
              <w:t xml:space="preserve">Identify services that already align with the </w:t>
            </w:r>
            <w:r w:rsidR="00452477" w:rsidRPr="00113364">
              <w:rPr>
                <w:rFonts w:ascii="Arial" w:hAnsi="Arial" w:cs="Arial"/>
              </w:rPr>
              <w:t>SDP</w:t>
            </w:r>
            <w:r w:rsidRPr="00113364">
              <w:rPr>
                <w:rFonts w:ascii="Arial" w:hAnsi="Arial" w:cs="Arial"/>
              </w:rPr>
              <w:t xml:space="preserve">, enhance services that partially align with the </w:t>
            </w:r>
            <w:r w:rsidR="00452477" w:rsidRPr="00113364">
              <w:rPr>
                <w:rFonts w:ascii="Arial" w:hAnsi="Arial" w:cs="Arial"/>
              </w:rPr>
              <w:t>SDP</w:t>
            </w:r>
            <w:r w:rsidR="00B25C17" w:rsidRPr="00113364">
              <w:rPr>
                <w:rFonts w:ascii="Arial" w:hAnsi="Arial" w:cs="Arial"/>
              </w:rPr>
              <w:t>,</w:t>
            </w:r>
            <w:r w:rsidRPr="00113364">
              <w:rPr>
                <w:rFonts w:ascii="Arial" w:hAnsi="Arial" w:cs="Arial"/>
              </w:rPr>
              <w:t xml:space="preserve"> and develop new services.</w:t>
            </w:r>
          </w:p>
        </w:tc>
        <w:tc>
          <w:tcPr>
            <w:tcW w:w="1710" w:type="dxa"/>
          </w:tcPr>
          <w:p w14:paraId="616C779A" w14:textId="665882B3" w:rsidR="0082400C" w:rsidRPr="00113364" w:rsidRDefault="0035337A" w:rsidP="009E4270">
            <w:pPr>
              <w:rPr>
                <w:rFonts w:ascii="Arial" w:hAnsi="Arial" w:cs="Arial"/>
              </w:rPr>
            </w:pPr>
            <w:r w:rsidRPr="00113364">
              <w:rPr>
                <w:rFonts w:ascii="Arial" w:hAnsi="Arial" w:cs="Arial"/>
              </w:rPr>
              <w:t>Downey</w:t>
            </w:r>
            <w:r w:rsidR="0082400C" w:rsidRPr="00113364">
              <w:rPr>
                <w:rFonts w:ascii="Arial" w:hAnsi="Arial" w:cs="Arial"/>
              </w:rPr>
              <w:t xml:space="preserve">, </w:t>
            </w:r>
            <w:r w:rsidR="009607AD" w:rsidRPr="00113364">
              <w:rPr>
                <w:rFonts w:ascii="Arial" w:hAnsi="Arial" w:cs="Arial"/>
              </w:rPr>
              <w:t>California</w:t>
            </w:r>
          </w:p>
        </w:tc>
        <w:tc>
          <w:tcPr>
            <w:tcW w:w="1530" w:type="dxa"/>
          </w:tcPr>
          <w:p w14:paraId="19353646" w14:textId="12C4C8B4" w:rsidR="0082400C" w:rsidRPr="00113364" w:rsidRDefault="0082400C" w:rsidP="00F62746">
            <w:pPr>
              <w:ind w:left="-18"/>
              <w:rPr>
                <w:rFonts w:ascii="Arial" w:hAnsi="Arial" w:cs="Arial"/>
              </w:rPr>
            </w:pPr>
            <w:r w:rsidRPr="00113364">
              <w:rPr>
                <w:rFonts w:ascii="Arial" w:hAnsi="Arial" w:cs="Arial"/>
              </w:rPr>
              <w:t xml:space="preserve">Regional MEP staff in </w:t>
            </w:r>
            <w:r w:rsidR="00E8105D" w:rsidRPr="00113364">
              <w:rPr>
                <w:rFonts w:ascii="Arial" w:hAnsi="Arial" w:cs="Arial"/>
              </w:rPr>
              <w:t>Southern</w:t>
            </w:r>
            <w:r w:rsidRPr="00113364">
              <w:rPr>
                <w:rFonts w:ascii="Arial" w:hAnsi="Arial" w:cs="Arial"/>
              </w:rPr>
              <w:t xml:space="preserve"> </w:t>
            </w:r>
            <w:r w:rsidR="009607AD" w:rsidRPr="00113364">
              <w:rPr>
                <w:rFonts w:ascii="Arial" w:hAnsi="Arial" w:cs="Arial"/>
              </w:rPr>
              <w:t>California</w:t>
            </w:r>
          </w:p>
        </w:tc>
      </w:tr>
      <w:tr w:rsidR="00F458B4" w:rsidRPr="00113364" w14:paraId="787B4992" w14:textId="77777777" w:rsidTr="00767B67">
        <w:trPr>
          <w:cantSplit/>
          <w:trHeight w:val="2061"/>
        </w:trPr>
        <w:tc>
          <w:tcPr>
            <w:tcW w:w="1345" w:type="dxa"/>
          </w:tcPr>
          <w:p w14:paraId="159F95B4" w14:textId="7A252CAD" w:rsidR="000D2F9B" w:rsidRPr="00113364" w:rsidRDefault="000D2F9B" w:rsidP="00705CE8">
            <w:pPr>
              <w:rPr>
                <w:rFonts w:ascii="Arial" w:hAnsi="Arial" w:cs="Arial"/>
              </w:rPr>
            </w:pPr>
            <w:r w:rsidRPr="00113364">
              <w:rPr>
                <w:rFonts w:ascii="Arial" w:hAnsi="Arial" w:cs="Arial"/>
              </w:rPr>
              <w:t>February 2026</w:t>
            </w:r>
          </w:p>
        </w:tc>
        <w:tc>
          <w:tcPr>
            <w:tcW w:w="1620" w:type="dxa"/>
          </w:tcPr>
          <w:p w14:paraId="263ED1D7" w14:textId="1C6C1E53" w:rsidR="000D2F9B" w:rsidRPr="00113364" w:rsidRDefault="000D2F9B" w:rsidP="009E4270">
            <w:pPr>
              <w:rPr>
                <w:rFonts w:ascii="Arial" w:hAnsi="Arial" w:cs="Arial"/>
              </w:rPr>
            </w:pPr>
            <w:r w:rsidRPr="00113364">
              <w:rPr>
                <w:rFonts w:ascii="Arial" w:hAnsi="Arial" w:cs="Arial"/>
              </w:rPr>
              <w:t>Aligning the Grant Application to the SDP</w:t>
            </w:r>
          </w:p>
        </w:tc>
        <w:tc>
          <w:tcPr>
            <w:tcW w:w="3420" w:type="dxa"/>
          </w:tcPr>
          <w:p w14:paraId="1A6D27BB" w14:textId="169F4DC3" w:rsidR="000D2F9B" w:rsidRPr="00113364" w:rsidRDefault="000D2F9B">
            <w:pPr>
              <w:pStyle w:val="ListParagraph"/>
              <w:numPr>
                <w:ilvl w:val="6"/>
                <w:numId w:val="60"/>
              </w:numPr>
              <w:ind w:left="280"/>
              <w:rPr>
                <w:rFonts w:ascii="Arial" w:hAnsi="Arial" w:cs="Arial"/>
              </w:rPr>
            </w:pPr>
            <w:r w:rsidRPr="00113364">
              <w:rPr>
                <w:rFonts w:ascii="Arial" w:hAnsi="Arial" w:cs="Arial"/>
              </w:rPr>
              <w:t>Review</w:t>
            </w:r>
            <w:r w:rsidR="00E34DB5" w:rsidRPr="00113364">
              <w:rPr>
                <w:rFonts w:ascii="Arial" w:hAnsi="Arial" w:cs="Arial"/>
              </w:rPr>
              <w:t xml:space="preserve"> grant application</w:t>
            </w:r>
            <w:r w:rsidRPr="00113364">
              <w:rPr>
                <w:rFonts w:ascii="Arial" w:hAnsi="Arial" w:cs="Arial"/>
              </w:rPr>
              <w:t xml:space="preserve"> </w:t>
            </w:r>
            <w:r w:rsidR="00E34DB5" w:rsidRPr="00113364">
              <w:rPr>
                <w:rFonts w:ascii="Arial" w:hAnsi="Arial" w:cs="Arial"/>
              </w:rPr>
              <w:t>changes related to the SDP</w:t>
            </w:r>
            <w:r w:rsidRPr="00113364">
              <w:rPr>
                <w:rFonts w:ascii="Arial" w:hAnsi="Arial" w:cs="Arial"/>
              </w:rPr>
              <w:t xml:space="preserve">. </w:t>
            </w:r>
          </w:p>
          <w:p w14:paraId="5304E877" w14:textId="66CA534D" w:rsidR="000D2F9B" w:rsidRPr="00113364" w:rsidRDefault="00E751F3">
            <w:pPr>
              <w:pStyle w:val="ListParagraph"/>
              <w:numPr>
                <w:ilvl w:val="6"/>
                <w:numId w:val="60"/>
              </w:numPr>
              <w:ind w:left="280"/>
              <w:rPr>
                <w:rFonts w:ascii="Arial" w:hAnsi="Arial" w:cs="Arial"/>
              </w:rPr>
            </w:pPr>
            <w:r w:rsidRPr="00113364">
              <w:rPr>
                <w:rFonts w:ascii="Arial" w:hAnsi="Arial" w:cs="Arial"/>
              </w:rPr>
              <w:t xml:space="preserve">Understand </w:t>
            </w:r>
            <w:r w:rsidR="00E34DB5" w:rsidRPr="00113364">
              <w:rPr>
                <w:rFonts w:ascii="Arial" w:hAnsi="Arial" w:cs="Arial"/>
              </w:rPr>
              <w:t>what is needed within each field to meet the selected SDP strategies and MPOs.</w:t>
            </w:r>
          </w:p>
        </w:tc>
        <w:tc>
          <w:tcPr>
            <w:tcW w:w="1710" w:type="dxa"/>
          </w:tcPr>
          <w:p w14:paraId="7E570261" w14:textId="18EB7020" w:rsidR="000D2F9B" w:rsidRPr="00113364" w:rsidRDefault="000D2F9B" w:rsidP="009E4270">
            <w:pPr>
              <w:rPr>
                <w:rFonts w:ascii="Arial" w:hAnsi="Arial" w:cs="Arial"/>
              </w:rPr>
            </w:pPr>
            <w:r w:rsidRPr="00113364">
              <w:rPr>
                <w:rFonts w:ascii="Arial" w:hAnsi="Arial" w:cs="Arial"/>
              </w:rPr>
              <w:t>Webinar</w:t>
            </w:r>
          </w:p>
        </w:tc>
        <w:tc>
          <w:tcPr>
            <w:tcW w:w="1530" w:type="dxa"/>
          </w:tcPr>
          <w:p w14:paraId="6B034BAE" w14:textId="5F7610C0" w:rsidR="000D2F9B" w:rsidRPr="00113364" w:rsidRDefault="000D2F9B" w:rsidP="00F62746">
            <w:pPr>
              <w:ind w:left="-18"/>
              <w:rPr>
                <w:rFonts w:ascii="Arial" w:hAnsi="Arial" w:cs="Arial"/>
              </w:rPr>
            </w:pPr>
            <w:r w:rsidRPr="00113364">
              <w:rPr>
                <w:rFonts w:ascii="Arial" w:hAnsi="Arial" w:cs="Arial"/>
              </w:rPr>
              <w:t>MEP Directors and staff who complete grant applications</w:t>
            </w:r>
          </w:p>
        </w:tc>
      </w:tr>
      <w:tr w:rsidR="000D2F9B" w:rsidRPr="00113364" w14:paraId="53552015" w14:textId="77777777" w:rsidTr="00767B67">
        <w:trPr>
          <w:cnfStyle w:val="000000100000" w:firstRow="0" w:lastRow="0" w:firstColumn="0" w:lastColumn="0" w:oddVBand="0" w:evenVBand="0" w:oddHBand="1" w:evenHBand="0" w:firstRowFirstColumn="0" w:firstRowLastColumn="0" w:lastRowFirstColumn="0" w:lastRowLastColumn="0"/>
          <w:cantSplit/>
          <w:trHeight w:val="2061"/>
        </w:trPr>
        <w:tc>
          <w:tcPr>
            <w:tcW w:w="1345" w:type="dxa"/>
          </w:tcPr>
          <w:p w14:paraId="5FA07C06" w14:textId="3BDA48AD" w:rsidR="000D2F9B" w:rsidRPr="00113364" w:rsidRDefault="00C87D86" w:rsidP="00705CE8">
            <w:pPr>
              <w:rPr>
                <w:rFonts w:ascii="Arial" w:hAnsi="Arial" w:cs="Arial"/>
              </w:rPr>
            </w:pPr>
            <w:r>
              <w:rPr>
                <w:rFonts w:ascii="Arial" w:hAnsi="Arial" w:cs="Arial"/>
              </w:rPr>
              <w:t>March</w:t>
            </w:r>
            <w:r w:rsidR="000D2F9B" w:rsidRPr="00113364">
              <w:rPr>
                <w:rFonts w:ascii="Arial" w:hAnsi="Arial" w:cs="Arial"/>
              </w:rPr>
              <w:t xml:space="preserve"> 2026</w:t>
            </w:r>
          </w:p>
        </w:tc>
        <w:tc>
          <w:tcPr>
            <w:tcW w:w="1620" w:type="dxa"/>
          </w:tcPr>
          <w:p w14:paraId="2AC2E5DF" w14:textId="74F7CEAB" w:rsidR="000D2F9B" w:rsidRPr="00113364" w:rsidRDefault="000D2F9B" w:rsidP="009E4270">
            <w:pPr>
              <w:rPr>
                <w:rFonts w:ascii="Arial" w:hAnsi="Arial" w:cs="Arial"/>
              </w:rPr>
            </w:pPr>
            <w:r w:rsidRPr="00113364">
              <w:rPr>
                <w:rFonts w:ascii="Arial" w:hAnsi="Arial" w:cs="Arial"/>
              </w:rPr>
              <w:t>Review tools for the SDP</w:t>
            </w:r>
          </w:p>
        </w:tc>
        <w:tc>
          <w:tcPr>
            <w:tcW w:w="3420" w:type="dxa"/>
          </w:tcPr>
          <w:p w14:paraId="08D28381" w14:textId="77777777" w:rsidR="00F15DEE" w:rsidRPr="00113364" w:rsidRDefault="00F15DEE">
            <w:pPr>
              <w:pStyle w:val="ListParagraph"/>
              <w:numPr>
                <w:ilvl w:val="6"/>
                <w:numId w:val="61"/>
              </w:numPr>
              <w:ind w:left="258"/>
              <w:rPr>
                <w:rFonts w:ascii="Arial" w:hAnsi="Arial" w:cs="Arial"/>
              </w:rPr>
            </w:pPr>
            <w:r w:rsidRPr="00113364">
              <w:rPr>
                <w:rFonts w:ascii="Arial" w:hAnsi="Arial" w:cs="Arial"/>
              </w:rPr>
              <w:t>Review new MPO Reports created in MSIN to support the SDP’s implementation.</w:t>
            </w:r>
          </w:p>
          <w:p w14:paraId="11F960E0" w14:textId="1C9C94D0" w:rsidR="000D2F9B" w:rsidRPr="00113364" w:rsidRDefault="00F15DEE">
            <w:pPr>
              <w:pStyle w:val="ListParagraph"/>
              <w:numPr>
                <w:ilvl w:val="6"/>
                <w:numId w:val="61"/>
              </w:numPr>
              <w:ind w:left="258"/>
              <w:rPr>
                <w:rFonts w:ascii="Arial" w:hAnsi="Arial" w:cs="Arial"/>
              </w:rPr>
            </w:pPr>
            <w:r w:rsidRPr="00113364">
              <w:rPr>
                <w:rFonts w:ascii="Arial" w:hAnsi="Arial" w:cs="Arial"/>
              </w:rPr>
              <w:t>Understand how the reports prioritize PFS students, streamline enrollment by need, monitor progress, and evaluate annual progress.</w:t>
            </w:r>
          </w:p>
        </w:tc>
        <w:tc>
          <w:tcPr>
            <w:tcW w:w="1710" w:type="dxa"/>
          </w:tcPr>
          <w:p w14:paraId="27062215" w14:textId="066115FE" w:rsidR="000D2F9B" w:rsidRPr="00113364" w:rsidRDefault="000D2F9B" w:rsidP="009E4270">
            <w:pPr>
              <w:rPr>
                <w:rFonts w:ascii="Arial" w:hAnsi="Arial" w:cs="Arial"/>
              </w:rPr>
            </w:pPr>
            <w:r w:rsidRPr="00113364">
              <w:rPr>
                <w:rFonts w:ascii="Arial" w:hAnsi="Arial" w:cs="Arial"/>
              </w:rPr>
              <w:t>Webinar</w:t>
            </w:r>
          </w:p>
        </w:tc>
        <w:tc>
          <w:tcPr>
            <w:tcW w:w="1530" w:type="dxa"/>
          </w:tcPr>
          <w:p w14:paraId="315635A7" w14:textId="4BF69542" w:rsidR="000D2F9B" w:rsidRPr="00113364" w:rsidRDefault="000D2F9B" w:rsidP="00F62746">
            <w:pPr>
              <w:ind w:left="-18"/>
              <w:rPr>
                <w:rFonts w:ascii="Arial" w:hAnsi="Arial" w:cs="Arial"/>
              </w:rPr>
            </w:pPr>
            <w:r w:rsidRPr="00113364">
              <w:rPr>
                <w:rFonts w:ascii="Arial" w:hAnsi="Arial" w:cs="Arial"/>
              </w:rPr>
              <w:t>MEP Directors and staff</w:t>
            </w:r>
          </w:p>
        </w:tc>
      </w:tr>
      <w:tr w:rsidR="00C87D86" w:rsidRPr="00113364" w14:paraId="290A0CFA" w14:textId="77777777" w:rsidTr="00767B67">
        <w:trPr>
          <w:cantSplit/>
          <w:trHeight w:val="1592"/>
        </w:trPr>
        <w:tc>
          <w:tcPr>
            <w:tcW w:w="1345" w:type="dxa"/>
          </w:tcPr>
          <w:p w14:paraId="0F584B4B" w14:textId="6354FE2F" w:rsidR="00C87D86" w:rsidRPr="00113364" w:rsidRDefault="00C87D86" w:rsidP="00C87D86">
            <w:pPr>
              <w:rPr>
                <w:rFonts w:ascii="Arial" w:hAnsi="Arial" w:cs="Arial"/>
              </w:rPr>
            </w:pPr>
            <w:r>
              <w:rPr>
                <w:rFonts w:ascii="Arial" w:hAnsi="Arial" w:cs="Arial"/>
              </w:rPr>
              <w:lastRenderedPageBreak/>
              <w:t>April 2026</w:t>
            </w:r>
          </w:p>
        </w:tc>
        <w:tc>
          <w:tcPr>
            <w:tcW w:w="1620" w:type="dxa"/>
          </w:tcPr>
          <w:p w14:paraId="494D2CB9" w14:textId="1A705893" w:rsidR="00C87D86" w:rsidRPr="00113364" w:rsidRDefault="00C87D86" w:rsidP="00C87D86">
            <w:pPr>
              <w:rPr>
                <w:rFonts w:ascii="Arial" w:hAnsi="Arial" w:cs="Arial"/>
              </w:rPr>
            </w:pPr>
            <w:r>
              <w:rPr>
                <w:rFonts w:ascii="Arial" w:hAnsi="Arial" w:cs="Arial"/>
              </w:rPr>
              <w:t>Building Student Engagement (Part II)</w:t>
            </w:r>
          </w:p>
        </w:tc>
        <w:tc>
          <w:tcPr>
            <w:tcW w:w="3420" w:type="dxa"/>
          </w:tcPr>
          <w:p w14:paraId="617C4384" w14:textId="77777777" w:rsidR="00C87D86" w:rsidRDefault="00C87D86" w:rsidP="00C87D86">
            <w:pPr>
              <w:pStyle w:val="ListParagraph"/>
              <w:numPr>
                <w:ilvl w:val="6"/>
                <w:numId w:val="72"/>
              </w:numPr>
              <w:ind w:left="340"/>
              <w:rPr>
                <w:rFonts w:ascii="Arial" w:hAnsi="Arial" w:cs="Arial"/>
              </w:rPr>
            </w:pPr>
            <w:r>
              <w:rPr>
                <w:rFonts w:ascii="Arial" w:hAnsi="Arial" w:cs="Arial"/>
              </w:rPr>
              <w:t>Learn how to engage students in learning.</w:t>
            </w:r>
          </w:p>
          <w:p w14:paraId="30B9A30E" w14:textId="0FC64B3E" w:rsidR="00C87D86" w:rsidRPr="00C87D86" w:rsidRDefault="00C87D86" w:rsidP="00C87D86">
            <w:pPr>
              <w:pStyle w:val="ListParagraph"/>
              <w:numPr>
                <w:ilvl w:val="6"/>
                <w:numId w:val="72"/>
              </w:numPr>
              <w:ind w:left="340"/>
              <w:rPr>
                <w:rFonts w:ascii="Arial" w:hAnsi="Arial" w:cs="Arial"/>
              </w:rPr>
            </w:pPr>
            <w:r w:rsidRPr="00C87D86">
              <w:rPr>
                <w:rFonts w:ascii="Arial" w:hAnsi="Arial" w:cs="Arial"/>
              </w:rPr>
              <w:t xml:space="preserve">Review </w:t>
            </w:r>
            <w:r w:rsidR="00DC2E53">
              <w:rPr>
                <w:rFonts w:ascii="Arial" w:hAnsi="Arial" w:cs="Arial"/>
              </w:rPr>
              <w:t xml:space="preserve">a </w:t>
            </w:r>
            <w:r w:rsidRPr="00C87D86">
              <w:rPr>
                <w:rFonts w:ascii="Arial" w:hAnsi="Arial" w:cs="Arial"/>
              </w:rPr>
              <w:t>sample unit and lesson plans to increase engagement</w:t>
            </w:r>
            <w:r w:rsidR="00DC2E53">
              <w:rPr>
                <w:rFonts w:ascii="Arial" w:hAnsi="Arial" w:cs="Arial"/>
              </w:rPr>
              <w:t>.</w:t>
            </w:r>
            <w:r w:rsidRPr="00C87D86">
              <w:rPr>
                <w:rFonts w:ascii="Arial" w:hAnsi="Arial" w:cs="Arial"/>
              </w:rPr>
              <w:t xml:space="preserve"> </w:t>
            </w:r>
          </w:p>
        </w:tc>
        <w:tc>
          <w:tcPr>
            <w:tcW w:w="1710" w:type="dxa"/>
          </w:tcPr>
          <w:p w14:paraId="5CB10E80" w14:textId="6F4B9A47" w:rsidR="00C87D86" w:rsidRPr="00113364" w:rsidRDefault="00C87D86" w:rsidP="00C87D86">
            <w:pPr>
              <w:rPr>
                <w:rFonts w:ascii="Arial" w:hAnsi="Arial" w:cs="Arial"/>
              </w:rPr>
            </w:pPr>
            <w:r w:rsidRPr="00113364">
              <w:rPr>
                <w:rFonts w:ascii="Arial" w:hAnsi="Arial" w:cs="Arial"/>
              </w:rPr>
              <w:t>Webinar</w:t>
            </w:r>
          </w:p>
        </w:tc>
        <w:tc>
          <w:tcPr>
            <w:tcW w:w="1530" w:type="dxa"/>
          </w:tcPr>
          <w:p w14:paraId="0F862A1B" w14:textId="0B996587" w:rsidR="00C87D86" w:rsidRPr="00113364" w:rsidRDefault="00C87D86" w:rsidP="00C87D86">
            <w:pPr>
              <w:ind w:left="-18"/>
              <w:rPr>
                <w:rFonts w:ascii="Arial" w:hAnsi="Arial" w:cs="Arial"/>
              </w:rPr>
            </w:pPr>
            <w:r w:rsidRPr="00113364">
              <w:rPr>
                <w:rFonts w:ascii="Arial" w:hAnsi="Arial" w:cs="Arial"/>
              </w:rPr>
              <w:t>MEP Directors and staff</w:t>
            </w:r>
          </w:p>
        </w:tc>
      </w:tr>
    </w:tbl>
    <w:p w14:paraId="44276C02" w14:textId="5F3988D7" w:rsidR="004F6691" w:rsidRPr="00113364" w:rsidRDefault="004F6691" w:rsidP="006856D5">
      <w:pPr>
        <w:pStyle w:val="Heading4"/>
      </w:pPr>
      <w:r w:rsidRPr="00113364">
        <w:t xml:space="preserve">Communicating the </w:t>
      </w:r>
      <w:r w:rsidR="00791178" w:rsidRPr="00113364">
        <w:t xml:space="preserve">State Service Delivery Plan </w:t>
      </w:r>
      <w:r w:rsidRPr="00113364">
        <w:t xml:space="preserve">to Other </w:t>
      </w:r>
      <w:r w:rsidR="00EF59DB" w:rsidRPr="00113364">
        <w:t xml:space="preserve">Interested Parties </w:t>
      </w:r>
    </w:p>
    <w:p w14:paraId="37677406" w14:textId="55FDA47C" w:rsidR="008B1191" w:rsidRPr="00113364" w:rsidRDefault="008B1191" w:rsidP="00072681">
      <w:pPr>
        <w:rPr>
          <w:rFonts w:ascii="Arial" w:hAnsi="Arial" w:cs="Arial"/>
        </w:rPr>
      </w:pPr>
      <w:r w:rsidRPr="00113364">
        <w:rPr>
          <w:rFonts w:ascii="Arial" w:hAnsi="Arial" w:cs="Arial"/>
        </w:rPr>
        <w:t>Additional informational and training sessions will be offered to internal and external partners</w:t>
      </w:r>
      <w:r w:rsidR="00F46B87" w:rsidRPr="00113364">
        <w:rPr>
          <w:rFonts w:ascii="Arial" w:hAnsi="Arial" w:cs="Arial"/>
        </w:rPr>
        <w:t xml:space="preserve"> (e.g., California Mini-Corps, multilingual workgroups within the CDE, the Binational Coordinators’ Network, HEP, etc.)</w:t>
      </w:r>
      <w:r w:rsidRPr="00113364">
        <w:rPr>
          <w:rFonts w:ascii="Arial" w:hAnsi="Arial" w:cs="Arial"/>
        </w:rPr>
        <w:t>.</w:t>
      </w:r>
      <w:r w:rsidR="00F46B87" w:rsidRPr="00113364">
        <w:rPr>
          <w:rFonts w:ascii="Arial" w:hAnsi="Arial" w:cs="Arial"/>
        </w:rPr>
        <w:t xml:space="preserve"> Furthermore, the CDE will continue to provide training around the SDP and consult with the SPAC during the SDP’s implementation. Prior to the 2026–27 grant year, the CDE will update</w:t>
      </w:r>
      <w:r w:rsidRPr="00113364">
        <w:rPr>
          <w:rFonts w:ascii="Arial" w:hAnsi="Arial" w:cs="Arial"/>
        </w:rPr>
        <w:t xml:space="preserve"> California’s online MEP grant application system</w:t>
      </w:r>
      <w:r w:rsidR="00F46B87" w:rsidRPr="00113364">
        <w:rPr>
          <w:rFonts w:ascii="Arial" w:hAnsi="Arial" w:cs="Arial"/>
        </w:rPr>
        <w:t xml:space="preserve"> to align to the revised strategies and MPOs providing the first training in February 2026</w:t>
      </w:r>
      <w:r w:rsidRPr="00113364">
        <w:rPr>
          <w:rFonts w:ascii="Arial" w:hAnsi="Arial" w:cs="Arial"/>
        </w:rPr>
        <w:t xml:space="preserve">. </w:t>
      </w:r>
    </w:p>
    <w:p w14:paraId="16DAE838" w14:textId="4078C906" w:rsidR="00601662" w:rsidRPr="00113364" w:rsidRDefault="00601662" w:rsidP="006849D8">
      <w:pPr>
        <w:pStyle w:val="Heading5"/>
        <w:spacing w:after="0"/>
        <w:rPr>
          <w:b/>
          <w:i w:val="0"/>
          <w:sz w:val="24"/>
        </w:rPr>
      </w:pPr>
      <w:bookmarkStart w:id="138" w:name="_Toc204755381"/>
      <w:r w:rsidRPr="00113364">
        <w:rPr>
          <w:b/>
          <w:i w:val="0"/>
          <w:sz w:val="24"/>
        </w:rPr>
        <w:t xml:space="preserve">Table </w:t>
      </w:r>
      <w:r w:rsidR="006C4B40" w:rsidRPr="00113364">
        <w:rPr>
          <w:b/>
          <w:i w:val="0"/>
          <w:sz w:val="24"/>
        </w:rPr>
        <w:fldChar w:fldCharType="begin"/>
      </w:r>
      <w:r w:rsidR="006C4B40" w:rsidRPr="00113364">
        <w:rPr>
          <w:b/>
          <w:i w:val="0"/>
          <w:sz w:val="24"/>
        </w:rPr>
        <w:instrText xml:space="preserve"> SEQ Table \* ARABIC </w:instrText>
      </w:r>
      <w:r w:rsidR="006C4B40" w:rsidRPr="00113364">
        <w:rPr>
          <w:b/>
          <w:i w:val="0"/>
          <w:sz w:val="24"/>
        </w:rPr>
        <w:fldChar w:fldCharType="separate"/>
      </w:r>
      <w:r w:rsidR="001362A0">
        <w:rPr>
          <w:b/>
          <w:i w:val="0"/>
          <w:noProof/>
          <w:sz w:val="24"/>
        </w:rPr>
        <w:t>45</w:t>
      </w:r>
      <w:r w:rsidR="006C4B40" w:rsidRPr="00113364">
        <w:rPr>
          <w:b/>
          <w:i w:val="0"/>
          <w:noProof/>
          <w:sz w:val="24"/>
        </w:rPr>
        <w:fldChar w:fldCharType="end"/>
      </w:r>
      <w:r w:rsidRPr="00113364">
        <w:rPr>
          <w:b/>
          <w:i w:val="0"/>
          <w:sz w:val="24"/>
        </w:rPr>
        <w:t xml:space="preserve">. </w:t>
      </w:r>
      <w:r w:rsidR="008E3AFA" w:rsidRPr="00113364">
        <w:rPr>
          <w:b/>
          <w:i w:val="0"/>
          <w:sz w:val="24"/>
        </w:rPr>
        <w:t xml:space="preserve">State Service Delivery Plan </w:t>
      </w:r>
      <w:r w:rsidRPr="00113364">
        <w:rPr>
          <w:b/>
          <w:i w:val="0"/>
          <w:sz w:val="24"/>
        </w:rPr>
        <w:t xml:space="preserve">Communication Plan for Other </w:t>
      </w:r>
      <w:r w:rsidR="00EF59DB" w:rsidRPr="00113364">
        <w:rPr>
          <w:b/>
          <w:i w:val="0"/>
          <w:sz w:val="24"/>
        </w:rPr>
        <w:t>Interested Parties</w:t>
      </w:r>
      <w:bookmarkEnd w:id="138"/>
    </w:p>
    <w:tbl>
      <w:tblPr>
        <w:tblStyle w:val="GridTable4-Accent1"/>
        <w:tblW w:w="9504" w:type="dxa"/>
        <w:tblLook w:val="0420" w:firstRow="1" w:lastRow="0" w:firstColumn="0" w:lastColumn="0" w:noHBand="0" w:noVBand="1"/>
        <w:tblDescription w:val="State Service Delivery Plan Communication Timeline for Other Stakeholders"/>
      </w:tblPr>
      <w:tblGrid>
        <w:gridCol w:w="1430"/>
        <w:gridCol w:w="1361"/>
        <w:gridCol w:w="3491"/>
        <w:gridCol w:w="1591"/>
        <w:gridCol w:w="1631"/>
      </w:tblGrid>
      <w:tr w:rsidR="008B1191" w:rsidRPr="00113364" w14:paraId="1F9A6563" w14:textId="77777777" w:rsidTr="00F15DEE">
        <w:trPr>
          <w:cnfStyle w:val="100000000000" w:firstRow="1" w:lastRow="0" w:firstColumn="0" w:lastColumn="0" w:oddVBand="0" w:evenVBand="0" w:oddHBand="0" w:evenHBand="0" w:firstRowFirstColumn="0" w:firstRowLastColumn="0" w:lastRowFirstColumn="0" w:lastRowLastColumn="0"/>
          <w:cantSplit/>
          <w:trHeight w:val="289"/>
          <w:tblHeader/>
        </w:trPr>
        <w:tc>
          <w:tcPr>
            <w:tcW w:w="1430" w:type="dxa"/>
            <w:tcBorders>
              <w:right w:val="single" w:sz="4" w:space="0" w:color="5B9BD5"/>
            </w:tcBorders>
            <w:shd w:val="clear" w:color="auto" w:fill="1F3864" w:themeFill="accent5" w:themeFillShade="80"/>
          </w:tcPr>
          <w:p w14:paraId="670B5E3E" w14:textId="77777777" w:rsidR="00D133C6" w:rsidRPr="00113364" w:rsidRDefault="00D133C6" w:rsidP="009D2881">
            <w:pPr>
              <w:jc w:val="center"/>
              <w:rPr>
                <w:rFonts w:ascii="Arial" w:hAnsi="Arial" w:cs="Arial"/>
                <w:color w:val="FFFFFF"/>
              </w:rPr>
            </w:pPr>
            <w:r w:rsidRPr="00113364">
              <w:rPr>
                <w:rFonts w:ascii="Arial" w:hAnsi="Arial" w:cs="Arial"/>
                <w:color w:val="FFFFFF"/>
              </w:rPr>
              <w:t>Timeframe</w:t>
            </w:r>
          </w:p>
        </w:tc>
        <w:tc>
          <w:tcPr>
            <w:tcW w:w="1363" w:type="dxa"/>
            <w:tcBorders>
              <w:left w:val="single" w:sz="4" w:space="0" w:color="5B9BD5"/>
              <w:right w:val="single" w:sz="4" w:space="0" w:color="5B9BD5"/>
            </w:tcBorders>
            <w:shd w:val="clear" w:color="auto" w:fill="1F3864" w:themeFill="accent5" w:themeFillShade="80"/>
          </w:tcPr>
          <w:p w14:paraId="3A2B6FAD" w14:textId="77777777" w:rsidR="00D133C6" w:rsidRPr="00113364" w:rsidRDefault="00D133C6" w:rsidP="009D2881">
            <w:pPr>
              <w:jc w:val="center"/>
              <w:rPr>
                <w:rFonts w:ascii="Arial" w:hAnsi="Arial" w:cs="Arial"/>
                <w:color w:val="FFFFFF"/>
              </w:rPr>
            </w:pPr>
            <w:r w:rsidRPr="00113364">
              <w:rPr>
                <w:rFonts w:ascii="Arial" w:hAnsi="Arial" w:cs="Arial"/>
                <w:color w:val="FFFFFF"/>
              </w:rPr>
              <w:t>Training</w:t>
            </w:r>
          </w:p>
        </w:tc>
        <w:tc>
          <w:tcPr>
            <w:tcW w:w="3510" w:type="dxa"/>
            <w:tcBorders>
              <w:left w:val="single" w:sz="4" w:space="0" w:color="5B9BD5"/>
              <w:right w:val="single" w:sz="4" w:space="0" w:color="5B9BD5"/>
            </w:tcBorders>
            <w:shd w:val="clear" w:color="auto" w:fill="1F3864" w:themeFill="accent5" w:themeFillShade="80"/>
          </w:tcPr>
          <w:p w14:paraId="2F68230E" w14:textId="77777777" w:rsidR="00D133C6" w:rsidRPr="00113364" w:rsidRDefault="00E8548A" w:rsidP="009D2881">
            <w:pPr>
              <w:jc w:val="center"/>
              <w:rPr>
                <w:rFonts w:ascii="Arial" w:hAnsi="Arial" w:cs="Arial"/>
                <w:color w:val="FFFFFF"/>
              </w:rPr>
            </w:pPr>
            <w:r w:rsidRPr="00113364">
              <w:rPr>
                <w:rFonts w:ascii="Arial" w:hAnsi="Arial" w:cs="Arial"/>
                <w:color w:val="FFFFFF"/>
              </w:rPr>
              <w:t>Objectives</w:t>
            </w:r>
          </w:p>
        </w:tc>
        <w:tc>
          <w:tcPr>
            <w:tcW w:w="1570" w:type="dxa"/>
            <w:tcBorders>
              <w:left w:val="single" w:sz="4" w:space="0" w:color="5B9BD5"/>
              <w:right w:val="single" w:sz="4" w:space="0" w:color="5B9BD5"/>
            </w:tcBorders>
            <w:shd w:val="clear" w:color="auto" w:fill="1F3864" w:themeFill="accent5" w:themeFillShade="80"/>
          </w:tcPr>
          <w:p w14:paraId="49159672" w14:textId="77777777" w:rsidR="00D133C6" w:rsidRPr="00113364" w:rsidRDefault="00D133C6" w:rsidP="009D2881">
            <w:pPr>
              <w:jc w:val="center"/>
              <w:rPr>
                <w:rFonts w:ascii="Arial" w:hAnsi="Arial" w:cs="Arial"/>
                <w:color w:val="FFFFFF"/>
              </w:rPr>
            </w:pPr>
            <w:r w:rsidRPr="00113364">
              <w:rPr>
                <w:rFonts w:ascii="Arial" w:hAnsi="Arial" w:cs="Arial"/>
                <w:color w:val="FFFFFF"/>
              </w:rPr>
              <w:t>Where</w:t>
            </w:r>
          </w:p>
        </w:tc>
        <w:tc>
          <w:tcPr>
            <w:tcW w:w="1631" w:type="dxa"/>
            <w:tcBorders>
              <w:left w:val="single" w:sz="4" w:space="0" w:color="5B9BD5"/>
            </w:tcBorders>
            <w:shd w:val="clear" w:color="auto" w:fill="1F3864" w:themeFill="accent5" w:themeFillShade="80"/>
          </w:tcPr>
          <w:p w14:paraId="5C395C65" w14:textId="77777777" w:rsidR="00D133C6" w:rsidRPr="00113364" w:rsidRDefault="00D133C6" w:rsidP="009D2881">
            <w:pPr>
              <w:jc w:val="center"/>
              <w:rPr>
                <w:rFonts w:ascii="Arial" w:hAnsi="Arial" w:cs="Arial"/>
                <w:color w:val="FFFFFF"/>
              </w:rPr>
            </w:pPr>
            <w:r w:rsidRPr="00113364">
              <w:rPr>
                <w:rFonts w:ascii="Arial" w:hAnsi="Arial" w:cs="Arial"/>
                <w:color w:val="FFFFFF"/>
              </w:rPr>
              <w:t>Audience</w:t>
            </w:r>
          </w:p>
        </w:tc>
      </w:tr>
      <w:tr w:rsidR="00F15DEE" w:rsidRPr="00113364" w14:paraId="580E816A" w14:textId="77777777" w:rsidTr="00F15DEE">
        <w:trPr>
          <w:cnfStyle w:val="000000100000" w:firstRow="0" w:lastRow="0" w:firstColumn="0" w:lastColumn="0" w:oddVBand="0" w:evenVBand="0" w:oddHBand="1" w:evenHBand="0" w:firstRowFirstColumn="0" w:firstRowLastColumn="0" w:lastRowFirstColumn="0" w:lastRowLastColumn="0"/>
          <w:cantSplit/>
          <w:trHeight w:val="1304"/>
        </w:trPr>
        <w:tc>
          <w:tcPr>
            <w:tcW w:w="1430" w:type="dxa"/>
          </w:tcPr>
          <w:p w14:paraId="700B3412" w14:textId="77777777" w:rsidR="00F15DEE" w:rsidRPr="00113364" w:rsidRDefault="00F15DEE" w:rsidP="00EB4984">
            <w:pPr>
              <w:rPr>
                <w:rFonts w:ascii="Arial" w:hAnsi="Arial" w:cs="Arial"/>
              </w:rPr>
            </w:pPr>
            <w:r w:rsidRPr="00113364">
              <w:rPr>
                <w:rFonts w:ascii="Arial" w:hAnsi="Arial" w:cs="Arial"/>
              </w:rPr>
              <w:t>December 2025</w:t>
            </w:r>
          </w:p>
        </w:tc>
        <w:tc>
          <w:tcPr>
            <w:tcW w:w="1363" w:type="dxa"/>
          </w:tcPr>
          <w:p w14:paraId="78D98E45" w14:textId="77777777" w:rsidR="00F15DEE" w:rsidRPr="00113364" w:rsidRDefault="00F15DEE" w:rsidP="00EB4984">
            <w:pPr>
              <w:rPr>
                <w:rFonts w:ascii="Arial" w:hAnsi="Arial" w:cs="Arial"/>
              </w:rPr>
            </w:pPr>
            <w:r w:rsidRPr="00113364">
              <w:rPr>
                <w:rFonts w:ascii="Arial" w:hAnsi="Arial" w:cs="Arial"/>
              </w:rPr>
              <w:t>Aligning MEP Services with the SDP</w:t>
            </w:r>
          </w:p>
        </w:tc>
        <w:tc>
          <w:tcPr>
            <w:tcW w:w="3510" w:type="dxa"/>
          </w:tcPr>
          <w:p w14:paraId="4D33F775" w14:textId="77777777" w:rsidR="00F15DEE" w:rsidRPr="00113364" w:rsidRDefault="00F15DEE">
            <w:pPr>
              <w:pStyle w:val="ListParagraph"/>
              <w:numPr>
                <w:ilvl w:val="0"/>
                <w:numId w:val="32"/>
              </w:numPr>
              <w:rPr>
                <w:rFonts w:ascii="Arial" w:hAnsi="Arial" w:cs="Arial"/>
              </w:rPr>
            </w:pPr>
            <w:r w:rsidRPr="00113364">
              <w:rPr>
                <w:rFonts w:ascii="Arial" w:hAnsi="Arial" w:cs="Arial"/>
              </w:rPr>
              <w:t>Review performance targets for each focus area.</w:t>
            </w:r>
          </w:p>
          <w:p w14:paraId="5DA93039" w14:textId="3EC67852" w:rsidR="00F15DEE" w:rsidRPr="00113364" w:rsidRDefault="00F15DEE">
            <w:pPr>
              <w:pStyle w:val="ListParagraph"/>
              <w:numPr>
                <w:ilvl w:val="0"/>
                <w:numId w:val="32"/>
              </w:numPr>
              <w:rPr>
                <w:rFonts w:ascii="Arial" w:hAnsi="Arial" w:cs="Arial"/>
              </w:rPr>
            </w:pPr>
            <w:r w:rsidRPr="00113364">
              <w:rPr>
                <w:rFonts w:ascii="Arial" w:hAnsi="Arial" w:cs="Arial"/>
              </w:rPr>
              <w:t>Discuss MEP services that address all the focus areas.</w:t>
            </w:r>
          </w:p>
        </w:tc>
        <w:tc>
          <w:tcPr>
            <w:tcW w:w="1570" w:type="dxa"/>
          </w:tcPr>
          <w:p w14:paraId="3EABEA0D" w14:textId="77777777" w:rsidR="00F15DEE" w:rsidRPr="00113364" w:rsidRDefault="00F15DEE" w:rsidP="00EB4984">
            <w:pPr>
              <w:rPr>
                <w:rFonts w:ascii="Arial" w:hAnsi="Arial" w:cs="Arial"/>
              </w:rPr>
            </w:pPr>
            <w:r w:rsidRPr="00113364">
              <w:rPr>
                <w:rFonts w:ascii="Arial" w:hAnsi="Arial" w:cs="Arial"/>
              </w:rPr>
              <w:t>SPAC Meeting</w:t>
            </w:r>
          </w:p>
        </w:tc>
        <w:tc>
          <w:tcPr>
            <w:tcW w:w="1631" w:type="dxa"/>
          </w:tcPr>
          <w:p w14:paraId="643ECB6A" w14:textId="77777777" w:rsidR="00F15DEE" w:rsidRPr="00113364" w:rsidRDefault="00F15DEE" w:rsidP="00EB4984">
            <w:pPr>
              <w:rPr>
                <w:rFonts w:ascii="Arial" w:hAnsi="Arial" w:cs="Arial"/>
              </w:rPr>
            </w:pPr>
            <w:r w:rsidRPr="00113364">
              <w:rPr>
                <w:rFonts w:ascii="Arial" w:hAnsi="Arial" w:cs="Arial"/>
              </w:rPr>
              <w:t>SPAC members</w:t>
            </w:r>
          </w:p>
        </w:tc>
      </w:tr>
      <w:tr w:rsidR="008B1191" w:rsidRPr="00113364" w14:paraId="0D8C70F5" w14:textId="77777777" w:rsidTr="00F15DEE">
        <w:trPr>
          <w:cantSplit/>
          <w:trHeight w:val="1190"/>
        </w:trPr>
        <w:tc>
          <w:tcPr>
            <w:tcW w:w="1430" w:type="dxa"/>
          </w:tcPr>
          <w:p w14:paraId="01304084" w14:textId="1435AF85" w:rsidR="00D133C6" w:rsidRPr="00113364" w:rsidRDefault="00D133C6" w:rsidP="003A04A9">
            <w:pPr>
              <w:rPr>
                <w:rFonts w:ascii="Arial" w:hAnsi="Arial" w:cs="Arial"/>
              </w:rPr>
            </w:pPr>
            <w:r w:rsidRPr="00113364">
              <w:rPr>
                <w:rFonts w:ascii="Arial" w:hAnsi="Arial" w:cs="Arial"/>
              </w:rPr>
              <w:t>Sept. 20</w:t>
            </w:r>
            <w:r w:rsidR="00F15DEE" w:rsidRPr="00113364">
              <w:rPr>
                <w:rFonts w:ascii="Arial" w:hAnsi="Arial" w:cs="Arial"/>
              </w:rPr>
              <w:t>26</w:t>
            </w:r>
          </w:p>
        </w:tc>
        <w:tc>
          <w:tcPr>
            <w:tcW w:w="1363" w:type="dxa"/>
          </w:tcPr>
          <w:p w14:paraId="3327A840" w14:textId="5DD13541" w:rsidR="00D133C6" w:rsidRPr="00113364" w:rsidRDefault="00D133C6" w:rsidP="003A04A9">
            <w:pPr>
              <w:rPr>
                <w:rFonts w:ascii="Arial" w:hAnsi="Arial" w:cs="Arial"/>
              </w:rPr>
            </w:pPr>
            <w:r w:rsidRPr="00113364">
              <w:rPr>
                <w:rFonts w:ascii="Arial" w:hAnsi="Arial" w:cs="Arial"/>
              </w:rPr>
              <w:t xml:space="preserve">Overview of the </w:t>
            </w:r>
            <w:r w:rsidR="00452477" w:rsidRPr="00113364">
              <w:rPr>
                <w:rFonts w:ascii="Arial" w:hAnsi="Arial" w:cs="Arial"/>
              </w:rPr>
              <w:t>SDP</w:t>
            </w:r>
          </w:p>
        </w:tc>
        <w:tc>
          <w:tcPr>
            <w:tcW w:w="3510" w:type="dxa"/>
          </w:tcPr>
          <w:p w14:paraId="136E5DBF" w14:textId="75C7644F" w:rsidR="00E8548A" w:rsidRPr="00113364" w:rsidRDefault="00E8548A">
            <w:pPr>
              <w:pStyle w:val="ListParagraph"/>
              <w:numPr>
                <w:ilvl w:val="0"/>
                <w:numId w:val="31"/>
              </w:numPr>
              <w:rPr>
                <w:rFonts w:ascii="Arial" w:hAnsi="Arial" w:cs="Arial"/>
              </w:rPr>
            </w:pPr>
            <w:r w:rsidRPr="00113364">
              <w:rPr>
                <w:rFonts w:ascii="Arial" w:hAnsi="Arial" w:cs="Arial"/>
              </w:rPr>
              <w:t xml:space="preserve">Provide an overview of the </w:t>
            </w:r>
            <w:r w:rsidR="00452477" w:rsidRPr="00113364">
              <w:rPr>
                <w:rFonts w:ascii="Arial" w:hAnsi="Arial" w:cs="Arial"/>
              </w:rPr>
              <w:t>SDP</w:t>
            </w:r>
            <w:r w:rsidRPr="00113364">
              <w:rPr>
                <w:rFonts w:ascii="Arial" w:hAnsi="Arial" w:cs="Arial"/>
              </w:rPr>
              <w:t xml:space="preserve"> process.</w:t>
            </w:r>
          </w:p>
          <w:p w14:paraId="0C0F13BC" w14:textId="79175E6C" w:rsidR="00D133C6" w:rsidRPr="00113364" w:rsidRDefault="00E8548A">
            <w:pPr>
              <w:pStyle w:val="ListParagraph"/>
              <w:numPr>
                <w:ilvl w:val="0"/>
                <w:numId w:val="31"/>
              </w:numPr>
              <w:rPr>
                <w:rFonts w:ascii="Arial" w:hAnsi="Arial" w:cs="Arial"/>
              </w:rPr>
            </w:pPr>
            <w:r w:rsidRPr="00113364">
              <w:rPr>
                <w:rFonts w:ascii="Arial" w:hAnsi="Arial" w:cs="Arial"/>
              </w:rPr>
              <w:t xml:space="preserve">Review </w:t>
            </w:r>
            <w:r w:rsidR="00F15DEE" w:rsidRPr="00113364">
              <w:rPr>
                <w:rFonts w:ascii="Arial" w:hAnsi="Arial" w:cs="Arial"/>
              </w:rPr>
              <w:t>strategies and MPOs to be included</w:t>
            </w:r>
            <w:r w:rsidRPr="00113364">
              <w:rPr>
                <w:rFonts w:ascii="Arial" w:hAnsi="Arial" w:cs="Arial"/>
              </w:rPr>
              <w:t xml:space="preserve"> for each focus area.</w:t>
            </w:r>
          </w:p>
        </w:tc>
        <w:tc>
          <w:tcPr>
            <w:tcW w:w="1570" w:type="dxa"/>
          </w:tcPr>
          <w:p w14:paraId="3974DCFD" w14:textId="018894B1" w:rsidR="00D133C6" w:rsidRPr="00113364" w:rsidRDefault="00F15DEE" w:rsidP="003A04A9">
            <w:pPr>
              <w:rPr>
                <w:rFonts w:ascii="Arial" w:hAnsi="Arial" w:cs="Arial"/>
              </w:rPr>
            </w:pPr>
            <w:r w:rsidRPr="00113364">
              <w:rPr>
                <w:rFonts w:ascii="Arial" w:hAnsi="Arial" w:cs="Arial"/>
              </w:rPr>
              <w:t>Webinar</w:t>
            </w:r>
          </w:p>
        </w:tc>
        <w:tc>
          <w:tcPr>
            <w:tcW w:w="1631" w:type="dxa"/>
          </w:tcPr>
          <w:p w14:paraId="534EB541" w14:textId="1D57DCDF" w:rsidR="00D133C6" w:rsidRPr="00113364" w:rsidRDefault="00D133C6" w:rsidP="003A04A9">
            <w:pPr>
              <w:rPr>
                <w:rFonts w:ascii="Arial" w:hAnsi="Arial" w:cs="Arial"/>
              </w:rPr>
            </w:pPr>
            <w:r w:rsidRPr="00113364">
              <w:rPr>
                <w:rFonts w:ascii="Arial" w:hAnsi="Arial" w:cs="Arial"/>
              </w:rPr>
              <w:t>MEP Online Grant Application Development Team</w:t>
            </w:r>
          </w:p>
        </w:tc>
      </w:tr>
      <w:tr w:rsidR="008B1191" w:rsidRPr="00113364" w14:paraId="48EDCD44" w14:textId="77777777" w:rsidTr="00C66C34">
        <w:trPr>
          <w:cnfStyle w:val="000000100000" w:firstRow="0" w:lastRow="0" w:firstColumn="0" w:lastColumn="0" w:oddVBand="0" w:evenVBand="0" w:oddHBand="1" w:evenHBand="0" w:firstRowFirstColumn="0" w:firstRowLastColumn="0" w:lastRowFirstColumn="0" w:lastRowLastColumn="0"/>
          <w:cantSplit/>
          <w:trHeight w:val="1592"/>
        </w:trPr>
        <w:tc>
          <w:tcPr>
            <w:tcW w:w="1430" w:type="dxa"/>
          </w:tcPr>
          <w:p w14:paraId="5FD62185" w14:textId="1E287CC1" w:rsidR="00D133C6" w:rsidRPr="00113364" w:rsidRDefault="00F15DEE" w:rsidP="00D133C6">
            <w:pPr>
              <w:rPr>
                <w:rFonts w:ascii="Arial" w:hAnsi="Arial" w:cs="Arial"/>
              </w:rPr>
            </w:pPr>
            <w:r w:rsidRPr="00113364">
              <w:rPr>
                <w:rFonts w:ascii="Arial" w:hAnsi="Arial" w:cs="Arial"/>
              </w:rPr>
              <w:t>December 202</w:t>
            </w:r>
            <w:r w:rsidR="00C87D86">
              <w:rPr>
                <w:rFonts w:ascii="Arial" w:hAnsi="Arial" w:cs="Arial"/>
              </w:rPr>
              <w:t>6</w:t>
            </w:r>
          </w:p>
        </w:tc>
        <w:tc>
          <w:tcPr>
            <w:tcW w:w="1363" w:type="dxa"/>
          </w:tcPr>
          <w:p w14:paraId="34D0E633" w14:textId="6BF641B3" w:rsidR="00D133C6" w:rsidRPr="00113364" w:rsidRDefault="00D133C6" w:rsidP="001745B0">
            <w:pPr>
              <w:rPr>
                <w:rFonts w:ascii="Arial" w:hAnsi="Arial" w:cs="Arial"/>
              </w:rPr>
            </w:pPr>
            <w:r w:rsidRPr="00113364">
              <w:rPr>
                <w:rFonts w:ascii="Arial" w:hAnsi="Arial" w:cs="Arial"/>
              </w:rPr>
              <w:t xml:space="preserve">Aligning MEP Services with the </w:t>
            </w:r>
            <w:r w:rsidR="00452477" w:rsidRPr="00113364">
              <w:rPr>
                <w:rFonts w:ascii="Arial" w:hAnsi="Arial" w:cs="Arial"/>
              </w:rPr>
              <w:t>SDP</w:t>
            </w:r>
          </w:p>
        </w:tc>
        <w:tc>
          <w:tcPr>
            <w:tcW w:w="3510" w:type="dxa"/>
          </w:tcPr>
          <w:p w14:paraId="4D1C082B" w14:textId="51468D5E" w:rsidR="007B435A" w:rsidRPr="00113364" w:rsidRDefault="00E8548A">
            <w:pPr>
              <w:pStyle w:val="ListParagraph"/>
              <w:numPr>
                <w:ilvl w:val="0"/>
                <w:numId w:val="62"/>
              </w:numPr>
              <w:rPr>
                <w:rFonts w:ascii="Arial" w:hAnsi="Arial" w:cs="Arial"/>
              </w:rPr>
            </w:pPr>
            <w:r w:rsidRPr="00113364">
              <w:rPr>
                <w:rFonts w:ascii="Arial" w:hAnsi="Arial" w:cs="Arial"/>
              </w:rPr>
              <w:t xml:space="preserve">Review </w:t>
            </w:r>
            <w:r w:rsidR="003A2CED" w:rsidRPr="00113364">
              <w:rPr>
                <w:rFonts w:ascii="Arial" w:hAnsi="Arial" w:cs="Arial"/>
              </w:rPr>
              <w:t xml:space="preserve">the strategies </w:t>
            </w:r>
            <w:r w:rsidRPr="00113364">
              <w:rPr>
                <w:rFonts w:ascii="Arial" w:hAnsi="Arial" w:cs="Arial"/>
              </w:rPr>
              <w:t>for each focus area</w:t>
            </w:r>
            <w:r w:rsidR="003A2CED" w:rsidRPr="00113364">
              <w:rPr>
                <w:rFonts w:ascii="Arial" w:hAnsi="Arial" w:cs="Arial"/>
              </w:rPr>
              <w:t xml:space="preserve"> and describe the evaluation and continuous improvement plan.</w:t>
            </w:r>
          </w:p>
          <w:p w14:paraId="06B67ECE" w14:textId="43D2570D" w:rsidR="00D133C6" w:rsidRPr="00113364" w:rsidRDefault="00E8548A">
            <w:pPr>
              <w:pStyle w:val="ListParagraph"/>
              <w:numPr>
                <w:ilvl w:val="0"/>
                <w:numId w:val="62"/>
              </w:numPr>
              <w:rPr>
                <w:rFonts w:ascii="Arial" w:hAnsi="Arial" w:cs="Arial"/>
              </w:rPr>
            </w:pPr>
            <w:r w:rsidRPr="00113364">
              <w:rPr>
                <w:rFonts w:ascii="Arial" w:hAnsi="Arial" w:cs="Arial"/>
              </w:rPr>
              <w:t>Discuss MEP services that address all the focus areas.</w:t>
            </w:r>
          </w:p>
        </w:tc>
        <w:tc>
          <w:tcPr>
            <w:tcW w:w="1570" w:type="dxa"/>
          </w:tcPr>
          <w:p w14:paraId="222B5E15" w14:textId="381BACBC" w:rsidR="00D133C6" w:rsidRPr="00113364" w:rsidRDefault="00C87D86" w:rsidP="00D133C6">
            <w:pPr>
              <w:rPr>
                <w:rFonts w:ascii="Arial" w:hAnsi="Arial" w:cs="Arial"/>
              </w:rPr>
            </w:pPr>
            <w:r>
              <w:rPr>
                <w:rFonts w:ascii="Arial" w:hAnsi="Arial" w:cs="Arial"/>
              </w:rPr>
              <w:t>Bilingual Coordinators Network (BCN) in-person meeting</w:t>
            </w:r>
          </w:p>
        </w:tc>
        <w:tc>
          <w:tcPr>
            <w:tcW w:w="1631" w:type="dxa"/>
          </w:tcPr>
          <w:p w14:paraId="3419A006" w14:textId="77777777" w:rsidR="00C87D86" w:rsidRDefault="00C87D86" w:rsidP="00D133C6">
            <w:pPr>
              <w:rPr>
                <w:rFonts w:ascii="Arial" w:hAnsi="Arial" w:cs="Arial"/>
              </w:rPr>
            </w:pPr>
            <w:r>
              <w:rPr>
                <w:rFonts w:ascii="Arial" w:hAnsi="Arial" w:cs="Arial"/>
              </w:rPr>
              <w:t>BCN</w:t>
            </w:r>
          </w:p>
          <w:p w14:paraId="74C51CC6" w14:textId="23955CE6" w:rsidR="00D133C6" w:rsidRPr="00113364" w:rsidRDefault="00D133C6" w:rsidP="00D133C6">
            <w:pPr>
              <w:rPr>
                <w:rFonts w:ascii="Arial" w:hAnsi="Arial" w:cs="Arial"/>
              </w:rPr>
            </w:pPr>
            <w:r w:rsidRPr="00113364">
              <w:rPr>
                <w:rFonts w:ascii="Arial" w:hAnsi="Arial" w:cs="Arial"/>
              </w:rPr>
              <w:t>members</w:t>
            </w:r>
          </w:p>
        </w:tc>
      </w:tr>
    </w:tbl>
    <w:p w14:paraId="2B528923" w14:textId="39B5C393" w:rsidR="002B5060" w:rsidRPr="00113364" w:rsidRDefault="002B5060" w:rsidP="00773C83">
      <w:pPr>
        <w:pStyle w:val="Heading2"/>
        <w:spacing w:before="240"/>
      </w:pPr>
      <w:bookmarkStart w:id="139" w:name="_Toc40116906"/>
      <w:bookmarkStart w:id="140" w:name="_Toc203568875"/>
      <w:r w:rsidRPr="00113364">
        <w:lastRenderedPageBreak/>
        <w:t>Conclusion</w:t>
      </w:r>
      <w:bookmarkEnd w:id="139"/>
      <w:bookmarkEnd w:id="140"/>
    </w:p>
    <w:p w14:paraId="02B4B2D1" w14:textId="1FB92D07" w:rsidR="002B5060" w:rsidRPr="00113364" w:rsidRDefault="002B5060" w:rsidP="00767B67">
      <w:pPr>
        <w:spacing w:after="6480"/>
        <w:rPr>
          <w:rFonts w:ascii="Arial" w:hAnsi="Arial" w:cs="Arial"/>
        </w:rPr>
      </w:pPr>
      <w:r w:rsidRPr="00113364">
        <w:rPr>
          <w:rFonts w:ascii="Arial" w:hAnsi="Arial" w:cs="Arial"/>
        </w:rPr>
        <w:t xml:space="preserve">The guidance issued in this document applies to all California MEP-funded subgrantees. Information within this document should be shared and widely discussed by MEP staff within each subgrantee’s program area. MEP Directors and Coordinators should provide training and technical assistance on the strategies identified under each focus area and work with MEP staff, including reimbursable districts, to develop services that address the unique needs of migratory children as identified in Section 2 of this document. Strategy implementation will be measured annually, so subgrantees need to continue to review services through the lens of continuous improvement. For subgrantees with reimbursable districts, the </w:t>
      </w:r>
      <w:r w:rsidR="009A5E48">
        <w:rPr>
          <w:rFonts w:ascii="Arial" w:hAnsi="Arial" w:cs="Arial"/>
        </w:rPr>
        <w:t xml:space="preserve">regional </w:t>
      </w:r>
      <w:r w:rsidRPr="00113364">
        <w:rPr>
          <w:rFonts w:ascii="Arial" w:hAnsi="Arial" w:cs="Arial"/>
        </w:rPr>
        <w:t xml:space="preserve">MEP Director must coordinate services to ensure that the region </w:t>
      </w:r>
      <w:proofErr w:type="gramStart"/>
      <w:r w:rsidRPr="00113364">
        <w:rPr>
          <w:rFonts w:ascii="Arial" w:hAnsi="Arial" w:cs="Arial"/>
        </w:rPr>
        <w:t>as a whole develops</w:t>
      </w:r>
      <w:proofErr w:type="gramEnd"/>
      <w:r w:rsidRPr="00113364">
        <w:rPr>
          <w:rFonts w:ascii="Arial" w:hAnsi="Arial" w:cs="Arial"/>
        </w:rPr>
        <w:t xml:space="preserve"> the grant applications and services to meet the M</w:t>
      </w:r>
      <w:r w:rsidR="009F3F4B" w:rsidRPr="00113364">
        <w:rPr>
          <w:rFonts w:ascii="Arial" w:hAnsi="Arial" w:cs="Arial"/>
        </w:rPr>
        <w:t>POs</w:t>
      </w:r>
      <w:r w:rsidRPr="00113364">
        <w:rPr>
          <w:rFonts w:ascii="Arial" w:hAnsi="Arial" w:cs="Arial"/>
        </w:rPr>
        <w:t xml:space="preserve"> for each focus area. Furthermore, subgrantees may need to provide additional training and technical assistance for other program areas such as identifying and recruiting migrant students, giving PFS students priority enrollment in services, and using MSIN and MSIX. If you have additional questions, please visit the</w:t>
      </w:r>
      <w:r w:rsidR="00BB4058" w:rsidRPr="00113364">
        <w:rPr>
          <w:rFonts w:ascii="Arial" w:hAnsi="Arial" w:cs="Arial"/>
        </w:rPr>
        <w:t xml:space="preserve"> </w:t>
      </w:r>
      <w:hyperlink r:id="rId33" w:history="1">
        <w:r w:rsidR="00ED1043" w:rsidRPr="00ED1043">
          <w:rPr>
            <w:rStyle w:val="Hyperlink"/>
            <w:rFonts w:ascii="Arial" w:hAnsi="Arial" w:cs="Arial"/>
          </w:rPr>
          <w:t>Migrant Education Office web page</w:t>
        </w:r>
      </w:hyperlink>
      <w:r w:rsidRPr="00113364">
        <w:rPr>
          <w:rFonts w:ascii="Arial" w:hAnsi="Arial" w:cs="Arial"/>
        </w:rPr>
        <w:t>.</w:t>
      </w:r>
    </w:p>
    <w:p w14:paraId="65E894EC" w14:textId="0A35D015" w:rsidR="00072681" w:rsidRPr="00113364" w:rsidRDefault="002B5060" w:rsidP="00976DBD">
      <w:pPr>
        <w:spacing w:after="240"/>
        <w:jc w:val="center"/>
        <w:rPr>
          <w:rFonts w:ascii="Arial" w:hAnsi="Arial" w:cs="Arial"/>
        </w:rPr>
      </w:pPr>
      <w:r w:rsidRPr="00113364">
        <w:rPr>
          <w:rFonts w:ascii="Arial" w:hAnsi="Arial" w:cs="Arial"/>
        </w:rPr>
        <w:t>The Service Delivery Plan for California and all associated documents and activities were 100 percent funded by federal Title I, Part C</w:t>
      </w:r>
      <w:r w:rsidR="00C54D9F" w:rsidRPr="00113364">
        <w:rPr>
          <w:rFonts w:ascii="Arial" w:hAnsi="Arial" w:cs="Arial"/>
        </w:rPr>
        <w:t>,</w:t>
      </w:r>
      <w:r w:rsidRPr="00113364">
        <w:rPr>
          <w:rFonts w:ascii="Arial" w:hAnsi="Arial" w:cs="Arial"/>
        </w:rPr>
        <w:t xml:space="preserve"> provided by the U.S. Department of Education.</w:t>
      </w:r>
    </w:p>
    <w:sectPr w:rsidR="00072681" w:rsidRPr="00113364" w:rsidSect="00EA493F">
      <w:footerReference w:type="first" r:id="rId34"/>
      <w:pgSz w:w="12240" w:h="15840"/>
      <w:pgMar w:top="1440" w:right="1440" w:bottom="167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3B42" w14:textId="77777777" w:rsidR="00B651FF" w:rsidRDefault="00B651FF" w:rsidP="004F6691">
      <w:r>
        <w:separator/>
      </w:r>
    </w:p>
  </w:endnote>
  <w:endnote w:type="continuationSeparator" w:id="0">
    <w:p w14:paraId="6066AEA7" w14:textId="77777777" w:rsidR="00B651FF" w:rsidRDefault="00B651FF" w:rsidP="004F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54C9" w14:textId="77777777" w:rsidR="0017794E" w:rsidRPr="00147CFF" w:rsidRDefault="0017794E">
    <w:pPr>
      <w:pStyle w:val="Footer"/>
      <w:jc w:val="center"/>
      <w:rPr>
        <w:rFonts w:ascii="Arial" w:hAnsi="Arial" w:cs="Arial"/>
      </w:rPr>
    </w:pPr>
    <w:r w:rsidRPr="00147CFF">
      <w:rPr>
        <w:rFonts w:ascii="Arial" w:hAnsi="Arial" w:cs="Arial"/>
      </w:rPr>
      <w:fldChar w:fldCharType="begin"/>
    </w:r>
    <w:r w:rsidRPr="00147CFF">
      <w:rPr>
        <w:rFonts w:ascii="Arial" w:hAnsi="Arial" w:cs="Arial"/>
      </w:rPr>
      <w:instrText xml:space="preserve"> PAGE   \* MERGEFORMAT </w:instrText>
    </w:r>
    <w:r w:rsidRPr="00147CFF">
      <w:rPr>
        <w:rFonts w:ascii="Arial" w:hAnsi="Arial" w:cs="Arial"/>
      </w:rPr>
      <w:fldChar w:fldCharType="separate"/>
    </w:r>
    <w:r>
      <w:rPr>
        <w:rFonts w:ascii="Arial" w:hAnsi="Arial" w:cs="Arial"/>
        <w:noProof/>
      </w:rPr>
      <w:t>19</w:t>
    </w:r>
    <w:r w:rsidRPr="00147CFF">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9423" w14:textId="77777777" w:rsidR="0017794E" w:rsidRDefault="0017794E">
    <w:pPr>
      <w:pStyle w:val="Footer"/>
      <w:jc w:val="center"/>
    </w:pPr>
  </w:p>
  <w:p w14:paraId="0B5EBA88" w14:textId="77777777" w:rsidR="0017794E" w:rsidRDefault="00177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854202"/>
      <w:docPartObj>
        <w:docPartGallery w:val="Page Numbers (Bottom of Page)"/>
        <w:docPartUnique/>
      </w:docPartObj>
    </w:sdtPr>
    <w:sdtEndPr>
      <w:rPr>
        <w:noProof/>
      </w:rPr>
    </w:sdtEndPr>
    <w:sdtContent>
      <w:p w14:paraId="1FC2E4BB" w14:textId="0E56D837" w:rsidR="004073FE" w:rsidRDefault="004073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32D345" w14:textId="77777777" w:rsidR="0017794E" w:rsidRDefault="001779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6542" w14:textId="77777777" w:rsidR="0017794E" w:rsidRDefault="0017794E">
    <w:pPr>
      <w:pStyle w:val="Footer"/>
      <w:jc w:val="center"/>
    </w:pPr>
    <w:r>
      <w:fldChar w:fldCharType="begin"/>
    </w:r>
    <w:r>
      <w:instrText xml:space="preserve"> PAGE   \* MERGEFORMAT </w:instrText>
    </w:r>
    <w:r>
      <w:fldChar w:fldCharType="separate"/>
    </w:r>
    <w:r>
      <w:rPr>
        <w:noProof/>
      </w:rPr>
      <w:t>66</w:t>
    </w:r>
    <w:r>
      <w:rPr>
        <w:noProof/>
      </w:rPr>
      <w:fldChar w:fldCharType="end"/>
    </w:r>
  </w:p>
  <w:p w14:paraId="72E46931" w14:textId="77777777" w:rsidR="0017794E" w:rsidRDefault="0017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A18B" w14:textId="77777777" w:rsidR="00B651FF" w:rsidRDefault="00B651FF" w:rsidP="004F6691">
      <w:r>
        <w:separator/>
      </w:r>
    </w:p>
  </w:footnote>
  <w:footnote w:type="continuationSeparator" w:id="0">
    <w:p w14:paraId="5807CE69" w14:textId="77777777" w:rsidR="00B651FF" w:rsidRDefault="00B651FF" w:rsidP="004F6691">
      <w:r>
        <w:continuationSeparator/>
      </w:r>
    </w:p>
  </w:footnote>
  <w:footnote w:id="1">
    <w:p w14:paraId="0B43F4F3" w14:textId="1668B68C" w:rsidR="00887EFA" w:rsidRPr="00887EFA" w:rsidRDefault="00887EFA">
      <w:pPr>
        <w:pStyle w:val="FootnoteText"/>
        <w:rPr>
          <w:rFonts w:ascii="Arial" w:hAnsi="Arial" w:cs="Arial"/>
        </w:rPr>
      </w:pPr>
      <w:r w:rsidRPr="00887EFA">
        <w:rPr>
          <w:rStyle w:val="FootnoteReference"/>
          <w:rFonts w:ascii="Arial" w:hAnsi="Arial" w:cs="Arial"/>
        </w:rPr>
        <w:footnoteRef/>
      </w:r>
      <w:r w:rsidRPr="00887EFA">
        <w:rPr>
          <w:rFonts w:ascii="Arial" w:hAnsi="Arial" w:cs="Arial"/>
        </w:rPr>
        <w:t xml:space="preserve"> A Plan-Do-Study-Act, or PDSA, cycle is a continuous improvement science methodology in which </w:t>
      </w:r>
      <w:r>
        <w:rPr>
          <w:rFonts w:ascii="Arial" w:hAnsi="Arial" w:cs="Arial"/>
        </w:rPr>
        <w:t>a user plans for and implements a change, stud</w:t>
      </w:r>
      <w:r w:rsidR="000064CA">
        <w:rPr>
          <w:rFonts w:ascii="Arial" w:hAnsi="Arial" w:cs="Arial"/>
        </w:rPr>
        <w:t>ies</w:t>
      </w:r>
      <w:r>
        <w:rPr>
          <w:rFonts w:ascii="Arial" w:hAnsi="Arial" w:cs="Arial"/>
        </w:rPr>
        <w:t xml:space="preserve"> the effect of the change on your goal, and take</w:t>
      </w:r>
      <w:r w:rsidR="00F60CB4">
        <w:rPr>
          <w:rFonts w:ascii="Arial" w:hAnsi="Arial" w:cs="Arial"/>
        </w:rPr>
        <w:t>s</w:t>
      </w:r>
      <w:r>
        <w:rPr>
          <w:rFonts w:ascii="Arial" w:hAnsi="Arial" w:cs="Arial"/>
        </w:rPr>
        <w:t xml:space="preserve"> further action based on </w:t>
      </w:r>
      <w:r w:rsidR="000064CA">
        <w:rPr>
          <w:rFonts w:ascii="Arial" w:hAnsi="Arial" w:cs="Arial"/>
        </w:rPr>
        <w:t xml:space="preserve">the findings from the data reviewed during the study phase. </w:t>
      </w:r>
    </w:p>
  </w:footnote>
  <w:footnote w:id="2">
    <w:p w14:paraId="2D302F8B" w14:textId="4FABD8C2" w:rsidR="0017794E" w:rsidRPr="005E0053" w:rsidRDefault="0017794E">
      <w:pPr>
        <w:pStyle w:val="FootnoteText"/>
        <w:rPr>
          <w:rFonts w:ascii="Arial" w:hAnsi="Arial" w:cs="Arial"/>
        </w:rPr>
      </w:pPr>
      <w:r w:rsidRPr="005E0053">
        <w:rPr>
          <w:rStyle w:val="FootnoteReference"/>
          <w:rFonts w:ascii="Arial" w:hAnsi="Arial" w:cs="Arial"/>
        </w:rPr>
        <w:footnoteRef/>
      </w:r>
      <w:r w:rsidRPr="005E0053">
        <w:rPr>
          <w:rFonts w:ascii="Arial" w:hAnsi="Arial" w:cs="Arial"/>
        </w:rPr>
        <w:t xml:space="preserve"> U.S. Department of Education. 2012. The Migrant Education Service Delivery Plan Toolkit</w:t>
      </w:r>
      <w:r w:rsidR="00543846">
        <w:rPr>
          <w:rFonts w:ascii="Arial" w:hAnsi="Arial" w:cs="Arial"/>
        </w:rPr>
        <w:t>.</w:t>
      </w:r>
    </w:p>
  </w:footnote>
  <w:footnote w:id="3">
    <w:p w14:paraId="713F6D8D" w14:textId="44F36FF8" w:rsidR="00641790" w:rsidRPr="00E77FA2" w:rsidRDefault="00641790" w:rsidP="00641790">
      <w:pPr>
        <w:pStyle w:val="FootnoteText"/>
        <w:rPr>
          <w:rFonts w:ascii="Arial" w:hAnsi="Arial" w:cs="Arial"/>
        </w:rPr>
      </w:pPr>
      <w:r w:rsidRPr="00E77FA2">
        <w:rPr>
          <w:rStyle w:val="FootnoteReference"/>
          <w:rFonts w:ascii="Arial" w:hAnsi="Arial" w:cs="Arial"/>
        </w:rPr>
        <w:footnoteRef/>
      </w:r>
      <w:r w:rsidRPr="00E77FA2">
        <w:rPr>
          <w:rFonts w:ascii="Arial" w:hAnsi="Arial" w:cs="Arial"/>
        </w:rPr>
        <w:t xml:space="preserve"> California Department of Food and Agriculture. 20</w:t>
      </w:r>
      <w:r w:rsidR="009F1134">
        <w:rPr>
          <w:rFonts w:ascii="Arial" w:hAnsi="Arial" w:cs="Arial"/>
        </w:rPr>
        <w:t>23</w:t>
      </w:r>
      <w:r w:rsidRPr="00E77FA2">
        <w:rPr>
          <w:rFonts w:ascii="Arial" w:hAnsi="Arial" w:cs="Arial"/>
        </w:rPr>
        <w:t>. 20</w:t>
      </w:r>
      <w:r w:rsidR="009F1134">
        <w:rPr>
          <w:rFonts w:ascii="Arial" w:hAnsi="Arial" w:cs="Arial"/>
        </w:rPr>
        <w:t>23</w:t>
      </w:r>
      <w:r w:rsidRPr="00E77FA2">
        <w:rPr>
          <w:rFonts w:ascii="Arial" w:hAnsi="Arial" w:cs="Arial"/>
        </w:rPr>
        <w:t xml:space="preserve"> Crop Year Report. Sacramento, California: </w:t>
      </w:r>
      <w:hyperlink r:id="rId1" w:history="1">
        <w:r w:rsidRPr="00E671CF">
          <w:rPr>
            <w:rStyle w:val="Hyperlink"/>
            <w:rFonts w:ascii="Arial" w:hAnsi="Arial" w:cs="Arial"/>
          </w:rPr>
          <w:t>California Department of Food and Agriculture</w:t>
        </w:r>
      </w:hyperlink>
      <w:r w:rsidRPr="00E77FA2">
        <w:rPr>
          <w:rFonts w:ascii="Arial" w:hAnsi="Arial" w:cs="Arial"/>
        </w:rPr>
        <w:t xml:space="preserve">. </w:t>
      </w:r>
    </w:p>
  </w:footnote>
  <w:footnote w:id="4">
    <w:p w14:paraId="295AA080" w14:textId="22D649CD" w:rsidR="00641790" w:rsidRPr="00E77FA2" w:rsidRDefault="00641790" w:rsidP="00641790">
      <w:pPr>
        <w:pStyle w:val="FootnoteText"/>
        <w:rPr>
          <w:rFonts w:ascii="Arial" w:hAnsi="Arial" w:cs="Arial"/>
        </w:rPr>
      </w:pPr>
      <w:r w:rsidRPr="00E77FA2">
        <w:rPr>
          <w:rStyle w:val="FootnoteReference"/>
          <w:rFonts w:ascii="Arial" w:hAnsi="Arial" w:cs="Arial"/>
        </w:rPr>
        <w:footnoteRef/>
      </w:r>
      <w:r w:rsidRPr="00E77FA2">
        <w:rPr>
          <w:rFonts w:ascii="Arial" w:hAnsi="Arial" w:cs="Arial"/>
        </w:rPr>
        <w:t xml:space="preserve"> 2022–23 child counts provided by the US Department of Education include counts from the Migrant Student Information Exchange (MSIX) which is slightly off from the MSIN data due to the timing in which the data is submitted to the federal office.</w:t>
      </w:r>
    </w:p>
  </w:footnote>
  <w:footnote w:id="5">
    <w:p w14:paraId="144D3672" w14:textId="55848D04" w:rsidR="0017794E" w:rsidRPr="003A4C93" w:rsidRDefault="0017794E">
      <w:pPr>
        <w:pStyle w:val="FootnoteText"/>
        <w:rPr>
          <w:rFonts w:ascii="Arial" w:hAnsi="Arial" w:cs="Arial"/>
        </w:rPr>
      </w:pPr>
      <w:r w:rsidRPr="003A4C93">
        <w:rPr>
          <w:rStyle w:val="FootnoteReference"/>
          <w:rFonts w:ascii="Arial" w:hAnsi="Arial" w:cs="Arial"/>
        </w:rPr>
        <w:footnoteRef/>
      </w:r>
      <w:r w:rsidRPr="003A4C93">
        <w:rPr>
          <w:rFonts w:ascii="Arial" w:hAnsi="Arial" w:cs="Arial"/>
        </w:rPr>
        <w:t xml:space="preserve"> For more information on </w:t>
      </w:r>
      <w:hyperlink r:id="rId2" w:history="1">
        <w:r w:rsidRPr="00E671CF">
          <w:rPr>
            <w:rStyle w:val="Hyperlink"/>
            <w:rFonts w:ascii="Arial" w:hAnsi="Arial" w:cs="Arial"/>
          </w:rPr>
          <w:t>CALPADS</w:t>
        </w:r>
      </w:hyperlink>
      <w:r w:rsidR="00E671CF">
        <w:rPr>
          <w:rFonts w:ascii="Arial" w:hAnsi="Arial" w:cs="Arial"/>
        </w:rPr>
        <w:t>.</w:t>
      </w:r>
    </w:p>
  </w:footnote>
  <w:footnote w:id="6">
    <w:p w14:paraId="652DD546" w14:textId="186A7A68" w:rsidR="00A91D9B" w:rsidRPr="00E77FA2" w:rsidRDefault="00A91D9B" w:rsidP="00A91D9B">
      <w:pPr>
        <w:pStyle w:val="FootnoteText"/>
        <w:rPr>
          <w:rFonts w:ascii="Arial" w:hAnsi="Arial" w:cs="Arial"/>
        </w:rPr>
      </w:pPr>
      <w:r w:rsidRPr="00E77FA2">
        <w:rPr>
          <w:rStyle w:val="FootnoteReference"/>
          <w:rFonts w:ascii="Arial" w:hAnsi="Arial" w:cs="Arial"/>
        </w:rPr>
        <w:footnoteRef/>
      </w:r>
      <w:r w:rsidRPr="00E77FA2">
        <w:rPr>
          <w:rFonts w:ascii="Arial" w:hAnsi="Arial" w:cs="Arial"/>
        </w:rPr>
        <w:t xml:space="preserve"> The CDE Management and Data Team was responsible for planning, implementing</w:t>
      </w:r>
      <w:r w:rsidR="002038DE">
        <w:rPr>
          <w:rFonts w:ascii="Arial" w:hAnsi="Arial" w:cs="Arial"/>
        </w:rPr>
        <w:t>,</w:t>
      </w:r>
      <w:r w:rsidRPr="00E77FA2">
        <w:rPr>
          <w:rFonts w:ascii="Arial" w:hAnsi="Arial" w:cs="Arial"/>
        </w:rPr>
        <w:t xml:space="preserve"> and evaluating </w:t>
      </w:r>
      <w:r w:rsidR="003C680E">
        <w:rPr>
          <w:rFonts w:ascii="Arial" w:hAnsi="Arial" w:cs="Arial"/>
        </w:rPr>
        <w:t>all</w:t>
      </w:r>
      <w:r w:rsidRPr="00E77FA2">
        <w:rPr>
          <w:rFonts w:ascii="Arial" w:hAnsi="Arial" w:cs="Arial"/>
        </w:rPr>
        <w:t xml:space="preserve"> aspects of </w:t>
      </w:r>
      <w:r w:rsidR="003C680E">
        <w:rPr>
          <w:rFonts w:ascii="Arial" w:hAnsi="Arial" w:cs="Arial"/>
        </w:rPr>
        <w:t>both the CNA and SDP</w:t>
      </w:r>
      <w:r w:rsidRPr="00E77FA2">
        <w:rPr>
          <w:rFonts w:ascii="Arial" w:hAnsi="Arial" w:cs="Arial"/>
        </w:rPr>
        <w:t>.</w:t>
      </w:r>
    </w:p>
  </w:footnote>
  <w:footnote w:id="7">
    <w:p w14:paraId="2A5BCA1A" w14:textId="77777777" w:rsidR="00A91D9B" w:rsidRPr="00E77FA2" w:rsidRDefault="00A91D9B" w:rsidP="00A91D9B">
      <w:pPr>
        <w:pStyle w:val="FootnoteText"/>
        <w:rPr>
          <w:rFonts w:ascii="Arial" w:hAnsi="Arial" w:cs="Arial"/>
          <w:sz w:val="20"/>
          <w:szCs w:val="20"/>
        </w:rPr>
      </w:pPr>
      <w:r w:rsidRPr="00E77FA2">
        <w:rPr>
          <w:rStyle w:val="FootnoteReference"/>
          <w:rFonts w:ascii="Arial" w:hAnsi="Arial" w:cs="Arial"/>
        </w:rPr>
        <w:footnoteRef/>
      </w:r>
      <w:r w:rsidRPr="00E77FA2">
        <w:rPr>
          <w:rFonts w:ascii="Arial" w:hAnsi="Arial" w:cs="Arial"/>
        </w:rPr>
        <w:t xml:space="preserve"> The Migratory Student Profile compiled all available data for migratory children and youth for the ten focus areas into one report that the CNA SDP Committee and CDE Management and Data Team used to identify student needs and guide CNA development.</w:t>
      </w:r>
    </w:p>
  </w:footnote>
  <w:footnote w:id="8">
    <w:p w14:paraId="20F1D3C5" w14:textId="7BF76C1C" w:rsidR="0017794E" w:rsidRPr="00B45BD6" w:rsidRDefault="0017794E">
      <w:pPr>
        <w:pStyle w:val="FootnoteText"/>
        <w:rPr>
          <w:rFonts w:ascii="Arial" w:hAnsi="Arial" w:cs="Arial"/>
        </w:rPr>
      </w:pPr>
      <w:r w:rsidRPr="00B45BD6">
        <w:rPr>
          <w:rStyle w:val="FootnoteReference"/>
          <w:rFonts w:ascii="Arial" w:hAnsi="Arial" w:cs="Arial"/>
        </w:rPr>
        <w:footnoteRef/>
      </w:r>
      <w:r w:rsidRPr="00B45BD6">
        <w:rPr>
          <w:rFonts w:ascii="Arial" w:hAnsi="Arial" w:cs="Arial"/>
        </w:rPr>
        <w:t xml:space="preserve"> </w:t>
      </w:r>
      <w:r w:rsidRPr="00B45BD6">
        <w:rPr>
          <w:rFonts w:ascii="Arial" w:hAnsi="Arial" w:cs="Arial"/>
          <w:color w:val="333333"/>
        </w:rPr>
        <w:t xml:space="preserve">The </w:t>
      </w:r>
      <w:r w:rsidRPr="00B45BD6">
        <w:rPr>
          <w:rStyle w:val="Emphasis"/>
          <w:rFonts w:ascii="Arial" w:hAnsi="Arial" w:cs="Arial"/>
          <w:color w:val="333333"/>
        </w:rPr>
        <w:t>English Language Arts/English Language Development Framework for California Public Schools: Kindergarten Through Grade Twelve</w:t>
      </w:r>
      <w:r w:rsidRPr="00B45BD6">
        <w:rPr>
          <w:rFonts w:ascii="Arial" w:hAnsi="Arial" w:cs="Arial"/>
          <w:color w:val="333333"/>
        </w:rPr>
        <w:t xml:space="preserve"> offers guidance for providing all California students a world-class education​ in </w:t>
      </w:r>
      <w:r w:rsidR="00F8713E">
        <w:rPr>
          <w:rFonts w:ascii="Arial" w:hAnsi="Arial" w:cs="Arial"/>
          <w:color w:val="333333"/>
        </w:rPr>
        <w:t>ELA</w:t>
      </w:r>
      <w:r w:rsidRPr="00B45BD6">
        <w:rPr>
          <w:rFonts w:ascii="Arial" w:hAnsi="Arial" w:cs="Arial"/>
          <w:color w:val="333333"/>
        </w:rPr>
        <w:t xml:space="preserve"> and in literacy in history/social studies, science, and technical subjects.</w:t>
      </w:r>
    </w:p>
  </w:footnote>
  <w:footnote w:id="9">
    <w:p w14:paraId="7855EE20" w14:textId="77777777" w:rsidR="0017794E" w:rsidRPr="00B45BD6" w:rsidRDefault="0017794E">
      <w:pPr>
        <w:pStyle w:val="FootnoteText"/>
        <w:rPr>
          <w:rFonts w:ascii="Arial" w:hAnsi="Arial" w:cs="Arial"/>
        </w:rPr>
      </w:pPr>
      <w:r w:rsidRPr="00B45BD6">
        <w:rPr>
          <w:rStyle w:val="FootnoteReference"/>
          <w:rFonts w:ascii="Arial" w:hAnsi="Arial" w:cs="Arial"/>
        </w:rPr>
        <w:footnoteRef/>
      </w:r>
      <w:r w:rsidRPr="00B45BD6">
        <w:rPr>
          <w:rFonts w:ascii="Arial" w:hAnsi="Arial" w:cs="Arial"/>
        </w:rPr>
        <w:t xml:space="preserve"> </w:t>
      </w:r>
      <w:r w:rsidRPr="00B45BD6">
        <w:rPr>
          <w:rFonts w:ascii="Arial" w:hAnsi="Arial" w:cs="Arial"/>
          <w:color w:val="333333"/>
        </w:rPr>
        <w:t xml:space="preserve">The </w:t>
      </w:r>
      <w:r w:rsidRPr="00B45BD6">
        <w:rPr>
          <w:rStyle w:val="Emphasis"/>
          <w:rFonts w:ascii="Arial" w:hAnsi="Arial" w:cs="Arial"/>
          <w:color w:val="333333"/>
        </w:rPr>
        <w:t>Mathematics Framework for California Public Schools, K-12</w:t>
      </w:r>
      <w:r w:rsidRPr="00B45BD6">
        <w:rPr>
          <w:rFonts w:ascii="Arial" w:hAnsi="Arial" w:cs="Arial"/>
          <w:color w:val="333333"/>
        </w:rPr>
        <w:t xml:space="preserve"> highlights essential information and provides guidance in mathematics.</w:t>
      </w:r>
    </w:p>
  </w:footnote>
  <w:footnote w:id="10">
    <w:p w14:paraId="139D3F5C" w14:textId="77777777" w:rsidR="0017794E" w:rsidRPr="00B45BD6" w:rsidRDefault="0017794E" w:rsidP="00B978C7">
      <w:pPr>
        <w:ind w:right="-810"/>
        <w:rPr>
          <w:rFonts w:ascii="Arial" w:eastAsia="Times New Roman" w:hAnsi="Arial" w:cs="Arial"/>
        </w:rPr>
      </w:pPr>
      <w:r w:rsidRPr="00B45BD6">
        <w:rPr>
          <w:rStyle w:val="FootnoteReference"/>
          <w:rFonts w:ascii="Arial" w:hAnsi="Arial" w:cs="Arial"/>
        </w:rPr>
        <w:footnoteRef/>
      </w:r>
      <w:r w:rsidRPr="00B45BD6">
        <w:rPr>
          <w:rFonts w:ascii="Arial" w:hAnsi="Arial" w:cs="Arial"/>
        </w:rPr>
        <w:t>CAASPP: Understanding Your Student Score Report, CDE</w:t>
      </w:r>
      <w:r>
        <w:rPr>
          <w:rFonts w:ascii="Arial" w:hAnsi="Arial" w:cs="Arial"/>
        </w:rPr>
        <w:t>.</w:t>
      </w:r>
      <w:r w:rsidRPr="00B45BD6">
        <w:rPr>
          <w:rFonts w:ascii="Arial" w:hAnsi="Arial" w:cs="Arial"/>
        </w:rPr>
        <w:t xml:space="preserve"> </w:t>
      </w:r>
    </w:p>
  </w:footnote>
  <w:footnote w:id="11">
    <w:p w14:paraId="1294581C" w14:textId="723DA99D" w:rsidR="0017794E" w:rsidRPr="00B45BD6" w:rsidRDefault="0017794E" w:rsidP="006143B6">
      <w:pPr>
        <w:pStyle w:val="FootnoteText"/>
        <w:rPr>
          <w:rFonts w:ascii="Arial" w:hAnsi="Arial" w:cs="Arial"/>
        </w:rPr>
      </w:pPr>
      <w:r w:rsidRPr="00B45BD6">
        <w:rPr>
          <w:rStyle w:val="FootnoteReference"/>
          <w:rFonts w:ascii="Arial" w:hAnsi="Arial" w:cs="Arial"/>
        </w:rPr>
        <w:footnoteRef/>
      </w:r>
      <w:r w:rsidRPr="00B45BD6">
        <w:rPr>
          <w:rFonts w:ascii="Arial" w:hAnsi="Arial" w:cs="Arial"/>
        </w:rPr>
        <w:t xml:space="preserve"> This </w:t>
      </w:r>
      <w:r w:rsidR="006D4AF1">
        <w:rPr>
          <w:rFonts w:ascii="Arial" w:hAnsi="Arial" w:cs="Arial"/>
        </w:rPr>
        <w:t>focus</w:t>
      </w:r>
      <w:r w:rsidRPr="00B45BD6">
        <w:rPr>
          <w:rFonts w:ascii="Arial" w:hAnsi="Arial" w:cs="Arial"/>
        </w:rPr>
        <w:t xml:space="preserve"> area </w:t>
      </w:r>
      <w:r w:rsidR="006D4AF1">
        <w:rPr>
          <w:rFonts w:ascii="Arial" w:hAnsi="Arial" w:cs="Arial"/>
        </w:rPr>
        <w:t>aligns to</w:t>
      </w:r>
      <w:r w:rsidRPr="00B45BD6">
        <w:rPr>
          <w:rFonts w:ascii="Arial" w:hAnsi="Arial" w:cs="Arial"/>
        </w:rPr>
        <w:t xml:space="preserve"> OME’s </w:t>
      </w:r>
      <w:r w:rsidR="006D4AF1">
        <w:rPr>
          <w:rFonts w:ascii="Arial" w:hAnsi="Arial" w:cs="Arial"/>
        </w:rPr>
        <w:t>goal area</w:t>
      </w:r>
      <w:r w:rsidRPr="00B45BD6">
        <w:rPr>
          <w:rFonts w:ascii="Arial" w:hAnsi="Arial" w:cs="Arial"/>
        </w:rPr>
        <w:t xml:space="preserve"> for the Government Performance and Results Act of 1983. </w:t>
      </w:r>
    </w:p>
  </w:footnote>
  <w:footnote w:id="12">
    <w:p w14:paraId="6004D9AD" w14:textId="77777777" w:rsidR="0017794E" w:rsidRPr="00B45BD6" w:rsidRDefault="0017794E" w:rsidP="006143B6">
      <w:pPr>
        <w:pStyle w:val="FootnoteText"/>
        <w:rPr>
          <w:rFonts w:ascii="Arial" w:hAnsi="Arial" w:cs="Arial"/>
        </w:rPr>
      </w:pPr>
      <w:r w:rsidRPr="00B45BD6">
        <w:rPr>
          <w:rStyle w:val="FootnoteReference"/>
          <w:rFonts w:ascii="Arial" w:hAnsi="Arial" w:cs="Arial"/>
        </w:rPr>
        <w:footnoteRef/>
      </w:r>
      <w:r w:rsidRPr="00B45BD6">
        <w:rPr>
          <w:rFonts w:ascii="Arial" w:hAnsi="Arial" w:cs="Arial"/>
        </w:rPr>
        <w:t xml:space="preserve"> This goal area is consistent with OME’s requirement for the Government Performance and Results Act of 1983.</w:t>
      </w:r>
    </w:p>
  </w:footnote>
  <w:footnote w:id="13">
    <w:p w14:paraId="042D323E" w14:textId="71E50749" w:rsidR="00A57DAC" w:rsidRPr="00A57DAC" w:rsidRDefault="00A57DAC">
      <w:pPr>
        <w:pStyle w:val="FootnoteText"/>
        <w:rPr>
          <w:rFonts w:ascii="Arial" w:hAnsi="Arial" w:cs="Arial"/>
        </w:rPr>
      </w:pPr>
      <w:r w:rsidRPr="00A57DAC">
        <w:rPr>
          <w:rStyle w:val="FootnoteReference"/>
          <w:rFonts w:ascii="Arial" w:hAnsi="Arial" w:cs="Arial"/>
        </w:rPr>
        <w:footnoteRef/>
      </w:r>
      <w:r w:rsidRPr="00A57DAC">
        <w:rPr>
          <w:rFonts w:ascii="Arial" w:hAnsi="Arial" w:cs="Arial"/>
        </w:rPr>
        <w:t xml:space="preserve"> </w:t>
      </w:r>
      <w:r w:rsidR="00E92A6A" w:rsidRPr="00E92A6A">
        <w:rPr>
          <w:rFonts w:ascii="Arial" w:hAnsi="Arial" w:cs="Arial"/>
        </w:rPr>
        <w:t xml:space="preserve">DataQuest provides </w:t>
      </w:r>
      <w:r w:rsidR="00E92A6A">
        <w:rPr>
          <w:rFonts w:ascii="Arial" w:hAnsi="Arial" w:cs="Arial"/>
        </w:rPr>
        <w:t>valuable data</w:t>
      </w:r>
      <w:r w:rsidR="00E92A6A" w:rsidRPr="00E92A6A">
        <w:rPr>
          <w:rFonts w:ascii="Arial" w:hAnsi="Arial" w:cs="Arial"/>
        </w:rPr>
        <w:t xml:space="preserve"> about California's TK/K-12 public educational system. </w:t>
      </w:r>
      <w:r w:rsidR="00E92A6A">
        <w:rPr>
          <w:rFonts w:ascii="Arial" w:hAnsi="Arial" w:cs="Arial"/>
        </w:rPr>
        <w:t>D</w:t>
      </w:r>
      <w:r w:rsidR="00E92A6A" w:rsidRPr="00E92A6A">
        <w:rPr>
          <w:rFonts w:ascii="Arial" w:hAnsi="Arial" w:cs="Arial"/>
        </w:rPr>
        <w:t xml:space="preserve">ata reports are available for multiple subject areas at the school, district, county, and state levels. </w:t>
      </w:r>
      <w:r w:rsidRPr="00A57DAC">
        <w:rPr>
          <w:rFonts w:ascii="Arial" w:hAnsi="Arial" w:cs="Arial"/>
        </w:rPr>
        <w:t xml:space="preserve">DataQuest does not include a PFS indicator; therefore, </w:t>
      </w:r>
      <w:r w:rsidR="00C90642">
        <w:rPr>
          <w:rFonts w:ascii="Arial" w:hAnsi="Arial" w:cs="Arial"/>
        </w:rPr>
        <w:t>it was not possible to disaggregate high school outcome data for migratory PFS students</w:t>
      </w:r>
      <w:r w:rsidRPr="00A57DAC">
        <w:rPr>
          <w:rFonts w:ascii="Arial" w:hAnsi="Arial" w:cs="Arial"/>
        </w:rPr>
        <w:t xml:space="preserve">. </w:t>
      </w:r>
    </w:p>
  </w:footnote>
  <w:footnote w:id="14">
    <w:p w14:paraId="425E65AC" w14:textId="3419921B" w:rsidR="00EC6E78" w:rsidRDefault="00EC6E78">
      <w:pPr>
        <w:pStyle w:val="FootnoteText"/>
      </w:pPr>
      <w:r>
        <w:rPr>
          <w:rStyle w:val="FootnoteReference"/>
        </w:rPr>
        <w:footnoteRef/>
      </w:r>
      <w:r>
        <w:t xml:space="preserve"> </w:t>
      </w:r>
      <w:r w:rsidRPr="00B45BD6">
        <w:rPr>
          <w:rFonts w:ascii="Arial" w:hAnsi="Arial" w:cs="Arial"/>
        </w:rPr>
        <w:t>This goal area is consistent with OME’s requirement for the Government Performance and Results Act of 1983.</w:t>
      </w:r>
    </w:p>
  </w:footnote>
  <w:footnote w:id="15">
    <w:p w14:paraId="0D29152C" w14:textId="77777777" w:rsidR="00E837A3" w:rsidRPr="00E837A3" w:rsidRDefault="00E837A3" w:rsidP="00E837A3">
      <w:pPr>
        <w:pStyle w:val="FootnoteText"/>
        <w:rPr>
          <w:rFonts w:ascii="Arial" w:hAnsi="Arial" w:cs="Arial"/>
        </w:rPr>
      </w:pPr>
      <w:r w:rsidRPr="00E837A3">
        <w:rPr>
          <w:rStyle w:val="FootnoteReference"/>
          <w:rFonts w:ascii="Arial" w:hAnsi="Arial" w:cs="Arial"/>
        </w:rPr>
        <w:footnoteRef/>
      </w:r>
      <w:r w:rsidRPr="00E837A3">
        <w:rPr>
          <w:rFonts w:ascii="Arial" w:hAnsi="Arial" w:cs="Arial"/>
        </w:rPr>
        <w:t xml:space="preserve"> </w:t>
      </w:r>
      <w:r>
        <w:rPr>
          <w:rFonts w:ascii="Arial" w:hAnsi="Arial" w:cs="Arial"/>
        </w:rPr>
        <w:t>Service participation data includes only those services that were set up to using predetermined state codes.</w:t>
      </w:r>
    </w:p>
  </w:footnote>
  <w:footnote w:id="16">
    <w:p w14:paraId="44529259" w14:textId="77777777" w:rsidR="002A4978" w:rsidRPr="00743715" w:rsidRDefault="002A4978" w:rsidP="002A4978">
      <w:pPr>
        <w:pStyle w:val="FootnoteText"/>
        <w:rPr>
          <w:rFonts w:ascii="Arial" w:hAnsi="Arial" w:cs="Arial"/>
        </w:rPr>
      </w:pPr>
      <w:r w:rsidRPr="00743715">
        <w:rPr>
          <w:rStyle w:val="FootnoteReference"/>
          <w:rFonts w:ascii="Arial" w:hAnsi="Arial" w:cs="Arial"/>
        </w:rPr>
        <w:footnoteRef/>
      </w:r>
      <w:r>
        <w:rPr>
          <w:rFonts w:ascii="Arial" w:hAnsi="Arial" w:cs="Arial"/>
        </w:rPr>
        <w:t xml:space="preserve"> Initial s</w:t>
      </w:r>
      <w:r w:rsidRPr="00743715">
        <w:rPr>
          <w:rFonts w:ascii="Arial" w:hAnsi="Arial" w:cs="Arial"/>
        </w:rPr>
        <w:t>trategies</w:t>
      </w:r>
      <w:r>
        <w:rPr>
          <w:rFonts w:ascii="Arial" w:hAnsi="Arial" w:cs="Arial"/>
        </w:rPr>
        <w:t xml:space="preserve"> omitted in Section III</w:t>
      </w:r>
      <w:r w:rsidRPr="00743715">
        <w:rPr>
          <w:rFonts w:ascii="Arial" w:hAnsi="Arial" w:cs="Arial"/>
        </w:rPr>
        <w:t xml:space="preserve"> are also included at the end of this section under Additional Considerations for Program Improvement.</w:t>
      </w:r>
    </w:p>
  </w:footnote>
  <w:footnote w:id="17">
    <w:p w14:paraId="25C9BD8C" w14:textId="0E7A6336" w:rsidR="00C53BC8" w:rsidRPr="00743715" w:rsidRDefault="00C53BC8" w:rsidP="00C53BC8">
      <w:pPr>
        <w:rPr>
          <w:rFonts w:ascii="Arial" w:hAnsi="Arial" w:cs="Arial"/>
        </w:rPr>
      </w:pPr>
      <w:r w:rsidRPr="00743715">
        <w:rPr>
          <w:rStyle w:val="FootnoteReference"/>
          <w:rFonts w:ascii="Arial" w:hAnsi="Arial" w:cs="Arial"/>
        </w:rPr>
        <w:footnoteRef/>
      </w:r>
      <w:r w:rsidRPr="00743715">
        <w:rPr>
          <w:rFonts w:ascii="Arial" w:hAnsi="Arial" w:cs="Arial"/>
        </w:rPr>
        <w:t xml:space="preserve"> Due to the need to evaluate certain focus areas using outputs vers</w:t>
      </w:r>
      <w:r w:rsidR="00EB4984">
        <w:rPr>
          <w:rFonts w:ascii="Arial" w:hAnsi="Arial" w:cs="Arial"/>
        </w:rPr>
        <w:t>u</w:t>
      </w:r>
      <w:r w:rsidRPr="00743715">
        <w:rPr>
          <w:rFonts w:ascii="Arial" w:hAnsi="Arial" w:cs="Arial"/>
        </w:rPr>
        <w:t xml:space="preserve">s outcomes, the CDE chose not to use the term </w:t>
      </w:r>
      <w:r>
        <w:rPr>
          <w:rFonts w:ascii="Arial" w:hAnsi="Arial" w:cs="Arial"/>
        </w:rPr>
        <w:t>measurable program outcome as identified by OME</w:t>
      </w:r>
      <w:r w:rsidRPr="00743715">
        <w:rPr>
          <w:rFonts w:ascii="Arial" w:hAnsi="Arial" w:cs="Arial"/>
        </w:rPr>
        <w:t xml:space="preserve">. </w:t>
      </w:r>
    </w:p>
  </w:footnote>
  <w:footnote w:id="18">
    <w:p w14:paraId="47E2B8B3" w14:textId="10B2D1F4" w:rsidR="00281F22" w:rsidRPr="00281F22" w:rsidRDefault="00281F22">
      <w:pPr>
        <w:pStyle w:val="FootnoteText"/>
        <w:rPr>
          <w:rFonts w:ascii="Arial" w:hAnsi="Arial" w:cs="Arial"/>
        </w:rPr>
      </w:pPr>
      <w:r w:rsidRPr="00281F22">
        <w:rPr>
          <w:rStyle w:val="FootnoteReference"/>
          <w:rFonts w:ascii="Arial" w:hAnsi="Arial" w:cs="Arial"/>
        </w:rPr>
        <w:footnoteRef/>
      </w:r>
      <w:r w:rsidRPr="00281F22">
        <w:rPr>
          <w:rFonts w:ascii="Arial" w:hAnsi="Arial" w:cs="Arial"/>
        </w:rPr>
        <w:t xml:space="preserve"> Minimum service duration for regular school year (RSY): Option 1 - ELA services have a duration of at least 18 hours over nine weeks. Option 2: At least 30 hours for RSY. Minimum service duration for summer school (SS): All SS ELA services have a duration of at least 20 hours.</w:t>
      </w:r>
    </w:p>
  </w:footnote>
  <w:footnote w:id="19">
    <w:p w14:paraId="596A771B" w14:textId="7738DA8E" w:rsidR="00281F22" w:rsidRPr="00281F22" w:rsidRDefault="00281F22">
      <w:pPr>
        <w:pStyle w:val="FootnoteText"/>
        <w:rPr>
          <w:rFonts w:ascii="Arial" w:hAnsi="Arial" w:cs="Arial"/>
        </w:rPr>
      </w:pPr>
      <w:r w:rsidRPr="00281F22">
        <w:rPr>
          <w:rStyle w:val="FootnoteReference"/>
          <w:rFonts w:ascii="Arial" w:hAnsi="Arial" w:cs="Arial"/>
        </w:rPr>
        <w:footnoteRef/>
      </w:r>
      <w:r w:rsidRPr="00281F22">
        <w:rPr>
          <w:rFonts w:ascii="Arial" w:hAnsi="Arial" w:cs="Arial"/>
        </w:rPr>
        <w:t xml:space="preserve"> Minimum service duration for </w:t>
      </w:r>
      <w:r>
        <w:rPr>
          <w:rFonts w:ascii="Arial" w:hAnsi="Arial" w:cs="Arial"/>
        </w:rPr>
        <w:t>RSY</w:t>
      </w:r>
      <w:r w:rsidRPr="00281F22">
        <w:rPr>
          <w:rFonts w:ascii="Arial" w:hAnsi="Arial" w:cs="Arial"/>
        </w:rPr>
        <w:t xml:space="preserve"> Option 1 - </w:t>
      </w:r>
      <w:r>
        <w:rPr>
          <w:rFonts w:ascii="Arial" w:hAnsi="Arial" w:cs="Arial"/>
        </w:rPr>
        <w:t>Math</w:t>
      </w:r>
      <w:r w:rsidRPr="00281F22">
        <w:rPr>
          <w:rFonts w:ascii="Arial" w:hAnsi="Arial" w:cs="Arial"/>
        </w:rPr>
        <w:t xml:space="preserve"> services have a duration of at least 18 hours over nine weeks. Option 2: At least 30 hours for RSY. Minimum service duration for </w:t>
      </w:r>
      <w:r>
        <w:rPr>
          <w:rFonts w:ascii="Arial" w:hAnsi="Arial" w:cs="Arial"/>
        </w:rPr>
        <w:t>SS</w:t>
      </w:r>
      <w:r w:rsidRPr="00281F22">
        <w:rPr>
          <w:rFonts w:ascii="Arial" w:hAnsi="Arial" w:cs="Arial"/>
        </w:rPr>
        <w:t xml:space="preserve">: All SS </w:t>
      </w:r>
      <w:r>
        <w:rPr>
          <w:rFonts w:ascii="Arial" w:hAnsi="Arial" w:cs="Arial"/>
        </w:rPr>
        <w:t>math</w:t>
      </w:r>
      <w:r w:rsidRPr="00281F22">
        <w:rPr>
          <w:rFonts w:ascii="Arial" w:hAnsi="Arial" w:cs="Arial"/>
        </w:rPr>
        <w:t xml:space="preserve"> services have a duration of at least 20 hours.</w:t>
      </w:r>
    </w:p>
  </w:footnote>
  <w:footnote w:id="20">
    <w:p w14:paraId="5F4E0352" w14:textId="5DFB623C" w:rsidR="00083BDB" w:rsidRDefault="00083BDB">
      <w:pPr>
        <w:pStyle w:val="FootnoteText"/>
      </w:pPr>
      <w:r>
        <w:rPr>
          <w:rStyle w:val="FootnoteReference"/>
        </w:rPr>
        <w:footnoteRef/>
      </w:r>
      <w:r>
        <w:t xml:space="preserve"> </w:t>
      </w:r>
      <w:r w:rsidRPr="00083BDB">
        <w:rPr>
          <w:rFonts w:ascii="Arial" w:hAnsi="Arial" w:cs="Arial"/>
        </w:rPr>
        <w:t>May include p</w:t>
      </w:r>
      <w:r>
        <w:rPr>
          <w:rFonts w:ascii="Arial" w:hAnsi="Arial" w:cs="Arial"/>
        </w:rPr>
        <w:t>rogram</w:t>
      </w:r>
      <w:r w:rsidRPr="00083BDB">
        <w:rPr>
          <w:rFonts w:ascii="Arial" w:hAnsi="Arial" w:cs="Arial"/>
        </w:rPr>
        <w:t xml:space="preserve">s like </w:t>
      </w:r>
      <w:r w:rsidR="00FF2AE7">
        <w:rPr>
          <w:rFonts w:ascii="Arial" w:hAnsi="Arial" w:cs="Arial"/>
        </w:rPr>
        <w:t>Family Biliteracy Program</w:t>
      </w:r>
      <w:r>
        <w:rPr>
          <w:rFonts w:ascii="Arial" w:hAnsi="Arial" w:cs="Arial"/>
        </w:rPr>
        <w:t xml:space="preserve"> or other dual language services involving parents</w:t>
      </w:r>
      <w:r w:rsidRPr="00083BDB">
        <w:rPr>
          <w:rFonts w:ascii="Arial" w:hAnsi="Arial" w:cs="Arial"/>
        </w:rPr>
        <w:t>.</w:t>
      </w:r>
    </w:p>
  </w:footnote>
  <w:footnote w:id="21">
    <w:p w14:paraId="1C36F604" w14:textId="17E9648C" w:rsidR="0017794E" w:rsidRPr="004E1863" w:rsidRDefault="0017794E">
      <w:pPr>
        <w:pStyle w:val="FootnoteText"/>
        <w:rPr>
          <w:rFonts w:ascii="Arial" w:hAnsi="Arial" w:cs="Arial"/>
        </w:rPr>
      </w:pPr>
      <w:r w:rsidRPr="004E1863">
        <w:rPr>
          <w:rStyle w:val="FootnoteReference"/>
          <w:rFonts w:ascii="Arial" w:hAnsi="Arial" w:cs="Arial"/>
        </w:rPr>
        <w:footnoteRef/>
      </w:r>
      <w:r w:rsidRPr="004E1863">
        <w:rPr>
          <w:rFonts w:ascii="Arial" w:hAnsi="Arial" w:cs="Arial"/>
        </w:rPr>
        <w:t xml:space="preserve"> </w:t>
      </w:r>
      <w:r w:rsidR="00B72CE1">
        <w:rPr>
          <w:rFonts w:ascii="Arial" w:hAnsi="Arial" w:cs="Arial"/>
        </w:rPr>
        <w:t>I</w:t>
      </w:r>
      <w:r w:rsidRPr="004E1863">
        <w:rPr>
          <w:rFonts w:ascii="Arial" w:hAnsi="Arial" w:cs="Arial"/>
        </w:rPr>
        <w:t xml:space="preserve">nformation on California’s compulsory education laws and the </w:t>
      </w:r>
      <w:hyperlink r:id="rId3" w:history="1">
        <w:r w:rsidRPr="00B72CE1">
          <w:rPr>
            <w:rStyle w:val="Hyperlink"/>
            <w:rFonts w:ascii="Arial" w:hAnsi="Arial" w:cs="Arial"/>
          </w:rPr>
          <w:t>School Attendance Review Board</w:t>
        </w:r>
      </w:hyperlink>
      <w:r w:rsidRPr="004E1863">
        <w:rPr>
          <w:rFonts w:ascii="Arial" w:hAnsi="Arial" w:cs="Arial"/>
        </w:rPr>
        <w:t xml:space="preserve"> process</w:t>
      </w:r>
      <w:r w:rsidR="00B72CE1">
        <w:rPr>
          <w:rFonts w:ascii="Arial" w:hAnsi="Arial" w:cs="Arial"/>
        </w:rPr>
        <w:t>.</w:t>
      </w:r>
    </w:p>
  </w:footnote>
  <w:footnote w:id="22">
    <w:p w14:paraId="5B4ED990" w14:textId="6880FEF3" w:rsidR="00B20B59" w:rsidRPr="00B20B59" w:rsidRDefault="00B20B59">
      <w:pPr>
        <w:pStyle w:val="FootnoteText"/>
        <w:rPr>
          <w:rFonts w:ascii="Arial" w:hAnsi="Arial" w:cs="Arial"/>
        </w:rPr>
      </w:pPr>
      <w:r w:rsidRPr="00B20B59">
        <w:rPr>
          <w:rStyle w:val="FootnoteReference"/>
          <w:rFonts w:ascii="Arial" w:hAnsi="Arial" w:cs="Arial"/>
        </w:rPr>
        <w:footnoteRef/>
      </w:r>
      <w:r w:rsidRPr="00B20B59">
        <w:rPr>
          <w:rFonts w:ascii="Arial" w:hAnsi="Arial" w:cs="Arial"/>
        </w:rPr>
        <w:t xml:space="preserve"> This data only includes services that were mapped to state codes. Any data from local codes that were not mapped to the state code for the MPO was not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B4C2" w14:textId="77777777" w:rsidR="0017794E" w:rsidRPr="00102FC0" w:rsidRDefault="0017794E" w:rsidP="004F6691">
    <w:pPr>
      <w:pStyle w:val="Header"/>
      <w:jc w:val="right"/>
      <w:rPr>
        <w:rFonts w:ascii="Arial" w:hAnsi="Arial" w:cs="Arial"/>
      </w:rPr>
    </w:pPr>
    <w:r w:rsidRPr="00102FC0">
      <w:rPr>
        <w:rFonts w:ascii="Arial" w:hAnsi="Arial" w:cs="Arial"/>
      </w:rPr>
      <w:t>California Department of Education</w:t>
    </w:r>
  </w:p>
  <w:p w14:paraId="690F666B" w14:textId="77777777" w:rsidR="0017794E" w:rsidRPr="00102FC0" w:rsidRDefault="0017794E" w:rsidP="004F6691">
    <w:pPr>
      <w:pStyle w:val="Header"/>
      <w:jc w:val="right"/>
      <w:rPr>
        <w:rFonts w:ascii="Arial" w:hAnsi="Arial" w:cs="Arial"/>
      </w:rPr>
    </w:pPr>
    <w:r w:rsidRPr="00102FC0">
      <w:rPr>
        <w:rFonts w:ascii="Arial" w:hAnsi="Arial" w:cs="Arial"/>
      </w:rPr>
      <w:t>Migrant Education Office</w:t>
    </w:r>
  </w:p>
  <w:p w14:paraId="0ED8FF1A" w14:textId="7B7A156C" w:rsidR="0017794E" w:rsidRPr="00102FC0" w:rsidRDefault="0017794E" w:rsidP="00102FC0">
    <w:pPr>
      <w:pStyle w:val="Header"/>
      <w:spacing w:after="240"/>
      <w:jc w:val="right"/>
      <w:rPr>
        <w:rFonts w:ascii="Arial" w:hAnsi="Arial" w:cs="Arial"/>
      </w:rPr>
    </w:pPr>
    <w:r w:rsidRPr="00102FC0">
      <w:rPr>
        <w:rFonts w:ascii="Arial" w:hAnsi="Arial" w:cs="Arial"/>
      </w:rPr>
      <w:t>20</w:t>
    </w:r>
    <w:r w:rsidR="00613489">
      <w:rPr>
        <w:rFonts w:ascii="Arial" w:hAnsi="Arial" w:cs="Arial"/>
      </w:rPr>
      <w:t>2</w:t>
    </w:r>
    <w:r w:rsidR="00C67B20">
      <w:rPr>
        <w:rFonts w:ascii="Arial" w:hAnsi="Arial" w:cs="Arial"/>
      </w:rPr>
      <w:t>6</w:t>
    </w:r>
    <w:r w:rsidRPr="00102FC0">
      <w:rPr>
        <w:rFonts w:ascii="Arial" w:hAnsi="Arial" w:cs="Arial"/>
      </w:rPr>
      <w:t xml:space="preserve"> State Service Delivery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0DC4" w14:textId="77777777" w:rsidR="0017794E" w:rsidRPr="00102FC0" w:rsidRDefault="0017794E" w:rsidP="00EA493F">
    <w:pPr>
      <w:pStyle w:val="Header"/>
      <w:jc w:val="right"/>
      <w:rPr>
        <w:rFonts w:ascii="Arial" w:hAnsi="Arial" w:cs="Arial"/>
      </w:rPr>
    </w:pPr>
    <w:r w:rsidRPr="00102FC0">
      <w:rPr>
        <w:rFonts w:ascii="Arial" w:hAnsi="Arial" w:cs="Arial"/>
      </w:rPr>
      <w:t>California Department of Education</w:t>
    </w:r>
  </w:p>
  <w:p w14:paraId="7612D09F" w14:textId="77777777" w:rsidR="0017794E" w:rsidRPr="00102FC0" w:rsidRDefault="0017794E" w:rsidP="00EA493F">
    <w:pPr>
      <w:pStyle w:val="Header"/>
      <w:jc w:val="right"/>
      <w:rPr>
        <w:rFonts w:ascii="Arial" w:hAnsi="Arial" w:cs="Arial"/>
      </w:rPr>
    </w:pPr>
    <w:r w:rsidRPr="00102FC0">
      <w:rPr>
        <w:rFonts w:ascii="Arial" w:hAnsi="Arial" w:cs="Arial"/>
      </w:rPr>
      <w:t>Migrant Education Office</w:t>
    </w:r>
  </w:p>
  <w:p w14:paraId="4ADA5B59" w14:textId="3A9B8984" w:rsidR="0017794E" w:rsidRPr="00102FC0" w:rsidRDefault="0017794E" w:rsidP="00102FC0">
    <w:pPr>
      <w:pStyle w:val="Header"/>
      <w:spacing w:after="240"/>
      <w:jc w:val="right"/>
      <w:rPr>
        <w:rFonts w:ascii="Arial" w:hAnsi="Arial" w:cs="Arial"/>
      </w:rPr>
    </w:pPr>
    <w:r w:rsidRPr="00102FC0">
      <w:rPr>
        <w:rFonts w:ascii="Arial" w:hAnsi="Arial" w:cs="Arial"/>
      </w:rPr>
      <w:t>20</w:t>
    </w:r>
    <w:r w:rsidR="00B32A6F">
      <w:rPr>
        <w:rFonts w:ascii="Arial" w:hAnsi="Arial" w:cs="Arial"/>
      </w:rPr>
      <w:t>2</w:t>
    </w:r>
    <w:r w:rsidR="00F8713E">
      <w:rPr>
        <w:rFonts w:ascii="Arial" w:hAnsi="Arial" w:cs="Arial"/>
      </w:rPr>
      <w:t>6</w:t>
    </w:r>
    <w:r w:rsidRPr="00102FC0">
      <w:rPr>
        <w:rFonts w:ascii="Arial" w:hAnsi="Arial" w:cs="Arial"/>
      </w:rPr>
      <w:t xml:space="preserve"> State Service Delivery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E1B"/>
    <w:multiLevelType w:val="hybridMultilevel"/>
    <w:tmpl w:val="E46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8197F"/>
    <w:multiLevelType w:val="hybridMultilevel"/>
    <w:tmpl w:val="8E40C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D63DA"/>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767810"/>
    <w:multiLevelType w:val="multilevel"/>
    <w:tmpl w:val="50065DC4"/>
    <w:styleLink w:val="List3Levels"/>
    <w:lvl w:ilvl="0">
      <w:start w:val="1"/>
      <w:numFmt w:val="bullet"/>
      <w:pStyle w:val="List-Level1"/>
      <w:lvlText w:val=""/>
      <w:lvlJc w:val="left"/>
      <w:pPr>
        <w:ind w:left="792" w:hanging="216"/>
      </w:pPr>
      <w:rPr>
        <w:rFonts w:ascii="Symbol" w:hAnsi="Symbol" w:hint="default"/>
        <w:b/>
        <w:bCs/>
        <w:color w:val="4472C4" w:themeColor="accent5"/>
        <w:sz w:val="18"/>
        <w:szCs w:val="24"/>
      </w:rPr>
    </w:lvl>
    <w:lvl w:ilvl="1">
      <w:start w:val="1"/>
      <w:numFmt w:val="bullet"/>
      <w:lvlText w:val="-"/>
      <w:lvlJc w:val="left"/>
      <w:pPr>
        <w:ind w:left="1296" w:hanging="216"/>
      </w:pPr>
      <w:rPr>
        <w:rFonts w:ascii="Calibri" w:hAnsi="Calibri" w:hint="default"/>
        <w:b w:val="0"/>
        <w:bCs/>
        <w:i w:val="0"/>
        <w:color w:val="4472C4" w:themeColor="accent5"/>
        <w:sz w:val="24"/>
        <w:szCs w:val="24"/>
      </w:rPr>
    </w:lvl>
    <w:lvl w:ilvl="2">
      <w:start w:val="1"/>
      <w:numFmt w:val="bullet"/>
      <w:pStyle w:val="List-Level3"/>
      <w:lvlText w:val="○"/>
      <w:lvlJc w:val="left"/>
      <w:pPr>
        <w:ind w:left="1800" w:hanging="216"/>
      </w:pPr>
      <w:rPr>
        <w:rFonts w:ascii="Courier New" w:hAnsi="Courier New" w:hint="default"/>
        <w:b/>
        <w:bCs/>
        <w:color w:val="4472C4" w:themeColor="accent5"/>
      </w:rPr>
    </w:lvl>
    <w:lvl w:ilvl="3">
      <w:start w:val="1"/>
      <w:numFmt w:val="bullet"/>
      <w:lvlText w:val=""/>
      <w:lvlJc w:val="left"/>
      <w:pPr>
        <w:ind w:left="2304" w:hanging="216"/>
      </w:pPr>
      <w:rPr>
        <w:rFonts w:ascii="Symbol" w:hAnsi="Symbol" w:hint="default"/>
      </w:rPr>
    </w:lvl>
    <w:lvl w:ilvl="4">
      <w:start w:val="1"/>
      <w:numFmt w:val="bullet"/>
      <w:lvlText w:val="o"/>
      <w:lvlJc w:val="left"/>
      <w:pPr>
        <w:ind w:left="2808" w:hanging="216"/>
      </w:pPr>
      <w:rPr>
        <w:rFonts w:ascii="Courier New" w:hAnsi="Courier New" w:cs="Courier New" w:hint="default"/>
      </w:rPr>
    </w:lvl>
    <w:lvl w:ilvl="5">
      <w:start w:val="1"/>
      <w:numFmt w:val="bullet"/>
      <w:lvlText w:val=""/>
      <w:lvlJc w:val="left"/>
      <w:pPr>
        <w:ind w:left="3312" w:hanging="216"/>
      </w:pPr>
      <w:rPr>
        <w:rFonts w:ascii="Wingdings" w:hAnsi="Wingdings" w:hint="default"/>
      </w:rPr>
    </w:lvl>
    <w:lvl w:ilvl="6">
      <w:start w:val="1"/>
      <w:numFmt w:val="bullet"/>
      <w:lvlText w:val=""/>
      <w:lvlJc w:val="left"/>
      <w:pPr>
        <w:ind w:left="3816" w:hanging="216"/>
      </w:pPr>
      <w:rPr>
        <w:rFonts w:ascii="Symbol" w:hAnsi="Symbol" w:hint="default"/>
      </w:rPr>
    </w:lvl>
    <w:lvl w:ilvl="7">
      <w:start w:val="1"/>
      <w:numFmt w:val="bullet"/>
      <w:lvlText w:val="o"/>
      <w:lvlJc w:val="left"/>
      <w:pPr>
        <w:ind w:left="4320" w:hanging="216"/>
      </w:pPr>
      <w:rPr>
        <w:rFonts w:ascii="Courier New" w:hAnsi="Courier New" w:cs="Courier New" w:hint="default"/>
      </w:rPr>
    </w:lvl>
    <w:lvl w:ilvl="8">
      <w:start w:val="1"/>
      <w:numFmt w:val="bullet"/>
      <w:lvlText w:val=""/>
      <w:lvlJc w:val="left"/>
      <w:pPr>
        <w:ind w:left="4824" w:hanging="216"/>
      </w:pPr>
      <w:rPr>
        <w:rFonts w:ascii="Wingdings" w:hAnsi="Wingdings" w:hint="default"/>
      </w:rPr>
    </w:lvl>
  </w:abstractNum>
  <w:abstractNum w:abstractNumId="4" w15:restartNumberingAfterBreak="0">
    <w:nsid w:val="078769E3"/>
    <w:multiLevelType w:val="hybridMultilevel"/>
    <w:tmpl w:val="243A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826D0"/>
    <w:multiLevelType w:val="hybridMultilevel"/>
    <w:tmpl w:val="5B74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283"/>
    <w:multiLevelType w:val="hybridMultilevel"/>
    <w:tmpl w:val="D92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57CF1"/>
    <w:multiLevelType w:val="multilevel"/>
    <w:tmpl w:val="A194202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B01189"/>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6E5612"/>
    <w:multiLevelType w:val="multilevel"/>
    <w:tmpl w:val="42AAFD4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B7ACF"/>
    <w:multiLevelType w:val="multilevel"/>
    <w:tmpl w:val="F1804A58"/>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E6477E"/>
    <w:multiLevelType w:val="hybridMultilevel"/>
    <w:tmpl w:val="FD82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9169A"/>
    <w:multiLevelType w:val="hybridMultilevel"/>
    <w:tmpl w:val="81D67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6DE03C3"/>
    <w:multiLevelType w:val="hybridMultilevel"/>
    <w:tmpl w:val="2254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35357"/>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DD5C80"/>
    <w:multiLevelType w:val="multilevel"/>
    <w:tmpl w:val="50065DC4"/>
    <w:numStyleLink w:val="List3Levels"/>
  </w:abstractNum>
  <w:abstractNum w:abstractNumId="16" w15:restartNumberingAfterBreak="0">
    <w:nsid w:val="1D027E4F"/>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B02C72"/>
    <w:multiLevelType w:val="hybridMultilevel"/>
    <w:tmpl w:val="B19E9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D008BF"/>
    <w:multiLevelType w:val="hybridMultilevel"/>
    <w:tmpl w:val="7952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D489F"/>
    <w:multiLevelType w:val="hybridMultilevel"/>
    <w:tmpl w:val="8D743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5AF73A5"/>
    <w:multiLevelType w:val="hybridMultilevel"/>
    <w:tmpl w:val="62EA1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C36460"/>
    <w:multiLevelType w:val="hybridMultilevel"/>
    <w:tmpl w:val="10F0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6069F"/>
    <w:multiLevelType w:val="multilevel"/>
    <w:tmpl w:val="A194202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E842DDC"/>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207BA8"/>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5E541F"/>
    <w:multiLevelType w:val="hybridMultilevel"/>
    <w:tmpl w:val="A31CE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0962A88"/>
    <w:multiLevelType w:val="multilevel"/>
    <w:tmpl w:val="668A3D9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8375D0"/>
    <w:multiLevelType w:val="multilevel"/>
    <w:tmpl w:val="EF764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04353"/>
    <w:multiLevelType w:val="hybridMultilevel"/>
    <w:tmpl w:val="08E0D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5971DC6"/>
    <w:multiLevelType w:val="hybridMultilevel"/>
    <w:tmpl w:val="0688E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88517AE"/>
    <w:multiLevelType w:val="hybridMultilevel"/>
    <w:tmpl w:val="1B0A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F7A96"/>
    <w:multiLevelType w:val="hybridMultilevel"/>
    <w:tmpl w:val="5E880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9B34CF9"/>
    <w:multiLevelType w:val="hybridMultilevel"/>
    <w:tmpl w:val="50B22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1B5063"/>
    <w:multiLevelType w:val="hybridMultilevel"/>
    <w:tmpl w:val="588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B41661"/>
    <w:multiLevelType w:val="hybridMultilevel"/>
    <w:tmpl w:val="CDBEA21C"/>
    <w:lvl w:ilvl="0" w:tplc="9CF867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22747D"/>
    <w:multiLevelType w:val="hybridMultilevel"/>
    <w:tmpl w:val="4FF4C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34221C"/>
    <w:multiLevelType w:val="hybridMultilevel"/>
    <w:tmpl w:val="4AF4E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E480AF3"/>
    <w:multiLevelType w:val="hybridMultilevel"/>
    <w:tmpl w:val="67C0A4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ED367EE"/>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C93C3D"/>
    <w:multiLevelType w:val="multilevel"/>
    <w:tmpl w:val="7504926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41384FA2"/>
    <w:multiLevelType w:val="hybridMultilevel"/>
    <w:tmpl w:val="971ECB50"/>
    <w:lvl w:ilvl="0" w:tplc="69F2C39A">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422CEE"/>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602679"/>
    <w:multiLevelType w:val="hybridMultilevel"/>
    <w:tmpl w:val="2DAECF32"/>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3" w15:restartNumberingAfterBreak="0">
    <w:nsid w:val="43E144D1"/>
    <w:multiLevelType w:val="multilevel"/>
    <w:tmpl w:val="C7DC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D61A3A"/>
    <w:multiLevelType w:val="multilevel"/>
    <w:tmpl w:val="7B304842"/>
    <w:lvl w:ilvl="0">
      <w:start w:val="6"/>
      <w:numFmt w:val="decimal"/>
      <w:lvlText w:val="%1"/>
      <w:lvlJc w:val="left"/>
      <w:pPr>
        <w:ind w:left="360" w:hanging="360"/>
      </w:pPr>
      <w:rPr>
        <w:rFonts w:hint="default"/>
        <w:color w:val="000000"/>
      </w:rPr>
    </w:lvl>
    <w:lvl w:ilvl="1">
      <w:start w:val="1"/>
      <w:numFmt w:val="decimal"/>
      <w:lvlText w:val="7.%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5" w15:restartNumberingAfterBreak="0">
    <w:nsid w:val="44F23967"/>
    <w:multiLevelType w:val="multilevel"/>
    <w:tmpl w:val="B816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2A558D"/>
    <w:multiLevelType w:val="hybridMultilevel"/>
    <w:tmpl w:val="894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530C48"/>
    <w:multiLevelType w:val="hybridMultilevel"/>
    <w:tmpl w:val="9AF65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AB70BED"/>
    <w:multiLevelType w:val="multilevel"/>
    <w:tmpl w:val="B302EC4C"/>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9" w15:restartNumberingAfterBreak="0">
    <w:nsid w:val="4E4D1350"/>
    <w:multiLevelType w:val="hybridMultilevel"/>
    <w:tmpl w:val="4A96B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ECA637A"/>
    <w:multiLevelType w:val="hybridMultilevel"/>
    <w:tmpl w:val="370E8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ED74EBA"/>
    <w:multiLevelType w:val="hybridMultilevel"/>
    <w:tmpl w:val="CA08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E51759"/>
    <w:multiLevelType w:val="multilevel"/>
    <w:tmpl w:val="A194202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2A2568E"/>
    <w:multiLevelType w:val="hybridMultilevel"/>
    <w:tmpl w:val="8D740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30C2D58"/>
    <w:multiLevelType w:val="multilevel"/>
    <w:tmpl w:val="6DFA6A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5B4159D"/>
    <w:multiLevelType w:val="hybridMultilevel"/>
    <w:tmpl w:val="A7A0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DE6A8D"/>
    <w:multiLevelType w:val="multilevel"/>
    <w:tmpl w:val="859292F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D85727C"/>
    <w:multiLevelType w:val="hybridMultilevel"/>
    <w:tmpl w:val="B462B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9A2935"/>
    <w:multiLevelType w:val="multilevel"/>
    <w:tmpl w:val="065EB17E"/>
    <w:lvl w:ilvl="0">
      <w:start w:val="18"/>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5"/>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FB31672"/>
    <w:multiLevelType w:val="multilevel"/>
    <w:tmpl w:val="A59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EA0017"/>
    <w:multiLevelType w:val="multilevel"/>
    <w:tmpl w:val="BF68A63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4670942"/>
    <w:multiLevelType w:val="multilevel"/>
    <w:tmpl w:val="134EEF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6981B98"/>
    <w:multiLevelType w:val="hybridMultilevel"/>
    <w:tmpl w:val="9138A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742A73"/>
    <w:multiLevelType w:val="multilevel"/>
    <w:tmpl w:val="69C66E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9291924"/>
    <w:multiLevelType w:val="multilevel"/>
    <w:tmpl w:val="2C7CE6B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D941391"/>
    <w:multiLevelType w:val="multilevel"/>
    <w:tmpl w:val="AE5CA03A"/>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0262382"/>
    <w:multiLevelType w:val="multilevel"/>
    <w:tmpl w:val="67A6E93A"/>
    <w:lvl w:ilvl="0">
      <w:start w:val="5"/>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67" w15:restartNumberingAfterBreak="0">
    <w:nsid w:val="74C04146"/>
    <w:multiLevelType w:val="hybridMultilevel"/>
    <w:tmpl w:val="79AAFC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7856B03"/>
    <w:multiLevelType w:val="hybridMultilevel"/>
    <w:tmpl w:val="47B412F8"/>
    <w:lvl w:ilvl="0" w:tplc="2722AF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0B0E43"/>
    <w:multiLevelType w:val="multilevel"/>
    <w:tmpl w:val="CE1EDFC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532552"/>
    <w:multiLevelType w:val="hybridMultilevel"/>
    <w:tmpl w:val="ECB46DDE"/>
    <w:lvl w:ilvl="0" w:tplc="04090001">
      <w:start w:val="1"/>
      <w:numFmt w:val="bullet"/>
      <w:lvlText w:val=""/>
      <w:lvlJc w:val="left"/>
      <w:pPr>
        <w:ind w:left="652" w:hanging="360"/>
      </w:pPr>
      <w:rPr>
        <w:rFonts w:ascii="Symbol" w:hAnsi="Symbol"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71" w15:restartNumberingAfterBreak="0">
    <w:nsid w:val="7DB31087"/>
    <w:multiLevelType w:val="multilevel"/>
    <w:tmpl w:val="B302EC4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2" w15:restartNumberingAfterBreak="0">
    <w:nsid w:val="7DB904AC"/>
    <w:multiLevelType w:val="hybridMultilevel"/>
    <w:tmpl w:val="BE82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124FDF"/>
    <w:multiLevelType w:val="multilevel"/>
    <w:tmpl w:val="E006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007DAD"/>
    <w:multiLevelType w:val="hybridMultilevel"/>
    <w:tmpl w:val="57B2B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005218">
    <w:abstractNumId w:val="20"/>
  </w:num>
  <w:num w:numId="2" w16cid:durableId="387648880">
    <w:abstractNumId w:val="6"/>
  </w:num>
  <w:num w:numId="3" w16cid:durableId="185288934">
    <w:abstractNumId w:val="35"/>
  </w:num>
  <w:num w:numId="4" w16cid:durableId="403769150">
    <w:abstractNumId w:val="5"/>
  </w:num>
  <w:num w:numId="5" w16cid:durableId="746920498">
    <w:abstractNumId w:val="69"/>
  </w:num>
  <w:num w:numId="6" w16cid:durableId="748887230">
    <w:abstractNumId w:val="64"/>
  </w:num>
  <w:num w:numId="7" w16cid:durableId="1566064267">
    <w:abstractNumId w:val="9"/>
  </w:num>
  <w:num w:numId="8" w16cid:durableId="717247973">
    <w:abstractNumId w:val="45"/>
  </w:num>
  <w:num w:numId="9" w16cid:durableId="895119533">
    <w:abstractNumId w:val="68"/>
  </w:num>
  <w:num w:numId="10" w16cid:durableId="1158154427">
    <w:abstractNumId w:val="42"/>
  </w:num>
  <w:num w:numId="11" w16cid:durableId="838809123">
    <w:abstractNumId w:val="30"/>
  </w:num>
  <w:num w:numId="12" w16cid:durableId="1453596464">
    <w:abstractNumId w:val="43"/>
  </w:num>
  <w:num w:numId="13" w16cid:durableId="592513392">
    <w:abstractNumId w:val="56"/>
  </w:num>
  <w:num w:numId="14" w16cid:durableId="926497429">
    <w:abstractNumId w:val="46"/>
  </w:num>
  <w:num w:numId="15" w16cid:durableId="2066485869">
    <w:abstractNumId w:val="60"/>
  </w:num>
  <w:num w:numId="16" w16cid:durableId="7610940">
    <w:abstractNumId w:val="63"/>
  </w:num>
  <w:num w:numId="17" w16cid:durableId="789058776">
    <w:abstractNumId w:val="4"/>
  </w:num>
  <w:num w:numId="18" w16cid:durableId="1024136543">
    <w:abstractNumId w:val="52"/>
  </w:num>
  <w:num w:numId="19" w16cid:durableId="1260797284">
    <w:abstractNumId w:val="0"/>
  </w:num>
  <w:num w:numId="20" w16cid:durableId="48695784">
    <w:abstractNumId w:val="18"/>
  </w:num>
  <w:num w:numId="21" w16cid:durableId="1813014855">
    <w:abstractNumId w:val="51"/>
  </w:num>
  <w:num w:numId="22" w16cid:durableId="1966813198">
    <w:abstractNumId w:val="70"/>
  </w:num>
  <w:num w:numId="23" w16cid:durableId="1817380723">
    <w:abstractNumId w:val="13"/>
  </w:num>
  <w:num w:numId="24" w16cid:durableId="997683904">
    <w:abstractNumId w:val="72"/>
  </w:num>
  <w:num w:numId="25" w16cid:durableId="2006131609">
    <w:abstractNumId w:val="32"/>
  </w:num>
  <w:num w:numId="26" w16cid:durableId="1601403108">
    <w:abstractNumId w:val="36"/>
  </w:num>
  <w:num w:numId="27" w16cid:durableId="1473329653">
    <w:abstractNumId w:val="71"/>
  </w:num>
  <w:num w:numId="28" w16cid:durableId="1761952979">
    <w:abstractNumId w:val="44"/>
  </w:num>
  <w:num w:numId="29" w16cid:durableId="2025857547">
    <w:abstractNumId w:val="57"/>
  </w:num>
  <w:num w:numId="30" w16cid:durableId="269245747">
    <w:abstractNumId w:val="38"/>
  </w:num>
  <w:num w:numId="31" w16cid:durableId="319432186">
    <w:abstractNumId w:val="2"/>
  </w:num>
  <w:num w:numId="32" w16cid:durableId="1776636736">
    <w:abstractNumId w:val="41"/>
  </w:num>
  <w:num w:numId="33" w16cid:durableId="2040274821">
    <w:abstractNumId w:val="21"/>
  </w:num>
  <w:num w:numId="34" w16cid:durableId="1151940910">
    <w:abstractNumId w:val="66"/>
  </w:num>
  <w:num w:numId="35" w16cid:durableId="1263607359">
    <w:abstractNumId w:val="74"/>
  </w:num>
  <w:num w:numId="36" w16cid:durableId="713890643">
    <w:abstractNumId w:val="40"/>
  </w:num>
  <w:num w:numId="37" w16cid:durableId="716852783">
    <w:abstractNumId w:val="48"/>
  </w:num>
  <w:num w:numId="38" w16cid:durableId="1308587497">
    <w:abstractNumId w:val="34"/>
  </w:num>
  <w:num w:numId="39" w16cid:durableId="1889343258">
    <w:abstractNumId w:val="54"/>
  </w:num>
  <w:num w:numId="40" w16cid:durableId="786898224">
    <w:abstractNumId w:val="23"/>
  </w:num>
  <w:num w:numId="41" w16cid:durableId="1782530862">
    <w:abstractNumId w:val="14"/>
  </w:num>
  <w:num w:numId="42" w16cid:durableId="1874338461">
    <w:abstractNumId w:val="62"/>
  </w:num>
  <w:num w:numId="43" w16cid:durableId="585962899">
    <w:abstractNumId w:val="55"/>
  </w:num>
  <w:num w:numId="44" w16cid:durableId="1097628991">
    <w:abstractNumId w:val="65"/>
  </w:num>
  <w:num w:numId="45" w16cid:durableId="1309557372">
    <w:abstractNumId w:val="11"/>
  </w:num>
  <w:num w:numId="46" w16cid:durableId="1831554788">
    <w:abstractNumId w:val="58"/>
  </w:num>
  <w:num w:numId="47" w16cid:durableId="1354965184">
    <w:abstractNumId w:val="27"/>
  </w:num>
  <w:num w:numId="48" w16cid:durableId="779301458">
    <w:abstractNumId w:val="31"/>
  </w:num>
  <w:num w:numId="49" w16cid:durableId="149517123">
    <w:abstractNumId w:val="12"/>
  </w:num>
  <w:num w:numId="50" w16cid:durableId="471289819">
    <w:abstractNumId w:val="53"/>
  </w:num>
  <w:num w:numId="51" w16cid:durableId="868877072">
    <w:abstractNumId w:val="26"/>
  </w:num>
  <w:num w:numId="52" w16cid:durableId="448546445">
    <w:abstractNumId w:val="3"/>
  </w:num>
  <w:num w:numId="53" w16cid:durableId="78210876">
    <w:abstractNumId w:val="15"/>
    <w:lvlOverride w:ilvl="0">
      <w:lvl w:ilvl="0">
        <w:start w:val="1"/>
        <w:numFmt w:val="bullet"/>
        <w:pStyle w:val="List-Level1"/>
        <w:lvlText w:val=""/>
        <w:lvlJc w:val="left"/>
        <w:pPr>
          <w:ind w:left="792" w:hanging="216"/>
        </w:pPr>
        <w:rPr>
          <w:rFonts w:ascii="Symbol" w:hAnsi="Symbol" w:hint="default"/>
          <w:b/>
          <w:bCs/>
          <w:color w:val="auto"/>
          <w:sz w:val="18"/>
          <w:szCs w:val="24"/>
        </w:rPr>
      </w:lvl>
    </w:lvlOverride>
  </w:num>
  <w:num w:numId="54" w16cid:durableId="905916668">
    <w:abstractNumId w:val="67"/>
  </w:num>
  <w:num w:numId="55" w16cid:durableId="494731424">
    <w:abstractNumId w:val="28"/>
  </w:num>
  <w:num w:numId="56" w16cid:durableId="1879198309">
    <w:abstractNumId w:val="50"/>
  </w:num>
  <w:num w:numId="57" w16cid:durableId="810287596">
    <w:abstractNumId w:val="10"/>
  </w:num>
  <w:num w:numId="58" w16cid:durableId="393507191">
    <w:abstractNumId w:val="17"/>
  </w:num>
  <w:num w:numId="59" w16cid:durableId="1130824558">
    <w:abstractNumId w:val="37"/>
  </w:num>
  <w:num w:numId="60" w16cid:durableId="841820182">
    <w:abstractNumId w:val="24"/>
  </w:num>
  <w:num w:numId="61" w16cid:durableId="1659578560">
    <w:abstractNumId w:val="16"/>
  </w:num>
  <w:num w:numId="62" w16cid:durableId="1693457927">
    <w:abstractNumId w:val="61"/>
  </w:num>
  <w:num w:numId="63" w16cid:durableId="1952935868">
    <w:abstractNumId w:val="47"/>
  </w:num>
  <w:num w:numId="64" w16cid:durableId="702756541">
    <w:abstractNumId w:val="29"/>
  </w:num>
  <w:num w:numId="65" w16cid:durableId="161818100">
    <w:abstractNumId w:val="49"/>
  </w:num>
  <w:num w:numId="66" w16cid:durableId="1339386027">
    <w:abstractNumId w:val="19"/>
  </w:num>
  <w:num w:numId="67" w16cid:durableId="526599716">
    <w:abstractNumId w:val="39"/>
  </w:num>
  <w:num w:numId="68" w16cid:durableId="1116557190">
    <w:abstractNumId w:val="1"/>
  </w:num>
  <w:num w:numId="69" w16cid:durableId="329455512">
    <w:abstractNumId w:val="73"/>
  </w:num>
  <w:num w:numId="70" w16cid:durableId="1587693327">
    <w:abstractNumId w:val="8"/>
  </w:num>
  <w:num w:numId="71" w16cid:durableId="935937508">
    <w:abstractNumId w:val="22"/>
  </w:num>
  <w:num w:numId="72" w16cid:durableId="2000424982">
    <w:abstractNumId w:val="7"/>
  </w:num>
  <w:num w:numId="73" w16cid:durableId="334575951">
    <w:abstractNumId w:val="59"/>
  </w:num>
  <w:num w:numId="74" w16cid:durableId="1689091021">
    <w:abstractNumId w:val="25"/>
  </w:num>
  <w:num w:numId="75" w16cid:durableId="959728719">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81"/>
    <w:rsid w:val="00000408"/>
    <w:rsid w:val="00001763"/>
    <w:rsid w:val="0000348B"/>
    <w:rsid w:val="00003514"/>
    <w:rsid w:val="00004EC0"/>
    <w:rsid w:val="000052AD"/>
    <w:rsid w:val="000053FB"/>
    <w:rsid w:val="000054DA"/>
    <w:rsid w:val="000064CA"/>
    <w:rsid w:val="000075C1"/>
    <w:rsid w:val="00007ABB"/>
    <w:rsid w:val="00011659"/>
    <w:rsid w:val="000130A8"/>
    <w:rsid w:val="00014433"/>
    <w:rsid w:val="00014453"/>
    <w:rsid w:val="000145F2"/>
    <w:rsid w:val="00016BC9"/>
    <w:rsid w:val="00017161"/>
    <w:rsid w:val="00017CE0"/>
    <w:rsid w:val="0002014F"/>
    <w:rsid w:val="00020E4B"/>
    <w:rsid w:val="00020EC3"/>
    <w:rsid w:val="00020F63"/>
    <w:rsid w:val="00021248"/>
    <w:rsid w:val="00021FEA"/>
    <w:rsid w:val="0002382A"/>
    <w:rsid w:val="00023F6E"/>
    <w:rsid w:val="00026A0C"/>
    <w:rsid w:val="000311FD"/>
    <w:rsid w:val="000323EE"/>
    <w:rsid w:val="0003757C"/>
    <w:rsid w:val="0004006F"/>
    <w:rsid w:val="00041119"/>
    <w:rsid w:val="0004198E"/>
    <w:rsid w:val="00042387"/>
    <w:rsid w:val="00042A7F"/>
    <w:rsid w:val="00042F82"/>
    <w:rsid w:val="0004455C"/>
    <w:rsid w:val="000448D5"/>
    <w:rsid w:val="0004629B"/>
    <w:rsid w:val="000463AC"/>
    <w:rsid w:val="0004661B"/>
    <w:rsid w:val="00046B4C"/>
    <w:rsid w:val="00047438"/>
    <w:rsid w:val="0005185F"/>
    <w:rsid w:val="00051BF9"/>
    <w:rsid w:val="0005219B"/>
    <w:rsid w:val="00052462"/>
    <w:rsid w:val="00052DC4"/>
    <w:rsid w:val="00054459"/>
    <w:rsid w:val="0005472F"/>
    <w:rsid w:val="00054E21"/>
    <w:rsid w:val="00055F45"/>
    <w:rsid w:val="00065368"/>
    <w:rsid w:val="0006562C"/>
    <w:rsid w:val="00065DDE"/>
    <w:rsid w:val="00066D40"/>
    <w:rsid w:val="00066EFD"/>
    <w:rsid w:val="00067DE7"/>
    <w:rsid w:val="00071F66"/>
    <w:rsid w:val="000724AF"/>
    <w:rsid w:val="00072681"/>
    <w:rsid w:val="000728C2"/>
    <w:rsid w:val="000740DA"/>
    <w:rsid w:val="0007494A"/>
    <w:rsid w:val="000757E5"/>
    <w:rsid w:val="00075D94"/>
    <w:rsid w:val="0007655F"/>
    <w:rsid w:val="00077368"/>
    <w:rsid w:val="00077A33"/>
    <w:rsid w:val="00077B3C"/>
    <w:rsid w:val="00077DE5"/>
    <w:rsid w:val="00081269"/>
    <w:rsid w:val="00081304"/>
    <w:rsid w:val="00081F0A"/>
    <w:rsid w:val="00082BFF"/>
    <w:rsid w:val="00083991"/>
    <w:rsid w:val="00083BDB"/>
    <w:rsid w:val="000847A1"/>
    <w:rsid w:val="00084F28"/>
    <w:rsid w:val="00085638"/>
    <w:rsid w:val="00085B3E"/>
    <w:rsid w:val="0008620F"/>
    <w:rsid w:val="00087B07"/>
    <w:rsid w:val="000900BB"/>
    <w:rsid w:val="000909E8"/>
    <w:rsid w:val="000926F8"/>
    <w:rsid w:val="0009275A"/>
    <w:rsid w:val="00093419"/>
    <w:rsid w:val="000950CE"/>
    <w:rsid w:val="000963A5"/>
    <w:rsid w:val="00096581"/>
    <w:rsid w:val="00097B74"/>
    <w:rsid w:val="000A1317"/>
    <w:rsid w:val="000A6BF3"/>
    <w:rsid w:val="000B0265"/>
    <w:rsid w:val="000B1AE9"/>
    <w:rsid w:val="000B1EF2"/>
    <w:rsid w:val="000B2802"/>
    <w:rsid w:val="000B3BDF"/>
    <w:rsid w:val="000B3FF4"/>
    <w:rsid w:val="000B4594"/>
    <w:rsid w:val="000B4CE9"/>
    <w:rsid w:val="000B4D06"/>
    <w:rsid w:val="000B566E"/>
    <w:rsid w:val="000B7CB2"/>
    <w:rsid w:val="000C0662"/>
    <w:rsid w:val="000C1308"/>
    <w:rsid w:val="000C143F"/>
    <w:rsid w:val="000C2786"/>
    <w:rsid w:val="000C2A51"/>
    <w:rsid w:val="000C433E"/>
    <w:rsid w:val="000C6D1F"/>
    <w:rsid w:val="000C7015"/>
    <w:rsid w:val="000C73B3"/>
    <w:rsid w:val="000D024C"/>
    <w:rsid w:val="000D1520"/>
    <w:rsid w:val="000D1B33"/>
    <w:rsid w:val="000D252E"/>
    <w:rsid w:val="000D2F9B"/>
    <w:rsid w:val="000D3336"/>
    <w:rsid w:val="000D35F6"/>
    <w:rsid w:val="000D3C07"/>
    <w:rsid w:val="000D551D"/>
    <w:rsid w:val="000D558B"/>
    <w:rsid w:val="000D5948"/>
    <w:rsid w:val="000E2933"/>
    <w:rsid w:val="000E47AD"/>
    <w:rsid w:val="000E5486"/>
    <w:rsid w:val="000F2B65"/>
    <w:rsid w:val="000F31DC"/>
    <w:rsid w:val="000F624F"/>
    <w:rsid w:val="000F6AEE"/>
    <w:rsid w:val="0010062C"/>
    <w:rsid w:val="00100C2F"/>
    <w:rsid w:val="00101A85"/>
    <w:rsid w:val="001022AE"/>
    <w:rsid w:val="00102F8F"/>
    <w:rsid w:val="00102FC0"/>
    <w:rsid w:val="00103B6A"/>
    <w:rsid w:val="00105369"/>
    <w:rsid w:val="001057F0"/>
    <w:rsid w:val="00105D9B"/>
    <w:rsid w:val="0010613E"/>
    <w:rsid w:val="0010736C"/>
    <w:rsid w:val="0011033B"/>
    <w:rsid w:val="001118BB"/>
    <w:rsid w:val="00111FCD"/>
    <w:rsid w:val="00113364"/>
    <w:rsid w:val="001145F1"/>
    <w:rsid w:val="00115F61"/>
    <w:rsid w:val="0012057C"/>
    <w:rsid w:val="001237CC"/>
    <w:rsid w:val="00123CCA"/>
    <w:rsid w:val="0012498D"/>
    <w:rsid w:val="00125DAC"/>
    <w:rsid w:val="001260BB"/>
    <w:rsid w:val="001261CB"/>
    <w:rsid w:val="00127BD8"/>
    <w:rsid w:val="00127D90"/>
    <w:rsid w:val="00127E07"/>
    <w:rsid w:val="00130D73"/>
    <w:rsid w:val="001311C5"/>
    <w:rsid w:val="0013287D"/>
    <w:rsid w:val="001329DA"/>
    <w:rsid w:val="00132F89"/>
    <w:rsid w:val="00133F1D"/>
    <w:rsid w:val="0013448F"/>
    <w:rsid w:val="001362A0"/>
    <w:rsid w:val="00140945"/>
    <w:rsid w:val="0014116E"/>
    <w:rsid w:val="00142F53"/>
    <w:rsid w:val="00144F38"/>
    <w:rsid w:val="0014514B"/>
    <w:rsid w:val="0014522C"/>
    <w:rsid w:val="00146222"/>
    <w:rsid w:val="00147CFF"/>
    <w:rsid w:val="001504C1"/>
    <w:rsid w:val="0015145A"/>
    <w:rsid w:val="00151BDB"/>
    <w:rsid w:val="00153B85"/>
    <w:rsid w:val="00155745"/>
    <w:rsid w:val="001574F6"/>
    <w:rsid w:val="00162513"/>
    <w:rsid w:val="00162F9E"/>
    <w:rsid w:val="00163342"/>
    <w:rsid w:val="00163672"/>
    <w:rsid w:val="001636B2"/>
    <w:rsid w:val="00163F0A"/>
    <w:rsid w:val="00164B59"/>
    <w:rsid w:val="001669F2"/>
    <w:rsid w:val="00171580"/>
    <w:rsid w:val="001717FE"/>
    <w:rsid w:val="00171DE4"/>
    <w:rsid w:val="001725A8"/>
    <w:rsid w:val="001729BD"/>
    <w:rsid w:val="00172AE1"/>
    <w:rsid w:val="001745B0"/>
    <w:rsid w:val="00174DAD"/>
    <w:rsid w:val="0017794E"/>
    <w:rsid w:val="001821D4"/>
    <w:rsid w:val="001830F1"/>
    <w:rsid w:val="00183A0A"/>
    <w:rsid w:val="00183CA9"/>
    <w:rsid w:val="00185413"/>
    <w:rsid w:val="00186EA0"/>
    <w:rsid w:val="00187159"/>
    <w:rsid w:val="0018723F"/>
    <w:rsid w:val="0019456D"/>
    <w:rsid w:val="0019671E"/>
    <w:rsid w:val="00196CEB"/>
    <w:rsid w:val="0019798A"/>
    <w:rsid w:val="00197B32"/>
    <w:rsid w:val="001A1EE3"/>
    <w:rsid w:val="001A25A1"/>
    <w:rsid w:val="001A3231"/>
    <w:rsid w:val="001A3300"/>
    <w:rsid w:val="001A6754"/>
    <w:rsid w:val="001A764E"/>
    <w:rsid w:val="001A7D30"/>
    <w:rsid w:val="001B06D4"/>
    <w:rsid w:val="001B07E6"/>
    <w:rsid w:val="001B236A"/>
    <w:rsid w:val="001B376E"/>
    <w:rsid w:val="001B502F"/>
    <w:rsid w:val="001B50D5"/>
    <w:rsid w:val="001B5606"/>
    <w:rsid w:val="001B6E4B"/>
    <w:rsid w:val="001B7E0D"/>
    <w:rsid w:val="001C0225"/>
    <w:rsid w:val="001C0233"/>
    <w:rsid w:val="001C0BFD"/>
    <w:rsid w:val="001C116E"/>
    <w:rsid w:val="001C1253"/>
    <w:rsid w:val="001C1B1E"/>
    <w:rsid w:val="001C1FDF"/>
    <w:rsid w:val="001C2B8D"/>
    <w:rsid w:val="001C2FC7"/>
    <w:rsid w:val="001C47E4"/>
    <w:rsid w:val="001C4AB1"/>
    <w:rsid w:val="001C4D73"/>
    <w:rsid w:val="001C61F0"/>
    <w:rsid w:val="001C70D0"/>
    <w:rsid w:val="001C7704"/>
    <w:rsid w:val="001D113A"/>
    <w:rsid w:val="001D2288"/>
    <w:rsid w:val="001D4431"/>
    <w:rsid w:val="001D5D71"/>
    <w:rsid w:val="001D727E"/>
    <w:rsid w:val="001D786B"/>
    <w:rsid w:val="001E02C9"/>
    <w:rsid w:val="001E146D"/>
    <w:rsid w:val="001E17FA"/>
    <w:rsid w:val="001E263E"/>
    <w:rsid w:val="001E26A9"/>
    <w:rsid w:val="001E3B5E"/>
    <w:rsid w:val="001E44C7"/>
    <w:rsid w:val="001E5135"/>
    <w:rsid w:val="001E56BA"/>
    <w:rsid w:val="001E6AFD"/>
    <w:rsid w:val="001E7B66"/>
    <w:rsid w:val="001F000D"/>
    <w:rsid w:val="001F08B0"/>
    <w:rsid w:val="001F1B8E"/>
    <w:rsid w:val="001F28E4"/>
    <w:rsid w:val="001F2D31"/>
    <w:rsid w:val="001F3674"/>
    <w:rsid w:val="001F54D1"/>
    <w:rsid w:val="001F5C02"/>
    <w:rsid w:val="002022C5"/>
    <w:rsid w:val="002038DE"/>
    <w:rsid w:val="00204D6D"/>
    <w:rsid w:val="00205F4B"/>
    <w:rsid w:val="00206012"/>
    <w:rsid w:val="00207413"/>
    <w:rsid w:val="0021030A"/>
    <w:rsid w:val="002103F7"/>
    <w:rsid w:val="0021137D"/>
    <w:rsid w:val="00211962"/>
    <w:rsid w:val="002119B3"/>
    <w:rsid w:val="002119CE"/>
    <w:rsid w:val="0021295F"/>
    <w:rsid w:val="00213B2D"/>
    <w:rsid w:val="00213C78"/>
    <w:rsid w:val="00214CC0"/>
    <w:rsid w:val="002157EE"/>
    <w:rsid w:val="00216673"/>
    <w:rsid w:val="00217787"/>
    <w:rsid w:val="00220AEF"/>
    <w:rsid w:val="00220B9E"/>
    <w:rsid w:val="00221841"/>
    <w:rsid w:val="002229B5"/>
    <w:rsid w:val="00223965"/>
    <w:rsid w:val="002244E2"/>
    <w:rsid w:val="0022681D"/>
    <w:rsid w:val="00226EDD"/>
    <w:rsid w:val="002274C1"/>
    <w:rsid w:val="00230A4B"/>
    <w:rsid w:val="00230A7B"/>
    <w:rsid w:val="0023163E"/>
    <w:rsid w:val="0023211E"/>
    <w:rsid w:val="00232497"/>
    <w:rsid w:val="002333F4"/>
    <w:rsid w:val="00233CA0"/>
    <w:rsid w:val="002342B9"/>
    <w:rsid w:val="002371CB"/>
    <w:rsid w:val="00240283"/>
    <w:rsid w:val="002412E5"/>
    <w:rsid w:val="0024341F"/>
    <w:rsid w:val="00244761"/>
    <w:rsid w:val="00245534"/>
    <w:rsid w:val="00246D7E"/>
    <w:rsid w:val="00246F19"/>
    <w:rsid w:val="00247E94"/>
    <w:rsid w:val="00250A8B"/>
    <w:rsid w:val="00251192"/>
    <w:rsid w:val="00252051"/>
    <w:rsid w:val="00252C7A"/>
    <w:rsid w:val="002535A7"/>
    <w:rsid w:val="00254FB0"/>
    <w:rsid w:val="0025567D"/>
    <w:rsid w:val="00255DB7"/>
    <w:rsid w:val="00261292"/>
    <w:rsid w:val="00262072"/>
    <w:rsid w:val="00263BCC"/>
    <w:rsid w:val="00264C10"/>
    <w:rsid w:val="00265C3A"/>
    <w:rsid w:val="00270D66"/>
    <w:rsid w:val="00271D4A"/>
    <w:rsid w:val="0027296E"/>
    <w:rsid w:val="0027366D"/>
    <w:rsid w:val="00273A70"/>
    <w:rsid w:val="00273DDA"/>
    <w:rsid w:val="002743A3"/>
    <w:rsid w:val="00274D6B"/>
    <w:rsid w:val="00274E80"/>
    <w:rsid w:val="002759EF"/>
    <w:rsid w:val="00275DCA"/>
    <w:rsid w:val="002760D7"/>
    <w:rsid w:val="00277454"/>
    <w:rsid w:val="002779F0"/>
    <w:rsid w:val="0028173F"/>
    <w:rsid w:val="0028195B"/>
    <w:rsid w:val="00281F22"/>
    <w:rsid w:val="00283543"/>
    <w:rsid w:val="00286522"/>
    <w:rsid w:val="00287279"/>
    <w:rsid w:val="00292C86"/>
    <w:rsid w:val="00293BAF"/>
    <w:rsid w:val="00293E5D"/>
    <w:rsid w:val="002954A4"/>
    <w:rsid w:val="002955A0"/>
    <w:rsid w:val="00296F95"/>
    <w:rsid w:val="002979F4"/>
    <w:rsid w:val="002A1053"/>
    <w:rsid w:val="002A357A"/>
    <w:rsid w:val="002A3DCB"/>
    <w:rsid w:val="002A4978"/>
    <w:rsid w:val="002A56AD"/>
    <w:rsid w:val="002A6C38"/>
    <w:rsid w:val="002A76AE"/>
    <w:rsid w:val="002B011D"/>
    <w:rsid w:val="002B2029"/>
    <w:rsid w:val="002B3987"/>
    <w:rsid w:val="002B3F16"/>
    <w:rsid w:val="002B46CB"/>
    <w:rsid w:val="002B49CA"/>
    <w:rsid w:val="002B4A43"/>
    <w:rsid w:val="002B4A8E"/>
    <w:rsid w:val="002B5060"/>
    <w:rsid w:val="002B5832"/>
    <w:rsid w:val="002B6E96"/>
    <w:rsid w:val="002C0464"/>
    <w:rsid w:val="002C072E"/>
    <w:rsid w:val="002C2760"/>
    <w:rsid w:val="002C3FDD"/>
    <w:rsid w:val="002C73CF"/>
    <w:rsid w:val="002D2891"/>
    <w:rsid w:val="002D31DC"/>
    <w:rsid w:val="002D35D7"/>
    <w:rsid w:val="002D37A2"/>
    <w:rsid w:val="002D3B4D"/>
    <w:rsid w:val="002D3E26"/>
    <w:rsid w:val="002D4F47"/>
    <w:rsid w:val="002D617D"/>
    <w:rsid w:val="002E2267"/>
    <w:rsid w:val="002E2476"/>
    <w:rsid w:val="002E286A"/>
    <w:rsid w:val="002E7853"/>
    <w:rsid w:val="002F2A4F"/>
    <w:rsid w:val="002F3616"/>
    <w:rsid w:val="002F380D"/>
    <w:rsid w:val="002F5498"/>
    <w:rsid w:val="002F5AF7"/>
    <w:rsid w:val="002F6438"/>
    <w:rsid w:val="002F6B2E"/>
    <w:rsid w:val="002F7061"/>
    <w:rsid w:val="002F7419"/>
    <w:rsid w:val="00301A34"/>
    <w:rsid w:val="00301CFA"/>
    <w:rsid w:val="003027F1"/>
    <w:rsid w:val="003044D6"/>
    <w:rsid w:val="003064BC"/>
    <w:rsid w:val="00307648"/>
    <w:rsid w:val="003130A9"/>
    <w:rsid w:val="00314A97"/>
    <w:rsid w:val="00314F9F"/>
    <w:rsid w:val="00315040"/>
    <w:rsid w:val="00315A22"/>
    <w:rsid w:val="00315DB7"/>
    <w:rsid w:val="00317E33"/>
    <w:rsid w:val="0032148E"/>
    <w:rsid w:val="003214B9"/>
    <w:rsid w:val="00326281"/>
    <w:rsid w:val="00326E57"/>
    <w:rsid w:val="003302B7"/>
    <w:rsid w:val="00330649"/>
    <w:rsid w:val="00330CD6"/>
    <w:rsid w:val="003310CE"/>
    <w:rsid w:val="003310FB"/>
    <w:rsid w:val="00331262"/>
    <w:rsid w:val="00333E52"/>
    <w:rsid w:val="00334A32"/>
    <w:rsid w:val="00337E9A"/>
    <w:rsid w:val="003415F9"/>
    <w:rsid w:val="0034198A"/>
    <w:rsid w:val="0034244D"/>
    <w:rsid w:val="0034470B"/>
    <w:rsid w:val="00347455"/>
    <w:rsid w:val="00350E13"/>
    <w:rsid w:val="00351A15"/>
    <w:rsid w:val="00352789"/>
    <w:rsid w:val="003527A3"/>
    <w:rsid w:val="0035337A"/>
    <w:rsid w:val="003541F1"/>
    <w:rsid w:val="0035681B"/>
    <w:rsid w:val="00357BC9"/>
    <w:rsid w:val="00361258"/>
    <w:rsid w:val="0036163F"/>
    <w:rsid w:val="00362264"/>
    <w:rsid w:val="00365E54"/>
    <w:rsid w:val="00365F31"/>
    <w:rsid w:val="0036670F"/>
    <w:rsid w:val="0036746F"/>
    <w:rsid w:val="00371721"/>
    <w:rsid w:val="00371808"/>
    <w:rsid w:val="00371D63"/>
    <w:rsid w:val="0037223D"/>
    <w:rsid w:val="0037481B"/>
    <w:rsid w:val="003756E0"/>
    <w:rsid w:val="00375907"/>
    <w:rsid w:val="00377326"/>
    <w:rsid w:val="00380628"/>
    <w:rsid w:val="00380F3F"/>
    <w:rsid w:val="00381EDD"/>
    <w:rsid w:val="003820A9"/>
    <w:rsid w:val="00383E3C"/>
    <w:rsid w:val="00384656"/>
    <w:rsid w:val="003852AC"/>
    <w:rsid w:val="003860FA"/>
    <w:rsid w:val="00386708"/>
    <w:rsid w:val="003869EE"/>
    <w:rsid w:val="00387225"/>
    <w:rsid w:val="00387F46"/>
    <w:rsid w:val="00390541"/>
    <w:rsid w:val="00392107"/>
    <w:rsid w:val="0039220E"/>
    <w:rsid w:val="00393D4B"/>
    <w:rsid w:val="00395349"/>
    <w:rsid w:val="00396FDD"/>
    <w:rsid w:val="003A04A9"/>
    <w:rsid w:val="003A0D04"/>
    <w:rsid w:val="003A2CED"/>
    <w:rsid w:val="003A33C0"/>
    <w:rsid w:val="003A4C93"/>
    <w:rsid w:val="003A60CE"/>
    <w:rsid w:val="003B0C5C"/>
    <w:rsid w:val="003B1E63"/>
    <w:rsid w:val="003B229D"/>
    <w:rsid w:val="003B5450"/>
    <w:rsid w:val="003C1DF4"/>
    <w:rsid w:val="003C2596"/>
    <w:rsid w:val="003C34F3"/>
    <w:rsid w:val="003C3D81"/>
    <w:rsid w:val="003C3E3A"/>
    <w:rsid w:val="003C4EB8"/>
    <w:rsid w:val="003C680E"/>
    <w:rsid w:val="003C6B11"/>
    <w:rsid w:val="003C731C"/>
    <w:rsid w:val="003D14D7"/>
    <w:rsid w:val="003D21DE"/>
    <w:rsid w:val="003D2A1B"/>
    <w:rsid w:val="003D2B71"/>
    <w:rsid w:val="003D458E"/>
    <w:rsid w:val="003D54FC"/>
    <w:rsid w:val="003D5F75"/>
    <w:rsid w:val="003D60C5"/>
    <w:rsid w:val="003D614F"/>
    <w:rsid w:val="003E1508"/>
    <w:rsid w:val="003E3A81"/>
    <w:rsid w:val="003E417B"/>
    <w:rsid w:val="003E4D7A"/>
    <w:rsid w:val="003E50CA"/>
    <w:rsid w:val="003E552E"/>
    <w:rsid w:val="003E62DA"/>
    <w:rsid w:val="003E6B9E"/>
    <w:rsid w:val="003F0CBE"/>
    <w:rsid w:val="003F0FB1"/>
    <w:rsid w:val="003F137B"/>
    <w:rsid w:val="003F1A6B"/>
    <w:rsid w:val="003F1D76"/>
    <w:rsid w:val="003F245A"/>
    <w:rsid w:val="003F318B"/>
    <w:rsid w:val="003F3D2C"/>
    <w:rsid w:val="003F4A55"/>
    <w:rsid w:val="003F5A71"/>
    <w:rsid w:val="003F7897"/>
    <w:rsid w:val="004035B1"/>
    <w:rsid w:val="00405AA6"/>
    <w:rsid w:val="00406FEE"/>
    <w:rsid w:val="004073FE"/>
    <w:rsid w:val="00407E5D"/>
    <w:rsid w:val="00410659"/>
    <w:rsid w:val="00410E7A"/>
    <w:rsid w:val="0041107D"/>
    <w:rsid w:val="00412FEF"/>
    <w:rsid w:val="004133CF"/>
    <w:rsid w:val="004138D4"/>
    <w:rsid w:val="00414F1E"/>
    <w:rsid w:val="00415C7B"/>
    <w:rsid w:val="00416535"/>
    <w:rsid w:val="00417A4F"/>
    <w:rsid w:val="0042413D"/>
    <w:rsid w:val="0042473B"/>
    <w:rsid w:val="00424E1D"/>
    <w:rsid w:val="004253AB"/>
    <w:rsid w:val="0042552C"/>
    <w:rsid w:val="00425804"/>
    <w:rsid w:val="004259A9"/>
    <w:rsid w:val="00426A8B"/>
    <w:rsid w:val="00426F5A"/>
    <w:rsid w:val="0042789B"/>
    <w:rsid w:val="00430948"/>
    <w:rsid w:val="00431491"/>
    <w:rsid w:val="00431501"/>
    <w:rsid w:val="00431ACC"/>
    <w:rsid w:val="00431C79"/>
    <w:rsid w:val="00434BCF"/>
    <w:rsid w:val="00434F22"/>
    <w:rsid w:val="00435863"/>
    <w:rsid w:val="004377BA"/>
    <w:rsid w:val="00437CEE"/>
    <w:rsid w:val="00437E6D"/>
    <w:rsid w:val="00437F6E"/>
    <w:rsid w:val="0044137F"/>
    <w:rsid w:val="00441F0F"/>
    <w:rsid w:val="00443819"/>
    <w:rsid w:val="004475CE"/>
    <w:rsid w:val="00452477"/>
    <w:rsid w:val="0045302F"/>
    <w:rsid w:val="00453356"/>
    <w:rsid w:val="00454315"/>
    <w:rsid w:val="00454CB5"/>
    <w:rsid w:val="00455E68"/>
    <w:rsid w:val="00461D1A"/>
    <w:rsid w:val="004620FB"/>
    <w:rsid w:val="00464015"/>
    <w:rsid w:val="004643B1"/>
    <w:rsid w:val="004646B2"/>
    <w:rsid w:val="00465587"/>
    <w:rsid w:val="00465ECC"/>
    <w:rsid w:val="004663D3"/>
    <w:rsid w:val="0046651C"/>
    <w:rsid w:val="00471E47"/>
    <w:rsid w:val="00472899"/>
    <w:rsid w:val="004744C9"/>
    <w:rsid w:val="00475ABE"/>
    <w:rsid w:val="0047706A"/>
    <w:rsid w:val="00477F1E"/>
    <w:rsid w:val="00482124"/>
    <w:rsid w:val="00482E14"/>
    <w:rsid w:val="0048317D"/>
    <w:rsid w:val="004833EE"/>
    <w:rsid w:val="00486077"/>
    <w:rsid w:val="004872BA"/>
    <w:rsid w:val="00490947"/>
    <w:rsid w:val="00492F6E"/>
    <w:rsid w:val="004937FC"/>
    <w:rsid w:val="00493A9E"/>
    <w:rsid w:val="00493B02"/>
    <w:rsid w:val="00494059"/>
    <w:rsid w:val="00494831"/>
    <w:rsid w:val="00495781"/>
    <w:rsid w:val="00496925"/>
    <w:rsid w:val="00496F11"/>
    <w:rsid w:val="004A1766"/>
    <w:rsid w:val="004A1CE8"/>
    <w:rsid w:val="004A231F"/>
    <w:rsid w:val="004A30D5"/>
    <w:rsid w:val="004A55EA"/>
    <w:rsid w:val="004A716F"/>
    <w:rsid w:val="004B1496"/>
    <w:rsid w:val="004B481D"/>
    <w:rsid w:val="004B7A97"/>
    <w:rsid w:val="004B7E42"/>
    <w:rsid w:val="004C1522"/>
    <w:rsid w:val="004C1647"/>
    <w:rsid w:val="004C29A8"/>
    <w:rsid w:val="004C2A0E"/>
    <w:rsid w:val="004C3EAD"/>
    <w:rsid w:val="004C41D7"/>
    <w:rsid w:val="004C495B"/>
    <w:rsid w:val="004C5362"/>
    <w:rsid w:val="004C54DD"/>
    <w:rsid w:val="004C691F"/>
    <w:rsid w:val="004C74E0"/>
    <w:rsid w:val="004D30F4"/>
    <w:rsid w:val="004D3FCF"/>
    <w:rsid w:val="004D40F3"/>
    <w:rsid w:val="004D45A7"/>
    <w:rsid w:val="004D4FC7"/>
    <w:rsid w:val="004D5A25"/>
    <w:rsid w:val="004D5EC0"/>
    <w:rsid w:val="004D620E"/>
    <w:rsid w:val="004D6F02"/>
    <w:rsid w:val="004D7AAB"/>
    <w:rsid w:val="004E1863"/>
    <w:rsid w:val="004E1B40"/>
    <w:rsid w:val="004E1FFA"/>
    <w:rsid w:val="004E5949"/>
    <w:rsid w:val="004E6F3D"/>
    <w:rsid w:val="004F1D24"/>
    <w:rsid w:val="004F20F8"/>
    <w:rsid w:val="004F46DE"/>
    <w:rsid w:val="004F6691"/>
    <w:rsid w:val="004F6C37"/>
    <w:rsid w:val="004F712F"/>
    <w:rsid w:val="005000B7"/>
    <w:rsid w:val="00500502"/>
    <w:rsid w:val="0050221A"/>
    <w:rsid w:val="00503A00"/>
    <w:rsid w:val="00503A74"/>
    <w:rsid w:val="00503EE2"/>
    <w:rsid w:val="005041E5"/>
    <w:rsid w:val="005047D0"/>
    <w:rsid w:val="00504902"/>
    <w:rsid w:val="005049C8"/>
    <w:rsid w:val="0050515A"/>
    <w:rsid w:val="00505295"/>
    <w:rsid w:val="005068F9"/>
    <w:rsid w:val="005077A7"/>
    <w:rsid w:val="0051238B"/>
    <w:rsid w:val="0051241D"/>
    <w:rsid w:val="00512CDB"/>
    <w:rsid w:val="00513679"/>
    <w:rsid w:val="00514084"/>
    <w:rsid w:val="005162E8"/>
    <w:rsid w:val="00516387"/>
    <w:rsid w:val="00517761"/>
    <w:rsid w:val="0051787F"/>
    <w:rsid w:val="00521BB1"/>
    <w:rsid w:val="0052331A"/>
    <w:rsid w:val="00525DA8"/>
    <w:rsid w:val="00525EDC"/>
    <w:rsid w:val="0052611C"/>
    <w:rsid w:val="005276B7"/>
    <w:rsid w:val="005308A7"/>
    <w:rsid w:val="00530E1D"/>
    <w:rsid w:val="00531039"/>
    <w:rsid w:val="005326A7"/>
    <w:rsid w:val="005335C7"/>
    <w:rsid w:val="00534857"/>
    <w:rsid w:val="00536081"/>
    <w:rsid w:val="005369BC"/>
    <w:rsid w:val="00537BCF"/>
    <w:rsid w:val="005403A4"/>
    <w:rsid w:val="00541796"/>
    <w:rsid w:val="005423BB"/>
    <w:rsid w:val="00542CC2"/>
    <w:rsid w:val="00543846"/>
    <w:rsid w:val="0054625A"/>
    <w:rsid w:val="0054692D"/>
    <w:rsid w:val="00546FD1"/>
    <w:rsid w:val="00547AB3"/>
    <w:rsid w:val="0055121F"/>
    <w:rsid w:val="00553804"/>
    <w:rsid w:val="005558C5"/>
    <w:rsid w:val="00555C51"/>
    <w:rsid w:val="00555FDF"/>
    <w:rsid w:val="00556049"/>
    <w:rsid w:val="00556109"/>
    <w:rsid w:val="00557DAF"/>
    <w:rsid w:val="00561AEB"/>
    <w:rsid w:val="005634C9"/>
    <w:rsid w:val="00563A6E"/>
    <w:rsid w:val="005648DC"/>
    <w:rsid w:val="00567216"/>
    <w:rsid w:val="00567586"/>
    <w:rsid w:val="00571B47"/>
    <w:rsid w:val="00571E6B"/>
    <w:rsid w:val="005722DB"/>
    <w:rsid w:val="00574F70"/>
    <w:rsid w:val="005751CA"/>
    <w:rsid w:val="00575476"/>
    <w:rsid w:val="005755CD"/>
    <w:rsid w:val="00576D3E"/>
    <w:rsid w:val="00577643"/>
    <w:rsid w:val="0057789C"/>
    <w:rsid w:val="005814EB"/>
    <w:rsid w:val="00581685"/>
    <w:rsid w:val="005820C9"/>
    <w:rsid w:val="00582AFB"/>
    <w:rsid w:val="005846CD"/>
    <w:rsid w:val="0058530A"/>
    <w:rsid w:val="00586166"/>
    <w:rsid w:val="005872E5"/>
    <w:rsid w:val="005907A1"/>
    <w:rsid w:val="00590B16"/>
    <w:rsid w:val="00590C84"/>
    <w:rsid w:val="00591695"/>
    <w:rsid w:val="00591AA6"/>
    <w:rsid w:val="00592524"/>
    <w:rsid w:val="00593271"/>
    <w:rsid w:val="005942D8"/>
    <w:rsid w:val="0059465A"/>
    <w:rsid w:val="00594752"/>
    <w:rsid w:val="0059615E"/>
    <w:rsid w:val="00596E96"/>
    <w:rsid w:val="005A2225"/>
    <w:rsid w:val="005A2FBD"/>
    <w:rsid w:val="005A4784"/>
    <w:rsid w:val="005B10F2"/>
    <w:rsid w:val="005B218F"/>
    <w:rsid w:val="005B2C58"/>
    <w:rsid w:val="005B6218"/>
    <w:rsid w:val="005B6631"/>
    <w:rsid w:val="005C0F3B"/>
    <w:rsid w:val="005C2BA1"/>
    <w:rsid w:val="005C3A5A"/>
    <w:rsid w:val="005C4E1A"/>
    <w:rsid w:val="005C55AD"/>
    <w:rsid w:val="005C5821"/>
    <w:rsid w:val="005C68CD"/>
    <w:rsid w:val="005D0D1A"/>
    <w:rsid w:val="005D0E9C"/>
    <w:rsid w:val="005D59AD"/>
    <w:rsid w:val="005D66FB"/>
    <w:rsid w:val="005D757A"/>
    <w:rsid w:val="005E0053"/>
    <w:rsid w:val="005E13F7"/>
    <w:rsid w:val="005E2F9A"/>
    <w:rsid w:val="005E39B1"/>
    <w:rsid w:val="005E5313"/>
    <w:rsid w:val="005E7501"/>
    <w:rsid w:val="005F03B7"/>
    <w:rsid w:val="005F0E24"/>
    <w:rsid w:val="005F2A97"/>
    <w:rsid w:val="005F2AE7"/>
    <w:rsid w:val="005F2FDD"/>
    <w:rsid w:val="005F3C8C"/>
    <w:rsid w:val="005F3D4B"/>
    <w:rsid w:val="005F432D"/>
    <w:rsid w:val="005F4B32"/>
    <w:rsid w:val="005F5271"/>
    <w:rsid w:val="005F60C3"/>
    <w:rsid w:val="005F6623"/>
    <w:rsid w:val="00601557"/>
    <w:rsid w:val="00601662"/>
    <w:rsid w:val="00603BB3"/>
    <w:rsid w:val="0060412D"/>
    <w:rsid w:val="00606032"/>
    <w:rsid w:val="00610248"/>
    <w:rsid w:val="006105E8"/>
    <w:rsid w:val="00611072"/>
    <w:rsid w:val="006132EF"/>
    <w:rsid w:val="00613461"/>
    <w:rsid w:val="00613489"/>
    <w:rsid w:val="006143B6"/>
    <w:rsid w:val="00615B60"/>
    <w:rsid w:val="00615FDA"/>
    <w:rsid w:val="00616360"/>
    <w:rsid w:val="006174AA"/>
    <w:rsid w:val="00617EE3"/>
    <w:rsid w:val="00617FB1"/>
    <w:rsid w:val="00620D31"/>
    <w:rsid w:val="00621C29"/>
    <w:rsid w:val="006231F6"/>
    <w:rsid w:val="006238BD"/>
    <w:rsid w:val="0062438D"/>
    <w:rsid w:val="00631351"/>
    <w:rsid w:val="006344E7"/>
    <w:rsid w:val="00634B5B"/>
    <w:rsid w:val="00641790"/>
    <w:rsid w:val="00643120"/>
    <w:rsid w:val="00643D65"/>
    <w:rsid w:val="00644090"/>
    <w:rsid w:val="00646374"/>
    <w:rsid w:val="00647276"/>
    <w:rsid w:val="00647732"/>
    <w:rsid w:val="00647C70"/>
    <w:rsid w:val="00650336"/>
    <w:rsid w:val="006520F3"/>
    <w:rsid w:val="00656E9F"/>
    <w:rsid w:val="0065721C"/>
    <w:rsid w:val="006603FA"/>
    <w:rsid w:val="0066098E"/>
    <w:rsid w:val="00660A5D"/>
    <w:rsid w:val="00661064"/>
    <w:rsid w:val="006611EC"/>
    <w:rsid w:val="00661577"/>
    <w:rsid w:val="00662BB3"/>
    <w:rsid w:val="00663290"/>
    <w:rsid w:val="00664D73"/>
    <w:rsid w:val="006662F8"/>
    <w:rsid w:val="00666511"/>
    <w:rsid w:val="00666FB3"/>
    <w:rsid w:val="0067013B"/>
    <w:rsid w:val="00670515"/>
    <w:rsid w:val="00670CB5"/>
    <w:rsid w:val="00672398"/>
    <w:rsid w:val="006725AA"/>
    <w:rsid w:val="006732D3"/>
    <w:rsid w:val="00673A61"/>
    <w:rsid w:val="00673A9F"/>
    <w:rsid w:val="00673EC5"/>
    <w:rsid w:val="00674EA8"/>
    <w:rsid w:val="0067682A"/>
    <w:rsid w:val="0067693A"/>
    <w:rsid w:val="00677189"/>
    <w:rsid w:val="00677C19"/>
    <w:rsid w:val="00680CC0"/>
    <w:rsid w:val="00681474"/>
    <w:rsid w:val="006822A4"/>
    <w:rsid w:val="006849D8"/>
    <w:rsid w:val="00685242"/>
    <w:rsid w:val="006856D5"/>
    <w:rsid w:val="00685C16"/>
    <w:rsid w:val="00693D48"/>
    <w:rsid w:val="00693F83"/>
    <w:rsid w:val="00694080"/>
    <w:rsid w:val="00695349"/>
    <w:rsid w:val="00695D1B"/>
    <w:rsid w:val="00695D98"/>
    <w:rsid w:val="00695DB0"/>
    <w:rsid w:val="00697333"/>
    <w:rsid w:val="006973FF"/>
    <w:rsid w:val="006A079D"/>
    <w:rsid w:val="006A3626"/>
    <w:rsid w:val="006A4266"/>
    <w:rsid w:val="006A47A3"/>
    <w:rsid w:val="006A536F"/>
    <w:rsid w:val="006A563E"/>
    <w:rsid w:val="006A5852"/>
    <w:rsid w:val="006A5F67"/>
    <w:rsid w:val="006A608B"/>
    <w:rsid w:val="006A6171"/>
    <w:rsid w:val="006A7A96"/>
    <w:rsid w:val="006B0749"/>
    <w:rsid w:val="006B2BB6"/>
    <w:rsid w:val="006B2D9E"/>
    <w:rsid w:val="006B393D"/>
    <w:rsid w:val="006B6D3A"/>
    <w:rsid w:val="006C032C"/>
    <w:rsid w:val="006C1C37"/>
    <w:rsid w:val="006C2073"/>
    <w:rsid w:val="006C4B40"/>
    <w:rsid w:val="006C504D"/>
    <w:rsid w:val="006C5768"/>
    <w:rsid w:val="006C748F"/>
    <w:rsid w:val="006C7DBC"/>
    <w:rsid w:val="006D1ADB"/>
    <w:rsid w:val="006D3E87"/>
    <w:rsid w:val="006D4AF1"/>
    <w:rsid w:val="006D4B12"/>
    <w:rsid w:val="006D4E43"/>
    <w:rsid w:val="006D6407"/>
    <w:rsid w:val="006D7AEF"/>
    <w:rsid w:val="006E3278"/>
    <w:rsid w:val="006E619B"/>
    <w:rsid w:val="006E628B"/>
    <w:rsid w:val="006E79F4"/>
    <w:rsid w:val="006F0C1A"/>
    <w:rsid w:val="006F1E59"/>
    <w:rsid w:val="006F241C"/>
    <w:rsid w:val="006F2988"/>
    <w:rsid w:val="006F3CF9"/>
    <w:rsid w:val="006F5649"/>
    <w:rsid w:val="006F65B6"/>
    <w:rsid w:val="006F772B"/>
    <w:rsid w:val="00700E80"/>
    <w:rsid w:val="00700FC0"/>
    <w:rsid w:val="00701651"/>
    <w:rsid w:val="00702128"/>
    <w:rsid w:val="007036FF"/>
    <w:rsid w:val="007055EF"/>
    <w:rsid w:val="00705CE8"/>
    <w:rsid w:val="00710101"/>
    <w:rsid w:val="0071120B"/>
    <w:rsid w:val="007117AA"/>
    <w:rsid w:val="00711835"/>
    <w:rsid w:val="00712E4F"/>
    <w:rsid w:val="007138F7"/>
    <w:rsid w:val="00714AF8"/>
    <w:rsid w:val="00714D66"/>
    <w:rsid w:val="00714DB2"/>
    <w:rsid w:val="00714FEB"/>
    <w:rsid w:val="00717FA3"/>
    <w:rsid w:val="00720887"/>
    <w:rsid w:val="00724D10"/>
    <w:rsid w:val="007253B8"/>
    <w:rsid w:val="0072618C"/>
    <w:rsid w:val="00726D65"/>
    <w:rsid w:val="007272AD"/>
    <w:rsid w:val="00730671"/>
    <w:rsid w:val="007334E6"/>
    <w:rsid w:val="00733583"/>
    <w:rsid w:val="007335B7"/>
    <w:rsid w:val="00733B47"/>
    <w:rsid w:val="0073568C"/>
    <w:rsid w:val="00735776"/>
    <w:rsid w:val="00735B0E"/>
    <w:rsid w:val="00737678"/>
    <w:rsid w:val="00737DC5"/>
    <w:rsid w:val="00737ED4"/>
    <w:rsid w:val="00740CB9"/>
    <w:rsid w:val="00741E88"/>
    <w:rsid w:val="007435C0"/>
    <w:rsid w:val="00743715"/>
    <w:rsid w:val="00746D85"/>
    <w:rsid w:val="00747ECB"/>
    <w:rsid w:val="007503B2"/>
    <w:rsid w:val="0075189E"/>
    <w:rsid w:val="00752091"/>
    <w:rsid w:val="00752255"/>
    <w:rsid w:val="00754324"/>
    <w:rsid w:val="007546EE"/>
    <w:rsid w:val="007559DB"/>
    <w:rsid w:val="00755CA2"/>
    <w:rsid w:val="0075611B"/>
    <w:rsid w:val="007561CD"/>
    <w:rsid w:val="00761A04"/>
    <w:rsid w:val="007626CD"/>
    <w:rsid w:val="007626F3"/>
    <w:rsid w:val="00764045"/>
    <w:rsid w:val="00765900"/>
    <w:rsid w:val="00767B67"/>
    <w:rsid w:val="00767D16"/>
    <w:rsid w:val="007703F5"/>
    <w:rsid w:val="007713FC"/>
    <w:rsid w:val="00771B1F"/>
    <w:rsid w:val="00773107"/>
    <w:rsid w:val="00773374"/>
    <w:rsid w:val="007736A6"/>
    <w:rsid w:val="00773C83"/>
    <w:rsid w:val="0077444E"/>
    <w:rsid w:val="0077602D"/>
    <w:rsid w:val="0077660E"/>
    <w:rsid w:val="007769CD"/>
    <w:rsid w:val="00776BE1"/>
    <w:rsid w:val="0078157E"/>
    <w:rsid w:val="00783E21"/>
    <w:rsid w:val="007852EC"/>
    <w:rsid w:val="00785ACC"/>
    <w:rsid w:val="0078677C"/>
    <w:rsid w:val="007874C6"/>
    <w:rsid w:val="00791178"/>
    <w:rsid w:val="00791A0A"/>
    <w:rsid w:val="00792090"/>
    <w:rsid w:val="0079266D"/>
    <w:rsid w:val="00792F09"/>
    <w:rsid w:val="00794C3A"/>
    <w:rsid w:val="0079618A"/>
    <w:rsid w:val="00797073"/>
    <w:rsid w:val="007A0C1F"/>
    <w:rsid w:val="007A0D0E"/>
    <w:rsid w:val="007A113F"/>
    <w:rsid w:val="007A1375"/>
    <w:rsid w:val="007A4B1E"/>
    <w:rsid w:val="007A4B34"/>
    <w:rsid w:val="007A4F0B"/>
    <w:rsid w:val="007A5003"/>
    <w:rsid w:val="007A63F2"/>
    <w:rsid w:val="007A645C"/>
    <w:rsid w:val="007B0584"/>
    <w:rsid w:val="007B0D6D"/>
    <w:rsid w:val="007B35FA"/>
    <w:rsid w:val="007B3DE4"/>
    <w:rsid w:val="007B3EC5"/>
    <w:rsid w:val="007B435A"/>
    <w:rsid w:val="007B4474"/>
    <w:rsid w:val="007B6213"/>
    <w:rsid w:val="007B6D28"/>
    <w:rsid w:val="007C0B46"/>
    <w:rsid w:val="007C17EB"/>
    <w:rsid w:val="007C225F"/>
    <w:rsid w:val="007C2C6C"/>
    <w:rsid w:val="007C3B79"/>
    <w:rsid w:val="007C4E46"/>
    <w:rsid w:val="007C549E"/>
    <w:rsid w:val="007C6444"/>
    <w:rsid w:val="007D07D7"/>
    <w:rsid w:val="007D0D4C"/>
    <w:rsid w:val="007D0F04"/>
    <w:rsid w:val="007D1324"/>
    <w:rsid w:val="007D2B04"/>
    <w:rsid w:val="007D443E"/>
    <w:rsid w:val="007D53A7"/>
    <w:rsid w:val="007D74B3"/>
    <w:rsid w:val="007D764C"/>
    <w:rsid w:val="007E0E58"/>
    <w:rsid w:val="007E0E81"/>
    <w:rsid w:val="007E3A59"/>
    <w:rsid w:val="007E5483"/>
    <w:rsid w:val="007E73CF"/>
    <w:rsid w:val="007E7C2C"/>
    <w:rsid w:val="007E7CC8"/>
    <w:rsid w:val="007F00D9"/>
    <w:rsid w:val="007F18FA"/>
    <w:rsid w:val="007F31F9"/>
    <w:rsid w:val="007F3702"/>
    <w:rsid w:val="007F3F61"/>
    <w:rsid w:val="007F60C6"/>
    <w:rsid w:val="00801256"/>
    <w:rsid w:val="00801A8B"/>
    <w:rsid w:val="00802CA5"/>
    <w:rsid w:val="008036DE"/>
    <w:rsid w:val="0080429C"/>
    <w:rsid w:val="00804486"/>
    <w:rsid w:val="0080761C"/>
    <w:rsid w:val="00810DB5"/>
    <w:rsid w:val="0081195E"/>
    <w:rsid w:val="00812DE5"/>
    <w:rsid w:val="00813A5F"/>
    <w:rsid w:val="00813C16"/>
    <w:rsid w:val="008140F8"/>
    <w:rsid w:val="008173AB"/>
    <w:rsid w:val="00817CF0"/>
    <w:rsid w:val="00820E45"/>
    <w:rsid w:val="0082154E"/>
    <w:rsid w:val="0082318D"/>
    <w:rsid w:val="00823993"/>
    <w:rsid w:val="0082400C"/>
    <w:rsid w:val="00824DA8"/>
    <w:rsid w:val="008250C7"/>
    <w:rsid w:val="00825EED"/>
    <w:rsid w:val="008261DB"/>
    <w:rsid w:val="00827A62"/>
    <w:rsid w:val="008306D1"/>
    <w:rsid w:val="00830931"/>
    <w:rsid w:val="00830D8C"/>
    <w:rsid w:val="00832A5C"/>
    <w:rsid w:val="008334C7"/>
    <w:rsid w:val="00833FB8"/>
    <w:rsid w:val="00834801"/>
    <w:rsid w:val="00835BD6"/>
    <w:rsid w:val="00841002"/>
    <w:rsid w:val="008410BE"/>
    <w:rsid w:val="00841A22"/>
    <w:rsid w:val="00841D48"/>
    <w:rsid w:val="008437E7"/>
    <w:rsid w:val="008443C1"/>
    <w:rsid w:val="0084534C"/>
    <w:rsid w:val="00845631"/>
    <w:rsid w:val="008457A0"/>
    <w:rsid w:val="0084629D"/>
    <w:rsid w:val="00847D44"/>
    <w:rsid w:val="00850C60"/>
    <w:rsid w:val="00853A82"/>
    <w:rsid w:val="00853F8C"/>
    <w:rsid w:val="008555F2"/>
    <w:rsid w:val="008560F1"/>
    <w:rsid w:val="00857299"/>
    <w:rsid w:val="00857C19"/>
    <w:rsid w:val="00862AE4"/>
    <w:rsid w:val="00862F8C"/>
    <w:rsid w:val="00863AF6"/>
    <w:rsid w:val="00864B43"/>
    <w:rsid w:val="0086590B"/>
    <w:rsid w:val="00865FC8"/>
    <w:rsid w:val="00867ABA"/>
    <w:rsid w:val="00867C52"/>
    <w:rsid w:val="008721C2"/>
    <w:rsid w:val="0087251D"/>
    <w:rsid w:val="00872C26"/>
    <w:rsid w:val="00873766"/>
    <w:rsid w:val="00873C54"/>
    <w:rsid w:val="00874B3A"/>
    <w:rsid w:val="00876D4E"/>
    <w:rsid w:val="008813B8"/>
    <w:rsid w:val="0088380B"/>
    <w:rsid w:val="00884220"/>
    <w:rsid w:val="00885C18"/>
    <w:rsid w:val="00886B2A"/>
    <w:rsid w:val="00887EFA"/>
    <w:rsid w:val="00890904"/>
    <w:rsid w:val="0089154A"/>
    <w:rsid w:val="008943D6"/>
    <w:rsid w:val="00895785"/>
    <w:rsid w:val="00896144"/>
    <w:rsid w:val="00896E40"/>
    <w:rsid w:val="00897010"/>
    <w:rsid w:val="00897383"/>
    <w:rsid w:val="008A0884"/>
    <w:rsid w:val="008A1D36"/>
    <w:rsid w:val="008A2397"/>
    <w:rsid w:val="008A3444"/>
    <w:rsid w:val="008A360E"/>
    <w:rsid w:val="008A3778"/>
    <w:rsid w:val="008A5ED6"/>
    <w:rsid w:val="008A6927"/>
    <w:rsid w:val="008B0200"/>
    <w:rsid w:val="008B0842"/>
    <w:rsid w:val="008B1191"/>
    <w:rsid w:val="008B170E"/>
    <w:rsid w:val="008B225F"/>
    <w:rsid w:val="008B44BB"/>
    <w:rsid w:val="008B4578"/>
    <w:rsid w:val="008B4755"/>
    <w:rsid w:val="008B53C6"/>
    <w:rsid w:val="008B6E9C"/>
    <w:rsid w:val="008B7C33"/>
    <w:rsid w:val="008C078B"/>
    <w:rsid w:val="008C1316"/>
    <w:rsid w:val="008C24F6"/>
    <w:rsid w:val="008C4335"/>
    <w:rsid w:val="008C52ED"/>
    <w:rsid w:val="008C5833"/>
    <w:rsid w:val="008C6170"/>
    <w:rsid w:val="008C68F6"/>
    <w:rsid w:val="008D50AC"/>
    <w:rsid w:val="008D5C37"/>
    <w:rsid w:val="008D773C"/>
    <w:rsid w:val="008D7879"/>
    <w:rsid w:val="008E0FDE"/>
    <w:rsid w:val="008E2D6B"/>
    <w:rsid w:val="008E3964"/>
    <w:rsid w:val="008E3AFA"/>
    <w:rsid w:val="008E5C39"/>
    <w:rsid w:val="008E5EAB"/>
    <w:rsid w:val="008E78C6"/>
    <w:rsid w:val="008E7C2C"/>
    <w:rsid w:val="008F0548"/>
    <w:rsid w:val="008F2576"/>
    <w:rsid w:val="008F389B"/>
    <w:rsid w:val="008F71BC"/>
    <w:rsid w:val="008F74DC"/>
    <w:rsid w:val="008F763E"/>
    <w:rsid w:val="0090012E"/>
    <w:rsid w:val="0090021F"/>
    <w:rsid w:val="009054B8"/>
    <w:rsid w:val="00905DD0"/>
    <w:rsid w:val="00906FB1"/>
    <w:rsid w:val="009074C7"/>
    <w:rsid w:val="009075A5"/>
    <w:rsid w:val="00910B9E"/>
    <w:rsid w:val="00915C57"/>
    <w:rsid w:val="009206CE"/>
    <w:rsid w:val="00920D99"/>
    <w:rsid w:val="00922CF0"/>
    <w:rsid w:val="00923016"/>
    <w:rsid w:val="00923C56"/>
    <w:rsid w:val="00925F5B"/>
    <w:rsid w:val="0092655E"/>
    <w:rsid w:val="00926E27"/>
    <w:rsid w:val="009308A3"/>
    <w:rsid w:val="00931E8E"/>
    <w:rsid w:val="00932254"/>
    <w:rsid w:val="00933081"/>
    <w:rsid w:val="009338DC"/>
    <w:rsid w:val="009354ED"/>
    <w:rsid w:val="009364DF"/>
    <w:rsid w:val="00937771"/>
    <w:rsid w:val="00940589"/>
    <w:rsid w:val="00940787"/>
    <w:rsid w:val="00940B6C"/>
    <w:rsid w:val="0094318B"/>
    <w:rsid w:val="00945E64"/>
    <w:rsid w:val="00947CA7"/>
    <w:rsid w:val="009503FF"/>
    <w:rsid w:val="00950414"/>
    <w:rsid w:val="00950B5A"/>
    <w:rsid w:val="00953B61"/>
    <w:rsid w:val="009564C7"/>
    <w:rsid w:val="00960389"/>
    <w:rsid w:val="009607AD"/>
    <w:rsid w:val="00960956"/>
    <w:rsid w:val="00961FF5"/>
    <w:rsid w:val="00962238"/>
    <w:rsid w:val="00963506"/>
    <w:rsid w:val="00964BBB"/>
    <w:rsid w:val="00965428"/>
    <w:rsid w:val="009665DD"/>
    <w:rsid w:val="00966DD8"/>
    <w:rsid w:val="00967232"/>
    <w:rsid w:val="0096747C"/>
    <w:rsid w:val="009677C8"/>
    <w:rsid w:val="009704AF"/>
    <w:rsid w:val="009756AE"/>
    <w:rsid w:val="00975DDC"/>
    <w:rsid w:val="00976471"/>
    <w:rsid w:val="00976D9E"/>
    <w:rsid w:val="00976DBD"/>
    <w:rsid w:val="009808DB"/>
    <w:rsid w:val="009815FE"/>
    <w:rsid w:val="009816B8"/>
    <w:rsid w:val="00981DB7"/>
    <w:rsid w:val="009827B7"/>
    <w:rsid w:val="00983777"/>
    <w:rsid w:val="009850FC"/>
    <w:rsid w:val="00986A87"/>
    <w:rsid w:val="0098795C"/>
    <w:rsid w:val="0099072C"/>
    <w:rsid w:val="009908CC"/>
    <w:rsid w:val="00991180"/>
    <w:rsid w:val="0099275F"/>
    <w:rsid w:val="00992F7F"/>
    <w:rsid w:val="009934C2"/>
    <w:rsid w:val="009955A7"/>
    <w:rsid w:val="00995E68"/>
    <w:rsid w:val="009965D1"/>
    <w:rsid w:val="00997AB1"/>
    <w:rsid w:val="009A040B"/>
    <w:rsid w:val="009A05DC"/>
    <w:rsid w:val="009A087F"/>
    <w:rsid w:val="009A17F4"/>
    <w:rsid w:val="009A35DC"/>
    <w:rsid w:val="009A421A"/>
    <w:rsid w:val="009A431B"/>
    <w:rsid w:val="009A5E48"/>
    <w:rsid w:val="009A5E61"/>
    <w:rsid w:val="009A6258"/>
    <w:rsid w:val="009B0573"/>
    <w:rsid w:val="009B081A"/>
    <w:rsid w:val="009B30E6"/>
    <w:rsid w:val="009B3989"/>
    <w:rsid w:val="009B4EF7"/>
    <w:rsid w:val="009B58CE"/>
    <w:rsid w:val="009B7DFD"/>
    <w:rsid w:val="009C0714"/>
    <w:rsid w:val="009C2A4D"/>
    <w:rsid w:val="009C48A3"/>
    <w:rsid w:val="009C504F"/>
    <w:rsid w:val="009D030F"/>
    <w:rsid w:val="009D09F0"/>
    <w:rsid w:val="009D2881"/>
    <w:rsid w:val="009D3580"/>
    <w:rsid w:val="009D4082"/>
    <w:rsid w:val="009D47B8"/>
    <w:rsid w:val="009D6284"/>
    <w:rsid w:val="009E3484"/>
    <w:rsid w:val="009E39FA"/>
    <w:rsid w:val="009E4270"/>
    <w:rsid w:val="009E4486"/>
    <w:rsid w:val="009E570F"/>
    <w:rsid w:val="009E5E97"/>
    <w:rsid w:val="009F0C39"/>
    <w:rsid w:val="009F1134"/>
    <w:rsid w:val="009F1775"/>
    <w:rsid w:val="009F1DA7"/>
    <w:rsid w:val="009F33C6"/>
    <w:rsid w:val="009F3623"/>
    <w:rsid w:val="009F3A2B"/>
    <w:rsid w:val="009F3F4B"/>
    <w:rsid w:val="009F433F"/>
    <w:rsid w:val="009F5BE5"/>
    <w:rsid w:val="009F6BC4"/>
    <w:rsid w:val="009F75BA"/>
    <w:rsid w:val="009F7A7C"/>
    <w:rsid w:val="00A00E0C"/>
    <w:rsid w:val="00A018BE"/>
    <w:rsid w:val="00A021B9"/>
    <w:rsid w:val="00A03E6E"/>
    <w:rsid w:val="00A04995"/>
    <w:rsid w:val="00A04F86"/>
    <w:rsid w:val="00A04FDB"/>
    <w:rsid w:val="00A0587C"/>
    <w:rsid w:val="00A069DE"/>
    <w:rsid w:val="00A07033"/>
    <w:rsid w:val="00A07A84"/>
    <w:rsid w:val="00A07CF7"/>
    <w:rsid w:val="00A117E0"/>
    <w:rsid w:val="00A11DA3"/>
    <w:rsid w:val="00A1306A"/>
    <w:rsid w:val="00A13308"/>
    <w:rsid w:val="00A155EF"/>
    <w:rsid w:val="00A1642E"/>
    <w:rsid w:val="00A23F39"/>
    <w:rsid w:val="00A25EF0"/>
    <w:rsid w:val="00A2760A"/>
    <w:rsid w:val="00A27D3D"/>
    <w:rsid w:val="00A27DC3"/>
    <w:rsid w:val="00A317B7"/>
    <w:rsid w:val="00A31F68"/>
    <w:rsid w:val="00A324FB"/>
    <w:rsid w:val="00A3276A"/>
    <w:rsid w:val="00A329B5"/>
    <w:rsid w:val="00A33589"/>
    <w:rsid w:val="00A33CC8"/>
    <w:rsid w:val="00A345CA"/>
    <w:rsid w:val="00A3585C"/>
    <w:rsid w:val="00A35F85"/>
    <w:rsid w:val="00A366B5"/>
    <w:rsid w:val="00A37789"/>
    <w:rsid w:val="00A37942"/>
    <w:rsid w:val="00A41212"/>
    <w:rsid w:val="00A4228D"/>
    <w:rsid w:val="00A42884"/>
    <w:rsid w:val="00A429EF"/>
    <w:rsid w:val="00A447BC"/>
    <w:rsid w:val="00A45A66"/>
    <w:rsid w:val="00A466E0"/>
    <w:rsid w:val="00A514A0"/>
    <w:rsid w:val="00A51B9E"/>
    <w:rsid w:val="00A555F3"/>
    <w:rsid w:val="00A55869"/>
    <w:rsid w:val="00A567A7"/>
    <w:rsid w:val="00A57CCE"/>
    <w:rsid w:val="00A57DAC"/>
    <w:rsid w:val="00A66225"/>
    <w:rsid w:val="00A66BD3"/>
    <w:rsid w:val="00A66CEC"/>
    <w:rsid w:val="00A74E69"/>
    <w:rsid w:val="00A76388"/>
    <w:rsid w:val="00A76692"/>
    <w:rsid w:val="00A77A29"/>
    <w:rsid w:val="00A8015A"/>
    <w:rsid w:val="00A80250"/>
    <w:rsid w:val="00A81A36"/>
    <w:rsid w:val="00A836A6"/>
    <w:rsid w:val="00A844AF"/>
    <w:rsid w:val="00A844D5"/>
    <w:rsid w:val="00A854D6"/>
    <w:rsid w:val="00A858C1"/>
    <w:rsid w:val="00A87CB1"/>
    <w:rsid w:val="00A87DC5"/>
    <w:rsid w:val="00A90531"/>
    <w:rsid w:val="00A90E54"/>
    <w:rsid w:val="00A91D9B"/>
    <w:rsid w:val="00A91DF9"/>
    <w:rsid w:val="00A92D3B"/>
    <w:rsid w:val="00A94F8D"/>
    <w:rsid w:val="00A955C9"/>
    <w:rsid w:val="00A95FBD"/>
    <w:rsid w:val="00A96894"/>
    <w:rsid w:val="00A96C2A"/>
    <w:rsid w:val="00A971D6"/>
    <w:rsid w:val="00AA0DEB"/>
    <w:rsid w:val="00AA210D"/>
    <w:rsid w:val="00AA3534"/>
    <w:rsid w:val="00AA42A5"/>
    <w:rsid w:val="00AA4362"/>
    <w:rsid w:val="00AA4DD8"/>
    <w:rsid w:val="00AA5066"/>
    <w:rsid w:val="00AA6AB0"/>
    <w:rsid w:val="00AB0381"/>
    <w:rsid w:val="00AB1B24"/>
    <w:rsid w:val="00AB270E"/>
    <w:rsid w:val="00AB2B4A"/>
    <w:rsid w:val="00AB3046"/>
    <w:rsid w:val="00AB3788"/>
    <w:rsid w:val="00AB4C1A"/>
    <w:rsid w:val="00AB5388"/>
    <w:rsid w:val="00AB54AF"/>
    <w:rsid w:val="00AB69A7"/>
    <w:rsid w:val="00AB6A64"/>
    <w:rsid w:val="00AB6F8B"/>
    <w:rsid w:val="00AC0184"/>
    <w:rsid w:val="00AC025D"/>
    <w:rsid w:val="00AC1358"/>
    <w:rsid w:val="00AC1418"/>
    <w:rsid w:val="00AC29E8"/>
    <w:rsid w:val="00AC4552"/>
    <w:rsid w:val="00AC45A5"/>
    <w:rsid w:val="00AC71FD"/>
    <w:rsid w:val="00AC7AA1"/>
    <w:rsid w:val="00AC7BBF"/>
    <w:rsid w:val="00AC7FA8"/>
    <w:rsid w:val="00AD05EC"/>
    <w:rsid w:val="00AD0D2B"/>
    <w:rsid w:val="00AD1810"/>
    <w:rsid w:val="00AD1C3A"/>
    <w:rsid w:val="00AD240A"/>
    <w:rsid w:val="00AD548B"/>
    <w:rsid w:val="00AD77D7"/>
    <w:rsid w:val="00AE129B"/>
    <w:rsid w:val="00AE3B69"/>
    <w:rsid w:val="00AE3F3F"/>
    <w:rsid w:val="00AE46BC"/>
    <w:rsid w:val="00AE5120"/>
    <w:rsid w:val="00AE5610"/>
    <w:rsid w:val="00AF3404"/>
    <w:rsid w:val="00AF3A2A"/>
    <w:rsid w:val="00AF412D"/>
    <w:rsid w:val="00AF511B"/>
    <w:rsid w:val="00AF666E"/>
    <w:rsid w:val="00B007E5"/>
    <w:rsid w:val="00B01949"/>
    <w:rsid w:val="00B02BBC"/>
    <w:rsid w:val="00B03119"/>
    <w:rsid w:val="00B03614"/>
    <w:rsid w:val="00B055C9"/>
    <w:rsid w:val="00B05951"/>
    <w:rsid w:val="00B107D7"/>
    <w:rsid w:val="00B117EB"/>
    <w:rsid w:val="00B11C5E"/>
    <w:rsid w:val="00B11F8F"/>
    <w:rsid w:val="00B15083"/>
    <w:rsid w:val="00B16E6A"/>
    <w:rsid w:val="00B1744E"/>
    <w:rsid w:val="00B17615"/>
    <w:rsid w:val="00B17C7E"/>
    <w:rsid w:val="00B20B59"/>
    <w:rsid w:val="00B21026"/>
    <w:rsid w:val="00B21C78"/>
    <w:rsid w:val="00B21FF1"/>
    <w:rsid w:val="00B2239F"/>
    <w:rsid w:val="00B223C5"/>
    <w:rsid w:val="00B2330D"/>
    <w:rsid w:val="00B25C17"/>
    <w:rsid w:val="00B2748D"/>
    <w:rsid w:val="00B31AE4"/>
    <w:rsid w:val="00B326C6"/>
    <w:rsid w:val="00B32A6F"/>
    <w:rsid w:val="00B32E36"/>
    <w:rsid w:val="00B350CD"/>
    <w:rsid w:val="00B35B88"/>
    <w:rsid w:val="00B35CA8"/>
    <w:rsid w:val="00B3677E"/>
    <w:rsid w:val="00B36CBF"/>
    <w:rsid w:val="00B3700E"/>
    <w:rsid w:val="00B404BB"/>
    <w:rsid w:val="00B405EB"/>
    <w:rsid w:val="00B41718"/>
    <w:rsid w:val="00B417FD"/>
    <w:rsid w:val="00B42DD9"/>
    <w:rsid w:val="00B4376E"/>
    <w:rsid w:val="00B453D9"/>
    <w:rsid w:val="00B4591E"/>
    <w:rsid w:val="00B459CD"/>
    <w:rsid w:val="00B45BD6"/>
    <w:rsid w:val="00B460CA"/>
    <w:rsid w:val="00B50FE1"/>
    <w:rsid w:val="00B5189D"/>
    <w:rsid w:val="00B519D6"/>
    <w:rsid w:val="00B521B9"/>
    <w:rsid w:val="00B5285A"/>
    <w:rsid w:val="00B52F51"/>
    <w:rsid w:val="00B532E8"/>
    <w:rsid w:val="00B53EF9"/>
    <w:rsid w:val="00B542CB"/>
    <w:rsid w:val="00B54FFB"/>
    <w:rsid w:val="00B55BE4"/>
    <w:rsid w:val="00B575DD"/>
    <w:rsid w:val="00B62115"/>
    <w:rsid w:val="00B62DFA"/>
    <w:rsid w:val="00B63CDC"/>
    <w:rsid w:val="00B651FF"/>
    <w:rsid w:val="00B656B3"/>
    <w:rsid w:val="00B66370"/>
    <w:rsid w:val="00B66594"/>
    <w:rsid w:val="00B67C7B"/>
    <w:rsid w:val="00B729BF"/>
    <w:rsid w:val="00B72CE1"/>
    <w:rsid w:val="00B73A48"/>
    <w:rsid w:val="00B73C48"/>
    <w:rsid w:val="00B74D5D"/>
    <w:rsid w:val="00B758C6"/>
    <w:rsid w:val="00B76A51"/>
    <w:rsid w:val="00B80D66"/>
    <w:rsid w:val="00B81939"/>
    <w:rsid w:val="00B854DC"/>
    <w:rsid w:val="00B85529"/>
    <w:rsid w:val="00B86D3D"/>
    <w:rsid w:val="00B87B01"/>
    <w:rsid w:val="00B90FA2"/>
    <w:rsid w:val="00B92A57"/>
    <w:rsid w:val="00B94425"/>
    <w:rsid w:val="00B94482"/>
    <w:rsid w:val="00B94687"/>
    <w:rsid w:val="00B96CAB"/>
    <w:rsid w:val="00B9766E"/>
    <w:rsid w:val="00B97770"/>
    <w:rsid w:val="00B978C7"/>
    <w:rsid w:val="00BA0181"/>
    <w:rsid w:val="00BA03C8"/>
    <w:rsid w:val="00BA18B9"/>
    <w:rsid w:val="00BA3383"/>
    <w:rsid w:val="00BA34D4"/>
    <w:rsid w:val="00BA5487"/>
    <w:rsid w:val="00BA5719"/>
    <w:rsid w:val="00BA57E2"/>
    <w:rsid w:val="00BA5C6E"/>
    <w:rsid w:val="00BA62E7"/>
    <w:rsid w:val="00BA7D41"/>
    <w:rsid w:val="00BB0DB9"/>
    <w:rsid w:val="00BB4058"/>
    <w:rsid w:val="00BB4C7C"/>
    <w:rsid w:val="00BB73B9"/>
    <w:rsid w:val="00BC0B5E"/>
    <w:rsid w:val="00BC178D"/>
    <w:rsid w:val="00BD1A14"/>
    <w:rsid w:val="00BD1A64"/>
    <w:rsid w:val="00BD2DEE"/>
    <w:rsid w:val="00BD39C7"/>
    <w:rsid w:val="00BD3B1E"/>
    <w:rsid w:val="00BD3CAE"/>
    <w:rsid w:val="00BD4F35"/>
    <w:rsid w:val="00BD6543"/>
    <w:rsid w:val="00BE34FC"/>
    <w:rsid w:val="00BE54BB"/>
    <w:rsid w:val="00BE6F92"/>
    <w:rsid w:val="00BE7167"/>
    <w:rsid w:val="00BF272C"/>
    <w:rsid w:val="00BF2AF1"/>
    <w:rsid w:val="00BF34D9"/>
    <w:rsid w:val="00BF3DFE"/>
    <w:rsid w:val="00BF5503"/>
    <w:rsid w:val="00BF5FF3"/>
    <w:rsid w:val="00BF6403"/>
    <w:rsid w:val="00BF71F9"/>
    <w:rsid w:val="00C000A2"/>
    <w:rsid w:val="00C006EB"/>
    <w:rsid w:val="00C00ED9"/>
    <w:rsid w:val="00C01B6E"/>
    <w:rsid w:val="00C03360"/>
    <w:rsid w:val="00C03BE7"/>
    <w:rsid w:val="00C03C8A"/>
    <w:rsid w:val="00C0763C"/>
    <w:rsid w:val="00C07D60"/>
    <w:rsid w:val="00C11858"/>
    <w:rsid w:val="00C11A9B"/>
    <w:rsid w:val="00C121F4"/>
    <w:rsid w:val="00C1386E"/>
    <w:rsid w:val="00C140EF"/>
    <w:rsid w:val="00C1422F"/>
    <w:rsid w:val="00C156E5"/>
    <w:rsid w:val="00C165A0"/>
    <w:rsid w:val="00C22DF5"/>
    <w:rsid w:val="00C23539"/>
    <w:rsid w:val="00C24AB0"/>
    <w:rsid w:val="00C27AAB"/>
    <w:rsid w:val="00C27EAE"/>
    <w:rsid w:val="00C306F4"/>
    <w:rsid w:val="00C30893"/>
    <w:rsid w:val="00C30930"/>
    <w:rsid w:val="00C3264E"/>
    <w:rsid w:val="00C330A6"/>
    <w:rsid w:val="00C33189"/>
    <w:rsid w:val="00C34248"/>
    <w:rsid w:val="00C3495F"/>
    <w:rsid w:val="00C3502D"/>
    <w:rsid w:val="00C3523A"/>
    <w:rsid w:val="00C35892"/>
    <w:rsid w:val="00C36BF6"/>
    <w:rsid w:val="00C416D8"/>
    <w:rsid w:val="00C42F60"/>
    <w:rsid w:val="00C43613"/>
    <w:rsid w:val="00C4385F"/>
    <w:rsid w:val="00C43EB1"/>
    <w:rsid w:val="00C44A6B"/>
    <w:rsid w:val="00C46CA6"/>
    <w:rsid w:val="00C47B13"/>
    <w:rsid w:val="00C50F01"/>
    <w:rsid w:val="00C51413"/>
    <w:rsid w:val="00C51C85"/>
    <w:rsid w:val="00C52243"/>
    <w:rsid w:val="00C52B3A"/>
    <w:rsid w:val="00C53053"/>
    <w:rsid w:val="00C53074"/>
    <w:rsid w:val="00C53A11"/>
    <w:rsid w:val="00C53BC8"/>
    <w:rsid w:val="00C54245"/>
    <w:rsid w:val="00C54D9F"/>
    <w:rsid w:val="00C55543"/>
    <w:rsid w:val="00C55CA8"/>
    <w:rsid w:val="00C5686C"/>
    <w:rsid w:val="00C5707D"/>
    <w:rsid w:val="00C6275A"/>
    <w:rsid w:val="00C63C7C"/>
    <w:rsid w:val="00C6453E"/>
    <w:rsid w:val="00C66062"/>
    <w:rsid w:val="00C66AFF"/>
    <w:rsid w:val="00C66C34"/>
    <w:rsid w:val="00C67B20"/>
    <w:rsid w:val="00C73204"/>
    <w:rsid w:val="00C73697"/>
    <w:rsid w:val="00C742C1"/>
    <w:rsid w:val="00C768E9"/>
    <w:rsid w:val="00C801C8"/>
    <w:rsid w:val="00C80CE2"/>
    <w:rsid w:val="00C8133B"/>
    <w:rsid w:val="00C82B5C"/>
    <w:rsid w:val="00C82D8D"/>
    <w:rsid w:val="00C83239"/>
    <w:rsid w:val="00C84BB3"/>
    <w:rsid w:val="00C87D86"/>
    <w:rsid w:val="00C90642"/>
    <w:rsid w:val="00C9094A"/>
    <w:rsid w:val="00C90B74"/>
    <w:rsid w:val="00C91878"/>
    <w:rsid w:val="00C93696"/>
    <w:rsid w:val="00C93B4B"/>
    <w:rsid w:val="00C97839"/>
    <w:rsid w:val="00CA0712"/>
    <w:rsid w:val="00CA0BB2"/>
    <w:rsid w:val="00CA52FB"/>
    <w:rsid w:val="00CA588F"/>
    <w:rsid w:val="00CA647E"/>
    <w:rsid w:val="00CA68CA"/>
    <w:rsid w:val="00CA7FF5"/>
    <w:rsid w:val="00CB1349"/>
    <w:rsid w:val="00CB1E87"/>
    <w:rsid w:val="00CB2692"/>
    <w:rsid w:val="00CB2C23"/>
    <w:rsid w:val="00CB2F56"/>
    <w:rsid w:val="00CB387C"/>
    <w:rsid w:val="00CB680D"/>
    <w:rsid w:val="00CB7263"/>
    <w:rsid w:val="00CB72A5"/>
    <w:rsid w:val="00CB78C9"/>
    <w:rsid w:val="00CB7EEF"/>
    <w:rsid w:val="00CC170D"/>
    <w:rsid w:val="00CC57B6"/>
    <w:rsid w:val="00CC59FF"/>
    <w:rsid w:val="00CC69DE"/>
    <w:rsid w:val="00CD0DC3"/>
    <w:rsid w:val="00CD11DF"/>
    <w:rsid w:val="00CD143F"/>
    <w:rsid w:val="00CD1835"/>
    <w:rsid w:val="00CD49BD"/>
    <w:rsid w:val="00CD4EEB"/>
    <w:rsid w:val="00CD4FEE"/>
    <w:rsid w:val="00CD6849"/>
    <w:rsid w:val="00CD69DA"/>
    <w:rsid w:val="00CD722E"/>
    <w:rsid w:val="00CE30FD"/>
    <w:rsid w:val="00CE321D"/>
    <w:rsid w:val="00CE4149"/>
    <w:rsid w:val="00CE5D55"/>
    <w:rsid w:val="00CE69C8"/>
    <w:rsid w:val="00CF237E"/>
    <w:rsid w:val="00CF2BE4"/>
    <w:rsid w:val="00CF33BB"/>
    <w:rsid w:val="00CF4387"/>
    <w:rsid w:val="00CF43B5"/>
    <w:rsid w:val="00CF4ECB"/>
    <w:rsid w:val="00D00236"/>
    <w:rsid w:val="00D00F5B"/>
    <w:rsid w:val="00D03809"/>
    <w:rsid w:val="00D0399E"/>
    <w:rsid w:val="00D05A3D"/>
    <w:rsid w:val="00D0628C"/>
    <w:rsid w:val="00D108B3"/>
    <w:rsid w:val="00D12157"/>
    <w:rsid w:val="00D1219A"/>
    <w:rsid w:val="00D13255"/>
    <w:rsid w:val="00D133C6"/>
    <w:rsid w:val="00D1549C"/>
    <w:rsid w:val="00D16FDB"/>
    <w:rsid w:val="00D21C63"/>
    <w:rsid w:val="00D224A6"/>
    <w:rsid w:val="00D23418"/>
    <w:rsid w:val="00D23634"/>
    <w:rsid w:val="00D23C84"/>
    <w:rsid w:val="00D23F1C"/>
    <w:rsid w:val="00D2472D"/>
    <w:rsid w:val="00D249A6"/>
    <w:rsid w:val="00D249C8"/>
    <w:rsid w:val="00D251A0"/>
    <w:rsid w:val="00D25818"/>
    <w:rsid w:val="00D2588C"/>
    <w:rsid w:val="00D27058"/>
    <w:rsid w:val="00D27C3E"/>
    <w:rsid w:val="00D27D53"/>
    <w:rsid w:val="00D30BD7"/>
    <w:rsid w:val="00D31626"/>
    <w:rsid w:val="00D32E6E"/>
    <w:rsid w:val="00D330A6"/>
    <w:rsid w:val="00D33177"/>
    <w:rsid w:val="00D331F9"/>
    <w:rsid w:val="00D33B25"/>
    <w:rsid w:val="00D33DA5"/>
    <w:rsid w:val="00D356AA"/>
    <w:rsid w:val="00D35806"/>
    <w:rsid w:val="00D35D28"/>
    <w:rsid w:val="00D36497"/>
    <w:rsid w:val="00D37EFC"/>
    <w:rsid w:val="00D40849"/>
    <w:rsid w:val="00D40A44"/>
    <w:rsid w:val="00D43477"/>
    <w:rsid w:val="00D4454C"/>
    <w:rsid w:val="00D47654"/>
    <w:rsid w:val="00D50E2C"/>
    <w:rsid w:val="00D511F3"/>
    <w:rsid w:val="00D523A7"/>
    <w:rsid w:val="00D531AA"/>
    <w:rsid w:val="00D533F5"/>
    <w:rsid w:val="00D534EF"/>
    <w:rsid w:val="00D54B98"/>
    <w:rsid w:val="00D5555A"/>
    <w:rsid w:val="00D55FFD"/>
    <w:rsid w:val="00D5654A"/>
    <w:rsid w:val="00D573DC"/>
    <w:rsid w:val="00D616D6"/>
    <w:rsid w:val="00D61C76"/>
    <w:rsid w:val="00D66287"/>
    <w:rsid w:val="00D674B8"/>
    <w:rsid w:val="00D71ADC"/>
    <w:rsid w:val="00D7247F"/>
    <w:rsid w:val="00D734E4"/>
    <w:rsid w:val="00D74379"/>
    <w:rsid w:val="00D75F36"/>
    <w:rsid w:val="00D77863"/>
    <w:rsid w:val="00D77E5E"/>
    <w:rsid w:val="00D80FE4"/>
    <w:rsid w:val="00D82126"/>
    <w:rsid w:val="00D84827"/>
    <w:rsid w:val="00D84B70"/>
    <w:rsid w:val="00D8507E"/>
    <w:rsid w:val="00D85085"/>
    <w:rsid w:val="00D90FA5"/>
    <w:rsid w:val="00D954D1"/>
    <w:rsid w:val="00D96A40"/>
    <w:rsid w:val="00DA0EA7"/>
    <w:rsid w:val="00DA1528"/>
    <w:rsid w:val="00DA1AA0"/>
    <w:rsid w:val="00DA313D"/>
    <w:rsid w:val="00DA37CE"/>
    <w:rsid w:val="00DA4B5B"/>
    <w:rsid w:val="00DB07B3"/>
    <w:rsid w:val="00DB0B5D"/>
    <w:rsid w:val="00DB0DF8"/>
    <w:rsid w:val="00DB1199"/>
    <w:rsid w:val="00DB1E16"/>
    <w:rsid w:val="00DB3DEE"/>
    <w:rsid w:val="00DB475C"/>
    <w:rsid w:val="00DB4A6B"/>
    <w:rsid w:val="00DB60B2"/>
    <w:rsid w:val="00DC02D4"/>
    <w:rsid w:val="00DC0884"/>
    <w:rsid w:val="00DC0C63"/>
    <w:rsid w:val="00DC135A"/>
    <w:rsid w:val="00DC1BE4"/>
    <w:rsid w:val="00DC1C61"/>
    <w:rsid w:val="00DC2E53"/>
    <w:rsid w:val="00DC4601"/>
    <w:rsid w:val="00DC4A6A"/>
    <w:rsid w:val="00DC5C7D"/>
    <w:rsid w:val="00DC67D3"/>
    <w:rsid w:val="00DC6A20"/>
    <w:rsid w:val="00DC6EC3"/>
    <w:rsid w:val="00DD0801"/>
    <w:rsid w:val="00DD0F55"/>
    <w:rsid w:val="00DD2B50"/>
    <w:rsid w:val="00DD3029"/>
    <w:rsid w:val="00DD3E01"/>
    <w:rsid w:val="00DD500F"/>
    <w:rsid w:val="00DD63FC"/>
    <w:rsid w:val="00DD752E"/>
    <w:rsid w:val="00DD7531"/>
    <w:rsid w:val="00DD76BA"/>
    <w:rsid w:val="00DE1273"/>
    <w:rsid w:val="00DE19AD"/>
    <w:rsid w:val="00DE1D3F"/>
    <w:rsid w:val="00DE1E77"/>
    <w:rsid w:val="00DE4BB8"/>
    <w:rsid w:val="00DE58F7"/>
    <w:rsid w:val="00DE5AD3"/>
    <w:rsid w:val="00DF0377"/>
    <w:rsid w:val="00DF04F9"/>
    <w:rsid w:val="00DF249E"/>
    <w:rsid w:val="00DF26B7"/>
    <w:rsid w:val="00DF3F9E"/>
    <w:rsid w:val="00DF4457"/>
    <w:rsid w:val="00DF455D"/>
    <w:rsid w:val="00DF4AB6"/>
    <w:rsid w:val="00DF60AC"/>
    <w:rsid w:val="00DF6230"/>
    <w:rsid w:val="00DF6525"/>
    <w:rsid w:val="00DF7547"/>
    <w:rsid w:val="00DF7E87"/>
    <w:rsid w:val="00E009EA"/>
    <w:rsid w:val="00E02836"/>
    <w:rsid w:val="00E0296B"/>
    <w:rsid w:val="00E04CE0"/>
    <w:rsid w:val="00E05335"/>
    <w:rsid w:val="00E05399"/>
    <w:rsid w:val="00E0606D"/>
    <w:rsid w:val="00E0699D"/>
    <w:rsid w:val="00E106AF"/>
    <w:rsid w:val="00E10BEB"/>
    <w:rsid w:val="00E1127C"/>
    <w:rsid w:val="00E12F1D"/>
    <w:rsid w:val="00E14EC0"/>
    <w:rsid w:val="00E2090B"/>
    <w:rsid w:val="00E21E47"/>
    <w:rsid w:val="00E22495"/>
    <w:rsid w:val="00E22DE5"/>
    <w:rsid w:val="00E23976"/>
    <w:rsid w:val="00E2466A"/>
    <w:rsid w:val="00E25C08"/>
    <w:rsid w:val="00E30173"/>
    <w:rsid w:val="00E30DA7"/>
    <w:rsid w:val="00E30F49"/>
    <w:rsid w:val="00E315E5"/>
    <w:rsid w:val="00E31E44"/>
    <w:rsid w:val="00E31FD3"/>
    <w:rsid w:val="00E325DC"/>
    <w:rsid w:val="00E34CE0"/>
    <w:rsid w:val="00E34DB5"/>
    <w:rsid w:val="00E3556B"/>
    <w:rsid w:val="00E35659"/>
    <w:rsid w:val="00E44144"/>
    <w:rsid w:val="00E44DDD"/>
    <w:rsid w:val="00E44F0A"/>
    <w:rsid w:val="00E44FD6"/>
    <w:rsid w:val="00E45828"/>
    <w:rsid w:val="00E4616D"/>
    <w:rsid w:val="00E46670"/>
    <w:rsid w:val="00E4676D"/>
    <w:rsid w:val="00E47AF1"/>
    <w:rsid w:val="00E506A2"/>
    <w:rsid w:val="00E51D50"/>
    <w:rsid w:val="00E52B34"/>
    <w:rsid w:val="00E5368A"/>
    <w:rsid w:val="00E53F38"/>
    <w:rsid w:val="00E5427E"/>
    <w:rsid w:val="00E549E0"/>
    <w:rsid w:val="00E55DB9"/>
    <w:rsid w:val="00E571D6"/>
    <w:rsid w:val="00E57DBF"/>
    <w:rsid w:val="00E60A5A"/>
    <w:rsid w:val="00E63254"/>
    <w:rsid w:val="00E66CBC"/>
    <w:rsid w:val="00E671CF"/>
    <w:rsid w:val="00E71097"/>
    <w:rsid w:val="00E71E30"/>
    <w:rsid w:val="00E72202"/>
    <w:rsid w:val="00E7492F"/>
    <w:rsid w:val="00E751F3"/>
    <w:rsid w:val="00E75DD3"/>
    <w:rsid w:val="00E8105D"/>
    <w:rsid w:val="00E81B6E"/>
    <w:rsid w:val="00E837A3"/>
    <w:rsid w:val="00E84FF5"/>
    <w:rsid w:val="00E8548A"/>
    <w:rsid w:val="00E857B4"/>
    <w:rsid w:val="00E91A53"/>
    <w:rsid w:val="00E92A6A"/>
    <w:rsid w:val="00E9366C"/>
    <w:rsid w:val="00EA05A0"/>
    <w:rsid w:val="00EA0784"/>
    <w:rsid w:val="00EA137B"/>
    <w:rsid w:val="00EA2E99"/>
    <w:rsid w:val="00EA3D29"/>
    <w:rsid w:val="00EA3F72"/>
    <w:rsid w:val="00EA3FA3"/>
    <w:rsid w:val="00EA435D"/>
    <w:rsid w:val="00EA493F"/>
    <w:rsid w:val="00EA65C5"/>
    <w:rsid w:val="00EB08C3"/>
    <w:rsid w:val="00EB3164"/>
    <w:rsid w:val="00EB35A5"/>
    <w:rsid w:val="00EB4984"/>
    <w:rsid w:val="00EB5575"/>
    <w:rsid w:val="00EB6425"/>
    <w:rsid w:val="00EB6991"/>
    <w:rsid w:val="00EC06D4"/>
    <w:rsid w:val="00EC142B"/>
    <w:rsid w:val="00EC3D20"/>
    <w:rsid w:val="00EC46AC"/>
    <w:rsid w:val="00EC6E78"/>
    <w:rsid w:val="00ED1043"/>
    <w:rsid w:val="00ED255A"/>
    <w:rsid w:val="00ED2F02"/>
    <w:rsid w:val="00ED355C"/>
    <w:rsid w:val="00ED35BC"/>
    <w:rsid w:val="00ED4275"/>
    <w:rsid w:val="00ED68F8"/>
    <w:rsid w:val="00ED7338"/>
    <w:rsid w:val="00EE3AD4"/>
    <w:rsid w:val="00EE4E51"/>
    <w:rsid w:val="00EE4EED"/>
    <w:rsid w:val="00EE5F8A"/>
    <w:rsid w:val="00EF10C5"/>
    <w:rsid w:val="00EF13B8"/>
    <w:rsid w:val="00EF15DD"/>
    <w:rsid w:val="00EF2E4B"/>
    <w:rsid w:val="00EF3956"/>
    <w:rsid w:val="00EF3D6C"/>
    <w:rsid w:val="00EF410D"/>
    <w:rsid w:val="00EF4406"/>
    <w:rsid w:val="00EF51F7"/>
    <w:rsid w:val="00EF59DB"/>
    <w:rsid w:val="00EF603E"/>
    <w:rsid w:val="00EF750E"/>
    <w:rsid w:val="00EF7863"/>
    <w:rsid w:val="00F00B63"/>
    <w:rsid w:val="00F01299"/>
    <w:rsid w:val="00F0390A"/>
    <w:rsid w:val="00F041B2"/>
    <w:rsid w:val="00F043D1"/>
    <w:rsid w:val="00F049FA"/>
    <w:rsid w:val="00F062E2"/>
    <w:rsid w:val="00F06705"/>
    <w:rsid w:val="00F068A4"/>
    <w:rsid w:val="00F0763D"/>
    <w:rsid w:val="00F1002A"/>
    <w:rsid w:val="00F14851"/>
    <w:rsid w:val="00F14980"/>
    <w:rsid w:val="00F15776"/>
    <w:rsid w:val="00F1584A"/>
    <w:rsid w:val="00F15DEE"/>
    <w:rsid w:val="00F16401"/>
    <w:rsid w:val="00F17D25"/>
    <w:rsid w:val="00F2023D"/>
    <w:rsid w:val="00F209CA"/>
    <w:rsid w:val="00F215B0"/>
    <w:rsid w:val="00F23BE0"/>
    <w:rsid w:val="00F24409"/>
    <w:rsid w:val="00F27374"/>
    <w:rsid w:val="00F30AED"/>
    <w:rsid w:val="00F30B37"/>
    <w:rsid w:val="00F348F9"/>
    <w:rsid w:val="00F34940"/>
    <w:rsid w:val="00F355B6"/>
    <w:rsid w:val="00F36786"/>
    <w:rsid w:val="00F36F23"/>
    <w:rsid w:val="00F37274"/>
    <w:rsid w:val="00F3728E"/>
    <w:rsid w:val="00F377AE"/>
    <w:rsid w:val="00F419CF"/>
    <w:rsid w:val="00F419D3"/>
    <w:rsid w:val="00F44052"/>
    <w:rsid w:val="00F458B4"/>
    <w:rsid w:val="00F46B87"/>
    <w:rsid w:val="00F51E43"/>
    <w:rsid w:val="00F53432"/>
    <w:rsid w:val="00F537F9"/>
    <w:rsid w:val="00F55E1B"/>
    <w:rsid w:val="00F56AA9"/>
    <w:rsid w:val="00F60CB4"/>
    <w:rsid w:val="00F62746"/>
    <w:rsid w:val="00F6400C"/>
    <w:rsid w:val="00F65801"/>
    <w:rsid w:val="00F70095"/>
    <w:rsid w:val="00F71478"/>
    <w:rsid w:val="00F71726"/>
    <w:rsid w:val="00F74829"/>
    <w:rsid w:val="00F769AA"/>
    <w:rsid w:val="00F76F1E"/>
    <w:rsid w:val="00F8330B"/>
    <w:rsid w:val="00F84410"/>
    <w:rsid w:val="00F849FE"/>
    <w:rsid w:val="00F8713E"/>
    <w:rsid w:val="00F9090C"/>
    <w:rsid w:val="00F9153D"/>
    <w:rsid w:val="00F93924"/>
    <w:rsid w:val="00F9508F"/>
    <w:rsid w:val="00F954B3"/>
    <w:rsid w:val="00FA0412"/>
    <w:rsid w:val="00FA103E"/>
    <w:rsid w:val="00FA1434"/>
    <w:rsid w:val="00FA2566"/>
    <w:rsid w:val="00FA2656"/>
    <w:rsid w:val="00FA3D98"/>
    <w:rsid w:val="00FA42F2"/>
    <w:rsid w:val="00FA5394"/>
    <w:rsid w:val="00FA71E4"/>
    <w:rsid w:val="00FB0FFF"/>
    <w:rsid w:val="00FB145F"/>
    <w:rsid w:val="00FB25D1"/>
    <w:rsid w:val="00FB2C86"/>
    <w:rsid w:val="00FB34EF"/>
    <w:rsid w:val="00FB40BB"/>
    <w:rsid w:val="00FB4B8A"/>
    <w:rsid w:val="00FB54C6"/>
    <w:rsid w:val="00FB5849"/>
    <w:rsid w:val="00FB60EA"/>
    <w:rsid w:val="00FB63C9"/>
    <w:rsid w:val="00FB70B3"/>
    <w:rsid w:val="00FB7104"/>
    <w:rsid w:val="00FB7EE2"/>
    <w:rsid w:val="00FC0A1D"/>
    <w:rsid w:val="00FC105F"/>
    <w:rsid w:val="00FC11D1"/>
    <w:rsid w:val="00FC172E"/>
    <w:rsid w:val="00FC1DBD"/>
    <w:rsid w:val="00FC3448"/>
    <w:rsid w:val="00FC3AE8"/>
    <w:rsid w:val="00FC4090"/>
    <w:rsid w:val="00FC6BB6"/>
    <w:rsid w:val="00FD045E"/>
    <w:rsid w:val="00FD119D"/>
    <w:rsid w:val="00FD3FA8"/>
    <w:rsid w:val="00FD4BA3"/>
    <w:rsid w:val="00FD581D"/>
    <w:rsid w:val="00FD7ACD"/>
    <w:rsid w:val="00FE1483"/>
    <w:rsid w:val="00FE498D"/>
    <w:rsid w:val="00FE6287"/>
    <w:rsid w:val="00FE798B"/>
    <w:rsid w:val="00FF0978"/>
    <w:rsid w:val="00FF2562"/>
    <w:rsid w:val="00FF2A31"/>
    <w:rsid w:val="00FF2AE7"/>
    <w:rsid w:val="00FF5EB2"/>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F21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2C1"/>
    <w:rPr>
      <w:rFonts w:ascii="Times New Roman" w:hAnsi="Times New Roman"/>
      <w:sz w:val="24"/>
      <w:szCs w:val="24"/>
    </w:rPr>
  </w:style>
  <w:style w:type="paragraph" w:styleId="Heading1">
    <w:name w:val="heading 1"/>
    <w:basedOn w:val="Normal"/>
    <w:next w:val="Normal"/>
    <w:link w:val="Heading1Char"/>
    <w:uiPriority w:val="9"/>
    <w:qFormat/>
    <w:rsid w:val="001821D4"/>
    <w:pPr>
      <w:keepNext/>
      <w:keepLines/>
      <w:spacing w:before="240"/>
      <w:outlineLvl w:val="0"/>
    </w:pPr>
    <w:rPr>
      <w:rFonts w:ascii="Arial" w:eastAsia="Times New Roman" w:hAnsi="Arial"/>
      <w:b/>
      <w:sz w:val="36"/>
      <w:szCs w:val="32"/>
    </w:rPr>
  </w:style>
  <w:style w:type="paragraph" w:styleId="Heading2">
    <w:name w:val="heading 2"/>
    <w:basedOn w:val="Normal"/>
    <w:next w:val="Normal"/>
    <w:link w:val="Heading2Char"/>
    <w:uiPriority w:val="9"/>
    <w:unhideWhenUsed/>
    <w:qFormat/>
    <w:rsid w:val="00EC06D4"/>
    <w:pPr>
      <w:keepNext/>
      <w:keepLines/>
      <w:spacing w:after="240"/>
      <w:outlineLvl w:val="1"/>
    </w:pPr>
    <w:rPr>
      <w:rFonts w:ascii="Arial" w:eastAsia="Times New Roman" w:hAnsi="Arial"/>
      <w:b/>
      <w:sz w:val="32"/>
      <w:szCs w:val="26"/>
    </w:rPr>
  </w:style>
  <w:style w:type="paragraph" w:styleId="Heading3">
    <w:name w:val="heading 3"/>
    <w:basedOn w:val="Normal"/>
    <w:next w:val="Normal"/>
    <w:link w:val="Heading3Char"/>
    <w:autoRedefine/>
    <w:uiPriority w:val="9"/>
    <w:unhideWhenUsed/>
    <w:qFormat/>
    <w:rsid w:val="003F0CBE"/>
    <w:pPr>
      <w:keepNext/>
      <w:keepLines/>
      <w:spacing w:after="120"/>
      <w:outlineLvl w:val="2"/>
    </w:pPr>
    <w:rPr>
      <w:rFonts w:ascii="Arial" w:eastAsia="Times New Roman" w:hAnsi="Arial" w:cs="Arial"/>
      <w:b/>
      <w:sz w:val="28"/>
      <w:szCs w:val="28"/>
    </w:rPr>
  </w:style>
  <w:style w:type="paragraph" w:styleId="Heading4">
    <w:name w:val="heading 4"/>
    <w:basedOn w:val="Normal"/>
    <w:next w:val="Normal"/>
    <w:link w:val="Heading4Char"/>
    <w:uiPriority w:val="9"/>
    <w:unhideWhenUsed/>
    <w:qFormat/>
    <w:rsid w:val="00743715"/>
    <w:pPr>
      <w:keepNext/>
      <w:keepLines/>
      <w:spacing w:before="240" w:after="240"/>
      <w:outlineLvl w:val="3"/>
    </w:pPr>
    <w:rPr>
      <w:rFonts w:ascii="Arial" w:eastAsia="Times New Roman" w:hAnsi="Arial"/>
      <w:b/>
      <w:iCs/>
      <w:sz w:val="28"/>
    </w:rPr>
  </w:style>
  <w:style w:type="paragraph" w:styleId="Heading5">
    <w:name w:val="heading 5"/>
    <w:basedOn w:val="Normal"/>
    <w:next w:val="Normal"/>
    <w:link w:val="Heading5Char"/>
    <w:uiPriority w:val="9"/>
    <w:unhideWhenUsed/>
    <w:qFormat/>
    <w:rsid w:val="00743715"/>
    <w:pPr>
      <w:keepNext/>
      <w:keepLines/>
      <w:spacing w:before="240" w:after="240"/>
      <w:outlineLvl w:val="4"/>
    </w:pPr>
    <w:rPr>
      <w:rFonts w:ascii="Arial" w:eastAsia="Times New Roman" w:hAnsi="Arial"/>
      <w:i/>
      <w:sz w:val="28"/>
    </w:rPr>
  </w:style>
  <w:style w:type="paragraph" w:styleId="Heading6">
    <w:name w:val="heading 6"/>
    <w:basedOn w:val="Normal"/>
    <w:next w:val="Normal"/>
    <w:link w:val="Heading6Char"/>
    <w:uiPriority w:val="9"/>
    <w:unhideWhenUsed/>
    <w:qFormat/>
    <w:rsid w:val="00743715"/>
    <w:pPr>
      <w:keepNext/>
      <w:keepLines/>
      <w:spacing w:before="240"/>
      <w:outlineLvl w:val="5"/>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72681"/>
    <w:rPr>
      <w:rFonts w:eastAsia="Times New Roman"/>
      <w:sz w:val="22"/>
      <w:szCs w:val="22"/>
    </w:rPr>
  </w:style>
  <w:style w:type="character" w:customStyle="1" w:styleId="NoSpacingChar">
    <w:name w:val="No Spacing Char"/>
    <w:link w:val="NoSpacing"/>
    <w:uiPriority w:val="1"/>
    <w:rsid w:val="00072681"/>
    <w:rPr>
      <w:rFonts w:eastAsia="Times New Roman"/>
    </w:rPr>
  </w:style>
  <w:style w:type="character" w:customStyle="1" w:styleId="Heading1Char">
    <w:name w:val="Heading 1 Char"/>
    <w:link w:val="Heading1"/>
    <w:uiPriority w:val="9"/>
    <w:rsid w:val="001821D4"/>
    <w:rPr>
      <w:rFonts w:ascii="Arial" w:eastAsia="Times New Roman" w:hAnsi="Arial" w:cs="Times New Roman"/>
      <w:b/>
      <w:sz w:val="36"/>
      <w:szCs w:val="32"/>
    </w:rPr>
  </w:style>
  <w:style w:type="paragraph" w:styleId="TOCHeading">
    <w:name w:val="TOC Heading"/>
    <w:basedOn w:val="Heading1"/>
    <w:next w:val="Normal"/>
    <w:uiPriority w:val="39"/>
    <w:unhideWhenUsed/>
    <w:qFormat/>
    <w:rsid w:val="00072681"/>
    <w:pPr>
      <w:outlineLvl w:val="9"/>
    </w:pPr>
  </w:style>
  <w:style w:type="paragraph" w:styleId="TOC1">
    <w:name w:val="toc 1"/>
    <w:basedOn w:val="Normal"/>
    <w:next w:val="Normal"/>
    <w:autoRedefine/>
    <w:uiPriority w:val="39"/>
    <w:unhideWhenUsed/>
    <w:rsid w:val="00B81939"/>
    <w:pPr>
      <w:tabs>
        <w:tab w:val="right" w:leader="dot" w:pos="9350"/>
      </w:tabs>
      <w:spacing w:after="100"/>
    </w:pPr>
    <w:rPr>
      <w:rFonts w:ascii="Arial" w:hAnsi="Arial" w:cs="Arial"/>
    </w:rPr>
  </w:style>
  <w:style w:type="character" w:styleId="Hyperlink">
    <w:name w:val="Hyperlink"/>
    <w:uiPriority w:val="99"/>
    <w:unhideWhenUsed/>
    <w:qFormat/>
    <w:rsid w:val="004F6691"/>
    <w:rPr>
      <w:color w:val="0563C1"/>
      <w:u w:val="single"/>
    </w:rPr>
  </w:style>
  <w:style w:type="character" w:customStyle="1" w:styleId="Heading2Char">
    <w:name w:val="Heading 2 Char"/>
    <w:link w:val="Heading2"/>
    <w:uiPriority w:val="9"/>
    <w:rsid w:val="00EC06D4"/>
    <w:rPr>
      <w:rFonts w:ascii="Arial" w:eastAsia="Times New Roman" w:hAnsi="Arial" w:cs="Times New Roman"/>
      <w:b/>
      <w:sz w:val="32"/>
      <w:szCs w:val="26"/>
    </w:rPr>
  </w:style>
  <w:style w:type="paragraph" w:styleId="TOC2">
    <w:name w:val="toc 2"/>
    <w:basedOn w:val="Normal"/>
    <w:next w:val="Normal"/>
    <w:autoRedefine/>
    <w:uiPriority w:val="39"/>
    <w:unhideWhenUsed/>
    <w:rsid w:val="004F6691"/>
    <w:pPr>
      <w:spacing w:after="100"/>
      <w:ind w:left="220"/>
    </w:pPr>
  </w:style>
  <w:style w:type="paragraph" w:styleId="Header">
    <w:name w:val="header"/>
    <w:basedOn w:val="Normal"/>
    <w:link w:val="HeaderChar"/>
    <w:uiPriority w:val="99"/>
    <w:unhideWhenUsed/>
    <w:rsid w:val="004F6691"/>
    <w:pPr>
      <w:tabs>
        <w:tab w:val="center" w:pos="4680"/>
        <w:tab w:val="right" w:pos="9360"/>
      </w:tabs>
    </w:pPr>
  </w:style>
  <w:style w:type="character" w:customStyle="1" w:styleId="HeaderChar">
    <w:name w:val="Header Char"/>
    <w:basedOn w:val="DefaultParagraphFont"/>
    <w:link w:val="Header"/>
    <w:uiPriority w:val="99"/>
    <w:rsid w:val="004F6691"/>
  </w:style>
  <w:style w:type="paragraph" w:styleId="Footer">
    <w:name w:val="footer"/>
    <w:basedOn w:val="Normal"/>
    <w:link w:val="FooterChar"/>
    <w:uiPriority w:val="99"/>
    <w:unhideWhenUsed/>
    <w:rsid w:val="004F6691"/>
    <w:pPr>
      <w:tabs>
        <w:tab w:val="center" w:pos="4680"/>
        <w:tab w:val="right" w:pos="9360"/>
      </w:tabs>
    </w:pPr>
  </w:style>
  <w:style w:type="character" w:customStyle="1" w:styleId="FooterChar">
    <w:name w:val="Footer Char"/>
    <w:basedOn w:val="DefaultParagraphFont"/>
    <w:link w:val="Footer"/>
    <w:uiPriority w:val="99"/>
    <w:rsid w:val="004F6691"/>
  </w:style>
  <w:style w:type="paragraph" w:customStyle="1" w:styleId="Default">
    <w:name w:val="Default"/>
    <w:rsid w:val="004F669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011D"/>
    <w:pPr>
      <w:spacing w:before="100" w:beforeAutospacing="1" w:after="100" w:afterAutospacing="1"/>
    </w:pPr>
  </w:style>
  <w:style w:type="paragraph" w:customStyle="1" w:styleId="DataSource">
    <w:name w:val="Data Source"/>
    <w:basedOn w:val="Normal"/>
    <w:qFormat/>
    <w:rsid w:val="002B011D"/>
    <w:pPr>
      <w:widowControl w:val="0"/>
      <w:autoSpaceDE w:val="0"/>
      <w:autoSpaceDN w:val="0"/>
      <w:adjustRightInd w:val="0"/>
      <w:spacing w:line="260" w:lineRule="atLeast"/>
      <w:textAlignment w:val="center"/>
    </w:pPr>
    <w:rPr>
      <w:rFonts w:ascii="Century Gothic" w:eastAsia="Times New Roman" w:hAnsi="Century Gothic"/>
      <w:color w:val="44546A"/>
      <w:spacing w:val="-2"/>
      <w:sz w:val="20"/>
    </w:rPr>
  </w:style>
  <w:style w:type="paragraph" w:styleId="Caption">
    <w:name w:val="caption"/>
    <w:aliases w:val="Table Caption"/>
    <w:basedOn w:val="Normal"/>
    <w:next w:val="Normal"/>
    <w:uiPriority w:val="35"/>
    <w:unhideWhenUsed/>
    <w:qFormat/>
    <w:rsid w:val="002B011D"/>
    <w:pPr>
      <w:autoSpaceDE w:val="0"/>
      <w:autoSpaceDN w:val="0"/>
      <w:adjustRightInd w:val="0"/>
    </w:pPr>
    <w:rPr>
      <w:rFonts w:ascii="Arial" w:eastAsia="Times New Roman" w:hAnsi="Arial" w:cs="Arial"/>
      <w:b/>
      <w:lang w:eastAsia="zh-CN"/>
    </w:rPr>
  </w:style>
  <w:style w:type="paragraph" w:customStyle="1" w:styleId="Header5">
    <w:name w:val="Header 5"/>
    <w:basedOn w:val="Caption"/>
    <w:qFormat/>
    <w:rsid w:val="001821D4"/>
  </w:style>
  <w:style w:type="paragraph" w:styleId="FootnoteText">
    <w:name w:val="footnote text"/>
    <w:basedOn w:val="Normal"/>
    <w:link w:val="FootnoteTextChar"/>
    <w:uiPriority w:val="99"/>
    <w:unhideWhenUsed/>
    <w:rsid w:val="002B011D"/>
    <w:rPr>
      <w:rFonts w:ascii="Calibri Light" w:eastAsia="Times New Roman" w:hAnsi="Calibri Light"/>
      <w:lang w:eastAsia="zh-CN"/>
    </w:rPr>
  </w:style>
  <w:style w:type="character" w:customStyle="1" w:styleId="FootnoteTextChar">
    <w:name w:val="Footnote Text Char"/>
    <w:link w:val="FootnoteText"/>
    <w:uiPriority w:val="99"/>
    <w:rsid w:val="002B011D"/>
    <w:rPr>
      <w:rFonts w:ascii="Calibri Light" w:eastAsia="Times New Roman" w:hAnsi="Calibri Light" w:cs="Times New Roman"/>
      <w:sz w:val="24"/>
      <w:szCs w:val="24"/>
      <w:lang w:eastAsia="zh-CN"/>
    </w:rPr>
  </w:style>
  <w:style w:type="character" w:styleId="FootnoteReference">
    <w:name w:val="footnote reference"/>
    <w:uiPriority w:val="99"/>
    <w:unhideWhenUsed/>
    <w:rsid w:val="002B011D"/>
    <w:rPr>
      <w:vertAlign w:val="superscript"/>
    </w:rPr>
  </w:style>
  <w:style w:type="table" w:styleId="TableGrid">
    <w:name w:val="Table Grid"/>
    <w:basedOn w:val="TableNormal"/>
    <w:uiPriority w:val="39"/>
    <w:rsid w:val="002B011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F3404"/>
    <w:rPr>
      <w:rFonts w:ascii="Arial" w:hAnsi="Arial"/>
    </w:rPr>
  </w:style>
  <w:style w:type="paragraph" w:styleId="ListParagraph">
    <w:name w:val="List Paragraph"/>
    <w:basedOn w:val="Normal"/>
    <w:uiPriority w:val="34"/>
    <w:qFormat/>
    <w:rsid w:val="00A858C1"/>
    <w:pPr>
      <w:ind w:left="720"/>
      <w:contextualSpacing/>
    </w:pPr>
  </w:style>
  <w:style w:type="character" w:styleId="CommentReference">
    <w:name w:val="annotation reference"/>
    <w:uiPriority w:val="99"/>
    <w:semiHidden/>
    <w:unhideWhenUsed/>
    <w:rsid w:val="00F0390A"/>
    <w:rPr>
      <w:sz w:val="16"/>
      <w:szCs w:val="16"/>
    </w:rPr>
  </w:style>
  <w:style w:type="paragraph" w:styleId="CommentText">
    <w:name w:val="annotation text"/>
    <w:basedOn w:val="Normal"/>
    <w:link w:val="CommentTextChar"/>
    <w:uiPriority w:val="99"/>
    <w:unhideWhenUsed/>
    <w:rsid w:val="00F0390A"/>
    <w:rPr>
      <w:sz w:val="20"/>
      <w:szCs w:val="20"/>
    </w:rPr>
  </w:style>
  <w:style w:type="character" w:customStyle="1" w:styleId="CommentTextChar">
    <w:name w:val="Comment Text Char"/>
    <w:link w:val="CommentText"/>
    <w:uiPriority w:val="99"/>
    <w:rsid w:val="00F0390A"/>
    <w:rPr>
      <w:sz w:val="20"/>
      <w:szCs w:val="20"/>
    </w:rPr>
  </w:style>
  <w:style w:type="paragraph" w:styleId="BalloonText">
    <w:name w:val="Balloon Text"/>
    <w:basedOn w:val="Normal"/>
    <w:link w:val="BalloonTextChar"/>
    <w:uiPriority w:val="99"/>
    <w:semiHidden/>
    <w:unhideWhenUsed/>
    <w:rsid w:val="00F0390A"/>
    <w:rPr>
      <w:sz w:val="18"/>
      <w:szCs w:val="18"/>
    </w:rPr>
  </w:style>
  <w:style w:type="character" w:customStyle="1" w:styleId="BalloonTextChar">
    <w:name w:val="Balloon Text Char"/>
    <w:link w:val="BalloonText"/>
    <w:uiPriority w:val="99"/>
    <w:semiHidden/>
    <w:rsid w:val="00F039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E6F92"/>
    <w:rPr>
      <w:b/>
      <w:bCs/>
    </w:rPr>
  </w:style>
  <w:style w:type="character" w:customStyle="1" w:styleId="CommentSubjectChar">
    <w:name w:val="Comment Subject Char"/>
    <w:link w:val="CommentSubject"/>
    <w:uiPriority w:val="99"/>
    <w:semiHidden/>
    <w:rsid w:val="00BE6F92"/>
    <w:rPr>
      <w:b/>
      <w:bCs/>
      <w:sz w:val="20"/>
      <w:szCs w:val="20"/>
    </w:rPr>
  </w:style>
  <w:style w:type="paragraph" w:styleId="Revision">
    <w:name w:val="Revision"/>
    <w:hidden/>
    <w:uiPriority w:val="99"/>
    <w:semiHidden/>
    <w:rsid w:val="00AB5388"/>
    <w:rPr>
      <w:rFonts w:ascii="Times New Roman" w:hAnsi="Times New Roman"/>
      <w:sz w:val="24"/>
      <w:szCs w:val="24"/>
    </w:rPr>
  </w:style>
  <w:style w:type="character" w:customStyle="1" w:styleId="Heading3Char">
    <w:name w:val="Heading 3 Char"/>
    <w:link w:val="Heading3"/>
    <w:uiPriority w:val="9"/>
    <w:rsid w:val="003F0CBE"/>
    <w:rPr>
      <w:rFonts w:ascii="Arial" w:eastAsia="Times New Roman" w:hAnsi="Arial" w:cs="Arial"/>
      <w:b/>
      <w:sz w:val="28"/>
      <w:szCs w:val="28"/>
    </w:rPr>
  </w:style>
  <w:style w:type="paragraph" w:customStyle="1" w:styleId="m2339869358632070472msolistparagraph">
    <w:name w:val="m_2339869358632070472msolistparagraph"/>
    <w:basedOn w:val="Normal"/>
    <w:rsid w:val="000F31DC"/>
    <w:pPr>
      <w:spacing w:before="100" w:beforeAutospacing="1" w:after="100" w:afterAutospacing="1"/>
    </w:pPr>
  </w:style>
  <w:style w:type="paragraph" w:styleId="TOC3">
    <w:name w:val="toc 3"/>
    <w:basedOn w:val="Normal"/>
    <w:next w:val="Normal"/>
    <w:autoRedefine/>
    <w:uiPriority w:val="39"/>
    <w:unhideWhenUsed/>
    <w:rsid w:val="00601662"/>
    <w:pPr>
      <w:spacing w:after="100"/>
      <w:ind w:left="480"/>
    </w:pPr>
  </w:style>
  <w:style w:type="character" w:customStyle="1" w:styleId="u-smo-texttruncate">
    <w:name w:val="u-smo-texttruncate"/>
    <w:basedOn w:val="DefaultParagraphFont"/>
    <w:rsid w:val="007A4B1E"/>
  </w:style>
  <w:style w:type="character" w:styleId="Emphasis">
    <w:name w:val="Emphasis"/>
    <w:uiPriority w:val="20"/>
    <w:qFormat/>
    <w:rsid w:val="00213C78"/>
    <w:rPr>
      <w:i/>
      <w:iCs/>
    </w:rPr>
  </w:style>
  <w:style w:type="character" w:styleId="FollowedHyperlink">
    <w:name w:val="FollowedHyperlink"/>
    <w:uiPriority w:val="99"/>
    <w:semiHidden/>
    <w:unhideWhenUsed/>
    <w:rsid w:val="003C731C"/>
    <w:rPr>
      <w:color w:val="954F72"/>
      <w:u w:val="single"/>
    </w:rPr>
  </w:style>
  <w:style w:type="character" w:customStyle="1" w:styleId="Heading4Char">
    <w:name w:val="Heading 4 Char"/>
    <w:link w:val="Heading4"/>
    <w:uiPriority w:val="9"/>
    <w:rsid w:val="00743715"/>
    <w:rPr>
      <w:rFonts w:ascii="Arial" w:eastAsia="Times New Roman" w:hAnsi="Arial" w:cs="Times New Roman"/>
      <w:b/>
      <w:iCs/>
      <w:sz w:val="28"/>
      <w:szCs w:val="24"/>
    </w:rPr>
  </w:style>
  <w:style w:type="character" w:customStyle="1" w:styleId="Heading5Char">
    <w:name w:val="Heading 5 Char"/>
    <w:link w:val="Heading5"/>
    <w:uiPriority w:val="9"/>
    <w:rsid w:val="00743715"/>
    <w:rPr>
      <w:rFonts w:ascii="Arial" w:eastAsia="Times New Roman" w:hAnsi="Arial" w:cs="Times New Roman"/>
      <w:i/>
      <w:sz w:val="28"/>
      <w:szCs w:val="24"/>
    </w:rPr>
  </w:style>
  <w:style w:type="character" w:customStyle="1" w:styleId="Heading6Char">
    <w:name w:val="Heading 6 Char"/>
    <w:link w:val="Heading6"/>
    <w:uiPriority w:val="9"/>
    <w:rsid w:val="00743715"/>
    <w:rPr>
      <w:rFonts w:ascii="Arial" w:eastAsia="Times New Roman" w:hAnsi="Arial" w:cs="Times New Roman"/>
      <w:b/>
      <w:sz w:val="24"/>
      <w:szCs w:val="24"/>
    </w:rPr>
  </w:style>
  <w:style w:type="table" w:customStyle="1" w:styleId="TableGrid1">
    <w:name w:val="Table Grid1"/>
    <w:basedOn w:val="TableNormal"/>
    <w:next w:val="TableGrid"/>
    <w:uiPriority w:val="39"/>
    <w:rsid w:val="00AE3F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3F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3F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3F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F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849D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6849D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6849D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2">
    <w:name w:val="Body Text 2"/>
    <w:basedOn w:val="Normal"/>
    <w:link w:val="BodyText2Char"/>
    <w:uiPriority w:val="99"/>
    <w:unhideWhenUsed/>
    <w:rsid w:val="00613489"/>
    <w:rPr>
      <w:rFonts w:ascii="Arial" w:hAnsi="Arial"/>
      <w:sz w:val="22"/>
      <w:szCs w:val="22"/>
    </w:rPr>
  </w:style>
  <w:style w:type="character" w:customStyle="1" w:styleId="BodyText2Char">
    <w:name w:val="Body Text 2 Char"/>
    <w:basedOn w:val="DefaultParagraphFont"/>
    <w:link w:val="BodyText2"/>
    <w:uiPriority w:val="99"/>
    <w:rsid w:val="00613489"/>
    <w:rPr>
      <w:rFonts w:ascii="Arial" w:hAnsi="Arial"/>
      <w:sz w:val="22"/>
      <w:szCs w:val="22"/>
    </w:rPr>
  </w:style>
  <w:style w:type="paragraph" w:customStyle="1" w:styleId="FigureCaption">
    <w:name w:val="Figure Caption"/>
    <w:basedOn w:val="Caption"/>
    <w:qFormat/>
    <w:rsid w:val="00641790"/>
    <w:rPr>
      <w:sz w:val="22"/>
      <w:szCs w:val="22"/>
    </w:rPr>
  </w:style>
  <w:style w:type="paragraph" w:customStyle="1" w:styleId="TableorFiguresNotesSources">
    <w:name w:val="Table or Figures Notes/Sources"/>
    <w:basedOn w:val="Normal"/>
    <w:qFormat/>
    <w:rsid w:val="00641790"/>
    <w:pPr>
      <w:spacing w:before="120" w:after="400" w:line="280" w:lineRule="exact"/>
    </w:pPr>
    <w:rPr>
      <w:rFonts w:ascii="Arial" w:eastAsiaTheme="minorEastAsia" w:hAnsi="Arial" w:cstheme="minorBidi"/>
      <w:bCs/>
      <w:noProof/>
      <w:color w:val="4472C4" w:themeColor="accent5"/>
      <w:szCs w:val="18"/>
      <w:lang w:eastAsia="zh-CN"/>
    </w:rPr>
  </w:style>
  <w:style w:type="paragraph" w:customStyle="1" w:styleId="TableTitle">
    <w:name w:val="Table Title"/>
    <w:basedOn w:val="Normal"/>
    <w:uiPriority w:val="1"/>
    <w:qFormat/>
    <w:rsid w:val="00641790"/>
    <w:pPr>
      <w:keepNext/>
      <w:keepLines/>
      <w:pBdr>
        <w:top w:val="single" w:sz="12" w:space="8" w:color="CAE0F9"/>
      </w:pBdr>
      <w:spacing w:before="500" w:after="200"/>
    </w:pPr>
    <w:rPr>
      <w:rFonts w:ascii="Arial" w:eastAsiaTheme="minorEastAsia" w:hAnsi="Arial" w:cstheme="minorBidi"/>
      <w:b/>
      <w:bCs/>
      <w:noProof/>
      <w:color w:val="4472C4" w:themeColor="accent5"/>
      <w:sz w:val="26"/>
      <w:szCs w:val="26"/>
      <w:lang w:eastAsia="zh-CN"/>
    </w:rPr>
  </w:style>
  <w:style w:type="table" w:styleId="ListTable3-Accent5">
    <w:name w:val="List Table 3 Accent 5"/>
    <w:aliases w:val="WestEd Table,Accessibilioty Table"/>
    <w:basedOn w:val="TableNormal"/>
    <w:uiPriority w:val="48"/>
    <w:rsid w:val="00641790"/>
    <w:rPr>
      <w:rFonts w:asciiTheme="minorHAnsi" w:eastAsiaTheme="minorEastAsia" w:hAnsiTheme="minorHAnsi" w:cstheme="minorBidi"/>
      <w:szCs w:val="22"/>
      <w:lang w:val="en-CA" w:eastAsia="zh-CN"/>
    </w:rPr>
    <w:tblPr>
      <w:tblStyleRowBandSize w:val="1"/>
      <w:tblStyleCol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142" w:type="dxa"/>
        <w:left w:w="176" w:type="dxa"/>
        <w:bottom w:w="142" w:type="dxa"/>
        <w:right w:w="119" w:type="dxa"/>
      </w:tblCellMar>
    </w:tblPr>
    <w:tblStylePr w:type="firstRow">
      <w:rPr>
        <w:b/>
        <w:bCs/>
        <w:color w:val="FFFFFF" w:themeColor="background1"/>
      </w:rPr>
      <w:tblPr/>
      <w:tcPr>
        <w:shd w:val="clear" w:color="auto" w:fill="4472C4" w:themeFill="accent5"/>
      </w:tcPr>
    </w:tblStylePr>
    <w:tblStylePr w:type="lastRow">
      <w:rPr>
        <w:b/>
        <w:bCs/>
      </w:rPr>
      <w:tblPr/>
      <w:tcPr>
        <w:shd w:val="clear" w:color="auto" w:fill="3D4B5F" w:themeFill="text2" w:themeFillShade="E6"/>
      </w:tcPr>
    </w:tblStylePr>
    <w:tblStylePr w:type="firstCol">
      <w:rPr>
        <w:b/>
        <w:bCs/>
      </w:rPr>
      <w:tblPr/>
      <w:tcPr>
        <w:shd w:val="clear" w:color="auto" w:fill="D9E2F3" w:themeFill="accent5" w:themeFillTint="33"/>
      </w:tcPr>
    </w:tblStylePr>
    <w:tblStylePr w:type="lastCol">
      <w:rPr>
        <w:b/>
        <w:bCs/>
      </w:rPr>
      <w:tblPr/>
      <w:tcPr>
        <w:shd w:val="clear" w:color="auto" w:fill="3D4B5F" w:themeFill="text2" w:themeFillShade="E6"/>
      </w:tcPr>
    </w:tblStylePr>
    <w:tblStylePr w:type="band1Vert">
      <w:tblPr/>
      <w:tcPr>
        <w:shd w:val="clear" w:color="auto" w:fill="44546A" w:themeFill="text2"/>
      </w:tcPr>
    </w:tblStylePr>
    <w:tblStylePr w:type="band2Vert">
      <w:tblPr/>
      <w:tcPr>
        <w:shd w:val="clear" w:color="auto" w:fill="44546A" w:themeFill="text2"/>
      </w:tcPr>
    </w:tblStylePr>
    <w:tblStylePr w:type="band1Horz">
      <w:tblPr/>
      <w:tcPr>
        <w:shd w:val="clear" w:color="auto" w:fill="44546A" w:themeFill="text2"/>
      </w:tcPr>
    </w:tblStylePr>
    <w:tblStylePr w:type="band2Horz">
      <w:tblPr/>
      <w:tcPr>
        <w:shd w:val="clear" w:color="auto" w:fill="44546A" w:themeFill="text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ableHeaderRow">
    <w:name w:val="Table Header Row"/>
    <w:basedOn w:val="Normal"/>
    <w:qFormat/>
    <w:rsid w:val="00641790"/>
    <w:pPr>
      <w:spacing w:line="240" w:lineRule="atLeast"/>
    </w:pPr>
    <w:rPr>
      <w:rFonts w:ascii="Arial" w:eastAsiaTheme="minorEastAsia" w:hAnsi="Arial" w:cstheme="minorBidi"/>
      <w:bCs/>
      <w:noProof/>
      <w:color w:val="FFFFFF"/>
      <w:szCs w:val="20"/>
      <w:lang w:eastAsia="zh-CN"/>
    </w:rPr>
  </w:style>
  <w:style w:type="paragraph" w:customStyle="1" w:styleId="TableCategoryText">
    <w:name w:val="Table Category Text"/>
    <w:basedOn w:val="Normal"/>
    <w:autoRedefine/>
    <w:qFormat/>
    <w:rsid w:val="00641790"/>
    <w:pPr>
      <w:spacing w:line="260" w:lineRule="exact"/>
    </w:pPr>
    <w:rPr>
      <w:rFonts w:ascii="Arial" w:eastAsiaTheme="minorEastAsia" w:hAnsi="Arial" w:cs="Arial"/>
      <w:b/>
      <w:noProof/>
      <w:szCs w:val="20"/>
      <w:lang w:eastAsia="zh-CN"/>
    </w:rPr>
  </w:style>
  <w:style w:type="paragraph" w:customStyle="1" w:styleId="TableBodyText">
    <w:name w:val="Table Body Text"/>
    <w:basedOn w:val="Normal"/>
    <w:qFormat/>
    <w:rsid w:val="00641790"/>
    <w:pPr>
      <w:spacing w:after="80" w:line="260" w:lineRule="exact"/>
    </w:pPr>
    <w:rPr>
      <w:rFonts w:ascii="Arial" w:eastAsiaTheme="minorEastAsia" w:hAnsi="Arial" w:cstheme="minorBidi"/>
      <w:noProof/>
      <w:color w:val="4472C4" w:themeColor="accent5"/>
      <w:szCs w:val="20"/>
      <w:lang w:eastAsia="zh-CN"/>
    </w:rPr>
  </w:style>
  <w:style w:type="table" w:styleId="GridTable1Light">
    <w:name w:val="Grid Table 1 Light"/>
    <w:basedOn w:val="TableNormal"/>
    <w:uiPriority w:val="46"/>
    <w:rsid w:val="00DA0EA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F0E24"/>
    <w:rPr>
      <w:color w:val="605E5C"/>
      <w:shd w:val="clear" w:color="auto" w:fill="E1DFDD"/>
    </w:rPr>
  </w:style>
  <w:style w:type="paragraph" w:customStyle="1" w:styleId="List-Level1">
    <w:name w:val="List - Level 1"/>
    <w:basedOn w:val="Normal"/>
    <w:qFormat/>
    <w:rsid w:val="005648DC"/>
    <w:pPr>
      <w:numPr>
        <w:numId w:val="53"/>
      </w:numPr>
      <w:spacing w:after="120" w:line="310" w:lineRule="exact"/>
    </w:pPr>
    <w:rPr>
      <w:rFonts w:ascii="Arial" w:eastAsiaTheme="minorEastAsia" w:hAnsi="Arial" w:cstheme="minorBidi"/>
      <w:noProof/>
      <w:color w:val="3E535F"/>
      <w:lang w:eastAsia="zh-CN"/>
    </w:rPr>
  </w:style>
  <w:style w:type="paragraph" w:customStyle="1" w:styleId="List-Level3">
    <w:name w:val="List - Level 3"/>
    <w:basedOn w:val="Normal"/>
    <w:qFormat/>
    <w:rsid w:val="005648DC"/>
    <w:pPr>
      <w:keepNext/>
      <w:numPr>
        <w:ilvl w:val="2"/>
        <w:numId w:val="53"/>
      </w:numPr>
      <w:spacing w:after="120" w:line="310" w:lineRule="exact"/>
    </w:pPr>
    <w:rPr>
      <w:rFonts w:ascii="Arial" w:eastAsiaTheme="minorEastAsia" w:hAnsi="Arial" w:cstheme="minorBidi"/>
      <w:noProof/>
      <w:color w:val="3E535F"/>
      <w:lang w:eastAsia="zh-CN"/>
    </w:rPr>
  </w:style>
  <w:style w:type="numbering" w:customStyle="1" w:styleId="List3Levels">
    <w:name w:val="List 3 Levels"/>
    <w:uiPriority w:val="99"/>
    <w:rsid w:val="005648DC"/>
    <w:pPr>
      <w:numPr>
        <w:numId w:val="52"/>
      </w:numPr>
    </w:pPr>
  </w:style>
  <w:style w:type="paragraph" w:styleId="TOC4">
    <w:name w:val="toc 4"/>
    <w:basedOn w:val="Normal"/>
    <w:next w:val="Normal"/>
    <w:autoRedefine/>
    <w:uiPriority w:val="39"/>
    <w:unhideWhenUsed/>
    <w:rsid w:val="00C50F01"/>
    <w:pPr>
      <w:spacing w:after="100"/>
      <w:ind w:left="720"/>
    </w:pPr>
  </w:style>
  <w:style w:type="paragraph" w:styleId="TOC5">
    <w:name w:val="toc 5"/>
    <w:basedOn w:val="Normal"/>
    <w:next w:val="Normal"/>
    <w:autoRedefine/>
    <w:uiPriority w:val="39"/>
    <w:unhideWhenUsed/>
    <w:rsid w:val="00C50F01"/>
    <w:pPr>
      <w:spacing w:after="100"/>
      <w:ind w:left="960"/>
    </w:pPr>
  </w:style>
  <w:style w:type="paragraph" w:styleId="TOC6">
    <w:name w:val="toc 6"/>
    <w:basedOn w:val="Normal"/>
    <w:next w:val="Normal"/>
    <w:autoRedefine/>
    <w:uiPriority w:val="39"/>
    <w:unhideWhenUsed/>
    <w:rsid w:val="00CF4387"/>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CF4387"/>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CF4387"/>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CF4387"/>
    <w:pPr>
      <w:spacing w:after="100" w:line="278" w:lineRule="auto"/>
      <w:ind w:left="1920"/>
    </w:pPr>
    <w:rPr>
      <w:rFonts w:asciiTheme="minorHAnsi" w:eastAsiaTheme="minorEastAsia" w:hAnsiTheme="minorHAnsi" w:cstheme="minorBidi"/>
      <w:kern w:val="2"/>
      <w14:ligatures w14:val="standardContextual"/>
    </w:rPr>
  </w:style>
  <w:style w:type="paragraph" w:customStyle="1" w:styleId="Paragraph">
    <w:name w:val="Paragraph"/>
    <w:basedOn w:val="Normal"/>
    <w:link w:val="ParagraphChar"/>
    <w:qFormat/>
    <w:rsid w:val="00A955C9"/>
    <w:pPr>
      <w:spacing w:after="200" w:line="310" w:lineRule="exact"/>
    </w:pPr>
    <w:rPr>
      <w:rFonts w:ascii="Arial" w:eastAsiaTheme="minorEastAsia" w:hAnsi="Arial" w:cstheme="minorBidi"/>
      <w:noProof/>
      <w:color w:val="3E535F"/>
      <w:lang w:eastAsia="zh-CN"/>
    </w:rPr>
  </w:style>
  <w:style w:type="character" w:customStyle="1" w:styleId="ParagraphChar">
    <w:name w:val="Paragraph Char"/>
    <w:basedOn w:val="DefaultParagraphFont"/>
    <w:link w:val="Paragraph"/>
    <w:rsid w:val="00A955C9"/>
    <w:rPr>
      <w:rFonts w:ascii="Arial" w:eastAsiaTheme="minorEastAsia" w:hAnsi="Arial" w:cstheme="minorBidi"/>
      <w:noProof/>
      <w:color w:val="3E535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7004">
      <w:bodyDiv w:val="1"/>
      <w:marLeft w:val="0"/>
      <w:marRight w:val="0"/>
      <w:marTop w:val="0"/>
      <w:marBottom w:val="0"/>
      <w:divBdr>
        <w:top w:val="none" w:sz="0" w:space="0" w:color="auto"/>
        <w:left w:val="none" w:sz="0" w:space="0" w:color="auto"/>
        <w:bottom w:val="none" w:sz="0" w:space="0" w:color="auto"/>
        <w:right w:val="none" w:sz="0" w:space="0" w:color="auto"/>
      </w:divBdr>
    </w:div>
    <w:div w:id="54476129">
      <w:bodyDiv w:val="1"/>
      <w:marLeft w:val="0"/>
      <w:marRight w:val="0"/>
      <w:marTop w:val="0"/>
      <w:marBottom w:val="0"/>
      <w:divBdr>
        <w:top w:val="none" w:sz="0" w:space="0" w:color="auto"/>
        <w:left w:val="none" w:sz="0" w:space="0" w:color="auto"/>
        <w:bottom w:val="none" w:sz="0" w:space="0" w:color="auto"/>
        <w:right w:val="none" w:sz="0" w:space="0" w:color="auto"/>
      </w:divBdr>
    </w:div>
    <w:div w:id="94713578">
      <w:bodyDiv w:val="1"/>
      <w:marLeft w:val="0"/>
      <w:marRight w:val="0"/>
      <w:marTop w:val="0"/>
      <w:marBottom w:val="0"/>
      <w:divBdr>
        <w:top w:val="none" w:sz="0" w:space="0" w:color="auto"/>
        <w:left w:val="none" w:sz="0" w:space="0" w:color="auto"/>
        <w:bottom w:val="none" w:sz="0" w:space="0" w:color="auto"/>
        <w:right w:val="none" w:sz="0" w:space="0" w:color="auto"/>
      </w:divBdr>
      <w:divsChild>
        <w:div w:id="300622210">
          <w:marLeft w:val="0"/>
          <w:marRight w:val="0"/>
          <w:marTop w:val="0"/>
          <w:marBottom w:val="0"/>
          <w:divBdr>
            <w:top w:val="none" w:sz="0" w:space="0" w:color="auto"/>
            <w:left w:val="none" w:sz="0" w:space="0" w:color="auto"/>
            <w:bottom w:val="none" w:sz="0" w:space="0" w:color="auto"/>
            <w:right w:val="none" w:sz="0" w:space="0" w:color="auto"/>
          </w:divBdr>
        </w:div>
      </w:divsChild>
    </w:div>
    <w:div w:id="396588609">
      <w:bodyDiv w:val="1"/>
      <w:marLeft w:val="0"/>
      <w:marRight w:val="0"/>
      <w:marTop w:val="0"/>
      <w:marBottom w:val="0"/>
      <w:divBdr>
        <w:top w:val="none" w:sz="0" w:space="0" w:color="auto"/>
        <w:left w:val="none" w:sz="0" w:space="0" w:color="auto"/>
        <w:bottom w:val="none" w:sz="0" w:space="0" w:color="auto"/>
        <w:right w:val="none" w:sz="0" w:space="0" w:color="auto"/>
      </w:divBdr>
    </w:div>
    <w:div w:id="440880935">
      <w:bodyDiv w:val="1"/>
      <w:marLeft w:val="0"/>
      <w:marRight w:val="0"/>
      <w:marTop w:val="0"/>
      <w:marBottom w:val="0"/>
      <w:divBdr>
        <w:top w:val="none" w:sz="0" w:space="0" w:color="auto"/>
        <w:left w:val="none" w:sz="0" w:space="0" w:color="auto"/>
        <w:bottom w:val="none" w:sz="0" w:space="0" w:color="auto"/>
        <w:right w:val="none" w:sz="0" w:space="0" w:color="auto"/>
      </w:divBdr>
    </w:div>
    <w:div w:id="514346458">
      <w:bodyDiv w:val="1"/>
      <w:marLeft w:val="0"/>
      <w:marRight w:val="0"/>
      <w:marTop w:val="0"/>
      <w:marBottom w:val="0"/>
      <w:divBdr>
        <w:top w:val="none" w:sz="0" w:space="0" w:color="auto"/>
        <w:left w:val="none" w:sz="0" w:space="0" w:color="auto"/>
        <w:bottom w:val="none" w:sz="0" w:space="0" w:color="auto"/>
        <w:right w:val="none" w:sz="0" w:space="0" w:color="auto"/>
      </w:divBdr>
      <w:divsChild>
        <w:div w:id="1047029194">
          <w:marLeft w:val="0"/>
          <w:marRight w:val="0"/>
          <w:marTop w:val="0"/>
          <w:marBottom w:val="0"/>
          <w:divBdr>
            <w:top w:val="none" w:sz="0" w:space="0" w:color="auto"/>
            <w:left w:val="none" w:sz="0" w:space="0" w:color="auto"/>
            <w:bottom w:val="none" w:sz="0" w:space="0" w:color="auto"/>
            <w:right w:val="none" w:sz="0" w:space="0" w:color="auto"/>
          </w:divBdr>
          <w:divsChild>
            <w:div w:id="141116305">
              <w:marLeft w:val="0"/>
              <w:marRight w:val="0"/>
              <w:marTop w:val="0"/>
              <w:marBottom w:val="0"/>
              <w:divBdr>
                <w:top w:val="none" w:sz="0" w:space="0" w:color="auto"/>
                <w:left w:val="none" w:sz="0" w:space="0" w:color="auto"/>
                <w:bottom w:val="none" w:sz="0" w:space="0" w:color="auto"/>
                <w:right w:val="none" w:sz="0" w:space="0" w:color="auto"/>
              </w:divBdr>
              <w:divsChild>
                <w:div w:id="383069354">
                  <w:marLeft w:val="0"/>
                  <w:marRight w:val="0"/>
                  <w:marTop w:val="0"/>
                  <w:marBottom w:val="0"/>
                  <w:divBdr>
                    <w:top w:val="none" w:sz="0" w:space="0" w:color="auto"/>
                    <w:left w:val="none" w:sz="0" w:space="0" w:color="auto"/>
                    <w:bottom w:val="none" w:sz="0" w:space="0" w:color="auto"/>
                    <w:right w:val="none" w:sz="0" w:space="0" w:color="auto"/>
                  </w:divBdr>
                </w:div>
              </w:divsChild>
            </w:div>
            <w:div w:id="858547755">
              <w:marLeft w:val="0"/>
              <w:marRight w:val="0"/>
              <w:marTop w:val="0"/>
              <w:marBottom w:val="0"/>
              <w:divBdr>
                <w:top w:val="none" w:sz="0" w:space="0" w:color="auto"/>
                <w:left w:val="none" w:sz="0" w:space="0" w:color="auto"/>
                <w:bottom w:val="none" w:sz="0" w:space="0" w:color="auto"/>
                <w:right w:val="none" w:sz="0" w:space="0" w:color="auto"/>
              </w:divBdr>
              <w:divsChild>
                <w:div w:id="400567090">
                  <w:marLeft w:val="0"/>
                  <w:marRight w:val="0"/>
                  <w:marTop w:val="0"/>
                  <w:marBottom w:val="0"/>
                  <w:divBdr>
                    <w:top w:val="none" w:sz="0" w:space="0" w:color="auto"/>
                    <w:left w:val="none" w:sz="0" w:space="0" w:color="auto"/>
                    <w:bottom w:val="none" w:sz="0" w:space="0" w:color="auto"/>
                    <w:right w:val="none" w:sz="0" w:space="0" w:color="auto"/>
                  </w:divBdr>
                </w:div>
              </w:divsChild>
            </w:div>
            <w:div w:id="1076442445">
              <w:marLeft w:val="0"/>
              <w:marRight w:val="0"/>
              <w:marTop w:val="0"/>
              <w:marBottom w:val="0"/>
              <w:divBdr>
                <w:top w:val="none" w:sz="0" w:space="0" w:color="auto"/>
                <w:left w:val="none" w:sz="0" w:space="0" w:color="auto"/>
                <w:bottom w:val="none" w:sz="0" w:space="0" w:color="auto"/>
                <w:right w:val="none" w:sz="0" w:space="0" w:color="auto"/>
              </w:divBdr>
              <w:divsChild>
                <w:div w:id="937951434">
                  <w:marLeft w:val="0"/>
                  <w:marRight w:val="0"/>
                  <w:marTop w:val="0"/>
                  <w:marBottom w:val="0"/>
                  <w:divBdr>
                    <w:top w:val="none" w:sz="0" w:space="0" w:color="auto"/>
                    <w:left w:val="none" w:sz="0" w:space="0" w:color="auto"/>
                    <w:bottom w:val="none" w:sz="0" w:space="0" w:color="auto"/>
                    <w:right w:val="none" w:sz="0" w:space="0" w:color="auto"/>
                  </w:divBdr>
                </w:div>
              </w:divsChild>
            </w:div>
            <w:div w:id="1184827662">
              <w:marLeft w:val="0"/>
              <w:marRight w:val="0"/>
              <w:marTop w:val="0"/>
              <w:marBottom w:val="0"/>
              <w:divBdr>
                <w:top w:val="none" w:sz="0" w:space="0" w:color="auto"/>
                <w:left w:val="none" w:sz="0" w:space="0" w:color="auto"/>
                <w:bottom w:val="none" w:sz="0" w:space="0" w:color="auto"/>
                <w:right w:val="none" w:sz="0" w:space="0" w:color="auto"/>
              </w:divBdr>
              <w:divsChild>
                <w:div w:id="1838184331">
                  <w:marLeft w:val="0"/>
                  <w:marRight w:val="0"/>
                  <w:marTop w:val="0"/>
                  <w:marBottom w:val="0"/>
                  <w:divBdr>
                    <w:top w:val="none" w:sz="0" w:space="0" w:color="auto"/>
                    <w:left w:val="none" w:sz="0" w:space="0" w:color="auto"/>
                    <w:bottom w:val="none" w:sz="0" w:space="0" w:color="auto"/>
                    <w:right w:val="none" w:sz="0" w:space="0" w:color="auto"/>
                  </w:divBdr>
                </w:div>
              </w:divsChild>
            </w:div>
            <w:div w:id="1196237683">
              <w:marLeft w:val="0"/>
              <w:marRight w:val="0"/>
              <w:marTop w:val="0"/>
              <w:marBottom w:val="0"/>
              <w:divBdr>
                <w:top w:val="none" w:sz="0" w:space="0" w:color="auto"/>
                <w:left w:val="none" w:sz="0" w:space="0" w:color="auto"/>
                <w:bottom w:val="none" w:sz="0" w:space="0" w:color="auto"/>
                <w:right w:val="none" w:sz="0" w:space="0" w:color="auto"/>
              </w:divBdr>
              <w:divsChild>
                <w:div w:id="1184368142">
                  <w:marLeft w:val="0"/>
                  <w:marRight w:val="0"/>
                  <w:marTop w:val="0"/>
                  <w:marBottom w:val="0"/>
                  <w:divBdr>
                    <w:top w:val="none" w:sz="0" w:space="0" w:color="auto"/>
                    <w:left w:val="none" w:sz="0" w:space="0" w:color="auto"/>
                    <w:bottom w:val="none" w:sz="0" w:space="0" w:color="auto"/>
                    <w:right w:val="none" w:sz="0" w:space="0" w:color="auto"/>
                  </w:divBdr>
                </w:div>
              </w:divsChild>
            </w:div>
            <w:div w:id="1385566790">
              <w:marLeft w:val="0"/>
              <w:marRight w:val="0"/>
              <w:marTop w:val="0"/>
              <w:marBottom w:val="0"/>
              <w:divBdr>
                <w:top w:val="none" w:sz="0" w:space="0" w:color="auto"/>
                <w:left w:val="none" w:sz="0" w:space="0" w:color="auto"/>
                <w:bottom w:val="none" w:sz="0" w:space="0" w:color="auto"/>
                <w:right w:val="none" w:sz="0" w:space="0" w:color="auto"/>
              </w:divBdr>
              <w:divsChild>
                <w:div w:id="1976132500">
                  <w:marLeft w:val="0"/>
                  <w:marRight w:val="0"/>
                  <w:marTop w:val="0"/>
                  <w:marBottom w:val="0"/>
                  <w:divBdr>
                    <w:top w:val="none" w:sz="0" w:space="0" w:color="auto"/>
                    <w:left w:val="none" w:sz="0" w:space="0" w:color="auto"/>
                    <w:bottom w:val="none" w:sz="0" w:space="0" w:color="auto"/>
                    <w:right w:val="none" w:sz="0" w:space="0" w:color="auto"/>
                  </w:divBdr>
                </w:div>
              </w:divsChild>
            </w:div>
            <w:div w:id="1649166275">
              <w:marLeft w:val="0"/>
              <w:marRight w:val="0"/>
              <w:marTop w:val="0"/>
              <w:marBottom w:val="0"/>
              <w:divBdr>
                <w:top w:val="none" w:sz="0" w:space="0" w:color="auto"/>
                <w:left w:val="none" w:sz="0" w:space="0" w:color="auto"/>
                <w:bottom w:val="none" w:sz="0" w:space="0" w:color="auto"/>
                <w:right w:val="none" w:sz="0" w:space="0" w:color="auto"/>
              </w:divBdr>
              <w:divsChild>
                <w:div w:id="528880664">
                  <w:marLeft w:val="0"/>
                  <w:marRight w:val="0"/>
                  <w:marTop w:val="0"/>
                  <w:marBottom w:val="0"/>
                  <w:divBdr>
                    <w:top w:val="none" w:sz="0" w:space="0" w:color="auto"/>
                    <w:left w:val="none" w:sz="0" w:space="0" w:color="auto"/>
                    <w:bottom w:val="none" w:sz="0" w:space="0" w:color="auto"/>
                    <w:right w:val="none" w:sz="0" w:space="0" w:color="auto"/>
                  </w:divBdr>
                </w:div>
              </w:divsChild>
            </w:div>
            <w:div w:id="1765804294">
              <w:marLeft w:val="0"/>
              <w:marRight w:val="0"/>
              <w:marTop w:val="0"/>
              <w:marBottom w:val="0"/>
              <w:divBdr>
                <w:top w:val="none" w:sz="0" w:space="0" w:color="auto"/>
                <w:left w:val="none" w:sz="0" w:space="0" w:color="auto"/>
                <w:bottom w:val="none" w:sz="0" w:space="0" w:color="auto"/>
                <w:right w:val="none" w:sz="0" w:space="0" w:color="auto"/>
              </w:divBdr>
              <w:divsChild>
                <w:div w:id="947354355">
                  <w:marLeft w:val="0"/>
                  <w:marRight w:val="0"/>
                  <w:marTop w:val="0"/>
                  <w:marBottom w:val="0"/>
                  <w:divBdr>
                    <w:top w:val="none" w:sz="0" w:space="0" w:color="auto"/>
                    <w:left w:val="none" w:sz="0" w:space="0" w:color="auto"/>
                    <w:bottom w:val="none" w:sz="0" w:space="0" w:color="auto"/>
                    <w:right w:val="none" w:sz="0" w:space="0" w:color="auto"/>
                  </w:divBdr>
                </w:div>
              </w:divsChild>
            </w:div>
            <w:div w:id="2103455817">
              <w:marLeft w:val="0"/>
              <w:marRight w:val="0"/>
              <w:marTop w:val="0"/>
              <w:marBottom w:val="0"/>
              <w:divBdr>
                <w:top w:val="none" w:sz="0" w:space="0" w:color="auto"/>
                <w:left w:val="none" w:sz="0" w:space="0" w:color="auto"/>
                <w:bottom w:val="none" w:sz="0" w:space="0" w:color="auto"/>
                <w:right w:val="none" w:sz="0" w:space="0" w:color="auto"/>
              </w:divBdr>
              <w:divsChild>
                <w:div w:id="489566328">
                  <w:marLeft w:val="0"/>
                  <w:marRight w:val="0"/>
                  <w:marTop w:val="0"/>
                  <w:marBottom w:val="0"/>
                  <w:divBdr>
                    <w:top w:val="none" w:sz="0" w:space="0" w:color="auto"/>
                    <w:left w:val="none" w:sz="0" w:space="0" w:color="auto"/>
                    <w:bottom w:val="none" w:sz="0" w:space="0" w:color="auto"/>
                    <w:right w:val="none" w:sz="0" w:space="0" w:color="auto"/>
                  </w:divBdr>
                </w:div>
              </w:divsChild>
            </w:div>
            <w:div w:id="2141918309">
              <w:marLeft w:val="0"/>
              <w:marRight w:val="0"/>
              <w:marTop w:val="0"/>
              <w:marBottom w:val="0"/>
              <w:divBdr>
                <w:top w:val="none" w:sz="0" w:space="0" w:color="auto"/>
                <w:left w:val="none" w:sz="0" w:space="0" w:color="auto"/>
                <w:bottom w:val="none" w:sz="0" w:space="0" w:color="auto"/>
                <w:right w:val="none" w:sz="0" w:space="0" w:color="auto"/>
              </w:divBdr>
              <w:divsChild>
                <w:div w:id="15576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4742">
      <w:bodyDiv w:val="1"/>
      <w:marLeft w:val="0"/>
      <w:marRight w:val="0"/>
      <w:marTop w:val="0"/>
      <w:marBottom w:val="0"/>
      <w:divBdr>
        <w:top w:val="none" w:sz="0" w:space="0" w:color="auto"/>
        <w:left w:val="none" w:sz="0" w:space="0" w:color="auto"/>
        <w:bottom w:val="none" w:sz="0" w:space="0" w:color="auto"/>
        <w:right w:val="none" w:sz="0" w:space="0" w:color="auto"/>
      </w:divBdr>
    </w:div>
    <w:div w:id="536166784">
      <w:bodyDiv w:val="1"/>
      <w:marLeft w:val="0"/>
      <w:marRight w:val="0"/>
      <w:marTop w:val="0"/>
      <w:marBottom w:val="0"/>
      <w:divBdr>
        <w:top w:val="none" w:sz="0" w:space="0" w:color="auto"/>
        <w:left w:val="none" w:sz="0" w:space="0" w:color="auto"/>
        <w:bottom w:val="none" w:sz="0" w:space="0" w:color="auto"/>
        <w:right w:val="none" w:sz="0" w:space="0" w:color="auto"/>
      </w:divBdr>
    </w:div>
    <w:div w:id="561450012">
      <w:bodyDiv w:val="1"/>
      <w:marLeft w:val="0"/>
      <w:marRight w:val="0"/>
      <w:marTop w:val="0"/>
      <w:marBottom w:val="0"/>
      <w:divBdr>
        <w:top w:val="none" w:sz="0" w:space="0" w:color="auto"/>
        <w:left w:val="none" w:sz="0" w:space="0" w:color="auto"/>
        <w:bottom w:val="none" w:sz="0" w:space="0" w:color="auto"/>
        <w:right w:val="none" w:sz="0" w:space="0" w:color="auto"/>
      </w:divBdr>
    </w:div>
    <w:div w:id="566113715">
      <w:bodyDiv w:val="1"/>
      <w:marLeft w:val="0"/>
      <w:marRight w:val="0"/>
      <w:marTop w:val="0"/>
      <w:marBottom w:val="0"/>
      <w:divBdr>
        <w:top w:val="none" w:sz="0" w:space="0" w:color="auto"/>
        <w:left w:val="none" w:sz="0" w:space="0" w:color="auto"/>
        <w:bottom w:val="none" w:sz="0" w:space="0" w:color="auto"/>
        <w:right w:val="none" w:sz="0" w:space="0" w:color="auto"/>
      </w:divBdr>
      <w:divsChild>
        <w:div w:id="1104501354">
          <w:marLeft w:val="0"/>
          <w:marRight w:val="0"/>
          <w:marTop w:val="0"/>
          <w:marBottom w:val="0"/>
          <w:divBdr>
            <w:top w:val="none" w:sz="0" w:space="0" w:color="auto"/>
            <w:left w:val="none" w:sz="0" w:space="0" w:color="auto"/>
            <w:bottom w:val="none" w:sz="0" w:space="0" w:color="auto"/>
            <w:right w:val="none" w:sz="0" w:space="0" w:color="auto"/>
          </w:divBdr>
          <w:divsChild>
            <w:div w:id="284048193">
              <w:marLeft w:val="0"/>
              <w:marRight w:val="0"/>
              <w:marTop w:val="0"/>
              <w:marBottom w:val="0"/>
              <w:divBdr>
                <w:top w:val="none" w:sz="0" w:space="0" w:color="auto"/>
                <w:left w:val="none" w:sz="0" w:space="0" w:color="auto"/>
                <w:bottom w:val="none" w:sz="0" w:space="0" w:color="auto"/>
                <w:right w:val="none" w:sz="0" w:space="0" w:color="auto"/>
              </w:divBdr>
              <w:divsChild>
                <w:div w:id="1442143582">
                  <w:marLeft w:val="0"/>
                  <w:marRight w:val="0"/>
                  <w:marTop w:val="0"/>
                  <w:marBottom w:val="0"/>
                  <w:divBdr>
                    <w:top w:val="none" w:sz="0" w:space="0" w:color="auto"/>
                    <w:left w:val="none" w:sz="0" w:space="0" w:color="auto"/>
                    <w:bottom w:val="none" w:sz="0" w:space="0" w:color="auto"/>
                    <w:right w:val="none" w:sz="0" w:space="0" w:color="auto"/>
                  </w:divBdr>
                </w:div>
              </w:divsChild>
            </w:div>
            <w:div w:id="1647390442">
              <w:marLeft w:val="0"/>
              <w:marRight w:val="0"/>
              <w:marTop w:val="0"/>
              <w:marBottom w:val="0"/>
              <w:divBdr>
                <w:top w:val="none" w:sz="0" w:space="0" w:color="auto"/>
                <w:left w:val="none" w:sz="0" w:space="0" w:color="auto"/>
                <w:bottom w:val="none" w:sz="0" w:space="0" w:color="auto"/>
                <w:right w:val="none" w:sz="0" w:space="0" w:color="auto"/>
              </w:divBdr>
              <w:divsChild>
                <w:div w:id="13454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701">
          <w:marLeft w:val="0"/>
          <w:marRight w:val="0"/>
          <w:marTop w:val="0"/>
          <w:marBottom w:val="0"/>
          <w:divBdr>
            <w:top w:val="none" w:sz="0" w:space="0" w:color="auto"/>
            <w:left w:val="none" w:sz="0" w:space="0" w:color="auto"/>
            <w:bottom w:val="none" w:sz="0" w:space="0" w:color="auto"/>
            <w:right w:val="none" w:sz="0" w:space="0" w:color="auto"/>
          </w:divBdr>
          <w:divsChild>
            <w:div w:id="1632713017">
              <w:marLeft w:val="0"/>
              <w:marRight w:val="0"/>
              <w:marTop w:val="0"/>
              <w:marBottom w:val="0"/>
              <w:divBdr>
                <w:top w:val="none" w:sz="0" w:space="0" w:color="auto"/>
                <w:left w:val="none" w:sz="0" w:space="0" w:color="auto"/>
                <w:bottom w:val="none" w:sz="0" w:space="0" w:color="auto"/>
                <w:right w:val="none" w:sz="0" w:space="0" w:color="auto"/>
              </w:divBdr>
              <w:divsChild>
                <w:div w:id="9909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4126">
      <w:bodyDiv w:val="1"/>
      <w:marLeft w:val="0"/>
      <w:marRight w:val="0"/>
      <w:marTop w:val="0"/>
      <w:marBottom w:val="0"/>
      <w:divBdr>
        <w:top w:val="none" w:sz="0" w:space="0" w:color="auto"/>
        <w:left w:val="none" w:sz="0" w:space="0" w:color="auto"/>
        <w:bottom w:val="none" w:sz="0" w:space="0" w:color="auto"/>
        <w:right w:val="none" w:sz="0" w:space="0" w:color="auto"/>
      </w:divBdr>
    </w:div>
    <w:div w:id="720634099">
      <w:bodyDiv w:val="1"/>
      <w:marLeft w:val="0"/>
      <w:marRight w:val="0"/>
      <w:marTop w:val="0"/>
      <w:marBottom w:val="0"/>
      <w:divBdr>
        <w:top w:val="none" w:sz="0" w:space="0" w:color="auto"/>
        <w:left w:val="none" w:sz="0" w:space="0" w:color="auto"/>
        <w:bottom w:val="none" w:sz="0" w:space="0" w:color="auto"/>
        <w:right w:val="none" w:sz="0" w:space="0" w:color="auto"/>
      </w:divBdr>
      <w:divsChild>
        <w:div w:id="1134559647">
          <w:marLeft w:val="0"/>
          <w:marRight w:val="0"/>
          <w:marTop w:val="0"/>
          <w:marBottom w:val="0"/>
          <w:divBdr>
            <w:top w:val="none" w:sz="0" w:space="0" w:color="auto"/>
            <w:left w:val="none" w:sz="0" w:space="0" w:color="auto"/>
            <w:bottom w:val="none" w:sz="0" w:space="0" w:color="auto"/>
            <w:right w:val="none" w:sz="0" w:space="0" w:color="auto"/>
          </w:divBdr>
          <w:divsChild>
            <w:div w:id="208611774">
              <w:marLeft w:val="0"/>
              <w:marRight w:val="0"/>
              <w:marTop w:val="0"/>
              <w:marBottom w:val="0"/>
              <w:divBdr>
                <w:top w:val="none" w:sz="0" w:space="0" w:color="auto"/>
                <w:left w:val="none" w:sz="0" w:space="0" w:color="auto"/>
                <w:bottom w:val="none" w:sz="0" w:space="0" w:color="auto"/>
                <w:right w:val="none" w:sz="0" w:space="0" w:color="auto"/>
              </w:divBdr>
              <w:divsChild>
                <w:div w:id="813061707">
                  <w:marLeft w:val="0"/>
                  <w:marRight w:val="0"/>
                  <w:marTop w:val="0"/>
                  <w:marBottom w:val="0"/>
                  <w:divBdr>
                    <w:top w:val="none" w:sz="0" w:space="0" w:color="auto"/>
                    <w:left w:val="none" w:sz="0" w:space="0" w:color="auto"/>
                    <w:bottom w:val="none" w:sz="0" w:space="0" w:color="auto"/>
                    <w:right w:val="none" w:sz="0" w:space="0" w:color="auto"/>
                  </w:divBdr>
                </w:div>
              </w:divsChild>
            </w:div>
            <w:div w:id="377320975">
              <w:marLeft w:val="0"/>
              <w:marRight w:val="0"/>
              <w:marTop w:val="0"/>
              <w:marBottom w:val="0"/>
              <w:divBdr>
                <w:top w:val="none" w:sz="0" w:space="0" w:color="auto"/>
                <w:left w:val="none" w:sz="0" w:space="0" w:color="auto"/>
                <w:bottom w:val="none" w:sz="0" w:space="0" w:color="auto"/>
                <w:right w:val="none" w:sz="0" w:space="0" w:color="auto"/>
              </w:divBdr>
              <w:divsChild>
                <w:div w:id="1493453146">
                  <w:marLeft w:val="0"/>
                  <w:marRight w:val="0"/>
                  <w:marTop w:val="0"/>
                  <w:marBottom w:val="0"/>
                  <w:divBdr>
                    <w:top w:val="none" w:sz="0" w:space="0" w:color="auto"/>
                    <w:left w:val="none" w:sz="0" w:space="0" w:color="auto"/>
                    <w:bottom w:val="none" w:sz="0" w:space="0" w:color="auto"/>
                    <w:right w:val="none" w:sz="0" w:space="0" w:color="auto"/>
                  </w:divBdr>
                </w:div>
              </w:divsChild>
            </w:div>
            <w:div w:id="446195088">
              <w:marLeft w:val="0"/>
              <w:marRight w:val="0"/>
              <w:marTop w:val="0"/>
              <w:marBottom w:val="0"/>
              <w:divBdr>
                <w:top w:val="none" w:sz="0" w:space="0" w:color="auto"/>
                <w:left w:val="none" w:sz="0" w:space="0" w:color="auto"/>
                <w:bottom w:val="none" w:sz="0" w:space="0" w:color="auto"/>
                <w:right w:val="none" w:sz="0" w:space="0" w:color="auto"/>
              </w:divBdr>
              <w:divsChild>
                <w:div w:id="1016469116">
                  <w:marLeft w:val="0"/>
                  <w:marRight w:val="0"/>
                  <w:marTop w:val="0"/>
                  <w:marBottom w:val="0"/>
                  <w:divBdr>
                    <w:top w:val="none" w:sz="0" w:space="0" w:color="auto"/>
                    <w:left w:val="none" w:sz="0" w:space="0" w:color="auto"/>
                    <w:bottom w:val="none" w:sz="0" w:space="0" w:color="auto"/>
                    <w:right w:val="none" w:sz="0" w:space="0" w:color="auto"/>
                  </w:divBdr>
                </w:div>
              </w:divsChild>
            </w:div>
            <w:div w:id="482700489">
              <w:marLeft w:val="0"/>
              <w:marRight w:val="0"/>
              <w:marTop w:val="0"/>
              <w:marBottom w:val="0"/>
              <w:divBdr>
                <w:top w:val="none" w:sz="0" w:space="0" w:color="auto"/>
                <w:left w:val="none" w:sz="0" w:space="0" w:color="auto"/>
                <w:bottom w:val="none" w:sz="0" w:space="0" w:color="auto"/>
                <w:right w:val="none" w:sz="0" w:space="0" w:color="auto"/>
              </w:divBdr>
              <w:divsChild>
                <w:div w:id="1982609823">
                  <w:marLeft w:val="0"/>
                  <w:marRight w:val="0"/>
                  <w:marTop w:val="0"/>
                  <w:marBottom w:val="0"/>
                  <w:divBdr>
                    <w:top w:val="none" w:sz="0" w:space="0" w:color="auto"/>
                    <w:left w:val="none" w:sz="0" w:space="0" w:color="auto"/>
                    <w:bottom w:val="none" w:sz="0" w:space="0" w:color="auto"/>
                    <w:right w:val="none" w:sz="0" w:space="0" w:color="auto"/>
                  </w:divBdr>
                </w:div>
              </w:divsChild>
            </w:div>
            <w:div w:id="639726863">
              <w:marLeft w:val="0"/>
              <w:marRight w:val="0"/>
              <w:marTop w:val="0"/>
              <w:marBottom w:val="0"/>
              <w:divBdr>
                <w:top w:val="none" w:sz="0" w:space="0" w:color="auto"/>
                <w:left w:val="none" w:sz="0" w:space="0" w:color="auto"/>
                <w:bottom w:val="none" w:sz="0" w:space="0" w:color="auto"/>
                <w:right w:val="none" w:sz="0" w:space="0" w:color="auto"/>
              </w:divBdr>
              <w:divsChild>
                <w:div w:id="1363438610">
                  <w:marLeft w:val="0"/>
                  <w:marRight w:val="0"/>
                  <w:marTop w:val="0"/>
                  <w:marBottom w:val="0"/>
                  <w:divBdr>
                    <w:top w:val="none" w:sz="0" w:space="0" w:color="auto"/>
                    <w:left w:val="none" w:sz="0" w:space="0" w:color="auto"/>
                    <w:bottom w:val="none" w:sz="0" w:space="0" w:color="auto"/>
                    <w:right w:val="none" w:sz="0" w:space="0" w:color="auto"/>
                  </w:divBdr>
                </w:div>
              </w:divsChild>
            </w:div>
            <w:div w:id="707994398">
              <w:marLeft w:val="0"/>
              <w:marRight w:val="0"/>
              <w:marTop w:val="0"/>
              <w:marBottom w:val="0"/>
              <w:divBdr>
                <w:top w:val="none" w:sz="0" w:space="0" w:color="auto"/>
                <w:left w:val="none" w:sz="0" w:space="0" w:color="auto"/>
                <w:bottom w:val="none" w:sz="0" w:space="0" w:color="auto"/>
                <w:right w:val="none" w:sz="0" w:space="0" w:color="auto"/>
              </w:divBdr>
              <w:divsChild>
                <w:div w:id="1807506569">
                  <w:marLeft w:val="0"/>
                  <w:marRight w:val="0"/>
                  <w:marTop w:val="0"/>
                  <w:marBottom w:val="0"/>
                  <w:divBdr>
                    <w:top w:val="none" w:sz="0" w:space="0" w:color="auto"/>
                    <w:left w:val="none" w:sz="0" w:space="0" w:color="auto"/>
                    <w:bottom w:val="none" w:sz="0" w:space="0" w:color="auto"/>
                    <w:right w:val="none" w:sz="0" w:space="0" w:color="auto"/>
                  </w:divBdr>
                </w:div>
              </w:divsChild>
            </w:div>
            <w:div w:id="809252935">
              <w:marLeft w:val="0"/>
              <w:marRight w:val="0"/>
              <w:marTop w:val="0"/>
              <w:marBottom w:val="0"/>
              <w:divBdr>
                <w:top w:val="none" w:sz="0" w:space="0" w:color="auto"/>
                <w:left w:val="none" w:sz="0" w:space="0" w:color="auto"/>
                <w:bottom w:val="none" w:sz="0" w:space="0" w:color="auto"/>
                <w:right w:val="none" w:sz="0" w:space="0" w:color="auto"/>
              </w:divBdr>
              <w:divsChild>
                <w:div w:id="1799371297">
                  <w:marLeft w:val="0"/>
                  <w:marRight w:val="0"/>
                  <w:marTop w:val="0"/>
                  <w:marBottom w:val="0"/>
                  <w:divBdr>
                    <w:top w:val="none" w:sz="0" w:space="0" w:color="auto"/>
                    <w:left w:val="none" w:sz="0" w:space="0" w:color="auto"/>
                    <w:bottom w:val="none" w:sz="0" w:space="0" w:color="auto"/>
                    <w:right w:val="none" w:sz="0" w:space="0" w:color="auto"/>
                  </w:divBdr>
                </w:div>
              </w:divsChild>
            </w:div>
            <w:div w:id="956985554">
              <w:marLeft w:val="0"/>
              <w:marRight w:val="0"/>
              <w:marTop w:val="0"/>
              <w:marBottom w:val="0"/>
              <w:divBdr>
                <w:top w:val="none" w:sz="0" w:space="0" w:color="auto"/>
                <w:left w:val="none" w:sz="0" w:space="0" w:color="auto"/>
                <w:bottom w:val="none" w:sz="0" w:space="0" w:color="auto"/>
                <w:right w:val="none" w:sz="0" w:space="0" w:color="auto"/>
              </w:divBdr>
              <w:divsChild>
                <w:div w:id="607197791">
                  <w:marLeft w:val="0"/>
                  <w:marRight w:val="0"/>
                  <w:marTop w:val="0"/>
                  <w:marBottom w:val="0"/>
                  <w:divBdr>
                    <w:top w:val="none" w:sz="0" w:space="0" w:color="auto"/>
                    <w:left w:val="none" w:sz="0" w:space="0" w:color="auto"/>
                    <w:bottom w:val="none" w:sz="0" w:space="0" w:color="auto"/>
                    <w:right w:val="none" w:sz="0" w:space="0" w:color="auto"/>
                  </w:divBdr>
                </w:div>
              </w:divsChild>
            </w:div>
            <w:div w:id="1049836491">
              <w:marLeft w:val="0"/>
              <w:marRight w:val="0"/>
              <w:marTop w:val="0"/>
              <w:marBottom w:val="0"/>
              <w:divBdr>
                <w:top w:val="none" w:sz="0" w:space="0" w:color="auto"/>
                <w:left w:val="none" w:sz="0" w:space="0" w:color="auto"/>
                <w:bottom w:val="none" w:sz="0" w:space="0" w:color="auto"/>
                <w:right w:val="none" w:sz="0" w:space="0" w:color="auto"/>
              </w:divBdr>
              <w:divsChild>
                <w:div w:id="321158308">
                  <w:marLeft w:val="0"/>
                  <w:marRight w:val="0"/>
                  <w:marTop w:val="0"/>
                  <w:marBottom w:val="0"/>
                  <w:divBdr>
                    <w:top w:val="none" w:sz="0" w:space="0" w:color="auto"/>
                    <w:left w:val="none" w:sz="0" w:space="0" w:color="auto"/>
                    <w:bottom w:val="none" w:sz="0" w:space="0" w:color="auto"/>
                    <w:right w:val="none" w:sz="0" w:space="0" w:color="auto"/>
                  </w:divBdr>
                </w:div>
              </w:divsChild>
            </w:div>
            <w:div w:id="1144931787">
              <w:marLeft w:val="0"/>
              <w:marRight w:val="0"/>
              <w:marTop w:val="0"/>
              <w:marBottom w:val="0"/>
              <w:divBdr>
                <w:top w:val="none" w:sz="0" w:space="0" w:color="auto"/>
                <w:left w:val="none" w:sz="0" w:space="0" w:color="auto"/>
                <w:bottom w:val="none" w:sz="0" w:space="0" w:color="auto"/>
                <w:right w:val="none" w:sz="0" w:space="0" w:color="auto"/>
              </w:divBdr>
              <w:divsChild>
                <w:div w:id="1269502649">
                  <w:marLeft w:val="0"/>
                  <w:marRight w:val="0"/>
                  <w:marTop w:val="0"/>
                  <w:marBottom w:val="0"/>
                  <w:divBdr>
                    <w:top w:val="none" w:sz="0" w:space="0" w:color="auto"/>
                    <w:left w:val="none" w:sz="0" w:space="0" w:color="auto"/>
                    <w:bottom w:val="none" w:sz="0" w:space="0" w:color="auto"/>
                    <w:right w:val="none" w:sz="0" w:space="0" w:color="auto"/>
                  </w:divBdr>
                </w:div>
              </w:divsChild>
            </w:div>
            <w:div w:id="1202551870">
              <w:marLeft w:val="0"/>
              <w:marRight w:val="0"/>
              <w:marTop w:val="0"/>
              <w:marBottom w:val="0"/>
              <w:divBdr>
                <w:top w:val="none" w:sz="0" w:space="0" w:color="auto"/>
                <w:left w:val="none" w:sz="0" w:space="0" w:color="auto"/>
                <w:bottom w:val="none" w:sz="0" w:space="0" w:color="auto"/>
                <w:right w:val="none" w:sz="0" w:space="0" w:color="auto"/>
              </w:divBdr>
              <w:divsChild>
                <w:div w:id="2100130422">
                  <w:marLeft w:val="0"/>
                  <w:marRight w:val="0"/>
                  <w:marTop w:val="0"/>
                  <w:marBottom w:val="0"/>
                  <w:divBdr>
                    <w:top w:val="none" w:sz="0" w:space="0" w:color="auto"/>
                    <w:left w:val="none" w:sz="0" w:space="0" w:color="auto"/>
                    <w:bottom w:val="none" w:sz="0" w:space="0" w:color="auto"/>
                    <w:right w:val="none" w:sz="0" w:space="0" w:color="auto"/>
                  </w:divBdr>
                </w:div>
              </w:divsChild>
            </w:div>
            <w:div w:id="1246257703">
              <w:marLeft w:val="0"/>
              <w:marRight w:val="0"/>
              <w:marTop w:val="0"/>
              <w:marBottom w:val="0"/>
              <w:divBdr>
                <w:top w:val="none" w:sz="0" w:space="0" w:color="auto"/>
                <w:left w:val="none" w:sz="0" w:space="0" w:color="auto"/>
                <w:bottom w:val="none" w:sz="0" w:space="0" w:color="auto"/>
                <w:right w:val="none" w:sz="0" w:space="0" w:color="auto"/>
              </w:divBdr>
              <w:divsChild>
                <w:div w:id="1123767661">
                  <w:marLeft w:val="0"/>
                  <w:marRight w:val="0"/>
                  <w:marTop w:val="0"/>
                  <w:marBottom w:val="0"/>
                  <w:divBdr>
                    <w:top w:val="none" w:sz="0" w:space="0" w:color="auto"/>
                    <w:left w:val="none" w:sz="0" w:space="0" w:color="auto"/>
                    <w:bottom w:val="none" w:sz="0" w:space="0" w:color="auto"/>
                    <w:right w:val="none" w:sz="0" w:space="0" w:color="auto"/>
                  </w:divBdr>
                </w:div>
              </w:divsChild>
            </w:div>
            <w:div w:id="1347436711">
              <w:marLeft w:val="0"/>
              <w:marRight w:val="0"/>
              <w:marTop w:val="0"/>
              <w:marBottom w:val="0"/>
              <w:divBdr>
                <w:top w:val="none" w:sz="0" w:space="0" w:color="auto"/>
                <w:left w:val="none" w:sz="0" w:space="0" w:color="auto"/>
                <w:bottom w:val="none" w:sz="0" w:space="0" w:color="auto"/>
                <w:right w:val="none" w:sz="0" w:space="0" w:color="auto"/>
              </w:divBdr>
              <w:divsChild>
                <w:div w:id="1102451305">
                  <w:marLeft w:val="0"/>
                  <w:marRight w:val="0"/>
                  <w:marTop w:val="0"/>
                  <w:marBottom w:val="0"/>
                  <w:divBdr>
                    <w:top w:val="none" w:sz="0" w:space="0" w:color="auto"/>
                    <w:left w:val="none" w:sz="0" w:space="0" w:color="auto"/>
                    <w:bottom w:val="none" w:sz="0" w:space="0" w:color="auto"/>
                    <w:right w:val="none" w:sz="0" w:space="0" w:color="auto"/>
                  </w:divBdr>
                </w:div>
              </w:divsChild>
            </w:div>
            <w:div w:id="1488519229">
              <w:marLeft w:val="0"/>
              <w:marRight w:val="0"/>
              <w:marTop w:val="0"/>
              <w:marBottom w:val="0"/>
              <w:divBdr>
                <w:top w:val="none" w:sz="0" w:space="0" w:color="auto"/>
                <w:left w:val="none" w:sz="0" w:space="0" w:color="auto"/>
                <w:bottom w:val="none" w:sz="0" w:space="0" w:color="auto"/>
                <w:right w:val="none" w:sz="0" w:space="0" w:color="auto"/>
              </w:divBdr>
              <w:divsChild>
                <w:div w:id="159321635">
                  <w:marLeft w:val="0"/>
                  <w:marRight w:val="0"/>
                  <w:marTop w:val="0"/>
                  <w:marBottom w:val="0"/>
                  <w:divBdr>
                    <w:top w:val="none" w:sz="0" w:space="0" w:color="auto"/>
                    <w:left w:val="none" w:sz="0" w:space="0" w:color="auto"/>
                    <w:bottom w:val="none" w:sz="0" w:space="0" w:color="auto"/>
                    <w:right w:val="none" w:sz="0" w:space="0" w:color="auto"/>
                  </w:divBdr>
                </w:div>
              </w:divsChild>
            </w:div>
            <w:div w:id="1560894412">
              <w:marLeft w:val="0"/>
              <w:marRight w:val="0"/>
              <w:marTop w:val="0"/>
              <w:marBottom w:val="0"/>
              <w:divBdr>
                <w:top w:val="none" w:sz="0" w:space="0" w:color="auto"/>
                <w:left w:val="none" w:sz="0" w:space="0" w:color="auto"/>
                <w:bottom w:val="none" w:sz="0" w:space="0" w:color="auto"/>
                <w:right w:val="none" w:sz="0" w:space="0" w:color="auto"/>
              </w:divBdr>
              <w:divsChild>
                <w:div w:id="156462927">
                  <w:marLeft w:val="0"/>
                  <w:marRight w:val="0"/>
                  <w:marTop w:val="0"/>
                  <w:marBottom w:val="0"/>
                  <w:divBdr>
                    <w:top w:val="none" w:sz="0" w:space="0" w:color="auto"/>
                    <w:left w:val="none" w:sz="0" w:space="0" w:color="auto"/>
                    <w:bottom w:val="none" w:sz="0" w:space="0" w:color="auto"/>
                    <w:right w:val="none" w:sz="0" w:space="0" w:color="auto"/>
                  </w:divBdr>
                </w:div>
              </w:divsChild>
            </w:div>
            <w:div w:id="2039116481">
              <w:marLeft w:val="0"/>
              <w:marRight w:val="0"/>
              <w:marTop w:val="0"/>
              <w:marBottom w:val="0"/>
              <w:divBdr>
                <w:top w:val="none" w:sz="0" w:space="0" w:color="auto"/>
                <w:left w:val="none" w:sz="0" w:space="0" w:color="auto"/>
                <w:bottom w:val="none" w:sz="0" w:space="0" w:color="auto"/>
                <w:right w:val="none" w:sz="0" w:space="0" w:color="auto"/>
              </w:divBdr>
              <w:divsChild>
                <w:div w:id="1485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1554">
      <w:bodyDiv w:val="1"/>
      <w:marLeft w:val="0"/>
      <w:marRight w:val="0"/>
      <w:marTop w:val="0"/>
      <w:marBottom w:val="0"/>
      <w:divBdr>
        <w:top w:val="none" w:sz="0" w:space="0" w:color="auto"/>
        <w:left w:val="none" w:sz="0" w:space="0" w:color="auto"/>
        <w:bottom w:val="none" w:sz="0" w:space="0" w:color="auto"/>
        <w:right w:val="none" w:sz="0" w:space="0" w:color="auto"/>
      </w:divBdr>
    </w:div>
    <w:div w:id="993727887">
      <w:bodyDiv w:val="1"/>
      <w:marLeft w:val="0"/>
      <w:marRight w:val="0"/>
      <w:marTop w:val="0"/>
      <w:marBottom w:val="0"/>
      <w:divBdr>
        <w:top w:val="none" w:sz="0" w:space="0" w:color="auto"/>
        <w:left w:val="none" w:sz="0" w:space="0" w:color="auto"/>
        <w:bottom w:val="none" w:sz="0" w:space="0" w:color="auto"/>
        <w:right w:val="none" w:sz="0" w:space="0" w:color="auto"/>
      </w:divBdr>
      <w:divsChild>
        <w:div w:id="339696633">
          <w:marLeft w:val="0"/>
          <w:marRight w:val="0"/>
          <w:marTop w:val="0"/>
          <w:marBottom w:val="0"/>
          <w:divBdr>
            <w:top w:val="none" w:sz="0" w:space="0" w:color="auto"/>
            <w:left w:val="none" w:sz="0" w:space="0" w:color="auto"/>
            <w:bottom w:val="none" w:sz="0" w:space="0" w:color="auto"/>
            <w:right w:val="none" w:sz="0" w:space="0" w:color="auto"/>
          </w:divBdr>
          <w:divsChild>
            <w:div w:id="679283083">
              <w:marLeft w:val="0"/>
              <w:marRight w:val="0"/>
              <w:marTop w:val="0"/>
              <w:marBottom w:val="0"/>
              <w:divBdr>
                <w:top w:val="none" w:sz="0" w:space="0" w:color="auto"/>
                <w:left w:val="none" w:sz="0" w:space="0" w:color="auto"/>
                <w:bottom w:val="none" w:sz="0" w:space="0" w:color="auto"/>
                <w:right w:val="none" w:sz="0" w:space="0" w:color="auto"/>
              </w:divBdr>
              <w:divsChild>
                <w:div w:id="406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7428">
          <w:marLeft w:val="0"/>
          <w:marRight w:val="0"/>
          <w:marTop w:val="0"/>
          <w:marBottom w:val="0"/>
          <w:divBdr>
            <w:top w:val="none" w:sz="0" w:space="0" w:color="auto"/>
            <w:left w:val="none" w:sz="0" w:space="0" w:color="auto"/>
            <w:bottom w:val="none" w:sz="0" w:space="0" w:color="auto"/>
            <w:right w:val="none" w:sz="0" w:space="0" w:color="auto"/>
          </w:divBdr>
          <w:divsChild>
            <w:div w:id="920679624">
              <w:marLeft w:val="0"/>
              <w:marRight w:val="0"/>
              <w:marTop w:val="0"/>
              <w:marBottom w:val="0"/>
              <w:divBdr>
                <w:top w:val="none" w:sz="0" w:space="0" w:color="auto"/>
                <w:left w:val="none" w:sz="0" w:space="0" w:color="auto"/>
                <w:bottom w:val="none" w:sz="0" w:space="0" w:color="auto"/>
                <w:right w:val="none" w:sz="0" w:space="0" w:color="auto"/>
              </w:divBdr>
              <w:divsChild>
                <w:div w:id="143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01692">
      <w:bodyDiv w:val="1"/>
      <w:marLeft w:val="0"/>
      <w:marRight w:val="0"/>
      <w:marTop w:val="0"/>
      <w:marBottom w:val="0"/>
      <w:divBdr>
        <w:top w:val="none" w:sz="0" w:space="0" w:color="auto"/>
        <w:left w:val="none" w:sz="0" w:space="0" w:color="auto"/>
        <w:bottom w:val="none" w:sz="0" w:space="0" w:color="auto"/>
        <w:right w:val="none" w:sz="0" w:space="0" w:color="auto"/>
      </w:divBdr>
    </w:div>
    <w:div w:id="1123423900">
      <w:bodyDiv w:val="1"/>
      <w:marLeft w:val="0"/>
      <w:marRight w:val="0"/>
      <w:marTop w:val="0"/>
      <w:marBottom w:val="0"/>
      <w:divBdr>
        <w:top w:val="none" w:sz="0" w:space="0" w:color="auto"/>
        <w:left w:val="none" w:sz="0" w:space="0" w:color="auto"/>
        <w:bottom w:val="none" w:sz="0" w:space="0" w:color="auto"/>
        <w:right w:val="none" w:sz="0" w:space="0" w:color="auto"/>
      </w:divBdr>
    </w:div>
    <w:div w:id="1390303163">
      <w:bodyDiv w:val="1"/>
      <w:marLeft w:val="0"/>
      <w:marRight w:val="0"/>
      <w:marTop w:val="0"/>
      <w:marBottom w:val="0"/>
      <w:divBdr>
        <w:top w:val="none" w:sz="0" w:space="0" w:color="auto"/>
        <w:left w:val="none" w:sz="0" w:space="0" w:color="auto"/>
        <w:bottom w:val="none" w:sz="0" w:space="0" w:color="auto"/>
        <w:right w:val="none" w:sz="0" w:space="0" w:color="auto"/>
      </w:divBdr>
    </w:div>
    <w:div w:id="1407262756">
      <w:bodyDiv w:val="1"/>
      <w:marLeft w:val="0"/>
      <w:marRight w:val="0"/>
      <w:marTop w:val="0"/>
      <w:marBottom w:val="0"/>
      <w:divBdr>
        <w:top w:val="none" w:sz="0" w:space="0" w:color="auto"/>
        <w:left w:val="none" w:sz="0" w:space="0" w:color="auto"/>
        <w:bottom w:val="none" w:sz="0" w:space="0" w:color="auto"/>
        <w:right w:val="none" w:sz="0" w:space="0" w:color="auto"/>
      </w:divBdr>
      <w:divsChild>
        <w:div w:id="1836529800">
          <w:marLeft w:val="0"/>
          <w:marRight w:val="0"/>
          <w:marTop w:val="0"/>
          <w:marBottom w:val="0"/>
          <w:divBdr>
            <w:top w:val="none" w:sz="0" w:space="0" w:color="auto"/>
            <w:left w:val="none" w:sz="0" w:space="0" w:color="auto"/>
            <w:bottom w:val="none" w:sz="0" w:space="0" w:color="auto"/>
            <w:right w:val="none" w:sz="0" w:space="0" w:color="auto"/>
          </w:divBdr>
        </w:div>
      </w:divsChild>
    </w:div>
    <w:div w:id="1410738605">
      <w:bodyDiv w:val="1"/>
      <w:marLeft w:val="0"/>
      <w:marRight w:val="0"/>
      <w:marTop w:val="0"/>
      <w:marBottom w:val="0"/>
      <w:divBdr>
        <w:top w:val="none" w:sz="0" w:space="0" w:color="auto"/>
        <w:left w:val="none" w:sz="0" w:space="0" w:color="auto"/>
        <w:bottom w:val="none" w:sz="0" w:space="0" w:color="auto"/>
        <w:right w:val="none" w:sz="0" w:space="0" w:color="auto"/>
      </w:divBdr>
    </w:div>
    <w:div w:id="1415124643">
      <w:bodyDiv w:val="1"/>
      <w:marLeft w:val="0"/>
      <w:marRight w:val="0"/>
      <w:marTop w:val="0"/>
      <w:marBottom w:val="0"/>
      <w:divBdr>
        <w:top w:val="none" w:sz="0" w:space="0" w:color="auto"/>
        <w:left w:val="none" w:sz="0" w:space="0" w:color="auto"/>
        <w:bottom w:val="none" w:sz="0" w:space="0" w:color="auto"/>
        <w:right w:val="none" w:sz="0" w:space="0" w:color="auto"/>
      </w:divBdr>
      <w:divsChild>
        <w:div w:id="1777140742">
          <w:marLeft w:val="0"/>
          <w:marRight w:val="0"/>
          <w:marTop w:val="0"/>
          <w:marBottom w:val="0"/>
          <w:divBdr>
            <w:top w:val="none" w:sz="0" w:space="0" w:color="auto"/>
            <w:left w:val="none" w:sz="0" w:space="0" w:color="auto"/>
            <w:bottom w:val="none" w:sz="0" w:space="0" w:color="auto"/>
            <w:right w:val="none" w:sz="0" w:space="0" w:color="auto"/>
          </w:divBdr>
          <w:divsChild>
            <w:div w:id="15737564">
              <w:marLeft w:val="0"/>
              <w:marRight w:val="0"/>
              <w:marTop w:val="0"/>
              <w:marBottom w:val="0"/>
              <w:divBdr>
                <w:top w:val="none" w:sz="0" w:space="0" w:color="auto"/>
                <w:left w:val="none" w:sz="0" w:space="0" w:color="auto"/>
                <w:bottom w:val="none" w:sz="0" w:space="0" w:color="auto"/>
                <w:right w:val="none" w:sz="0" w:space="0" w:color="auto"/>
              </w:divBdr>
              <w:divsChild>
                <w:div w:id="109666000">
                  <w:marLeft w:val="0"/>
                  <w:marRight w:val="0"/>
                  <w:marTop w:val="0"/>
                  <w:marBottom w:val="0"/>
                  <w:divBdr>
                    <w:top w:val="none" w:sz="0" w:space="0" w:color="auto"/>
                    <w:left w:val="none" w:sz="0" w:space="0" w:color="auto"/>
                    <w:bottom w:val="none" w:sz="0" w:space="0" w:color="auto"/>
                    <w:right w:val="none" w:sz="0" w:space="0" w:color="auto"/>
                  </w:divBdr>
                </w:div>
              </w:divsChild>
            </w:div>
            <w:div w:id="89660957">
              <w:marLeft w:val="0"/>
              <w:marRight w:val="0"/>
              <w:marTop w:val="0"/>
              <w:marBottom w:val="0"/>
              <w:divBdr>
                <w:top w:val="none" w:sz="0" w:space="0" w:color="auto"/>
                <w:left w:val="none" w:sz="0" w:space="0" w:color="auto"/>
                <w:bottom w:val="none" w:sz="0" w:space="0" w:color="auto"/>
                <w:right w:val="none" w:sz="0" w:space="0" w:color="auto"/>
              </w:divBdr>
              <w:divsChild>
                <w:div w:id="261499477">
                  <w:marLeft w:val="0"/>
                  <w:marRight w:val="0"/>
                  <w:marTop w:val="0"/>
                  <w:marBottom w:val="0"/>
                  <w:divBdr>
                    <w:top w:val="none" w:sz="0" w:space="0" w:color="auto"/>
                    <w:left w:val="none" w:sz="0" w:space="0" w:color="auto"/>
                    <w:bottom w:val="none" w:sz="0" w:space="0" w:color="auto"/>
                    <w:right w:val="none" w:sz="0" w:space="0" w:color="auto"/>
                  </w:divBdr>
                </w:div>
              </w:divsChild>
            </w:div>
            <w:div w:id="329212411">
              <w:marLeft w:val="0"/>
              <w:marRight w:val="0"/>
              <w:marTop w:val="0"/>
              <w:marBottom w:val="0"/>
              <w:divBdr>
                <w:top w:val="none" w:sz="0" w:space="0" w:color="auto"/>
                <w:left w:val="none" w:sz="0" w:space="0" w:color="auto"/>
                <w:bottom w:val="none" w:sz="0" w:space="0" w:color="auto"/>
                <w:right w:val="none" w:sz="0" w:space="0" w:color="auto"/>
              </w:divBdr>
              <w:divsChild>
                <w:div w:id="1523939747">
                  <w:marLeft w:val="0"/>
                  <w:marRight w:val="0"/>
                  <w:marTop w:val="0"/>
                  <w:marBottom w:val="0"/>
                  <w:divBdr>
                    <w:top w:val="none" w:sz="0" w:space="0" w:color="auto"/>
                    <w:left w:val="none" w:sz="0" w:space="0" w:color="auto"/>
                    <w:bottom w:val="none" w:sz="0" w:space="0" w:color="auto"/>
                    <w:right w:val="none" w:sz="0" w:space="0" w:color="auto"/>
                  </w:divBdr>
                </w:div>
              </w:divsChild>
            </w:div>
            <w:div w:id="477263350">
              <w:marLeft w:val="0"/>
              <w:marRight w:val="0"/>
              <w:marTop w:val="0"/>
              <w:marBottom w:val="0"/>
              <w:divBdr>
                <w:top w:val="none" w:sz="0" w:space="0" w:color="auto"/>
                <w:left w:val="none" w:sz="0" w:space="0" w:color="auto"/>
                <w:bottom w:val="none" w:sz="0" w:space="0" w:color="auto"/>
                <w:right w:val="none" w:sz="0" w:space="0" w:color="auto"/>
              </w:divBdr>
              <w:divsChild>
                <w:div w:id="240216572">
                  <w:marLeft w:val="0"/>
                  <w:marRight w:val="0"/>
                  <w:marTop w:val="0"/>
                  <w:marBottom w:val="0"/>
                  <w:divBdr>
                    <w:top w:val="none" w:sz="0" w:space="0" w:color="auto"/>
                    <w:left w:val="none" w:sz="0" w:space="0" w:color="auto"/>
                    <w:bottom w:val="none" w:sz="0" w:space="0" w:color="auto"/>
                    <w:right w:val="none" w:sz="0" w:space="0" w:color="auto"/>
                  </w:divBdr>
                </w:div>
              </w:divsChild>
            </w:div>
            <w:div w:id="528836482">
              <w:marLeft w:val="0"/>
              <w:marRight w:val="0"/>
              <w:marTop w:val="0"/>
              <w:marBottom w:val="0"/>
              <w:divBdr>
                <w:top w:val="none" w:sz="0" w:space="0" w:color="auto"/>
                <w:left w:val="none" w:sz="0" w:space="0" w:color="auto"/>
                <w:bottom w:val="none" w:sz="0" w:space="0" w:color="auto"/>
                <w:right w:val="none" w:sz="0" w:space="0" w:color="auto"/>
              </w:divBdr>
              <w:divsChild>
                <w:div w:id="545337405">
                  <w:marLeft w:val="0"/>
                  <w:marRight w:val="0"/>
                  <w:marTop w:val="0"/>
                  <w:marBottom w:val="0"/>
                  <w:divBdr>
                    <w:top w:val="none" w:sz="0" w:space="0" w:color="auto"/>
                    <w:left w:val="none" w:sz="0" w:space="0" w:color="auto"/>
                    <w:bottom w:val="none" w:sz="0" w:space="0" w:color="auto"/>
                    <w:right w:val="none" w:sz="0" w:space="0" w:color="auto"/>
                  </w:divBdr>
                </w:div>
              </w:divsChild>
            </w:div>
            <w:div w:id="669453475">
              <w:marLeft w:val="0"/>
              <w:marRight w:val="0"/>
              <w:marTop w:val="0"/>
              <w:marBottom w:val="0"/>
              <w:divBdr>
                <w:top w:val="none" w:sz="0" w:space="0" w:color="auto"/>
                <w:left w:val="none" w:sz="0" w:space="0" w:color="auto"/>
                <w:bottom w:val="none" w:sz="0" w:space="0" w:color="auto"/>
                <w:right w:val="none" w:sz="0" w:space="0" w:color="auto"/>
              </w:divBdr>
              <w:divsChild>
                <w:div w:id="1433360968">
                  <w:marLeft w:val="0"/>
                  <w:marRight w:val="0"/>
                  <w:marTop w:val="0"/>
                  <w:marBottom w:val="0"/>
                  <w:divBdr>
                    <w:top w:val="none" w:sz="0" w:space="0" w:color="auto"/>
                    <w:left w:val="none" w:sz="0" w:space="0" w:color="auto"/>
                    <w:bottom w:val="none" w:sz="0" w:space="0" w:color="auto"/>
                    <w:right w:val="none" w:sz="0" w:space="0" w:color="auto"/>
                  </w:divBdr>
                </w:div>
              </w:divsChild>
            </w:div>
            <w:div w:id="1211529324">
              <w:marLeft w:val="0"/>
              <w:marRight w:val="0"/>
              <w:marTop w:val="0"/>
              <w:marBottom w:val="0"/>
              <w:divBdr>
                <w:top w:val="none" w:sz="0" w:space="0" w:color="auto"/>
                <w:left w:val="none" w:sz="0" w:space="0" w:color="auto"/>
                <w:bottom w:val="none" w:sz="0" w:space="0" w:color="auto"/>
                <w:right w:val="none" w:sz="0" w:space="0" w:color="auto"/>
              </w:divBdr>
              <w:divsChild>
                <w:div w:id="185679708">
                  <w:marLeft w:val="0"/>
                  <w:marRight w:val="0"/>
                  <w:marTop w:val="0"/>
                  <w:marBottom w:val="0"/>
                  <w:divBdr>
                    <w:top w:val="none" w:sz="0" w:space="0" w:color="auto"/>
                    <w:left w:val="none" w:sz="0" w:space="0" w:color="auto"/>
                    <w:bottom w:val="none" w:sz="0" w:space="0" w:color="auto"/>
                    <w:right w:val="none" w:sz="0" w:space="0" w:color="auto"/>
                  </w:divBdr>
                </w:div>
              </w:divsChild>
            </w:div>
            <w:div w:id="1497499922">
              <w:marLeft w:val="0"/>
              <w:marRight w:val="0"/>
              <w:marTop w:val="0"/>
              <w:marBottom w:val="0"/>
              <w:divBdr>
                <w:top w:val="none" w:sz="0" w:space="0" w:color="auto"/>
                <w:left w:val="none" w:sz="0" w:space="0" w:color="auto"/>
                <w:bottom w:val="none" w:sz="0" w:space="0" w:color="auto"/>
                <w:right w:val="none" w:sz="0" w:space="0" w:color="auto"/>
              </w:divBdr>
              <w:divsChild>
                <w:div w:id="169833659">
                  <w:marLeft w:val="0"/>
                  <w:marRight w:val="0"/>
                  <w:marTop w:val="0"/>
                  <w:marBottom w:val="0"/>
                  <w:divBdr>
                    <w:top w:val="none" w:sz="0" w:space="0" w:color="auto"/>
                    <w:left w:val="none" w:sz="0" w:space="0" w:color="auto"/>
                    <w:bottom w:val="none" w:sz="0" w:space="0" w:color="auto"/>
                    <w:right w:val="none" w:sz="0" w:space="0" w:color="auto"/>
                  </w:divBdr>
                </w:div>
              </w:divsChild>
            </w:div>
            <w:div w:id="2032368415">
              <w:marLeft w:val="0"/>
              <w:marRight w:val="0"/>
              <w:marTop w:val="0"/>
              <w:marBottom w:val="0"/>
              <w:divBdr>
                <w:top w:val="none" w:sz="0" w:space="0" w:color="auto"/>
                <w:left w:val="none" w:sz="0" w:space="0" w:color="auto"/>
                <w:bottom w:val="none" w:sz="0" w:space="0" w:color="auto"/>
                <w:right w:val="none" w:sz="0" w:space="0" w:color="auto"/>
              </w:divBdr>
              <w:divsChild>
                <w:div w:id="233586672">
                  <w:marLeft w:val="0"/>
                  <w:marRight w:val="0"/>
                  <w:marTop w:val="0"/>
                  <w:marBottom w:val="0"/>
                  <w:divBdr>
                    <w:top w:val="none" w:sz="0" w:space="0" w:color="auto"/>
                    <w:left w:val="none" w:sz="0" w:space="0" w:color="auto"/>
                    <w:bottom w:val="none" w:sz="0" w:space="0" w:color="auto"/>
                    <w:right w:val="none" w:sz="0" w:space="0" w:color="auto"/>
                  </w:divBdr>
                </w:div>
              </w:divsChild>
            </w:div>
            <w:div w:id="2065374020">
              <w:marLeft w:val="0"/>
              <w:marRight w:val="0"/>
              <w:marTop w:val="0"/>
              <w:marBottom w:val="0"/>
              <w:divBdr>
                <w:top w:val="none" w:sz="0" w:space="0" w:color="auto"/>
                <w:left w:val="none" w:sz="0" w:space="0" w:color="auto"/>
                <w:bottom w:val="none" w:sz="0" w:space="0" w:color="auto"/>
                <w:right w:val="none" w:sz="0" w:space="0" w:color="auto"/>
              </w:divBdr>
              <w:divsChild>
                <w:div w:id="10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59810">
      <w:bodyDiv w:val="1"/>
      <w:marLeft w:val="0"/>
      <w:marRight w:val="0"/>
      <w:marTop w:val="0"/>
      <w:marBottom w:val="0"/>
      <w:divBdr>
        <w:top w:val="none" w:sz="0" w:space="0" w:color="auto"/>
        <w:left w:val="none" w:sz="0" w:space="0" w:color="auto"/>
        <w:bottom w:val="none" w:sz="0" w:space="0" w:color="auto"/>
        <w:right w:val="none" w:sz="0" w:space="0" w:color="auto"/>
      </w:divBdr>
    </w:div>
    <w:div w:id="1952471585">
      <w:bodyDiv w:val="1"/>
      <w:marLeft w:val="0"/>
      <w:marRight w:val="0"/>
      <w:marTop w:val="0"/>
      <w:marBottom w:val="0"/>
      <w:divBdr>
        <w:top w:val="none" w:sz="0" w:space="0" w:color="auto"/>
        <w:left w:val="none" w:sz="0" w:space="0" w:color="auto"/>
        <w:bottom w:val="none" w:sz="0" w:space="0" w:color="auto"/>
        <w:right w:val="none" w:sz="0" w:space="0" w:color="auto"/>
      </w:divBdr>
    </w:div>
    <w:div w:id="2025356446">
      <w:bodyDiv w:val="1"/>
      <w:marLeft w:val="0"/>
      <w:marRight w:val="0"/>
      <w:marTop w:val="0"/>
      <w:marBottom w:val="0"/>
      <w:divBdr>
        <w:top w:val="none" w:sz="0" w:space="0" w:color="auto"/>
        <w:left w:val="none" w:sz="0" w:space="0" w:color="auto"/>
        <w:bottom w:val="none" w:sz="0" w:space="0" w:color="auto"/>
        <w:right w:val="none" w:sz="0" w:space="0" w:color="auto"/>
      </w:divBdr>
    </w:div>
    <w:div w:id="2058239106">
      <w:bodyDiv w:val="1"/>
      <w:marLeft w:val="0"/>
      <w:marRight w:val="0"/>
      <w:marTop w:val="0"/>
      <w:marBottom w:val="0"/>
      <w:divBdr>
        <w:top w:val="none" w:sz="0" w:space="0" w:color="auto"/>
        <w:left w:val="none" w:sz="0" w:space="0" w:color="auto"/>
        <w:bottom w:val="none" w:sz="0" w:space="0" w:color="auto"/>
        <w:right w:val="none" w:sz="0" w:space="0" w:color="auto"/>
      </w:divBdr>
    </w:div>
    <w:div w:id="21433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2.png"/><Relationship Id="rId26" Type="http://schemas.openxmlformats.org/officeDocument/2006/relationships/hyperlink" Target="https://dq.cde.ca.gov/dataquest/" TargetMode="Externa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hyperlink" Target="https://www.cde.ca.gov/sp/me/mt/statesrvcdelivrypln.asp" TargetMode="External"/><Relationship Id="rId33" Type="http://schemas.openxmlformats.org/officeDocument/2006/relationships/hyperlink" Target="https://www.cde.ca.gov/sp/me/mt/"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3.xml"/><Relationship Id="rId29" Type="http://schemas.openxmlformats.org/officeDocument/2006/relationships/hyperlink" Target="https://www.cde.ca.gov/be/st/ss/documents/finalelaccssstandard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https://www.cde.ca.gov/sp/ml/multilingualedu.asp" TargetMode="Externa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s://www.cde.ca.gov/sp/me/mt/mepsubgrantees.asp" TargetMode="External"/><Relationship Id="rId28" Type="http://schemas.openxmlformats.org/officeDocument/2006/relationships/hyperlink" Target="http://www.cde.ca.gov/ls/he/at/chks.asp"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yperlink" Target="https://www.cde.ca.gov/sp/cd/re/psfoundations.as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image" Target="media/image4.jpeg"/><Relationship Id="rId27" Type="http://schemas.openxmlformats.org/officeDocument/2006/relationships/hyperlink" Target="https://www.cde.ca.gov/sp/cd/re/psfoundations.asp" TargetMode="External"/><Relationship Id="rId30" Type="http://schemas.openxmlformats.org/officeDocument/2006/relationships/hyperlink" Target="https://www.nextgenscience.org/search-standards"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ls/ai/sb/" TargetMode="External"/><Relationship Id="rId2" Type="http://schemas.openxmlformats.org/officeDocument/2006/relationships/hyperlink" Target="https://www.ed-data.org/article/About-California's-Longitudinal-Pupil-Achievement-Data-System-(CALPADS)" TargetMode="External"/><Relationship Id="rId1" Type="http://schemas.openxmlformats.org/officeDocument/2006/relationships/hyperlink" Target="https://www.cdfa.ca.gov/statistic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F57BAB-E9A8-40AE-9C16-412566DF8004}" type="doc">
      <dgm:prSet loTypeId="urn:microsoft.com/office/officeart/2005/8/layout/hierarchy2" loCatId="hierarchy" qsTypeId="urn:microsoft.com/office/officeart/2005/8/quickstyle/3d2" qsCatId="3D" csTypeId="urn:microsoft.com/office/officeart/2005/8/colors/accent1_2" csCatId="accent1" phldr="1"/>
      <dgm:spPr/>
      <dgm:t>
        <a:bodyPr/>
        <a:lstStyle/>
        <a:p>
          <a:endParaRPr lang="en-US"/>
        </a:p>
      </dgm:t>
    </dgm:pt>
    <dgm:pt modelId="{CC8DCDAA-5F05-4AE8-9D2D-5B4F7744A03F}">
      <dgm:prSet phldrT="[Text]" custT="1"/>
      <dgm:spPr>
        <a:solidFill>
          <a:schemeClr val="accent1">
            <a:lumMod val="50000"/>
          </a:schemeClr>
        </a:solidFill>
      </dgm:spPr>
      <dgm:t>
        <a:bodyPr/>
        <a:lstStyle/>
        <a:p>
          <a:r>
            <a:rPr lang="en-US" sz="1200">
              <a:latin typeface="Arial" panose="020B0604020202020204" pitchFamily="34" charset="0"/>
              <a:cs typeface="Arial" panose="020B0604020202020204" pitchFamily="34" charset="0"/>
            </a:rPr>
            <a:t>California Department of Education</a:t>
          </a:r>
        </a:p>
      </dgm:t>
    </dgm:pt>
    <dgm:pt modelId="{00760B13-65D1-4CEA-84FB-B8587BF3016F}" type="parTrans" cxnId="{CC23D470-4D93-4D54-A669-E8BA6A7167AD}">
      <dgm:prSet/>
      <dgm:spPr/>
      <dgm:t>
        <a:bodyPr/>
        <a:lstStyle/>
        <a:p>
          <a:endParaRPr lang="en-US"/>
        </a:p>
      </dgm:t>
    </dgm:pt>
    <dgm:pt modelId="{00133056-5BD8-4B19-A2E8-D0AC06F39D0E}" type="sibTrans" cxnId="{CC23D470-4D93-4D54-A669-E8BA6A7167AD}">
      <dgm:prSet/>
      <dgm:spPr/>
      <dgm:t>
        <a:bodyPr/>
        <a:lstStyle/>
        <a:p>
          <a:endParaRPr lang="en-US"/>
        </a:p>
      </dgm:t>
    </dgm:pt>
    <dgm:pt modelId="{7C9ADE91-3222-4777-B249-B60F121B4B0B}">
      <dgm:prSet phldrT="[Text]" custT="1"/>
      <dgm:spPr>
        <a:solidFill>
          <a:schemeClr val="accent2">
            <a:lumMod val="50000"/>
          </a:schemeClr>
        </a:solidFill>
      </dgm:spPr>
      <dgm:t>
        <a:bodyPr/>
        <a:lstStyle/>
        <a:p>
          <a:r>
            <a:rPr lang="en-US" sz="1200">
              <a:latin typeface="Arial" panose="020B0604020202020204" pitchFamily="34" charset="0"/>
              <a:cs typeface="Arial" panose="020B0604020202020204" pitchFamily="34" charset="0"/>
            </a:rPr>
            <a:t>15 Regional </a:t>
          </a:r>
          <a:r>
            <a:rPr lang="en-US" sz="1200">
              <a:solidFill>
                <a:schemeClr val="bg1"/>
              </a:solidFill>
              <a:latin typeface="Arial" panose="020B0604020202020204" pitchFamily="34" charset="0"/>
              <a:cs typeface="Arial" panose="020B0604020202020204" pitchFamily="34" charset="0"/>
            </a:rPr>
            <a:t>Subgrantees</a:t>
          </a:r>
        </a:p>
      </dgm:t>
    </dgm:pt>
    <dgm:pt modelId="{F28DF593-61C0-45D5-A8A7-C1B201277193}" type="parTrans" cxnId="{0F22B4DC-C69D-44E6-8CDA-381496FD337C}">
      <dgm:prSet/>
      <dgm:spPr/>
      <dgm:t>
        <a:bodyPr/>
        <a:lstStyle/>
        <a:p>
          <a:endParaRPr lang="en-US"/>
        </a:p>
      </dgm:t>
    </dgm:pt>
    <dgm:pt modelId="{7BD90A6C-37F3-438E-8C86-3BB8E539AEBF}" type="sibTrans" cxnId="{0F22B4DC-C69D-44E6-8CDA-381496FD337C}">
      <dgm:prSet/>
      <dgm:spPr/>
      <dgm:t>
        <a:bodyPr/>
        <a:lstStyle/>
        <a:p>
          <a:endParaRPr lang="en-US"/>
        </a:p>
      </dgm:t>
    </dgm:pt>
    <dgm:pt modelId="{48331ECA-D10F-426E-B8A7-85D1656B9C8D}">
      <dgm:prSet phldrT="[Text]" custT="1"/>
      <dgm:spPr>
        <a:solidFill>
          <a:schemeClr val="accent6">
            <a:lumMod val="50000"/>
          </a:schemeClr>
        </a:solidFill>
      </dgm:spPr>
      <dgm:t>
        <a:bodyPr/>
        <a:lstStyle/>
        <a:p>
          <a:r>
            <a:rPr lang="en-US" sz="1200">
              <a:latin typeface="Arial" panose="020B0604020202020204" pitchFamily="34" charset="0"/>
              <a:cs typeface="Arial" panose="020B0604020202020204" pitchFamily="34" charset="0"/>
            </a:rPr>
            <a:t>101 </a:t>
          </a:r>
        </a:p>
        <a:p>
          <a:r>
            <a:rPr lang="en-US" sz="1200">
              <a:latin typeface="Arial" panose="020B0604020202020204" pitchFamily="34" charset="0"/>
              <a:cs typeface="Arial" panose="020B0604020202020204" pitchFamily="34" charset="0"/>
            </a:rPr>
            <a:t>School Districts</a:t>
          </a:r>
        </a:p>
      </dgm:t>
    </dgm:pt>
    <dgm:pt modelId="{873194DE-F027-42F4-AF0B-C227A9B5A6E6}" type="parTrans" cxnId="{ECACE1E3-3A4E-46AE-BCBC-4E5E02CFBC94}">
      <dgm:prSet/>
      <dgm:spPr/>
      <dgm:t>
        <a:bodyPr/>
        <a:lstStyle/>
        <a:p>
          <a:endParaRPr lang="en-US"/>
        </a:p>
      </dgm:t>
    </dgm:pt>
    <dgm:pt modelId="{1BB31396-47CD-4932-B34C-23FC1EE38346}" type="sibTrans" cxnId="{ECACE1E3-3A4E-46AE-BCBC-4E5E02CFBC94}">
      <dgm:prSet/>
      <dgm:spPr/>
      <dgm:t>
        <a:bodyPr/>
        <a:lstStyle/>
        <a:p>
          <a:endParaRPr lang="en-US"/>
        </a:p>
      </dgm:t>
    </dgm:pt>
    <dgm:pt modelId="{5138ABB7-9BB9-4A20-BCD5-7CA179B4390D}">
      <dgm:prSet phldrT="[Text]" custT="1"/>
      <dgm:spPr>
        <a:solidFill>
          <a:schemeClr val="accent2">
            <a:lumMod val="50000"/>
          </a:schemeClr>
        </a:solidFill>
      </dgm:spPr>
      <dgm:t>
        <a:bodyPr/>
        <a:lstStyle/>
        <a:p>
          <a:r>
            <a:rPr lang="en-US" sz="1200">
              <a:latin typeface="Arial" panose="020B0604020202020204" pitchFamily="34" charset="0"/>
              <a:cs typeface="Arial" panose="020B0604020202020204" pitchFamily="34" charset="0"/>
            </a:rPr>
            <a:t>5 Direct-funded Districts</a:t>
          </a:r>
        </a:p>
      </dgm:t>
    </dgm:pt>
    <dgm:pt modelId="{6E68AA3E-60E8-4D82-B0BC-7297391A2D1D}" type="parTrans" cxnId="{DF188E7B-95DB-4D4C-B337-C58F8840DFAC}">
      <dgm:prSet/>
      <dgm:spPr/>
      <dgm:t>
        <a:bodyPr/>
        <a:lstStyle/>
        <a:p>
          <a:endParaRPr lang="en-US"/>
        </a:p>
      </dgm:t>
    </dgm:pt>
    <dgm:pt modelId="{99474DD3-DF14-445B-83EF-8E25D8890FE4}" type="sibTrans" cxnId="{DF188E7B-95DB-4D4C-B337-C58F8840DFAC}">
      <dgm:prSet/>
      <dgm:spPr/>
      <dgm:t>
        <a:bodyPr/>
        <a:lstStyle/>
        <a:p>
          <a:endParaRPr lang="en-US"/>
        </a:p>
      </dgm:t>
    </dgm:pt>
    <dgm:pt modelId="{4B8B16EC-8BE5-4F8A-AA67-3B09E03E588C}" type="pres">
      <dgm:prSet presAssocID="{77F57BAB-E9A8-40AE-9C16-412566DF8004}" presName="diagram" presStyleCnt="0">
        <dgm:presLayoutVars>
          <dgm:chPref val="1"/>
          <dgm:dir/>
          <dgm:animOne val="branch"/>
          <dgm:animLvl val="lvl"/>
          <dgm:resizeHandles val="exact"/>
        </dgm:presLayoutVars>
      </dgm:prSet>
      <dgm:spPr/>
    </dgm:pt>
    <dgm:pt modelId="{8849C000-098A-4342-BEF5-5EE8581B0BD4}" type="pres">
      <dgm:prSet presAssocID="{CC8DCDAA-5F05-4AE8-9D2D-5B4F7744A03F}" presName="root1" presStyleCnt="0"/>
      <dgm:spPr/>
    </dgm:pt>
    <dgm:pt modelId="{BED51962-1CD9-4570-8D28-64E74CC34485}" type="pres">
      <dgm:prSet presAssocID="{CC8DCDAA-5F05-4AE8-9D2D-5B4F7744A03F}" presName="LevelOneTextNode" presStyleLbl="node0" presStyleIdx="0" presStyleCnt="1" custScaleX="86872" custScaleY="86872" custLinFactNeighborX="6265" custLinFactNeighborY="-1566">
        <dgm:presLayoutVars>
          <dgm:chPref val="3"/>
        </dgm:presLayoutVars>
      </dgm:prSet>
      <dgm:spPr/>
    </dgm:pt>
    <dgm:pt modelId="{FBA71289-888E-4D18-ABDE-F31A20534C92}" type="pres">
      <dgm:prSet presAssocID="{CC8DCDAA-5F05-4AE8-9D2D-5B4F7744A03F}" presName="level2hierChild" presStyleCnt="0"/>
      <dgm:spPr/>
    </dgm:pt>
    <dgm:pt modelId="{3E4C14CD-A39A-447E-8B59-47D0AB015FDF}" type="pres">
      <dgm:prSet presAssocID="{F28DF593-61C0-45D5-A8A7-C1B201277193}" presName="conn2-1" presStyleLbl="parChTrans1D2" presStyleIdx="0" presStyleCnt="2"/>
      <dgm:spPr/>
    </dgm:pt>
    <dgm:pt modelId="{ECB4F145-1246-4DB4-B2D2-A6BD7E9D119D}" type="pres">
      <dgm:prSet presAssocID="{F28DF593-61C0-45D5-A8A7-C1B201277193}" presName="connTx" presStyleLbl="parChTrans1D2" presStyleIdx="0" presStyleCnt="2"/>
      <dgm:spPr/>
    </dgm:pt>
    <dgm:pt modelId="{B5FE17D0-4884-4CFA-BD21-BCBF23C16CDB}" type="pres">
      <dgm:prSet presAssocID="{7C9ADE91-3222-4777-B249-B60F121B4B0B}" presName="root2" presStyleCnt="0"/>
      <dgm:spPr/>
    </dgm:pt>
    <dgm:pt modelId="{2ED6B99D-F5AF-4E09-9A79-5196CAE77010}" type="pres">
      <dgm:prSet presAssocID="{7C9ADE91-3222-4777-B249-B60F121B4B0B}" presName="LevelTwoTextNode" presStyleLbl="node2" presStyleIdx="0" presStyleCnt="2" custScaleX="88276" custScaleY="85030">
        <dgm:presLayoutVars>
          <dgm:chPref val="3"/>
        </dgm:presLayoutVars>
      </dgm:prSet>
      <dgm:spPr/>
    </dgm:pt>
    <dgm:pt modelId="{6FF2C3B7-7E03-4ACE-BFE6-99BD861D3914}" type="pres">
      <dgm:prSet presAssocID="{7C9ADE91-3222-4777-B249-B60F121B4B0B}" presName="level3hierChild" presStyleCnt="0"/>
      <dgm:spPr/>
    </dgm:pt>
    <dgm:pt modelId="{024CD4F0-C1B7-4669-A2EE-CAC8EEBD6729}" type="pres">
      <dgm:prSet presAssocID="{873194DE-F027-42F4-AF0B-C227A9B5A6E6}" presName="conn2-1" presStyleLbl="parChTrans1D3" presStyleIdx="0" presStyleCnt="1"/>
      <dgm:spPr/>
    </dgm:pt>
    <dgm:pt modelId="{08910183-18EF-415E-9488-3F6A52A77C66}" type="pres">
      <dgm:prSet presAssocID="{873194DE-F027-42F4-AF0B-C227A9B5A6E6}" presName="connTx" presStyleLbl="parChTrans1D3" presStyleIdx="0" presStyleCnt="1"/>
      <dgm:spPr/>
    </dgm:pt>
    <dgm:pt modelId="{A828AB5B-67FA-442A-AD20-DB72BF751048}" type="pres">
      <dgm:prSet presAssocID="{48331ECA-D10F-426E-B8A7-85D1656B9C8D}" presName="root2" presStyleCnt="0"/>
      <dgm:spPr/>
    </dgm:pt>
    <dgm:pt modelId="{EADADDB1-76C2-450F-8D9B-52185D6E986A}" type="pres">
      <dgm:prSet presAssocID="{48331ECA-D10F-426E-B8A7-85D1656B9C8D}" presName="LevelTwoTextNode" presStyleLbl="node3" presStyleIdx="0" presStyleCnt="1" custScaleX="84581" custScaleY="82391" custLinFactNeighborX="-8223" custLinFactNeighborY="783">
        <dgm:presLayoutVars>
          <dgm:chPref val="3"/>
        </dgm:presLayoutVars>
      </dgm:prSet>
      <dgm:spPr/>
    </dgm:pt>
    <dgm:pt modelId="{4716132B-8332-438B-8490-AC87A99D8A8A}" type="pres">
      <dgm:prSet presAssocID="{48331ECA-D10F-426E-B8A7-85D1656B9C8D}" presName="level3hierChild" presStyleCnt="0"/>
      <dgm:spPr/>
    </dgm:pt>
    <dgm:pt modelId="{F2FEBD6B-144F-45B6-9E97-C043F34882A0}" type="pres">
      <dgm:prSet presAssocID="{6E68AA3E-60E8-4D82-B0BC-7297391A2D1D}" presName="conn2-1" presStyleLbl="parChTrans1D2" presStyleIdx="1" presStyleCnt="2"/>
      <dgm:spPr/>
    </dgm:pt>
    <dgm:pt modelId="{D1737ABF-1F45-4AC9-9DEC-12C3CDDCF920}" type="pres">
      <dgm:prSet presAssocID="{6E68AA3E-60E8-4D82-B0BC-7297391A2D1D}" presName="connTx" presStyleLbl="parChTrans1D2" presStyleIdx="1" presStyleCnt="2"/>
      <dgm:spPr/>
    </dgm:pt>
    <dgm:pt modelId="{A39CD863-069F-4881-9CDD-0E3530CBE72F}" type="pres">
      <dgm:prSet presAssocID="{5138ABB7-9BB9-4A20-BCD5-7CA179B4390D}" presName="root2" presStyleCnt="0"/>
      <dgm:spPr/>
    </dgm:pt>
    <dgm:pt modelId="{1BD36005-C459-4E85-8010-4274C90F871F}" type="pres">
      <dgm:prSet presAssocID="{5138ABB7-9BB9-4A20-BCD5-7CA179B4390D}" presName="LevelTwoTextNode" presStyleLbl="node2" presStyleIdx="1" presStyleCnt="2" custScaleX="88276" custScaleY="82391">
        <dgm:presLayoutVars>
          <dgm:chPref val="3"/>
        </dgm:presLayoutVars>
      </dgm:prSet>
      <dgm:spPr/>
    </dgm:pt>
    <dgm:pt modelId="{3B4B2688-0F8C-446A-BEC2-3C3E0601F200}" type="pres">
      <dgm:prSet presAssocID="{5138ABB7-9BB9-4A20-BCD5-7CA179B4390D}" presName="level3hierChild" presStyleCnt="0"/>
      <dgm:spPr/>
    </dgm:pt>
  </dgm:ptLst>
  <dgm:cxnLst>
    <dgm:cxn modelId="{AD575805-67BA-4533-8E47-C182FE060C08}" type="presOf" srcId="{77F57BAB-E9A8-40AE-9C16-412566DF8004}" destId="{4B8B16EC-8BE5-4F8A-AA67-3B09E03E588C}" srcOrd="0" destOrd="0" presId="urn:microsoft.com/office/officeart/2005/8/layout/hierarchy2"/>
    <dgm:cxn modelId="{14F8650E-F111-4034-A270-185C69A02CAC}" type="presOf" srcId="{6E68AA3E-60E8-4D82-B0BC-7297391A2D1D}" destId="{F2FEBD6B-144F-45B6-9E97-C043F34882A0}" srcOrd="0" destOrd="0" presId="urn:microsoft.com/office/officeart/2005/8/layout/hierarchy2"/>
    <dgm:cxn modelId="{A27AF53A-55E4-4A3A-B622-54518929F94E}" type="presOf" srcId="{F28DF593-61C0-45D5-A8A7-C1B201277193}" destId="{3E4C14CD-A39A-447E-8B59-47D0AB015FDF}" srcOrd="0" destOrd="0" presId="urn:microsoft.com/office/officeart/2005/8/layout/hierarchy2"/>
    <dgm:cxn modelId="{35D77842-C96C-493B-8A5D-581961B44F49}" type="presOf" srcId="{7C9ADE91-3222-4777-B249-B60F121B4B0B}" destId="{2ED6B99D-F5AF-4E09-9A79-5196CAE77010}" srcOrd="0" destOrd="0" presId="urn:microsoft.com/office/officeart/2005/8/layout/hierarchy2"/>
    <dgm:cxn modelId="{48EBE24A-594F-4B62-A23A-FC401B62E5A4}" type="presOf" srcId="{6E68AA3E-60E8-4D82-B0BC-7297391A2D1D}" destId="{D1737ABF-1F45-4AC9-9DEC-12C3CDDCF920}" srcOrd="1" destOrd="0" presId="urn:microsoft.com/office/officeart/2005/8/layout/hierarchy2"/>
    <dgm:cxn modelId="{CC23D470-4D93-4D54-A669-E8BA6A7167AD}" srcId="{77F57BAB-E9A8-40AE-9C16-412566DF8004}" destId="{CC8DCDAA-5F05-4AE8-9D2D-5B4F7744A03F}" srcOrd="0" destOrd="0" parTransId="{00760B13-65D1-4CEA-84FB-B8587BF3016F}" sibTransId="{00133056-5BD8-4B19-A2E8-D0AC06F39D0E}"/>
    <dgm:cxn modelId="{27D99255-16A5-407D-8B4C-4B25E98F7C00}" type="presOf" srcId="{5138ABB7-9BB9-4A20-BCD5-7CA179B4390D}" destId="{1BD36005-C459-4E85-8010-4274C90F871F}" srcOrd="0" destOrd="0" presId="urn:microsoft.com/office/officeart/2005/8/layout/hierarchy2"/>
    <dgm:cxn modelId="{DF188E7B-95DB-4D4C-B337-C58F8840DFAC}" srcId="{CC8DCDAA-5F05-4AE8-9D2D-5B4F7744A03F}" destId="{5138ABB7-9BB9-4A20-BCD5-7CA179B4390D}" srcOrd="1" destOrd="0" parTransId="{6E68AA3E-60E8-4D82-B0BC-7297391A2D1D}" sibTransId="{99474DD3-DF14-445B-83EF-8E25D8890FE4}"/>
    <dgm:cxn modelId="{7A21278C-DD54-47EF-AB6E-20056ECB87EA}" type="presOf" srcId="{F28DF593-61C0-45D5-A8A7-C1B201277193}" destId="{ECB4F145-1246-4DB4-B2D2-A6BD7E9D119D}" srcOrd="1" destOrd="0" presId="urn:microsoft.com/office/officeart/2005/8/layout/hierarchy2"/>
    <dgm:cxn modelId="{7A4C71C9-5578-4E71-ADC5-E571F78A1BC8}" type="presOf" srcId="{873194DE-F027-42F4-AF0B-C227A9B5A6E6}" destId="{08910183-18EF-415E-9488-3F6A52A77C66}" srcOrd="1" destOrd="0" presId="urn:microsoft.com/office/officeart/2005/8/layout/hierarchy2"/>
    <dgm:cxn modelId="{14E5ABCF-74C6-44A6-AD1A-C680004C9F2A}" type="presOf" srcId="{CC8DCDAA-5F05-4AE8-9D2D-5B4F7744A03F}" destId="{BED51962-1CD9-4570-8D28-64E74CC34485}" srcOrd="0" destOrd="0" presId="urn:microsoft.com/office/officeart/2005/8/layout/hierarchy2"/>
    <dgm:cxn modelId="{0F22B4DC-C69D-44E6-8CDA-381496FD337C}" srcId="{CC8DCDAA-5F05-4AE8-9D2D-5B4F7744A03F}" destId="{7C9ADE91-3222-4777-B249-B60F121B4B0B}" srcOrd="0" destOrd="0" parTransId="{F28DF593-61C0-45D5-A8A7-C1B201277193}" sibTransId="{7BD90A6C-37F3-438E-8C86-3BB8E539AEBF}"/>
    <dgm:cxn modelId="{ECACE1E3-3A4E-46AE-BCBC-4E5E02CFBC94}" srcId="{7C9ADE91-3222-4777-B249-B60F121B4B0B}" destId="{48331ECA-D10F-426E-B8A7-85D1656B9C8D}" srcOrd="0" destOrd="0" parTransId="{873194DE-F027-42F4-AF0B-C227A9B5A6E6}" sibTransId="{1BB31396-47CD-4932-B34C-23FC1EE38346}"/>
    <dgm:cxn modelId="{0C1703F3-69B4-413D-9F19-B80F13A0F522}" type="presOf" srcId="{873194DE-F027-42F4-AF0B-C227A9B5A6E6}" destId="{024CD4F0-C1B7-4669-A2EE-CAC8EEBD6729}" srcOrd="0" destOrd="0" presId="urn:microsoft.com/office/officeart/2005/8/layout/hierarchy2"/>
    <dgm:cxn modelId="{893DF6FE-92E7-4ED9-95AD-EE2C23BC63CF}" type="presOf" srcId="{48331ECA-D10F-426E-B8A7-85D1656B9C8D}" destId="{EADADDB1-76C2-450F-8D9B-52185D6E986A}" srcOrd="0" destOrd="0" presId="urn:microsoft.com/office/officeart/2005/8/layout/hierarchy2"/>
    <dgm:cxn modelId="{436390C0-42D8-4CBC-AD5E-91FA0C99281B}" type="presParOf" srcId="{4B8B16EC-8BE5-4F8A-AA67-3B09E03E588C}" destId="{8849C000-098A-4342-BEF5-5EE8581B0BD4}" srcOrd="0" destOrd="0" presId="urn:microsoft.com/office/officeart/2005/8/layout/hierarchy2"/>
    <dgm:cxn modelId="{AD413F73-7CB3-4767-AB19-883DE910CB03}" type="presParOf" srcId="{8849C000-098A-4342-BEF5-5EE8581B0BD4}" destId="{BED51962-1CD9-4570-8D28-64E74CC34485}" srcOrd="0" destOrd="0" presId="urn:microsoft.com/office/officeart/2005/8/layout/hierarchy2"/>
    <dgm:cxn modelId="{5C746D56-47FD-4116-819F-BC072FF9C730}" type="presParOf" srcId="{8849C000-098A-4342-BEF5-5EE8581B0BD4}" destId="{FBA71289-888E-4D18-ABDE-F31A20534C92}" srcOrd="1" destOrd="0" presId="urn:microsoft.com/office/officeart/2005/8/layout/hierarchy2"/>
    <dgm:cxn modelId="{DC088F33-78DD-478C-8D9D-28DD9682F1AA}" type="presParOf" srcId="{FBA71289-888E-4D18-ABDE-F31A20534C92}" destId="{3E4C14CD-A39A-447E-8B59-47D0AB015FDF}" srcOrd="0" destOrd="0" presId="urn:microsoft.com/office/officeart/2005/8/layout/hierarchy2"/>
    <dgm:cxn modelId="{57B1C028-87E5-4D34-97C0-9775DA1766BD}" type="presParOf" srcId="{3E4C14CD-A39A-447E-8B59-47D0AB015FDF}" destId="{ECB4F145-1246-4DB4-B2D2-A6BD7E9D119D}" srcOrd="0" destOrd="0" presId="urn:microsoft.com/office/officeart/2005/8/layout/hierarchy2"/>
    <dgm:cxn modelId="{5A8DE934-8420-4186-A9B5-DFBA2221F240}" type="presParOf" srcId="{FBA71289-888E-4D18-ABDE-F31A20534C92}" destId="{B5FE17D0-4884-4CFA-BD21-BCBF23C16CDB}" srcOrd="1" destOrd="0" presId="urn:microsoft.com/office/officeart/2005/8/layout/hierarchy2"/>
    <dgm:cxn modelId="{AF4DA113-9530-4BC2-901E-F967A6F21754}" type="presParOf" srcId="{B5FE17D0-4884-4CFA-BD21-BCBF23C16CDB}" destId="{2ED6B99D-F5AF-4E09-9A79-5196CAE77010}" srcOrd="0" destOrd="0" presId="urn:microsoft.com/office/officeart/2005/8/layout/hierarchy2"/>
    <dgm:cxn modelId="{C2ADC2EC-ECC1-40F7-9A27-CC99071D8C39}" type="presParOf" srcId="{B5FE17D0-4884-4CFA-BD21-BCBF23C16CDB}" destId="{6FF2C3B7-7E03-4ACE-BFE6-99BD861D3914}" srcOrd="1" destOrd="0" presId="urn:microsoft.com/office/officeart/2005/8/layout/hierarchy2"/>
    <dgm:cxn modelId="{8C907819-28F4-4077-B487-88313006E32D}" type="presParOf" srcId="{6FF2C3B7-7E03-4ACE-BFE6-99BD861D3914}" destId="{024CD4F0-C1B7-4669-A2EE-CAC8EEBD6729}" srcOrd="0" destOrd="0" presId="urn:microsoft.com/office/officeart/2005/8/layout/hierarchy2"/>
    <dgm:cxn modelId="{38A7D841-82DC-4E11-BD7F-6ADB7406EAFE}" type="presParOf" srcId="{024CD4F0-C1B7-4669-A2EE-CAC8EEBD6729}" destId="{08910183-18EF-415E-9488-3F6A52A77C66}" srcOrd="0" destOrd="0" presId="urn:microsoft.com/office/officeart/2005/8/layout/hierarchy2"/>
    <dgm:cxn modelId="{D6BDDC63-AD3C-47A1-8353-5213C35AF305}" type="presParOf" srcId="{6FF2C3B7-7E03-4ACE-BFE6-99BD861D3914}" destId="{A828AB5B-67FA-442A-AD20-DB72BF751048}" srcOrd="1" destOrd="0" presId="urn:microsoft.com/office/officeart/2005/8/layout/hierarchy2"/>
    <dgm:cxn modelId="{271C178A-CA76-4263-BC92-952B6EB95300}" type="presParOf" srcId="{A828AB5B-67FA-442A-AD20-DB72BF751048}" destId="{EADADDB1-76C2-450F-8D9B-52185D6E986A}" srcOrd="0" destOrd="0" presId="urn:microsoft.com/office/officeart/2005/8/layout/hierarchy2"/>
    <dgm:cxn modelId="{101A38DF-6EDD-417E-ACDB-C47CCBCBD4CE}" type="presParOf" srcId="{A828AB5B-67FA-442A-AD20-DB72BF751048}" destId="{4716132B-8332-438B-8490-AC87A99D8A8A}" srcOrd="1" destOrd="0" presId="urn:microsoft.com/office/officeart/2005/8/layout/hierarchy2"/>
    <dgm:cxn modelId="{FAA45777-15EF-435C-9CD9-DDAD5C445924}" type="presParOf" srcId="{FBA71289-888E-4D18-ABDE-F31A20534C92}" destId="{F2FEBD6B-144F-45B6-9E97-C043F34882A0}" srcOrd="2" destOrd="0" presId="urn:microsoft.com/office/officeart/2005/8/layout/hierarchy2"/>
    <dgm:cxn modelId="{AD6A9773-4DAC-46FC-9F70-28ADC8D5287C}" type="presParOf" srcId="{F2FEBD6B-144F-45B6-9E97-C043F34882A0}" destId="{D1737ABF-1F45-4AC9-9DEC-12C3CDDCF920}" srcOrd="0" destOrd="0" presId="urn:microsoft.com/office/officeart/2005/8/layout/hierarchy2"/>
    <dgm:cxn modelId="{2EAEA121-889D-462D-AE6A-6E9827731649}" type="presParOf" srcId="{FBA71289-888E-4D18-ABDE-F31A20534C92}" destId="{A39CD863-069F-4881-9CDD-0E3530CBE72F}" srcOrd="3" destOrd="0" presId="urn:microsoft.com/office/officeart/2005/8/layout/hierarchy2"/>
    <dgm:cxn modelId="{3817C9FE-C383-48A2-895D-DF94C3256E7B}" type="presParOf" srcId="{A39CD863-069F-4881-9CDD-0E3530CBE72F}" destId="{1BD36005-C459-4E85-8010-4274C90F871F}" srcOrd="0" destOrd="0" presId="urn:microsoft.com/office/officeart/2005/8/layout/hierarchy2"/>
    <dgm:cxn modelId="{CC40CD74-17CA-4483-935F-0E5BCEFC4DC7}" type="presParOf" srcId="{A39CD863-069F-4881-9CDD-0E3530CBE72F}" destId="{3B4B2688-0F8C-446A-BEC2-3C3E0601F200}" srcOrd="1" destOrd="0" presId="urn:microsoft.com/office/officeart/2005/8/layout/hierarchy2"/>
  </dgm:cxnLst>
  <dgm:bg/>
  <dgm:whole>
    <a:ln w="19050">
      <a:solidFill>
        <a:srgbClr val="002060"/>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D51962-1CD9-4570-8D28-64E74CC34485}">
      <dsp:nvSpPr>
        <dsp:cNvPr id="0" name=""/>
        <dsp:cNvSpPr/>
      </dsp:nvSpPr>
      <dsp:spPr>
        <a:xfrm>
          <a:off x="107019" y="535451"/>
          <a:ext cx="1463045" cy="731522"/>
        </a:xfrm>
        <a:prstGeom prst="roundRect">
          <a:avLst>
            <a:gd name="adj" fmla="val 10000"/>
          </a:avLst>
        </a:prstGeom>
        <a:solidFill>
          <a:schemeClr val="accent1">
            <a:lumMod val="50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California Department of Education</a:t>
          </a:r>
        </a:p>
      </dsp:txBody>
      <dsp:txXfrm>
        <a:off x="128445" y="556877"/>
        <a:ext cx="1420193" cy="688670"/>
      </dsp:txXfrm>
    </dsp:sp>
    <dsp:sp modelId="{3E4C14CD-A39A-447E-8B59-47D0AB015FDF}">
      <dsp:nvSpPr>
        <dsp:cNvPr id="0" name=""/>
        <dsp:cNvSpPr/>
      </dsp:nvSpPr>
      <dsp:spPr>
        <a:xfrm rot="19503884">
          <a:off x="1507622" y="661341"/>
          <a:ext cx="693028" cy="82880"/>
        </a:xfrm>
        <a:custGeom>
          <a:avLst/>
          <a:gdLst/>
          <a:ahLst/>
          <a:cxnLst/>
          <a:rect l="0" t="0" r="0" b="0"/>
          <a:pathLst>
            <a:path>
              <a:moveTo>
                <a:pt x="0" y="41440"/>
              </a:moveTo>
              <a:lnTo>
                <a:pt x="693028" y="4144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36811" y="685455"/>
        <a:ext cx="34651" cy="34651"/>
      </dsp:txXfrm>
    </dsp:sp>
    <dsp:sp modelId="{2ED6B99D-F5AF-4E09-9A79-5196CAE77010}">
      <dsp:nvSpPr>
        <dsp:cNvPr id="0" name=""/>
        <dsp:cNvSpPr/>
      </dsp:nvSpPr>
      <dsp:spPr>
        <a:xfrm>
          <a:off x="2138209" y="146344"/>
          <a:ext cx="1486690" cy="716011"/>
        </a:xfrm>
        <a:prstGeom prst="roundRect">
          <a:avLst>
            <a:gd name="adj" fmla="val 10000"/>
          </a:avLst>
        </a:prstGeom>
        <a:solidFill>
          <a:schemeClr val="accent2">
            <a:lumMod val="50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15 Regional </a:t>
          </a:r>
          <a:r>
            <a:rPr lang="en-US" sz="1200" kern="1200">
              <a:solidFill>
                <a:schemeClr val="bg1"/>
              </a:solidFill>
              <a:latin typeface="Arial" panose="020B0604020202020204" pitchFamily="34" charset="0"/>
              <a:cs typeface="Arial" panose="020B0604020202020204" pitchFamily="34" charset="0"/>
            </a:rPr>
            <a:t>Subgrantees</a:t>
          </a:r>
        </a:p>
      </dsp:txBody>
      <dsp:txXfrm>
        <a:off x="2159180" y="167315"/>
        <a:ext cx="1444748" cy="674069"/>
      </dsp:txXfrm>
    </dsp:sp>
    <dsp:sp modelId="{024CD4F0-C1B7-4669-A2EE-CAC8EEBD6729}">
      <dsp:nvSpPr>
        <dsp:cNvPr id="0" name=""/>
        <dsp:cNvSpPr/>
      </dsp:nvSpPr>
      <dsp:spPr>
        <a:xfrm rot="42352">
          <a:off x="3624879" y="466206"/>
          <a:ext cx="535209" cy="82880"/>
        </a:xfrm>
        <a:custGeom>
          <a:avLst/>
          <a:gdLst/>
          <a:ahLst/>
          <a:cxnLst/>
          <a:rect l="0" t="0" r="0" b="0"/>
          <a:pathLst>
            <a:path>
              <a:moveTo>
                <a:pt x="0" y="41440"/>
              </a:moveTo>
              <a:lnTo>
                <a:pt x="535209" y="41440"/>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79103" y="494266"/>
        <a:ext cx="26760" cy="26760"/>
      </dsp:txXfrm>
    </dsp:sp>
    <dsp:sp modelId="{EADADDB1-76C2-450F-8D9B-52185D6E986A}">
      <dsp:nvSpPr>
        <dsp:cNvPr id="0" name=""/>
        <dsp:cNvSpPr/>
      </dsp:nvSpPr>
      <dsp:spPr>
        <a:xfrm>
          <a:off x="4160068" y="164048"/>
          <a:ext cx="1424461" cy="693789"/>
        </a:xfrm>
        <a:prstGeom prst="roundRect">
          <a:avLst>
            <a:gd name="adj" fmla="val 10000"/>
          </a:avLst>
        </a:prstGeom>
        <a:solidFill>
          <a:schemeClr val="accent6">
            <a:lumMod val="50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101 </a:t>
          </a:r>
        </a:p>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School Districts</a:t>
          </a:r>
        </a:p>
      </dsp:txBody>
      <dsp:txXfrm>
        <a:off x="4180388" y="184368"/>
        <a:ext cx="1383821" cy="653149"/>
      </dsp:txXfrm>
    </dsp:sp>
    <dsp:sp modelId="{F2FEBD6B-144F-45B6-9E97-C043F34882A0}">
      <dsp:nvSpPr>
        <dsp:cNvPr id="0" name=""/>
        <dsp:cNvSpPr/>
      </dsp:nvSpPr>
      <dsp:spPr>
        <a:xfrm rot="2243881">
          <a:off x="1496559" y="1076946"/>
          <a:ext cx="715154" cy="82880"/>
        </a:xfrm>
        <a:custGeom>
          <a:avLst/>
          <a:gdLst/>
          <a:ahLst/>
          <a:cxnLst/>
          <a:rect l="0" t="0" r="0" b="0"/>
          <a:pathLst>
            <a:path>
              <a:moveTo>
                <a:pt x="0" y="41440"/>
              </a:moveTo>
              <a:lnTo>
                <a:pt x="715154" y="4144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36257" y="1100508"/>
        <a:ext cx="35757" cy="35757"/>
      </dsp:txXfrm>
    </dsp:sp>
    <dsp:sp modelId="{1BD36005-C459-4E85-8010-4274C90F871F}">
      <dsp:nvSpPr>
        <dsp:cNvPr id="0" name=""/>
        <dsp:cNvSpPr/>
      </dsp:nvSpPr>
      <dsp:spPr>
        <a:xfrm>
          <a:off x="2138209" y="988666"/>
          <a:ext cx="1486690" cy="693789"/>
        </a:xfrm>
        <a:prstGeom prst="roundRect">
          <a:avLst>
            <a:gd name="adj" fmla="val 10000"/>
          </a:avLst>
        </a:prstGeom>
        <a:solidFill>
          <a:schemeClr val="accent2">
            <a:lumMod val="50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5 Direct-funded Districts</a:t>
          </a:r>
        </a:p>
      </dsp:txBody>
      <dsp:txXfrm>
        <a:off x="2158529" y="1008986"/>
        <a:ext cx="1446050" cy="6531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8E013C-871A-490D-837C-A311C5FF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33299</Words>
  <Characters>189477</Characters>
  <Application>Microsoft Office Word</Application>
  <DocSecurity>0</DocSecurity>
  <Lines>4858</Lines>
  <Paragraphs>1768</Paragraphs>
  <ScaleCrop>false</ScaleCrop>
  <HeadingPairs>
    <vt:vector size="2" baseType="variant">
      <vt:variant>
        <vt:lpstr>Title</vt:lpstr>
      </vt:variant>
      <vt:variant>
        <vt:i4>1</vt:i4>
      </vt:variant>
    </vt:vector>
  </HeadingPairs>
  <TitlesOfParts>
    <vt:vector size="1" baseType="lpstr">
      <vt:lpstr>State Service Delivery Plan - Migrant (CA Dept of Education)</vt:lpstr>
    </vt:vector>
  </TitlesOfParts>
  <Company/>
  <LinksUpToDate>false</LinksUpToDate>
  <CharactersWithSpaces>221008</CharactersWithSpaces>
  <SharedDoc>false</SharedDoc>
  <HLinks>
    <vt:vector size="552" baseType="variant">
      <vt:variant>
        <vt:i4>6357088</vt:i4>
      </vt:variant>
      <vt:variant>
        <vt:i4>588</vt:i4>
      </vt:variant>
      <vt:variant>
        <vt:i4>0</vt:i4>
      </vt:variant>
      <vt:variant>
        <vt:i4>5</vt:i4>
      </vt:variant>
      <vt:variant>
        <vt:lpwstr>https://www.cde.ca.gov/re/es/plandrafts.asp</vt:lpwstr>
      </vt:variant>
      <vt:variant>
        <vt:lpwstr/>
      </vt:variant>
      <vt:variant>
        <vt:i4>6684719</vt:i4>
      </vt:variant>
      <vt:variant>
        <vt:i4>528</vt:i4>
      </vt:variant>
      <vt:variant>
        <vt:i4>0</vt:i4>
      </vt:variant>
      <vt:variant>
        <vt:i4>5</vt:i4>
      </vt:variant>
      <vt:variant>
        <vt:lpwstr>https://www.cde.ca.gov/sp/me/mt/mepsubgrantees.asp</vt:lpwstr>
      </vt:variant>
      <vt:variant>
        <vt:lpwstr/>
      </vt:variant>
      <vt:variant>
        <vt:i4>1966130</vt:i4>
      </vt:variant>
      <vt:variant>
        <vt:i4>500</vt:i4>
      </vt:variant>
      <vt:variant>
        <vt:i4>0</vt:i4>
      </vt:variant>
      <vt:variant>
        <vt:i4>5</vt:i4>
      </vt:variant>
      <vt:variant>
        <vt:lpwstr/>
      </vt:variant>
      <vt:variant>
        <vt:lpwstr>_Toc497900199</vt:lpwstr>
      </vt:variant>
      <vt:variant>
        <vt:i4>1966130</vt:i4>
      </vt:variant>
      <vt:variant>
        <vt:i4>494</vt:i4>
      </vt:variant>
      <vt:variant>
        <vt:i4>0</vt:i4>
      </vt:variant>
      <vt:variant>
        <vt:i4>5</vt:i4>
      </vt:variant>
      <vt:variant>
        <vt:lpwstr/>
      </vt:variant>
      <vt:variant>
        <vt:lpwstr>_Toc497900198</vt:lpwstr>
      </vt:variant>
      <vt:variant>
        <vt:i4>1966130</vt:i4>
      </vt:variant>
      <vt:variant>
        <vt:i4>488</vt:i4>
      </vt:variant>
      <vt:variant>
        <vt:i4>0</vt:i4>
      </vt:variant>
      <vt:variant>
        <vt:i4>5</vt:i4>
      </vt:variant>
      <vt:variant>
        <vt:lpwstr/>
      </vt:variant>
      <vt:variant>
        <vt:lpwstr>_Toc497900197</vt:lpwstr>
      </vt:variant>
      <vt:variant>
        <vt:i4>1966130</vt:i4>
      </vt:variant>
      <vt:variant>
        <vt:i4>482</vt:i4>
      </vt:variant>
      <vt:variant>
        <vt:i4>0</vt:i4>
      </vt:variant>
      <vt:variant>
        <vt:i4>5</vt:i4>
      </vt:variant>
      <vt:variant>
        <vt:lpwstr/>
      </vt:variant>
      <vt:variant>
        <vt:lpwstr>_Toc497900196</vt:lpwstr>
      </vt:variant>
      <vt:variant>
        <vt:i4>1966130</vt:i4>
      </vt:variant>
      <vt:variant>
        <vt:i4>476</vt:i4>
      </vt:variant>
      <vt:variant>
        <vt:i4>0</vt:i4>
      </vt:variant>
      <vt:variant>
        <vt:i4>5</vt:i4>
      </vt:variant>
      <vt:variant>
        <vt:lpwstr/>
      </vt:variant>
      <vt:variant>
        <vt:lpwstr>_Toc497900195</vt:lpwstr>
      </vt:variant>
      <vt:variant>
        <vt:i4>1966130</vt:i4>
      </vt:variant>
      <vt:variant>
        <vt:i4>470</vt:i4>
      </vt:variant>
      <vt:variant>
        <vt:i4>0</vt:i4>
      </vt:variant>
      <vt:variant>
        <vt:i4>5</vt:i4>
      </vt:variant>
      <vt:variant>
        <vt:lpwstr/>
      </vt:variant>
      <vt:variant>
        <vt:lpwstr>_Toc497900194</vt:lpwstr>
      </vt:variant>
      <vt:variant>
        <vt:i4>1966130</vt:i4>
      </vt:variant>
      <vt:variant>
        <vt:i4>464</vt:i4>
      </vt:variant>
      <vt:variant>
        <vt:i4>0</vt:i4>
      </vt:variant>
      <vt:variant>
        <vt:i4>5</vt:i4>
      </vt:variant>
      <vt:variant>
        <vt:lpwstr/>
      </vt:variant>
      <vt:variant>
        <vt:lpwstr>_Toc497900193</vt:lpwstr>
      </vt:variant>
      <vt:variant>
        <vt:i4>1966130</vt:i4>
      </vt:variant>
      <vt:variant>
        <vt:i4>458</vt:i4>
      </vt:variant>
      <vt:variant>
        <vt:i4>0</vt:i4>
      </vt:variant>
      <vt:variant>
        <vt:i4>5</vt:i4>
      </vt:variant>
      <vt:variant>
        <vt:lpwstr/>
      </vt:variant>
      <vt:variant>
        <vt:lpwstr>_Toc497900192</vt:lpwstr>
      </vt:variant>
      <vt:variant>
        <vt:i4>1966130</vt:i4>
      </vt:variant>
      <vt:variant>
        <vt:i4>452</vt:i4>
      </vt:variant>
      <vt:variant>
        <vt:i4>0</vt:i4>
      </vt:variant>
      <vt:variant>
        <vt:i4>5</vt:i4>
      </vt:variant>
      <vt:variant>
        <vt:lpwstr/>
      </vt:variant>
      <vt:variant>
        <vt:lpwstr>_Toc497900191</vt:lpwstr>
      </vt:variant>
      <vt:variant>
        <vt:i4>1966130</vt:i4>
      </vt:variant>
      <vt:variant>
        <vt:i4>446</vt:i4>
      </vt:variant>
      <vt:variant>
        <vt:i4>0</vt:i4>
      </vt:variant>
      <vt:variant>
        <vt:i4>5</vt:i4>
      </vt:variant>
      <vt:variant>
        <vt:lpwstr/>
      </vt:variant>
      <vt:variant>
        <vt:lpwstr>_Toc497900190</vt:lpwstr>
      </vt:variant>
      <vt:variant>
        <vt:i4>2031666</vt:i4>
      </vt:variant>
      <vt:variant>
        <vt:i4>440</vt:i4>
      </vt:variant>
      <vt:variant>
        <vt:i4>0</vt:i4>
      </vt:variant>
      <vt:variant>
        <vt:i4>5</vt:i4>
      </vt:variant>
      <vt:variant>
        <vt:lpwstr/>
      </vt:variant>
      <vt:variant>
        <vt:lpwstr>_Toc497900189</vt:lpwstr>
      </vt:variant>
      <vt:variant>
        <vt:i4>2031666</vt:i4>
      </vt:variant>
      <vt:variant>
        <vt:i4>434</vt:i4>
      </vt:variant>
      <vt:variant>
        <vt:i4>0</vt:i4>
      </vt:variant>
      <vt:variant>
        <vt:i4>5</vt:i4>
      </vt:variant>
      <vt:variant>
        <vt:lpwstr/>
      </vt:variant>
      <vt:variant>
        <vt:lpwstr>_Toc497900188</vt:lpwstr>
      </vt:variant>
      <vt:variant>
        <vt:i4>2031666</vt:i4>
      </vt:variant>
      <vt:variant>
        <vt:i4>428</vt:i4>
      </vt:variant>
      <vt:variant>
        <vt:i4>0</vt:i4>
      </vt:variant>
      <vt:variant>
        <vt:i4>5</vt:i4>
      </vt:variant>
      <vt:variant>
        <vt:lpwstr/>
      </vt:variant>
      <vt:variant>
        <vt:lpwstr>_Toc497900187</vt:lpwstr>
      </vt:variant>
      <vt:variant>
        <vt:i4>2031666</vt:i4>
      </vt:variant>
      <vt:variant>
        <vt:i4>422</vt:i4>
      </vt:variant>
      <vt:variant>
        <vt:i4>0</vt:i4>
      </vt:variant>
      <vt:variant>
        <vt:i4>5</vt:i4>
      </vt:variant>
      <vt:variant>
        <vt:lpwstr/>
      </vt:variant>
      <vt:variant>
        <vt:lpwstr>_Toc497900186</vt:lpwstr>
      </vt:variant>
      <vt:variant>
        <vt:i4>2031666</vt:i4>
      </vt:variant>
      <vt:variant>
        <vt:i4>416</vt:i4>
      </vt:variant>
      <vt:variant>
        <vt:i4>0</vt:i4>
      </vt:variant>
      <vt:variant>
        <vt:i4>5</vt:i4>
      </vt:variant>
      <vt:variant>
        <vt:lpwstr/>
      </vt:variant>
      <vt:variant>
        <vt:lpwstr>_Toc497900185</vt:lpwstr>
      </vt:variant>
      <vt:variant>
        <vt:i4>2031666</vt:i4>
      </vt:variant>
      <vt:variant>
        <vt:i4>410</vt:i4>
      </vt:variant>
      <vt:variant>
        <vt:i4>0</vt:i4>
      </vt:variant>
      <vt:variant>
        <vt:i4>5</vt:i4>
      </vt:variant>
      <vt:variant>
        <vt:lpwstr/>
      </vt:variant>
      <vt:variant>
        <vt:lpwstr>_Toc497900184</vt:lpwstr>
      </vt:variant>
      <vt:variant>
        <vt:i4>2031666</vt:i4>
      </vt:variant>
      <vt:variant>
        <vt:i4>404</vt:i4>
      </vt:variant>
      <vt:variant>
        <vt:i4>0</vt:i4>
      </vt:variant>
      <vt:variant>
        <vt:i4>5</vt:i4>
      </vt:variant>
      <vt:variant>
        <vt:lpwstr/>
      </vt:variant>
      <vt:variant>
        <vt:lpwstr>_Toc497900183</vt:lpwstr>
      </vt:variant>
      <vt:variant>
        <vt:i4>2031666</vt:i4>
      </vt:variant>
      <vt:variant>
        <vt:i4>398</vt:i4>
      </vt:variant>
      <vt:variant>
        <vt:i4>0</vt:i4>
      </vt:variant>
      <vt:variant>
        <vt:i4>5</vt:i4>
      </vt:variant>
      <vt:variant>
        <vt:lpwstr/>
      </vt:variant>
      <vt:variant>
        <vt:lpwstr>_Toc497900182</vt:lpwstr>
      </vt:variant>
      <vt:variant>
        <vt:i4>2031666</vt:i4>
      </vt:variant>
      <vt:variant>
        <vt:i4>392</vt:i4>
      </vt:variant>
      <vt:variant>
        <vt:i4>0</vt:i4>
      </vt:variant>
      <vt:variant>
        <vt:i4>5</vt:i4>
      </vt:variant>
      <vt:variant>
        <vt:lpwstr/>
      </vt:variant>
      <vt:variant>
        <vt:lpwstr>_Toc497900181</vt:lpwstr>
      </vt:variant>
      <vt:variant>
        <vt:i4>2031666</vt:i4>
      </vt:variant>
      <vt:variant>
        <vt:i4>386</vt:i4>
      </vt:variant>
      <vt:variant>
        <vt:i4>0</vt:i4>
      </vt:variant>
      <vt:variant>
        <vt:i4>5</vt:i4>
      </vt:variant>
      <vt:variant>
        <vt:lpwstr/>
      </vt:variant>
      <vt:variant>
        <vt:lpwstr>_Toc497900180</vt:lpwstr>
      </vt:variant>
      <vt:variant>
        <vt:i4>1048626</vt:i4>
      </vt:variant>
      <vt:variant>
        <vt:i4>380</vt:i4>
      </vt:variant>
      <vt:variant>
        <vt:i4>0</vt:i4>
      </vt:variant>
      <vt:variant>
        <vt:i4>5</vt:i4>
      </vt:variant>
      <vt:variant>
        <vt:lpwstr/>
      </vt:variant>
      <vt:variant>
        <vt:lpwstr>_Toc497900179</vt:lpwstr>
      </vt:variant>
      <vt:variant>
        <vt:i4>1048626</vt:i4>
      </vt:variant>
      <vt:variant>
        <vt:i4>374</vt:i4>
      </vt:variant>
      <vt:variant>
        <vt:i4>0</vt:i4>
      </vt:variant>
      <vt:variant>
        <vt:i4>5</vt:i4>
      </vt:variant>
      <vt:variant>
        <vt:lpwstr/>
      </vt:variant>
      <vt:variant>
        <vt:lpwstr>_Toc497900178</vt:lpwstr>
      </vt:variant>
      <vt:variant>
        <vt:i4>1048626</vt:i4>
      </vt:variant>
      <vt:variant>
        <vt:i4>368</vt:i4>
      </vt:variant>
      <vt:variant>
        <vt:i4>0</vt:i4>
      </vt:variant>
      <vt:variant>
        <vt:i4>5</vt:i4>
      </vt:variant>
      <vt:variant>
        <vt:lpwstr/>
      </vt:variant>
      <vt:variant>
        <vt:lpwstr>_Toc497900177</vt:lpwstr>
      </vt:variant>
      <vt:variant>
        <vt:i4>1048626</vt:i4>
      </vt:variant>
      <vt:variant>
        <vt:i4>362</vt:i4>
      </vt:variant>
      <vt:variant>
        <vt:i4>0</vt:i4>
      </vt:variant>
      <vt:variant>
        <vt:i4>5</vt:i4>
      </vt:variant>
      <vt:variant>
        <vt:lpwstr/>
      </vt:variant>
      <vt:variant>
        <vt:lpwstr>_Toc497900176</vt:lpwstr>
      </vt:variant>
      <vt:variant>
        <vt:i4>1048626</vt:i4>
      </vt:variant>
      <vt:variant>
        <vt:i4>356</vt:i4>
      </vt:variant>
      <vt:variant>
        <vt:i4>0</vt:i4>
      </vt:variant>
      <vt:variant>
        <vt:i4>5</vt:i4>
      </vt:variant>
      <vt:variant>
        <vt:lpwstr/>
      </vt:variant>
      <vt:variant>
        <vt:lpwstr>_Toc497900175</vt:lpwstr>
      </vt:variant>
      <vt:variant>
        <vt:i4>1048626</vt:i4>
      </vt:variant>
      <vt:variant>
        <vt:i4>350</vt:i4>
      </vt:variant>
      <vt:variant>
        <vt:i4>0</vt:i4>
      </vt:variant>
      <vt:variant>
        <vt:i4>5</vt:i4>
      </vt:variant>
      <vt:variant>
        <vt:lpwstr/>
      </vt:variant>
      <vt:variant>
        <vt:lpwstr>_Toc497900174</vt:lpwstr>
      </vt:variant>
      <vt:variant>
        <vt:i4>1048626</vt:i4>
      </vt:variant>
      <vt:variant>
        <vt:i4>344</vt:i4>
      </vt:variant>
      <vt:variant>
        <vt:i4>0</vt:i4>
      </vt:variant>
      <vt:variant>
        <vt:i4>5</vt:i4>
      </vt:variant>
      <vt:variant>
        <vt:lpwstr/>
      </vt:variant>
      <vt:variant>
        <vt:lpwstr>_Toc497900173</vt:lpwstr>
      </vt:variant>
      <vt:variant>
        <vt:i4>1048626</vt:i4>
      </vt:variant>
      <vt:variant>
        <vt:i4>338</vt:i4>
      </vt:variant>
      <vt:variant>
        <vt:i4>0</vt:i4>
      </vt:variant>
      <vt:variant>
        <vt:i4>5</vt:i4>
      </vt:variant>
      <vt:variant>
        <vt:lpwstr/>
      </vt:variant>
      <vt:variant>
        <vt:lpwstr>_Toc497900172</vt:lpwstr>
      </vt:variant>
      <vt:variant>
        <vt:i4>1048626</vt:i4>
      </vt:variant>
      <vt:variant>
        <vt:i4>332</vt:i4>
      </vt:variant>
      <vt:variant>
        <vt:i4>0</vt:i4>
      </vt:variant>
      <vt:variant>
        <vt:i4>5</vt:i4>
      </vt:variant>
      <vt:variant>
        <vt:lpwstr/>
      </vt:variant>
      <vt:variant>
        <vt:lpwstr>_Toc497900171</vt:lpwstr>
      </vt:variant>
      <vt:variant>
        <vt:i4>1048626</vt:i4>
      </vt:variant>
      <vt:variant>
        <vt:i4>326</vt:i4>
      </vt:variant>
      <vt:variant>
        <vt:i4>0</vt:i4>
      </vt:variant>
      <vt:variant>
        <vt:i4>5</vt:i4>
      </vt:variant>
      <vt:variant>
        <vt:lpwstr/>
      </vt:variant>
      <vt:variant>
        <vt:lpwstr>_Toc497900170</vt:lpwstr>
      </vt:variant>
      <vt:variant>
        <vt:i4>1114162</vt:i4>
      </vt:variant>
      <vt:variant>
        <vt:i4>320</vt:i4>
      </vt:variant>
      <vt:variant>
        <vt:i4>0</vt:i4>
      </vt:variant>
      <vt:variant>
        <vt:i4>5</vt:i4>
      </vt:variant>
      <vt:variant>
        <vt:lpwstr/>
      </vt:variant>
      <vt:variant>
        <vt:lpwstr>_Toc497900169</vt:lpwstr>
      </vt:variant>
      <vt:variant>
        <vt:i4>1114162</vt:i4>
      </vt:variant>
      <vt:variant>
        <vt:i4>314</vt:i4>
      </vt:variant>
      <vt:variant>
        <vt:i4>0</vt:i4>
      </vt:variant>
      <vt:variant>
        <vt:i4>5</vt:i4>
      </vt:variant>
      <vt:variant>
        <vt:lpwstr/>
      </vt:variant>
      <vt:variant>
        <vt:lpwstr>_Toc497900168</vt:lpwstr>
      </vt:variant>
      <vt:variant>
        <vt:i4>1114162</vt:i4>
      </vt:variant>
      <vt:variant>
        <vt:i4>308</vt:i4>
      </vt:variant>
      <vt:variant>
        <vt:i4>0</vt:i4>
      </vt:variant>
      <vt:variant>
        <vt:i4>5</vt:i4>
      </vt:variant>
      <vt:variant>
        <vt:lpwstr/>
      </vt:variant>
      <vt:variant>
        <vt:lpwstr>_Toc497900167</vt:lpwstr>
      </vt:variant>
      <vt:variant>
        <vt:i4>1114162</vt:i4>
      </vt:variant>
      <vt:variant>
        <vt:i4>302</vt:i4>
      </vt:variant>
      <vt:variant>
        <vt:i4>0</vt:i4>
      </vt:variant>
      <vt:variant>
        <vt:i4>5</vt:i4>
      </vt:variant>
      <vt:variant>
        <vt:lpwstr/>
      </vt:variant>
      <vt:variant>
        <vt:lpwstr>_Toc497900166</vt:lpwstr>
      </vt:variant>
      <vt:variant>
        <vt:i4>1114162</vt:i4>
      </vt:variant>
      <vt:variant>
        <vt:i4>296</vt:i4>
      </vt:variant>
      <vt:variant>
        <vt:i4>0</vt:i4>
      </vt:variant>
      <vt:variant>
        <vt:i4>5</vt:i4>
      </vt:variant>
      <vt:variant>
        <vt:lpwstr/>
      </vt:variant>
      <vt:variant>
        <vt:lpwstr>_Toc497900165</vt:lpwstr>
      </vt:variant>
      <vt:variant>
        <vt:i4>1114162</vt:i4>
      </vt:variant>
      <vt:variant>
        <vt:i4>290</vt:i4>
      </vt:variant>
      <vt:variant>
        <vt:i4>0</vt:i4>
      </vt:variant>
      <vt:variant>
        <vt:i4>5</vt:i4>
      </vt:variant>
      <vt:variant>
        <vt:lpwstr/>
      </vt:variant>
      <vt:variant>
        <vt:lpwstr>_Toc497900164</vt:lpwstr>
      </vt:variant>
      <vt:variant>
        <vt:i4>1114162</vt:i4>
      </vt:variant>
      <vt:variant>
        <vt:i4>284</vt:i4>
      </vt:variant>
      <vt:variant>
        <vt:i4>0</vt:i4>
      </vt:variant>
      <vt:variant>
        <vt:i4>5</vt:i4>
      </vt:variant>
      <vt:variant>
        <vt:lpwstr/>
      </vt:variant>
      <vt:variant>
        <vt:lpwstr>_Toc497900163</vt:lpwstr>
      </vt:variant>
      <vt:variant>
        <vt:i4>1114162</vt:i4>
      </vt:variant>
      <vt:variant>
        <vt:i4>278</vt:i4>
      </vt:variant>
      <vt:variant>
        <vt:i4>0</vt:i4>
      </vt:variant>
      <vt:variant>
        <vt:i4>5</vt:i4>
      </vt:variant>
      <vt:variant>
        <vt:lpwstr/>
      </vt:variant>
      <vt:variant>
        <vt:lpwstr>_Toc497900162</vt:lpwstr>
      </vt:variant>
      <vt:variant>
        <vt:i4>1114167</vt:i4>
      </vt:variant>
      <vt:variant>
        <vt:i4>269</vt:i4>
      </vt:variant>
      <vt:variant>
        <vt:i4>0</vt:i4>
      </vt:variant>
      <vt:variant>
        <vt:i4>5</vt:i4>
      </vt:variant>
      <vt:variant>
        <vt:lpwstr/>
      </vt:variant>
      <vt:variant>
        <vt:lpwstr>_Toc495328443</vt:lpwstr>
      </vt:variant>
      <vt:variant>
        <vt:i4>1114167</vt:i4>
      </vt:variant>
      <vt:variant>
        <vt:i4>263</vt:i4>
      </vt:variant>
      <vt:variant>
        <vt:i4>0</vt:i4>
      </vt:variant>
      <vt:variant>
        <vt:i4>5</vt:i4>
      </vt:variant>
      <vt:variant>
        <vt:lpwstr/>
      </vt:variant>
      <vt:variant>
        <vt:lpwstr>_Toc495328442</vt:lpwstr>
      </vt:variant>
      <vt:variant>
        <vt:i4>1114167</vt:i4>
      </vt:variant>
      <vt:variant>
        <vt:i4>257</vt:i4>
      </vt:variant>
      <vt:variant>
        <vt:i4>0</vt:i4>
      </vt:variant>
      <vt:variant>
        <vt:i4>5</vt:i4>
      </vt:variant>
      <vt:variant>
        <vt:lpwstr/>
      </vt:variant>
      <vt:variant>
        <vt:lpwstr>_Toc495328441</vt:lpwstr>
      </vt:variant>
      <vt:variant>
        <vt:i4>1114167</vt:i4>
      </vt:variant>
      <vt:variant>
        <vt:i4>251</vt:i4>
      </vt:variant>
      <vt:variant>
        <vt:i4>0</vt:i4>
      </vt:variant>
      <vt:variant>
        <vt:i4>5</vt:i4>
      </vt:variant>
      <vt:variant>
        <vt:lpwstr/>
      </vt:variant>
      <vt:variant>
        <vt:lpwstr>_Toc495328440</vt:lpwstr>
      </vt:variant>
      <vt:variant>
        <vt:i4>1376315</vt:i4>
      </vt:variant>
      <vt:variant>
        <vt:i4>242</vt:i4>
      </vt:variant>
      <vt:variant>
        <vt:i4>0</vt:i4>
      </vt:variant>
      <vt:variant>
        <vt:i4>5</vt:i4>
      </vt:variant>
      <vt:variant>
        <vt:lpwstr/>
      </vt:variant>
      <vt:variant>
        <vt:lpwstr>_Toc504520878</vt:lpwstr>
      </vt:variant>
      <vt:variant>
        <vt:i4>1376315</vt:i4>
      </vt:variant>
      <vt:variant>
        <vt:i4>236</vt:i4>
      </vt:variant>
      <vt:variant>
        <vt:i4>0</vt:i4>
      </vt:variant>
      <vt:variant>
        <vt:i4>5</vt:i4>
      </vt:variant>
      <vt:variant>
        <vt:lpwstr/>
      </vt:variant>
      <vt:variant>
        <vt:lpwstr>_Toc504520877</vt:lpwstr>
      </vt:variant>
      <vt:variant>
        <vt:i4>1376315</vt:i4>
      </vt:variant>
      <vt:variant>
        <vt:i4>230</vt:i4>
      </vt:variant>
      <vt:variant>
        <vt:i4>0</vt:i4>
      </vt:variant>
      <vt:variant>
        <vt:i4>5</vt:i4>
      </vt:variant>
      <vt:variant>
        <vt:lpwstr/>
      </vt:variant>
      <vt:variant>
        <vt:lpwstr>_Toc504520876</vt:lpwstr>
      </vt:variant>
      <vt:variant>
        <vt:i4>1376315</vt:i4>
      </vt:variant>
      <vt:variant>
        <vt:i4>224</vt:i4>
      </vt:variant>
      <vt:variant>
        <vt:i4>0</vt:i4>
      </vt:variant>
      <vt:variant>
        <vt:i4>5</vt:i4>
      </vt:variant>
      <vt:variant>
        <vt:lpwstr/>
      </vt:variant>
      <vt:variant>
        <vt:lpwstr>_Toc504520875</vt:lpwstr>
      </vt:variant>
      <vt:variant>
        <vt:i4>1376315</vt:i4>
      </vt:variant>
      <vt:variant>
        <vt:i4>218</vt:i4>
      </vt:variant>
      <vt:variant>
        <vt:i4>0</vt:i4>
      </vt:variant>
      <vt:variant>
        <vt:i4>5</vt:i4>
      </vt:variant>
      <vt:variant>
        <vt:lpwstr/>
      </vt:variant>
      <vt:variant>
        <vt:lpwstr>_Toc504520874</vt:lpwstr>
      </vt:variant>
      <vt:variant>
        <vt:i4>1376315</vt:i4>
      </vt:variant>
      <vt:variant>
        <vt:i4>212</vt:i4>
      </vt:variant>
      <vt:variant>
        <vt:i4>0</vt:i4>
      </vt:variant>
      <vt:variant>
        <vt:i4>5</vt:i4>
      </vt:variant>
      <vt:variant>
        <vt:lpwstr/>
      </vt:variant>
      <vt:variant>
        <vt:lpwstr>_Toc504520873</vt:lpwstr>
      </vt:variant>
      <vt:variant>
        <vt:i4>1376315</vt:i4>
      </vt:variant>
      <vt:variant>
        <vt:i4>206</vt:i4>
      </vt:variant>
      <vt:variant>
        <vt:i4>0</vt:i4>
      </vt:variant>
      <vt:variant>
        <vt:i4>5</vt:i4>
      </vt:variant>
      <vt:variant>
        <vt:lpwstr/>
      </vt:variant>
      <vt:variant>
        <vt:lpwstr>_Toc504520872</vt:lpwstr>
      </vt:variant>
      <vt:variant>
        <vt:i4>1376315</vt:i4>
      </vt:variant>
      <vt:variant>
        <vt:i4>200</vt:i4>
      </vt:variant>
      <vt:variant>
        <vt:i4>0</vt:i4>
      </vt:variant>
      <vt:variant>
        <vt:i4>5</vt:i4>
      </vt:variant>
      <vt:variant>
        <vt:lpwstr/>
      </vt:variant>
      <vt:variant>
        <vt:lpwstr>_Toc504520871</vt:lpwstr>
      </vt:variant>
      <vt:variant>
        <vt:i4>1376315</vt:i4>
      </vt:variant>
      <vt:variant>
        <vt:i4>194</vt:i4>
      </vt:variant>
      <vt:variant>
        <vt:i4>0</vt:i4>
      </vt:variant>
      <vt:variant>
        <vt:i4>5</vt:i4>
      </vt:variant>
      <vt:variant>
        <vt:lpwstr/>
      </vt:variant>
      <vt:variant>
        <vt:lpwstr>_Toc504520870</vt:lpwstr>
      </vt:variant>
      <vt:variant>
        <vt:i4>1310779</vt:i4>
      </vt:variant>
      <vt:variant>
        <vt:i4>188</vt:i4>
      </vt:variant>
      <vt:variant>
        <vt:i4>0</vt:i4>
      </vt:variant>
      <vt:variant>
        <vt:i4>5</vt:i4>
      </vt:variant>
      <vt:variant>
        <vt:lpwstr/>
      </vt:variant>
      <vt:variant>
        <vt:lpwstr>_Toc504520869</vt:lpwstr>
      </vt:variant>
      <vt:variant>
        <vt:i4>1310779</vt:i4>
      </vt:variant>
      <vt:variant>
        <vt:i4>182</vt:i4>
      </vt:variant>
      <vt:variant>
        <vt:i4>0</vt:i4>
      </vt:variant>
      <vt:variant>
        <vt:i4>5</vt:i4>
      </vt:variant>
      <vt:variant>
        <vt:lpwstr/>
      </vt:variant>
      <vt:variant>
        <vt:lpwstr>_Toc504520868</vt:lpwstr>
      </vt:variant>
      <vt:variant>
        <vt:i4>1310779</vt:i4>
      </vt:variant>
      <vt:variant>
        <vt:i4>176</vt:i4>
      </vt:variant>
      <vt:variant>
        <vt:i4>0</vt:i4>
      </vt:variant>
      <vt:variant>
        <vt:i4>5</vt:i4>
      </vt:variant>
      <vt:variant>
        <vt:lpwstr/>
      </vt:variant>
      <vt:variant>
        <vt:lpwstr>_Toc504520867</vt:lpwstr>
      </vt:variant>
      <vt:variant>
        <vt:i4>1310779</vt:i4>
      </vt:variant>
      <vt:variant>
        <vt:i4>170</vt:i4>
      </vt:variant>
      <vt:variant>
        <vt:i4>0</vt:i4>
      </vt:variant>
      <vt:variant>
        <vt:i4>5</vt:i4>
      </vt:variant>
      <vt:variant>
        <vt:lpwstr/>
      </vt:variant>
      <vt:variant>
        <vt:lpwstr>_Toc504520866</vt:lpwstr>
      </vt:variant>
      <vt:variant>
        <vt:i4>1310779</vt:i4>
      </vt:variant>
      <vt:variant>
        <vt:i4>164</vt:i4>
      </vt:variant>
      <vt:variant>
        <vt:i4>0</vt:i4>
      </vt:variant>
      <vt:variant>
        <vt:i4>5</vt:i4>
      </vt:variant>
      <vt:variant>
        <vt:lpwstr/>
      </vt:variant>
      <vt:variant>
        <vt:lpwstr>_Toc504520865</vt:lpwstr>
      </vt:variant>
      <vt:variant>
        <vt:i4>1310779</vt:i4>
      </vt:variant>
      <vt:variant>
        <vt:i4>158</vt:i4>
      </vt:variant>
      <vt:variant>
        <vt:i4>0</vt:i4>
      </vt:variant>
      <vt:variant>
        <vt:i4>5</vt:i4>
      </vt:variant>
      <vt:variant>
        <vt:lpwstr/>
      </vt:variant>
      <vt:variant>
        <vt:lpwstr>_Toc504520864</vt:lpwstr>
      </vt:variant>
      <vt:variant>
        <vt:i4>1310779</vt:i4>
      </vt:variant>
      <vt:variant>
        <vt:i4>152</vt:i4>
      </vt:variant>
      <vt:variant>
        <vt:i4>0</vt:i4>
      </vt:variant>
      <vt:variant>
        <vt:i4>5</vt:i4>
      </vt:variant>
      <vt:variant>
        <vt:lpwstr/>
      </vt:variant>
      <vt:variant>
        <vt:lpwstr>_Toc504520863</vt:lpwstr>
      </vt:variant>
      <vt:variant>
        <vt:i4>1310779</vt:i4>
      </vt:variant>
      <vt:variant>
        <vt:i4>146</vt:i4>
      </vt:variant>
      <vt:variant>
        <vt:i4>0</vt:i4>
      </vt:variant>
      <vt:variant>
        <vt:i4>5</vt:i4>
      </vt:variant>
      <vt:variant>
        <vt:lpwstr/>
      </vt:variant>
      <vt:variant>
        <vt:lpwstr>_Toc504520862</vt:lpwstr>
      </vt:variant>
      <vt:variant>
        <vt:i4>1310779</vt:i4>
      </vt:variant>
      <vt:variant>
        <vt:i4>140</vt:i4>
      </vt:variant>
      <vt:variant>
        <vt:i4>0</vt:i4>
      </vt:variant>
      <vt:variant>
        <vt:i4>5</vt:i4>
      </vt:variant>
      <vt:variant>
        <vt:lpwstr/>
      </vt:variant>
      <vt:variant>
        <vt:lpwstr>_Toc504520861</vt:lpwstr>
      </vt:variant>
      <vt:variant>
        <vt:i4>1310779</vt:i4>
      </vt:variant>
      <vt:variant>
        <vt:i4>134</vt:i4>
      </vt:variant>
      <vt:variant>
        <vt:i4>0</vt:i4>
      </vt:variant>
      <vt:variant>
        <vt:i4>5</vt:i4>
      </vt:variant>
      <vt:variant>
        <vt:lpwstr/>
      </vt:variant>
      <vt:variant>
        <vt:lpwstr>_Toc504520860</vt:lpwstr>
      </vt:variant>
      <vt:variant>
        <vt:i4>1507387</vt:i4>
      </vt:variant>
      <vt:variant>
        <vt:i4>128</vt:i4>
      </vt:variant>
      <vt:variant>
        <vt:i4>0</vt:i4>
      </vt:variant>
      <vt:variant>
        <vt:i4>5</vt:i4>
      </vt:variant>
      <vt:variant>
        <vt:lpwstr/>
      </vt:variant>
      <vt:variant>
        <vt:lpwstr>_Toc504520859</vt:lpwstr>
      </vt:variant>
      <vt:variant>
        <vt:i4>1507387</vt:i4>
      </vt:variant>
      <vt:variant>
        <vt:i4>122</vt:i4>
      </vt:variant>
      <vt:variant>
        <vt:i4>0</vt:i4>
      </vt:variant>
      <vt:variant>
        <vt:i4>5</vt:i4>
      </vt:variant>
      <vt:variant>
        <vt:lpwstr/>
      </vt:variant>
      <vt:variant>
        <vt:lpwstr>_Toc504520858</vt:lpwstr>
      </vt:variant>
      <vt:variant>
        <vt:i4>1507387</vt:i4>
      </vt:variant>
      <vt:variant>
        <vt:i4>116</vt:i4>
      </vt:variant>
      <vt:variant>
        <vt:i4>0</vt:i4>
      </vt:variant>
      <vt:variant>
        <vt:i4>5</vt:i4>
      </vt:variant>
      <vt:variant>
        <vt:lpwstr/>
      </vt:variant>
      <vt:variant>
        <vt:lpwstr>_Toc504520857</vt:lpwstr>
      </vt:variant>
      <vt:variant>
        <vt:i4>1507387</vt:i4>
      </vt:variant>
      <vt:variant>
        <vt:i4>110</vt:i4>
      </vt:variant>
      <vt:variant>
        <vt:i4>0</vt:i4>
      </vt:variant>
      <vt:variant>
        <vt:i4>5</vt:i4>
      </vt:variant>
      <vt:variant>
        <vt:lpwstr/>
      </vt:variant>
      <vt:variant>
        <vt:lpwstr>_Toc504520856</vt:lpwstr>
      </vt:variant>
      <vt:variant>
        <vt:i4>1507387</vt:i4>
      </vt:variant>
      <vt:variant>
        <vt:i4>104</vt:i4>
      </vt:variant>
      <vt:variant>
        <vt:i4>0</vt:i4>
      </vt:variant>
      <vt:variant>
        <vt:i4>5</vt:i4>
      </vt:variant>
      <vt:variant>
        <vt:lpwstr/>
      </vt:variant>
      <vt:variant>
        <vt:lpwstr>_Toc504520855</vt:lpwstr>
      </vt:variant>
      <vt:variant>
        <vt:i4>1507387</vt:i4>
      </vt:variant>
      <vt:variant>
        <vt:i4>98</vt:i4>
      </vt:variant>
      <vt:variant>
        <vt:i4>0</vt:i4>
      </vt:variant>
      <vt:variant>
        <vt:i4>5</vt:i4>
      </vt:variant>
      <vt:variant>
        <vt:lpwstr/>
      </vt:variant>
      <vt:variant>
        <vt:lpwstr>_Toc504520854</vt:lpwstr>
      </vt:variant>
      <vt:variant>
        <vt:i4>1507387</vt:i4>
      </vt:variant>
      <vt:variant>
        <vt:i4>92</vt:i4>
      </vt:variant>
      <vt:variant>
        <vt:i4>0</vt:i4>
      </vt:variant>
      <vt:variant>
        <vt:i4>5</vt:i4>
      </vt:variant>
      <vt:variant>
        <vt:lpwstr/>
      </vt:variant>
      <vt:variant>
        <vt:lpwstr>_Toc504520853</vt:lpwstr>
      </vt:variant>
      <vt:variant>
        <vt:i4>1507387</vt:i4>
      </vt:variant>
      <vt:variant>
        <vt:i4>86</vt:i4>
      </vt:variant>
      <vt:variant>
        <vt:i4>0</vt:i4>
      </vt:variant>
      <vt:variant>
        <vt:i4>5</vt:i4>
      </vt:variant>
      <vt:variant>
        <vt:lpwstr/>
      </vt:variant>
      <vt:variant>
        <vt:lpwstr>_Toc504520852</vt:lpwstr>
      </vt:variant>
      <vt:variant>
        <vt:i4>1507387</vt:i4>
      </vt:variant>
      <vt:variant>
        <vt:i4>80</vt:i4>
      </vt:variant>
      <vt:variant>
        <vt:i4>0</vt:i4>
      </vt:variant>
      <vt:variant>
        <vt:i4>5</vt:i4>
      </vt:variant>
      <vt:variant>
        <vt:lpwstr/>
      </vt:variant>
      <vt:variant>
        <vt:lpwstr>_Toc504520851</vt:lpwstr>
      </vt:variant>
      <vt:variant>
        <vt:i4>1507387</vt:i4>
      </vt:variant>
      <vt:variant>
        <vt:i4>74</vt:i4>
      </vt:variant>
      <vt:variant>
        <vt:i4>0</vt:i4>
      </vt:variant>
      <vt:variant>
        <vt:i4>5</vt:i4>
      </vt:variant>
      <vt:variant>
        <vt:lpwstr/>
      </vt:variant>
      <vt:variant>
        <vt:lpwstr>_Toc504520850</vt:lpwstr>
      </vt:variant>
      <vt:variant>
        <vt:i4>1441851</vt:i4>
      </vt:variant>
      <vt:variant>
        <vt:i4>68</vt:i4>
      </vt:variant>
      <vt:variant>
        <vt:i4>0</vt:i4>
      </vt:variant>
      <vt:variant>
        <vt:i4>5</vt:i4>
      </vt:variant>
      <vt:variant>
        <vt:lpwstr/>
      </vt:variant>
      <vt:variant>
        <vt:lpwstr>_Toc504520849</vt:lpwstr>
      </vt:variant>
      <vt:variant>
        <vt:i4>1441851</vt:i4>
      </vt:variant>
      <vt:variant>
        <vt:i4>62</vt:i4>
      </vt:variant>
      <vt:variant>
        <vt:i4>0</vt:i4>
      </vt:variant>
      <vt:variant>
        <vt:i4>5</vt:i4>
      </vt:variant>
      <vt:variant>
        <vt:lpwstr/>
      </vt:variant>
      <vt:variant>
        <vt:lpwstr>_Toc504520848</vt:lpwstr>
      </vt:variant>
      <vt:variant>
        <vt:i4>1441851</vt:i4>
      </vt:variant>
      <vt:variant>
        <vt:i4>56</vt:i4>
      </vt:variant>
      <vt:variant>
        <vt:i4>0</vt:i4>
      </vt:variant>
      <vt:variant>
        <vt:i4>5</vt:i4>
      </vt:variant>
      <vt:variant>
        <vt:lpwstr/>
      </vt:variant>
      <vt:variant>
        <vt:lpwstr>_Toc504520847</vt:lpwstr>
      </vt:variant>
      <vt:variant>
        <vt:i4>1441851</vt:i4>
      </vt:variant>
      <vt:variant>
        <vt:i4>50</vt:i4>
      </vt:variant>
      <vt:variant>
        <vt:i4>0</vt:i4>
      </vt:variant>
      <vt:variant>
        <vt:i4>5</vt:i4>
      </vt:variant>
      <vt:variant>
        <vt:lpwstr/>
      </vt:variant>
      <vt:variant>
        <vt:lpwstr>_Toc504520846</vt:lpwstr>
      </vt:variant>
      <vt:variant>
        <vt:i4>1441851</vt:i4>
      </vt:variant>
      <vt:variant>
        <vt:i4>44</vt:i4>
      </vt:variant>
      <vt:variant>
        <vt:i4>0</vt:i4>
      </vt:variant>
      <vt:variant>
        <vt:i4>5</vt:i4>
      </vt:variant>
      <vt:variant>
        <vt:lpwstr/>
      </vt:variant>
      <vt:variant>
        <vt:lpwstr>_Toc504520845</vt:lpwstr>
      </vt:variant>
      <vt:variant>
        <vt:i4>1441851</vt:i4>
      </vt:variant>
      <vt:variant>
        <vt:i4>38</vt:i4>
      </vt:variant>
      <vt:variant>
        <vt:i4>0</vt:i4>
      </vt:variant>
      <vt:variant>
        <vt:i4>5</vt:i4>
      </vt:variant>
      <vt:variant>
        <vt:lpwstr/>
      </vt:variant>
      <vt:variant>
        <vt:lpwstr>_Toc504520844</vt:lpwstr>
      </vt:variant>
      <vt:variant>
        <vt:i4>1441851</vt:i4>
      </vt:variant>
      <vt:variant>
        <vt:i4>32</vt:i4>
      </vt:variant>
      <vt:variant>
        <vt:i4>0</vt:i4>
      </vt:variant>
      <vt:variant>
        <vt:i4>5</vt:i4>
      </vt:variant>
      <vt:variant>
        <vt:lpwstr/>
      </vt:variant>
      <vt:variant>
        <vt:lpwstr>_Toc504520843</vt:lpwstr>
      </vt:variant>
      <vt:variant>
        <vt:i4>1441851</vt:i4>
      </vt:variant>
      <vt:variant>
        <vt:i4>26</vt:i4>
      </vt:variant>
      <vt:variant>
        <vt:i4>0</vt:i4>
      </vt:variant>
      <vt:variant>
        <vt:i4>5</vt:i4>
      </vt:variant>
      <vt:variant>
        <vt:lpwstr/>
      </vt:variant>
      <vt:variant>
        <vt:lpwstr>_Toc504520842</vt:lpwstr>
      </vt:variant>
      <vt:variant>
        <vt:i4>1441851</vt:i4>
      </vt:variant>
      <vt:variant>
        <vt:i4>20</vt:i4>
      </vt:variant>
      <vt:variant>
        <vt:i4>0</vt:i4>
      </vt:variant>
      <vt:variant>
        <vt:i4>5</vt:i4>
      </vt:variant>
      <vt:variant>
        <vt:lpwstr/>
      </vt:variant>
      <vt:variant>
        <vt:lpwstr>_Toc504520841</vt:lpwstr>
      </vt:variant>
      <vt:variant>
        <vt:i4>1441851</vt:i4>
      </vt:variant>
      <vt:variant>
        <vt:i4>14</vt:i4>
      </vt:variant>
      <vt:variant>
        <vt:i4>0</vt:i4>
      </vt:variant>
      <vt:variant>
        <vt:i4>5</vt:i4>
      </vt:variant>
      <vt:variant>
        <vt:lpwstr/>
      </vt:variant>
      <vt:variant>
        <vt:lpwstr>_Toc504520840</vt:lpwstr>
      </vt:variant>
      <vt:variant>
        <vt:i4>1114171</vt:i4>
      </vt:variant>
      <vt:variant>
        <vt:i4>8</vt:i4>
      </vt:variant>
      <vt:variant>
        <vt:i4>0</vt:i4>
      </vt:variant>
      <vt:variant>
        <vt:i4>5</vt:i4>
      </vt:variant>
      <vt:variant>
        <vt:lpwstr/>
      </vt:variant>
      <vt:variant>
        <vt:lpwstr>_Toc504520839</vt:lpwstr>
      </vt:variant>
      <vt:variant>
        <vt:i4>1114171</vt:i4>
      </vt:variant>
      <vt:variant>
        <vt:i4>2</vt:i4>
      </vt:variant>
      <vt:variant>
        <vt:i4>0</vt:i4>
      </vt:variant>
      <vt:variant>
        <vt:i4>5</vt:i4>
      </vt:variant>
      <vt:variant>
        <vt:lpwstr/>
      </vt:variant>
      <vt:variant>
        <vt:lpwstr>_Toc504520838</vt:lpwstr>
      </vt:variant>
      <vt:variant>
        <vt:i4>5570647</vt:i4>
      </vt:variant>
      <vt:variant>
        <vt:i4>18</vt:i4>
      </vt:variant>
      <vt:variant>
        <vt:i4>0</vt:i4>
      </vt:variant>
      <vt:variant>
        <vt:i4>5</vt:i4>
      </vt:variant>
      <vt:variant>
        <vt:lpwstr>https://www2.ed.gov/about/inits/ed/edfacts/index.html</vt:lpwstr>
      </vt:variant>
      <vt:variant>
        <vt:lpwstr/>
      </vt:variant>
      <vt:variant>
        <vt:i4>7405691</vt:i4>
      </vt:variant>
      <vt:variant>
        <vt:i4>15</vt:i4>
      </vt:variant>
      <vt:variant>
        <vt:i4>0</vt:i4>
      </vt:variant>
      <vt:variant>
        <vt:i4>5</vt:i4>
      </vt:variant>
      <vt:variant>
        <vt:lpwstr>https://www.cde.ca.gov/ls/pf/pf/documents/famengageframeenglish.pdf</vt:lpwstr>
      </vt:variant>
      <vt:variant>
        <vt:lpwstr/>
      </vt:variant>
      <vt:variant>
        <vt:i4>262164</vt:i4>
      </vt:variant>
      <vt:variant>
        <vt:i4>12</vt:i4>
      </vt:variant>
      <vt:variant>
        <vt:i4>0</vt:i4>
      </vt:variant>
      <vt:variant>
        <vt:i4>5</vt:i4>
      </vt:variant>
      <vt:variant>
        <vt:lpwstr>https://www.cde.ca.gov/ls/ai/sb/</vt:lpwstr>
      </vt:variant>
      <vt:variant>
        <vt:lpwstr/>
      </vt:variant>
      <vt:variant>
        <vt:i4>3145843</vt:i4>
      </vt:variant>
      <vt:variant>
        <vt:i4>9</vt:i4>
      </vt:variant>
      <vt:variant>
        <vt:i4>0</vt:i4>
      </vt:variant>
      <vt:variant>
        <vt:i4>5</vt:i4>
      </vt:variant>
      <vt:variant>
        <vt:lpwstr>https://www.cde.ca.gov/ta/tg/ca/caasppssreports.asp</vt:lpwstr>
      </vt:variant>
      <vt:variant>
        <vt:lpwstr/>
      </vt:variant>
      <vt:variant>
        <vt:i4>3866751</vt:i4>
      </vt:variant>
      <vt:variant>
        <vt:i4>6</vt:i4>
      </vt:variant>
      <vt:variant>
        <vt:i4>0</vt:i4>
      </vt:variant>
      <vt:variant>
        <vt:i4>5</vt:i4>
      </vt:variant>
      <vt:variant>
        <vt:lpwstr>https://www.ed-data.org/article/About-California's-Longitudinal-Pupil-Achievement-Data-System-(CALPADS)</vt:lpwstr>
      </vt:variant>
      <vt:variant>
        <vt:lpwstr/>
      </vt:variant>
      <vt:variant>
        <vt:i4>2687095</vt:i4>
      </vt:variant>
      <vt:variant>
        <vt:i4>3</vt:i4>
      </vt:variant>
      <vt:variant>
        <vt:i4>0</vt:i4>
      </vt:variant>
      <vt:variant>
        <vt:i4>5</vt:i4>
      </vt:variant>
      <vt:variant>
        <vt:lpwstr>https://www.cdfa.ca.gov/statistics/</vt:lpwstr>
      </vt:variant>
      <vt:variant>
        <vt:lpwstr/>
      </vt:variant>
      <vt:variant>
        <vt:i4>3866702</vt:i4>
      </vt:variant>
      <vt:variant>
        <vt:i4>0</vt:i4>
      </vt:variant>
      <vt:variant>
        <vt:i4>0</vt:i4>
      </vt:variant>
      <vt:variant>
        <vt:i4>5</vt:i4>
      </vt:variant>
      <vt:variant>
        <vt:lpwstr>https://results-assets.s3.amazonaws.com/tools/sdp_toolkit/sdp-toolkit.pdf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Service Delivery Plan - Migrant (CA Dept of Education)</dc:title>
  <dc:subject>State Service Delivery Plan for the Migrant Education Program updated in Summer 2025.</dc:subject>
  <dc:creator/>
  <cp:keywords/>
  <dc:description/>
  <cp:lastModifiedBy/>
  <cp:revision>1</cp:revision>
  <dcterms:created xsi:type="dcterms:W3CDTF">2026-04-16T20:15:00Z</dcterms:created>
  <dcterms:modified xsi:type="dcterms:W3CDTF">2026-04-16T23:48:00Z</dcterms:modified>
</cp:coreProperties>
</file>