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763CC" w14:textId="77777777" w:rsidR="003F0FD2" w:rsidRPr="00E93B9B" w:rsidRDefault="00840484" w:rsidP="003F0FD2">
      <w:pPr>
        <w:pStyle w:val="Heading1"/>
        <w:rPr>
          <w:rFonts w:cs="Arial"/>
          <w:sz w:val="24"/>
          <w:szCs w:val="24"/>
        </w:rPr>
      </w:pPr>
      <w:r w:rsidRPr="00E93B9B">
        <w:rPr>
          <w:sz w:val="24"/>
          <w:szCs w:val="24"/>
        </w:rPr>
        <w:softHyphen/>
      </w:r>
      <w:r w:rsidRPr="00E93B9B">
        <w:rPr>
          <w:sz w:val="24"/>
          <w:szCs w:val="24"/>
        </w:rPr>
        <w:softHyphen/>
      </w:r>
      <w:r w:rsidR="003F0FD2" w:rsidRPr="00E93B9B">
        <w:rPr>
          <w:rFonts w:cs="Arial"/>
          <w:sz w:val="24"/>
          <w:szCs w:val="24"/>
        </w:rPr>
        <w:t>State Service Delivery Plan At-a-Glance: Migrant Education Office</w:t>
      </w:r>
    </w:p>
    <w:tbl>
      <w:tblPr>
        <w:tblStyle w:val="TableGrid"/>
        <w:tblW w:w="18165" w:type="dxa"/>
        <w:tblLayout w:type="fixed"/>
        <w:tblLook w:val="04A0" w:firstRow="1" w:lastRow="0" w:firstColumn="1" w:lastColumn="0" w:noHBand="0" w:noVBand="1"/>
        <w:tblCaption w:val="Strategies"/>
        <w:tblDescription w:val="A table for Strategies listed in the State Service Delivery Plan by focus area."/>
      </w:tblPr>
      <w:tblGrid>
        <w:gridCol w:w="2505"/>
        <w:gridCol w:w="5490"/>
        <w:gridCol w:w="5040"/>
        <w:gridCol w:w="5130"/>
      </w:tblGrid>
      <w:tr w:rsidR="00452E94" w:rsidRPr="00E93B9B" w14:paraId="1D588B15" w14:textId="77777777" w:rsidTr="00E93B9B">
        <w:trPr>
          <w:cantSplit/>
          <w:trHeight w:val="71"/>
          <w:tblHeader/>
        </w:trPr>
        <w:tc>
          <w:tcPr>
            <w:tcW w:w="2505" w:type="dxa"/>
            <w:tcBorders>
              <w:top w:val="single" w:sz="12" w:space="0" w:color="auto"/>
              <w:left w:val="single" w:sz="12" w:space="0" w:color="auto"/>
              <w:bottom w:val="single" w:sz="12" w:space="0" w:color="000000" w:themeColor="text1"/>
            </w:tcBorders>
          </w:tcPr>
          <w:p w14:paraId="08FC3AB7" w14:textId="77777777" w:rsidR="00452E94" w:rsidRPr="00E93B9B" w:rsidRDefault="00452E94" w:rsidP="00E75383">
            <w:pPr>
              <w:pStyle w:val="Heading3"/>
              <w:rPr>
                <w:rFonts w:cs="Arial"/>
              </w:rPr>
            </w:pPr>
            <w:r w:rsidRPr="00E93B9B">
              <w:rPr>
                <w:rFonts w:cs="Arial"/>
              </w:rPr>
              <w:t>Focus Area</w:t>
            </w:r>
          </w:p>
        </w:tc>
        <w:tc>
          <w:tcPr>
            <w:tcW w:w="5490" w:type="dxa"/>
            <w:tcBorders>
              <w:top w:val="single" w:sz="12" w:space="0" w:color="auto"/>
              <w:bottom w:val="single" w:sz="12" w:space="0" w:color="000000" w:themeColor="text1"/>
            </w:tcBorders>
          </w:tcPr>
          <w:p w14:paraId="79A48561" w14:textId="66FB5B5D" w:rsidR="00452E94" w:rsidRPr="00E93B9B" w:rsidRDefault="00452E94" w:rsidP="00E75383">
            <w:pPr>
              <w:pStyle w:val="Heading3"/>
              <w:rPr>
                <w:rFonts w:cs="Arial"/>
              </w:rPr>
            </w:pPr>
            <w:r w:rsidRPr="00E93B9B">
              <w:rPr>
                <w:rFonts w:cs="Arial"/>
              </w:rPr>
              <w:t>Strateg</w:t>
            </w:r>
            <w:r w:rsidR="00002DF3" w:rsidRPr="00E93B9B">
              <w:rPr>
                <w:rFonts w:cs="Arial"/>
              </w:rPr>
              <w:t xml:space="preserve">y/Measurable Program Objective (MPO) </w:t>
            </w:r>
            <w:r w:rsidR="00E9323B" w:rsidRPr="00E93B9B">
              <w:rPr>
                <w:rFonts w:cs="Arial"/>
              </w:rPr>
              <w:t>Overview</w:t>
            </w:r>
          </w:p>
        </w:tc>
        <w:tc>
          <w:tcPr>
            <w:tcW w:w="5040" w:type="dxa"/>
            <w:tcBorders>
              <w:top w:val="single" w:sz="12" w:space="0" w:color="auto"/>
              <w:bottom w:val="single" w:sz="12" w:space="0" w:color="000000" w:themeColor="text1"/>
            </w:tcBorders>
          </w:tcPr>
          <w:p w14:paraId="379DC576" w14:textId="0716B289" w:rsidR="00452E94" w:rsidRPr="00E93B9B" w:rsidRDefault="00452E94" w:rsidP="00E75383">
            <w:pPr>
              <w:pStyle w:val="Heading3"/>
              <w:rPr>
                <w:rFonts w:cs="Arial"/>
              </w:rPr>
            </w:pPr>
            <w:r w:rsidRPr="00E93B9B">
              <w:rPr>
                <w:rFonts w:cs="Arial"/>
              </w:rPr>
              <w:t>Strateg</w:t>
            </w:r>
            <w:r w:rsidR="00E9323B" w:rsidRPr="00E93B9B">
              <w:rPr>
                <w:rFonts w:cs="Arial"/>
              </w:rPr>
              <w:t>y and MPO Overview</w:t>
            </w:r>
          </w:p>
        </w:tc>
        <w:tc>
          <w:tcPr>
            <w:tcW w:w="5130" w:type="dxa"/>
            <w:tcBorders>
              <w:top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3AAD1702" w14:textId="645FB37E" w:rsidR="00452E94" w:rsidRPr="00E93B9B" w:rsidRDefault="00E9323B" w:rsidP="00E75383">
            <w:pPr>
              <w:pStyle w:val="Heading3"/>
              <w:rPr>
                <w:rFonts w:cs="Arial"/>
              </w:rPr>
            </w:pPr>
            <w:r w:rsidRPr="00E93B9B">
              <w:rPr>
                <w:rFonts w:cs="Arial"/>
              </w:rPr>
              <w:t>Strategy and MPO Overview (1)</w:t>
            </w:r>
          </w:p>
        </w:tc>
      </w:tr>
      <w:tr w:rsidR="00452E94" w:rsidRPr="00E93B9B" w14:paraId="53C1A6BD" w14:textId="77777777" w:rsidTr="00E93B9B">
        <w:trPr>
          <w:cantSplit/>
          <w:trHeight w:val="566"/>
        </w:trPr>
        <w:tc>
          <w:tcPr>
            <w:tcW w:w="2505" w:type="dxa"/>
            <w:tcBorders>
              <w:top w:val="single" w:sz="12" w:space="0" w:color="000000" w:themeColor="text1"/>
              <w:left w:val="single" w:sz="12" w:space="0" w:color="auto"/>
              <w:bottom w:val="single" w:sz="2" w:space="0" w:color="auto"/>
            </w:tcBorders>
            <w:shd w:val="clear" w:color="auto" w:fill="FBE4D5" w:themeFill="accent2" w:themeFillTint="33"/>
          </w:tcPr>
          <w:p w14:paraId="6D17DCD5" w14:textId="258D7E69" w:rsidR="00452E94" w:rsidRPr="00E93B9B" w:rsidRDefault="00452E94" w:rsidP="00E75383">
            <w:pPr>
              <w:rPr>
                <w:rFonts w:cs="Arial"/>
                <w:szCs w:val="24"/>
              </w:rPr>
            </w:pPr>
            <w:r w:rsidRPr="00E93B9B">
              <w:rPr>
                <w:rFonts w:cs="Arial"/>
                <w:b/>
                <w:szCs w:val="24"/>
              </w:rPr>
              <w:t>English Language Arts (ELA)</w:t>
            </w:r>
          </w:p>
        </w:tc>
        <w:tc>
          <w:tcPr>
            <w:tcW w:w="5490" w:type="dxa"/>
            <w:tcBorders>
              <w:top w:val="single" w:sz="12" w:space="0" w:color="000000" w:themeColor="text1"/>
              <w:bottom w:val="single" w:sz="2" w:space="0" w:color="auto"/>
            </w:tcBorders>
            <w:shd w:val="clear" w:color="auto" w:fill="FBE4D5" w:themeFill="accent2" w:themeFillTint="33"/>
          </w:tcPr>
          <w:p w14:paraId="0E224504" w14:textId="15F24ED9" w:rsidR="00452E94" w:rsidRPr="00E93B9B" w:rsidRDefault="00CF6151" w:rsidP="00E75383">
            <w:pPr>
              <w:rPr>
                <w:rFonts w:cs="Arial"/>
                <w:noProof/>
                <w:szCs w:val="24"/>
              </w:rPr>
            </w:pPr>
            <w:r w:rsidRPr="00E93B9B">
              <w:rPr>
                <w:rFonts w:cs="Arial"/>
                <w:szCs w:val="24"/>
              </w:rPr>
              <w:t>Reading and writing direct instruction with an acceptable service duration for learning in both regular school year (RSY) and summer</w:t>
            </w:r>
            <w:r w:rsidR="00452E94" w:rsidRPr="00E93B9B">
              <w:rPr>
                <w:rFonts w:cs="Arial"/>
                <w:noProof/>
                <w:szCs w:val="24"/>
              </w:rPr>
              <w:t xml:space="preserve">. Increase participation annually by </w:t>
            </w:r>
            <w:r w:rsidR="0036370A" w:rsidRPr="00E93B9B">
              <w:rPr>
                <w:rFonts w:cs="Arial"/>
                <w:noProof/>
                <w:szCs w:val="24"/>
              </w:rPr>
              <w:t>3%</w:t>
            </w:r>
            <w:r w:rsidR="007E6325" w:rsidRPr="00E93B9B">
              <w:rPr>
                <w:rFonts w:cs="Arial"/>
                <w:noProof/>
                <w:szCs w:val="24"/>
              </w:rPr>
              <w:t xml:space="preserve"> for students in grades K–12 who are below standard.</w:t>
            </w:r>
          </w:p>
        </w:tc>
        <w:tc>
          <w:tcPr>
            <w:tcW w:w="5040" w:type="dxa"/>
            <w:tcBorders>
              <w:top w:val="single" w:sz="12" w:space="0" w:color="000000" w:themeColor="text1"/>
              <w:bottom w:val="single" w:sz="2" w:space="0" w:color="auto"/>
              <w:right w:val="single" w:sz="2" w:space="0" w:color="auto"/>
            </w:tcBorders>
            <w:shd w:val="clear" w:color="auto" w:fill="FBE4D5" w:themeFill="accent2" w:themeFillTint="33"/>
          </w:tcPr>
          <w:p w14:paraId="53BE753B" w14:textId="6B117BC1" w:rsidR="00452E94" w:rsidRPr="00E93B9B" w:rsidRDefault="007E6325" w:rsidP="00E75383">
            <w:pPr>
              <w:rPr>
                <w:rFonts w:cs="Arial"/>
                <w:szCs w:val="24"/>
              </w:rPr>
            </w:pPr>
            <w:r w:rsidRPr="00E93B9B">
              <w:rPr>
                <w:rFonts w:cs="Arial"/>
                <w:szCs w:val="24"/>
              </w:rPr>
              <w:t>Teach the purpose, structure, and typical language of at least one subgenre of the informational genre. Use model texts when teaching reading.</w:t>
            </w:r>
          </w:p>
        </w:tc>
        <w:tc>
          <w:tcPr>
            <w:tcW w:w="5130" w:type="dxa"/>
            <w:tcBorders>
              <w:top w:val="single" w:sz="12" w:space="0" w:color="000000" w:themeColor="text1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4CA43CE9" w14:textId="1E9E6DA5" w:rsidR="00452E94" w:rsidRPr="00E93B9B" w:rsidRDefault="00452E94" w:rsidP="00E75383">
            <w:pPr>
              <w:rPr>
                <w:rFonts w:cs="Arial"/>
                <w:szCs w:val="24"/>
              </w:rPr>
            </w:pPr>
            <w:r w:rsidRPr="00E93B9B">
              <w:rPr>
                <w:rFonts w:cs="Arial"/>
                <w:szCs w:val="24"/>
              </w:rPr>
              <w:t>Write for at least one informational genre</w:t>
            </w:r>
            <w:r w:rsidR="00E9323B" w:rsidRPr="00E93B9B">
              <w:rPr>
                <w:rFonts w:cs="Arial"/>
                <w:szCs w:val="24"/>
              </w:rPr>
              <w:t xml:space="preserve"> using a model text</w:t>
            </w:r>
            <w:r w:rsidRPr="00E93B9B">
              <w:rPr>
                <w:rFonts w:cs="Arial"/>
                <w:szCs w:val="24"/>
              </w:rPr>
              <w:t xml:space="preserve">; students use a </w:t>
            </w:r>
            <w:r w:rsidR="00E9323B" w:rsidRPr="00E93B9B">
              <w:rPr>
                <w:rFonts w:cs="Arial"/>
                <w:szCs w:val="24"/>
              </w:rPr>
              <w:t>rubric to support their writing</w:t>
            </w:r>
            <w:r w:rsidR="007E6325" w:rsidRPr="00E93B9B">
              <w:rPr>
                <w:rFonts w:cs="Arial"/>
                <w:szCs w:val="24"/>
              </w:rPr>
              <w:t>.</w:t>
            </w:r>
            <w:r w:rsidRPr="00E93B9B">
              <w:rPr>
                <w:rFonts w:cs="Arial"/>
                <w:szCs w:val="24"/>
              </w:rPr>
              <w:t xml:space="preserve"> </w:t>
            </w:r>
          </w:p>
        </w:tc>
      </w:tr>
      <w:tr w:rsidR="00452E94" w:rsidRPr="00E93B9B" w14:paraId="2396F535" w14:textId="77777777" w:rsidTr="00E93B9B">
        <w:trPr>
          <w:cantSplit/>
          <w:trHeight w:val="593"/>
        </w:trPr>
        <w:tc>
          <w:tcPr>
            <w:tcW w:w="25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FFE599" w:themeFill="accent4" w:themeFillTint="66"/>
          </w:tcPr>
          <w:p w14:paraId="4726704F" w14:textId="77777777" w:rsidR="00452E94" w:rsidRPr="00E93B9B" w:rsidRDefault="00452E94" w:rsidP="00E75383">
            <w:pPr>
              <w:rPr>
                <w:rFonts w:cs="Arial"/>
                <w:b/>
                <w:szCs w:val="24"/>
              </w:rPr>
            </w:pPr>
            <w:r w:rsidRPr="00E93B9B">
              <w:rPr>
                <w:rFonts w:cs="Arial"/>
                <w:b/>
                <w:szCs w:val="24"/>
              </w:rPr>
              <w:t>Math</w:t>
            </w:r>
          </w:p>
          <w:p w14:paraId="28AF63C3" w14:textId="77777777" w:rsidR="00452E94" w:rsidRPr="00E93B9B" w:rsidRDefault="00452E94" w:rsidP="00E75383">
            <w:pPr>
              <w:spacing w:after="120"/>
              <w:rPr>
                <w:rFonts w:cs="Arial"/>
                <w:szCs w:val="24"/>
              </w:rPr>
            </w:pPr>
            <w:r w:rsidRPr="00E93B9B">
              <w:rPr>
                <w:rFonts w:cs="Arial"/>
                <w:szCs w:val="24"/>
              </w:rPr>
              <w:t>Overall achievement</w:t>
            </w:r>
          </w:p>
        </w:tc>
        <w:tc>
          <w:tcPr>
            <w:tcW w:w="549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E599" w:themeFill="accent4" w:themeFillTint="66"/>
          </w:tcPr>
          <w:p w14:paraId="00970487" w14:textId="4A9829E2" w:rsidR="00452E94" w:rsidRPr="00E93B9B" w:rsidRDefault="00CF6151" w:rsidP="00E75383">
            <w:pPr>
              <w:rPr>
                <w:rFonts w:cs="Arial"/>
                <w:szCs w:val="24"/>
              </w:rPr>
            </w:pPr>
            <w:r w:rsidRPr="00E93B9B">
              <w:rPr>
                <w:rFonts w:cs="Arial"/>
                <w:szCs w:val="24"/>
              </w:rPr>
              <w:t>Direct instruction in math with an acceptable service duration for learning</w:t>
            </w:r>
            <w:r w:rsidRPr="00E93B9B">
              <w:rPr>
                <w:rFonts w:cs="Arial"/>
                <w:noProof/>
                <w:szCs w:val="24"/>
              </w:rPr>
              <w:t xml:space="preserve">. </w:t>
            </w:r>
            <w:r w:rsidR="00452E94" w:rsidRPr="00E93B9B">
              <w:rPr>
                <w:rFonts w:cs="Arial"/>
                <w:noProof/>
                <w:szCs w:val="24"/>
              </w:rPr>
              <w:t xml:space="preserve">Increase participation annually by </w:t>
            </w:r>
            <w:r w:rsidR="0036370A" w:rsidRPr="00E93B9B">
              <w:rPr>
                <w:rFonts w:cs="Arial"/>
                <w:noProof/>
                <w:szCs w:val="24"/>
              </w:rPr>
              <w:t>3%</w:t>
            </w:r>
            <w:r w:rsidR="007E6325" w:rsidRPr="00E93B9B">
              <w:rPr>
                <w:rFonts w:cs="Arial"/>
                <w:noProof/>
                <w:szCs w:val="24"/>
              </w:rPr>
              <w:t xml:space="preserve"> for students in grades K–12 who are below standard.</w:t>
            </w:r>
          </w:p>
        </w:tc>
        <w:tc>
          <w:tcPr>
            <w:tcW w:w="504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E599" w:themeFill="accent4" w:themeFillTint="66"/>
          </w:tcPr>
          <w:p w14:paraId="3C956704" w14:textId="678F60A5" w:rsidR="00452E94" w:rsidRPr="00E93B9B" w:rsidRDefault="006C5D7F" w:rsidP="00E75383">
            <w:pPr>
              <w:rPr>
                <w:rFonts w:cs="Arial"/>
                <w:szCs w:val="24"/>
              </w:rPr>
            </w:pPr>
            <w:r w:rsidRPr="00E93B9B">
              <w:rPr>
                <w:rFonts w:cs="Arial"/>
                <w:bCs/>
                <w:szCs w:val="24"/>
              </w:rPr>
              <w:t xml:space="preserve">Offer two </w:t>
            </w:r>
            <w:r w:rsidRPr="00E93B9B">
              <w:rPr>
                <w:rFonts w:cs="Arial"/>
                <w:szCs w:val="24"/>
              </w:rPr>
              <w:t xml:space="preserve">mathematics literacy activities for families focused on understanding student assessment data, why proficiency is important, </w:t>
            </w:r>
            <w:r w:rsidR="00CF6151" w:rsidRPr="00E93B9B">
              <w:rPr>
                <w:rFonts w:cs="Arial"/>
                <w:szCs w:val="24"/>
              </w:rPr>
              <w:t xml:space="preserve">Math Family Nights, </w:t>
            </w:r>
            <w:r w:rsidRPr="00E93B9B">
              <w:rPr>
                <w:rFonts w:cs="Arial"/>
                <w:szCs w:val="24"/>
              </w:rPr>
              <w:t>and</w:t>
            </w:r>
            <w:r w:rsidR="00CF6151" w:rsidRPr="00E93B9B">
              <w:rPr>
                <w:rFonts w:cs="Arial"/>
                <w:szCs w:val="24"/>
              </w:rPr>
              <w:t>/or</w:t>
            </w:r>
            <w:r w:rsidRPr="00E93B9B">
              <w:rPr>
                <w:rFonts w:cs="Arial"/>
                <w:szCs w:val="24"/>
              </w:rPr>
              <w:t xml:space="preserve"> how parents can support student achievement.</w:t>
            </w:r>
          </w:p>
        </w:tc>
        <w:tc>
          <w:tcPr>
            <w:tcW w:w="5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E599" w:themeFill="accent4" w:themeFillTint="66"/>
          </w:tcPr>
          <w:p w14:paraId="4A9DD23B" w14:textId="56E0B488" w:rsidR="00452E94" w:rsidRPr="00E93B9B" w:rsidRDefault="00002DF3" w:rsidP="00E75383">
            <w:pPr>
              <w:rPr>
                <w:rFonts w:cs="Arial"/>
                <w:bCs/>
                <w:szCs w:val="24"/>
              </w:rPr>
            </w:pPr>
            <w:r w:rsidRPr="00E93B9B">
              <w:rPr>
                <w:rFonts w:cs="Arial"/>
                <w:bCs/>
                <w:szCs w:val="24"/>
              </w:rPr>
              <w:t>N/A</w:t>
            </w:r>
          </w:p>
        </w:tc>
      </w:tr>
      <w:tr w:rsidR="00BF2C66" w:rsidRPr="00E93B9B" w14:paraId="3387A5A6" w14:textId="77777777" w:rsidTr="00E93B9B">
        <w:trPr>
          <w:cantSplit/>
          <w:trHeight w:val="386"/>
        </w:trPr>
        <w:tc>
          <w:tcPr>
            <w:tcW w:w="25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FFFF66"/>
          </w:tcPr>
          <w:p w14:paraId="7149A893" w14:textId="77777777" w:rsidR="00BF2C66" w:rsidRPr="00E93B9B" w:rsidRDefault="00BF2C66" w:rsidP="00BF2C66">
            <w:pPr>
              <w:spacing w:after="120"/>
              <w:rPr>
                <w:rFonts w:cs="Arial"/>
                <w:b/>
                <w:szCs w:val="24"/>
              </w:rPr>
            </w:pPr>
            <w:r w:rsidRPr="00E93B9B">
              <w:rPr>
                <w:rFonts w:cs="Arial"/>
                <w:b/>
                <w:szCs w:val="24"/>
              </w:rPr>
              <w:t>English Language Development (ELD)</w:t>
            </w:r>
          </w:p>
        </w:tc>
        <w:tc>
          <w:tcPr>
            <w:tcW w:w="549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66"/>
          </w:tcPr>
          <w:p w14:paraId="53FB738B" w14:textId="77777777" w:rsidR="00BF2C66" w:rsidRPr="00E93B9B" w:rsidRDefault="00BF2C66" w:rsidP="00BF2C66">
            <w:pPr>
              <w:rPr>
                <w:rFonts w:cs="Arial"/>
                <w:szCs w:val="24"/>
              </w:rPr>
            </w:pPr>
            <w:r w:rsidRPr="00E93B9B">
              <w:rPr>
                <w:rFonts w:cs="Arial"/>
                <w:szCs w:val="24"/>
              </w:rPr>
              <w:t>All instructional services for core content areas (e.g., ELA, math, history, science, civics) must include integrated ELD.</w:t>
            </w:r>
          </w:p>
        </w:tc>
        <w:tc>
          <w:tcPr>
            <w:tcW w:w="504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</w:tcPr>
          <w:p w14:paraId="708C77F4" w14:textId="2123C63E" w:rsidR="00BF2C66" w:rsidRPr="00E93B9B" w:rsidRDefault="00BF2C66" w:rsidP="00BF2C66">
            <w:pPr>
              <w:rPr>
                <w:rFonts w:cs="Arial"/>
                <w:bCs/>
                <w:szCs w:val="24"/>
              </w:rPr>
            </w:pPr>
            <w:r w:rsidRPr="00E93B9B">
              <w:rPr>
                <w:rFonts w:cs="Arial"/>
                <w:szCs w:val="24"/>
              </w:rPr>
              <w:t>N/A</w:t>
            </w:r>
          </w:p>
        </w:tc>
        <w:tc>
          <w:tcPr>
            <w:tcW w:w="5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66"/>
          </w:tcPr>
          <w:p w14:paraId="57E2D163" w14:textId="77777777" w:rsidR="00BF2C66" w:rsidRPr="00E93B9B" w:rsidRDefault="00BF2C66" w:rsidP="00BF2C66">
            <w:pPr>
              <w:rPr>
                <w:rFonts w:cs="Arial"/>
                <w:szCs w:val="24"/>
              </w:rPr>
            </w:pPr>
            <w:r w:rsidRPr="00E93B9B">
              <w:rPr>
                <w:rFonts w:cs="Arial"/>
                <w:szCs w:val="24"/>
              </w:rPr>
              <w:t>N/A</w:t>
            </w:r>
          </w:p>
        </w:tc>
      </w:tr>
      <w:tr w:rsidR="00BF2C66" w:rsidRPr="00E93B9B" w14:paraId="4F96B6B3" w14:textId="77777777" w:rsidTr="00E93B9B">
        <w:trPr>
          <w:cantSplit/>
          <w:trHeight w:val="494"/>
        </w:trPr>
        <w:tc>
          <w:tcPr>
            <w:tcW w:w="25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C5E0B3" w:themeFill="accent6" w:themeFillTint="66"/>
          </w:tcPr>
          <w:p w14:paraId="0FDCD949" w14:textId="77777777" w:rsidR="00BF2C66" w:rsidRPr="00E93B9B" w:rsidRDefault="00BF2C66" w:rsidP="00BF2C66">
            <w:pPr>
              <w:rPr>
                <w:rFonts w:cs="Arial"/>
                <w:szCs w:val="24"/>
              </w:rPr>
            </w:pPr>
            <w:r w:rsidRPr="00E93B9B">
              <w:rPr>
                <w:rFonts w:cs="Arial"/>
                <w:b/>
                <w:szCs w:val="24"/>
              </w:rPr>
              <w:t>Social and Emotional Learning (SEL)</w:t>
            </w:r>
          </w:p>
        </w:tc>
        <w:tc>
          <w:tcPr>
            <w:tcW w:w="5490" w:type="dxa"/>
            <w:tcBorders>
              <w:top w:val="single" w:sz="2" w:space="0" w:color="auto"/>
              <w:bottom w:val="single" w:sz="2" w:space="0" w:color="auto"/>
            </w:tcBorders>
            <w:shd w:val="clear" w:color="auto" w:fill="C5E0B3" w:themeFill="accent6" w:themeFillTint="66"/>
          </w:tcPr>
          <w:p w14:paraId="26888715" w14:textId="67B3E25E" w:rsidR="00BF2C66" w:rsidRPr="00E93B9B" w:rsidRDefault="00BF2C66" w:rsidP="00BF2C66">
            <w:pPr>
              <w:rPr>
                <w:rFonts w:cs="Arial"/>
                <w:szCs w:val="24"/>
              </w:rPr>
            </w:pPr>
            <w:r w:rsidRPr="00E93B9B">
              <w:rPr>
                <w:rFonts w:cs="Arial"/>
                <w:szCs w:val="24"/>
              </w:rPr>
              <w:t>Region and two most populous reimbursement districts provide one SEL workshop; direct-funded districts provide one SEL workshop</w:t>
            </w:r>
          </w:p>
        </w:tc>
        <w:tc>
          <w:tcPr>
            <w:tcW w:w="504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5EB307FE" w14:textId="0896060A" w:rsidR="00BF2C66" w:rsidRPr="00E93B9B" w:rsidRDefault="00BF2C66" w:rsidP="00BF2C66">
            <w:pPr>
              <w:rPr>
                <w:rFonts w:cs="Arial"/>
                <w:szCs w:val="24"/>
              </w:rPr>
            </w:pPr>
            <w:r w:rsidRPr="00E93B9B">
              <w:rPr>
                <w:rFonts w:cs="Arial"/>
                <w:szCs w:val="24"/>
              </w:rPr>
              <w:t xml:space="preserve">Incorporate SEL into </w:t>
            </w:r>
            <w:r w:rsidR="00A242BE" w:rsidRPr="00E93B9B">
              <w:rPr>
                <w:rFonts w:cs="Arial"/>
                <w:szCs w:val="24"/>
              </w:rPr>
              <w:t xml:space="preserve">25% </w:t>
            </w:r>
            <w:r w:rsidR="00714242" w:rsidRPr="00E93B9B">
              <w:rPr>
                <w:rFonts w:cs="Arial"/>
                <w:szCs w:val="24"/>
              </w:rPr>
              <w:t xml:space="preserve">of </w:t>
            </w:r>
            <w:r w:rsidRPr="00E93B9B">
              <w:rPr>
                <w:rFonts w:cs="Arial"/>
                <w:szCs w:val="24"/>
              </w:rPr>
              <w:t>instructional services excluding credit accrual services, and any services using state codes.</w:t>
            </w:r>
          </w:p>
        </w:tc>
        <w:tc>
          <w:tcPr>
            <w:tcW w:w="5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15469389" w14:textId="73E050BB" w:rsidR="00BF2C66" w:rsidRPr="00E93B9B" w:rsidRDefault="00BF2C66" w:rsidP="00BF2C66">
            <w:pPr>
              <w:rPr>
                <w:rFonts w:cs="Arial"/>
                <w:bCs/>
                <w:szCs w:val="24"/>
              </w:rPr>
            </w:pPr>
            <w:r w:rsidRPr="00E93B9B">
              <w:rPr>
                <w:rFonts w:cs="Arial"/>
                <w:szCs w:val="24"/>
              </w:rPr>
              <w:t>Provide one professional learning opportunity to staff to build capacity to implement SEL into their lessons.</w:t>
            </w:r>
          </w:p>
        </w:tc>
      </w:tr>
      <w:tr w:rsidR="00BF2C66" w:rsidRPr="00E93B9B" w14:paraId="724E2899" w14:textId="77777777" w:rsidTr="00E93B9B">
        <w:trPr>
          <w:cantSplit/>
          <w:trHeight w:val="868"/>
        </w:trPr>
        <w:tc>
          <w:tcPr>
            <w:tcW w:w="25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B4C6E7" w:themeFill="accent5" w:themeFillTint="66"/>
          </w:tcPr>
          <w:p w14:paraId="75EA8D3F" w14:textId="77777777" w:rsidR="00BF2C66" w:rsidRPr="00E93B9B" w:rsidRDefault="00BF2C66" w:rsidP="00BF2C66">
            <w:pPr>
              <w:rPr>
                <w:rFonts w:cs="Arial"/>
                <w:b/>
                <w:szCs w:val="24"/>
              </w:rPr>
            </w:pPr>
            <w:r w:rsidRPr="00E93B9B">
              <w:rPr>
                <w:rFonts w:cs="Arial"/>
                <w:b/>
                <w:szCs w:val="24"/>
              </w:rPr>
              <w:t>High School</w:t>
            </w:r>
          </w:p>
          <w:p w14:paraId="42398FB7" w14:textId="168313AE" w:rsidR="00BF2C66" w:rsidRPr="00E93B9B" w:rsidRDefault="00BF2C66" w:rsidP="00BF2C66">
            <w:pPr>
              <w:rPr>
                <w:rFonts w:cs="Arial"/>
                <w:b/>
                <w:bCs/>
                <w:szCs w:val="24"/>
              </w:rPr>
            </w:pPr>
            <w:r w:rsidRPr="00E93B9B">
              <w:rPr>
                <w:rFonts w:cs="Arial"/>
                <w:b/>
                <w:bCs/>
                <w:szCs w:val="24"/>
              </w:rPr>
              <w:t>Outcomes</w:t>
            </w:r>
          </w:p>
        </w:tc>
        <w:tc>
          <w:tcPr>
            <w:tcW w:w="5490" w:type="dxa"/>
            <w:tcBorders>
              <w:top w:val="single" w:sz="2" w:space="0" w:color="auto"/>
              <w:bottom w:val="single" w:sz="2" w:space="0" w:color="auto"/>
            </w:tcBorders>
            <w:shd w:val="clear" w:color="auto" w:fill="B4C6E7" w:themeFill="accent5" w:themeFillTint="66"/>
          </w:tcPr>
          <w:p w14:paraId="21085A4B" w14:textId="486B9A57" w:rsidR="00BF2C66" w:rsidRPr="00E93B9B" w:rsidRDefault="00BF2C66" w:rsidP="00BF2C66">
            <w:pPr>
              <w:rPr>
                <w:rFonts w:cs="Arial"/>
                <w:szCs w:val="24"/>
              </w:rPr>
            </w:pPr>
            <w:r w:rsidRPr="00E93B9B">
              <w:rPr>
                <w:rFonts w:cs="Arial"/>
                <w:szCs w:val="24"/>
              </w:rPr>
              <w:t>Case management service to 40% of 9</w:t>
            </w:r>
            <w:r w:rsidRPr="00E93B9B">
              <w:rPr>
                <w:rFonts w:cs="Arial"/>
                <w:szCs w:val="24"/>
                <w:vertAlign w:val="superscript"/>
              </w:rPr>
              <w:t>th</w:t>
            </w:r>
            <w:r w:rsidRPr="00E93B9B">
              <w:rPr>
                <w:rFonts w:cs="Arial"/>
                <w:szCs w:val="24"/>
              </w:rPr>
              <w:t>–12</w:t>
            </w:r>
            <w:r w:rsidRPr="00E93B9B">
              <w:rPr>
                <w:rFonts w:cs="Arial"/>
                <w:szCs w:val="24"/>
                <w:vertAlign w:val="superscript"/>
              </w:rPr>
              <w:t>th</w:t>
            </w:r>
            <w:r w:rsidRPr="00E93B9B">
              <w:rPr>
                <w:rFonts w:cs="Arial"/>
                <w:szCs w:val="24"/>
              </w:rPr>
              <w:t xml:space="preserve"> graders who are credit deficient or at risk of being credit deficient.</w:t>
            </w:r>
          </w:p>
        </w:tc>
        <w:tc>
          <w:tcPr>
            <w:tcW w:w="504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4C6E7" w:themeFill="accent5" w:themeFillTint="66"/>
          </w:tcPr>
          <w:p w14:paraId="587CA891" w14:textId="12480F27" w:rsidR="00BF2C66" w:rsidRPr="00E93B9B" w:rsidRDefault="00BF2C66" w:rsidP="00BF2C66">
            <w:pPr>
              <w:rPr>
                <w:rFonts w:cs="Arial"/>
                <w:szCs w:val="24"/>
              </w:rPr>
            </w:pPr>
            <w:r w:rsidRPr="00E93B9B">
              <w:rPr>
                <w:rFonts w:cs="Arial"/>
                <w:szCs w:val="24"/>
              </w:rPr>
              <w:t>Provide credit accrual courses to 50% of students with an identified need.</w:t>
            </w:r>
          </w:p>
        </w:tc>
        <w:tc>
          <w:tcPr>
            <w:tcW w:w="5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B4C6E7" w:themeFill="accent5" w:themeFillTint="66"/>
          </w:tcPr>
          <w:p w14:paraId="415B9ACB" w14:textId="77777777" w:rsidR="00BF2C66" w:rsidRPr="00E93B9B" w:rsidRDefault="00BF2C66" w:rsidP="00BF2C66">
            <w:pPr>
              <w:rPr>
                <w:rFonts w:cs="Arial"/>
                <w:szCs w:val="24"/>
              </w:rPr>
            </w:pPr>
            <w:r w:rsidRPr="00E93B9B">
              <w:rPr>
                <w:rFonts w:cs="Arial"/>
                <w:szCs w:val="24"/>
              </w:rPr>
              <w:t>N/A</w:t>
            </w:r>
          </w:p>
        </w:tc>
      </w:tr>
      <w:tr w:rsidR="00BF2C66" w:rsidRPr="00E93B9B" w14:paraId="0955DDCC" w14:textId="77777777" w:rsidTr="00E93B9B">
        <w:trPr>
          <w:cantSplit/>
          <w:trHeight w:val="332"/>
        </w:trPr>
        <w:tc>
          <w:tcPr>
            <w:tcW w:w="25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CCCCFF"/>
          </w:tcPr>
          <w:p w14:paraId="142F35AB" w14:textId="3321F0B4" w:rsidR="00BF2C66" w:rsidRPr="00E93B9B" w:rsidRDefault="00BF2C66" w:rsidP="00BF2C66">
            <w:pPr>
              <w:rPr>
                <w:rFonts w:cs="Arial"/>
                <w:szCs w:val="24"/>
              </w:rPr>
            </w:pPr>
            <w:r w:rsidRPr="00E93B9B">
              <w:rPr>
                <w:rFonts w:cs="Arial"/>
                <w:b/>
                <w:szCs w:val="24"/>
              </w:rPr>
              <w:t>School Readiness</w:t>
            </w:r>
          </w:p>
        </w:tc>
        <w:tc>
          <w:tcPr>
            <w:tcW w:w="5490" w:type="dxa"/>
            <w:tcBorders>
              <w:top w:val="single" w:sz="2" w:space="0" w:color="auto"/>
              <w:bottom w:val="single" w:sz="2" w:space="0" w:color="auto"/>
            </w:tcBorders>
            <w:shd w:val="clear" w:color="auto" w:fill="CCCCFF"/>
          </w:tcPr>
          <w:p w14:paraId="67319C24" w14:textId="02685AD8" w:rsidR="00BF2C66" w:rsidRPr="00E93B9B" w:rsidRDefault="00BF2C66" w:rsidP="00BF2C66">
            <w:pPr>
              <w:rPr>
                <w:rFonts w:cs="Arial"/>
                <w:szCs w:val="24"/>
              </w:rPr>
            </w:pPr>
            <w:r w:rsidRPr="00E93B9B">
              <w:rPr>
                <w:rFonts w:cs="Arial"/>
                <w:szCs w:val="24"/>
              </w:rPr>
              <w:t>15-hour service for Pre-K and TK children focusing on developing knowledge and skills in primary and secondary (i.e., English) languages and mathematics.</w:t>
            </w:r>
          </w:p>
        </w:tc>
        <w:tc>
          <w:tcPr>
            <w:tcW w:w="504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FF"/>
          </w:tcPr>
          <w:p w14:paraId="753FEE10" w14:textId="332C0811" w:rsidR="00BF2C66" w:rsidRPr="00E93B9B" w:rsidRDefault="00BF2C66" w:rsidP="00BF2C66">
            <w:pPr>
              <w:rPr>
                <w:rFonts w:cs="Arial"/>
                <w:szCs w:val="24"/>
              </w:rPr>
            </w:pPr>
            <w:r w:rsidRPr="00E93B9B">
              <w:rPr>
                <w:rFonts w:cs="Arial"/>
                <w:szCs w:val="24"/>
              </w:rPr>
              <w:t>Offer one parent workshop to support primary/secondary language development, strategies that support early learning and SEL development at home.</w:t>
            </w:r>
          </w:p>
        </w:tc>
        <w:tc>
          <w:tcPr>
            <w:tcW w:w="5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CCCCFF"/>
          </w:tcPr>
          <w:p w14:paraId="309CC59D" w14:textId="255038B3" w:rsidR="00BF2C66" w:rsidRPr="00E93B9B" w:rsidRDefault="00BF2C66" w:rsidP="00BF2C66">
            <w:pPr>
              <w:rPr>
                <w:rFonts w:cs="Arial"/>
                <w:szCs w:val="24"/>
              </w:rPr>
            </w:pPr>
            <w:r w:rsidRPr="00E93B9B">
              <w:rPr>
                <w:rFonts w:cs="Arial"/>
                <w:szCs w:val="24"/>
              </w:rPr>
              <w:t>N/A</w:t>
            </w:r>
          </w:p>
        </w:tc>
      </w:tr>
      <w:tr w:rsidR="00BF2C66" w:rsidRPr="00E93B9B" w14:paraId="0BFEB059" w14:textId="77777777" w:rsidTr="00E93B9B">
        <w:trPr>
          <w:cantSplit/>
          <w:trHeight w:val="287"/>
        </w:trPr>
        <w:tc>
          <w:tcPr>
            <w:tcW w:w="25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FFCCFF"/>
          </w:tcPr>
          <w:p w14:paraId="217BFAA7" w14:textId="399E668E" w:rsidR="00BF2C66" w:rsidRPr="00E93B9B" w:rsidRDefault="00BF2C66" w:rsidP="00BF2C66">
            <w:pPr>
              <w:rPr>
                <w:rFonts w:cs="Arial"/>
                <w:szCs w:val="24"/>
              </w:rPr>
            </w:pPr>
            <w:r w:rsidRPr="00E93B9B">
              <w:rPr>
                <w:rFonts w:cs="Arial"/>
                <w:b/>
                <w:szCs w:val="24"/>
              </w:rPr>
              <w:t>Out-of-School Youth (OSY)</w:t>
            </w:r>
          </w:p>
        </w:tc>
        <w:tc>
          <w:tcPr>
            <w:tcW w:w="549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FF"/>
          </w:tcPr>
          <w:p w14:paraId="69A5551A" w14:textId="3394D4CE" w:rsidR="00BF2C66" w:rsidRPr="00E93B9B" w:rsidRDefault="00BF2C66" w:rsidP="00BF2C66">
            <w:pPr>
              <w:rPr>
                <w:rFonts w:cs="Arial"/>
                <w:szCs w:val="24"/>
              </w:rPr>
            </w:pPr>
            <w:r w:rsidRPr="00E93B9B">
              <w:rPr>
                <w:rFonts w:cs="Arial"/>
                <w:szCs w:val="24"/>
              </w:rPr>
              <w:t>Provide career technical education information to 65% of OSY with an indicated need on the individual needs assessment (INA).</w:t>
            </w:r>
          </w:p>
        </w:tc>
        <w:tc>
          <w:tcPr>
            <w:tcW w:w="504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CFF"/>
          </w:tcPr>
          <w:p w14:paraId="06BEB98A" w14:textId="2F58394E" w:rsidR="00BF2C66" w:rsidRPr="00E93B9B" w:rsidRDefault="00BF2C66" w:rsidP="00BF2C66">
            <w:pPr>
              <w:rPr>
                <w:rFonts w:cs="Arial"/>
                <w:szCs w:val="24"/>
              </w:rPr>
            </w:pPr>
            <w:r w:rsidRPr="00E93B9B">
              <w:rPr>
                <w:rFonts w:cs="Arial"/>
                <w:szCs w:val="24"/>
              </w:rPr>
              <w:t>Provide ELD, ELA, and literacy services (referral or direct services) to 70% of OSY with an identified need on the INA.</w:t>
            </w:r>
          </w:p>
        </w:tc>
        <w:tc>
          <w:tcPr>
            <w:tcW w:w="5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CCFF"/>
          </w:tcPr>
          <w:p w14:paraId="5DE0969B" w14:textId="0E2A49E6" w:rsidR="00BF2C66" w:rsidRPr="00E93B9B" w:rsidRDefault="00BF2C66" w:rsidP="00BF2C66">
            <w:pPr>
              <w:rPr>
                <w:rFonts w:cs="Arial"/>
                <w:szCs w:val="24"/>
              </w:rPr>
            </w:pPr>
            <w:r w:rsidRPr="00E93B9B">
              <w:rPr>
                <w:rFonts w:cs="Arial"/>
                <w:szCs w:val="24"/>
              </w:rPr>
              <w:t>Provide high school equivalency program test prep workshops to 80% of OSY with an identified need on the INA.</w:t>
            </w:r>
          </w:p>
        </w:tc>
      </w:tr>
      <w:tr w:rsidR="00BF2C66" w:rsidRPr="00E93B9B" w14:paraId="37991C89" w14:textId="77777777" w:rsidTr="00E93B9B">
        <w:trPr>
          <w:cantSplit/>
          <w:trHeight w:val="179"/>
        </w:trPr>
        <w:tc>
          <w:tcPr>
            <w:tcW w:w="25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14:paraId="13CE0CA6" w14:textId="112BF16A" w:rsidR="00BF2C66" w:rsidRPr="00E93B9B" w:rsidRDefault="00BF2C66" w:rsidP="00BF2C66">
            <w:pPr>
              <w:rPr>
                <w:rFonts w:cs="Arial"/>
                <w:szCs w:val="24"/>
              </w:rPr>
            </w:pPr>
            <w:r w:rsidRPr="00E93B9B">
              <w:rPr>
                <w:rFonts w:cs="Arial"/>
                <w:b/>
                <w:szCs w:val="24"/>
              </w:rPr>
              <w:t>Health</w:t>
            </w:r>
          </w:p>
        </w:tc>
        <w:tc>
          <w:tcPr>
            <w:tcW w:w="549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14:paraId="2EE9F36E" w14:textId="03DDB382" w:rsidR="00BF2C66" w:rsidRPr="00E93B9B" w:rsidRDefault="00BF2C66" w:rsidP="00BF2C66">
            <w:pPr>
              <w:rPr>
                <w:rFonts w:cs="Arial"/>
                <w:szCs w:val="24"/>
              </w:rPr>
            </w:pPr>
            <w:r w:rsidRPr="00E93B9B">
              <w:rPr>
                <w:rFonts w:cs="Arial"/>
                <w:szCs w:val="24"/>
              </w:rPr>
              <w:t>Offer two mental health sessions for: students/OSY only, parents only, or a mix.</w:t>
            </w:r>
          </w:p>
        </w:tc>
        <w:tc>
          <w:tcPr>
            <w:tcW w:w="504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02C7D7A" w14:textId="3902F095" w:rsidR="00BF2C66" w:rsidRPr="00E93B9B" w:rsidRDefault="00BF2C66" w:rsidP="00BF2C66">
            <w:pPr>
              <w:rPr>
                <w:rFonts w:cs="Arial"/>
                <w:szCs w:val="24"/>
              </w:rPr>
            </w:pPr>
            <w:r w:rsidRPr="00E93B9B">
              <w:rPr>
                <w:rFonts w:cs="Arial"/>
                <w:szCs w:val="24"/>
              </w:rPr>
              <w:t>Mental health services and referrals to 80% of children and OSY with a need</w:t>
            </w:r>
          </w:p>
        </w:tc>
        <w:tc>
          <w:tcPr>
            <w:tcW w:w="5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5D6AC34" w14:textId="504AEBA6" w:rsidR="00BF2C66" w:rsidRPr="00E93B9B" w:rsidRDefault="00BF2C66" w:rsidP="00BF2C66">
            <w:pPr>
              <w:rPr>
                <w:rFonts w:cs="Arial"/>
                <w:bCs/>
                <w:szCs w:val="24"/>
              </w:rPr>
            </w:pPr>
            <w:r w:rsidRPr="00E93B9B">
              <w:rPr>
                <w:rFonts w:cs="Arial"/>
                <w:bCs/>
                <w:szCs w:val="24"/>
              </w:rPr>
              <w:t>N/A</w:t>
            </w:r>
          </w:p>
        </w:tc>
      </w:tr>
      <w:tr w:rsidR="00BF2C66" w:rsidRPr="00E93B9B" w14:paraId="0FABBE0E" w14:textId="77777777" w:rsidTr="00E93B9B">
        <w:trPr>
          <w:cantSplit/>
          <w:trHeight w:val="832"/>
        </w:trPr>
        <w:tc>
          <w:tcPr>
            <w:tcW w:w="25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FFFFCC"/>
          </w:tcPr>
          <w:p w14:paraId="7D5724D1" w14:textId="113D08E4" w:rsidR="00BF2C66" w:rsidRPr="00E93B9B" w:rsidRDefault="00BF2C66" w:rsidP="00BF2C66">
            <w:pPr>
              <w:rPr>
                <w:rFonts w:cs="Arial"/>
                <w:szCs w:val="24"/>
              </w:rPr>
            </w:pPr>
            <w:r w:rsidRPr="00E93B9B">
              <w:rPr>
                <w:rFonts w:cs="Arial"/>
                <w:b/>
                <w:szCs w:val="24"/>
              </w:rPr>
              <w:t>Parent and Family Engagement</w:t>
            </w:r>
          </w:p>
        </w:tc>
        <w:tc>
          <w:tcPr>
            <w:tcW w:w="549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CC"/>
          </w:tcPr>
          <w:p w14:paraId="2A3427B4" w14:textId="0532A01E" w:rsidR="00BF2C66" w:rsidRPr="00E93B9B" w:rsidRDefault="00BF2C66" w:rsidP="00BF2C66">
            <w:pPr>
              <w:rPr>
                <w:rFonts w:cs="Arial"/>
                <w:szCs w:val="24"/>
              </w:rPr>
            </w:pPr>
            <w:r w:rsidRPr="00E93B9B">
              <w:rPr>
                <w:rFonts w:cs="Arial"/>
                <w:szCs w:val="24"/>
              </w:rPr>
              <w:t>Provide four workshops with two to be selected by the state and two to be selected by the local parent advisory council.</w:t>
            </w:r>
          </w:p>
        </w:tc>
        <w:tc>
          <w:tcPr>
            <w:tcW w:w="504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14:paraId="2DE3F35E" w14:textId="5E82323F" w:rsidR="00BF2C66" w:rsidRPr="00E93B9B" w:rsidRDefault="00BF2C66" w:rsidP="00BF2C66">
            <w:pPr>
              <w:rPr>
                <w:rFonts w:cs="Arial"/>
                <w:szCs w:val="24"/>
              </w:rPr>
            </w:pPr>
            <w:r w:rsidRPr="00E93B9B">
              <w:rPr>
                <w:rFonts w:cs="Arial"/>
                <w:szCs w:val="24"/>
              </w:rPr>
              <w:t>N/A</w:t>
            </w:r>
          </w:p>
        </w:tc>
        <w:tc>
          <w:tcPr>
            <w:tcW w:w="5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000000" w:themeColor="text1"/>
            </w:tcBorders>
            <w:shd w:val="clear" w:color="auto" w:fill="FFFFCC"/>
          </w:tcPr>
          <w:p w14:paraId="1CFC21DC" w14:textId="77777777" w:rsidR="00BF2C66" w:rsidRPr="00E93B9B" w:rsidRDefault="00BF2C66" w:rsidP="00BF2C66">
            <w:pPr>
              <w:rPr>
                <w:rFonts w:cs="Arial"/>
                <w:szCs w:val="24"/>
              </w:rPr>
            </w:pPr>
            <w:r w:rsidRPr="00E93B9B">
              <w:rPr>
                <w:rFonts w:cs="Arial"/>
                <w:szCs w:val="24"/>
              </w:rPr>
              <w:t>N/A</w:t>
            </w:r>
          </w:p>
        </w:tc>
      </w:tr>
      <w:tr w:rsidR="00BF2C66" w:rsidRPr="00E93B9B" w14:paraId="64FAFEC0" w14:textId="77777777" w:rsidTr="00E93B9B">
        <w:trPr>
          <w:cantSplit/>
          <w:trHeight w:val="60"/>
        </w:trPr>
        <w:tc>
          <w:tcPr>
            <w:tcW w:w="2505" w:type="dxa"/>
            <w:tcBorders>
              <w:top w:val="single" w:sz="2" w:space="0" w:color="auto"/>
              <w:left w:val="single" w:sz="12" w:space="0" w:color="auto"/>
              <w:bottom w:val="single" w:sz="12" w:space="0" w:color="000000" w:themeColor="text1"/>
            </w:tcBorders>
          </w:tcPr>
          <w:p w14:paraId="7E869D5C" w14:textId="4C63E2F1" w:rsidR="00BF2C66" w:rsidRPr="00E93B9B" w:rsidRDefault="00BF2C66" w:rsidP="00BF2C66">
            <w:pPr>
              <w:rPr>
                <w:rFonts w:cs="Arial"/>
                <w:b/>
                <w:szCs w:val="24"/>
              </w:rPr>
            </w:pPr>
            <w:r w:rsidRPr="00E93B9B">
              <w:rPr>
                <w:rFonts w:cs="Arial"/>
                <w:b/>
                <w:szCs w:val="24"/>
              </w:rPr>
              <w:t>Student Engagement</w:t>
            </w:r>
          </w:p>
        </w:tc>
        <w:tc>
          <w:tcPr>
            <w:tcW w:w="5490" w:type="dxa"/>
            <w:tcBorders>
              <w:top w:val="single" w:sz="2" w:space="0" w:color="auto"/>
              <w:bottom w:val="single" w:sz="12" w:space="0" w:color="000000" w:themeColor="text1"/>
            </w:tcBorders>
          </w:tcPr>
          <w:p w14:paraId="478CF5B0" w14:textId="7A8DF6A2" w:rsidR="00BF2C66" w:rsidRPr="00E93B9B" w:rsidRDefault="00BF2C66" w:rsidP="00BF2C66">
            <w:pPr>
              <w:rPr>
                <w:rFonts w:cs="Arial"/>
                <w:szCs w:val="24"/>
              </w:rPr>
            </w:pPr>
            <w:r w:rsidRPr="00E93B9B">
              <w:rPr>
                <w:rFonts w:cs="Arial"/>
                <w:szCs w:val="24"/>
              </w:rPr>
              <w:t>65% of instructional services excluding credit accrual services will include culturally sustaining pedagogy</w:t>
            </w:r>
          </w:p>
        </w:tc>
        <w:tc>
          <w:tcPr>
            <w:tcW w:w="5040" w:type="dxa"/>
            <w:tcBorders>
              <w:top w:val="single" w:sz="2" w:space="0" w:color="auto"/>
              <w:bottom w:val="single" w:sz="12" w:space="0" w:color="000000" w:themeColor="text1"/>
              <w:right w:val="single" w:sz="2" w:space="0" w:color="auto"/>
            </w:tcBorders>
          </w:tcPr>
          <w:p w14:paraId="05BA2B45" w14:textId="4E2617D8" w:rsidR="00BF2C66" w:rsidRPr="00E93B9B" w:rsidRDefault="00BF2C66" w:rsidP="00BF2C66">
            <w:pPr>
              <w:rPr>
                <w:rFonts w:cs="Arial"/>
                <w:szCs w:val="24"/>
              </w:rPr>
            </w:pPr>
            <w:r w:rsidRPr="00E93B9B">
              <w:rPr>
                <w:rFonts w:cs="Arial"/>
                <w:szCs w:val="24"/>
              </w:rPr>
              <w:t>Provide one professional learning opportunity to extend staff’s knowledge and skills in culturally sustaining pedagogy.</w:t>
            </w:r>
          </w:p>
        </w:tc>
        <w:tc>
          <w:tcPr>
            <w:tcW w:w="5130" w:type="dxa"/>
            <w:tcBorders>
              <w:top w:val="single" w:sz="2" w:space="0" w:color="auto"/>
              <w:left w:val="single" w:sz="2" w:space="0" w:color="auto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21AB0BC" w14:textId="30CC1EF5" w:rsidR="00BF2C66" w:rsidRPr="00E93B9B" w:rsidRDefault="00BF2C66" w:rsidP="00BF2C66">
            <w:pPr>
              <w:rPr>
                <w:rFonts w:cs="Arial"/>
                <w:bCs/>
                <w:szCs w:val="24"/>
              </w:rPr>
            </w:pPr>
            <w:r w:rsidRPr="00E93B9B">
              <w:rPr>
                <w:rFonts w:cs="Arial"/>
                <w:bCs/>
                <w:szCs w:val="24"/>
              </w:rPr>
              <w:t>N/A</w:t>
            </w:r>
          </w:p>
        </w:tc>
      </w:tr>
    </w:tbl>
    <w:p w14:paraId="226015B5" w14:textId="10E58184" w:rsidR="003F0FD2" w:rsidRPr="00E93B9B" w:rsidRDefault="00864E91" w:rsidP="00E93B9B">
      <w:pPr>
        <w:pStyle w:val="Footer"/>
        <w:jc w:val="right"/>
        <w:rPr>
          <w:rFonts w:cs="Arial"/>
          <w:szCs w:val="24"/>
        </w:rPr>
      </w:pPr>
      <w:r w:rsidRPr="00E93B9B">
        <w:rPr>
          <w:rFonts w:cs="Arial"/>
          <w:szCs w:val="24"/>
        </w:rPr>
        <w:t xml:space="preserve"> </w:t>
      </w:r>
      <w:r w:rsidR="003F0FD2" w:rsidRPr="00E93B9B">
        <w:rPr>
          <w:rFonts w:cs="Arial"/>
          <w:szCs w:val="24"/>
        </w:rPr>
        <w:t xml:space="preserve">California Department of Education </w:t>
      </w:r>
      <w:r w:rsidR="00CF6151" w:rsidRPr="00E93B9B">
        <w:rPr>
          <w:rFonts w:cs="Arial"/>
          <w:szCs w:val="24"/>
        </w:rPr>
        <w:t>June</w:t>
      </w:r>
      <w:r w:rsidR="00452E94" w:rsidRPr="00E93B9B">
        <w:rPr>
          <w:rFonts w:cs="Arial"/>
          <w:szCs w:val="24"/>
        </w:rPr>
        <w:t xml:space="preserve"> 2025</w:t>
      </w:r>
    </w:p>
    <w:p w14:paraId="5B2D95A5" w14:textId="77777777" w:rsidR="003F0FD2" w:rsidRPr="00E93B9B" w:rsidRDefault="003F0FD2" w:rsidP="00E93B9B">
      <w:pPr>
        <w:pStyle w:val="Heading2"/>
        <w:rPr>
          <w:sz w:val="24"/>
          <w:szCs w:val="24"/>
          <w:lang w:val="es-ES"/>
        </w:rPr>
      </w:pPr>
      <w:r w:rsidRPr="00E93B9B">
        <w:rPr>
          <w:sz w:val="24"/>
          <w:szCs w:val="24"/>
          <w:lang w:val="es-ES"/>
        </w:rPr>
        <w:lastRenderedPageBreak/>
        <w:t>Plan Estatal de Servicios Migrantes A-la-vista: Oficina de Educación de Migrantes</w:t>
      </w:r>
    </w:p>
    <w:tbl>
      <w:tblPr>
        <w:tblStyle w:val="TableGrid"/>
        <w:tblW w:w="18720" w:type="dxa"/>
        <w:tblInd w:w="-5" w:type="dxa"/>
        <w:tblLook w:val="04A0" w:firstRow="1" w:lastRow="0" w:firstColumn="1" w:lastColumn="0" w:noHBand="0" w:noVBand="1"/>
        <w:tblCaption w:val="Estrategias"/>
        <w:tblDescription w:val="Una tabla para las estrategias que estan en el Plan Estatal de Servicios Migrantes."/>
      </w:tblPr>
      <w:tblGrid>
        <w:gridCol w:w="1970"/>
        <w:gridCol w:w="6030"/>
        <w:gridCol w:w="6660"/>
        <w:gridCol w:w="4060"/>
      </w:tblGrid>
      <w:tr w:rsidR="003F0FD2" w:rsidRPr="00E93B9B" w14:paraId="3357BDBC" w14:textId="77777777" w:rsidTr="00632482">
        <w:trPr>
          <w:cantSplit/>
          <w:tblHeader/>
        </w:trPr>
        <w:tc>
          <w:tcPr>
            <w:tcW w:w="19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7ED2D36C" w14:textId="77777777" w:rsidR="003F0FD2" w:rsidRPr="00E93B9B" w:rsidRDefault="003F0FD2" w:rsidP="00E75383">
            <w:pPr>
              <w:pStyle w:val="Heading3"/>
              <w:rPr>
                <w:rFonts w:cs="Arial"/>
                <w:lang w:val="es-MX"/>
              </w:rPr>
            </w:pPr>
            <w:r w:rsidRPr="00E93B9B">
              <w:rPr>
                <w:rFonts w:cs="Arial"/>
                <w:lang w:val="es-MX"/>
              </w:rPr>
              <w:t>Área de Enfoque</w:t>
            </w:r>
          </w:p>
        </w:tc>
        <w:tc>
          <w:tcPr>
            <w:tcW w:w="603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7905D96E" w14:textId="69A82892" w:rsidR="003F0FD2" w:rsidRPr="00E93B9B" w:rsidRDefault="00E77345" w:rsidP="00E75383">
            <w:pPr>
              <w:pStyle w:val="Heading3"/>
              <w:rPr>
                <w:rFonts w:cs="Arial"/>
                <w:lang w:val="es-ES"/>
              </w:rPr>
            </w:pPr>
            <w:r w:rsidRPr="00E93B9B">
              <w:rPr>
                <w:rFonts w:cs="Arial"/>
                <w:lang w:val="es-ES"/>
              </w:rPr>
              <w:t>Estrategia/Objetivo Medible del Programa (MPO*)</w:t>
            </w:r>
          </w:p>
        </w:tc>
        <w:tc>
          <w:tcPr>
            <w:tcW w:w="666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70735342" w14:textId="1D4746BD" w:rsidR="003F0FD2" w:rsidRPr="00E93B9B" w:rsidRDefault="00E77345" w:rsidP="00E75383">
            <w:pPr>
              <w:pStyle w:val="Heading3"/>
              <w:rPr>
                <w:rFonts w:cs="Arial"/>
                <w:lang w:val="es-ES"/>
              </w:rPr>
            </w:pPr>
            <w:r w:rsidRPr="00E93B9B">
              <w:rPr>
                <w:rFonts w:cs="Arial"/>
                <w:lang w:val="es-ES"/>
              </w:rPr>
              <w:t>Estrategia/</w:t>
            </w:r>
            <w:r w:rsidR="00632482" w:rsidRPr="00E93B9B">
              <w:rPr>
                <w:rFonts w:cs="Arial"/>
                <w:lang w:val="es-ES"/>
              </w:rPr>
              <w:t>MPO</w:t>
            </w:r>
          </w:p>
        </w:tc>
        <w:tc>
          <w:tcPr>
            <w:tcW w:w="4060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34E0663" w14:textId="5ECF2EF9" w:rsidR="003F0FD2" w:rsidRPr="00E93B9B" w:rsidRDefault="00E77345" w:rsidP="00E75383">
            <w:pPr>
              <w:pStyle w:val="Heading3"/>
              <w:rPr>
                <w:rFonts w:cs="Arial"/>
                <w:lang w:val="es-ES"/>
              </w:rPr>
            </w:pPr>
            <w:r w:rsidRPr="00E93B9B">
              <w:rPr>
                <w:rFonts w:cs="Arial"/>
                <w:lang w:val="es-ES"/>
              </w:rPr>
              <w:t>Estrategia/</w:t>
            </w:r>
            <w:r w:rsidR="00632482" w:rsidRPr="00E93B9B">
              <w:rPr>
                <w:rFonts w:cs="Arial"/>
                <w:lang w:val="es-ES"/>
              </w:rPr>
              <w:t>MPO</w:t>
            </w:r>
            <w:r w:rsidRPr="00E93B9B">
              <w:rPr>
                <w:rFonts w:cs="Arial"/>
                <w:lang w:val="es-ES"/>
              </w:rPr>
              <w:t xml:space="preserve"> (1)</w:t>
            </w:r>
          </w:p>
        </w:tc>
      </w:tr>
      <w:tr w:rsidR="003F0FD2" w:rsidRPr="00E93B9B" w14:paraId="30F6AF21" w14:textId="77777777" w:rsidTr="00632482">
        <w:trPr>
          <w:cantSplit/>
        </w:trPr>
        <w:tc>
          <w:tcPr>
            <w:tcW w:w="1970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FBE4D5" w:themeFill="accent2" w:themeFillTint="33"/>
          </w:tcPr>
          <w:p w14:paraId="4816B0DC" w14:textId="524B504C" w:rsidR="003F0FD2" w:rsidRPr="00E93B9B" w:rsidRDefault="003F0FD2" w:rsidP="00E75383">
            <w:pPr>
              <w:rPr>
                <w:rFonts w:cs="Arial"/>
                <w:b/>
                <w:szCs w:val="24"/>
                <w:lang w:val="es-ES"/>
              </w:rPr>
            </w:pPr>
            <w:r w:rsidRPr="00E93B9B">
              <w:rPr>
                <w:rFonts w:cs="Arial"/>
                <w:b/>
                <w:szCs w:val="24"/>
                <w:lang w:val="es-ES"/>
              </w:rPr>
              <w:t>Artes del lenguaje de inglés</w:t>
            </w:r>
            <w:r w:rsidR="008B2F06" w:rsidRPr="00E93B9B">
              <w:rPr>
                <w:rFonts w:cs="Arial"/>
                <w:b/>
                <w:szCs w:val="24"/>
                <w:lang w:val="es-ES"/>
              </w:rPr>
              <w:t xml:space="preserve"> </w:t>
            </w:r>
            <w:r w:rsidRPr="00E93B9B">
              <w:rPr>
                <w:rFonts w:cs="Arial"/>
                <w:b/>
                <w:szCs w:val="24"/>
                <w:lang w:val="es-ES"/>
              </w:rPr>
              <w:t>(ELA*)</w:t>
            </w:r>
          </w:p>
          <w:p w14:paraId="298BC06A" w14:textId="77777777" w:rsidR="003F0FD2" w:rsidRPr="00E93B9B" w:rsidRDefault="003F0FD2" w:rsidP="008C07B1">
            <w:pPr>
              <w:rPr>
                <w:rFonts w:cs="Arial"/>
                <w:szCs w:val="24"/>
                <w:lang w:val="es-ES"/>
              </w:rPr>
            </w:pPr>
            <w:r w:rsidRPr="00E93B9B">
              <w:rPr>
                <w:rFonts w:cs="Arial"/>
                <w:szCs w:val="24"/>
                <w:lang w:val="es-ES"/>
              </w:rPr>
              <w:t>Logro académico completo</w:t>
            </w:r>
          </w:p>
        </w:tc>
        <w:tc>
          <w:tcPr>
            <w:tcW w:w="6030" w:type="dxa"/>
            <w:tcBorders>
              <w:top w:val="single" w:sz="12" w:space="0" w:color="000000" w:themeColor="text1"/>
            </w:tcBorders>
            <w:shd w:val="clear" w:color="auto" w:fill="FBE4D5" w:themeFill="accent2" w:themeFillTint="33"/>
          </w:tcPr>
          <w:p w14:paraId="716169D6" w14:textId="6FEEA287" w:rsidR="003F0FD2" w:rsidRPr="00E93B9B" w:rsidRDefault="009C5D0D" w:rsidP="00E75383">
            <w:pPr>
              <w:contextualSpacing/>
              <w:rPr>
                <w:rFonts w:cs="Arial"/>
                <w:szCs w:val="24"/>
                <w:lang w:val="es-MX"/>
              </w:rPr>
            </w:pPr>
            <w:r w:rsidRPr="00E93B9B">
              <w:rPr>
                <w:rFonts w:cs="Arial"/>
                <w:szCs w:val="24"/>
                <w:lang w:val="es-MX"/>
              </w:rPr>
              <w:t>Instrucción directa en lectura y escritura con una duración de servicio aceptable para el aprendizaje durante el año escolar regular (RSY</w:t>
            </w:r>
            <w:r w:rsidR="00491D65" w:rsidRPr="00E93B9B">
              <w:rPr>
                <w:rFonts w:cs="Arial"/>
                <w:szCs w:val="24"/>
                <w:lang w:val="es-MX"/>
              </w:rPr>
              <w:t>*</w:t>
            </w:r>
            <w:r w:rsidRPr="00E93B9B">
              <w:rPr>
                <w:rFonts w:cs="Arial"/>
                <w:szCs w:val="24"/>
                <w:lang w:val="es-MX"/>
              </w:rPr>
              <w:t xml:space="preserve">) y el verano. Aumentar la participación anualmente a 3 % de los estudiantes de los grados K–12 que están </w:t>
            </w:r>
            <w:r w:rsidR="00030D81" w:rsidRPr="00E93B9B">
              <w:rPr>
                <w:rFonts w:cs="Arial"/>
                <w:szCs w:val="24"/>
                <w:lang w:val="es-MX"/>
              </w:rPr>
              <w:t xml:space="preserve">por </w:t>
            </w:r>
            <w:r w:rsidRPr="00E93B9B">
              <w:rPr>
                <w:rFonts w:cs="Arial"/>
                <w:szCs w:val="24"/>
                <w:lang w:val="es-MX"/>
              </w:rPr>
              <w:t>debajo del nivel estándar.</w:t>
            </w:r>
          </w:p>
        </w:tc>
        <w:tc>
          <w:tcPr>
            <w:tcW w:w="6660" w:type="dxa"/>
            <w:tcBorders>
              <w:top w:val="single" w:sz="12" w:space="0" w:color="000000" w:themeColor="text1"/>
            </w:tcBorders>
            <w:shd w:val="clear" w:color="auto" w:fill="FBE4D5" w:themeFill="accent2" w:themeFillTint="33"/>
          </w:tcPr>
          <w:p w14:paraId="412633F3" w14:textId="49EEB696" w:rsidR="003F0FD2" w:rsidRPr="00E93B9B" w:rsidRDefault="009C5D0D" w:rsidP="00E75383">
            <w:pPr>
              <w:contextualSpacing/>
              <w:rPr>
                <w:rFonts w:cs="Arial"/>
                <w:szCs w:val="24"/>
                <w:lang w:val="es-ES"/>
              </w:rPr>
            </w:pPr>
            <w:r w:rsidRPr="00E93B9B">
              <w:rPr>
                <w:rFonts w:cs="Arial"/>
                <w:szCs w:val="24"/>
                <w:lang w:val="es-MX"/>
              </w:rPr>
              <w:t>Enseñar el propósito, la estructura, y el lenguaje típico de por lo menos un subgénero del género informativo. Utilizar modelos de texto al enseñar lectura.</w:t>
            </w:r>
          </w:p>
        </w:tc>
        <w:tc>
          <w:tcPr>
            <w:tcW w:w="4060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FBE4D5" w:themeFill="accent2" w:themeFillTint="33"/>
          </w:tcPr>
          <w:p w14:paraId="37B96007" w14:textId="2B27F0A8" w:rsidR="009C5D0D" w:rsidRPr="00E93B9B" w:rsidRDefault="009C5D0D" w:rsidP="009C5D0D">
            <w:pPr>
              <w:rPr>
                <w:rFonts w:cs="Arial"/>
                <w:szCs w:val="24"/>
                <w:lang w:val="es-MX"/>
              </w:rPr>
            </w:pPr>
            <w:r w:rsidRPr="00E93B9B">
              <w:rPr>
                <w:rFonts w:cs="Arial"/>
                <w:szCs w:val="24"/>
                <w:lang w:val="es-MX"/>
              </w:rPr>
              <w:t>Escribir de al menos un género informativo utilizando un modelo de texto; los estudiantes usan una rúbrica para apoyar su escritura.</w:t>
            </w:r>
          </w:p>
          <w:p w14:paraId="71A3B8D5" w14:textId="32CEBBD3" w:rsidR="003F0FD2" w:rsidRPr="00E93B9B" w:rsidRDefault="003F0FD2" w:rsidP="00E75383">
            <w:pPr>
              <w:contextualSpacing/>
              <w:rPr>
                <w:rFonts w:cs="Arial"/>
                <w:szCs w:val="24"/>
                <w:lang w:val="es-MX"/>
              </w:rPr>
            </w:pPr>
          </w:p>
        </w:tc>
      </w:tr>
      <w:tr w:rsidR="003F0FD2" w:rsidRPr="00E93B9B" w14:paraId="595AC9E0" w14:textId="77777777" w:rsidTr="00632482">
        <w:trPr>
          <w:cantSplit/>
        </w:trPr>
        <w:tc>
          <w:tcPr>
            <w:tcW w:w="1970" w:type="dxa"/>
            <w:tcBorders>
              <w:left w:val="single" w:sz="12" w:space="0" w:color="000000" w:themeColor="text1"/>
            </w:tcBorders>
            <w:shd w:val="clear" w:color="auto" w:fill="FFE599" w:themeFill="accent4" w:themeFillTint="66"/>
          </w:tcPr>
          <w:p w14:paraId="02A94043" w14:textId="77777777" w:rsidR="003F0FD2" w:rsidRPr="00E93B9B" w:rsidRDefault="003F0FD2" w:rsidP="00E75383">
            <w:pPr>
              <w:rPr>
                <w:rFonts w:cs="Arial"/>
                <w:b/>
                <w:szCs w:val="24"/>
                <w:lang w:val="es-ES"/>
              </w:rPr>
            </w:pPr>
            <w:r w:rsidRPr="00E93B9B">
              <w:rPr>
                <w:rFonts w:cs="Arial"/>
                <w:b/>
                <w:szCs w:val="24"/>
                <w:lang w:val="es-ES"/>
              </w:rPr>
              <w:t>Matemáticas</w:t>
            </w:r>
          </w:p>
          <w:p w14:paraId="3212F174" w14:textId="77777777" w:rsidR="003F0FD2" w:rsidRPr="00E93B9B" w:rsidRDefault="003F0FD2" w:rsidP="00E75383">
            <w:pPr>
              <w:rPr>
                <w:rFonts w:cs="Arial"/>
                <w:szCs w:val="24"/>
                <w:lang w:val="es-ES"/>
              </w:rPr>
            </w:pPr>
            <w:r w:rsidRPr="00E93B9B">
              <w:rPr>
                <w:rFonts w:cs="Arial"/>
                <w:szCs w:val="24"/>
                <w:lang w:val="es-ES"/>
              </w:rPr>
              <w:t>Logro académico completo</w:t>
            </w:r>
          </w:p>
        </w:tc>
        <w:tc>
          <w:tcPr>
            <w:tcW w:w="6030" w:type="dxa"/>
            <w:shd w:val="clear" w:color="auto" w:fill="FFE599" w:themeFill="accent4" w:themeFillTint="66"/>
          </w:tcPr>
          <w:p w14:paraId="1BC5C1F1" w14:textId="2020AD20" w:rsidR="003F0FD2" w:rsidRPr="00E93B9B" w:rsidRDefault="009C5D0D" w:rsidP="00E75383">
            <w:pPr>
              <w:contextualSpacing/>
              <w:rPr>
                <w:rFonts w:cs="Arial"/>
                <w:szCs w:val="24"/>
                <w:lang w:val="es-ES"/>
              </w:rPr>
            </w:pPr>
            <w:r w:rsidRPr="00E93B9B">
              <w:rPr>
                <w:rFonts w:cs="Arial"/>
                <w:szCs w:val="24"/>
                <w:lang w:val="es-ES"/>
              </w:rPr>
              <w:t>Instrucción directa en matemáticas con una duración de servicio aceptable para el aprendizaje. Aumentar la participación anualmente a 3 % de los estudiantes de los grados K–12 que están por debajo del nivel estándar.</w:t>
            </w:r>
          </w:p>
        </w:tc>
        <w:tc>
          <w:tcPr>
            <w:tcW w:w="6660" w:type="dxa"/>
            <w:shd w:val="clear" w:color="auto" w:fill="FFE599" w:themeFill="accent4" w:themeFillTint="66"/>
          </w:tcPr>
          <w:p w14:paraId="0CADFA05" w14:textId="02A92895" w:rsidR="003F0FD2" w:rsidRPr="00E93B9B" w:rsidRDefault="009C5D0D" w:rsidP="00E75383">
            <w:pPr>
              <w:contextualSpacing/>
              <w:rPr>
                <w:rFonts w:cs="Arial"/>
                <w:szCs w:val="24"/>
                <w:lang w:val="es-ES"/>
              </w:rPr>
            </w:pPr>
            <w:r w:rsidRPr="00E93B9B">
              <w:rPr>
                <w:rFonts w:cs="Arial"/>
                <w:szCs w:val="24"/>
                <w:lang w:val="es-ES"/>
              </w:rPr>
              <w:t>Ofrecer dos actividades de alfabetización matemática para las familias, enfocadas en comprender los datos de evaluación de los estudiantes, la importancia de alcanzar la competencia, las Noches Familiares de Matemáticas y/o cómo los padres pueden apoyar el rendimiento académico de los estudiantes.</w:t>
            </w:r>
          </w:p>
        </w:tc>
        <w:tc>
          <w:tcPr>
            <w:tcW w:w="4060" w:type="dxa"/>
            <w:tcBorders>
              <w:right w:val="single" w:sz="12" w:space="0" w:color="000000" w:themeColor="text1"/>
            </w:tcBorders>
            <w:shd w:val="clear" w:color="auto" w:fill="FFE599" w:themeFill="accent4" w:themeFillTint="66"/>
          </w:tcPr>
          <w:p w14:paraId="095D3F87" w14:textId="7C2DE2E8" w:rsidR="003F0FD2" w:rsidRPr="00E93B9B" w:rsidRDefault="00491D65" w:rsidP="00E75383">
            <w:pPr>
              <w:contextualSpacing/>
              <w:rPr>
                <w:rFonts w:cs="Arial"/>
                <w:bCs/>
                <w:szCs w:val="24"/>
                <w:lang w:val="es-ES"/>
              </w:rPr>
            </w:pPr>
            <w:r w:rsidRPr="00E93B9B">
              <w:rPr>
                <w:rFonts w:cs="Arial"/>
                <w:bCs/>
                <w:szCs w:val="24"/>
                <w:lang w:val="es-ES"/>
              </w:rPr>
              <w:t>N/A</w:t>
            </w:r>
          </w:p>
        </w:tc>
      </w:tr>
      <w:tr w:rsidR="00BF2C66" w:rsidRPr="00E93B9B" w14:paraId="1CF4F0AE" w14:textId="77777777" w:rsidTr="00632482">
        <w:trPr>
          <w:cantSplit/>
        </w:trPr>
        <w:tc>
          <w:tcPr>
            <w:tcW w:w="1970" w:type="dxa"/>
            <w:tcBorders>
              <w:left w:val="single" w:sz="12" w:space="0" w:color="000000" w:themeColor="text1"/>
            </w:tcBorders>
            <w:shd w:val="clear" w:color="auto" w:fill="FFFF66"/>
          </w:tcPr>
          <w:p w14:paraId="0AFF7A2F" w14:textId="3E6D2ADC" w:rsidR="00BF2C66" w:rsidRPr="00E93B9B" w:rsidRDefault="00BF2C66" w:rsidP="00BF2C66">
            <w:pPr>
              <w:rPr>
                <w:rFonts w:cs="Arial"/>
                <w:b/>
                <w:szCs w:val="24"/>
                <w:lang w:val="es-ES"/>
              </w:rPr>
            </w:pPr>
            <w:r w:rsidRPr="00E93B9B">
              <w:rPr>
                <w:rFonts w:cs="Arial"/>
                <w:b/>
                <w:szCs w:val="24"/>
                <w:lang w:val="es-ES"/>
              </w:rPr>
              <w:t>Desarrollo de inglés (ELD*)</w:t>
            </w:r>
          </w:p>
        </w:tc>
        <w:tc>
          <w:tcPr>
            <w:tcW w:w="6030" w:type="dxa"/>
            <w:shd w:val="clear" w:color="auto" w:fill="FFFF66"/>
          </w:tcPr>
          <w:p w14:paraId="05FF0E75" w14:textId="69DFAA96" w:rsidR="00BF2C66" w:rsidRPr="00E93B9B" w:rsidRDefault="00BF2C66" w:rsidP="00BF2C66">
            <w:pPr>
              <w:contextualSpacing/>
              <w:rPr>
                <w:rFonts w:cs="Arial"/>
                <w:szCs w:val="24"/>
                <w:lang w:val="es-ES"/>
              </w:rPr>
            </w:pPr>
            <w:r w:rsidRPr="00E93B9B">
              <w:rPr>
                <w:rFonts w:cs="Arial"/>
                <w:szCs w:val="24"/>
                <w:lang w:val="es-ES"/>
              </w:rPr>
              <w:t>Todos los servicios de instrucción para las áreas del contenido fundamental (por ejemplo, artes del lenguaje en inglés, matemáticas, historia, ciencias, educación cívica) deben incluir el ELD.</w:t>
            </w:r>
          </w:p>
        </w:tc>
        <w:tc>
          <w:tcPr>
            <w:tcW w:w="6660" w:type="dxa"/>
            <w:shd w:val="clear" w:color="auto" w:fill="FFFF66"/>
          </w:tcPr>
          <w:p w14:paraId="24DA4685" w14:textId="09760A79" w:rsidR="00BF2C66" w:rsidRPr="00E93B9B" w:rsidRDefault="00BF2C66" w:rsidP="00BF2C66">
            <w:pPr>
              <w:contextualSpacing/>
              <w:rPr>
                <w:rFonts w:cs="Arial"/>
                <w:szCs w:val="24"/>
                <w:lang w:val="es-ES"/>
              </w:rPr>
            </w:pPr>
            <w:r w:rsidRPr="00E93B9B">
              <w:rPr>
                <w:rFonts w:cs="Arial"/>
                <w:szCs w:val="24"/>
              </w:rPr>
              <w:t>N/A</w:t>
            </w:r>
          </w:p>
        </w:tc>
        <w:tc>
          <w:tcPr>
            <w:tcW w:w="4060" w:type="dxa"/>
            <w:tcBorders>
              <w:right w:val="single" w:sz="12" w:space="0" w:color="000000" w:themeColor="text1"/>
            </w:tcBorders>
            <w:shd w:val="clear" w:color="auto" w:fill="FFFF66"/>
          </w:tcPr>
          <w:p w14:paraId="64D00FA4" w14:textId="2E4D1033" w:rsidR="00BF2C66" w:rsidRPr="00E93B9B" w:rsidRDefault="00BF2C66" w:rsidP="00BF2C66">
            <w:pPr>
              <w:contextualSpacing/>
              <w:rPr>
                <w:rFonts w:cs="Arial"/>
                <w:szCs w:val="24"/>
                <w:lang w:val="es-ES"/>
              </w:rPr>
            </w:pPr>
            <w:r w:rsidRPr="00E93B9B">
              <w:rPr>
                <w:rFonts w:cs="Arial"/>
                <w:szCs w:val="24"/>
                <w:lang w:val="es-ES"/>
              </w:rPr>
              <w:t>N/A</w:t>
            </w:r>
          </w:p>
        </w:tc>
      </w:tr>
      <w:tr w:rsidR="00BF2C66" w:rsidRPr="00E93B9B" w14:paraId="4B613589" w14:textId="77777777" w:rsidTr="00632482">
        <w:trPr>
          <w:cantSplit/>
        </w:trPr>
        <w:tc>
          <w:tcPr>
            <w:tcW w:w="1970" w:type="dxa"/>
            <w:tcBorders>
              <w:left w:val="single" w:sz="12" w:space="0" w:color="000000" w:themeColor="text1"/>
            </w:tcBorders>
            <w:shd w:val="clear" w:color="auto" w:fill="C5E0B3" w:themeFill="accent6" w:themeFillTint="66"/>
          </w:tcPr>
          <w:p w14:paraId="388B7DD7" w14:textId="24961428" w:rsidR="00BF2C66" w:rsidRPr="00E93B9B" w:rsidRDefault="00BF2C66" w:rsidP="00BF2C66">
            <w:pPr>
              <w:rPr>
                <w:rFonts w:cs="Arial"/>
                <w:b/>
                <w:szCs w:val="24"/>
                <w:lang w:val="es-ES"/>
              </w:rPr>
            </w:pPr>
            <w:r w:rsidRPr="00E93B9B">
              <w:rPr>
                <w:rFonts w:cs="Arial"/>
                <w:b/>
                <w:szCs w:val="24"/>
                <w:lang w:val="es-ES"/>
              </w:rPr>
              <w:t>El aprendizaje social y emocional (SEL*)</w:t>
            </w:r>
          </w:p>
        </w:tc>
        <w:tc>
          <w:tcPr>
            <w:tcW w:w="6030" w:type="dxa"/>
            <w:shd w:val="clear" w:color="auto" w:fill="C5E0B3" w:themeFill="accent6" w:themeFillTint="66"/>
          </w:tcPr>
          <w:p w14:paraId="5A67704E" w14:textId="015BA4F4" w:rsidR="00BF2C66" w:rsidRPr="00E93B9B" w:rsidRDefault="00BF2C66" w:rsidP="00BF2C66">
            <w:pPr>
              <w:rPr>
                <w:rFonts w:cs="Arial"/>
                <w:szCs w:val="24"/>
                <w:lang w:val="es-ES"/>
              </w:rPr>
            </w:pPr>
            <w:r w:rsidRPr="00E93B9B">
              <w:rPr>
                <w:rFonts w:cs="Arial"/>
                <w:szCs w:val="24"/>
                <w:lang w:val="es-ES"/>
              </w:rPr>
              <w:t xml:space="preserve">La región y los dos distritos de reembolso más poblados ofrecen un taller de SEL; los </w:t>
            </w:r>
            <w:proofErr w:type="gramStart"/>
            <w:r w:rsidRPr="00E93B9B">
              <w:rPr>
                <w:rFonts w:cs="Arial"/>
                <w:szCs w:val="24"/>
                <w:lang w:val="es-ES"/>
              </w:rPr>
              <w:t>d</w:t>
            </w:r>
            <w:proofErr w:type="spellStart"/>
            <w:r w:rsidRPr="00E93B9B">
              <w:rPr>
                <w:rFonts w:cs="Arial"/>
                <w:szCs w:val="24"/>
                <w:lang w:val="es-MX"/>
              </w:rPr>
              <w:t>istritos</w:t>
            </w:r>
            <w:proofErr w:type="spellEnd"/>
            <w:r w:rsidRPr="00E93B9B">
              <w:rPr>
                <w:rFonts w:cs="Arial"/>
                <w:szCs w:val="24"/>
                <w:lang w:val="es-MX"/>
              </w:rPr>
              <w:t xml:space="preserve"> financiado directamente</w:t>
            </w:r>
            <w:proofErr w:type="gramEnd"/>
            <w:r w:rsidRPr="00E93B9B">
              <w:rPr>
                <w:rFonts w:cs="Arial"/>
                <w:szCs w:val="24"/>
                <w:lang w:val="es-ES"/>
              </w:rPr>
              <w:t xml:space="preserve"> ofrecen un taller de aprendizaje socioemocional.</w:t>
            </w:r>
          </w:p>
        </w:tc>
        <w:tc>
          <w:tcPr>
            <w:tcW w:w="6660" w:type="dxa"/>
            <w:shd w:val="clear" w:color="auto" w:fill="C5E0B3" w:themeFill="accent6" w:themeFillTint="66"/>
          </w:tcPr>
          <w:p w14:paraId="4D4C39F3" w14:textId="742ED258" w:rsidR="00BF2C66" w:rsidRPr="00E93B9B" w:rsidRDefault="00BF2C66" w:rsidP="00BF2C66">
            <w:pPr>
              <w:rPr>
                <w:rFonts w:cs="Arial"/>
                <w:szCs w:val="24"/>
                <w:lang w:val="es-MX"/>
              </w:rPr>
            </w:pPr>
            <w:r w:rsidRPr="00E93B9B">
              <w:rPr>
                <w:rFonts w:cs="Arial"/>
                <w:szCs w:val="24"/>
                <w:lang w:val="es-MX"/>
              </w:rPr>
              <w:t>Incorporar el SEL en</w:t>
            </w:r>
            <w:r w:rsidR="00A242BE" w:rsidRPr="00E93B9B">
              <w:rPr>
                <w:rFonts w:cs="Arial"/>
                <w:szCs w:val="24"/>
                <w:lang w:val="es-MX"/>
              </w:rPr>
              <w:t xml:space="preserve"> 25 % de</w:t>
            </w:r>
            <w:r w:rsidRPr="00E93B9B">
              <w:rPr>
                <w:rFonts w:cs="Arial"/>
                <w:szCs w:val="24"/>
                <w:lang w:val="es-MX"/>
              </w:rPr>
              <w:t xml:space="preserve"> los servicios instruccionales, excluyendo los servicios de acumulación de créditos y cualquier servicio que utilice códigos estatales.</w:t>
            </w:r>
          </w:p>
        </w:tc>
        <w:tc>
          <w:tcPr>
            <w:tcW w:w="4060" w:type="dxa"/>
            <w:tcBorders>
              <w:right w:val="single" w:sz="12" w:space="0" w:color="000000" w:themeColor="text1"/>
            </w:tcBorders>
            <w:shd w:val="clear" w:color="auto" w:fill="C5E0B3" w:themeFill="accent6" w:themeFillTint="66"/>
          </w:tcPr>
          <w:p w14:paraId="00580269" w14:textId="7D43378C" w:rsidR="00BF2C66" w:rsidRPr="00E93B9B" w:rsidRDefault="00BF2C66" w:rsidP="00BF2C66">
            <w:pPr>
              <w:contextualSpacing/>
              <w:rPr>
                <w:rFonts w:cs="Arial"/>
                <w:szCs w:val="24"/>
                <w:lang w:val="es-MX"/>
              </w:rPr>
            </w:pPr>
            <w:r w:rsidRPr="00E93B9B">
              <w:rPr>
                <w:rFonts w:cs="Arial"/>
                <w:szCs w:val="24"/>
                <w:lang w:val="es-MX"/>
              </w:rPr>
              <w:t>Ofrecer una oportunidad de aprendizaje profesional al personal para fortalecer su capacidad de implementar el SEL en sus lecciones.</w:t>
            </w:r>
          </w:p>
        </w:tc>
      </w:tr>
      <w:tr w:rsidR="00BF2C66" w:rsidRPr="00E93B9B" w14:paraId="2CE0245C" w14:textId="77777777" w:rsidTr="00632482">
        <w:trPr>
          <w:cantSplit/>
        </w:trPr>
        <w:tc>
          <w:tcPr>
            <w:tcW w:w="1970" w:type="dxa"/>
            <w:tcBorders>
              <w:left w:val="single" w:sz="12" w:space="0" w:color="000000" w:themeColor="text1"/>
            </w:tcBorders>
            <w:shd w:val="clear" w:color="auto" w:fill="B4C6E7" w:themeFill="accent5" w:themeFillTint="66"/>
          </w:tcPr>
          <w:p w14:paraId="5C4C8228" w14:textId="5224EB32" w:rsidR="00BF2C66" w:rsidRPr="00E93B9B" w:rsidRDefault="00BF2C66" w:rsidP="00BF2C66">
            <w:pPr>
              <w:rPr>
                <w:rFonts w:cs="Arial"/>
                <w:szCs w:val="24"/>
                <w:lang w:val="es-ES"/>
              </w:rPr>
            </w:pPr>
            <w:r w:rsidRPr="00E93B9B">
              <w:rPr>
                <w:rFonts w:cs="Arial"/>
                <w:b/>
                <w:szCs w:val="24"/>
                <w:lang w:val="es-ES"/>
              </w:rPr>
              <w:t>La preparatoria</w:t>
            </w:r>
          </w:p>
        </w:tc>
        <w:tc>
          <w:tcPr>
            <w:tcW w:w="6030" w:type="dxa"/>
            <w:shd w:val="clear" w:color="auto" w:fill="B4C6E7" w:themeFill="accent5" w:themeFillTint="66"/>
          </w:tcPr>
          <w:p w14:paraId="7E2A31D6" w14:textId="21416252" w:rsidR="00BF2C66" w:rsidRPr="00E93B9B" w:rsidRDefault="00BF2C66" w:rsidP="00BF2C66">
            <w:pPr>
              <w:rPr>
                <w:rFonts w:cs="Arial"/>
                <w:szCs w:val="24"/>
                <w:lang w:val="es-ES"/>
              </w:rPr>
            </w:pPr>
            <w:r w:rsidRPr="00E93B9B">
              <w:rPr>
                <w:rFonts w:cs="Arial"/>
                <w:szCs w:val="24"/>
                <w:lang w:val="es-ES"/>
              </w:rPr>
              <w:t>Servicio de apoyo personalizado para el 40 % de los estudiantes de 9.º a 12.º grado que son faltantes de créditos o están en riesgo de no alcanzarlos.</w:t>
            </w:r>
          </w:p>
        </w:tc>
        <w:tc>
          <w:tcPr>
            <w:tcW w:w="6660" w:type="dxa"/>
            <w:shd w:val="clear" w:color="auto" w:fill="B4C6E7" w:themeFill="accent5" w:themeFillTint="66"/>
          </w:tcPr>
          <w:p w14:paraId="33C6E1DE" w14:textId="2F69A36A" w:rsidR="00BF2C66" w:rsidRPr="00E93B9B" w:rsidRDefault="00BF2C66" w:rsidP="00BF2C66">
            <w:pPr>
              <w:rPr>
                <w:rFonts w:cs="Arial"/>
                <w:szCs w:val="24"/>
                <w:lang w:val="es-ES"/>
              </w:rPr>
            </w:pPr>
            <w:r w:rsidRPr="00E93B9B">
              <w:rPr>
                <w:rFonts w:cs="Arial"/>
                <w:szCs w:val="24"/>
                <w:lang w:val="es-ES"/>
              </w:rPr>
              <w:t>Ofrecer cursos para acumular créditos a 50 % de los estudiantes que tienen una necesidad identificada.</w:t>
            </w:r>
          </w:p>
        </w:tc>
        <w:tc>
          <w:tcPr>
            <w:tcW w:w="4060" w:type="dxa"/>
            <w:tcBorders>
              <w:right w:val="single" w:sz="12" w:space="0" w:color="000000" w:themeColor="text1"/>
            </w:tcBorders>
            <w:shd w:val="clear" w:color="auto" w:fill="B4C6E7" w:themeFill="accent5" w:themeFillTint="66"/>
          </w:tcPr>
          <w:p w14:paraId="6FD3D6B1" w14:textId="7F7CDED2" w:rsidR="00BF2C66" w:rsidRPr="00E93B9B" w:rsidRDefault="00BF2C66" w:rsidP="00BF2C66">
            <w:pPr>
              <w:contextualSpacing/>
              <w:rPr>
                <w:rFonts w:cs="Arial"/>
                <w:szCs w:val="24"/>
                <w:lang w:val="es-ES"/>
              </w:rPr>
            </w:pPr>
            <w:r w:rsidRPr="00E93B9B">
              <w:rPr>
                <w:rFonts w:cs="Arial"/>
                <w:szCs w:val="24"/>
                <w:lang w:val="es-ES"/>
              </w:rPr>
              <w:t>N/A</w:t>
            </w:r>
          </w:p>
        </w:tc>
      </w:tr>
      <w:tr w:rsidR="00BF2C66" w:rsidRPr="00E93B9B" w14:paraId="65B47648" w14:textId="77777777" w:rsidTr="00632482">
        <w:trPr>
          <w:cantSplit/>
          <w:trHeight w:val="719"/>
        </w:trPr>
        <w:tc>
          <w:tcPr>
            <w:tcW w:w="1970" w:type="dxa"/>
            <w:tcBorders>
              <w:left w:val="single" w:sz="12" w:space="0" w:color="000000" w:themeColor="text1"/>
            </w:tcBorders>
            <w:shd w:val="clear" w:color="auto" w:fill="CCCCFF"/>
          </w:tcPr>
          <w:p w14:paraId="79C2DFCD" w14:textId="03AF90B4" w:rsidR="00BF2C66" w:rsidRPr="00E93B9B" w:rsidRDefault="00BF2C66" w:rsidP="00BF2C66">
            <w:pPr>
              <w:rPr>
                <w:rFonts w:cs="Arial"/>
                <w:szCs w:val="24"/>
                <w:lang w:val="es-ES"/>
              </w:rPr>
            </w:pPr>
            <w:r w:rsidRPr="00E93B9B">
              <w:rPr>
                <w:rFonts w:cs="Arial"/>
                <w:b/>
                <w:szCs w:val="24"/>
                <w:lang w:val="es-ES"/>
              </w:rPr>
              <w:t>Preparación escolar</w:t>
            </w:r>
          </w:p>
        </w:tc>
        <w:tc>
          <w:tcPr>
            <w:tcW w:w="6030" w:type="dxa"/>
            <w:shd w:val="clear" w:color="auto" w:fill="CCCCFF"/>
          </w:tcPr>
          <w:p w14:paraId="4410C6EA" w14:textId="0BEFB9B1" w:rsidR="00BF2C66" w:rsidRPr="00E93B9B" w:rsidRDefault="00BF2C66" w:rsidP="00BF2C66">
            <w:pPr>
              <w:rPr>
                <w:rFonts w:cs="Arial"/>
                <w:szCs w:val="24"/>
                <w:lang w:val="es-ES"/>
              </w:rPr>
            </w:pPr>
            <w:r w:rsidRPr="00E93B9B">
              <w:rPr>
                <w:rFonts w:cs="Arial"/>
                <w:szCs w:val="24"/>
                <w:lang w:val="es-ES"/>
              </w:rPr>
              <w:t>Servicio de 15 horas para niños prescolares de Pre-K* y TK*, enfocado en desarrollar conocimientos y habilidades en el idioma primario y secundario (por ejemplo, inglés) y en matemáticas.</w:t>
            </w:r>
          </w:p>
        </w:tc>
        <w:tc>
          <w:tcPr>
            <w:tcW w:w="6660" w:type="dxa"/>
            <w:shd w:val="clear" w:color="auto" w:fill="CCCCFF"/>
          </w:tcPr>
          <w:p w14:paraId="52ABDA32" w14:textId="573D3060" w:rsidR="00BF2C66" w:rsidRPr="00E93B9B" w:rsidRDefault="00BF2C66" w:rsidP="00BF2C66">
            <w:pPr>
              <w:contextualSpacing/>
              <w:rPr>
                <w:rFonts w:cs="Arial"/>
                <w:szCs w:val="24"/>
                <w:lang w:val="es-ES"/>
              </w:rPr>
            </w:pPr>
            <w:r w:rsidRPr="00E93B9B">
              <w:rPr>
                <w:rFonts w:cs="Arial"/>
                <w:szCs w:val="24"/>
                <w:lang w:val="es-ES"/>
              </w:rPr>
              <w:t>Ofrecer un taller para padres que apoya el desarrollo del idioma primario/secundario, estrategias para fomentar el aprendizaje temprano, y el desarrollo socioemocional en casa.</w:t>
            </w:r>
          </w:p>
        </w:tc>
        <w:tc>
          <w:tcPr>
            <w:tcW w:w="4060" w:type="dxa"/>
            <w:tcBorders>
              <w:right w:val="single" w:sz="12" w:space="0" w:color="000000" w:themeColor="text1"/>
            </w:tcBorders>
            <w:shd w:val="clear" w:color="auto" w:fill="CCCCFF"/>
          </w:tcPr>
          <w:p w14:paraId="25DE8C2E" w14:textId="0B21735B" w:rsidR="00BF2C66" w:rsidRPr="00E93B9B" w:rsidRDefault="00BF2C66" w:rsidP="00BF2C66">
            <w:pPr>
              <w:rPr>
                <w:rFonts w:cs="Arial"/>
                <w:szCs w:val="24"/>
                <w:lang w:val="es-ES"/>
              </w:rPr>
            </w:pPr>
            <w:r w:rsidRPr="00E93B9B">
              <w:rPr>
                <w:rFonts w:cs="Arial"/>
                <w:szCs w:val="24"/>
                <w:lang w:val="es-ES"/>
              </w:rPr>
              <w:t>N/A</w:t>
            </w:r>
          </w:p>
        </w:tc>
      </w:tr>
      <w:tr w:rsidR="00BF2C66" w:rsidRPr="00E93B9B" w14:paraId="57E8214B" w14:textId="77777777" w:rsidTr="00864E91">
        <w:trPr>
          <w:cantSplit/>
          <w:trHeight w:val="962"/>
        </w:trPr>
        <w:tc>
          <w:tcPr>
            <w:tcW w:w="1970" w:type="dxa"/>
            <w:tcBorders>
              <w:left w:val="single" w:sz="12" w:space="0" w:color="000000" w:themeColor="text1"/>
            </w:tcBorders>
            <w:shd w:val="clear" w:color="auto" w:fill="FFCCFF"/>
          </w:tcPr>
          <w:p w14:paraId="0775242B" w14:textId="1C45D788" w:rsidR="00BF2C66" w:rsidRPr="00E93B9B" w:rsidRDefault="00BF2C66" w:rsidP="00BF2C66">
            <w:pPr>
              <w:rPr>
                <w:rFonts w:cs="Arial"/>
                <w:b/>
                <w:bCs/>
                <w:szCs w:val="24"/>
                <w:lang w:val="es-ES"/>
              </w:rPr>
            </w:pPr>
            <w:r w:rsidRPr="00E93B9B">
              <w:rPr>
                <w:rFonts w:cs="Arial"/>
                <w:b/>
                <w:bCs/>
                <w:szCs w:val="24"/>
                <w:lang w:val="es-MX"/>
              </w:rPr>
              <w:t>Los estudiantes fuera de la escuela (OSY*)</w:t>
            </w:r>
          </w:p>
        </w:tc>
        <w:tc>
          <w:tcPr>
            <w:tcW w:w="6030" w:type="dxa"/>
            <w:shd w:val="clear" w:color="auto" w:fill="FFCCFF"/>
          </w:tcPr>
          <w:p w14:paraId="33F94ADB" w14:textId="01658116" w:rsidR="00BF2C66" w:rsidRPr="00E93B9B" w:rsidRDefault="00BF2C66" w:rsidP="00BF2C66">
            <w:pPr>
              <w:rPr>
                <w:rFonts w:cs="Arial"/>
                <w:szCs w:val="24"/>
                <w:lang w:val="es-MX"/>
              </w:rPr>
            </w:pPr>
            <w:r w:rsidRPr="00E93B9B">
              <w:rPr>
                <w:rFonts w:cs="Arial"/>
                <w:szCs w:val="24"/>
                <w:lang w:val="es-MX"/>
              </w:rPr>
              <w:t>Ofrecer información sobre educación técnica y profesional al 65 % de los OSY con una necesidad indicada en la evaluación individual de necesidades (INA*).</w:t>
            </w:r>
          </w:p>
        </w:tc>
        <w:tc>
          <w:tcPr>
            <w:tcW w:w="6660" w:type="dxa"/>
            <w:shd w:val="clear" w:color="auto" w:fill="FFCCFF"/>
          </w:tcPr>
          <w:p w14:paraId="7DB9871A" w14:textId="6029D6CE" w:rsidR="00BF2C66" w:rsidRPr="00E93B9B" w:rsidRDefault="00BF2C66" w:rsidP="00BF2C66">
            <w:pPr>
              <w:contextualSpacing/>
              <w:rPr>
                <w:rFonts w:cs="Arial"/>
                <w:szCs w:val="24"/>
                <w:lang w:val="es-ES"/>
              </w:rPr>
            </w:pPr>
            <w:r w:rsidRPr="00E93B9B">
              <w:rPr>
                <w:rFonts w:cs="Arial"/>
                <w:szCs w:val="24"/>
                <w:lang w:val="es-ES"/>
              </w:rPr>
              <w:t>Ofrecer servicios de ELD, ELA y alfabetización (referidos o servicios directos) al 70 % de los OSY que tienen una necesidad identificada en la INA.</w:t>
            </w:r>
          </w:p>
        </w:tc>
        <w:tc>
          <w:tcPr>
            <w:tcW w:w="4060" w:type="dxa"/>
            <w:tcBorders>
              <w:right w:val="single" w:sz="12" w:space="0" w:color="000000" w:themeColor="text1"/>
            </w:tcBorders>
            <w:shd w:val="clear" w:color="auto" w:fill="FFCCFF"/>
          </w:tcPr>
          <w:p w14:paraId="5180DE97" w14:textId="7B59EA09" w:rsidR="00BF2C66" w:rsidRPr="00E93B9B" w:rsidRDefault="00BF2C66" w:rsidP="00BF2C66">
            <w:pPr>
              <w:rPr>
                <w:rFonts w:cs="Arial"/>
                <w:szCs w:val="24"/>
                <w:lang w:val="es-ES"/>
              </w:rPr>
            </w:pPr>
            <w:r w:rsidRPr="00E93B9B">
              <w:rPr>
                <w:rFonts w:cs="Arial"/>
                <w:szCs w:val="24"/>
                <w:lang w:val="es-ES"/>
              </w:rPr>
              <w:t>Ofrecer talleres de preparación para el examen de equivalencia de escuela secundaria al 80 % de los OSY que tienen una necesidad en la INA.</w:t>
            </w:r>
          </w:p>
        </w:tc>
      </w:tr>
      <w:tr w:rsidR="00BF2C66" w:rsidRPr="00E93B9B" w14:paraId="0C7B2B12" w14:textId="77777777" w:rsidTr="00632482">
        <w:trPr>
          <w:cantSplit/>
          <w:trHeight w:val="60"/>
        </w:trPr>
        <w:tc>
          <w:tcPr>
            <w:tcW w:w="1970" w:type="dxa"/>
            <w:tcBorders>
              <w:left w:val="single" w:sz="12" w:space="0" w:color="000000" w:themeColor="text1"/>
            </w:tcBorders>
            <w:shd w:val="clear" w:color="auto" w:fill="D9D9D9" w:themeFill="background1" w:themeFillShade="D9"/>
          </w:tcPr>
          <w:p w14:paraId="0C3AF1C3" w14:textId="3978A0B1" w:rsidR="00BF2C66" w:rsidRPr="00E93B9B" w:rsidRDefault="00BF2C66" w:rsidP="00BF2C66">
            <w:pPr>
              <w:rPr>
                <w:rFonts w:cs="Arial"/>
                <w:szCs w:val="24"/>
                <w:lang w:val="es-ES"/>
              </w:rPr>
            </w:pPr>
            <w:r w:rsidRPr="00E93B9B">
              <w:rPr>
                <w:rFonts w:cs="Arial"/>
                <w:b/>
                <w:szCs w:val="24"/>
                <w:lang w:val="es-ES"/>
              </w:rPr>
              <w:lastRenderedPageBreak/>
              <w:t>Salud</w:t>
            </w:r>
          </w:p>
        </w:tc>
        <w:tc>
          <w:tcPr>
            <w:tcW w:w="6030" w:type="dxa"/>
            <w:shd w:val="clear" w:color="auto" w:fill="D9D9D9" w:themeFill="background1" w:themeFillShade="D9"/>
          </w:tcPr>
          <w:p w14:paraId="4C5970C6" w14:textId="19E72A81" w:rsidR="00BF2C66" w:rsidRPr="00E93B9B" w:rsidRDefault="00BF2C66" w:rsidP="00BF2C66">
            <w:pPr>
              <w:contextualSpacing/>
              <w:rPr>
                <w:rFonts w:cs="Arial"/>
                <w:szCs w:val="24"/>
                <w:lang w:val="es-ES"/>
              </w:rPr>
            </w:pPr>
            <w:r w:rsidRPr="00E93B9B">
              <w:rPr>
                <w:rFonts w:cs="Arial"/>
                <w:szCs w:val="24"/>
                <w:lang w:val="es-ES"/>
              </w:rPr>
              <w:t>Ofrecer dos sesiones de salud mental para: solo estudiantes/OSY, solo padres, o una combinación de ambos.</w:t>
            </w:r>
          </w:p>
        </w:tc>
        <w:tc>
          <w:tcPr>
            <w:tcW w:w="6660" w:type="dxa"/>
            <w:shd w:val="clear" w:color="auto" w:fill="D9D9D9" w:themeFill="background1" w:themeFillShade="D9"/>
          </w:tcPr>
          <w:p w14:paraId="1E4838D8" w14:textId="625DB7AF" w:rsidR="00BF2C66" w:rsidRPr="00E93B9B" w:rsidRDefault="00BF2C66" w:rsidP="00BF2C66">
            <w:pPr>
              <w:contextualSpacing/>
              <w:rPr>
                <w:rFonts w:cs="Arial"/>
                <w:szCs w:val="24"/>
                <w:lang w:val="es-ES"/>
              </w:rPr>
            </w:pPr>
            <w:r w:rsidRPr="00E93B9B">
              <w:rPr>
                <w:rFonts w:cs="Arial"/>
                <w:szCs w:val="24"/>
                <w:lang w:val="es-ES"/>
              </w:rPr>
              <w:t>Servicios de salud mental y referencias para el 80 % de los niños y OSY que tienen necesidad.</w:t>
            </w:r>
          </w:p>
        </w:tc>
        <w:tc>
          <w:tcPr>
            <w:tcW w:w="4060" w:type="dxa"/>
            <w:tcBorders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53B972EF" w14:textId="2280DDD0" w:rsidR="00BF2C66" w:rsidRPr="00E93B9B" w:rsidRDefault="00BF2C66" w:rsidP="00BF2C66">
            <w:pPr>
              <w:contextualSpacing/>
              <w:rPr>
                <w:rFonts w:cs="Arial"/>
                <w:bCs/>
                <w:szCs w:val="24"/>
                <w:lang w:val="es-ES"/>
              </w:rPr>
            </w:pPr>
            <w:r w:rsidRPr="00E93B9B">
              <w:rPr>
                <w:rFonts w:cs="Arial"/>
                <w:bCs/>
                <w:szCs w:val="24"/>
                <w:lang w:val="es-ES"/>
              </w:rPr>
              <w:t>N/A</w:t>
            </w:r>
          </w:p>
        </w:tc>
      </w:tr>
      <w:tr w:rsidR="00BF2C66" w:rsidRPr="00E93B9B" w14:paraId="5A309B1A" w14:textId="77777777" w:rsidTr="00632482">
        <w:trPr>
          <w:cantSplit/>
        </w:trPr>
        <w:tc>
          <w:tcPr>
            <w:tcW w:w="1970" w:type="dxa"/>
            <w:tcBorders>
              <w:left w:val="single" w:sz="12" w:space="0" w:color="000000" w:themeColor="text1"/>
            </w:tcBorders>
            <w:shd w:val="clear" w:color="auto" w:fill="FFFFCC"/>
          </w:tcPr>
          <w:p w14:paraId="09CCF5AA" w14:textId="0425A942" w:rsidR="00BF2C66" w:rsidRPr="00E93B9B" w:rsidRDefault="00BF2C66" w:rsidP="00BF2C66">
            <w:pPr>
              <w:rPr>
                <w:rFonts w:cs="Arial"/>
                <w:b/>
                <w:szCs w:val="24"/>
                <w:lang w:val="es-ES"/>
              </w:rPr>
            </w:pPr>
            <w:r w:rsidRPr="00E93B9B">
              <w:rPr>
                <w:rFonts w:cs="Arial"/>
                <w:b/>
                <w:szCs w:val="24"/>
                <w:lang w:val="es-ES"/>
              </w:rPr>
              <w:t>Participación de padres y familia</w:t>
            </w:r>
          </w:p>
        </w:tc>
        <w:tc>
          <w:tcPr>
            <w:tcW w:w="6030" w:type="dxa"/>
            <w:shd w:val="clear" w:color="auto" w:fill="FFFFCC"/>
          </w:tcPr>
          <w:p w14:paraId="16F91F8D" w14:textId="2212DFEB" w:rsidR="00BF2C66" w:rsidRPr="00E93B9B" w:rsidRDefault="00BF2C66" w:rsidP="00BF2C66">
            <w:pPr>
              <w:contextualSpacing/>
              <w:rPr>
                <w:rFonts w:cs="Arial"/>
                <w:szCs w:val="24"/>
                <w:lang w:val="es-ES"/>
              </w:rPr>
            </w:pPr>
            <w:r w:rsidRPr="00E93B9B">
              <w:rPr>
                <w:rFonts w:cs="Arial"/>
                <w:szCs w:val="24"/>
                <w:lang w:val="es-ES"/>
              </w:rPr>
              <w:t>Ofrecer cuatro talleres, dos seleccionados por el estado y dos seleccionados por el consejo asesor local de padres.</w:t>
            </w:r>
          </w:p>
        </w:tc>
        <w:tc>
          <w:tcPr>
            <w:tcW w:w="6660" w:type="dxa"/>
            <w:shd w:val="clear" w:color="auto" w:fill="FFFFCC"/>
          </w:tcPr>
          <w:p w14:paraId="6E3C1ED0" w14:textId="7F91BA90" w:rsidR="00BF2C66" w:rsidRPr="00E93B9B" w:rsidRDefault="00BF2C66" w:rsidP="00BF2C66">
            <w:pPr>
              <w:rPr>
                <w:rFonts w:cs="Arial"/>
                <w:szCs w:val="24"/>
                <w:lang w:val="es-ES"/>
              </w:rPr>
            </w:pPr>
            <w:r w:rsidRPr="00E93B9B">
              <w:rPr>
                <w:rFonts w:cs="Arial"/>
                <w:szCs w:val="24"/>
                <w:lang w:val="es-ES"/>
              </w:rPr>
              <w:t>N/A</w:t>
            </w:r>
          </w:p>
        </w:tc>
        <w:tc>
          <w:tcPr>
            <w:tcW w:w="4060" w:type="dxa"/>
            <w:tcBorders>
              <w:right w:val="single" w:sz="12" w:space="0" w:color="000000" w:themeColor="text1"/>
            </w:tcBorders>
            <w:shd w:val="clear" w:color="auto" w:fill="FFFFCC"/>
          </w:tcPr>
          <w:p w14:paraId="1377136B" w14:textId="578B9AAA" w:rsidR="00BF2C66" w:rsidRPr="00E93B9B" w:rsidRDefault="00BF2C66" w:rsidP="00BF2C66">
            <w:pPr>
              <w:contextualSpacing/>
              <w:rPr>
                <w:rFonts w:cs="Arial"/>
                <w:szCs w:val="24"/>
                <w:lang w:val="es-ES"/>
              </w:rPr>
            </w:pPr>
            <w:r w:rsidRPr="00E93B9B">
              <w:rPr>
                <w:rFonts w:cs="Arial"/>
                <w:szCs w:val="24"/>
                <w:lang w:val="es-ES"/>
              </w:rPr>
              <w:t>N/A</w:t>
            </w:r>
          </w:p>
        </w:tc>
      </w:tr>
      <w:tr w:rsidR="00BF2C66" w:rsidRPr="00E93B9B" w14:paraId="65A09AD1" w14:textId="77777777" w:rsidTr="00632482">
        <w:trPr>
          <w:cantSplit/>
          <w:trHeight w:val="61"/>
        </w:trPr>
        <w:tc>
          <w:tcPr>
            <w:tcW w:w="197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FFFFFF" w:themeFill="background1"/>
          </w:tcPr>
          <w:p w14:paraId="48C302C8" w14:textId="4EAF182C" w:rsidR="00BF2C66" w:rsidRPr="00E93B9B" w:rsidRDefault="00BF2C66" w:rsidP="00BF2C66">
            <w:pPr>
              <w:rPr>
                <w:rFonts w:cs="Arial"/>
                <w:szCs w:val="24"/>
                <w:lang w:val="es-ES"/>
              </w:rPr>
            </w:pPr>
            <w:r w:rsidRPr="00E93B9B">
              <w:rPr>
                <w:rFonts w:cs="Arial"/>
                <w:b/>
                <w:bCs/>
                <w:szCs w:val="24"/>
                <w:lang w:val="es-ES"/>
              </w:rPr>
              <w:t>Participación de estudiantes</w:t>
            </w:r>
          </w:p>
        </w:tc>
        <w:tc>
          <w:tcPr>
            <w:tcW w:w="6030" w:type="dxa"/>
            <w:tcBorders>
              <w:bottom w:val="single" w:sz="12" w:space="0" w:color="000000" w:themeColor="text1"/>
            </w:tcBorders>
            <w:shd w:val="clear" w:color="auto" w:fill="FFFFFF" w:themeFill="background1"/>
          </w:tcPr>
          <w:p w14:paraId="7C4E7E08" w14:textId="3B9A352B" w:rsidR="00BF2C66" w:rsidRPr="00E93B9B" w:rsidRDefault="00BF2C66" w:rsidP="00BF2C66">
            <w:pPr>
              <w:contextualSpacing/>
              <w:rPr>
                <w:rFonts w:cs="Arial"/>
                <w:szCs w:val="24"/>
                <w:lang w:val="es-ES"/>
              </w:rPr>
            </w:pPr>
            <w:r w:rsidRPr="00E93B9B">
              <w:rPr>
                <w:rFonts w:cs="Arial"/>
                <w:szCs w:val="24"/>
                <w:lang w:val="es-ES"/>
              </w:rPr>
              <w:t>El 65 % de los servicios instruccionales, excluyendo los servicios de acumulación de créditos, incluirán pedagogía culturalmente sostenible.</w:t>
            </w:r>
          </w:p>
        </w:tc>
        <w:tc>
          <w:tcPr>
            <w:tcW w:w="6660" w:type="dxa"/>
            <w:tcBorders>
              <w:bottom w:val="single" w:sz="12" w:space="0" w:color="000000" w:themeColor="text1"/>
            </w:tcBorders>
            <w:shd w:val="clear" w:color="auto" w:fill="FFFFFF" w:themeFill="background1"/>
          </w:tcPr>
          <w:p w14:paraId="6A45EEC4" w14:textId="70B4CE93" w:rsidR="00BF2C66" w:rsidRPr="00E93B9B" w:rsidRDefault="00BF2C66" w:rsidP="00BF2C66">
            <w:pPr>
              <w:contextualSpacing/>
              <w:rPr>
                <w:rFonts w:cs="Arial"/>
                <w:szCs w:val="24"/>
                <w:lang w:val="es-ES"/>
              </w:rPr>
            </w:pPr>
            <w:r w:rsidRPr="00E93B9B">
              <w:rPr>
                <w:rFonts w:cs="Arial"/>
                <w:szCs w:val="24"/>
                <w:lang w:val="es-ES"/>
              </w:rPr>
              <w:t>Ofrecer una oportunidad de aprendizaje profesional para ampliar los conocimientos y habilidades del personal en pedagogía culturalmente sostenible.</w:t>
            </w:r>
          </w:p>
        </w:tc>
        <w:tc>
          <w:tcPr>
            <w:tcW w:w="4060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17E5CAC5" w14:textId="52E09C70" w:rsidR="00BF2C66" w:rsidRPr="00E93B9B" w:rsidRDefault="00BF2C66" w:rsidP="00BF2C66">
            <w:pPr>
              <w:contextualSpacing/>
              <w:rPr>
                <w:rFonts w:cs="Arial"/>
                <w:bCs/>
                <w:szCs w:val="24"/>
                <w:lang w:val="es-ES"/>
              </w:rPr>
            </w:pPr>
            <w:r w:rsidRPr="00E93B9B">
              <w:rPr>
                <w:rFonts w:cs="Arial"/>
                <w:bCs/>
                <w:szCs w:val="24"/>
                <w:lang w:val="es-ES"/>
              </w:rPr>
              <w:t>N/A</w:t>
            </w:r>
          </w:p>
        </w:tc>
      </w:tr>
    </w:tbl>
    <w:p w14:paraId="4CC729D7" w14:textId="30A440B1" w:rsidR="003F0FD2" w:rsidRDefault="003F0FD2" w:rsidP="003F0FD2">
      <w:pPr>
        <w:pStyle w:val="Footer"/>
        <w:rPr>
          <w:rFonts w:cs="Arial"/>
          <w:szCs w:val="24"/>
          <w:lang w:val="es-ES"/>
        </w:rPr>
      </w:pPr>
      <w:r w:rsidRPr="00E93B9B">
        <w:rPr>
          <w:rFonts w:cs="Arial"/>
          <w:szCs w:val="24"/>
          <w:lang w:val="es-ES"/>
        </w:rPr>
        <w:t>*Por sus siglas en inglés.</w:t>
      </w:r>
      <w:r w:rsidR="00864E91" w:rsidRPr="00E93B9B">
        <w:rPr>
          <w:rFonts w:cs="Arial"/>
          <w:szCs w:val="24"/>
          <w:lang w:val="es-ES"/>
        </w:rPr>
        <w:tab/>
      </w:r>
      <w:r w:rsidR="00864E91" w:rsidRPr="00E93B9B">
        <w:rPr>
          <w:rFonts w:cs="Arial"/>
          <w:szCs w:val="24"/>
          <w:lang w:val="es-ES"/>
        </w:rPr>
        <w:tab/>
      </w:r>
      <w:r w:rsidR="00864E91" w:rsidRPr="00E93B9B">
        <w:rPr>
          <w:rFonts w:cs="Arial"/>
          <w:szCs w:val="24"/>
          <w:lang w:val="es-ES"/>
        </w:rPr>
        <w:tab/>
      </w:r>
      <w:r w:rsidR="00864E91" w:rsidRPr="00E93B9B">
        <w:rPr>
          <w:rFonts w:cs="Arial"/>
          <w:szCs w:val="24"/>
          <w:lang w:val="es-ES"/>
        </w:rPr>
        <w:tab/>
      </w:r>
      <w:r w:rsidR="00864E91" w:rsidRPr="00E93B9B">
        <w:rPr>
          <w:rFonts w:cs="Arial"/>
          <w:szCs w:val="24"/>
          <w:lang w:val="es-ES"/>
        </w:rPr>
        <w:tab/>
      </w:r>
      <w:r w:rsidR="00864E91" w:rsidRPr="00E93B9B">
        <w:rPr>
          <w:rFonts w:cs="Arial"/>
          <w:szCs w:val="24"/>
          <w:lang w:val="es-ES"/>
        </w:rPr>
        <w:tab/>
      </w:r>
      <w:r w:rsidR="00864E91" w:rsidRPr="00E93B9B">
        <w:rPr>
          <w:rFonts w:cs="Arial"/>
          <w:szCs w:val="24"/>
          <w:lang w:val="es-ES"/>
        </w:rPr>
        <w:tab/>
        <w:t xml:space="preserve">  Departamento de Educación de California julio 2025</w:t>
      </w:r>
    </w:p>
    <w:p w14:paraId="3C86FB07" w14:textId="673697D7" w:rsidR="00E93B9B" w:rsidRPr="00E93B9B" w:rsidRDefault="00E93B9B" w:rsidP="00E93B9B">
      <w:pPr>
        <w:pStyle w:val="Footer"/>
        <w:spacing w:before="1200"/>
        <w:rPr>
          <w:rFonts w:cs="Arial"/>
          <w:szCs w:val="24"/>
          <w:lang w:val="es-ES"/>
        </w:rPr>
      </w:pPr>
      <w:proofErr w:type="spellStart"/>
      <w:r>
        <w:rPr>
          <w:rFonts w:cs="Arial"/>
          <w:szCs w:val="24"/>
          <w:lang w:val="es-ES"/>
        </w:rPr>
        <w:t>Print</w:t>
      </w:r>
      <w:proofErr w:type="spellEnd"/>
      <w:r>
        <w:rPr>
          <w:rFonts w:cs="Arial"/>
          <w:szCs w:val="24"/>
          <w:lang w:val="es-ES"/>
        </w:rPr>
        <w:t xml:space="preserve"> </w:t>
      </w:r>
      <w:proofErr w:type="spellStart"/>
      <w:r>
        <w:rPr>
          <w:rFonts w:cs="Arial"/>
          <w:szCs w:val="24"/>
          <w:lang w:val="es-ES"/>
        </w:rPr>
        <w:t>document</w:t>
      </w:r>
      <w:proofErr w:type="spellEnd"/>
      <w:r>
        <w:rPr>
          <w:rFonts w:cs="Arial"/>
          <w:szCs w:val="24"/>
          <w:lang w:val="es-ES"/>
        </w:rPr>
        <w:t xml:space="preserve"> </w:t>
      </w:r>
      <w:proofErr w:type="spellStart"/>
      <w:r>
        <w:rPr>
          <w:rFonts w:cs="Arial"/>
          <w:szCs w:val="24"/>
          <w:lang w:val="es-ES"/>
        </w:rPr>
        <w:t>on</w:t>
      </w:r>
      <w:proofErr w:type="spellEnd"/>
      <w:r>
        <w:rPr>
          <w:rFonts w:cs="Arial"/>
          <w:szCs w:val="24"/>
          <w:lang w:val="es-ES"/>
        </w:rPr>
        <w:t xml:space="preserve"> legal </w:t>
      </w:r>
      <w:proofErr w:type="spellStart"/>
      <w:r>
        <w:rPr>
          <w:rFonts w:cs="Arial"/>
          <w:szCs w:val="24"/>
          <w:lang w:val="es-ES"/>
        </w:rPr>
        <w:t>paper</w:t>
      </w:r>
      <w:proofErr w:type="spellEnd"/>
      <w:r>
        <w:rPr>
          <w:rFonts w:cs="Arial"/>
          <w:szCs w:val="24"/>
          <w:lang w:val="es-ES"/>
        </w:rPr>
        <w:t xml:space="preserve"> (8.5” x 14”).</w:t>
      </w:r>
    </w:p>
    <w:sectPr w:rsidR="00E93B9B" w:rsidRPr="00E93B9B" w:rsidSect="00E93B9B">
      <w:type w:val="continuous"/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83E64" w14:textId="77777777" w:rsidR="00EA1DCB" w:rsidRDefault="00EA1DCB" w:rsidP="00E34B1A">
      <w:pPr>
        <w:spacing w:line="240" w:lineRule="auto"/>
      </w:pPr>
      <w:r>
        <w:separator/>
      </w:r>
    </w:p>
  </w:endnote>
  <w:endnote w:type="continuationSeparator" w:id="0">
    <w:p w14:paraId="42622CC3" w14:textId="77777777" w:rsidR="00EA1DCB" w:rsidRDefault="00EA1DCB" w:rsidP="00E34B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FCF8F" w14:textId="77777777" w:rsidR="00EA1DCB" w:rsidRDefault="00EA1DCB" w:rsidP="00E34B1A">
      <w:pPr>
        <w:spacing w:line="240" w:lineRule="auto"/>
      </w:pPr>
      <w:r>
        <w:separator/>
      </w:r>
    </w:p>
  </w:footnote>
  <w:footnote w:type="continuationSeparator" w:id="0">
    <w:p w14:paraId="05C7C84D" w14:textId="77777777" w:rsidR="00EA1DCB" w:rsidRDefault="00EA1DCB" w:rsidP="00E34B1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0EF8"/>
    <w:multiLevelType w:val="hybridMultilevel"/>
    <w:tmpl w:val="C696E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410B8"/>
    <w:multiLevelType w:val="hybridMultilevel"/>
    <w:tmpl w:val="FBB2A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43821"/>
    <w:multiLevelType w:val="hybridMultilevel"/>
    <w:tmpl w:val="C6A66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B06EE"/>
    <w:multiLevelType w:val="hybridMultilevel"/>
    <w:tmpl w:val="4A4A5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51C94"/>
    <w:multiLevelType w:val="hybridMultilevel"/>
    <w:tmpl w:val="11EE5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755D00"/>
    <w:multiLevelType w:val="hybridMultilevel"/>
    <w:tmpl w:val="A2809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C0357"/>
    <w:multiLevelType w:val="hybridMultilevel"/>
    <w:tmpl w:val="C4BC1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E70353"/>
    <w:multiLevelType w:val="hybridMultilevel"/>
    <w:tmpl w:val="6E16D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A15E68"/>
    <w:multiLevelType w:val="hybridMultilevel"/>
    <w:tmpl w:val="1C741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01598"/>
    <w:multiLevelType w:val="hybridMultilevel"/>
    <w:tmpl w:val="642E8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B72A62"/>
    <w:multiLevelType w:val="hybridMultilevel"/>
    <w:tmpl w:val="65FE4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B22761"/>
    <w:multiLevelType w:val="hybridMultilevel"/>
    <w:tmpl w:val="B524B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F80E31"/>
    <w:multiLevelType w:val="hybridMultilevel"/>
    <w:tmpl w:val="7B782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406F5"/>
    <w:multiLevelType w:val="hybridMultilevel"/>
    <w:tmpl w:val="F8709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E343C2"/>
    <w:multiLevelType w:val="hybridMultilevel"/>
    <w:tmpl w:val="B41C3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5444D4"/>
    <w:multiLevelType w:val="hybridMultilevel"/>
    <w:tmpl w:val="6C6E2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671772"/>
    <w:multiLevelType w:val="hybridMultilevel"/>
    <w:tmpl w:val="35A21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E92E66"/>
    <w:multiLevelType w:val="hybridMultilevel"/>
    <w:tmpl w:val="7D62B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FF4A78"/>
    <w:multiLevelType w:val="hybridMultilevel"/>
    <w:tmpl w:val="95427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211DF2"/>
    <w:multiLevelType w:val="hybridMultilevel"/>
    <w:tmpl w:val="5FBC3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6A2136"/>
    <w:multiLevelType w:val="hybridMultilevel"/>
    <w:tmpl w:val="CD6AE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9F401E"/>
    <w:multiLevelType w:val="hybridMultilevel"/>
    <w:tmpl w:val="332A3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05937">
    <w:abstractNumId w:val="7"/>
  </w:num>
  <w:num w:numId="2" w16cid:durableId="1982880205">
    <w:abstractNumId w:val="1"/>
  </w:num>
  <w:num w:numId="3" w16cid:durableId="76875712">
    <w:abstractNumId w:val="20"/>
  </w:num>
  <w:num w:numId="4" w16cid:durableId="610819027">
    <w:abstractNumId w:val="11"/>
  </w:num>
  <w:num w:numId="5" w16cid:durableId="1383558382">
    <w:abstractNumId w:val="12"/>
  </w:num>
  <w:num w:numId="6" w16cid:durableId="1858545207">
    <w:abstractNumId w:val="14"/>
  </w:num>
  <w:num w:numId="7" w16cid:durableId="36246924">
    <w:abstractNumId w:val="13"/>
  </w:num>
  <w:num w:numId="8" w16cid:durableId="231432353">
    <w:abstractNumId w:val="15"/>
  </w:num>
  <w:num w:numId="9" w16cid:durableId="1545562914">
    <w:abstractNumId w:val="16"/>
  </w:num>
  <w:num w:numId="10" w16cid:durableId="482350946">
    <w:abstractNumId w:val="6"/>
  </w:num>
  <w:num w:numId="11" w16cid:durableId="1914116734">
    <w:abstractNumId w:val="8"/>
  </w:num>
  <w:num w:numId="12" w16cid:durableId="211775872">
    <w:abstractNumId w:val="17"/>
  </w:num>
  <w:num w:numId="13" w16cid:durableId="183597636">
    <w:abstractNumId w:val="5"/>
  </w:num>
  <w:num w:numId="14" w16cid:durableId="755522060">
    <w:abstractNumId w:val="2"/>
  </w:num>
  <w:num w:numId="15" w16cid:durableId="71511673">
    <w:abstractNumId w:val="10"/>
  </w:num>
  <w:num w:numId="16" w16cid:durableId="1606573450">
    <w:abstractNumId w:val="4"/>
  </w:num>
  <w:num w:numId="17" w16cid:durableId="480468505">
    <w:abstractNumId w:val="3"/>
  </w:num>
  <w:num w:numId="18" w16cid:durableId="474833120">
    <w:abstractNumId w:val="0"/>
  </w:num>
  <w:num w:numId="19" w16cid:durableId="163518799">
    <w:abstractNumId w:val="9"/>
  </w:num>
  <w:num w:numId="20" w16cid:durableId="612978600">
    <w:abstractNumId w:val="18"/>
  </w:num>
  <w:num w:numId="21" w16cid:durableId="858082270">
    <w:abstractNumId w:val="19"/>
  </w:num>
  <w:num w:numId="22" w16cid:durableId="108595585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D58"/>
    <w:rsid w:val="00002DF3"/>
    <w:rsid w:val="0000441E"/>
    <w:rsid w:val="00011EE8"/>
    <w:rsid w:val="00030D81"/>
    <w:rsid w:val="00031671"/>
    <w:rsid w:val="000373BD"/>
    <w:rsid w:val="000B4ACC"/>
    <w:rsid w:val="000E036D"/>
    <w:rsid w:val="000E481E"/>
    <w:rsid w:val="000E5AE6"/>
    <w:rsid w:val="0012314B"/>
    <w:rsid w:val="00163C89"/>
    <w:rsid w:val="00171AD9"/>
    <w:rsid w:val="00181800"/>
    <w:rsid w:val="00187E92"/>
    <w:rsid w:val="00194F9D"/>
    <w:rsid w:val="001966D4"/>
    <w:rsid w:val="001A367D"/>
    <w:rsid w:val="001A45C3"/>
    <w:rsid w:val="001D1C5F"/>
    <w:rsid w:val="001E70FD"/>
    <w:rsid w:val="002103C2"/>
    <w:rsid w:val="00297A93"/>
    <w:rsid w:val="002A0BED"/>
    <w:rsid w:val="002B4114"/>
    <w:rsid w:val="002C3599"/>
    <w:rsid w:val="002D338A"/>
    <w:rsid w:val="002D3809"/>
    <w:rsid w:val="00314451"/>
    <w:rsid w:val="00322758"/>
    <w:rsid w:val="00325131"/>
    <w:rsid w:val="00346B1C"/>
    <w:rsid w:val="0036370A"/>
    <w:rsid w:val="0036765E"/>
    <w:rsid w:val="00391D39"/>
    <w:rsid w:val="00395DEF"/>
    <w:rsid w:val="003A06AC"/>
    <w:rsid w:val="003B3F80"/>
    <w:rsid w:val="003C58B0"/>
    <w:rsid w:val="003E3AAC"/>
    <w:rsid w:val="003F0FD2"/>
    <w:rsid w:val="00446408"/>
    <w:rsid w:val="00446B8A"/>
    <w:rsid w:val="00452E94"/>
    <w:rsid w:val="0046717A"/>
    <w:rsid w:val="0047008D"/>
    <w:rsid w:val="00476205"/>
    <w:rsid w:val="00491D65"/>
    <w:rsid w:val="00495804"/>
    <w:rsid w:val="004E45EE"/>
    <w:rsid w:val="00505467"/>
    <w:rsid w:val="00511921"/>
    <w:rsid w:val="00515A23"/>
    <w:rsid w:val="00527BDC"/>
    <w:rsid w:val="0058021A"/>
    <w:rsid w:val="005C560C"/>
    <w:rsid w:val="005D0BB0"/>
    <w:rsid w:val="005F21D1"/>
    <w:rsid w:val="00600B92"/>
    <w:rsid w:val="006259EE"/>
    <w:rsid w:val="0063026F"/>
    <w:rsid w:val="00632482"/>
    <w:rsid w:val="00644B5A"/>
    <w:rsid w:val="00661CF1"/>
    <w:rsid w:val="00681645"/>
    <w:rsid w:val="0069062E"/>
    <w:rsid w:val="006B22A2"/>
    <w:rsid w:val="006C0A53"/>
    <w:rsid w:val="006C5D7F"/>
    <w:rsid w:val="006C73E4"/>
    <w:rsid w:val="006E5B73"/>
    <w:rsid w:val="00714242"/>
    <w:rsid w:val="0071769F"/>
    <w:rsid w:val="0071794F"/>
    <w:rsid w:val="00734011"/>
    <w:rsid w:val="00772C68"/>
    <w:rsid w:val="00794CB0"/>
    <w:rsid w:val="007A1E3C"/>
    <w:rsid w:val="007B11EA"/>
    <w:rsid w:val="007C4E10"/>
    <w:rsid w:val="007E6325"/>
    <w:rsid w:val="007F262A"/>
    <w:rsid w:val="00840484"/>
    <w:rsid w:val="008406F1"/>
    <w:rsid w:val="008530CB"/>
    <w:rsid w:val="00864E91"/>
    <w:rsid w:val="008A459F"/>
    <w:rsid w:val="008B2F06"/>
    <w:rsid w:val="008C07B1"/>
    <w:rsid w:val="008C14E6"/>
    <w:rsid w:val="008F3230"/>
    <w:rsid w:val="008F48C2"/>
    <w:rsid w:val="009806A8"/>
    <w:rsid w:val="00991D58"/>
    <w:rsid w:val="00997AF1"/>
    <w:rsid w:val="009A0660"/>
    <w:rsid w:val="009A1265"/>
    <w:rsid w:val="009C5D0D"/>
    <w:rsid w:val="009C681B"/>
    <w:rsid w:val="009E59FD"/>
    <w:rsid w:val="00A10AA4"/>
    <w:rsid w:val="00A242BE"/>
    <w:rsid w:val="00A3022E"/>
    <w:rsid w:val="00A34063"/>
    <w:rsid w:val="00A478EB"/>
    <w:rsid w:val="00A634C1"/>
    <w:rsid w:val="00A641E4"/>
    <w:rsid w:val="00A65232"/>
    <w:rsid w:val="00A759A3"/>
    <w:rsid w:val="00A8240A"/>
    <w:rsid w:val="00AB2A2C"/>
    <w:rsid w:val="00AD4212"/>
    <w:rsid w:val="00AD547B"/>
    <w:rsid w:val="00AF00E8"/>
    <w:rsid w:val="00B63FF2"/>
    <w:rsid w:val="00B67EE7"/>
    <w:rsid w:val="00BA362E"/>
    <w:rsid w:val="00BB65F4"/>
    <w:rsid w:val="00BE4772"/>
    <w:rsid w:val="00BF08D8"/>
    <w:rsid w:val="00BF2C66"/>
    <w:rsid w:val="00BF3BAA"/>
    <w:rsid w:val="00BF4971"/>
    <w:rsid w:val="00C71D96"/>
    <w:rsid w:val="00C85467"/>
    <w:rsid w:val="00CA3861"/>
    <w:rsid w:val="00CB1067"/>
    <w:rsid w:val="00CB5621"/>
    <w:rsid w:val="00CC4B1E"/>
    <w:rsid w:val="00CC7686"/>
    <w:rsid w:val="00CF6151"/>
    <w:rsid w:val="00D06C66"/>
    <w:rsid w:val="00D36745"/>
    <w:rsid w:val="00D43220"/>
    <w:rsid w:val="00D5670E"/>
    <w:rsid w:val="00D574F7"/>
    <w:rsid w:val="00DA1CBC"/>
    <w:rsid w:val="00DE298F"/>
    <w:rsid w:val="00DF694D"/>
    <w:rsid w:val="00E34B1A"/>
    <w:rsid w:val="00E37AAB"/>
    <w:rsid w:val="00E64ADB"/>
    <w:rsid w:val="00E6539E"/>
    <w:rsid w:val="00E75990"/>
    <w:rsid w:val="00E77345"/>
    <w:rsid w:val="00E91FAC"/>
    <w:rsid w:val="00E9323B"/>
    <w:rsid w:val="00E93B9B"/>
    <w:rsid w:val="00EA1DCB"/>
    <w:rsid w:val="00EA39AF"/>
    <w:rsid w:val="00ED55A5"/>
    <w:rsid w:val="00ED5A0F"/>
    <w:rsid w:val="00F00134"/>
    <w:rsid w:val="00F06CB2"/>
    <w:rsid w:val="00F16D61"/>
    <w:rsid w:val="00F17444"/>
    <w:rsid w:val="00F228CE"/>
    <w:rsid w:val="00F33D7D"/>
    <w:rsid w:val="00F90D55"/>
    <w:rsid w:val="00F91B0B"/>
    <w:rsid w:val="00FA1CCE"/>
    <w:rsid w:val="00FA395B"/>
    <w:rsid w:val="00FC28FC"/>
    <w:rsid w:val="00FF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C447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621"/>
    <w:pPr>
      <w:spacing w:after="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6D61"/>
    <w:pPr>
      <w:keepNext/>
      <w:keepLines/>
      <w:spacing w:line="240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395B"/>
    <w:pPr>
      <w:keepNext/>
      <w:keepLines/>
      <w:spacing w:line="240" w:lineRule="auto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00E8"/>
    <w:pPr>
      <w:keepNext/>
      <w:keepLines/>
      <w:spacing w:line="240" w:lineRule="auto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4B1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B1A"/>
  </w:style>
  <w:style w:type="paragraph" w:styleId="Footer">
    <w:name w:val="footer"/>
    <w:basedOn w:val="Normal"/>
    <w:link w:val="FooterChar"/>
    <w:uiPriority w:val="99"/>
    <w:unhideWhenUsed/>
    <w:rsid w:val="00E34B1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B1A"/>
  </w:style>
  <w:style w:type="character" w:styleId="CommentReference">
    <w:name w:val="annotation reference"/>
    <w:basedOn w:val="DefaultParagraphFont"/>
    <w:uiPriority w:val="99"/>
    <w:semiHidden/>
    <w:unhideWhenUsed/>
    <w:rsid w:val="00E34B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4B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4B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4B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4B1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B1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B1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34B1A"/>
    <w:pPr>
      <w:ind w:left="720"/>
      <w:contextualSpacing/>
    </w:pPr>
  </w:style>
  <w:style w:type="table" w:styleId="TableGrid">
    <w:name w:val="Table Grid"/>
    <w:basedOn w:val="TableNormal"/>
    <w:uiPriority w:val="39"/>
    <w:rsid w:val="005D0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16D61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395B"/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F00E8"/>
    <w:rPr>
      <w:rFonts w:ascii="Arial" w:eastAsiaTheme="majorEastAsia" w:hAnsi="Arial" w:cstheme="majorBidi"/>
      <w:b/>
      <w:sz w:val="24"/>
      <w:szCs w:val="24"/>
    </w:rPr>
  </w:style>
  <w:style w:type="paragraph" w:styleId="Revision">
    <w:name w:val="Revision"/>
    <w:hidden/>
    <w:uiPriority w:val="99"/>
    <w:semiHidden/>
    <w:rsid w:val="000B4ACC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2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5403B-6D85-464C-946D-ED8E0CDF1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1092</Words>
  <Characters>6197</Characters>
  <Application>Microsoft Office Word</Application>
  <DocSecurity>0</DocSecurity>
  <Lines>238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SDP Bilingual At-a-Glance - Migrant (CA Dept of Education)</vt:lpstr>
    </vt:vector>
  </TitlesOfParts>
  <Company/>
  <LinksUpToDate>false</LinksUpToDate>
  <CharactersWithSpaces>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SDP Bilingual At-a-Glance - Migrant (CA Dept of Education)</dc:title>
  <dc:subject>Service Delivery Plan (SDP) At-a-Glance in Spanish and English.</dc:subject>
  <dc:creator/>
  <cp:keywords/>
  <dc:description/>
  <cp:lastModifiedBy/>
  <cp:revision>1</cp:revision>
  <dcterms:created xsi:type="dcterms:W3CDTF">2025-10-27T19:38:00Z</dcterms:created>
  <dcterms:modified xsi:type="dcterms:W3CDTF">2026-04-16T15:15:00Z</dcterms:modified>
</cp:coreProperties>
</file>