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6C44" w14:textId="77777777" w:rsidR="001A00A1" w:rsidRDefault="001A00A1" w:rsidP="001A00A1">
      <w:pPr>
        <w:pStyle w:val="Header"/>
        <w:jc w:val="right"/>
        <w:rPr>
          <w:rFonts w:ascii="Arial" w:hAnsi="Arial" w:cs="Arial"/>
        </w:rPr>
      </w:pPr>
      <w:r w:rsidRPr="00EC2661">
        <w:rPr>
          <w:rFonts w:ascii="Arial" w:hAnsi="Arial" w:cs="Arial"/>
        </w:rPr>
        <w:t>California Department of Education</w:t>
      </w:r>
    </w:p>
    <w:p w14:paraId="414CE3A7" w14:textId="7EBF9F06" w:rsidR="00B31760" w:rsidRPr="00EC2661" w:rsidRDefault="00B31760" w:rsidP="001A00A1">
      <w:pPr>
        <w:pStyle w:val="Header"/>
        <w:jc w:val="right"/>
        <w:rPr>
          <w:rFonts w:ascii="Arial" w:hAnsi="Arial" w:cs="Arial"/>
        </w:rPr>
      </w:pPr>
      <w:r>
        <w:rPr>
          <w:rFonts w:ascii="Arial" w:hAnsi="Arial" w:cs="Arial"/>
        </w:rPr>
        <w:t>Migrant Education Office</w:t>
      </w:r>
    </w:p>
    <w:p w14:paraId="0D193B60" w14:textId="276FF108" w:rsidR="001A00A1" w:rsidRPr="00EC2661" w:rsidRDefault="001A00A1" w:rsidP="001A00A1">
      <w:pPr>
        <w:pStyle w:val="Header"/>
        <w:jc w:val="right"/>
        <w:rPr>
          <w:rFonts w:ascii="Arial" w:hAnsi="Arial" w:cs="Arial"/>
        </w:rPr>
      </w:pPr>
      <w:r>
        <w:rPr>
          <w:rFonts w:ascii="Arial" w:hAnsi="Arial" w:cs="Arial"/>
        </w:rPr>
        <w:t>July 2025</w:t>
      </w:r>
    </w:p>
    <w:p w14:paraId="00F18BA1" w14:textId="01BE7240" w:rsidR="007473EB" w:rsidRPr="0078589E" w:rsidRDefault="006B723D" w:rsidP="00B31760">
      <w:pPr>
        <w:pStyle w:val="Heading1"/>
        <w:spacing w:before="0" w:after="0"/>
        <w:rPr>
          <w:rFonts w:ascii="Arial" w:hAnsi="Arial" w:cs="Arial"/>
        </w:rPr>
      </w:pPr>
      <w:r w:rsidRPr="0078589E">
        <w:rPr>
          <w:rFonts w:ascii="Arial" w:hAnsi="Arial" w:cs="Arial"/>
        </w:rPr>
        <w:t>Service Delivery Plan Crosswalk</w:t>
      </w:r>
    </w:p>
    <w:p w14:paraId="77B260A9" w14:textId="130AB970" w:rsidR="006B723D" w:rsidRPr="0078589E" w:rsidRDefault="006B723D" w:rsidP="00C862B4">
      <w:pPr>
        <w:pStyle w:val="Heading2"/>
      </w:pPr>
      <w:r w:rsidRPr="0078589E">
        <w:t>Introduction</w:t>
      </w:r>
    </w:p>
    <w:p w14:paraId="48693FBB" w14:textId="09DF8D6A" w:rsidR="00A74626" w:rsidRDefault="00177981" w:rsidP="00B55FF8">
      <w:pPr>
        <w:spacing w:line="240" w:lineRule="auto"/>
        <w:rPr>
          <w:rFonts w:ascii="Arial" w:hAnsi="Arial" w:cs="Arial"/>
        </w:rPr>
      </w:pPr>
      <w:r>
        <w:rPr>
          <w:rFonts w:ascii="Arial" w:hAnsi="Arial" w:cs="Arial"/>
        </w:rPr>
        <w:t>During the 2024–25 school year,</w:t>
      </w:r>
      <w:r w:rsidR="00601CD6">
        <w:rPr>
          <w:rFonts w:ascii="Arial" w:hAnsi="Arial" w:cs="Arial"/>
        </w:rPr>
        <w:t xml:space="preserve"> the </w:t>
      </w:r>
      <w:r w:rsidR="00601CD6" w:rsidRPr="00601CD6">
        <w:rPr>
          <w:rFonts w:ascii="Arial" w:hAnsi="Arial" w:cs="Arial"/>
        </w:rPr>
        <w:t>California Department of Education</w:t>
      </w:r>
      <w:r w:rsidR="00601CD6">
        <w:rPr>
          <w:rFonts w:ascii="Arial" w:hAnsi="Arial" w:cs="Arial"/>
        </w:rPr>
        <w:t xml:space="preserve"> (CDE) </w:t>
      </w:r>
      <w:r w:rsidR="00020DB3">
        <w:rPr>
          <w:rFonts w:ascii="Arial" w:hAnsi="Arial" w:cs="Arial"/>
        </w:rPr>
        <w:t>led a collaborative process with Migrant Education Program (MEP) directors and staff, county office of education administrators, and MEP eligible parents to develop the statewide comprehensive needs assessment (CNA) and service delivery plan (SDP)</w:t>
      </w:r>
      <w:r w:rsidR="007F0434">
        <w:rPr>
          <w:rFonts w:ascii="Arial" w:hAnsi="Arial" w:cs="Arial"/>
        </w:rPr>
        <w:t xml:space="preserve"> for the 2026–27 grant year</w:t>
      </w:r>
      <w:r w:rsidR="00020DB3">
        <w:rPr>
          <w:rFonts w:ascii="Arial" w:hAnsi="Arial" w:cs="Arial"/>
        </w:rPr>
        <w:t>. While the CNA identifies the statewide needs for migratory children, youth</w:t>
      </w:r>
      <w:r w:rsidR="00230EE4">
        <w:rPr>
          <w:rFonts w:ascii="Arial" w:hAnsi="Arial" w:cs="Arial"/>
        </w:rPr>
        <w:t xml:space="preserve">, and parents </w:t>
      </w:r>
      <w:r>
        <w:rPr>
          <w:rFonts w:ascii="Arial" w:hAnsi="Arial" w:cs="Arial"/>
        </w:rPr>
        <w:t>(</w:t>
      </w:r>
      <w:r w:rsidR="00230EE4">
        <w:rPr>
          <w:rFonts w:ascii="Arial" w:hAnsi="Arial" w:cs="Arial"/>
        </w:rPr>
        <w:t>as it relates to supporting their children’s overall well-being</w:t>
      </w:r>
      <w:r>
        <w:rPr>
          <w:rFonts w:ascii="Arial" w:hAnsi="Arial" w:cs="Arial"/>
        </w:rPr>
        <w:t>)</w:t>
      </w:r>
      <w:r w:rsidR="00230EE4">
        <w:rPr>
          <w:rFonts w:ascii="Arial" w:hAnsi="Arial" w:cs="Arial"/>
        </w:rPr>
        <w:t xml:space="preserve">, the SDP outlines the strategies using evidence-based practices </w:t>
      </w:r>
      <w:r>
        <w:rPr>
          <w:rFonts w:ascii="Arial" w:hAnsi="Arial" w:cs="Arial"/>
        </w:rPr>
        <w:t>to be implemented statewide to address the needs in the CNA. Each strategy has a corresponding measurable program objective (MPO) which measures the annual implementation of the specific strategy.</w:t>
      </w:r>
      <w:r w:rsidR="00020DB3">
        <w:rPr>
          <w:rFonts w:ascii="Arial" w:hAnsi="Arial" w:cs="Arial"/>
        </w:rPr>
        <w:t xml:space="preserve"> </w:t>
      </w:r>
      <w:r w:rsidR="00412274">
        <w:rPr>
          <w:rFonts w:ascii="Arial" w:hAnsi="Arial" w:cs="Arial"/>
        </w:rPr>
        <w:t xml:space="preserve">As the final strategies and </w:t>
      </w:r>
      <w:r>
        <w:rPr>
          <w:rFonts w:ascii="Arial" w:hAnsi="Arial" w:cs="Arial"/>
        </w:rPr>
        <w:t>MPOs</w:t>
      </w:r>
      <w:r w:rsidR="00412274">
        <w:rPr>
          <w:rFonts w:ascii="Arial" w:hAnsi="Arial" w:cs="Arial"/>
        </w:rPr>
        <w:t xml:space="preserve"> were iden</w:t>
      </w:r>
      <w:r w:rsidR="000A73B8">
        <w:rPr>
          <w:rFonts w:ascii="Arial" w:hAnsi="Arial" w:cs="Arial"/>
        </w:rPr>
        <w:t xml:space="preserve">tified for the 2026 SDP, </w:t>
      </w:r>
      <w:r w:rsidR="00412274">
        <w:rPr>
          <w:rFonts w:ascii="Arial" w:hAnsi="Arial" w:cs="Arial"/>
        </w:rPr>
        <w:t xml:space="preserve">it became clear that many of the needs for migratory children and youth included in the </w:t>
      </w:r>
      <w:r w:rsidR="00A74626">
        <w:rPr>
          <w:rFonts w:ascii="Arial" w:hAnsi="Arial" w:cs="Arial"/>
        </w:rPr>
        <w:t xml:space="preserve">2017 </w:t>
      </w:r>
      <w:r>
        <w:rPr>
          <w:rFonts w:ascii="Arial" w:hAnsi="Arial" w:cs="Arial"/>
        </w:rPr>
        <w:t>state service delivery plan (</w:t>
      </w:r>
      <w:r w:rsidR="00412274">
        <w:rPr>
          <w:rFonts w:ascii="Arial" w:hAnsi="Arial" w:cs="Arial"/>
        </w:rPr>
        <w:t>SSDP</w:t>
      </w:r>
      <w:r w:rsidR="00B55FF8">
        <w:rPr>
          <w:rFonts w:ascii="Arial" w:hAnsi="Arial" w:cs="Arial"/>
        </w:rPr>
        <w:t>)</w:t>
      </w:r>
      <w:r w:rsidR="000A73B8">
        <w:rPr>
          <w:rFonts w:ascii="Arial" w:hAnsi="Arial" w:cs="Arial"/>
        </w:rPr>
        <w:t xml:space="preserve"> persisted. </w:t>
      </w:r>
      <w:r w:rsidR="00A74626">
        <w:rPr>
          <w:rFonts w:ascii="Arial" w:hAnsi="Arial" w:cs="Arial"/>
        </w:rPr>
        <w:t xml:space="preserve">For that reason, </w:t>
      </w:r>
      <w:r w:rsidR="00B55FF8">
        <w:rPr>
          <w:rFonts w:ascii="Arial" w:hAnsi="Arial" w:cs="Arial"/>
        </w:rPr>
        <w:t xml:space="preserve">a </w:t>
      </w:r>
      <w:r w:rsidR="000C29C2">
        <w:rPr>
          <w:rFonts w:ascii="Arial" w:hAnsi="Arial" w:cs="Arial"/>
        </w:rPr>
        <w:t>considerable number</w:t>
      </w:r>
      <w:r w:rsidR="00A74626">
        <w:rPr>
          <w:rFonts w:ascii="Arial" w:hAnsi="Arial" w:cs="Arial"/>
        </w:rPr>
        <w:t xml:space="preserve"> of </w:t>
      </w:r>
      <w:proofErr w:type="gramStart"/>
      <w:r w:rsidR="00A74626">
        <w:rPr>
          <w:rFonts w:ascii="Arial" w:hAnsi="Arial" w:cs="Arial"/>
        </w:rPr>
        <w:t>the</w:t>
      </w:r>
      <w:r w:rsidR="00B55FF8">
        <w:rPr>
          <w:rFonts w:ascii="Arial" w:hAnsi="Arial" w:cs="Arial"/>
        </w:rPr>
        <w:t xml:space="preserve"> SDP</w:t>
      </w:r>
      <w:proofErr w:type="gramEnd"/>
      <w:r w:rsidR="00A74626">
        <w:rPr>
          <w:rFonts w:ascii="Arial" w:hAnsi="Arial" w:cs="Arial"/>
        </w:rPr>
        <w:t xml:space="preserve"> strategies are </w:t>
      </w:r>
      <w:proofErr w:type="gramStart"/>
      <w:r w:rsidR="00A74626">
        <w:rPr>
          <w:rFonts w:ascii="Arial" w:hAnsi="Arial" w:cs="Arial"/>
        </w:rPr>
        <w:t>similar to</w:t>
      </w:r>
      <w:proofErr w:type="gramEnd"/>
      <w:r w:rsidR="00A74626">
        <w:rPr>
          <w:rFonts w:ascii="Arial" w:hAnsi="Arial" w:cs="Arial"/>
        </w:rPr>
        <w:t xml:space="preserve"> </w:t>
      </w:r>
      <w:r w:rsidR="000C29C2">
        <w:rPr>
          <w:rFonts w:ascii="Arial" w:hAnsi="Arial" w:cs="Arial"/>
        </w:rPr>
        <w:t>strategies</w:t>
      </w:r>
      <w:r w:rsidR="00A74626">
        <w:rPr>
          <w:rFonts w:ascii="Arial" w:hAnsi="Arial" w:cs="Arial"/>
        </w:rPr>
        <w:t xml:space="preserve"> implemented for the duration of the 2017 SSDP. </w:t>
      </w:r>
      <w:r w:rsidR="0014577E">
        <w:rPr>
          <w:rFonts w:ascii="Arial" w:hAnsi="Arial" w:cs="Arial"/>
        </w:rPr>
        <w:t>For example, b</w:t>
      </w:r>
      <w:r w:rsidR="002D4F41">
        <w:rPr>
          <w:rFonts w:ascii="Arial" w:hAnsi="Arial" w:cs="Arial"/>
        </w:rPr>
        <w:t xml:space="preserve">uilding reading comprehension requires the same </w:t>
      </w:r>
      <w:r w:rsidR="004E1EEB">
        <w:rPr>
          <w:rFonts w:ascii="Arial" w:hAnsi="Arial" w:cs="Arial"/>
        </w:rPr>
        <w:t>knowledge and skills</w:t>
      </w:r>
      <w:r w:rsidR="002D4F41">
        <w:rPr>
          <w:rFonts w:ascii="Arial" w:hAnsi="Arial" w:cs="Arial"/>
        </w:rPr>
        <w:t xml:space="preserve"> whether it is 2017 or 2026; students need to </w:t>
      </w:r>
      <w:r w:rsidR="004E1EEB">
        <w:rPr>
          <w:rFonts w:ascii="Arial" w:hAnsi="Arial" w:cs="Arial"/>
        </w:rPr>
        <w:t xml:space="preserve">build phonological awareness with strong phonics </w:t>
      </w:r>
      <w:r w:rsidR="0014577E">
        <w:rPr>
          <w:rFonts w:ascii="Arial" w:hAnsi="Arial" w:cs="Arial"/>
        </w:rPr>
        <w:t>knowledge</w:t>
      </w:r>
      <w:r w:rsidR="004E1EEB">
        <w:rPr>
          <w:rFonts w:ascii="Arial" w:hAnsi="Arial" w:cs="Arial"/>
        </w:rPr>
        <w:t xml:space="preserve">. This increases students’ reading fluency, which has a positive impact on reading comprehension. Building vocabulary and analyzing texts in </w:t>
      </w:r>
      <w:r w:rsidR="00B55FF8">
        <w:rPr>
          <w:rFonts w:ascii="Arial" w:hAnsi="Arial" w:cs="Arial"/>
        </w:rPr>
        <w:t>separate ways</w:t>
      </w:r>
      <w:r w:rsidR="004E1EEB">
        <w:rPr>
          <w:rFonts w:ascii="Arial" w:hAnsi="Arial" w:cs="Arial"/>
        </w:rPr>
        <w:t xml:space="preserve"> (e.g., looking at text organization, identifying the author’s main idea, comparing characters within a text, etc.) also improves students’ reading comprehension, but you </w:t>
      </w:r>
      <w:r w:rsidR="00B55FF8">
        <w:rPr>
          <w:rFonts w:ascii="Arial" w:hAnsi="Arial" w:cs="Arial"/>
        </w:rPr>
        <w:t xml:space="preserve">cannot </w:t>
      </w:r>
      <w:r w:rsidR="004E1EEB">
        <w:rPr>
          <w:rFonts w:ascii="Arial" w:hAnsi="Arial" w:cs="Arial"/>
        </w:rPr>
        <w:t xml:space="preserve">improve students’ independent reading levels without building </w:t>
      </w:r>
      <w:r w:rsidR="0014577E">
        <w:rPr>
          <w:rFonts w:ascii="Arial" w:hAnsi="Arial" w:cs="Arial"/>
        </w:rPr>
        <w:t>those foundational skills in reading and writing.</w:t>
      </w:r>
    </w:p>
    <w:p w14:paraId="1D1DDC13" w14:textId="69489D40" w:rsidR="0014577E" w:rsidRDefault="0014577E" w:rsidP="00B55FF8">
      <w:pPr>
        <w:spacing w:after="120" w:line="240" w:lineRule="auto"/>
        <w:rPr>
          <w:rFonts w:ascii="Arial" w:hAnsi="Arial" w:cs="Arial"/>
        </w:rPr>
      </w:pPr>
      <w:r>
        <w:rPr>
          <w:rFonts w:ascii="Arial" w:hAnsi="Arial" w:cs="Arial"/>
        </w:rPr>
        <w:t xml:space="preserve">Because so many of the strategies are </w:t>
      </w:r>
      <w:r w:rsidR="00077E55">
        <w:rPr>
          <w:rFonts w:ascii="Arial" w:hAnsi="Arial" w:cs="Arial"/>
        </w:rPr>
        <w:t>similar,</w:t>
      </w:r>
      <w:r>
        <w:rPr>
          <w:rFonts w:ascii="Arial" w:hAnsi="Arial" w:cs="Arial"/>
        </w:rPr>
        <w:t xml:space="preserve"> a resource was needed to clearly articulate the differences between </w:t>
      </w:r>
      <w:r w:rsidR="006B723D" w:rsidRPr="0078589E">
        <w:rPr>
          <w:rFonts w:ascii="Arial" w:hAnsi="Arial" w:cs="Arial"/>
        </w:rPr>
        <w:t>SSDP (2017) strategies and SDP (2026) strategies</w:t>
      </w:r>
      <w:r w:rsidR="00EC3486">
        <w:rPr>
          <w:rFonts w:ascii="Arial" w:hAnsi="Arial" w:cs="Arial"/>
        </w:rPr>
        <w:t>.</w:t>
      </w:r>
      <w:r w:rsidR="00077E55">
        <w:rPr>
          <w:rFonts w:ascii="Arial" w:hAnsi="Arial" w:cs="Arial"/>
        </w:rPr>
        <w:t xml:space="preserve"> This crosswalk </w:t>
      </w:r>
      <w:r w:rsidR="0075094F">
        <w:rPr>
          <w:rFonts w:ascii="Arial" w:hAnsi="Arial" w:cs="Arial"/>
        </w:rPr>
        <w:t>presents both the strategies and MPOs from ea</w:t>
      </w:r>
      <w:r w:rsidR="00EC3486">
        <w:rPr>
          <w:rFonts w:ascii="Arial" w:hAnsi="Arial" w:cs="Arial"/>
        </w:rPr>
        <w:t>ch service delivery plan allowing the reader to easily identify similarities and differences between the plans’ strategies and MPOs for the following f</w:t>
      </w:r>
      <w:r w:rsidR="006B723D" w:rsidRPr="0078589E">
        <w:rPr>
          <w:rFonts w:ascii="Arial" w:hAnsi="Arial" w:cs="Arial"/>
        </w:rPr>
        <w:t xml:space="preserve">ocus areas: </w:t>
      </w:r>
    </w:p>
    <w:p w14:paraId="4DDC4B14" w14:textId="1DBB2674" w:rsidR="0014577E" w:rsidRPr="00EC3486" w:rsidRDefault="006B723D" w:rsidP="00B55FF8">
      <w:pPr>
        <w:pStyle w:val="ListParagraph"/>
        <w:numPr>
          <w:ilvl w:val="0"/>
          <w:numId w:val="15"/>
        </w:numPr>
        <w:spacing w:after="0" w:line="240" w:lineRule="auto"/>
        <w:rPr>
          <w:rFonts w:ascii="Arial" w:hAnsi="Arial" w:cs="Arial"/>
        </w:rPr>
      </w:pPr>
      <w:r w:rsidRPr="00EC3486">
        <w:rPr>
          <w:rFonts w:ascii="Arial" w:hAnsi="Arial" w:cs="Arial"/>
        </w:rPr>
        <w:t xml:space="preserve">English language arts (ELA), </w:t>
      </w:r>
    </w:p>
    <w:p w14:paraId="03CEDBF3" w14:textId="166DF56E" w:rsidR="0014577E" w:rsidRPr="00EC3486" w:rsidRDefault="006B723D" w:rsidP="00B55FF8">
      <w:pPr>
        <w:pStyle w:val="ListParagraph"/>
        <w:numPr>
          <w:ilvl w:val="0"/>
          <w:numId w:val="15"/>
        </w:numPr>
        <w:spacing w:after="0" w:line="240" w:lineRule="auto"/>
        <w:rPr>
          <w:rFonts w:ascii="Arial" w:hAnsi="Arial" w:cs="Arial"/>
        </w:rPr>
      </w:pPr>
      <w:r w:rsidRPr="00EC3486">
        <w:rPr>
          <w:rFonts w:ascii="Arial" w:hAnsi="Arial" w:cs="Arial"/>
        </w:rPr>
        <w:t xml:space="preserve">Mathematics, </w:t>
      </w:r>
    </w:p>
    <w:p w14:paraId="627921FD" w14:textId="01D744BB" w:rsidR="0014577E" w:rsidRPr="00EC3486" w:rsidRDefault="006B723D" w:rsidP="00B55FF8">
      <w:pPr>
        <w:pStyle w:val="ListParagraph"/>
        <w:numPr>
          <w:ilvl w:val="0"/>
          <w:numId w:val="15"/>
        </w:numPr>
        <w:spacing w:after="0" w:line="240" w:lineRule="auto"/>
        <w:rPr>
          <w:rFonts w:ascii="Arial" w:hAnsi="Arial" w:cs="Arial"/>
        </w:rPr>
      </w:pPr>
      <w:r w:rsidRPr="00EC3486">
        <w:rPr>
          <w:rFonts w:ascii="Arial" w:hAnsi="Arial" w:cs="Arial"/>
        </w:rPr>
        <w:t xml:space="preserve">English language development (ELD), </w:t>
      </w:r>
    </w:p>
    <w:p w14:paraId="2ABB4F08" w14:textId="5B5B53CE" w:rsidR="006B723D" w:rsidRDefault="0014577E" w:rsidP="00B55FF8">
      <w:pPr>
        <w:pStyle w:val="ListParagraph"/>
        <w:numPr>
          <w:ilvl w:val="0"/>
          <w:numId w:val="15"/>
        </w:numPr>
        <w:spacing w:after="0" w:line="240" w:lineRule="auto"/>
        <w:rPr>
          <w:rFonts w:ascii="Arial" w:hAnsi="Arial" w:cs="Arial"/>
        </w:rPr>
      </w:pPr>
      <w:r w:rsidRPr="00EC3486">
        <w:rPr>
          <w:rFonts w:ascii="Arial" w:hAnsi="Arial" w:cs="Arial"/>
        </w:rPr>
        <w:t xml:space="preserve">Social and Emotional Learning (SEL), </w:t>
      </w:r>
    </w:p>
    <w:p w14:paraId="0CC690D7" w14:textId="404A83E3" w:rsidR="00EC3486" w:rsidRDefault="00EC3486" w:rsidP="00B55FF8">
      <w:pPr>
        <w:pStyle w:val="ListParagraph"/>
        <w:numPr>
          <w:ilvl w:val="0"/>
          <w:numId w:val="15"/>
        </w:numPr>
        <w:spacing w:after="0" w:line="240" w:lineRule="auto"/>
        <w:rPr>
          <w:rFonts w:ascii="Arial" w:hAnsi="Arial" w:cs="Arial"/>
        </w:rPr>
      </w:pPr>
      <w:r>
        <w:rPr>
          <w:rFonts w:ascii="Arial" w:hAnsi="Arial" w:cs="Arial"/>
        </w:rPr>
        <w:t>High School Outcomes (HS),</w:t>
      </w:r>
    </w:p>
    <w:p w14:paraId="5A9A7287" w14:textId="05B26B7E" w:rsidR="00EC3486" w:rsidRDefault="00EC3486" w:rsidP="00B55FF8">
      <w:pPr>
        <w:pStyle w:val="ListParagraph"/>
        <w:numPr>
          <w:ilvl w:val="0"/>
          <w:numId w:val="15"/>
        </w:numPr>
        <w:spacing w:after="0" w:line="240" w:lineRule="auto"/>
        <w:rPr>
          <w:rFonts w:ascii="Arial" w:hAnsi="Arial" w:cs="Arial"/>
        </w:rPr>
      </w:pPr>
      <w:r>
        <w:rPr>
          <w:rFonts w:ascii="Arial" w:hAnsi="Arial" w:cs="Arial"/>
        </w:rPr>
        <w:t>School Readiness (SR),</w:t>
      </w:r>
    </w:p>
    <w:p w14:paraId="2CB70D71" w14:textId="202B0278" w:rsidR="00EC3486" w:rsidRDefault="00EC3486" w:rsidP="00B55FF8">
      <w:pPr>
        <w:pStyle w:val="ListParagraph"/>
        <w:numPr>
          <w:ilvl w:val="0"/>
          <w:numId w:val="15"/>
        </w:numPr>
        <w:spacing w:after="0" w:line="240" w:lineRule="auto"/>
        <w:rPr>
          <w:rFonts w:ascii="Arial" w:hAnsi="Arial" w:cs="Arial"/>
        </w:rPr>
      </w:pPr>
      <w:r>
        <w:rPr>
          <w:rFonts w:ascii="Arial" w:hAnsi="Arial" w:cs="Arial"/>
        </w:rPr>
        <w:t>Out of School Youth (OSY),</w:t>
      </w:r>
    </w:p>
    <w:p w14:paraId="2BFBE102" w14:textId="375A5992" w:rsidR="00EC3486" w:rsidRDefault="00EC3486" w:rsidP="00B55FF8">
      <w:pPr>
        <w:pStyle w:val="ListParagraph"/>
        <w:numPr>
          <w:ilvl w:val="0"/>
          <w:numId w:val="15"/>
        </w:numPr>
        <w:spacing w:after="0" w:line="240" w:lineRule="auto"/>
        <w:rPr>
          <w:rFonts w:ascii="Arial" w:hAnsi="Arial" w:cs="Arial"/>
        </w:rPr>
      </w:pPr>
      <w:r>
        <w:rPr>
          <w:rFonts w:ascii="Arial" w:hAnsi="Arial" w:cs="Arial"/>
        </w:rPr>
        <w:t>Health,</w:t>
      </w:r>
    </w:p>
    <w:p w14:paraId="3086D75B" w14:textId="11501C0E" w:rsidR="00EC3486" w:rsidRDefault="00EC3486" w:rsidP="00B55FF8">
      <w:pPr>
        <w:pStyle w:val="ListParagraph"/>
        <w:numPr>
          <w:ilvl w:val="0"/>
          <w:numId w:val="15"/>
        </w:numPr>
        <w:spacing w:after="0" w:line="240" w:lineRule="auto"/>
        <w:rPr>
          <w:rFonts w:ascii="Arial" w:hAnsi="Arial" w:cs="Arial"/>
        </w:rPr>
      </w:pPr>
      <w:r>
        <w:rPr>
          <w:rFonts w:ascii="Arial" w:hAnsi="Arial" w:cs="Arial"/>
        </w:rPr>
        <w:t xml:space="preserve">Parent and Family Engagement (PFE), and </w:t>
      </w:r>
    </w:p>
    <w:p w14:paraId="2D8165F3" w14:textId="5B9A0BCE" w:rsidR="00EC3486" w:rsidRPr="005A7F4E" w:rsidRDefault="00EC3486" w:rsidP="00384D21">
      <w:pPr>
        <w:pStyle w:val="ListParagraph"/>
        <w:numPr>
          <w:ilvl w:val="0"/>
          <w:numId w:val="15"/>
        </w:numPr>
        <w:spacing w:after="120" w:line="240" w:lineRule="auto"/>
        <w:ind w:left="360" w:firstLine="0"/>
        <w:contextualSpacing w:val="0"/>
        <w:rPr>
          <w:rFonts w:ascii="Arial" w:hAnsi="Arial" w:cs="Arial"/>
        </w:rPr>
      </w:pPr>
      <w:r>
        <w:rPr>
          <w:rFonts w:ascii="Arial" w:hAnsi="Arial" w:cs="Arial"/>
        </w:rPr>
        <w:t>Student Engagement (SE)</w:t>
      </w:r>
    </w:p>
    <w:p w14:paraId="045C9DD1" w14:textId="48E6FEFC" w:rsidR="00EC3486" w:rsidRPr="00EC3486" w:rsidRDefault="00EC3486" w:rsidP="00B55FF8">
      <w:pPr>
        <w:spacing w:after="0" w:line="240" w:lineRule="auto"/>
        <w:rPr>
          <w:rFonts w:ascii="Arial" w:hAnsi="Arial" w:cs="Arial"/>
        </w:rPr>
      </w:pPr>
      <w:r>
        <w:rPr>
          <w:rFonts w:ascii="Arial" w:hAnsi="Arial" w:cs="Arial"/>
        </w:rPr>
        <w:t>The following tables are focus area-specific and include each strategy and MPO from both the 2017 SSDP (highlighted in green) and the 2026 SDP (in lavender). The comparison column is for the reader to use when identifying the differences between the two plans.</w:t>
      </w:r>
    </w:p>
    <w:p w14:paraId="0A3DD1C3" w14:textId="1DA72067" w:rsidR="00FA3D07" w:rsidRPr="0078589E" w:rsidRDefault="00FA3D07" w:rsidP="00C862B4">
      <w:pPr>
        <w:pStyle w:val="Heading2"/>
      </w:pPr>
      <w:r w:rsidRPr="0078589E">
        <w:lastRenderedPageBreak/>
        <w:t>English Language Arts</w:t>
      </w:r>
    </w:p>
    <w:tbl>
      <w:tblPr>
        <w:tblStyle w:val="TableGrid"/>
        <w:tblW w:w="17185" w:type="dxa"/>
        <w:tblLook w:val="04A0" w:firstRow="1" w:lastRow="0" w:firstColumn="1" w:lastColumn="0" w:noHBand="0" w:noVBand="1"/>
        <w:tblDescription w:val="English Language Arts comparison of the 2017 SSDP Strategies and MPOs and the 2026 SDP Strategies and MPOs."/>
      </w:tblPr>
      <w:tblGrid>
        <w:gridCol w:w="923"/>
        <w:gridCol w:w="5058"/>
        <w:gridCol w:w="923"/>
        <w:gridCol w:w="5871"/>
        <w:gridCol w:w="4410"/>
      </w:tblGrid>
      <w:tr w:rsidR="00FA3D07" w:rsidRPr="00412274" w14:paraId="2CE8ACEC" w14:textId="2A0C8925" w:rsidTr="00457A32">
        <w:trPr>
          <w:cantSplit/>
          <w:tblHeader/>
        </w:trPr>
        <w:tc>
          <w:tcPr>
            <w:tcW w:w="923" w:type="dxa"/>
            <w:shd w:val="clear" w:color="auto" w:fill="D9F2D0" w:themeFill="accent6" w:themeFillTint="33"/>
          </w:tcPr>
          <w:p w14:paraId="1B2FFEF1" w14:textId="7A9191FB" w:rsidR="00262FB1" w:rsidRPr="00412274" w:rsidRDefault="00262FB1" w:rsidP="00262FB1">
            <w:pPr>
              <w:rPr>
                <w:rFonts w:ascii="Arial" w:hAnsi="Arial" w:cs="Arial"/>
                <w:b/>
                <w:bCs/>
              </w:rPr>
            </w:pPr>
            <w:r w:rsidRPr="00412274">
              <w:rPr>
                <w:rFonts w:ascii="Arial" w:hAnsi="Arial" w:cs="Arial"/>
                <w:b/>
                <w:bCs/>
              </w:rPr>
              <w:t xml:space="preserve">Focus Area </w:t>
            </w:r>
          </w:p>
        </w:tc>
        <w:tc>
          <w:tcPr>
            <w:tcW w:w="5058" w:type="dxa"/>
            <w:shd w:val="clear" w:color="auto" w:fill="D9F2D0" w:themeFill="accent6" w:themeFillTint="33"/>
          </w:tcPr>
          <w:p w14:paraId="1B54203F" w14:textId="6A83B282" w:rsidR="00262FB1" w:rsidRPr="00412274" w:rsidRDefault="007F0434" w:rsidP="00262FB1">
            <w:pPr>
              <w:rPr>
                <w:rFonts w:ascii="Arial" w:hAnsi="Arial" w:cs="Arial"/>
                <w:b/>
                <w:bCs/>
              </w:rPr>
            </w:pPr>
            <w:r>
              <w:rPr>
                <w:rFonts w:ascii="Arial" w:hAnsi="Arial" w:cs="Arial"/>
                <w:b/>
                <w:bCs/>
              </w:rPr>
              <w:t xml:space="preserve">2017 </w:t>
            </w:r>
            <w:r w:rsidR="00262FB1" w:rsidRPr="00412274">
              <w:rPr>
                <w:rFonts w:ascii="Arial" w:hAnsi="Arial" w:cs="Arial"/>
                <w:b/>
                <w:bCs/>
              </w:rPr>
              <w:t>SSDP Strateg</w:t>
            </w:r>
            <w:r w:rsidR="00F319A8" w:rsidRPr="00412274">
              <w:rPr>
                <w:rFonts w:ascii="Arial" w:hAnsi="Arial" w:cs="Arial"/>
                <w:b/>
                <w:bCs/>
              </w:rPr>
              <w:t>ies and MPOs</w:t>
            </w:r>
          </w:p>
        </w:tc>
        <w:tc>
          <w:tcPr>
            <w:tcW w:w="923" w:type="dxa"/>
            <w:shd w:val="clear" w:color="auto" w:fill="F2CEED" w:themeFill="accent5" w:themeFillTint="33"/>
          </w:tcPr>
          <w:p w14:paraId="15E2E2C5" w14:textId="6941B1F5" w:rsidR="00262FB1" w:rsidRPr="00412274" w:rsidRDefault="00262FB1" w:rsidP="00262FB1">
            <w:pPr>
              <w:rPr>
                <w:rFonts w:ascii="Arial" w:hAnsi="Arial" w:cs="Arial"/>
                <w:b/>
                <w:bCs/>
              </w:rPr>
            </w:pPr>
            <w:r w:rsidRPr="00412274">
              <w:rPr>
                <w:rFonts w:ascii="Arial" w:hAnsi="Arial" w:cs="Arial"/>
                <w:b/>
                <w:bCs/>
              </w:rPr>
              <w:t xml:space="preserve">Focus Area </w:t>
            </w:r>
          </w:p>
        </w:tc>
        <w:tc>
          <w:tcPr>
            <w:tcW w:w="5871" w:type="dxa"/>
            <w:shd w:val="clear" w:color="auto" w:fill="F2CEED" w:themeFill="accent5" w:themeFillTint="33"/>
          </w:tcPr>
          <w:p w14:paraId="0565C950" w14:textId="5D3B8985" w:rsidR="00262FB1" w:rsidRPr="00412274" w:rsidRDefault="007F0434" w:rsidP="00262FB1">
            <w:pPr>
              <w:rPr>
                <w:rFonts w:ascii="Arial" w:hAnsi="Arial" w:cs="Arial"/>
                <w:b/>
                <w:bCs/>
              </w:rPr>
            </w:pPr>
            <w:r>
              <w:rPr>
                <w:rFonts w:ascii="Arial" w:hAnsi="Arial" w:cs="Arial"/>
                <w:b/>
                <w:bCs/>
              </w:rPr>
              <w:t xml:space="preserve">2026 </w:t>
            </w:r>
            <w:r w:rsidR="00262FB1" w:rsidRPr="00412274">
              <w:rPr>
                <w:rFonts w:ascii="Arial" w:hAnsi="Arial" w:cs="Arial"/>
                <w:b/>
                <w:bCs/>
              </w:rPr>
              <w:t>SDP</w:t>
            </w:r>
            <w:r w:rsidR="00F319A8" w:rsidRPr="00412274">
              <w:rPr>
                <w:rFonts w:ascii="Arial" w:hAnsi="Arial" w:cs="Arial"/>
                <w:b/>
                <w:bCs/>
              </w:rPr>
              <w:t xml:space="preserve"> Strategies and MPOs</w:t>
            </w:r>
          </w:p>
        </w:tc>
        <w:tc>
          <w:tcPr>
            <w:tcW w:w="4410" w:type="dxa"/>
          </w:tcPr>
          <w:p w14:paraId="3DF61C58" w14:textId="54C8DB94" w:rsidR="00262FB1" w:rsidRPr="00412274" w:rsidRDefault="00262FB1" w:rsidP="00262FB1">
            <w:pPr>
              <w:rPr>
                <w:rFonts w:ascii="Arial" w:hAnsi="Arial" w:cs="Arial"/>
                <w:b/>
                <w:bCs/>
              </w:rPr>
            </w:pPr>
            <w:r w:rsidRPr="00412274">
              <w:rPr>
                <w:rFonts w:ascii="Arial" w:hAnsi="Arial" w:cs="Arial"/>
                <w:b/>
                <w:bCs/>
              </w:rPr>
              <w:t xml:space="preserve">Comparison </w:t>
            </w:r>
          </w:p>
        </w:tc>
      </w:tr>
      <w:tr w:rsidR="008B5EEF" w:rsidRPr="0078589E" w14:paraId="57600AAB" w14:textId="25AA35E2" w:rsidTr="00457A32">
        <w:trPr>
          <w:cantSplit/>
        </w:trPr>
        <w:tc>
          <w:tcPr>
            <w:tcW w:w="923" w:type="dxa"/>
            <w:shd w:val="clear" w:color="auto" w:fill="D9F2D0" w:themeFill="accent6" w:themeFillTint="33"/>
          </w:tcPr>
          <w:p w14:paraId="753EAFAD" w14:textId="31D36BC7" w:rsidR="008B5EEF" w:rsidRPr="0078589E" w:rsidRDefault="008B5EEF" w:rsidP="008B5EEF">
            <w:pPr>
              <w:rPr>
                <w:rFonts w:ascii="Arial" w:hAnsi="Arial" w:cs="Arial"/>
              </w:rPr>
            </w:pPr>
            <w:r w:rsidRPr="0078589E">
              <w:rPr>
                <w:rFonts w:ascii="Arial" w:hAnsi="Arial" w:cs="Arial"/>
              </w:rPr>
              <w:t>ELA 1.0</w:t>
            </w:r>
          </w:p>
        </w:tc>
        <w:tc>
          <w:tcPr>
            <w:tcW w:w="5058" w:type="dxa"/>
            <w:shd w:val="clear" w:color="auto" w:fill="D9F2D0" w:themeFill="accent6" w:themeFillTint="33"/>
          </w:tcPr>
          <w:p w14:paraId="7C360E17" w14:textId="4D84FA09" w:rsidR="008B5EEF" w:rsidRPr="0078589E" w:rsidRDefault="008B5EEF" w:rsidP="00343149">
            <w:pPr>
              <w:spacing w:after="120"/>
              <w:rPr>
                <w:rFonts w:ascii="Arial" w:hAnsi="Arial" w:cs="Arial"/>
              </w:rPr>
            </w:pPr>
            <w:r w:rsidRPr="0078589E">
              <w:rPr>
                <w:rFonts w:ascii="Arial" w:hAnsi="Arial" w:cs="Arial"/>
                <w:b/>
                <w:bCs/>
              </w:rPr>
              <w:t>Strategy 1.0:</w:t>
            </w:r>
            <w:r w:rsidRPr="0078589E">
              <w:rPr>
                <w:rFonts w:ascii="Arial" w:hAnsi="Arial" w:cs="Arial"/>
              </w:rPr>
              <w:t xml:space="preserve"> Provide supplementary ELA services with a focus on reading and writing for migratory students with targeted intervention for students who are scoring below or near standard.</w:t>
            </w:r>
          </w:p>
          <w:p w14:paraId="00E666CE" w14:textId="7ABA6597" w:rsidR="008B5EEF" w:rsidRPr="0078589E" w:rsidRDefault="008B5EEF" w:rsidP="008B5EEF">
            <w:pPr>
              <w:rPr>
                <w:rFonts w:ascii="Arial" w:hAnsi="Arial" w:cs="Arial"/>
                <w:b/>
                <w:bCs/>
              </w:rPr>
            </w:pPr>
            <w:r w:rsidRPr="0078589E">
              <w:rPr>
                <w:rFonts w:ascii="Arial" w:hAnsi="Arial" w:cs="Arial"/>
                <w:b/>
                <w:bCs/>
              </w:rPr>
              <w:t xml:space="preserve">MPO 1.0: </w:t>
            </w:r>
            <w:r w:rsidRPr="0078589E">
              <w:rPr>
                <w:rFonts w:ascii="Arial" w:hAnsi="Arial" w:cs="Arial"/>
              </w:rPr>
              <w:t xml:space="preserve">Each year, 60 percent of </w:t>
            </w:r>
            <w:r w:rsidR="00DE4186">
              <w:rPr>
                <w:rFonts w:ascii="Arial" w:hAnsi="Arial" w:cs="Arial"/>
              </w:rPr>
              <w:t>kindergarten through tenth grade</w:t>
            </w:r>
            <w:r w:rsidRPr="0078589E">
              <w:rPr>
                <w:rFonts w:ascii="Arial" w:hAnsi="Arial" w:cs="Arial"/>
              </w:rPr>
              <w:t xml:space="preserve"> migratory students who are not proficient in ELA achievement will participate in at least 30 hours (1800 minutes) of supplemental reading and writing instruction during the regular school year </w:t>
            </w:r>
            <w:r w:rsidR="0001026E">
              <w:rPr>
                <w:rFonts w:ascii="Arial" w:hAnsi="Arial" w:cs="Arial"/>
              </w:rPr>
              <w:t xml:space="preserve">(RSY) </w:t>
            </w:r>
            <w:r w:rsidRPr="0078589E">
              <w:rPr>
                <w:rFonts w:ascii="Arial" w:hAnsi="Arial" w:cs="Arial"/>
              </w:rPr>
              <w:t>and at least 20 hours (1200 minutes) of summer school instruction if present</w:t>
            </w:r>
          </w:p>
        </w:tc>
        <w:tc>
          <w:tcPr>
            <w:tcW w:w="923" w:type="dxa"/>
            <w:shd w:val="clear" w:color="auto" w:fill="F2CEED" w:themeFill="accent5" w:themeFillTint="33"/>
          </w:tcPr>
          <w:p w14:paraId="0B01085F" w14:textId="12162501" w:rsidR="008B5EEF" w:rsidRPr="0078589E" w:rsidRDefault="008B5EEF" w:rsidP="008B5EEF">
            <w:pPr>
              <w:rPr>
                <w:rFonts w:ascii="Arial" w:hAnsi="Arial" w:cs="Arial"/>
              </w:rPr>
            </w:pPr>
            <w:r w:rsidRPr="0078589E">
              <w:rPr>
                <w:rFonts w:ascii="Arial" w:hAnsi="Arial" w:cs="Arial"/>
              </w:rPr>
              <w:t>ELA 1.0</w:t>
            </w:r>
          </w:p>
        </w:tc>
        <w:tc>
          <w:tcPr>
            <w:tcW w:w="5871" w:type="dxa"/>
            <w:shd w:val="clear" w:color="auto" w:fill="F2CEED" w:themeFill="accent5" w:themeFillTint="33"/>
          </w:tcPr>
          <w:p w14:paraId="5B0D7EE7" w14:textId="0AD8AC56" w:rsidR="008B5EEF" w:rsidRDefault="008B5EEF" w:rsidP="00343149">
            <w:pPr>
              <w:spacing w:after="120"/>
              <w:rPr>
                <w:rFonts w:ascii="Arial" w:hAnsi="Arial" w:cs="Arial"/>
              </w:rPr>
            </w:pPr>
            <w:r w:rsidRPr="007D443E">
              <w:rPr>
                <w:rFonts w:ascii="Arial" w:hAnsi="Arial" w:cs="Arial"/>
                <w:b/>
              </w:rPr>
              <w:t>Strategy 1.</w:t>
            </w:r>
            <w:r>
              <w:rPr>
                <w:rFonts w:ascii="Arial" w:hAnsi="Arial" w:cs="Arial"/>
                <w:b/>
              </w:rPr>
              <w:t>0</w:t>
            </w:r>
            <w:r w:rsidRPr="007D443E">
              <w:rPr>
                <w:rFonts w:ascii="Arial" w:hAnsi="Arial" w:cs="Arial"/>
              </w:rPr>
              <w:t xml:space="preserve">: </w:t>
            </w:r>
            <w:r w:rsidRPr="008B53C6">
              <w:rPr>
                <w:rFonts w:ascii="Arial" w:hAnsi="Arial" w:cs="Arial"/>
              </w:rPr>
              <w:t>Each year the MEP will offer ELA services that focus on foundational literacy skills (e.g., phonological awareness, phonics, concepts of print, language comprehension, reading fluency, and writing).</w:t>
            </w:r>
            <w:r w:rsidR="00383C38">
              <w:rPr>
                <w:rStyle w:val="FootnoteReference"/>
                <w:rFonts w:ascii="Arial" w:hAnsi="Arial" w:cs="Arial"/>
              </w:rPr>
              <w:footnoteReference w:id="1"/>
            </w:r>
          </w:p>
          <w:p w14:paraId="22029021" w14:textId="03D2A0E7" w:rsidR="008B5EEF" w:rsidRPr="0078589E" w:rsidRDefault="008B5EEF" w:rsidP="008B5EEF">
            <w:pPr>
              <w:rPr>
                <w:rFonts w:ascii="Arial" w:hAnsi="Arial" w:cs="Arial"/>
              </w:rPr>
            </w:pPr>
            <w:r w:rsidRPr="008B5EEF">
              <w:rPr>
                <w:rFonts w:ascii="Arial" w:hAnsi="Arial" w:cs="Arial"/>
                <w:b/>
                <w:bCs/>
              </w:rPr>
              <w:t>MPO 1.0:</w:t>
            </w:r>
            <w:r w:rsidRPr="008B5EEF">
              <w:rPr>
                <w:rFonts w:ascii="Arial" w:hAnsi="Arial" w:cs="Arial"/>
              </w:rPr>
              <w:t xml:space="preserve"> With baseline data collected in grant year 2026–27, the MEP will increase the percentage of </w:t>
            </w:r>
            <w:proofErr w:type="gramStart"/>
            <w:r w:rsidRPr="008E1EDB">
              <w:rPr>
                <w:rFonts w:ascii="Arial" w:hAnsi="Arial" w:cs="Arial"/>
              </w:rPr>
              <w:t>K</w:t>
            </w:r>
            <w:r w:rsidR="00D66A67" w:rsidRPr="008E1EDB">
              <w:rPr>
                <w:rFonts w:ascii="Arial" w:hAnsi="Arial" w:cs="Arial"/>
              </w:rPr>
              <w:t>indergarten</w:t>
            </w:r>
            <w:proofErr w:type="gramEnd"/>
            <w:r w:rsidR="00D66A67" w:rsidRPr="008E1EDB">
              <w:rPr>
                <w:rFonts w:ascii="Arial" w:hAnsi="Arial" w:cs="Arial"/>
              </w:rPr>
              <w:t xml:space="preserve"> through twelfth grade</w:t>
            </w:r>
            <w:r w:rsidRPr="008E1EDB">
              <w:rPr>
                <w:rFonts w:ascii="Arial" w:hAnsi="Arial" w:cs="Arial"/>
              </w:rPr>
              <w:t xml:space="preserve"> students</w:t>
            </w:r>
            <w:r w:rsidRPr="008B5EEF">
              <w:rPr>
                <w:rFonts w:ascii="Arial" w:hAnsi="Arial" w:cs="Arial"/>
              </w:rPr>
              <w:t xml:space="preserve"> who are below proficiency that participate in an ELA service by three percent annually.</w:t>
            </w:r>
          </w:p>
        </w:tc>
        <w:tc>
          <w:tcPr>
            <w:tcW w:w="4410" w:type="dxa"/>
          </w:tcPr>
          <w:p w14:paraId="2CA9936C" w14:textId="48CC1982" w:rsidR="005A7F4E" w:rsidRPr="005A7F4E" w:rsidRDefault="005A7F4E" w:rsidP="005A7F4E">
            <w:pPr>
              <w:pStyle w:val="ListParagraph"/>
              <w:numPr>
                <w:ilvl w:val="0"/>
                <w:numId w:val="12"/>
              </w:numPr>
              <w:spacing w:after="120"/>
              <w:ind w:left="346"/>
              <w:contextualSpacing w:val="0"/>
              <w:rPr>
                <w:rFonts w:ascii="Arial" w:hAnsi="Arial" w:cs="Arial"/>
              </w:rPr>
            </w:pPr>
            <w:r>
              <w:rPr>
                <w:rFonts w:ascii="Arial" w:hAnsi="Arial" w:cs="Arial"/>
              </w:rPr>
              <w:t xml:space="preserve">Renewed focus on ensuring all students have a solid </w:t>
            </w:r>
            <w:r w:rsidR="0080480C">
              <w:rPr>
                <w:rFonts w:ascii="Arial" w:hAnsi="Arial" w:cs="Arial"/>
              </w:rPr>
              <w:t>understanding</w:t>
            </w:r>
            <w:r>
              <w:rPr>
                <w:rFonts w:ascii="Arial" w:hAnsi="Arial" w:cs="Arial"/>
              </w:rPr>
              <w:t xml:space="preserve"> </w:t>
            </w:r>
            <w:r w:rsidR="0080480C">
              <w:rPr>
                <w:rFonts w:ascii="Arial" w:hAnsi="Arial" w:cs="Arial"/>
              </w:rPr>
              <w:t>of</w:t>
            </w:r>
            <w:r w:rsidRPr="005A7F4E">
              <w:rPr>
                <w:rFonts w:ascii="Arial" w:hAnsi="Arial" w:cs="Arial"/>
              </w:rPr>
              <w:t xml:space="preserve"> foundational skills. </w:t>
            </w:r>
            <w:r w:rsidR="00EC2661" w:rsidRPr="005A7F4E">
              <w:rPr>
                <w:rFonts w:ascii="Arial" w:hAnsi="Arial" w:cs="Arial"/>
              </w:rPr>
              <w:t>For</w:t>
            </w:r>
            <w:r w:rsidRPr="005A7F4E">
              <w:rPr>
                <w:rFonts w:ascii="Arial" w:hAnsi="Arial" w:cs="Arial"/>
              </w:rPr>
              <w:t xml:space="preserve"> children to learn to </w:t>
            </w:r>
            <w:proofErr w:type="gramStart"/>
            <w:r w:rsidRPr="005A7F4E">
              <w:rPr>
                <w:rFonts w:ascii="Arial" w:hAnsi="Arial" w:cs="Arial"/>
              </w:rPr>
              <w:t>read for</w:t>
            </w:r>
            <w:proofErr w:type="gramEnd"/>
            <w:r w:rsidRPr="005A7F4E">
              <w:rPr>
                <w:rFonts w:ascii="Arial" w:hAnsi="Arial" w:cs="Arial"/>
              </w:rPr>
              <w:t xml:space="preserve"> comprehension, they </w:t>
            </w:r>
            <w:r>
              <w:rPr>
                <w:rFonts w:ascii="Arial" w:hAnsi="Arial" w:cs="Arial"/>
              </w:rPr>
              <w:t>must first</w:t>
            </w:r>
            <w:r w:rsidRPr="005A7F4E">
              <w:rPr>
                <w:rFonts w:ascii="Arial" w:hAnsi="Arial" w:cs="Arial"/>
              </w:rPr>
              <w:t xml:space="preserve"> read with fluency. </w:t>
            </w:r>
          </w:p>
          <w:p w14:paraId="4D219D69" w14:textId="6C7EE76E" w:rsidR="008B5EEF" w:rsidRDefault="002B12B4" w:rsidP="0001026E">
            <w:pPr>
              <w:pStyle w:val="ListParagraph"/>
              <w:numPr>
                <w:ilvl w:val="0"/>
                <w:numId w:val="12"/>
              </w:numPr>
              <w:spacing w:after="120"/>
              <w:ind w:left="346"/>
              <w:contextualSpacing w:val="0"/>
              <w:rPr>
                <w:rFonts w:ascii="Arial" w:hAnsi="Arial" w:cs="Arial"/>
              </w:rPr>
            </w:pPr>
            <w:r>
              <w:rPr>
                <w:rFonts w:ascii="Arial" w:hAnsi="Arial" w:cs="Arial"/>
              </w:rPr>
              <w:t xml:space="preserve">Grade span shifts from </w:t>
            </w:r>
            <w:proofErr w:type="gramStart"/>
            <w:r w:rsidR="00DE4186" w:rsidRPr="008E1EDB">
              <w:rPr>
                <w:rFonts w:ascii="Arial" w:hAnsi="Arial" w:cs="Arial"/>
              </w:rPr>
              <w:t>K</w:t>
            </w:r>
            <w:r w:rsidR="00D66A67" w:rsidRPr="008E1EDB">
              <w:rPr>
                <w:rFonts w:ascii="Arial" w:hAnsi="Arial" w:cs="Arial"/>
              </w:rPr>
              <w:t>indergarten</w:t>
            </w:r>
            <w:proofErr w:type="gramEnd"/>
            <w:r w:rsidR="00DE4186" w:rsidRPr="008E1EDB">
              <w:rPr>
                <w:rFonts w:ascii="Arial" w:hAnsi="Arial" w:cs="Arial"/>
              </w:rPr>
              <w:t xml:space="preserve"> through </w:t>
            </w:r>
            <w:r w:rsidR="00384D21" w:rsidRPr="008E1EDB">
              <w:rPr>
                <w:rFonts w:ascii="Arial" w:hAnsi="Arial" w:cs="Arial"/>
              </w:rPr>
              <w:t>tenth</w:t>
            </w:r>
            <w:r>
              <w:rPr>
                <w:rFonts w:ascii="Arial" w:hAnsi="Arial" w:cs="Arial"/>
              </w:rPr>
              <w:t xml:space="preserve"> in 2017 to grades K</w:t>
            </w:r>
            <w:r w:rsidR="00D66A67">
              <w:rPr>
                <w:rFonts w:ascii="Arial" w:hAnsi="Arial" w:cs="Arial"/>
              </w:rPr>
              <w:t>indergarten</w:t>
            </w:r>
            <w:r>
              <w:rPr>
                <w:rFonts w:ascii="Arial" w:hAnsi="Arial" w:cs="Arial"/>
              </w:rPr>
              <w:t xml:space="preserve"> through twelfth for 2026.</w:t>
            </w:r>
          </w:p>
          <w:p w14:paraId="018AA67A" w14:textId="20CCF774" w:rsidR="002B12B4" w:rsidRDefault="002B12B4" w:rsidP="0001026E">
            <w:pPr>
              <w:pStyle w:val="ListParagraph"/>
              <w:numPr>
                <w:ilvl w:val="0"/>
                <w:numId w:val="12"/>
              </w:numPr>
              <w:spacing w:after="120"/>
              <w:ind w:left="340"/>
              <w:contextualSpacing w:val="0"/>
              <w:rPr>
                <w:rFonts w:ascii="Arial" w:hAnsi="Arial" w:cs="Arial"/>
              </w:rPr>
            </w:pPr>
            <w:r>
              <w:rPr>
                <w:rFonts w:ascii="Arial" w:hAnsi="Arial" w:cs="Arial"/>
              </w:rPr>
              <w:t xml:space="preserve">Removes the time requirement for </w:t>
            </w:r>
            <w:r w:rsidR="0001026E">
              <w:rPr>
                <w:rFonts w:ascii="Arial" w:hAnsi="Arial" w:cs="Arial"/>
              </w:rPr>
              <w:t>student participation although the time requirement for service</w:t>
            </w:r>
            <w:r w:rsidR="006B09DE">
              <w:rPr>
                <w:rFonts w:ascii="Arial" w:hAnsi="Arial" w:cs="Arial"/>
              </w:rPr>
              <w:t xml:space="preserve"> duration</w:t>
            </w:r>
            <w:r w:rsidR="0001026E">
              <w:rPr>
                <w:rFonts w:ascii="Arial" w:hAnsi="Arial" w:cs="Arial"/>
              </w:rPr>
              <w:t xml:space="preserve"> remains intact as does the need to enter service hours for data.</w:t>
            </w:r>
          </w:p>
          <w:p w14:paraId="281533C8" w14:textId="66DBBE04" w:rsidR="0001026E" w:rsidRDefault="0001026E" w:rsidP="0001026E">
            <w:pPr>
              <w:pStyle w:val="ListParagraph"/>
              <w:numPr>
                <w:ilvl w:val="0"/>
                <w:numId w:val="12"/>
              </w:numPr>
              <w:spacing w:after="120"/>
              <w:ind w:left="340"/>
              <w:contextualSpacing w:val="0"/>
              <w:rPr>
                <w:rFonts w:ascii="Arial" w:hAnsi="Arial" w:cs="Arial"/>
              </w:rPr>
            </w:pPr>
            <w:r>
              <w:rPr>
                <w:rFonts w:ascii="Arial" w:hAnsi="Arial" w:cs="Arial"/>
              </w:rPr>
              <w:t>The percentage target has been eliminated in favor of an annual increase of student participation by three percentage points.</w:t>
            </w:r>
          </w:p>
          <w:p w14:paraId="0DE1F7BF" w14:textId="534F3F44" w:rsidR="006B09DE" w:rsidRPr="006B09DE" w:rsidRDefault="0001026E" w:rsidP="006B09DE">
            <w:pPr>
              <w:pStyle w:val="ListParagraph"/>
              <w:numPr>
                <w:ilvl w:val="0"/>
                <w:numId w:val="12"/>
              </w:numPr>
              <w:spacing w:after="120"/>
              <w:ind w:left="340"/>
              <w:contextualSpacing w:val="0"/>
              <w:rPr>
                <w:rFonts w:ascii="Arial" w:hAnsi="Arial" w:cs="Arial"/>
              </w:rPr>
            </w:pPr>
            <w:r>
              <w:rPr>
                <w:rFonts w:ascii="Arial" w:hAnsi="Arial" w:cs="Arial"/>
              </w:rPr>
              <w:t>Staffing remains the same: always prioritize certificated staff even though classified staff may provide instruction during RSY.</w:t>
            </w:r>
            <w:r w:rsidR="005A7F4E">
              <w:rPr>
                <w:rFonts w:ascii="Arial" w:hAnsi="Arial" w:cs="Arial"/>
              </w:rPr>
              <w:t xml:space="preserve"> During summer, only certificated staff can provide direct instruction.</w:t>
            </w:r>
          </w:p>
        </w:tc>
      </w:tr>
      <w:tr w:rsidR="00FE51D6" w:rsidRPr="0078589E" w14:paraId="5D3900FA" w14:textId="77777777" w:rsidTr="00457A32">
        <w:trPr>
          <w:cantSplit/>
        </w:trPr>
        <w:tc>
          <w:tcPr>
            <w:tcW w:w="923" w:type="dxa"/>
            <w:shd w:val="clear" w:color="auto" w:fill="D9F2D0" w:themeFill="accent6" w:themeFillTint="33"/>
          </w:tcPr>
          <w:p w14:paraId="744362EF" w14:textId="537FF6B6" w:rsidR="00FE51D6" w:rsidRPr="0078589E" w:rsidRDefault="00FE51D6" w:rsidP="008B5EEF">
            <w:pPr>
              <w:rPr>
                <w:rFonts w:ascii="Arial" w:hAnsi="Arial" w:cs="Arial"/>
              </w:rPr>
            </w:pPr>
            <w:r w:rsidRPr="0078589E">
              <w:rPr>
                <w:rFonts w:ascii="Arial" w:hAnsi="Arial" w:cs="Arial"/>
              </w:rPr>
              <w:lastRenderedPageBreak/>
              <w:t>ELA 1.1</w:t>
            </w:r>
          </w:p>
        </w:tc>
        <w:tc>
          <w:tcPr>
            <w:tcW w:w="5058" w:type="dxa"/>
            <w:shd w:val="clear" w:color="auto" w:fill="D9F2D0" w:themeFill="accent6" w:themeFillTint="33"/>
          </w:tcPr>
          <w:p w14:paraId="38842B8F" w14:textId="77777777" w:rsidR="00FE51D6" w:rsidRPr="0078589E" w:rsidRDefault="00FE51D6" w:rsidP="00FE51D6">
            <w:pPr>
              <w:rPr>
                <w:rFonts w:ascii="Arial" w:hAnsi="Arial" w:cs="Arial"/>
              </w:rPr>
            </w:pPr>
            <w:r w:rsidRPr="0078589E">
              <w:rPr>
                <w:rFonts w:ascii="Arial" w:hAnsi="Arial" w:cs="Arial"/>
                <w:b/>
              </w:rPr>
              <w:t xml:space="preserve">Strategy 1.1: </w:t>
            </w:r>
            <w:r w:rsidRPr="0078589E">
              <w:rPr>
                <w:rFonts w:ascii="Arial" w:hAnsi="Arial" w:cs="Arial"/>
              </w:rPr>
              <w:t>Provide migratory students with opportunities to read various types of expository texts (e.g., description, comparison, cause and effect, problem, and solution).</w:t>
            </w:r>
          </w:p>
          <w:p w14:paraId="4187D302" w14:textId="77777777" w:rsidR="00FE51D6" w:rsidRPr="0078589E" w:rsidRDefault="00FE51D6" w:rsidP="00FE51D6">
            <w:pPr>
              <w:rPr>
                <w:rFonts w:ascii="Arial" w:hAnsi="Arial" w:cs="Arial"/>
              </w:rPr>
            </w:pPr>
          </w:p>
          <w:p w14:paraId="58376362" w14:textId="12B6C733" w:rsidR="00FE51D6" w:rsidRPr="0078589E" w:rsidRDefault="00FE51D6" w:rsidP="00FE51D6">
            <w:pPr>
              <w:spacing w:after="120"/>
              <w:rPr>
                <w:rFonts w:ascii="Arial" w:hAnsi="Arial" w:cs="Arial"/>
                <w:b/>
                <w:bCs/>
              </w:rPr>
            </w:pPr>
            <w:r w:rsidRPr="0078589E">
              <w:rPr>
                <w:rFonts w:ascii="Arial" w:hAnsi="Arial" w:cs="Arial"/>
                <w:b/>
              </w:rPr>
              <w:t xml:space="preserve">MPO 1.1: </w:t>
            </w:r>
            <w:r w:rsidRPr="0078589E">
              <w:rPr>
                <w:rFonts w:ascii="Arial" w:hAnsi="Arial" w:cs="Arial"/>
              </w:rPr>
              <w:t>Migratory students will read at least two expository texts.</w:t>
            </w:r>
          </w:p>
        </w:tc>
        <w:tc>
          <w:tcPr>
            <w:tcW w:w="923" w:type="dxa"/>
            <w:shd w:val="clear" w:color="auto" w:fill="F2CEED" w:themeFill="accent5" w:themeFillTint="33"/>
          </w:tcPr>
          <w:p w14:paraId="5FEC8A7B" w14:textId="600517CD" w:rsidR="00FE51D6" w:rsidRPr="0078589E" w:rsidRDefault="00FE51D6" w:rsidP="008B5EEF">
            <w:pPr>
              <w:rPr>
                <w:rFonts w:ascii="Arial" w:hAnsi="Arial" w:cs="Arial"/>
              </w:rPr>
            </w:pPr>
            <w:r w:rsidRPr="0078589E">
              <w:rPr>
                <w:rFonts w:ascii="Arial" w:hAnsi="Arial" w:cs="Arial"/>
              </w:rPr>
              <w:t>ELA 1.1</w:t>
            </w:r>
          </w:p>
        </w:tc>
        <w:tc>
          <w:tcPr>
            <w:tcW w:w="5871" w:type="dxa"/>
            <w:shd w:val="clear" w:color="auto" w:fill="F2CEED" w:themeFill="accent5" w:themeFillTint="33"/>
          </w:tcPr>
          <w:p w14:paraId="436330D2" w14:textId="77777777" w:rsidR="00FE51D6" w:rsidRPr="006603FA" w:rsidRDefault="00FE51D6" w:rsidP="00FE51D6">
            <w:pPr>
              <w:spacing w:after="240"/>
              <w:rPr>
                <w:rFonts w:ascii="Arial" w:hAnsi="Arial" w:cs="Arial"/>
              </w:rPr>
            </w:pPr>
            <w:r w:rsidRPr="006603FA">
              <w:rPr>
                <w:rFonts w:ascii="Arial" w:hAnsi="Arial" w:cs="Arial"/>
                <w:b/>
              </w:rPr>
              <w:t>Strategy 1.1</w:t>
            </w:r>
            <w:r w:rsidRPr="006603FA">
              <w:rPr>
                <w:rFonts w:ascii="Arial" w:hAnsi="Arial" w:cs="Arial"/>
              </w:rPr>
              <w:t>: Every year, during reading instruction, teach the purpose, structure, and typical language of at least one subgenre of the informational genre. Use model texts of the genre when teaching reading. This same text should also be used as a model text for the writing strategy.</w:t>
            </w:r>
          </w:p>
          <w:p w14:paraId="4F54D3D0" w14:textId="77777777" w:rsidR="00FE51D6" w:rsidRPr="006603FA" w:rsidRDefault="00FE51D6" w:rsidP="00FE51D6">
            <w:pPr>
              <w:pStyle w:val="ListParagraph"/>
              <w:numPr>
                <w:ilvl w:val="2"/>
                <w:numId w:val="4"/>
              </w:numPr>
              <w:ind w:left="690"/>
              <w:contextualSpacing w:val="0"/>
              <w:rPr>
                <w:rFonts w:ascii="Arial" w:hAnsi="Arial" w:cs="Arial"/>
              </w:rPr>
            </w:pPr>
            <w:r w:rsidRPr="006603FA">
              <w:rPr>
                <w:rFonts w:ascii="Arial" w:hAnsi="Arial" w:cs="Arial"/>
              </w:rPr>
              <w:t xml:space="preserve">Informational (Kindergarten through fifth grade) </w:t>
            </w:r>
          </w:p>
          <w:p w14:paraId="044E9F25" w14:textId="77777777" w:rsidR="00FE51D6" w:rsidRPr="006603FA" w:rsidRDefault="00FE51D6" w:rsidP="00FE51D6">
            <w:pPr>
              <w:pStyle w:val="ListParagraph"/>
              <w:numPr>
                <w:ilvl w:val="3"/>
                <w:numId w:val="4"/>
              </w:numPr>
              <w:spacing w:after="240"/>
              <w:ind w:left="1050"/>
              <w:contextualSpacing w:val="0"/>
              <w:rPr>
                <w:rFonts w:ascii="Arial" w:hAnsi="Arial" w:cs="Arial"/>
              </w:rPr>
            </w:pPr>
            <w:r w:rsidRPr="006603FA">
              <w:rPr>
                <w:rFonts w:ascii="Arial" w:hAnsi="Arial" w:cs="Arial"/>
              </w:rPr>
              <w:t>Literary Nonfiction (e.g., biographies and autobiographies; books about history, social studies, science, and the arts; technical texts, including directions, forms, and information displayed in graphs, charts, or maps; and digital sources on a range of topics).</w:t>
            </w:r>
          </w:p>
          <w:p w14:paraId="573BF3FB" w14:textId="77777777" w:rsidR="00FE51D6" w:rsidRDefault="00FE51D6" w:rsidP="00FE51D6">
            <w:pPr>
              <w:pStyle w:val="ListParagraph"/>
              <w:numPr>
                <w:ilvl w:val="2"/>
                <w:numId w:val="4"/>
              </w:numPr>
              <w:ind w:left="690"/>
              <w:contextualSpacing w:val="0"/>
              <w:rPr>
                <w:rFonts w:ascii="Arial" w:hAnsi="Arial" w:cs="Arial"/>
              </w:rPr>
            </w:pPr>
            <w:r w:rsidRPr="006603FA">
              <w:rPr>
                <w:rFonts w:ascii="Arial" w:hAnsi="Arial" w:cs="Arial"/>
              </w:rPr>
              <w:t xml:space="preserve">Informational (sixth through twelfth grade) </w:t>
            </w:r>
          </w:p>
          <w:p w14:paraId="320BBE19" w14:textId="77777777" w:rsidR="00FE51D6" w:rsidRDefault="00FE51D6" w:rsidP="00FE51D6">
            <w:pPr>
              <w:pStyle w:val="ListParagraph"/>
              <w:numPr>
                <w:ilvl w:val="2"/>
                <w:numId w:val="4"/>
              </w:numPr>
              <w:ind w:left="1066"/>
              <w:contextualSpacing w:val="0"/>
              <w:rPr>
                <w:rFonts w:ascii="Arial" w:hAnsi="Arial" w:cs="Arial"/>
              </w:rPr>
            </w:pPr>
            <w:r w:rsidRPr="008B5EEF">
              <w:rPr>
                <w:rFonts w:ascii="Arial" w:hAnsi="Arial" w:cs="Arial"/>
              </w:rPr>
              <w:t>Literary Nonfiction (e.g., expository, argument, and functional text in the form of personal essays, speeches, opinion pieces, essays about art or literature, biographies, memoirs, journalism, historical, scientific, technical, or economic accounts).</w:t>
            </w:r>
          </w:p>
          <w:p w14:paraId="07889DBA" w14:textId="77777777" w:rsidR="00FE51D6" w:rsidRDefault="00FE51D6" w:rsidP="00FE51D6">
            <w:pPr>
              <w:rPr>
                <w:rFonts w:ascii="Arial" w:hAnsi="Arial" w:cs="Arial"/>
              </w:rPr>
            </w:pPr>
          </w:p>
          <w:p w14:paraId="10896F65" w14:textId="1F17977A" w:rsidR="00FE51D6" w:rsidRPr="007D443E" w:rsidRDefault="00FE51D6" w:rsidP="00FE51D6">
            <w:pPr>
              <w:spacing w:after="120"/>
              <w:rPr>
                <w:rFonts w:ascii="Arial" w:hAnsi="Arial" w:cs="Arial"/>
                <w:b/>
              </w:rPr>
            </w:pPr>
            <w:r>
              <w:rPr>
                <w:rFonts w:ascii="Arial" w:hAnsi="Arial" w:cs="Arial"/>
                <w:b/>
              </w:rPr>
              <w:t>MPO</w:t>
            </w:r>
            <w:r w:rsidRPr="007D443E">
              <w:rPr>
                <w:rFonts w:ascii="Arial" w:hAnsi="Arial" w:cs="Arial"/>
                <w:b/>
              </w:rPr>
              <w:t xml:space="preserve"> 1.</w:t>
            </w:r>
            <w:r>
              <w:rPr>
                <w:rFonts w:ascii="Arial" w:hAnsi="Arial" w:cs="Arial"/>
                <w:b/>
              </w:rPr>
              <w:t>1</w:t>
            </w:r>
            <w:r w:rsidRPr="007D443E">
              <w:rPr>
                <w:rFonts w:ascii="Arial" w:hAnsi="Arial" w:cs="Arial"/>
              </w:rPr>
              <w:t xml:space="preserve">: </w:t>
            </w:r>
            <w:r w:rsidRPr="008B53C6">
              <w:rPr>
                <w:rFonts w:ascii="Arial" w:hAnsi="Arial" w:cs="Arial"/>
              </w:rPr>
              <w:t>Each year, the MEP must teach the purpose, structure, and typical language</w:t>
            </w:r>
            <w:r>
              <w:rPr>
                <w:rFonts w:ascii="Arial" w:hAnsi="Arial" w:cs="Arial"/>
              </w:rPr>
              <w:t xml:space="preserve"> (e.g., genre specific and standards-based vocabulary)</w:t>
            </w:r>
            <w:r w:rsidRPr="008B53C6">
              <w:rPr>
                <w:rFonts w:ascii="Arial" w:hAnsi="Arial" w:cs="Arial"/>
              </w:rPr>
              <w:t xml:space="preserve"> of at least one </w:t>
            </w:r>
            <w:r>
              <w:rPr>
                <w:rFonts w:ascii="Arial" w:hAnsi="Arial" w:cs="Arial"/>
              </w:rPr>
              <w:t>sub</w:t>
            </w:r>
            <w:r w:rsidRPr="008B53C6">
              <w:rPr>
                <w:rFonts w:ascii="Arial" w:hAnsi="Arial" w:cs="Arial"/>
              </w:rPr>
              <w:t xml:space="preserve">genre </w:t>
            </w:r>
            <w:r>
              <w:rPr>
                <w:rFonts w:ascii="Arial" w:hAnsi="Arial" w:cs="Arial"/>
              </w:rPr>
              <w:t xml:space="preserve">of informational writing </w:t>
            </w:r>
            <w:r w:rsidRPr="008B53C6">
              <w:rPr>
                <w:rFonts w:ascii="Arial" w:hAnsi="Arial" w:cs="Arial"/>
              </w:rPr>
              <w:t>using model texts for support in reading instruction.</w:t>
            </w:r>
          </w:p>
        </w:tc>
        <w:tc>
          <w:tcPr>
            <w:tcW w:w="4410" w:type="dxa"/>
          </w:tcPr>
          <w:p w14:paraId="33CBCD43" w14:textId="77777777" w:rsidR="00FE51D6" w:rsidRDefault="00FE51D6" w:rsidP="00FE51D6">
            <w:pPr>
              <w:pStyle w:val="ListParagraph"/>
              <w:numPr>
                <w:ilvl w:val="0"/>
                <w:numId w:val="12"/>
              </w:numPr>
              <w:spacing w:after="120"/>
              <w:ind w:left="340"/>
              <w:contextualSpacing w:val="0"/>
              <w:rPr>
                <w:rFonts w:ascii="Arial" w:hAnsi="Arial" w:cs="Arial"/>
              </w:rPr>
            </w:pPr>
            <w:r>
              <w:rPr>
                <w:rFonts w:ascii="Arial" w:hAnsi="Arial" w:cs="Arial"/>
              </w:rPr>
              <w:t>More detail is provided on what needs to be explicitly taught for informational genres.</w:t>
            </w:r>
          </w:p>
          <w:p w14:paraId="2C8E53E4" w14:textId="77777777" w:rsidR="00FE51D6" w:rsidRDefault="00FE51D6" w:rsidP="00FE51D6">
            <w:pPr>
              <w:pStyle w:val="ListParagraph"/>
              <w:numPr>
                <w:ilvl w:val="0"/>
                <w:numId w:val="12"/>
              </w:numPr>
              <w:spacing w:after="120"/>
              <w:ind w:left="340"/>
              <w:contextualSpacing w:val="0"/>
              <w:rPr>
                <w:rFonts w:ascii="Arial" w:hAnsi="Arial" w:cs="Arial"/>
              </w:rPr>
            </w:pPr>
            <w:r>
              <w:rPr>
                <w:rFonts w:ascii="Arial" w:hAnsi="Arial" w:cs="Arial"/>
              </w:rPr>
              <w:t>A new focus on using the same model texts in both reading and again during writing instruction to increase engagement with the genre.</w:t>
            </w:r>
          </w:p>
          <w:p w14:paraId="6B350F6B" w14:textId="77777777" w:rsidR="00FE51D6" w:rsidRDefault="00FE51D6" w:rsidP="00FE51D6">
            <w:pPr>
              <w:pStyle w:val="ListParagraph"/>
              <w:numPr>
                <w:ilvl w:val="0"/>
                <w:numId w:val="12"/>
              </w:numPr>
              <w:spacing w:after="120"/>
              <w:ind w:left="340"/>
              <w:contextualSpacing w:val="0"/>
              <w:rPr>
                <w:rFonts w:ascii="Arial" w:hAnsi="Arial" w:cs="Arial"/>
              </w:rPr>
            </w:pPr>
            <w:r>
              <w:rPr>
                <w:rFonts w:ascii="Arial" w:hAnsi="Arial" w:cs="Arial"/>
              </w:rPr>
              <w:t xml:space="preserve">Types of informational </w:t>
            </w:r>
            <w:proofErr w:type="gramStart"/>
            <w:r>
              <w:rPr>
                <w:rFonts w:ascii="Arial" w:hAnsi="Arial" w:cs="Arial"/>
              </w:rPr>
              <w:t>texts</w:t>
            </w:r>
            <w:proofErr w:type="gramEnd"/>
            <w:r>
              <w:rPr>
                <w:rFonts w:ascii="Arial" w:hAnsi="Arial" w:cs="Arial"/>
              </w:rPr>
              <w:t xml:space="preserve"> were added to the strategy.</w:t>
            </w:r>
          </w:p>
          <w:p w14:paraId="6D9D618C" w14:textId="77777777" w:rsidR="00FE51D6" w:rsidRPr="005A7F4E" w:rsidRDefault="00FE51D6" w:rsidP="00FE51D6">
            <w:pPr>
              <w:pStyle w:val="ListParagraph"/>
              <w:numPr>
                <w:ilvl w:val="0"/>
                <w:numId w:val="12"/>
              </w:numPr>
              <w:spacing w:after="120"/>
              <w:ind w:left="340"/>
              <w:contextualSpacing w:val="0"/>
              <w:rPr>
                <w:rFonts w:ascii="Arial" w:hAnsi="Arial" w:cs="Arial"/>
              </w:rPr>
            </w:pPr>
            <w:r>
              <w:rPr>
                <w:rFonts w:ascii="Arial" w:hAnsi="Arial" w:cs="Arial"/>
              </w:rPr>
              <w:t>While the number of texts to be taught decreased to one, the articulated expectation for instruction has increased.</w:t>
            </w:r>
          </w:p>
          <w:p w14:paraId="03833FF3" w14:textId="77777777" w:rsidR="00FE51D6" w:rsidRDefault="00FE51D6" w:rsidP="00FE51D6">
            <w:pPr>
              <w:pStyle w:val="ListParagraph"/>
              <w:spacing w:after="120"/>
              <w:ind w:left="346"/>
              <w:contextualSpacing w:val="0"/>
              <w:rPr>
                <w:rFonts w:ascii="Arial" w:hAnsi="Arial" w:cs="Arial"/>
              </w:rPr>
            </w:pPr>
          </w:p>
        </w:tc>
      </w:tr>
      <w:tr w:rsidR="00195851" w:rsidRPr="0078589E" w14:paraId="76DB8289" w14:textId="77777777" w:rsidTr="00457A32">
        <w:trPr>
          <w:cantSplit/>
        </w:trPr>
        <w:tc>
          <w:tcPr>
            <w:tcW w:w="923" w:type="dxa"/>
            <w:shd w:val="clear" w:color="auto" w:fill="D9F2D0" w:themeFill="accent6" w:themeFillTint="33"/>
          </w:tcPr>
          <w:p w14:paraId="2077A974" w14:textId="10205EC2" w:rsidR="00195851" w:rsidRPr="0078589E" w:rsidRDefault="00195851" w:rsidP="008B5EEF">
            <w:pPr>
              <w:rPr>
                <w:rFonts w:ascii="Arial" w:hAnsi="Arial" w:cs="Arial"/>
              </w:rPr>
            </w:pPr>
            <w:r w:rsidRPr="0078589E">
              <w:rPr>
                <w:rFonts w:ascii="Arial" w:hAnsi="Arial" w:cs="Arial"/>
              </w:rPr>
              <w:lastRenderedPageBreak/>
              <w:t>ELA 1.2</w:t>
            </w:r>
          </w:p>
        </w:tc>
        <w:tc>
          <w:tcPr>
            <w:tcW w:w="5058" w:type="dxa"/>
            <w:shd w:val="clear" w:color="auto" w:fill="D9F2D0" w:themeFill="accent6" w:themeFillTint="33"/>
          </w:tcPr>
          <w:p w14:paraId="0D8EB04A" w14:textId="77777777" w:rsidR="00195851" w:rsidRPr="0078589E" w:rsidRDefault="00195851" w:rsidP="00195851">
            <w:pPr>
              <w:spacing w:after="120"/>
              <w:rPr>
                <w:rFonts w:ascii="Arial" w:hAnsi="Arial" w:cs="Arial"/>
              </w:rPr>
            </w:pPr>
            <w:r w:rsidRPr="0078589E">
              <w:rPr>
                <w:rFonts w:ascii="Arial" w:hAnsi="Arial" w:cs="Arial"/>
                <w:b/>
              </w:rPr>
              <w:t xml:space="preserve">Strategy 1.2: </w:t>
            </w:r>
            <w:r w:rsidRPr="0078589E">
              <w:rPr>
                <w:rFonts w:ascii="Arial" w:hAnsi="Arial" w:cs="Arial"/>
              </w:rPr>
              <w:t>Provide migratory students with opportunities to write within various contexts. Integrate explicit instruction for at least one writing genre unit for program services as appropriate. For example, supplementary science technology engineering and mathematics services should have a strong writing component focusing on expository writing.</w:t>
            </w:r>
          </w:p>
          <w:p w14:paraId="29AC8901" w14:textId="360DAC59" w:rsidR="00195851" w:rsidRPr="0078589E" w:rsidRDefault="00195851" w:rsidP="00195851">
            <w:pPr>
              <w:rPr>
                <w:rFonts w:ascii="Arial" w:hAnsi="Arial" w:cs="Arial"/>
                <w:b/>
              </w:rPr>
            </w:pPr>
            <w:r w:rsidRPr="0078589E">
              <w:rPr>
                <w:rFonts w:ascii="Arial" w:hAnsi="Arial" w:cs="Arial"/>
                <w:b/>
                <w:bCs/>
              </w:rPr>
              <w:t>MPO 1.2:</w:t>
            </w:r>
            <w:r w:rsidRPr="0078589E">
              <w:rPr>
                <w:rFonts w:ascii="Arial" w:hAnsi="Arial" w:cs="Arial"/>
              </w:rPr>
              <w:t xml:space="preserve"> Students will have the opportunity to write a piece of writing for at least one genre. (because this strategy supports college and career readiness, poetry is not an appropriate genre for this strategy).</w:t>
            </w:r>
          </w:p>
        </w:tc>
        <w:tc>
          <w:tcPr>
            <w:tcW w:w="923" w:type="dxa"/>
            <w:shd w:val="clear" w:color="auto" w:fill="F2CEED" w:themeFill="accent5" w:themeFillTint="33"/>
          </w:tcPr>
          <w:p w14:paraId="5B10B83D" w14:textId="098725CF" w:rsidR="00195851" w:rsidRPr="0078589E" w:rsidRDefault="00195851" w:rsidP="008B5EEF">
            <w:pPr>
              <w:rPr>
                <w:rFonts w:ascii="Arial" w:hAnsi="Arial" w:cs="Arial"/>
              </w:rPr>
            </w:pPr>
            <w:r>
              <w:rPr>
                <w:rFonts w:ascii="Arial" w:hAnsi="Arial" w:cs="Arial"/>
              </w:rPr>
              <w:t>ELA 1.2</w:t>
            </w:r>
          </w:p>
        </w:tc>
        <w:tc>
          <w:tcPr>
            <w:tcW w:w="5871" w:type="dxa"/>
            <w:shd w:val="clear" w:color="auto" w:fill="F2CEED" w:themeFill="accent5" w:themeFillTint="33"/>
          </w:tcPr>
          <w:p w14:paraId="4ADE96B2" w14:textId="77777777" w:rsidR="00195851" w:rsidRDefault="00195851" w:rsidP="00195851">
            <w:pPr>
              <w:spacing w:after="120"/>
              <w:rPr>
                <w:rFonts w:ascii="Arial" w:hAnsi="Arial" w:cs="Arial"/>
              </w:rPr>
            </w:pPr>
            <w:bookmarkStart w:id="1" w:name="_Hlk178611486"/>
            <w:r w:rsidRPr="007D443E">
              <w:rPr>
                <w:rFonts w:ascii="Arial" w:hAnsi="Arial" w:cs="Arial"/>
                <w:b/>
              </w:rPr>
              <w:t>Strategy 1.2</w:t>
            </w:r>
            <w:r w:rsidRPr="007D443E">
              <w:rPr>
                <w:rFonts w:ascii="Arial" w:hAnsi="Arial" w:cs="Arial"/>
              </w:rPr>
              <w:t xml:space="preserve">: </w:t>
            </w:r>
            <w:r w:rsidRPr="008B53C6">
              <w:rPr>
                <w:rFonts w:ascii="Arial" w:hAnsi="Arial" w:cs="Arial"/>
              </w:rPr>
              <w:t xml:space="preserve">Provide thorough, explicit writing instruction for one </w:t>
            </w:r>
            <w:r>
              <w:rPr>
                <w:rFonts w:ascii="Arial" w:hAnsi="Arial" w:cs="Arial"/>
              </w:rPr>
              <w:t>informational sub</w:t>
            </w:r>
            <w:r w:rsidRPr="008B53C6">
              <w:rPr>
                <w:rFonts w:ascii="Arial" w:hAnsi="Arial" w:cs="Arial"/>
              </w:rPr>
              <w:t xml:space="preserve">genre of writing </w:t>
            </w:r>
            <w:r>
              <w:rPr>
                <w:rFonts w:ascii="Arial" w:hAnsi="Arial" w:cs="Arial"/>
              </w:rPr>
              <w:t>(see examples by grade level in Strategy 1.1</w:t>
            </w:r>
            <w:r w:rsidRPr="008B53C6">
              <w:rPr>
                <w:rFonts w:ascii="Arial" w:hAnsi="Arial" w:cs="Arial"/>
              </w:rPr>
              <w:t>) using the writing process, using a model text from the reading strategy, and using a student-friendly rubric.</w:t>
            </w:r>
            <w:bookmarkEnd w:id="1"/>
          </w:p>
          <w:p w14:paraId="2B78E3F0" w14:textId="58480A6C" w:rsidR="00195851" w:rsidRPr="006603FA" w:rsidRDefault="00195851" w:rsidP="00195851">
            <w:pPr>
              <w:spacing w:after="240"/>
              <w:rPr>
                <w:rFonts w:ascii="Arial" w:hAnsi="Arial" w:cs="Arial"/>
                <w:b/>
              </w:rPr>
            </w:pPr>
            <w:r>
              <w:rPr>
                <w:rFonts w:ascii="Arial" w:hAnsi="Arial" w:cs="Arial"/>
                <w:b/>
              </w:rPr>
              <w:t xml:space="preserve">MPO </w:t>
            </w:r>
            <w:r w:rsidRPr="008B5EEF">
              <w:rPr>
                <w:rFonts w:ascii="Arial" w:hAnsi="Arial" w:cs="Arial"/>
                <w:b/>
              </w:rPr>
              <w:t>1.2</w:t>
            </w:r>
            <w:r w:rsidRPr="008B5EEF">
              <w:rPr>
                <w:rFonts w:ascii="Arial" w:hAnsi="Arial" w:cs="Arial"/>
              </w:rPr>
              <w:t>: Every year the MEP must include explicit instruction of at least one genre of writing and the writing process including use of a student-friendly rubric.</w:t>
            </w:r>
          </w:p>
        </w:tc>
        <w:tc>
          <w:tcPr>
            <w:tcW w:w="4410" w:type="dxa"/>
          </w:tcPr>
          <w:p w14:paraId="3386AB83" w14:textId="77777777" w:rsidR="00195851" w:rsidRDefault="00195851" w:rsidP="00195851">
            <w:pPr>
              <w:pStyle w:val="ListParagraph"/>
              <w:numPr>
                <w:ilvl w:val="0"/>
                <w:numId w:val="16"/>
              </w:numPr>
              <w:spacing w:after="120"/>
              <w:ind w:left="346"/>
              <w:contextualSpacing w:val="0"/>
              <w:rPr>
                <w:rFonts w:ascii="Arial" w:hAnsi="Arial" w:cs="Arial"/>
              </w:rPr>
            </w:pPr>
            <w:r>
              <w:rPr>
                <w:rFonts w:ascii="Arial" w:hAnsi="Arial" w:cs="Arial"/>
              </w:rPr>
              <w:t>The intent of this strategy remains unchanged: provide an extremely thorough teaching of one genre through the writing workshop process.</w:t>
            </w:r>
          </w:p>
          <w:p w14:paraId="506E8F44" w14:textId="77777777" w:rsidR="00195851" w:rsidRDefault="00195851" w:rsidP="00195851">
            <w:pPr>
              <w:pStyle w:val="ListParagraph"/>
              <w:numPr>
                <w:ilvl w:val="0"/>
                <w:numId w:val="16"/>
              </w:numPr>
              <w:spacing w:after="120"/>
              <w:ind w:left="346"/>
              <w:contextualSpacing w:val="0"/>
              <w:rPr>
                <w:rFonts w:ascii="Arial" w:hAnsi="Arial" w:cs="Arial"/>
              </w:rPr>
            </w:pPr>
            <w:r>
              <w:rPr>
                <w:rFonts w:ascii="Arial" w:hAnsi="Arial" w:cs="Arial"/>
              </w:rPr>
              <w:t>Instruction must focus on the informational subgenres.</w:t>
            </w:r>
          </w:p>
          <w:p w14:paraId="3C7AF2E7" w14:textId="77777777" w:rsidR="00195851" w:rsidRDefault="00195851" w:rsidP="00195851">
            <w:pPr>
              <w:pStyle w:val="ListParagraph"/>
              <w:numPr>
                <w:ilvl w:val="0"/>
                <w:numId w:val="16"/>
              </w:numPr>
              <w:spacing w:after="120"/>
              <w:ind w:left="346"/>
              <w:contextualSpacing w:val="0"/>
              <w:rPr>
                <w:rFonts w:ascii="Arial" w:hAnsi="Arial" w:cs="Arial"/>
              </w:rPr>
            </w:pPr>
            <w:r>
              <w:rPr>
                <w:rFonts w:ascii="Arial" w:hAnsi="Arial" w:cs="Arial"/>
              </w:rPr>
              <w:t>Requires the use of the model text used in Strategy 1.1 for additional genre engagement.</w:t>
            </w:r>
          </w:p>
          <w:p w14:paraId="57CD379E" w14:textId="53C56188" w:rsidR="00195851" w:rsidRDefault="00195851" w:rsidP="00195851">
            <w:pPr>
              <w:pStyle w:val="ListParagraph"/>
              <w:numPr>
                <w:ilvl w:val="0"/>
                <w:numId w:val="12"/>
              </w:numPr>
              <w:spacing w:after="120"/>
              <w:ind w:left="340"/>
              <w:contextualSpacing w:val="0"/>
              <w:rPr>
                <w:rFonts w:ascii="Arial" w:hAnsi="Arial" w:cs="Arial"/>
              </w:rPr>
            </w:pPr>
            <w:r>
              <w:rPr>
                <w:rFonts w:ascii="Arial" w:hAnsi="Arial" w:cs="Arial"/>
              </w:rPr>
              <w:t>Adds the requirement for a student friendly rubric.</w:t>
            </w:r>
          </w:p>
        </w:tc>
      </w:tr>
      <w:tr w:rsidR="00195851" w:rsidRPr="0078589E" w14:paraId="2B4C4655" w14:textId="77777777" w:rsidTr="00457A32">
        <w:trPr>
          <w:cantSplit/>
        </w:trPr>
        <w:tc>
          <w:tcPr>
            <w:tcW w:w="923" w:type="dxa"/>
            <w:shd w:val="clear" w:color="auto" w:fill="D9F2D0" w:themeFill="accent6" w:themeFillTint="33"/>
          </w:tcPr>
          <w:p w14:paraId="7F610A9C" w14:textId="494A10B4" w:rsidR="00195851" w:rsidRPr="0078589E" w:rsidRDefault="00195851" w:rsidP="008B5EEF">
            <w:pPr>
              <w:rPr>
                <w:rFonts w:ascii="Arial" w:hAnsi="Arial" w:cs="Arial"/>
              </w:rPr>
            </w:pPr>
            <w:r w:rsidRPr="0078589E">
              <w:rPr>
                <w:rFonts w:ascii="Arial" w:hAnsi="Arial" w:cs="Arial"/>
              </w:rPr>
              <w:t>ELA 1.2a</w:t>
            </w:r>
          </w:p>
        </w:tc>
        <w:tc>
          <w:tcPr>
            <w:tcW w:w="5058" w:type="dxa"/>
            <w:shd w:val="clear" w:color="auto" w:fill="D9F2D0" w:themeFill="accent6" w:themeFillTint="33"/>
          </w:tcPr>
          <w:p w14:paraId="02594FDB" w14:textId="77777777" w:rsidR="00195851" w:rsidRPr="0078589E" w:rsidRDefault="00195851" w:rsidP="00195851">
            <w:pPr>
              <w:spacing w:after="120"/>
              <w:rPr>
                <w:rFonts w:ascii="Arial" w:hAnsi="Arial" w:cs="Arial"/>
              </w:rPr>
            </w:pPr>
            <w:r w:rsidRPr="0078589E">
              <w:rPr>
                <w:rFonts w:ascii="Arial" w:hAnsi="Arial" w:cs="Arial"/>
                <w:b/>
              </w:rPr>
              <w:t>Strategy 1.2a</w:t>
            </w:r>
            <w:r w:rsidRPr="0078589E">
              <w:rPr>
                <w:rFonts w:ascii="Arial" w:hAnsi="Arial" w:cs="Arial"/>
              </w:rPr>
              <w:t>: Provide students with a rubric that outlines the elements required by the genre to write a proficient example and identifies what is needed for different levels of writing proficiency.</w:t>
            </w:r>
          </w:p>
          <w:p w14:paraId="48E1020D" w14:textId="3759430D" w:rsidR="00195851" w:rsidRPr="0078589E" w:rsidRDefault="00195851" w:rsidP="00195851">
            <w:pPr>
              <w:spacing w:after="120"/>
              <w:rPr>
                <w:rFonts w:ascii="Arial" w:hAnsi="Arial" w:cs="Arial"/>
                <w:b/>
              </w:rPr>
            </w:pPr>
            <w:r w:rsidRPr="0078589E">
              <w:rPr>
                <w:rFonts w:ascii="Arial" w:hAnsi="Arial" w:cs="Arial"/>
                <w:b/>
                <w:bCs/>
              </w:rPr>
              <w:t>MPO 1.2a:</w:t>
            </w:r>
            <w:r w:rsidRPr="0078589E">
              <w:rPr>
                <w:rFonts w:ascii="Arial" w:hAnsi="Arial" w:cs="Arial"/>
              </w:rPr>
              <w:t xml:space="preserve"> Each service that includes ELA Strategy 1.2, must teach and use </w:t>
            </w:r>
            <w:proofErr w:type="gramStart"/>
            <w:r w:rsidRPr="0078589E">
              <w:rPr>
                <w:rFonts w:ascii="Arial" w:hAnsi="Arial" w:cs="Arial"/>
              </w:rPr>
              <w:t>a student</w:t>
            </w:r>
            <w:proofErr w:type="gramEnd"/>
            <w:r w:rsidRPr="0078589E">
              <w:rPr>
                <w:rFonts w:ascii="Arial" w:hAnsi="Arial" w:cs="Arial"/>
              </w:rPr>
              <w:t>-friendly writing rubric specific to the one genre taught in the strategy.</w:t>
            </w:r>
          </w:p>
        </w:tc>
        <w:tc>
          <w:tcPr>
            <w:tcW w:w="923" w:type="dxa"/>
            <w:shd w:val="clear" w:color="auto" w:fill="F2CEED" w:themeFill="accent5" w:themeFillTint="33"/>
          </w:tcPr>
          <w:p w14:paraId="7B187E77" w14:textId="202634AB" w:rsidR="00195851" w:rsidRDefault="00195851" w:rsidP="008B5EEF">
            <w:pPr>
              <w:rPr>
                <w:rFonts w:ascii="Arial" w:hAnsi="Arial" w:cs="Arial"/>
              </w:rPr>
            </w:pPr>
            <w:r>
              <w:rPr>
                <w:rFonts w:ascii="Arial" w:hAnsi="Arial" w:cs="Arial"/>
              </w:rPr>
              <w:t>N/A</w:t>
            </w:r>
          </w:p>
        </w:tc>
        <w:tc>
          <w:tcPr>
            <w:tcW w:w="5871" w:type="dxa"/>
            <w:shd w:val="clear" w:color="auto" w:fill="F2CEED" w:themeFill="accent5" w:themeFillTint="33"/>
          </w:tcPr>
          <w:p w14:paraId="75B8A1F3" w14:textId="7CD3F800" w:rsidR="00195851" w:rsidRPr="007D443E" w:rsidRDefault="00195851" w:rsidP="00195851">
            <w:pPr>
              <w:spacing w:after="120"/>
              <w:rPr>
                <w:rFonts w:ascii="Arial" w:hAnsi="Arial" w:cs="Arial"/>
                <w:b/>
              </w:rPr>
            </w:pPr>
            <w:r w:rsidRPr="00C24F36">
              <w:rPr>
                <w:rFonts w:ascii="Arial" w:hAnsi="Arial" w:cs="Arial"/>
                <w:b/>
                <w:bCs/>
              </w:rPr>
              <w:t xml:space="preserve">This strategy </w:t>
            </w:r>
            <w:r>
              <w:rPr>
                <w:rFonts w:ascii="Arial" w:hAnsi="Arial" w:cs="Arial"/>
                <w:b/>
                <w:bCs/>
              </w:rPr>
              <w:t>no longer exists as a standalone strategy</w:t>
            </w:r>
            <w:r w:rsidRPr="00C24F36">
              <w:rPr>
                <w:rFonts w:ascii="Arial" w:hAnsi="Arial" w:cs="Arial"/>
                <w:b/>
                <w:bCs/>
              </w:rPr>
              <w:t>.</w:t>
            </w:r>
          </w:p>
        </w:tc>
        <w:tc>
          <w:tcPr>
            <w:tcW w:w="4410" w:type="dxa"/>
            <w:shd w:val="clear" w:color="auto" w:fill="D9D9D9" w:themeFill="background1" w:themeFillShade="D9"/>
          </w:tcPr>
          <w:p w14:paraId="4729D7E5" w14:textId="5D41AFD2" w:rsidR="00195851" w:rsidRPr="00195851" w:rsidRDefault="00195851" w:rsidP="00195851">
            <w:pPr>
              <w:spacing w:after="120"/>
              <w:ind w:left="-14"/>
              <w:rPr>
                <w:rFonts w:ascii="Arial" w:hAnsi="Arial" w:cs="Arial"/>
              </w:rPr>
            </w:pPr>
            <w:r>
              <w:rPr>
                <w:rFonts w:ascii="Arial" w:hAnsi="Arial" w:cs="Arial"/>
              </w:rPr>
              <w:t>The use of a student-friendly rubric was merged into Strategy 1.2.</w:t>
            </w:r>
          </w:p>
        </w:tc>
      </w:tr>
      <w:tr w:rsidR="00195851" w:rsidRPr="0078589E" w14:paraId="4D8EB6DA" w14:textId="77777777" w:rsidTr="00457A32">
        <w:trPr>
          <w:cantSplit/>
        </w:trPr>
        <w:tc>
          <w:tcPr>
            <w:tcW w:w="923" w:type="dxa"/>
            <w:shd w:val="clear" w:color="auto" w:fill="D9F2D0" w:themeFill="accent6" w:themeFillTint="33"/>
          </w:tcPr>
          <w:p w14:paraId="38E4B342" w14:textId="1D59AF36" w:rsidR="00195851" w:rsidRPr="0078589E" w:rsidRDefault="00195851" w:rsidP="008B5EEF">
            <w:pPr>
              <w:rPr>
                <w:rFonts w:ascii="Arial" w:hAnsi="Arial" w:cs="Arial"/>
              </w:rPr>
            </w:pPr>
            <w:r w:rsidRPr="0078589E">
              <w:rPr>
                <w:rFonts w:ascii="Arial" w:hAnsi="Arial" w:cs="Arial"/>
              </w:rPr>
              <w:lastRenderedPageBreak/>
              <w:t>ELA 1.3</w:t>
            </w:r>
          </w:p>
        </w:tc>
        <w:tc>
          <w:tcPr>
            <w:tcW w:w="5058" w:type="dxa"/>
            <w:shd w:val="clear" w:color="auto" w:fill="D9F2D0" w:themeFill="accent6" w:themeFillTint="33"/>
          </w:tcPr>
          <w:p w14:paraId="7B3B47A7" w14:textId="77777777" w:rsidR="00195851" w:rsidRPr="0078589E" w:rsidRDefault="00195851" w:rsidP="00195851">
            <w:pPr>
              <w:spacing w:after="160"/>
              <w:rPr>
                <w:rFonts w:ascii="Arial" w:hAnsi="Arial" w:cs="Arial"/>
              </w:rPr>
            </w:pPr>
            <w:r w:rsidRPr="0078589E">
              <w:rPr>
                <w:rFonts w:ascii="Arial" w:hAnsi="Arial" w:cs="Arial"/>
                <w:b/>
              </w:rPr>
              <w:t>Strategy 1.3</w:t>
            </w:r>
            <w:r w:rsidRPr="0078589E">
              <w:rPr>
                <w:rFonts w:ascii="Arial" w:hAnsi="Arial" w:cs="Arial"/>
              </w:rPr>
              <w:t xml:space="preserve"> –</w:t>
            </w:r>
            <w:r w:rsidRPr="0078589E">
              <w:rPr>
                <w:rFonts w:ascii="Arial" w:hAnsi="Arial" w:cs="Arial"/>
                <w:b/>
              </w:rPr>
              <w:t xml:space="preserve"> </w:t>
            </w:r>
            <w:r w:rsidRPr="0078589E">
              <w:rPr>
                <w:rFonts w:ascii="Arial" w:hAnsi="Arial" w:cs="Arial"/>
              </w:rPr>
              <w:t>Provide training in writing instruction during staff development workshops to ensure that migratory teachers and instructional aides provide clear, structured writing instruction.</w:t>
            </w:r>
          </w:p>
          <w:p w14:paraId="38BDC484" w14:textId="2C38BBEB" w:rsidR="00195851" w:rsidRPr="0078589E" w:rsidRDefault="00195851" w:rsidP="00195851">
            <w:pPr>
              <w:spacing w:after="120"/>
              <w:rPr>
                <w:rFonts w:ascii="Arial" w:hAnsi="Arial" w:cs="Arial"/>
                <w:b/>
              </w:rPr>
            </w:pPr>
            <w:r w:rsidRPr="0078589E">
              <w:rPr>
                <w:rFonts w:ascii="Arial" w:hAnsi="Arial" w:cs="Arial"/>
                <w:b/>
                <w:bCs/>
              </w:rPr>
              <w:t>MPO 1.3:</w:t>
            </w:r>
            <w:r w:rsidRPr="0078589E">
              <w:rPr>
                <w:rFonts w:ascii="Arial" w:hAnsi="Arial" w:cs="Arial"/>
              </w:rPr>
              <w:t xml:space="preserve"> Subgrantees provide one professional development training to prepare staff to teach both genres of writing being implemented in Strategy 1.2.</w:t>
            </w:r>
          </w:p>
        </w:tc>
        <w:tc>
          <w:tcPr>
            <w:tcW w:w="923" w:type="dxa"/>
            <w:shd w:val="clear" w:color="auto" w:fill="F2CEED" w:themeFill="accent5" w:themeFillTint="33"/>
          </w:tcPr>
          <w:p w14:paraId="6328D81D" w14:textId="1B0A800C" w:rsidR="00195851" w:rsidRDefault="00195851" w:rsidP="008B5EEF">
            <w:pPr>
              <w:rPr>
                <w:rFonts w:ascii="Arial" w:hAnsi="Arial" w:cs="Arial"/>
              </w:rPr>
            </w:pPr>
            <w:r>
              <w:rPr>
                <w:rFonts w:ascii="Arial" w:hAnsi="Arial" w:cs="Arial"/>
              </w:rPr>
              <w:t>N/A</w:t>
            </w:r>
          </w:p>
        </w:tc>
        <w:tc>
          <w:tcPr>
            <w:tcW w:w="5871" w:type="dxa"/>
            <w:shd w:val="clear" w:color="auto" w:fill="F2CEED" w:themeFill="accent5" w:themeFillTint="33"/>
          </w:tcPr>
          <w:p w14:paraId="30F7BA69" w14:textId="5A34007E" w:rsidR="00195851" w:rsidRPr="00C24F36" w:rsidRDefault="00195851" w:rsidP="00195851">
            <w:pPr>
              <w:spacing w:after="120"/>
              <w:rPr>
                <w:rFonts w:ascii="Arial" w:hAnsi="Arial" w:cs="Arial"/>
                <w:b/>
                <w:bCs/>
              </w:rPr>
            </w:pPr>
            <w:r w:rsidRPr="00C24F36">
              <w:rPr>
                <w:rFonts w:ascii="Arial" w:hAnsi="Arial" w:cs="Arial"/>
                <w:b/>
                <w:bCs/>
              </w:rPr>
              <w:t xml:space="preserve">This strategy </w:t>
            </w:r>
            <w:r>
              <w:rPr>
                <w:rFonts w:ascii="Arial" w:hAnsi="Arial" w:cs="Arial"/>
                <w:b/>
                <w:bCs/>
              </w:rPr>
              <w:t>is not included in the 2026 SDP.</w:t>
            </w:r>
          </w:p>
        </w:tc>
        <w:tc>
          <w:tcPr>
            <w:tcW w:w="4410" w:type="dxa"/>
            <w:shd w:val="clear" w:color="auto" w:fill="D9D9D9" w:themeFill="background1" w:themeFillShade="D9"/>
          </w:tcPr>
          <w:p w14:paraId="2AB71ADF" w14:textId="7CF1212A" w:rsidR="00195851" w:rsidRDefault="00195851" w:rsidP="00195851">
            <w:pPr>
              <w:spacing w:after="120"/>
              <w:ind w:left="-14"/>
              <w:rPr>
                <w:rFonts w:ascii="Arial" w:hAnsi="Arial" w:cs="Arial"/>
              </w:rPr>
            </w:pPr>
            <w:r>
              <w:rPr>
                <w:rFonts w:ascii="Arial" w:hAnsi="Arial" w:cs="Arial"/>
              </w:rPr>
              <w:t>Resources allowing, the CDE will support staff development in writing; however, MEP staff should either provide staff learning opportunities as a best practice or include MEP staff in district learning opportunities.</w:t>
            </w:r>
          </w:p>
        </w:tc>
      </w:tr>
    </w:tbl>
    <w:p w14:paraId="05AD67C0" w14:textId="4EE02772" w:rsidR="00802D74" w:rsidRDefault="00802D74">
      <w:r>
        <w:br w:type="page"/>
      </w:r>
    </w:p>
    <w:p w14:paraId="5561425A" w14:textId="05AE8D6E" w:rsidR="00FA3D07" w:rsidRPr="0078589E" w:rsidRDefault="00FA3D07" w:rsidP="00C862B4">
      <w:pPr>
        <w:pStyle w:val="Heading2"/>
      </w:pPr>
      <w:r w:rsidRPr="0078589E">
        <w:lastRenderedPageBreak/>
        <w:t>Mathematics</w:t>
      </w:r>
    </w:p>
    <w:tbl>
      <w:tblPr>
        <w:tblStyle w:val="TableGrid"/>
        <w:tblW w:w="17185" w:type="dxa"/>
        <w:tblLayout w:type="fixed"/>
        <w:tblLook w:val="04A0" w:firstRow="1" w:lastRow="0" w:firstColumn="1" w:lastColumn="0" w:noHBand="0" w:noVBand="1"/>
        <w:tblDescription w:val="Mathematics comparison of the 2017 SSDP Strategies and MPOs and the 2026 SDP Strategies and MPOs."/>
      </w:tblPr>
      <w:tblGrid>
        <w:gridCol w:w="923"/>
        <w:gridCol w:w="4652"/>
        <w:gridCol w:w="1080"/>
        <w:gridCol w:w="5130"/>
        <w:gridCol w:w="5400"/>
      </w:tblGrid>
      <w:tr w:rsidR="00F319A8" w:rsidRPr="0001026E" w14:paraId="72071C87" w14:textId="77777777" w:rsidTr="007B397C">
        <w:trPr>
          <w:cantSplit/>
          <w:tblHeader/>
        </w:trPr>
        <w:tc>
          <w:tcPr>
            <w:tcW w:w="923" w:type="dxa"/>
            <w:shd w:val="clear" w:color="auto" w:fill="D9F2D0" w:themeFill="accent6" w:themeFillTint="33"/>
          </w:tcPr>
          <w:p w14:paraId="2ABAFFE1" w14:textId="77777777" w:rsidR="00F319A8" w:rsidRPr="0001026E" w:rsidRDefault="00F319A8" w:rsidP="004540CC">
            <w:pPr>
              <w:rPr>
                <w:rFonts w:ascii="Arial" w:hAnsi="Arial" w:cs="Arial"/>
                <w:b/>
                <w:bCs/>
              </w:rPr>
            </w:pPr>
            <w:r w:rsidRPr="0001026E">
              <w:rPr>
                <w:rFonts w:ascii="Arial" w:hAnsi="Arial" w:cs="Arial"/>
                <w:b/>
                <w:bCs/>
              </w:rPr>
              <w:t xml:space="preserve">Focus Area </w:t>
            </w:r>
          </w:p>
        </w:tc>
        <w:tc>
          <w:tcPr>
            <w:tcW w:w="4652" w:type="dxa"/>
            <w:shd w:val="clear" w:color="auto" w:fill="D9F2D0" w:themeFill="accent6" w:themeFillTint="33"/>
          </w:tcPr>
          <w:p w14:paraId="62F72E48" w14:textId="259B63C8" w:rsidR="00F319A8" w:rsidRPr="0001026E" w:rsidRDefault="007F0434" w:rsidP="004540CC">
            <w:pPr>
              <w:rPr>
                <w:rFonts w:ascii="Arial" w:hAnsi="Arial" w:cs="Arial"/>
                <w:b/>
                <w:bCs/>
              </w:rPr>
            </w:pPr>
            <w:r>
              <w:rPr>
                <w:rFonts w:ascii="Arial" w:hAnsi="Arial" w:cs="Arial"/>
                <w:b/>
                <w:bCs/>
              </w:rPr>
              <w:t xml:space="preserve">2017 </w:t>
            </w:r>
            <w:r w:rsidR="00F319A8" w:rsidRPr="0001026E">
              <w:rPr>
                <w:rFonts w:ascii="Arial" w:hAnsi="Arial" w:cs="Arial"/>
                <w:b/>
                <w:bCs/>
              </w:rPr>
              <w:t>SSDP Strategies and MPO</w:t>
            </w:r>
            <w:r>
              <w:rPr>
                <w:rFonts w:ascii="Arial" w:hAnsi="Arial" w:cs="Arial"/>
                <w:b/>
                <w:bCs/>
              </w:rPr>
              <w:t>s</w:t>
            </w:r>
          </w:p>
        </w:tc>
        <w:tc>
          <w:tcPr>
            <w:tcW w:w="1080" w:type="dxa"/>
            <w:shd w:val="clear" w:color="auto" w:fill="F2CEED" w:themeFill="accent5" w:themeFillTint="33"/>
          </w:tcPr>
          <w:p w14:paraId="3FB76E4D" w14:textId="77777777" w:rsidR="00F319A8" w:rsidRPr="0001026E" w:rsidRDefault="00F319A8" w:rsidP="004540CC">
            <w:pPr>
              <w:rPr>
                <w:rFonts w:ascii="Arial" w:hAnsi="Arial" w:cs="Arial"/>
                <w:b/>
                <w:bCs/>
              </w:rPr>
            </w:pPr>
            <w:r w:rsidRPr="0001026E">
              <w:rPr>
                <w:rFonts w:ascii="Arial" w:hAnsi="Arial" w:cs="Arial"/>
                <w:b/>
                <w:bCs/>
              </w:rPr>
              <w:t xml:space="preserve">Focus Area </w:t>
            </w:r>
          </w:p>
        </w:tc>
        <w:tc>
          <w:tcPr>
            <w:tcW w:w="5130" w:type="dxa"/>
            <w:shd w:val="clear" w:color="auto" w:fill="F2CEED" w:themeFill="accent5" w:themeFillTint="33"/>
          </w:tcPr>
          <w:p w14:paraId="7B0F5A42" w14:textId="4CF6C950" w:rsidR="00F319A8" w:rsidRPr="0001026E" w:rsidRDefault="007F0434" w:rsidP="004540CC">
            <w:pPr>
              <w:rPr>
                <w:rFonts w:ascii="Arial" w:hAnsi="Arial" w:cs="Arial"/>
                <w:b/>
                <w:bCs/>
              </w:rPr>
            </w:pPr>
            <w:r>
              <w:rPr>
                <w:rFonts w:ascii="Arial" w:hAnsi="Arial" w:cs="Arial"/>
                <w:b/>
                <w:bCs/>
              </w:rPr>
              <w:t xml:space="preserve">2026 </w:t>
            </w:r>
            <w:r w:rsidR="00F319A8" w:rsidRPr="0001026E">
              <w:rPr>
                <w:rFonts w:ascii="Arial" w:hAnsi="Arial" w:cs="Arial"/>
                <w:b/>
                <w:bCs/>
              </w:rPr>
              <w:t>SDP Strategies and MPOs</w:t>
            </w:r>
          </w:p>
        </w:tc>
        <w:tc>
          <w:tcPr>
            <w:tcW w:w="5400" w:type="dxa"/>
          </w:tcPr>
          <w:p w14:paraId="17069176" w14:textId="77777777" w:rsidR="00F319A8" w:rsidRPr="0001026E" w:rsidRDefault="00F319A8" w:rsidP="004540CC">
            <w:pPr>
              <w:rPr>
                <w:rFonts w:ascii="Arial" w:hAnsi="Arial" w:cs="Arial"/>
                <w:b/>
                <w:bCs/>
              </w:rPr>
            </w:pPr>
            <w:r w:rsidRPr="0001026E">
              <w:rPr>
                <w:rFonts w:ascii="Arial" w:hAnsi="Arial" w:cs="Arial"/>
                <w:b/>
                <w:bCs/>
              </w:rPr>
              <w:t xml:space="preserve">Comparison </w:t>
            </w:r>
          </w:p>
        </w:tc>
      </w:tr>
      <w:tr w:rsidR="006B09DE" w:rsidRPr="0078589E" w14:paraId="4D0D277F" w14:textId="77777777" w:rsidTr="007B397C">
        <w:trPr>
          <w:cantSplit/>
        </w:trPr>
        <w:tc>
          <w:tcPr>
            <w:tcW w:w="923" w:type="dxa"/>
            <w:shd w:val="clear" w:color="auto" w:fill="D9F2D0" w:themeFill="accent6" w:themeFillTint="33"/>
          </w:tcPr>
          <w:p w14:paraId="15DE5DE2" w14:textId="79EED73D" w:rsidR="006B09DE" w:rsidRPr="0078589E" w:rsidRDefault="006B09DE" w:rsidP="006B09DE">
            <w:pPr>
              <w:rPr>
                <w:rFonts w:ascii="Arial" w:hAnsi="Arial" w:cs="Arial"/>
              </w:rPr>
            </w:pPr>
            <w:r w:rsidRPr="0078589E">
              <w:rPr>
                <w:rFonts w:ascii="Arial" w:hAnsi="Arial" w:cs="Arial"/>
              </w:rPr>
              <w:t>Math 2.0</w:t>
            </w:r>
          </w:p>
        </w:tc>
        <w:tc>
          <w:tcPr>
            <w:tcW w:w="4652" w:type="dxa"/>
            <w:shd w:val="clear" w:color="auto" w:fill="D9F2D0" w:themeFill="accent6" w:themeFillTint="33"/>
          </w:tcPr>
          <w:p w14:paraId="767D8C96" w14:textId="0E41DAFD" w:rsidR="006B09DE" w:rsidRPr="00343149" w:rsidRDefault="006B09DE" w:rsidP="00343149">
            <w:pPr>
              <w:spacing w:after="120"/>
              <w:rPr>
                <w:rFonts w:ascii="Arial" w:hAnsi="Arial" w:cs="Arial"/>
              </w:rPr>
            </w:pPr>
            <w:r w:rsidRPr="0078589E">
              <w:rPr>
                <w:rFonts w:ascii="Arial" w:hAnsi="Arial" w:cs="Arial"/>
                <w:b/>
                <w:bCs/>
              </w:rPr>
              <w:t xml:space="preserve">Strategy 2.0: </w:t>
            </w:r>
            <w:r w:rsidRPr="0078589E">
              <w:rPr>
                <w:rFonts w:ascii="Arial" w:hAnsi="Arial" w:cs="Arial"/>
              </w:rPr>
              <w:t xml:space="preserve">Offer supplemental math instruction services focused on teaching concepts and procedures as well as problem solving and modeling data (or for Claims 3 and 4 if the local need is greater than in Claims 1 and 2) for </w:t>
            </w:r>
            <w:r>
              <w:rPr>
                <w:rFonts w:ascii="Arial" w:hAnsi="Arial" w:cs="Arial"/>
              </w:rPr>
              <w:t>m</w:t>
            </w:r>
            <w:r w:rsidRPr="0078589E">
              <w:rPr>
                <w:rFonts w:ascii="Arial" w:hAnsi="Arial" w:cs="Arial"/>
              </w:rPr>
              <w:t xml:space="preserve">igratory </w:t>
            </w:r>
            <w:r>
              <w:rPr>
                <w:rFonts w:ascii="Arial" w:hAnsi="Arial" w:cs="Arial"/>
              </w:rPr>
              <w:t>s</w:t>
            </w:r>
            <w:r w:rsidRPr="0078589E">
              <w:rPr>
                <w:rFonts w:ascii="Arial" w:hAnsi="Arial" w:cs="Arial"/>
              </w:rPr>
              <w:t xml:space="preserve">tudents scoring </w:t>
            </w:r>
            <w:r>
              <w:rPr>
                <w:rFonts w:ascii="Arial" w:hAnsi="Arial" w:cs="Arial"/>
              </w:rPr>
              <w:t>b</w:t>
            </w:r>
            <w:r w:rsidRPr="0078589E">
              <w:rPr>
                <w:rFonts w:ascii="Arial" w:hAnsi="Arial" w:cs="Arial"/>
              </w:rPr>
              <w:t xml:space="preserve">elow or </w:t>
            </w:r>
            <w:r>
              <w:rPr>
                <w:rFonts w:ascii="Arial" w:hAnsi="Arial" w:cs="Arial"/>
              </w:rPr>
              <w:t>n</w:t>
            </w:r>
            <w:r w:rsidRPr="0078589E">
              <w:rPr>
                <w:rFonts w:ascii="Arial" w:hAnsi="Arial" w:cs="Arial"/>
              </w:rPr>
              <w:t xml:space="preserve">ear </w:t>
            </w:r>
            <w:r>
              <w:rPr>
                <w:rFonts w:ascii="Arial" w:hAnsi="Arial" w:cs="Arial"/>
              </w:rPr>
              <w:t>s</w:t>
            </w:r>
            <w:r w:rsidRPr="0078589E">
              <w:rPr>
                <w:rFonts w:ascii="Arial" w:hAnsi="Arial" w:cs="Arial"/>
              </w:rPr>
              <w:t>tandard</w:t>
            </w:r>
          </w:p>
          <w:p w14:paraId="51652244" w14:textId="0F7ADD53" w:rsidR="00C24F36" w:rsidRPr="00343149" w:rsidRDefault="006B09DE" w:rsidP="006B09DE">
            <w:pPr>
              <w:rPr>
                <w:rFonts w:ascii="Arial" w:hAnsi="Arial" w:cs="Arial"/>
              </w:rPr>
            </w:pPr>
            <w:r w:rsidRPr="0078589E">
              <w:rPr>
                <w:rFonts w:ascii="Arial" w:hAnsi="Arial" w:cs="Arial"/>
                <w:b/>
                <w:bCs/>
              </w:rPr>
              <w:t xml:space="preserve">MPO 2.0: </w:t>
            </w:r>
            <w:r w:rsidRPr="0078589E">
              <w:rPr>
                <w:rFonts w:ascii="Arial" w:hAnsi="Arial" w:cs="Arial"/>
              </w:rPr>
              <w:t>Each year, 60 percent of K-10 migratory students who are not proficient in math will participate in at least 30 hours (1800 minutes) of supplemental math instruction focused on concepts and procedures and problem solving and modeling data during the regular school year and at least 20 hours (1200 minutes) of summer school instruction if present.</w:t>
            </w:r>
          </w:p>
        </w:tc>
        <w:tc>
          <w:tcPr>
            <w:tcW w:w="1080" w:type="dxa"/>
            <w:shd w:val="clear" w:color="auto" w:fill="F2CEED" w:themeFill="accent5" w:themeFillTint="33"/>
          </w:tcPr>
          <w:p w14:paraId="2FE0696A" w14:textId="3D29020C" w:rsidR="006B09DE" w:rsidRPr="0078589E" w:rsidRDefault="006B09DE" w:rsidP="006B09DE">
            <w:pPr>
              <w:rPr>
                <w:rFonts w:ascii="Arial" w:hAnsi="Arial" w:cs="Arial"/>
              </w:rPr>
            </w:pPr>
            <w:r>
              <w:rPr>
                <w:rFonts w:ascii="Arial" w:hAnsi="Arial" w:cs="Arial"/>
              </w:rPr>
              <w:t>Math 2.0</w:t>
            </w:r>
          </w:p>
        </w:tc>
        <w:tc>
          <w:tcPr>
            <w:tcW w:w="5130" w:type="dxa"/>
            <w:shd w:val="clear" w:color="auto" w:fill="F2CEED" w:themeFill="accent5" w:themeFillTint="33"/>
          </w:tcPr>
          <w:p w14:paraId="64642575" w14:textId="4618D27B" w:rsidR="006B09DE" w:rsidRDefault="006B09DE" w:rsidP="00343149">
            <w:pPr>
              <w:spacing w:after="120"/>
              <w:rPr>
                <w:rFonts w:ascii="Arial" w:hAnsi="Arial" w:cs="Arial"/>
              </w:rPr>
            </w:pPr>
            <w:r w:rsidRPr="007D443E">
              <w:rPr>
                <w:rFonts w:ascii="Arial" w:hAnsi="Arial" w:cs="Arial"/>
                <w:b/>
              </w:rPr>
              <w:t>Strategy 2.</w:t>
            </w:r>
            <w:r>
              <w:rPr>
                <w:rFonts w:ascii="Arial" w:hAnsi="Arial" w:cs="Arial"/>
                <w:b/>
              </w:rPr>
              <w:t>0</w:t>
            </w:r>
            <w:r w:rsidRPr="007D443E">
              <w:rPr>
                <w:rFonts w:ascii="Arial" w:hAnsi="Arial" w:cs="Arial"/>
                <w:b/>
              </w:rPr>
              <w:t xml:space="preserve">: </w:t>
            </w:r>
            <w:r w:rsidRPr="004C29A8">
              <w:rPr>
                <w:rFonts w:ascii="Arial" w:hAnsi="Arial" w:cs="Arial"/>
              </w:rPr>
              <w:t>Offer</w:t>
            </w:r>
            <w:r>
              <w:rPr>
                <w:rFonts w:ascii="Arial" w:hAnsi="Arial" w:cs="Arial"/>
              </w:rPr>
              <w:t xml:space="preserve"> innovative</w:t>
            </w:r>
            <w:r w:rsidRPr="004C29A8">
              <w:rPr>
                <w:rFonts w:ascii="Arial" w:hAnsi="Arial" w:cs="Arial"/>
              </w:rPr>
              <w:t xml:space="preserve"> </w:t>
            </w:r>
            <w:r>
              <w:rPr>
                <w:rFonts w:ascii="Arial" w:hAnsi="Arial" w:cs="Arial"/>
              </w:rPr>
              <w:t>mathematics</w:t>
            </w:r>
            <w:r w:rsidRPr="004C29A8">
              <w:rPr>
                <w:rFonts w:ascii="Arial" w:hAnsi="Arial" w:cs="Arial"/>
              </w:rPr>
              <w:t xml:space="preserve"> services that focus on locally identified standards-based, data-driven needs (e.g., </w:t>
            </w:r>
            <w:r>
              <w:rPr>
                <w:rFonts w:ascii="Arial" w:hAnsi="Arial" w:cs="Arial"/>
              </w:rPr>
              <w:t>mathematics</w:t>
            </w:r>
            <w:r w:rsidRPr="004C29A8">
              <w:rPr>
                <w:rFonts w:ascii="Arial" w:hAnsi="Arial" w:cs="Arial"/>
              </w:rPr>
              <w:t xml:space="preserve"> claims with largest achievement gap, </w:t>
            </w:r>
            <w:r>
              <w:rPr>
                <w:rFonts w:ascii="Arial" w:hAnsi="Arial" w:cs="Arial"/>
              </w:rPr>
              <w:t>mathematics</w:t>
            </w:r>
            <w:r w:rsidRPr="004C29A8">
              <w:rPr>
                <w:rFonts w:ascii="Arial" w:hAnsi="Arial" w:cs="Arial"/>
              </w:rPr>
              <w:t xml:space="preserve"> benchmark data)</w:t>
            </w:r>
            <w:r>
              <w:rPr>
                <w:rFonts w:ascii="Arial" w:hAnsi="Arial" w:cs="Arial"/>
              </w:rPr>
              <w:t xml:space="preserve"> with a focus on foundational skills.</w:t>
            </w:r>
            <w:r w:rsidR="00383C38">
              <w:rPr>
                <w:rStyle w:val="FootnoteReference"/>
                <w:rFonts w:ascii="Arial" w:hAnsi="Arial" w:cs="Arial"/>
              </w:rPr>
              <w:footnoteReference w:id="2"/>
            </w:r>
          </w:p>
          <w:p w14:paraId="4F38D1C3" w14:textId="0E0C046D" w:rsidR="006B09DE" w:rsidRPr="006B09DE" w:rsidRDefault="006B09DE" w:rsidP="006B09DE">
            <w:pPr>
              <w:rPr>
                <w:rFonts w:ascii="Arial" w:hAnsi="Arial" w:cs="Arial"/>
              </w:rPr>
            </w:pPr>
            <w:r w:rsidRPr="00475C40">
              <w:rPr>
                <w:rFonts w:ascii="Arial" w:hAnsi="Arial" w:cs="Arial"/>
                <w:b/>
                <w:bCs/>
              </w:rPr>
              <w:t>MPO</w:t>
            </w:r>
            <w:r>
              <w:rPr>
                <w:rFonts w:ascii="Arial" w:hAnsi="Arial" w:cs="Arial"/>
              </w:rPr>
              <w:t xml:space="preserve"> </w:t>
            </w:r>
            <w:r w:rsidRPr="007D443E">
              <w:rPr>
                <w:rFonts w:ascii="Arial" w:hAnsi="Arial" w:cs="Arial"/>
                <w:b/>
              </w:rPr>
              <w:t>2.</w:t>
            </w:r>
            <w:r>
              <w:rPr>
                <w:rFonts w:ascii="Arial" w:hAnsi="Arial" w:cs="Arial"/>
                <w:b/>
              </w:rPr>
              <w:t>0</w:t>
            </w:r>
            <w:r w:rsidRPr="007D443E">
              <w:rPr>
                <w:rFonts w:ascii="Arial" w:hAnsi="Arial" w:cs="Arial"/>
                <w:b/>
              </w:rPr>
              <w:t xml:space="preserve">: </w:t>
            </w:r>
            <w:r w:rsidRPr="004C29A8">
              <w:rPr>
                <w:rFonts w:ascii="Arial" w:hAnsi="Arial" w:cs="Arial"/>
              </w:rPr>
              <w:t xml:space="preserve">Starting with baseline data collection in 2026–27, the MEP will increase the percentage of </w:t>
            </w:r>
            <w:r>
              <w:rPr>
                <w:rFonts w:ascii="Arial" w:hAnsi="Arial" w:cs="Arial"/>
              </w:rPr>
              <w:t>kindergarten through twelfth grade</w:t>
            </w:r>
            <w:r w:rsidRPr="004C29A8">
              <w:rPr>
                <w:rFonts w:ascii="Arial" w:hAnsi="Arial" w:cs="Arial"/>
              </w:rPr>
              <w:t xml:space="preserve"> students who are below proficiency to participate in a </w:t>
            </w:r>
            <w:r>
              <w:rPr>
                <w:rFonts w:ascii="Arial" w:hAnsi="Arial" w:cs="Arial"/>
              </w:rPr>
              <w:t>mathematics</w:t>
            </w:r>
            <w:r w:rsidRPr="004C29A8">
              <w:rPr>
                <w:rFonts w:ascii="Arial" w:hAnsi="Arial" w:cs="Arial"/>
              </w:rPr>
              <w:t xml:space="preserve"> service by </w:t>
            </w:r>
            <w:r w:rsidR="00017F9D">
              <w:rPr>
                <w:rFonts w:ascii="Arial" w:hAnsi="Arial" w:cs="Arial"/>
              </w:rPr>
              <w:t>three</w:t>
            </w:r>
            <w:r w:rsidRPr="00226EDD">
              <w:rPr>
                <w:rFonts w:ascii="Arial" w:hAnsi="Arial" w:cs="Arial"/>
              </w:rPr>
              <w:t> </w:t>
            </w:r>
            <w:r w:rsidRPr="004C29A8">
              <w:rPr>
                <w:rFonts w:ascii="Arial" w:hAnsi="Arial" w:cs="Arial"/>
              </w:rPr>
              <w:t>percent annually.</w:t>
            </w:r>
          </w:p>
        </w:tc>
        <w:tc>
          <w:tcPr>
            <w:tcW w:w="5400" w:type="dxa"/>
          </w:tcPr>
          <w:p w14:paraId="68639EF8" w14:textId="1A250C43" w:rsidR="006B09DE" w:rsidRPr="005A7F4E" w:rsidRDefault="006B09DE" w:rsidP="006B09DE">
            <w:pPr>
              <w:pStyle w:val="ListParagraph"/>
              <w:numPr>
                <w:ilvl w:val="0"/>
                <w:numId w:val="12"/>
              </w:numPr>
              <w:spacing w:after="120"/>
              <w:ind w:left="346"/>
              <w:contextualSpacing w:val="0"/>
              <w:rPr>
                <w:rFonts w:ascii="Arial" w:hAnsi="Arial" w:cs="Arial"/>
              </w:rPr>
            </w:pPr>
            <w:r>
              <w:rPr>
                <w:rFonts w:ascii="Arial" w:hAnsi="Arial" w:cs="Arial"/>
              </w:rPr>
              <w:t>Renewed focus on ensuring all students have a solid understanding</w:t>
            </w:r>
            <w:r w:rsidR="0080480C">
              <w:rPr>
                <w:rFonts w:ascii="Arial" w:hAnsi="Arial" w:cs="Arial"/>
              </w:rPr>
              <w:t xml:space="preserve"> of</w:t>
            </w:r>
            <w:r w:rsidRPr="005A7F4E">
              <w:rPr>
                <w:rFonts w:ascii="Arial" w:hAnsi="Arial" w:cs="Arial"/>
              </w:rPr>
              <w:t xml:space="preserve"> foundational skills. </w:t>
            </w:r>
          </w:p>
          <w:p w14:paraId="50D677DE" w14:textId="65C437A1" w:rsidR="006B09DE" w:rsidRDefault="006B09DE" w:rsidP="006B09DE">
            <w:pPr>
              <w:pStyle w:val="ListParagraph"/>
              <w:numPr>
                <w:ilvl w:val="0"/>
                <w:numId w:val="12"/>
              </w:numPr>
              <w:spacing w:after="120"/>
              <w:ind w:left="346"/>
              <w:contextualSpacing w:val="0"/>
              <w:rPr>
                <w:rFonts w:ascii="Arial" w:hAnsi="Arial" w:cs="Arial"/>
              </w:rPr>
            </w:pPr>
            <w:r>
              <w:rPr>
                <w:rFonts w:ascii="Arial" w:hAnsi="Arial" w:cs="Arial"/>
              </w:rPr>
              <w:t xml:space="preserve">Grade span shifts from kindergarten through </w:t>
            </w:r>
            <w:r w:rsidR="00327B0E">
              <w:rPr>
                <w:rFonts w:ascii="Arial" w:hAnsi="Arial" w:cs="Arial"/>
              </w:rPr>
              <w:t>tenth</w:t>
            </w:r>
            <w:r>
              <w:rPr>
                <w:rFonts w:ascii="Arial" w:hAnsi="Arial" w:cs="Arial"/>
              </w:rPr>
              <w:t xml:space="preserve"> in 2017 to grades K</w:t>
            </w:r>
            <w:r w:rsidR="00017F9D">
              <w:rPr>
                <w:rFonts w:ascii="Arial" w:hAnsi="Arial" w:cs="Arial"/>
              </w:rPr>
              <w:t>-12</w:t>
            </w:r>
            <w:r>
              <w:rPr>
                <w:rFonts w:ascii="Arial" w:hAnsi="Arial" w:cs="Arial"/>
              </w:rPr>
              <w:t xml:space="preserve"> for 2026.</w:t>
            </w:r>
          </w:p>
          <w:p w14:paraId="4EC16F71" w14:textId="77777777" w:rsidR="006B09DE" w:rsidRDefault="006B09DE" w:rsidP="006B09DE">
            <w:pPr>
              <w:pStyle w:val="ListParagraph"/>
              <w:numPr>
                <w:ilvl w:val="0"/>
                <w:numId w:val="12"/>
              </w:numPr>
              <w:spacing w:after="120"/>
              <w:ind w:left="340"/>
              <w:contextualSpacing w:val="0"/>
              <w:rPr>
                <w:rFonts w:ascii="Arial" w:hAnsi="Arial" w:cs="Arial"/>
              </w:rPr>
            </w:pPr>
            <w:r>
              <w:rPr>
                <w:rFonts w:ascii="Arial" w:hAnsi="Arial" w:cs="Arial"/>
              </w:rPr>
              <w:t>Removes the time requirement for student participation although the time requirement for service duration remains intact as does the need to enter service hours for data.</w:t>
            </w:r>
          </w:p>
          <w:p w14:paraId="5319248E" w14:textId="77777777" w:rsidR="006B09DE" w:rsidRDefault="006B09DE" w:rsidP="006B09DE">
            <w:pPr>
              <w:pStyle w:val="ListParagraph"/>
              <w:numPr>
                <w:ilvl w:val="0"/>
                <w:numId w:val="12"/>
              </w:numPr>
              <w:spacing w:after="120"/>
              <w:ind w:left="340"/>
              <w:contextualSpacing w:val="0"/>
              <w:rPr>
                <w:rFonts w:ascii="Arial" w:hAnsi="Arial" w:cs="Arial"/>
              </w:rPr>
            </w:pPr>
            <w:r>
              <w:rPr>
                <w:rFonts w:ascii="Arial" w:hAnsi="Arial" w:cs="Arial"/>
              </w:rPr>
              <w:t>The percentage target has been eliminated in favor of an annual increase of student participation by three percentage points.</w:t>
            </w:r>
          </w:p>
          <w:p w14:paraId="51D3FFE7" w14:textId="5923F274" w:rsidR="006B09DE" w:rsidRPr="006B09DE" w:rsidRDefault="006B09DE" w:rsidP="006B09DE">
            <w:pPr>
              <w:pStyle w:val="ListParagraph"/>
              <w:numPr>
                <w:ilvl w:val="0"/>
                <w:numId w:val="12"/>
              </w:numPr>
              <w:spacing w:after="120"/>
              <w:ind w:left="340"/>
              <w:contextualSpacing w:val="0"/>
              <w:rPr>
                <w:rFonts w:ascii="Arial" w:hAnsi="Arial" w:cs="Arial"/>
              </w:rPr>
            </w:pPr>
            <w:r w:rsidRPr="006B09DE">
              <w:rPr>
                <w:rFonts w:ascii="Arial" w:hAnsi="Arial" w:cs="Arial"/>
              </w:rPr>
              <w:t>Staffing remains the same: always prioritize certificated staff even though classified staff may provide instruction during RSY. During summer, only certificated staff can provide direct instruction.</w:t>
            </w:r>
          </w:p>
        </w:tc>
      </w:tr>
      <w:tr w:rsidR="005F4745" w:rsidRPr="0078589E" w14:paraId="3DAB9F7F" w14:textId="77777777" w:rsidTr="007B397C">
        <w:trPr>
          <w:cantSplit/>
        </w:trPr>
        <w:tc>
          <w:tcPr>
            <w:tcW w:w="923" w:type="dxa"/>
            <w:shd w:val="clear" w:color="auto" w:fill="D9F2D0" w:themeFill="accent6" w:themeFillTint="33"/>
          </w:tcPr>
          <w:p w14:paraId="691736A8" w14:textId="4BB909B0" w:rsidR="005F4745" w:rsidRPr="0078589E" w:rsidRDefault="005F4745" w:rsidP="006B09DE">
            <w:pPr>
              <w:rPr>
                <w:rFonts w:ascii="Arial" w:hAnsi="Arial" w:cs="Arial"/>
              </w:rPr>
            </w:pPr>
            <w:r w:rsidRPr="0078589E">
              <w:rPr>
                <w:rFonts w:ascii="Arial" w:hAnsi="Arial" w:cs="Arial"/>
              </w:rPr>
              <w:lastRenderedPageBreak/>
              <w:t>Math 2.1</w:t>
            </w:r>
          </w:p>
        </w:tc>
        <w:tc>
          <w:tcPr>
            <w:tcW w:w="4652" w:type="dxa"/>
            <w:shd w:val="clear" w:color="auto" w:fill="D9F2D0" w:themeFill="accent6" w:themeFillTint="33"/>
          </w:tcPr>
          <w:p w14:paraId="29ACC8B9" w14:textId="77777777" w:rsidR="005F4745" w:rsidRPr="0078589E" w:rsidRDefault="005F4745" w:rsidP="005F4745">
            <w:pPr>
              <w:spacing w:after="120"/>
              <w:rPr>
                <w:rFonts w:ascii="Arial" w:hAnsi="Arial" w:cs="Arial"/>
              </w:rPr>
            </w:pPr>
            <w:r w:rsidRPr="0078589E">
              <w:rPr>
                <w:rFonts w:ascii="Arial" w:hAnsi="Arial" w:cs="Arial"/>
                <w:b/>
              </w:rPr>
              <w:t xml:space="preserve">Strategy 2.1: </w:t>
            </w:r>
            <w:r w:rsidRPr="0078589E">
              <w:rPr>
                <w:rFonts w:ascii="Arial" w:hAnsi="Arial" w:cs="Arial"/>
              </w:rPr>
              <w:t xml:space="preserve">Offer Math Literacy Family Nights, targeting PFS and migratory students scoring Below Standard, focused on math </w:t>
            </w:r>
            <w:r>
              <w:rPr>
                <w:rFonts w:ascii="Arial" w:hAnsi="Arial" w:cs="Arial"/>
              </w:rPr>
              <w:t>Common Core State Standards</w:t>
            </w:r>
            <w:r w:rsidRPr="0078589E">
              <w:rPr>
                <w:rFonts w:ascii="Arial" w:hAnsi="Arial" w:cs="Arial"/>
              </w:rPr>
              <w:t xml:space="preserve"> and learning strategies to use at home.</w:t>
            </w:r>
          </w:p>
          <w:p w14:paraId="3A98C757" w14:textId="649D30DB" w:rsidR="005F4745" w:rsidRPr="0078589E" w:rsidRDefault="005F4745" w:rsidP="005F4745">
            <w:pPr>
              <w:spacing w:after="120"/>
              <w:rPr>
                <w:rFonts w:ascii="Arial" w:hAnsi="Arial" w:cs="Arial"/>
                <w:b/>
                <w:bCs/>
              </w:rPr>
            </w:pPr>
            <w:r w:rsidRPr="0078589E">
              <w:rPr>
                <w:rFonts w:ascii="Arial" w:hAnsi="Arial" w:cs="Arial"/>
                <w:b/>
                <w:bCs/>
              </w:rPr>
              <w:t xml:space="preserve">MPO 2.1: </w:t>
            </w:r>
            <w:r w:rsidRPr="0078589E">
              <w:rPr>
                <w:rFonts w:ascii="Arial" w:hAnsi="Arial" w:cs="Arial"/>
              </w:rPr>
              <w:t>During the regular school year, local MEPs will offer at least two Math Family Literacy Nights as a part of their Parent Involvement Plan.</w:t>
            </w:r>
          </w:p>
        </w:tc>
        <w:tc>
          <w:tcPr>
            <w:tcW w:w="1080" w:type="dxa"/>
            <w:shd w:val="clear" w:color="auto" w:fill="F2CEED" w:themeFill="accent5" w:themeFillTint="33"/>
          </w:tcPr>
          <w:p w14:paraId="12241532" w14:textId="0983CD30" w:rsidR="005F4745" w:rsidRDefault="005F4745" w:rsidP="006B09DE">
            <w:pPr>
              <w:rPr>
                <w:rFonts w:ascii="Arial" w:hAnsi="Arial" w:cs="Arial"/>
              </w:rPr>
            </w:pPr>
            <w:r>
              <w:rPr>
                <w:rFonts w:ascii="Arial" w:hAnsi="Arial" w:cs="Arial"/>
              </w:rPr>
              <w:t>Math 2.1</w:t>
            </w:r>
          </w:p>
        </w:tc>
        <w:tc>
          <w:tcPr>
            <w:tcW w:w="5130" w:type="dxa"/>
            <w:shd w:val="clear" w:color="auto" w:fill="F2CEED" w:themeFill="accent5" w:themeFillTint="33"/>
          </w:tcPr>
          <w:p w14:paraId="16C76909" w14:textId="77777777" w:rsidR="005F4745" w:rsidRDefault="005F4745" w:rsidP="005F4745">
            <w:pPr>
              <w:spacing w:after="120"/>
              <w:rPr>
                <w:rFonts w:ascii="Arial" w:hAnsi="Arial" w:cs="Arial"/>
              </w:rPr>
            </w:pPr>
            <w:r w:rsidRPr="007D443E">
              <w:rPr>
                <w:rFonts w:ascii="Arial" w:hAnsi="Arial" w:cs="Arial"/>
                <w:b/>
              </w:rPr>
              <w:t>Strategy 2.</w:t>
            </w:r>
            <w:r>
              <w:rPr>
                <w:rFonts w:ascii="Arial" w:hAnsi="Arial" w:cs="Arial"/>
                <w:b/>
              </w:rPr>
              <w:t>1</w:t>
            </w:r>
            <w:r w:rsidRPr="007D443E">
              <w:rPr>
                <w:rFonts w:ascii="Arial" w:hAnsi="Arial" w:cs="Arial"/>
                <w:b/>
              </w:rPr>
              <w:t xml:space="preserve">: </w:t>
            </w:r>
            <w:r w:rsidRPr="00162513">
              <w:rPr>
                <w:rFonts w:ascii="Arial" w:hAnsi="Arial" w:cs="Arial"/>
                <w:bCs/>
              </w:rPr>
              <w:t xml:space="preserve">Offer </w:t>
            </w:r>
            <w:r>
              <w:rPr>
                <w:rFonts w:ascii="Arial" w:hAnsi="Arial" w:cs="Arial"/>
              </w:rPr>
              <w:t>mathematics</w:t>
            </w:r>
            <w:r w:rsidRPr="004C29A8">
              <w:rPr>
                <w:rFonts w:ascii="Arial" w:hAnsi="Arial" w:cs="Arial"/>
              </w:rPr>
              <w:t xml:space="preserve"> literacy activities for parents and families focused on understanding student assessment data, why proficiency is important, and how parents can support student achievement</w:t>
            </w:r>
            <w:r>
              <w:rPr>
                <w:rFonts w:ascii="Arial" w:hAnsi="Arial" w:cs="Arial"/>
              </w:rPr>
              <w:t>.</w:t>
            </w:r>
          </w:p>
          <w:p w14:paraId="0D4DE8AC" w14:textId="7B154AD8" w:rsidR="005F4745" w:rsidRPr="007D443E" w:rsidRDefault="005F4745" w:rsidP="005F4745">
            <w:pPr>
              <w:spacing w:after="120"/>
              <w:rPr>
                <w:rFonts w:ascii="Arial" w:hAnsi="Arial" w:cs="Arial"/>
                <w:b/>
              </w:rPr>
            </w:pPr>
            <w:r w:rsidRPr="00475C40">
              <w:rPr>
                <w:rFonts w:ascii="Arial" w:hAnsi="Arial" w:cs="Arial"/>
                <w:b/>
                <w:bCs/>
              </w:rPr>
              <w:t xml:space="preserve">MPO </w:t>
            </w:r>
            <w:r w:rsidRPr="007D443E">
              <w:rPr>
                <w:rFonts w:ascii="Arial" w:hAnsi="Arial" w:cs="Arial"/>
                <w:b/>
              </w:rPr>
              <w:t>2.</w:t>
            </w:r>
            <w:r>
              <w:rPr>
                <w:rFonts w:ascii="Arial" w:hAnsi="Arial" w:cs="Arial"/>
                <w:b/>
              </w:rPr>
              <w:t>1</w:t>
            </w:r>
            <w:r w:rsidRPr="007D443E">
              <w:rPr>
                <w:rFonts w:ascii="Arial" w:hAnsi="Arial" w:cs="Arial"/>
                <w:b/>
              </w:rPr>
              <w:t xml:space="preserve">: </w:t>
            </w:r>
            <w:r w:rsidRPr="004C29A8">
              <w:rPr>
                <w:rFonts w:ascii="Arial" w:hAnsi="Arial" w:cs="Arial"/>
              </w:rPr>
              <w:t xml:space="preserve">Every year the MEP must provide two workshops on developing parents’ </w:t>
            </w:r>
            <w:r>
              <w:rPr>
                <w:rFonts w:ascii="Arial" w:hAnsi="Arial" w:cs="Arial"/>
              </w:rPr>
              <w:t>mathematics</w:t>
            </w:r>
            <w:r w:rsidRPr="004C29A8">
              <w:rPr>
                <w:rFonts w:ascii="Arial" w:hAnsi="Arial" w:cs="Arial"/>
              </w:rPr>
              <w:t xml:space="preserve"> literacy in support of increasing student achievement in </w:t>
            </w:r>
            <w:r>
              <w:rPr>
                <w:rFonts w:ascii="Arial" w:hAnsi="Arial" w:cs="Arial"/>
              </w:rPr>
              <w:t>mathematics</w:t>
            </w:r>
            <w:r w:rsidRPr="004C29A8">
              <w:rPr>
                <w:rFonts w:ascii="Arial" w:hAnsi="Arial" w:cs="Arial"/>
              </w:rPr>
              <w:t>.</w:t>
            </w:r>
            <w:r>
              <w:rPr>
                <w:rFonts w:ascii="Arial" w:hAnsi="Arial" w:cs="Arial"/>
              </w:rPr>
              <w:t xml:space="preserve"> </w:t>
            </w:r>
            <w:r w:rsidRPr="004C29A8">
              <w:rPr>
                <w:rFonts w:ascii="Arial" w:hAnsi="Arial" w:cs="Arial"/>
              </w:rPr>
              <w:t xml:space="preserve">Workshops can be targeted </w:t>
            </w:r>
            <w:proofErr w:type="gramStart"/>
            <w:r w:rsidRPr="004C29A8">
              <w:rPr>
                <w:rFonts w:ascii="Arial" w:hAnsi="Arial" w:cs="Arial"/>
              </w:rPr>
              <w:t>toward</w:t>
            </w:r>
            <w:r>
              <w:rPr>
                <w:rFonts w:ascii="Arial" w:hAnsi="Arial" w:cs="Arial"/>
              </w:rPr>
              <w:t>s</w:t>
            </w:r>
            <w:proofErr w:type="gramEnd"/>
            <w:r w:rsidRPr="004C29A8">
              <w:rPr>
                <w:rFonts w:ascii="Arial" w:hAnsi="Arial" w:cs="Arial"/>
              </w:rPr>
              <w:t xml:space="preserve"> parents only or you can offer </w:t>
            </w:r>
            <w:r>
              <w:rPr>
                <w:rFonts w:ascii="Arial" w:hAnsi="Arial" w:cs="Arial"/>
              </w:rPr>
              <w:t>Mathematics</w:t>
            </w:r>
            <w:r w:rsidRPr="004C29A8">
              <w:rPr>
                <w:rFonts w:ascii="Arial" w:hAnsi="Arial" w:cs="Arial"/>
              </w:rPr>
              <w:t xml:space="preserve"> Family Literacy Nights that also cover the content identified in the strategy.</w:t>
            </w:r>
          </w:p>
        </w:tc>
        <w:tc>
          <w:tcPr>
            <w:tcW w:w="5400" w:type="dxa"/>
          </w:tcPr>
          <w:p w14:paraId="5EB98E94" w14:textId="77777777" w:rsidR="005F4745" w:rsidRDefault="005F4745" w:rsidP="005F4745">
            <w:pPr>
              <w:pStyle w:val="ListParagraph"/>
              <w:numPr>
                <w:ilvl w:val="0"/>
                <w:numId w:val="17"/>
              </w:numPr>
              <w:spacing w:after="120"/>
              <w:ind w:left="346"/>
              <w:contextualSpacing w:val="0"/>
              <w:rPr>
                <w:rFonts w:ascii="Arial" w:hAnsi="Arial" w:cs="Arial"/>
              </w:rPr>
            </w:pPr>
            <w:r>
              <w:rPr>
                <w:rFonts w:ascii="Arial" w:hAnsi="Arial" w:cs="Arial"/>
              </w:rPr>
              <w:t>Although this strategy continues to focus on building parents’ knowledge around math proficiency, the delivery is updated to include the option of offering Math Family Nights or workshops focused on enhancing parent’s mathematics literacy.</w:t>
            </w:r>
          </w:p>
          <w:p w14:paraId="00E3C93B" w14:textId="0F9FAF37" w:rsidR="005F4745" w:rsidRDefault="005F4745" w:rsidP="005F4745">
            <w:pPr>
              <w:pStyle w:val="ListParagraph"/>
              <w:numPr>
                <w:ilvl w:val="0"/>
                <w:numId w:val="12"/>
              </w:numPr>
              <w:spacing w:after="120"/>
              <w:ind w:left="346"/>
              <w:contextualSpacing w:val="0"/>
              <w:rPr>
                <w:rFonts w:ascii="Arial" w:hAnsi="Arial" w:cs="Arial"/>
              </w:rPr>
            </w:pPr>
            <w:r>
              <w:rPr>
                <w:rFonts w:ascii="Arial" w:hAnsi="Arial" w:cs="Arial"/>
              </w:rPr>
              <w:t>At minimum, two workshops, Math Family Nights, or a combination of both need to be offered. For regional subgrantees, these should occur in districts with the largest number of migratory students.</w:t>
            </w:r>
          </w:p>
        </w:tc>
      </w:tr>
      <w:tr w:rsidR="005F4745" w:rsidRPr="0078589E" w14:paraId="141CA53F" w14:textId="77777777" w:rsidTr="00195851">
        <w:trPr>
          <w:cantSplit/>
        </w:trPr>
        <w:tc>
          <w:tcPr>
            <w:tcW w:w="923" w:type="dxa"/>
            <w:shd w:val="clear" w:color="auto" w:fill="D9F2D0" w:themeFill="accent6" w:themeFillTint="33"/>
          </w:tcPr>
          <w:p w14:paraId="440AC0AE" w14:textId="34B8C0A6" w:rsidR="005F4745" w:rsidRPr="0078589E" w:rsidRDefault="005F4745" w:rsidP="006B09DE">
            <w:pPr>
              <w:rPr>
                <w:rFonts w:ascii="Arial" w:hAnsi="Arial" w:cs="Arial"/>
              </w:rPr>
            </w:pPr>
            <w:r w:rsidRPr="0078589E">
              <w:rPr>
                <w:rFonts w:ascii="Arial" w:hAnsi="Arial" w:cs="Arial"/>
              </w:rPr>
              <w:t>Math 2.2</w:t>
            </w:r>
          </w:p>
        </w:tc>
        <w:tc>
          <w:tcPr>
            <w:tcW w:w="4652" w:type="dxa"/>
            <w:shd w:val="clear" w:color="auto" w:fill="D9F2D0" w:themeFill="accent6" w:themeFillTint="33"/>
          </w:tcPr>
          <w:p w14:paraId="43ED8BB0" w14:textId="77777777" w:rsidR="005F4745" w:rsidRPr="0078589E" w:rsidRDefault="005F4745" w:rsidP="005F4745">
            <w:pPr>
              <w:spacing w:after="120"/>
              <w:rPr>
                <w:rFonts w:ascii="Arial" w:hAnsi="Arial" w:cs="Arial"/>
              </w:rPr>
            </w:pPr>
            <w:r w:rsidRPr="0078589E">
              <w:rPr>
                <w:rFonts w:ascii="Arial" w:hAnsi="Arial" w:cs="Arial"/>
                <w:b/>
              </w:rPr>
              <w:t xml:space="preserve">Strategy 2.2: </w:t>
            </w:r>
            <w:r w:rsidRPr="0078589E">
              <w:rPr>
                <w:rFonts w:ascii="Arial" w:hAnsi="Arial" w:cs="Arial"/>
              </w:rPr>
              <w:t>Provide professional development opportunities for MEP staff to understand student math achievement data, increase their knowledge and skill set for teaching concepts and procedures and problem solving and data modeling in mathematics.</w:t>
            </w:r>
          </w:p>
          <w:p w14:paraId="6B8EAD0C" w14:textId="0B14C452" w:rsidR="005F4745" w:rsidRPr="0078589E" w:rsidRDefault="005F4745" w:rsidP="005F4745">
            <w:pPr>
              <w:spacing w:after="120"/>
              <w:rPr>
                <w:rFonts w:ascii="Arial" w:hAnsi="Arial" w:cs="Arial"/>
                <w:b/>
              </w:rPr>
            </w:pPr>
            <w:r w:rsidRPr="0078589E">
              <w:rPr>
                <w:rFonts w:ascii="Arial" w:hAnsi="Arial" w:cs="Arial"/>
                <w:b/>
                <w:bCs/>
              </w:rPr>
              <w:t>MPO 2.2:</w:t>
            </w:r>
            <w:r w:rsidRPr="0078589E">
              <w:rPr>
                <w:rFonts w:ascii="Arial" w:hAnsi="Arial" w:cs="Arial"/>
              </w:rPr>
              <w:t xml:space="preserve"> Subgrantees will provide one professional development focused on Claims 1, 2, and/or other claims with the highest student achievement gap locally.</w:t>
            </w:r>
          </w:p>
        </w:tc>
        <w:tc>
          <w:tcPr>
            <w:tcW w:w="1080" w:type="dxa"/>
            <w:shd w:val="clear" w:color="auto" w:fill="F2CEED" w:themeFill="accent5" w:themeFillTint="33"/>
          </w:tcPr>
          <w:p w14:paraId="5B919D65" w14:textId="23B8C924" w:rsidR="005F4745" w:rsidRDefault="005F4745" w:rsidP="006B09DE">
            <w:pPr>
              <w:rPr>
                <w:rFonts w:ascii="Arial" w:hAnsi="Arial" w:cs="Arial"/>
              </w:rPr>
            </w:pPr>
            <w:r>
              <w:rPr>
                <w:rFonts w:ascii="Arial" w:hAnsi="Arial" w:cs="Arial"/>
              </w:rPr>
              <w:t>N/A</w:t>
            </w:r>
          </w:p>
        </w:tc>
        <w:tc>
          <w:tcPr>
            <w:tcW w:w="5130" w:type="dxa"/>
            <w:shd w:val="clear" w:color="auto" w:fill="F2CEED" w:themeFill="accent5" w:themeFillTint="33"/>
          </w:tcPr>
          <w:p w14:paraId="7C50053A" w14:textId="6D4DE42E" w:rsidR="005F4745" w:rsidRPr="007D443E" w:rsidRDefault="005F4745" w:rsidP="005F4745">
            <w:pPr>
              <w:spacing w:after="120"/>
              <w:rPr>
                <w:rFonts w:ascii="Arial" w:hAnsi="Arial" w:cs="Arial"/>
                <w:b/>
              </w:rPr>
            </w:pPr>
            <w:r w:rsidRPr="00C24F36">
              <w:rPr>
                <w:rFonts w:ascii="Arial" w:hAnsi="Arial" w:cs="Arial"/>
                <w:b/>
                <w:bCs/>
              </w:rPr>
              <w:t xml:space="preserve">This strategy </w:t>
            </w:r>
            <w:r>
              <w:rPr>
                <w:rFonts w:ascii="Arial" w:hAnsi="Arial" w:cs="Arial"/>
                <w:b/>
                <w:bCs/>
              </w:rPr>
              <w:t>is not included in the 2026 SDP.</w:t>
            </w:r>
          </w:p>
        </w:tc>
        <w:tc>
          <w:tcPr>
            <w:tcW w:w="5400" w:type="dxa"/>
            <w:shd w:val="clear" w:color="auto" w:fill="D9D9D9" w:themeFill="background1" w:themeFillShade="D9"/>
          </w:tcPr>
          <w:p w14:paraId="24E58499" w14:textId="69F767EC" w:rsidR="005F4745" w:rsidRPr="005F4745" w:rsidRDefault="005F4745" w:rsidP="005F4745">
            <w:pPr>
              <w:rPr>
                <w:rFonts w:ascii="Arial" w:hAnsi="Arial" w:cs="Arial"/>
              </w:rPr>
            </w:pPr>
            <w:r w:rsidRPr="005F4745">
              <w:rPr>
                <w:rFonts w:ascii="Arial" w:hAnsi="Arial" w:cs="Arial"/>
              </w:rPr>
              <w:t>While professional learning opportunities in math are not required, given low proficiency scores, the CDE encourages continued staff development in this area through existing opportunities within the COE or districts.</w:t>
            </w:r>
          </w:p>
        </w:tc>
      </w:tr>
    </w:tbl>
    <w:p w14:paraId="784A9C83" w14:textId="77777777" w:rsidR="00802D74" w:rsidRDefault="00802D74" w:rsidP="00C862B4">
      <w:pPr>
        <w:pStyle w:val="Heading2"/>
        <w:spacing w:after="120"/>
      </w:pPr>
      <w:r>
        <w:br w:type="page"/>
      </w:r>
    </w:p>
    <w:p w14:paraId="0C357281" w14:textId="386E3DEE" w:rsidR="00FA3D07" w:rsidRPr="0078589E" w:rsidRDefault="00FA3D07" w:rsidP="00802D74">
      <w:pPr>
        <w:pStyle w:val="Heading2"/>
        <w:spacing w:before="480" w:after="120"/>
      </w:pPr>
      <w:r w:rsidRPr="0078589E">
        <w:lastRenderedPageBreak/>
        <w:t>English Language Development</w:t>
      </w:r>
    </w:p>
    <w:tbl>
      <w:tblPr>
        <w:tblStyle w:val="TableGrid"/>
        <w:tblW w:w="17185" w:type="dxa"/>
        <w:tblLook w:val="04A0" w:firstRow="1" w:lastRow="0" w:firstColumn="1" w:lastColumn="0" w:noHBand="0" w:noVBand="1"/>
        <w:tblDescription w:val="English Language Development comparison of the 2017 SSDP Strategies and MPOs and the 2026 SDP Strategies and MPOs."/>
      </w:tblPr>
      <w:tblGrid>
        <w:gridCol w:w="923"/>
        <w:gridCol w:w="3731"/>
        <w:gridCol w:w="923"/>
        <w:gridCol w:w="8028"/>
        <w:gridCol w:w="3580"/>
      </w:tblGrid>
      <w:tr w:rsidR="00A21C5C" w:rsidRPr="00095DF3" w14:paraId="1A09B4DC" w14:textId="77777777" w:rsidTr="007B397C">
        <w:trPr>
          <w:cantSplit/>
          <w:tblHeader/>
        </w:trPr>
        <w:tc>
          <w:tcPr>
            <w:tcW w:w="805" w:type="dxa"/>
            <w:shd w:val="clear" w:color="auto" w:fill="D9F2D0" w:themeFill="accent6" w:themeFillTint="33"/>
          </w:tcPr>
          <w:p w14:paraId="3CF07314" w14:textId="77777777" w:rsidR="00F319A8" w:rsidRPr="00095DF3" w:rsidRDefault="00F319A8" w:rsidP="004540CC">
            <w:pPr>
              <w:rPr>
                <w:rFonts w:ascii="Arial" w:hAnsi="Arial" w:cs="Arial"/>
                <w:b/>
                <w:bCs/>
              </w:rPr>
            </w:pPr>
            <w:r w:rsidRPr="00095DF3">
              <w:rPr>
                <w:rFonts w:ascii="Arial" w:hAnsi="Arial" w:cs="Arial"/>
                <w:b/>
                <w:bCs/>
              </w:rPr>
              <w:t xml:space="preserve">Focus Area </w:t>
            </w:r>
          </w:p>
        </w:tc>
        <w:tc>
          <w:tcPr>
            <w:tcW w:w="3757" w:type="dxa"/>
            <w:shd w:val="clear" w:color="auto" w:fill="D9F2D0" w:themeFill="accent6" w:themeFillTint="33"/>
          </w:tcPr>
          <w:p w14:paraId="6F7B90BE" w14:textId="3E16B8BB" w:rsidR="00F319A8" w:rsidRPr="00095DF3" w:rsidRDefault="007F0434" w:rsidP="004540CC">
            <w:pPr>
              <w:rPr>
                <w:rFonts w:ascii="Arial" w:hAnsi="Arial" w:cs="Arial"/>
                <w:b/>
                <w:bCs/>
              </w:rPr>
            </w:pPr>
            <w:r>
              <w:rPr>
                <w:rFonts w:ascii="Arial" w:hAnsi="Arial" w:cs="Arial"/>
                <w:b/>
                <w:bCs/>
              </w:rPr>
              <w:t xml:space="preserve">2017 </w:t>
            </w:r>
            <w:r w:rsidR="00F319A8" w:rsidRPr="00095DF3">
              <w:rPr>
                <w:rFonts w:ascii="Arial" w:hAnsi="Arial" w:cs="Arial"/>
                <w:b/>
                <w:bCs/>
              </w:rPr>
              <w:t xml:space="preserve">SSDP Strategies and MPOs </w:t>
            </w:r>
          </w:p>
        </w:tc>
        <w:tc>
          <w:tcPr>
            <w:tcW w:w="923" w:type="dxa"/>
            <w:shd w:val="clear" w:color="auto" w:fill="F2CEED" w:themeFill="accent5" w:themeFillTint="33"/>
          </w:tcPr>
          <w:p w14:paraId="726CB7FD" w14:textId="77777777" w:rsidR="00F319A8" w:rsidRPr="00095DF3" w:rsidRDefault="00F319A8" w:rsidP="004540CC">
            <w:pPr>
              <w:rPr>
                <w:rFonts w:ascii="Arial" w:hAnsi="Arial" w:cs="Arial"/>
                <w:b/>
                <w:bCs/>
              </w:rPr>
            </w:pPr>
            <w:r w:rsidRPr="00095DF3">
              <w:rPr>
                <w:rFonts w:ascii="Arial" w:hAnsi="Arial" w:cs="Arial"/>
                <w:b/>
                <w:bCs/>
              </w:rPr>
              <w:t xml:space="preserve">Focus Area </w:t>
            </w:r>
          </w:p>
        </w:tc>
        <w:tc>
          <w:tcPr>
            <w:tcW w:w="8100" w:type="dxa"/>
            <w:shd w:val="clear" w:color="auto" w:fill="F2CEED" w:themeFill="accent5" w:themeFillTint="33"/>
          </w:tcPr>
          <w:p w14:paraId="4FDB6590" w14:textId="4DDC6C9D" w:rsidR="00F319A8" w:rsidRPr="00095DF3" w:rsidRDefault="007F0434" w:rsidP="004540CC">
            <w:pPr>
              <w:rPr>
                <w:rFonts w:ascii="Arial" w:hAnsi="Arial" w:cs="Arial"/>
                <w:b/>
                <w:bCs/>
              </w:rPr>
            </w:pPr>
            <w:r>
              <w:rPr>
                <w:rFonts w:ascii="Arial" w:hAnsi="Arial" w:cs="Arial"/>
                <w:b/>
                <w:bCs/>
              </w:rPr>
              <w:t xml:space="preserve">2026 </w:t>
            </w:r>
            <w:r w:rsidR="00F319A8" w:rsidRPr="00095DF3">
              <w:rPr>
                <w:rFonts w:ascii="Arial" w:hAnsi="Arial" w:cs="Arial"/>
                <w:b/>
                <w:bCs/>
              </w:rPr>
              <w:t>SDP Strategies and MPOs</w:t>
            </w:r>
          </w:p>
        </w:tc>
        <w:tc>
          <w:tcPr>
            <w:tcW w:w="3600" w:type="dxa"/>
          </w:tcPr>
          <w:p w14:paraId="2ED41A82" w14:textId="77777777" w:rsidR="00F319A8" w:rsidRPr="00095DF3" w:rsidRDefault="00F319A8" w:rsidP="004540CC">
            <w:pPr>
              <w:rPr>
                <w:rFonts w:ascii="Arial" w:hAnsi="Arial" w:cs="Arial"/>
                <w:b/>
                <w:bCs/>
              </w:rPr>
            </w:pPr>
            <w:r w:rsidRPr="00095DF3">
              <w:rPr>
                <w:rFonts w:ascii="Arial" w:hAnsi="Arial" w:cs="Arial"/>
                <w:b/>
                <w:bCs/>
              </w:rPr>
              <w:t xml:space="preserve">Comparison </w:t>
            </w:r>
          </w:p>
        </w:tc>
      </w:tr>
      <w:tr w:rsidR="00A21C5C" w:rsidRPr="0078589E" w14:paraId="6ADEF1A7" w14:textId="77777777" w:rsidTr="007B397C">
        <w:trPr>
          <w:cantSplit/>
        </w:trPr>
        <w:tc>
          <w:tcPr>
            <w:tcW w:w="805" w:type="dxa"/>
            <w:shd w:val="clear" w:color="auto" w:fill="D9F2D0" w:themeFill="accent6" w:themeFillTint="33"/>
          </w:tcPr>
          <w:p w14:paraId="016C2847" w14:textId="36E96C67" w:rsidR="00895AD1" w:rsidRPr="0078589E" w:rsidRDefault="00895AD1" w:rsidP="00895AD1">
            <w:pPr>
              <w:rPr>
                <w:rFonts w:ascii="Arial" w:hAnsi="Arial" w:cs="Arial"/>
              </w:rPr>
            </w:pPr>
            <w:r w:rsidRPr="0078589E">
              <w:rPr>
                <w:rFonts w:ascii="Arial" w:hAnsi="Arial" w:cs="Arial"/>
              </w:rPr>
              <w:t>ELD 3.0</w:t>
            </w:r>
          </w:p>
        </w:tc>
        <w:tc>
          <w:tcPr>
            <w:tcW w:w="3757" w:type="dxa"/>
            <w:shd w:val="clear" w:color="auto" w:fill="D9F2D0" w:themeFill="accent6" w:themeFillTint="33"/>
          </w:tcPr>
          <w:p w14:paraId="7D694E12" w14:textId="78A56E61" w:rsidR="00895AD1" w:rsidRPr="00684B9A" w:rsidRDefault="00895AD1" w:rsidP="00684B9A">
            <w:pPr>
              <w:spacing w:after="120"/>
              <w:rPr>
                <w:rFonts w:ascii="Arial" w:hAnsi="Arial" w:cs="Arial"/>
              </w:rPr>
            </w:pPr>
            <w:r w:rsidRPr="0078589E">
              <w:rPr>
                <w:rFonts w:ascii="Arial" w:hAnsi="Arial" w:cs="Arial"/>
                <w:b/>
              </w:rPr>
              <w:t xml:space="preserve">Strategy 3.0: </w:t>
            </w:r>
            <w:r w:rsidRPr="0078589E">
              <w:rPr>
                <w:rFonts w:ascii="Arial" w:hAnsi="Arial" w:cs="Arial"/>
              </w:rPr>
              <w:t>All instructional services provide integrated ELD to support academic language development and content knowledge.</w:t>
            </w:r>
          </w:p>
          <w:p w14:paraId="2D51E2CB" w14:textId="32499847" w:rsidR="00895AD1" w:rsidRPr="0078589E" w:rsidRDefault="00895AD1" w:rsidP="00684B9A">
            <w:pPr>
              <w:spacing w:after="120"/>
              <w:rPr>
                <w:rFonts w:ascii="Arial" w:hAnsi="Arial" w:cs="Arial"/>
                <w:b/>
                <w:bCs/>
              </w:rPr>
            </w:pPr>
            <w:r w:rsidRPr="0078589E">
              <w:rPr>
                <w:rFonts w:ascii="Arial" w:hAnsi="Arial" w:cs="Arial"/>
                <w:b/>
              </w:rPr>
              <w:t>MPO 3.0:</w:t>
            </w:r>
            <w:r w:rsidRPr="0078589E">
              <w:rPr>
                <w:rFonts w:ascii="Arial" w:hAnsi="Arial" w:cs="Arial"/>
                <w:bCs/>
              </w:rPr>
              <w:t xml:space="preserve"> </w:t>
            </w:r>
            <w:r w:rsidRPr="0078589E">
              <w:rPr>
                <w:rFonts w:ascii="Arial" w:hAnsi="Arial" w:cs="Arial"/>
              </w:rPr>
              <w:t>All instructional services for core content areas (e.g., ELA, math, history, science, civics) must include integrated ELD.</w:t>
            </w:r>
          </w:p>
        </w:tc>
        <w:tc>
          <w:tcPr>
            <w:tcW w:w="923" w:type="dxa"/>
            <w:shd w:val="clear" w:color="auto" w:fill="F2CEED" w:themeFill="accent5" w:themeFillTint="33"/>
          </w:tcPr>
          <w:p w14:paraId="397645A9" w14:textId="4ED68943" w:rsidR="00895AD1" w:rsidRPr="0078589E" w:rsidRDefault="00483F80" w:rsidP="00684B9A">
            <w:pPr>
              <w:spacing w:after="120"/>
              <w:rPr>
                <w:rFonts w:ascii="Arial" w:hAnsi="Arial" w:cs="Arial"/>
              </w:rPr>
            </w:pPr>
            <w:r>
              <w:rPr>
                <w:rFonts w:ascii="Arial" w:hAnsi="Arial" w:cs="Arial"/>
              </w:rPr>
              <w:t>ELD 3.0</w:t>
            </w:r>
          </w:p>
        </w:tc>
        <w:tc>
          <w:tcPr>
            <w:tcW w:w="8100" w:type="dxa"/>
            <w:shd w:val="clear" w:color="auto" w:fill="F2CEED" w:themeFill="accent5" w:themeFillTint="33"/>
          </w:tcPr>
          <w:p w14:paraId="21FF4919" w14:textId="77777777" w:rsidR="00475C40" w:rsidRPr="00195851" w:rsidRDefault="00475C40" w:rsidP="00684B9A">
            <w:pPr>
              <w:spacing w:after="120"/>
              <w:rPr>
                <w:rFonts w:ascii="Arial" w:hAnsi="Arial" w:cs="Arial"/>
              </w:rPr>
            </w:pPr>
            <w:r w:rsidRPr="00195851">
              <w:rPr>
                <w:rFonts w:ascii="Arial" w:hAnsi="Arial" w:cs="Arial"/>
                <w:b/>
              </w:rPr>
              <w:t xml:space="preserve">Strategy 3.0: </w:t>
            </w:r>
            <w:r w:rsidRPr="00195851">
              <w:rPr>
                <w:rFonts w:ascii="Arial" w:hAnsi="Arial" w:cs="Arial"/>
              </w:rPr>
              <w:t>All instructional services provide integrated ELD to support academic language development and content knowledge. Be sure that integrated ELD:</w:t>
            </w:r>
          </w:p>
          <w:p w14:paraId="59A41048" w14:textId="77777777" w:rsidR="00475C40" w:rsidRPr="00195851" w:rsidRDefault="00475C40" w:rsidP="00684B9A">
            <w:pPr>
              <w:pStyle w:val="ListParagraph"/>
              <w:numPr>
                <w:ilvl w:val="0"/>
                <w:numId w:val="5"/>
              </w:numPr>
              <w:spacing w:after="120"/>
              <w:ind w:left="330"/>
              <w:contextualSpacing w:val="0"/>
              <w:rPr>
                <w:rFonts w:ascii="Arial" w:hAnsi="Arial" w:cs="Arial"/>
              </w:rPr>
            </w:pPr>
            <w:proofErr w:type="gramStart"/>
            <w:r w:rsidRPr="00195851">
              <w:rPr>
                <w:rFonts w:ascii="Arial" w:hAnsi="Arial" w:cs="Arial"/>
              </w:rPr>
              <w:t>Is</w:t>
            </w:r>
            <w:proofErr w:type="gramEnd"/>
            <w:r w:rsidRPr="00195851">
              <w:rPr>
                <w:rFonts w:ascii="Arial" w:hAnsi="Arial" w:cs="Arial"/>
              </w:rPr>
              <w:t xml:space="preserve"> aligned to California ELD Standards and content standards.</w:t>
            </w:r>
          </w:p>
          <w:p w14:paraId="06118FF3" w14:textId="77777777" w:rsidR="00475C40" w:rsidRPr="00195851" w:rsidRDefault="00475C40" w:rsidP="00684B9A">
            <w:pPr>
              <w:pStyle w:val="ListParagraph"/>
              <w:numPr>
                <w:ilvl w:val="0"/>
                <w:numId w:val="5"/>
              </w:numPr>
              <w:spacing w:after="120"/>
              <w:ind w:left="330"/>
              <w:contextualSpacing w:val="0"/>
              <w:rPr>
                <w:rFonts w:ascii="Arial" w:hAnsi="Arial" w:cs="Arial"/>
              </w:rPr>
            </w:pPr>
            <w:proofErr w:type="gramStart"/>
            <w:r w:rsidRPr="00195851">
              <w:rPr>
                <w:rFonts w:ascii="Arial" w:hAnsi="Arial" w:cs="Arial"/>
              </w:rPr>
              <w:t>Is</w:t>
            </w:r>
            <w:proofErr w:type="gramEnd"/>
            <w:r w:rsidRPr="00195851">
              <w:rPr>
                <w:rFonts w:ascii="Arial" w:hAnsi="Arial" w:cs="Arial"/>
              </w:rPr>
              <w:t xml:space="preserve"> differentiated according to student lang. proficiency levels (e.g., student grouping, Bloom’s taxonomy, and scaffolds).</w:t>
            </w:r>
          </w:p>
          <w:p w14:paraId="6ACBFF11" w14:textId="77777777" w:rsidR="00475C40" w:rsidRPr="00195851" w:rsidRDefault="00475C40" w:rsidP="00684B9A">
            <w:pPr>
              <w:pStyle w:val="ListParagraph"/>
              <w:numPr>
                <w:ilvl w:val="0"/>
                <w:numId w:val="5"/>
              </w:numPr>
              <w:spacing w:after="120"/>
              <w:ind w:left="330"/>
              <w:contextualSpacing w:val="0"/>
              <w:rPr>
                <w:rFonts w:ascii="Arial" w:hAnsi="Arial" w:cs="Arial"/>
              </w:rPr>
            </w:pPr>
            <w:proofErr w:type="gramStart"/>
            <w:r w:rsidRPr="00195851">
              <w:rPr>
                <w:rFonts w:ascii="Arial" w:hAnsi="Arial" w:cs="Arial"/>
              </w:rPr>
              <w:t>Is</w:t>
            </w:r>
            <w:proofErr w:type="gramEnd"/>
            <w:r w:rsidRPr="00195851">
              <w:rPr>
                <w:rFonts w:ascii="Arial" w:hAnsi="Arial" w:cs="Arial"/>
              </w:rPr>
              <w:t xml:space="preserve"> integrating and making connections among the four domains: listening, speaking, reading, and writing.</w:t>
            </w:r>
          </w:p>
          <w:p w14:paraId="378EDFB9" w14:textId="34458E74" w:rsidR="00475C40" w:rsidRPr="00195851" w:rsidRDefault="00475C40" w:rsidP="00684B9A">
            <w:pPr>
              <w:pStyle w:val="ListParagraph"/>
              <w:numPr>
                <w:ilvl w:val="0"/>
                <w:numId w:val="5"/>
              </w:numPr>
              <w:spacing w:after="120"/>
              <w:ind w:left="330"/>
              <w:contextualSpacing w:val="0"/>
              <w:rPr>
                <w:rFonts w:ascii="Arial" w:hAnsi="Arial" w:cs="Arial"/>
              </w:rPr>
            </w:pPr>
            <w:r w:rsidRPr="00195851">
              <w:rPr>
                <w:rFonts w:ascii="Arial" w:hAnsi="Arial" w:cs="Arial"/>
              </w:rPr>
              <w:t xml:space="preserve">Teaches all three parts of the ELD Standards (i.e., Interacting in Meaningful Ways, </w:t>
            </w:r>
            <w:proofErr w:type="gramStart"/>
            <w:r w:rsidRPr="00195851">
              <w:rPr>
                <w:rFonts w:ascii="Arial" w:hAnsi="Arial" w:cs="Arial"/>
              </w:rPr>
              <w:t>Learning</w:t>
            </w:r>
            <w:proofErr w:type="gramEnd"/>
            <w:r w:rsidRPr="00195851">
              <w:rPr>
                <w:rFonts w:ascii="Arial" w:hAnsi="Arial" w:cs="Arial"/>
              </w:rPr>
              <w:t xml:space="preserve"> about How English Works, and Foundational Literacy S</w:t>
            </w:r>
            <w:r w:rsidR="001A4517" w:rsidRPr="00195851">
              <w:rPr>
                <w:rFonts w:ascii="Arial" w:hAnsi="Arial" w:cs="Arial"/>
              </w:rPr>
              <w:t>k</w:t>
            </w:r>
            <w:r w:rsidRPr="00195851">
              <w:rPr>
                <w:rFonts w:ascii="Arial" w:hAnsi="Arial" w:cs="Arial"/>
              </w:rPr>
              <w:t>ills) including independent word learning skills and phonological awareness as applicable.</w:t>
            </w:r>
          </w:p>
          <w:p w14:paraId="75CDA5CD" w14:textId="77777777" w:rsidR="00895AD1" w:rsidRPr="00195851" w:rsidRDefault="00475C40" w:rsidP="00684B9A">
            <w:pPr>
              <w:pStyle w:val="ListParagraph"/>
              <w:numPr>
                <w:ilvl w:val="0"/>
                <w:numId w:val="5"/>
              </w:numPr>
              <w:spacing w:after="120"/>
              <w:ind w:left="330"/>
              <w:contextualSpacing w:val="0"/>
              <w:rPr>
                <w:rFonts w:ascii="Arial" w:hAnsi="Arial" w:cs="Arial"/>
              </w:rPr>
            </w:pPr>
            <w:r w:rsidRPr="00195851">
              <w:rPr>
                <w:rFonts w:ascii="Arial" w:hAnsi="Arial" w:cs="Arial"/>
              </w:rPr>
              <w:t>Provide opportunities for students to learn through collaboration and academic discourse.</w:t>
            </w:r>
          </w:p>
          <w:p w14:paraId="095B476A" w14:textId="655B04E4" w:rsidR="00475C40" w:rsidRPr="00C24F36" w:rsidRDefault="00475C40" w:rsidP="00684B9A">
            <w:pPr>
              <w:spacing w:after="120"/>
              <w:rPr>
                <w:rFonts w:ascii="Arial" w:hAnsi="Arial" w:cs="Arial"/>
                <w:sz w:val="22"/>
                <w:szCs w:val="22"/>
              </w:rPr>
            </w:pPr>
            <w:r w:rsidRPr="00195851">
              <w:rPr>
                <w:rFonts w:ascii="Arial" w:hAnsi="Arial" w:cs="Arial"/>
                <w:b/>
              </w:rPr>
              <w:t xml:space="preserve">MPO 3.0: </w:t>
            </w:r>
            <w:r w:rsidRPr="00195851">
              <w:rPr>
                <w:rFonts w:ascii="Arial" w:hAnsi="Arial" w:cs="Arial"/>
              </w:rPr>
              <w:t>All instructional services for core content areas (e.g., ELA, mathematics, history, science, civics), excluding credit accrual services, must include integrated ELD.</w:t>
            </w:r>
          </w:p>
        </w:tc>
        <w:tc>
          <w:tcPr>
            <w:tcW w:w="3600" w:type="dxa"/>
          </w:tcPr>
          <w:p w14:paraId="5D899811" w14:textId="52381596" w:rsidR="00895AD1" w:rsidRDefault="00A21C5C" w:rsidP="00A21C5C">
            <w:pPr>
              <w:pStyle w:val="ListParagraph"/>
              <w:numPr>
                <w:ilvl w:val="0"/>
                <w:numId w:val="18"/>
              </w:numPr>
              <w:spacing w:after="120"/>
              <w:ind w:left="421"/>
              <w:contextualSpacing w:val="0"/>
              <w:rPr>
                <w:rFonts w:ascii="Arial" w:hAnsi="Arial" w:cs="Arial"/>
              </w:rPr>
            </w:pPr>
            <w:r>
              <w:rPr>
                <w:rFonts w:ascii="Arial" w:hAnsi="Arial" w:cs="Arial"/>
              </w:rPr>
              <w:t>More detail is provided in the strategy as to what explicitly needs to be included in integrated ELD instruction.</w:t>
            </w:r>
          </w:p>
          <w:p w14:paraId="0DCF7598" w14:textId="679BF7E7" w:rsidR="00A21C5C" w:rsidRPr="00A21C5C" w:rsidRDefault="00A21C5C" w:rsidP="00A21C5C">
            <w:pPr>
              <w:pStyle w:val="ListParagraph"/>
              <w:numPr>
                <w:ilvl w:val="0"/>
                <w:numId w:val="18"/>
              </w:numPr>
              <w:spacing w:after="120"/>
              <w:ind w:left="421"/>
              <w:contextualSpacing w:val="0"/>
              <w:rPr>
                <w:rFonts w:ascii="Arial" w:hAnsi="Arial" w:cs="Arial"/>
              </w:rPr>
            </w:pPr>
            <w:r>
              <w:rPr>
                <w:rFonts w:ascii="Arial" w:hAnsi="Arial" w:cs="Arial"/>
              </w:rPr>
              <w:t>MPO remains unchanged.</w:t>
            </w:r>
          </w:p>
        </w:tc>
      </w:tr>
      <w:tr w:rsidR="00A21C5C" w:rsidRPr="0078589E" w14:paraId="76B7A7EE" w14:textId="77777777" w:rsidTr="007B397C">
        <w:trPr>
          <w:cantSplit/>
        </w:trPr>
        <w:tc>
          <w:tcPr>
            <w:tcW w:w="805" w:type="dxa"/>
            <w:shd w:val="clear" w:color="auto" w:fill="D9F2D0" w:themeFill="accent6" w:themeFillTint="33"/>
          </w:tcPr>
          <w:p w14:paraId="05E97EAB" w14:textId="6562F07A" w:rsidR="00895AD1" w:rsidRPr="0078589E" w:rsidRDefault="00895AD1" w:rsidP="00895AD1">
            <w:pPr>
              <w:rPr>
                <w:rFonts w:ascii="Arial" w:hAnsi="Arial" w:cs="Arial"/>
              </w:rPr>
            </w:pPr>
            <w:r w:rsidRPr="0078589E">
              <w:rPr>
                <w:rFonts w:ascii="Arial" w:hAnsi="Arial" w:cs="Arial"/>
              </w:rPr>
              <w:t>ELD 3.1</w:t>
            </w:r>
          </w:p>
        </w:tc>
        <w:tc>
          <w:tcPr>
            <w:tcW w:w="3757" w:type="dxa"/>
            <w:shd w:val="clear" w:color="auto" w:fill="D9F2D0" w:themeFill="accent6" w:themeFillTint="33"/>
          </w:tcPr>
          <w:p w14:paraId="4F296283" w14:textId="7D886A28" w:rsidR="00895AD1" w:rsidRPr="0078589E" w:rsidRDefault="00895AD1" w:rsidP="00684B9A">
            <w:pPr>
              <w:spacing w:after="120"/>
              <w:rPr>
                <w:rFonts w:ascii="Arial" w:hAnsi="Arial" w:cs="Arial"/>
              </w:rPr>
            </w:pPr>
            <w:r w:rsidRPr="0078589E">
              <w:rPr>
                <w:rFonts w:ascii="Arial" w:hAnsi="Arial" w:cs="Arial"/>
                <w:b/>
              </w:rPr>
              <w:t xml:space="preserve">Strategy 3.1: </w:t>
            </w:r>
            <w:r w:rsidRPr="0078589E">
              <w:rPr>
                <w:rFonts w:ascii="Arial" w:hAnsi="Arial" w:cs="Arial"/>
              </w:rPr>
              <w:t>Subgrantees provide professional development on how to integrate ELD into all core content areas.</w:t>
            </w:r>
          </w:p>
          <w:p w14:paraId="69AD2848" w14:textId="17A97C92" w:rsidR="00895AD1" w:rsidRPr="0078589E" w:rsidRDefault="00895AD1" w:rsidP="00684B9A">
            <w:pPr>
              <w:spacing w:after="120"/>
              <w:rPr>
                <w:rFonts w:ascii="Arial" w:hAnsi="Arial" w:cs="Arial"/>
              </w:rPr>
            </w:pPr>
            <w:r w:rsidRPr="0078589E">
              <w:rPr>
                <w:rFonts w:ascii="Arial" w:hAnsi="Arial" w:cs="Arial"/>
                <w:b/>
                <w:bCs/>
              </w:rPr>
              <w:t>MPO 3.1:</w:t>
            </w:r>
            <w:r w:rsidRPr="0078589E">
              <w:rPr>
                <w:rFonts w:ascii="Arial" w:hAnsi="Arial" w:cs="Arial"/>
              </w:rPr>
              <w:t xml:space="preserve"> Subgrantees provide professional development on integrated ELD and ELD standards.</w:t>
            </w:r>
          </w:p>
        </w:tc>
        <w:tc>
          <w:tcPr>
            <w:tcW w:w="923" w:type="dxa"/>
            <w:shd w:val="clear" w:color="auto" w:fill="F2CEED" w:themeFill="accent5" w:themeFillTint="33"/>
          </w:tcPr>
          <w:p w14:paraId="32EF3AE8" w14:textId="275AA20B" w:rsidR="00895AD1" w:rsidRPr="0078589E" w:rsidRDefault="00285956" w:rsidP="00684B9A">
            <w:pPr>
              <w:spacing w:after="120"/>
              <w:rPr>
                <w:rFonts w:ascii="Arial" w:hAnsi="Arial" w:cs="Arial"/>
              </w:rPr>
            </w:pPr>
            <w:r>
              <w:rPr>
                <w:rFonts w:ascii="Arial" w:hAnsi="Arial" w:cs="Arial"/>
              </w:rPr>
              <w:t>N/A</w:t>
            </w:r>
          </w:p>
        </w:tc>
        <w:tc>
          <w:tcPr>
            <w:tcW w:w="8100" w:type="dxa"/>
            <w:shd w:val="clear" w:color="auto" w:fill="F2CEED" w:themeFill="accent5" w:themeFillTint="33"/>
          </w:tcPr>
          <w:p w14:paraId="1EB3AD93" w14:textId="40736218" w:rsidR="00895AD1" w:rsidRPr="00C24F36" w:rsidRDefault="004817D7" w:rsidP="00684B9A">
            <w:pPr>
              <w:spacing w:after="120"/>
              <w:rPr>
                <w:rFonts w:ascii="Arial" w:hAnsi="Arial" w:cs="Arial"/>
                <w:b/>
                <w:bCs/>
              </w:rPr>
            </w:pPr>
            <w:r w:rsidRPr="00C24F36">
              <w:rPr>
                <w:rFonts w:ascii="Arial" w:hAnsi="Arial" w:cs="Arial"/>
                <w:b/>
                <w:bCs/>
              </w:rPr>
              <w:t xml:space="preserve">This strategy </w:t>
            </w:r>
            <w:r>
              <w:rPr>
                <w:rFonts w:ascii="Arial" w:hAnsi="Arial" w:cs="Arial"/>
                <w:b/>
                <w:bCs/>
              </w:rPr>
              <w:t>is not included in the 2026 SDP.</w:t>
            </w:r>
          </w:p>
        </w:tc>
        <w:tc>
          <w:tcPr>
            <w:tcW w:w="3600" w:type="dxa"/>
            <w:shd w:val="clear" w:color="auto" w:fill="D9D9D9" w:themeFill="background1" w:themeFillShade="D9"/>
          </w:tcPr>
          <w:p w14:paraId="6E16AB54" w14:textId="102750EB" w:rsidR="00895AD1" w:rsidRPr="0078589E" w:rsidRDefault="00C24F36" w:rsidP="00895AD1">
            <w:pPr>
              <w:rPr>
                <w:rFonts w:ascii="Arial" w:hAnsi="Arial" w:cs="Arial"/>
              </w:rPr>
            </w:pPr>
            <w:r>
              <w:rPr>
                <w:rFonts w:ascii="Arial" w:hAnsi="Arial" w:cs="Arial"/>
              </w:rPr>
              <w:t xml:space="preserve">The CDE will support professional learning opportunities for staff; however, the CDE encourages COEs and </w:t>
            </w:r>
            <w:proofErr w:type="gramStart"/>
            <w:r>
              <w:rPr>
                <w:rFonts w:ascii="Arial" w:hAnsi="Arial" w:cs="Arial"/>
              </w:rPr>
              <w:t>district</w:t>
            </w:r>
            <w:proofErr w:type="gramEnd"/>
            <w:r>
              <w:rPr>
                <w:rFonts w:ascii="Arial" w:hAnsi="Arial" w:cs="Arial"/>
              </w:rPr>
              <w:t xml:space="preserve"> to include MEP staff in all training opportunities related to ELD.</w:t>
            </w:r>
          </w:p>
        </w:tc>
      </w:tr>
    </w:tbl>
    <w:p w14:paraId="16BD586E" w14:textId="77777777" w:rsidR="00802D74" w:rsidRDefault="00802D74" w:rsidP="00C862B4">
      <w:pPr>
        <w:pStyle w:val="Heading2"/>
      </w:pPr>
      <w:r>
        <w:br w:type="page"/>
      </w:r>
    </w:p>
    <w:p w14:paraId="14321A7A" w14:textId="3A3ECFF9" w:rsidR="00FA3D07" w:rsidRPr="0078589E" w:rsidRDefault="00FA3D07" w:rsidP="00C862B4">
      <w:pPr>
        <w:pStyle w:val="Heading2"/>
      </w:pPr>
      <w:r w:rsidRPr="0078589E">
        <w:lastRenderedPageBreak/>
        <w:t>Social and Emotional Learning</w:t>
      </w:r>
    </w:p>
    <w:tbl>
      <w:tblPr>
        <w:tblStyle w:val="TableGrid"/>
        <w:tblW w:w="17185" w:type="dxa"/>
        <w:tblLook w:val="04A0" w:firstRow="1" w:lastRow="0" w:firstColumn="1" w:lastColumn="0" w:noHBand="0" w:noVBand="1"/>
        <w:tblDescription w:val="Social and Emotional Learning comparison of the 2017 SSDP Strategies and MPOs and the 2026 SDP Strategies and MPOs."/>
      </w:tblPr>
      <w:tblGrid>
        <w:gridCol w:w="923"/>
        <w:gridCol w:w="2672"/>
        <w:gridCol w:w="923"/>
        <w:gridCol w:w="7627"/>
        <w:gridCol w:w="5040"/>
      </w:tblGrid>
      <w:tr w:rsidR="00F319A8" w:rsidRPr="00095DF3" w14:paraId="640A621F" w14:textId="77777777" w:rsidTr="007B397C">
        <w:trPr>
          <w:cantSplit/>
          <w:tblHeader/>
        </w:trPr>
        <w:tc>
          <w:tcPr>
            <w:tcW w:w="923" w:type="dxa"/>
            <w:shd w:val="clear" w:color="auto" w:fill="D9F2D0" w:themeFill="accent6" w:themeFillTint="33"/>
          </w:tcPr>
          <w:p w14:paraId="6B73F7D0" w14:textId="77777777" w:rsidR="00F319A8" w:rsidRPr="00095DF3" w:rsidRDefault="00F319A8" w:rsidP="004540CC">
            <w:pPr>
              <w:rPr>
                <w:rFonts w:ascii="Arial" w:hAnsi="Arial" w:cs="Arial"/>
                <w:b/>
                <w:bCs/>
              </w:rPr>
            </w:pPr>
            <w:r w:rsidRPr="00095DF3">
              <w:rPr>
                <w:rFonts w:ascii="Arial" w:hAnsi="Arial" w:cs="Arial"/>
                <w:b/>
                <w:bCs/>
              </w:rPr>
              <w:t xml:space="preserve">Focus Area </w:t>
            </w:r>
          </w:p>
        </w:tc>
        <w:tc>
          <w:tcPr>
            <w:tcW w:w="2672" w:type="dxa"/>
            <w:shd w:val="clear" w:color="auto" w:fill="D9F2D0" w:themeFill="accent6" w:themeFillTint="33"/>
          </w:tcPr>
          <w:p w14:paraId="5AF6D588" w14:textId="16F5E934" w:rsidR="00F319A8" w:rsidRPr="00095DF3" w:rsidRDefault="007F0434" w:rsidP="004540CC">
            <w:pPr>
              <w:rPr>
                <w:rFonts w:ascii="Arial" w:hAnsi="Arial" w:cs="Arial"/>
                <w:b/>
                <w:bCs/>
              </w:rPr>
            </w:pPr>
            <w:r>
              <w:rPr>
                <w:rFonts w:ascii="Arial" w:hAnsi="Arial" w:cs="Arial"/>
                <w:b/>
                <w:bCs/>
              </w:rPr>
              <w:t xml:space="preserve">2017 </w:t>
            </w:r>
            <w:r w:rsidR="00F319A8" w:rsidRPr="00095DF3">
              <w:rPr>
                <w:rFonts w:ascii="Arial" w:hAnsi="Arial" w:cs="Arial"/>
                <w:b/>
                <w:bCs/>
              </w:rPr>
              <w:t>SSDP Strategies and MPOs</w:t>
            </w:r>
          </w:p>
        </w:tc>
        <w:tc>
          <w:tcPr>
            <w:tcW w:w="923" w:type="dxa"/>
            <w:shd w:val="clear" w:color="auto" w:fill="F2CEED" w:themeFill="accent5" w:themeFillTint="33"/>
          </w:tcPr>
          <w:p w14:paraId="4A6A9CB2" w14:textId="77777777" w:rsidR="00F319A8" w:rsidRPr="00095DF3" w:rsidRDefault="00F319A8" w:rsidP="004540CC">
            <w:pPr>
              <w:rPr>
                <w:rFonts w:ascii="Arial" w:hAnsi="Arial" w:cs="Arial"/>
                <w:b/>
                <w:bCs/>
              </w:rPr>
            </w:pPr>
            <w:r w:rsidRPr="00095DF3">
              <w:rPr>
                <w:rFonts w:ascii="Arial" w:hAnsi="Arial" w:cs="Arial"/>
                <w:b/>
                <w:bCs/>
              </w:rPr>
              <w:t xml:space="preserve">Focus Area </w:t>
            </w:r>
          </w:p>
        </w:tc>
        <w:tc>
          <w:tcPr>
            <w:tcW w:w="7627" w:type="dxa"/>
            <w:shd w:val="clear" w:color="auto" w:fill="F2CEED" w:themeFill="accent5" w:themeFillTint="33"/>
          </w:tcPr>
          <w:p w14:paraId="770A2DC8" w14:textId="419D4FCC" w:rsidR="00F319A8" w:rsidRPr="00095DF3" w:rsidRDefault="007F0434" w:rsidP="004540CC">
            <w:pPr>
              <w:rPr>
                <w:rFonts w:ascii="Arial" w:hAnsi="Arial" w:cs="Arial"/>
                <w:b/>
                <w:bCs/>
              </w:rPr>
            </w:pPr>
            <w:r>
              <w:rPr>
                <w:rFonts w:ascii="Arial" w:hAnsi="Arial" w:cs="Arial"/>
                <w:b/>
                <w:bCs/>
              </w:rPr>
              <w:t xml:space="preserve">2026 </w:t>
            </w:r>
            <w:r w:rsidR="00F319A8" w:rsidRPr="00095DF3">
              <w:rPr>
                <w:rFonts w:ascii="Arial" w:hAnsi="Arial" w:cs="Arial"/>
                <w:b/>
                <w:bCs/>
              </w:rPr>
              <w:t>SDP Strategies and MPOs</w:t>
            </w:r>
          </w:p>
        </w:tc>
        <w:tc>
          <w:tcPr>
            <w:tcW w:w="5040" w:type="dxa"/>
          </w:tcPr>
          <w:p w14:paraId="5C8B38AE" w14:textId="77777777" w:rsidR="00F319A8" w:rsidRPr="00095DF3" w:rsidRDefault="00F319A8" w:rsidP="004540CC">
            <w:pPr>
              <w:rPr>
                <w:rFonts w:ascii="Arial" w:hAnsi="Arial" w:cs="Arial"/>
                <w:b/>
                <w:bCs/>
              </w:rPr>
            </w:pPr>
            <w:r w:rsidRPr="00095DF3">
              <w:rPr>
                <w:rFonts w:ascii="Arial" w:hAnsi="Arial" w:cs="Arial"/>
                <w:b/>
                <w:bCs/>
              </w:rPr>
              <w:t xml:space="preserve">Comparison </w:t>
            </w:r>
          </w:p>
        </w:tc>
      </w:tr>
      <w:tr w:rsidR="00A21C5C" w:rsidRPr="0078589E" w14:paraId="136EE2A6" w14:textId="77777777" w:rsidTr="007B397C">
        <w:trPr>
          <w:cantSplit/>
        </w:trPr>
        <w:tc>
          <w:tcPr>
            <w:tcW w:w="923" w:type="dxa"/>
            <w:shd w:val="clear" w:color="auto" w:fill="D9F2D0" w:themeFill="accent6" w:themeFillTint="33"/>
          </w:tcPr>
          <w:p w14:paraId="7D632336" w14:textId="3F3BCFC9" w:rsidR="00A21C5C" w:rsidRPr="0078589E" w:rsidRDefault="007B397C" w:rsidP="00A21C5C">
            <w:pPr>
              <w:rPr>
                <w:rFonts w:ascii="Arial" w:hAnsi="Arial" w:cs="Arial"/>
              </w:rPr>
            </w:pPr>
            <w:r>
              <w:rPr>
                <w:rFonts w:ascii="Arial" w:hAnsi="Arial" w:cs="Arial"/>
              </w:rPr>
              <w:t>N/A</w:t>
            </w:r>
          </w:p>
        </w:tc>
        <w:tc>
          <w:tcPr>
            <w:tcW w:w="2672" w:type="dxa"/>
            <w:shd w:val="clear" w:color="auto" w:fill="D9F2D0" w:themeFill="accent6" w:themeFillTint="33"/>
          </w:tcPr>
          <w:p w14:paraId="5F4ADAA8" w14:textId="6127ED51" w:rsidR="00A21C5C" w:rsidRPr="0078589E" w:rsidRDefault="007B397C" w:rsidP="00A21C5C">
            <w:pPr>
              <w:rPr>
                <w:rFonts w:ascii="Arial" w:hAnsi="Arial" w:cs="Arial"/>
                <w:b/>
                <w:bCs/>
              </w:rPr>
            </w:pPr>
            <w:r>
              <w:rPr>
                <w:rFonts w:ascii="Arial" w:hAnsi="Arial" w:cs="Arial"/>
              </w:rPr>
              <w:t>N/A</w:t>
            </w:r>
          </w:p>
        </w:tc>
        <w:tc>
          <w:tcPr>
            <w:tcW w:w="923" w:type="dxa"/>
            <w:shd w:val="clear" w:color="auto" w:fill="F2CEED" w:themeFill="accent5" w:themeFillTint="33"/>
          </w:tcPr>
          <w:p w14:paraId="55B34B9A" w14:textId="44809354" w:rsidR="00A21C5C" w:rsidRPr="0078589E" w:rsidRDefault="00A21C5C" w:rsidP="00A21C5C">
            <w:pPr>
              <w:rPr>
                <w:rFonts w:ascii="Arial" w:hAnsi="Arial" w:cs="Arial"/>
              </w:rPr>
            </w:pPr>
            <w:r>
              <w:rPr>
                <w:rFonts w:ascii="Arial" w:hAnsi="Arial" w:cs="Arial"/>
              </w:rPr>
              <w:t>SEL 4.0</w:t>
            </w:r>
          </w:p>
        </w:tc>
        <w:tc>
          <w:tcPr>
            <w:tcW w:w="7627" w:type="dxa"/>
            <w:shd w:val="clear" w:color="auto" w:fill="F2CEED" w:themeFill="accent5" w:themeFillTint="33"/>
          </w:tcPr>
          <w:p w14:paraId="70433187" w14:textId="7F927AD8" w:rsidR="00A21C5C" w:rsidRDefault="00A21C5C" w:rsidP="00684B9A">
            <w:pPr>
              <w:spacing w:after="120"/>
              <w:rPr>
                <w:rFonts w:ascii="Arial" w:hAnsi="Arial" w:cs="Arial"/>
              </w:rPr>
            </w:pPr>
            <w:r w:rsidRPr="007D443E">
              <w:rPr>
                <w:rFonts w:ascii="Arial" w:hAnsi="Arial" w:cs="Arial"/>
                <w:b/>
              </w:rPr>
              <w:t xml:space="preserve">Strategy </w:t>
            </w:r>
            <w:r>
              <w:rPr>
                <w:rFonts w:ascii="Arial" w:hAnsi="Arial" w:cs="Arial"/>
                <w:b/>
              </w:rPr>
              <w:t>4</w:t>
            </w:r>
            <w:r w:rsidRPr="007D443E">
              <w:rPr>
                <w:rFonts w:ascii="Arial" w:hAnsi="Arial" w:cs="Arial"/>
                <w:b/>
              </w:rPr>
              <w:t>.</w:t>
            </w:r>
            <w:r>
              <w:rPr>
                <w:rFonts w:ascii="Arial" w:hAnsi="Arial" w:cs="Arial"/>
                <w:b/>
              </w:rPr>
              <w:t>0</w:t>
            </w:r>
            <w:r w:rsidRPr="007D443E">
              <w:rPr>
                <w:rFonts w:ascii="Arial" w:hAnsi="Arial" w:cs="Arial"/>
                <w:b/>
              </w:rPr>
              <w:t xml:space="preserve">: </w:t>
            </w:r>
            <w:r w:rsidRPr="00A447BC">
              <w:rPr>
                <w:rFonts w:ascii="Arial" w:hAnsi="Arial" w:cs="Arial"/>
              </w:rPr>
              <w:t xml:space="preserve">Provide evidence-based, developmentally appropriate </w:t>
            </w:r>
            <w:r>
              <w:rPr>
                <w:rFonts w:ascii="Arial" w:hAnsi="Arial" w:cs="Arial"/>
              </w:rPr>
              <w:t>workshops</w:t>
            </w:r>
            <w:r w:rsidRPr="00A447BC">
              <w:rPr>
                <w:rFonts w:ascii="Arial" w:hAnsi="Arial" w:cs="Arial"/>
              </w:rPr>
              <w:t xml:space="preserve"> for parents, students, and OSY. </w:t>
            </w:r>
            <w:r>
              <w:rPr>
                <w:rFonts w:ascii="Arial" w:hAnsi="Arial" w:cs="Arial"/>
              </w:rPr>
              <w:t>Workshops</w:t>
            </w:r>
            <w:r w:rsidRPr="00A447BC">
              <w:rPr>
                <w:rFonts w:ascii="Arial" w:hAnsi="Arial" w:cs="Arial"/>
              </w:rPr>
              <w:t xml:space="preserve"> need to include resources for parents, OSY, and students.</w:t>
            </w:r>
          </w:p>
          <w:p w14:paraId="5A68345A" w14:textId="1CFB3B56" w:rsidR="00A21C5C" w:rsidRPr="0078589E" w:rsidRDefault="00A21C5C" w:rsidP="00684B9A">
            <w:pPr>
              <w:spacing w:after="120"/>
              <w:rPr>
                <w:rFonts w:ascii="Arial" w:hAnsi="Arial" w:cs="Arial"/>
              </w:rPr>
            </w:pPr>
            <w:r w:rsidRPr="00483F80">
              <w:rPr>
                <w:rFonts w:ascii="Arial" w:hAnsi="Arial" w:cs="Arial"/>
                <w:b/>
                <w:bCs/>
              </w:rPr>
              <w:t xml:space="preserve">MPO </w:t>
            </w:r>
            <w:r>
              <w:rPr>
                <w:rFonts w:ascii="Arial" w:hAnsi="Arial" w:cs="Arial"/>
                <w:b/>
              </w:rPr>
              <w:t>4</w:t>
            </w:r>
            <w:r w:rsidRPr="007D443E">
              <w:rPr>
                <w:rFonts w:ascii="Arial" w:hAnsi="Arial" w:cs="Arial"/>
                <w:b/>
              </w:rPr>
              <w:t>.</w:t>
            </w:r>
            <w:r>
              <w:rPr>
                <w:rFonts w:ascii="Arial" w:hAnsi="Arial" w:cs="Arial"/>
                <w:b/>
              </w:rPr>
              <w:t>0</w:t>
            </w:r>
            <w:r w:rsidRPr="007D443E">
              <w:rPr>
                <w:rFonts w:ascii="Arial" w:hAnsi="Arial" w:cs="Arial"/>
                <w:b/>
              </w:rPr>
              <w:t xml:space="preserve">: </w:t>
            </w:r>
            <w:r w:rsidRPr="00A447BC">
              <w:rPr>
                <w:rFonts w:ascii="Arial" w:hAnsi="Arial" w:cs="Arial"/>
              </w:rPr>
              <w:t>Each year, the MEP will provide at least one evidence-based, developmentally appropriate SEL workshop at the regional level and one within the top two populous districts.</w:t>
            </w:r>
            <w:r>
              <w:rPr>
                <w:rFonts w:ascii="Arial" w:hAnsi="Arial" w:cs="Arial"/>
              </w:rPr>
              <w:t xml:space="preserve"> Direct-funded districts will just provide one workshop.</w:t>
            </w:r>
          </w:p>
        </w:tc>
        <w:tc>
          <w:tcPr>
            <w:tcW w:w="5040" w:type="dxa"/>
          </w:tcPr>
          <w:p w14:paraId="1F4D2796" w14:textId="45EBD409" w:rsidR="00A21C5C" w:rsidRDefault="00A21C5C" w:rsidP="00680283">
            <w:pPr>
              <w:pStyle w:val="ListParagraph"/>
              <w:numPr>
                <w:ilvl w:val="0"/>
                <w:numId w:val="19"/>
              </w:numPr>
              <w:spacing w:after="120"/>
              <w:ind w:left="302"/>
              <w:contextualSpacing w:val="0"/>
              <w:rPr>
                <w:rFonts w:ascii="Arial" w:hAnsi="Arial" w:cs="Arial"/>
              </w:rPr>
            </w:pPr>
            <w:r>
              <w:rPr>
                <w:rFonts w:ascii="Arial" w:hAnsi="Arial" w:cs="Arial"/>
              </w:rPr>
              <w:t>S</w:t>
            </w:r>
            <w:r w:rsidR="00146534">
              <w:rPr>
                <w:rFonts w:ascii="Arial" w:hAnsi="Arial" w:cs="Arial"/>
              </w:rPr>
              <w:t xml:space="preserve">EL </w:t>
            </w:r>
            <w:r>
              <w:rPr>
                <w:rFonts w:ascii="Arial" w:hAnsi="Arial" w:cs="Arial"/>
              </w:rPr>
              <w:t xml:space="preserve">is a new focus area. This is a </w:t>
            </w:r>
            <w:proofErr w:type="gramStart"/>
            <w:r>
              <w:rPr>
                <w:rFonts w:ascii="Arial" w:hAnsi="Arial" w:cs="Arial"/>
              </w:rPr>
              <w:t>brand new</w:t>
            </w:r>
            <w:proofErr w:type="gramEnd"/>
            <w:r>
              <w:rPr>
                <w:rFonts w:ascii="Arial" w:hAnsi="Arial" w:cs="Arial"/>
              </w:rPr>
              <w:t xml:space="preserve"> strategy</w:t>
            </w:r>
            <w:r w:rsidR="00680283">
              <w:rPr>
                <w:rFonts w:ascii="Arial" w:hAnsi="Arial" w:cs="Arial"/>
              </w:rPr>
              <w:t>/MPO</w:t>
            </w:r>
            <w:r>
              <w:rPr>
                <w:rFonts w:ascii="Arial" w:hAnsi="Arial" w:cs="Arial"/>
              </w:rPr>
              <w:t>.</w:t>
            </w:r>
          </w:p>
          <w:p w14:paraId="6AAD3FA1" w14:textId="2A5B103C" w:rsidR="00A21C5C" w:rsidRPr="00A21C5C" w:rsidRDefault="00A21C5C" w:rsidP="00680283">
            <w:pPr>
              <w:pStyle w:val="ListParagraph"/>
              <w:numPr>
                <w:ilvl w:val="0"/>
                <w:numId w:val="19"/>
              </w:numPr>
              <w:ind w:left="302"/>
              <w:rPr>
                <w:rFonts w:ascii="Arial" w:hAnsi="Arial" w:cs="Arial"/>
              </w:rPr>
            </w:pPr>
            <w:r>
              <w:rPr>
                <w:rFonts w:ascii="Arial" w:hAnsi="Arial" w:cs="Arial"/>
              </w:rPr>
              <w:t>The CDE will provide training resources to support the implementation of this strategy</w:t>
            </w:r>
            <w:r w:rsidR="00680283">
              <w:rPr>
                <w:rFonts w:ascii="Arial" w:hAnsi="Arial" w:cs="Arial"/>
              </w:rPr>
              <w:t xml:space="preserve"> to address students’ needs</w:t>
            </w:r>
            <w:r>
              <w:rPr>
                <w:rFonts w:ascii="Arial" w:hAnsi="Arial" w:cs="Arial"/>
              </w:rPr>
              <w:t>.</w:t>
            </w:r>
          </w:p>
        </w:tc>
      </w:tr>
      <w:tr w:rsidR="00A21C5C" w:rsidRPr="0078589E" w14:paraId="34E0306B" w14:textId="77777777" w:rsidTr="007B397C">
        <w:trPr>
          <w:cantSplit/>
        </w:trPr>
        <w:tc>
          <w:tcPr>
            <w:tcW w:w="923" w:type="dxa"/>
            <w:shd w:val="clear" w:color="auto" w:fill="D9F2D0" w:themeFill="accent6" w:themeFillTint="33"/>
          </w:tcPr>
          <w:p w14:paraId="1FF9C802" w14:textId="7928FA0F" w:rsidR="00A21C5C" w:rsidRPr="0078589E" w:rsidRDefault="007B397C" w:rsidP="00A21C5C">
            <w:pPr>
              <w:rPr>
                <w:rFonts w:ascii="Arial" w:hAnsi="Arial" w:cs="Arial"/>
              </w:rPr>
            </w:pPr>
            <w:r>
              <w:rPr>
                <w:rFonts w:ascii="Arial" w:hAnsi="Arial" w:cs="Arial"/>
              </w:rPr>
              <w:t>N/A</w:t>
            </w:r>
          </w:p>
        </w:tc>
        <w:tc>
          <w:tcPr>
            <w:tcW w:w="2672" w:type="dxa"/>
            <w:shd w:val="clear" w:color="auto" w:fill="D9F2D0" w:themeFill="accent6" w:themeFillTint="33"/>
          </w:tcPr>
          <w:p w14:paraId="4C7AB610" w14:textId="340E13E7" w:rsidR="00A21C5C" w:rsidRPr="0078589E" w:rsidRDefault="007B397C" w:rsidP="00A21C5C">
            <w:pPr>
              <w:rPr>
                <w:rFonts w:ascii="Arial" w:hAnsi="Arial" w:cs="Arial"/>
              </w:rPr>
            </w:pPr>
            <w:r>
              <w:rPr>
                <w:rFonts w:ascii="Arial" w:hAnsi="Arial" w:cs="Arial"/>
              </w:rPr>
              <w:t>N/A</w:t>
            </w:r>
          </w:p>
        </w:tc>
        <w:tc>
          <w:tcPr>
            <w:tcW w:w="923" w:type="dxa"/>
            <w:shd w:val="clear" w:color="auto" w:fill="F2CEED" w:themeFill="accent5" w:themeFillTint="33"/>
          </w:tcPr>
          <w:p w14:paraId="1AA76CA4" w14:textId="0A1ADBD7" w:rsidR="00A21C5C" w:rsidRPr="0078589E" w:rsidRDefault="007B397C" w:rsidP="00A21C5C">
            <w:pPr>
              <w:rPr>
                <w:rFonts w:ascii="Arial" w:hAnsi="Arial" w:cs="Arial"/>
              </w:rPr>
            </w:pPr>
            <w:r>
              <w:rPr>
                <w:rFonts w:ascii="Arial" w:hAnsi="Arial" w:cs="Arial"/>
              </w:rPr>
              <w:t>N/A</w:t>
            </w:r>
          </w:p>
        </w:tc>
        <w:tc>
          <w:tcPr>
            <w:tcW w:w="7627" w:type="dxa"/>
            <w:shd w:val="clear" w:color="auto" w:fill="F2CEED" w:themeFill="accent5" w:themeFillTint="33"/>
          </w:tcPr>
          <w:p w14:paraId="4C61D374" w14:textId="118B44A7" w:rsidR="00A21C5C" w:rsidRDefault="00A21C5C" w:rsidP="00684B9A">
            <w:pPr>
              <w:spacing w:after="120"/>
              <w:rPr>
                <w:rFonts w:ascii="Arial" w:hAnsi="Arial" w:cs="Arial"/>
              </w:rPr>
            </w:pPr>
            <w:r>
              <w:rPr>
                <w:rFonts w:ascii="Arial" w:hAnsi="Arial" w:cs="Arial"/>
                <w:b/>
                <w:bCs/>
              </w:rPr>
              <w:t xml:space="preserve">Strategy 4.1: </w:t>
            </w:r>
            <w:r w:rsidRPr="00B729BF">
              <w:rPr>
                <w:rFonts w:ascii="Arial" w:hAnsi="Arial" w:cs="Arial"/>
              </w:rPr>
              <w:t>Integrate SEL lessons (focus on</w:t>
            </w:r>
            <w:r w:rsidR="009566EF">
              <w:rPr>
                <w:rFonts w:ascii="Arial" w:hAnsi="Arial" w:cs="Arial"/>
              </w:rPr>
              <w:t xml:space="preserve"> the</w:t>
            </w:r>
            <w:r w:rsidR="00017F9D">
              <w:rPr>
                <w:rFonts w:ascii="Arial" w:hAnsi="Arial" w:cs="Arial"/>
              </w:rPr>
              <w:t xml:space="preserve"> </w:t>
            </w:r>
            <w:r w:rsidR="00017F9D" w:rsidRPr="00017F9D">
              <w:rPr>
                <w:rFonts w:ascii="Arial" w:hAnsi="Arial" w:cs="Arial"/>
              </w:rPr>
              <w:t>Collaborative for Academic, Social, and Emotional Learning</w:t>
            </w:r>
            <w:r w:rsidRPr="00B729BF">
              <w:rPr>
                <w:rFonts w:ascii="Arial" w:hAnsi="Arial" w:cs="Arial"/>
              </w:rPr>
              <w:t xml:space="preserve"> </w:t>
            </w:r>
            <w:r w:rsidR="00017F9D">
              <w:rPr>
                <w:rFonts w:ascii="Arial" w:hAnsi="Arial" w:cs="Arial"/>
              </w:rPr>
              <w:t>[</w:t>
            </w:r>
            <w:r w:rsidRPr="00B729BF">
              <w:rPr>
                <w:rFonts w:ascii="Arial" w:hAnsi="Arial" w:cs="Arial"/>
              </w:rPr>
              <w:t>CASEL’s</w:t>
            </w:r>
            <w:r w:rsidR="00017F9D">
              <w:rPr>
                <w:rFonts w:ascii="Arial" w:hAnsi="Arial" w:cs="Arial"/>
              </w:rPr>
              <w:t>]</w:t>
            </w:r>
            <w:r w:rsidRPr="00B729BF">
              <w:rPr>
                <w:rFonts w:ascii="Arial" w:hAnsi="Arial" w:cs="Arial"/>
              </w:rPr>
              <w:t xml:space="preserve"> framework) into supplemental instructional services.</w:t>
            </w:r>
          </w:p>
          <w:p w14:paraId="23FF877A" w14:textId="7983A2A9" w:rsidR="00A21C5C" w:rsidRPr="0078589E" w:rsidRDefault="00A21C5C" w:rsidP="00684B9A">
            <w:pPr>
              <w:spacing w:after="120"/>
              <w:rPr>
                <w:rFonts w:ascii="Arial" w:hAnsi="Arial" w:cs="Arial"/>
              </w:rPr>
            </w:pPr>
            <w:r w:rsidRPr="00483F80">
              <w:rPr>
                <w:rFonts w:ascii="Arial" w:hAnsi="Arial" w:cs="Arial"/>
                <w:b/>
                <w:bCs/>
              </w:rPr>
              <w:t>MPO</w:t>
            </w:r>
            <w:r>
              <w:rPr>
                <w:rFonts w:ascii="Arial" w:hAnsi="Arial" w:cs="Arial"/>
              </w:rPr>
              <w:t xml:space="preserve"> </w:t>
            </w:r>
            <w:r>
              <w:rPr>
                <w:rFonts w:ascii="Arial" w:hAnsi="Arial" w:cs="Arial"/>
                <w:b/>
                <w:bCs/>
              </w:rPr>
              <w:t xml:space="preserve">4.1: </w:t>
            </w:r>
            <w:r w:rsidRPr="00B729BF">
              <w:rPr>
                <w:rFonts w:ascii="Arial" w:hAnsi="Arial" w:cs="Arial"/>
              </w:rPr>
              <w:t xml:space="preserve">Each year, the MEP will incorporate SEL into </w:t>
            </w:r>
            <w:r w:rsidR="003A2921">
              <w:rPr>
                <w:rFonts w:ascii="Arial" w:hAnsi="Arial" w:cs="Arial"/>
              </w:rPr>
              <w:t xml:space="preserve">25 percent of </w:t>
            </w:r>
            <w:r w:rsidRPr="00B729BF">
              <w:rPr>
                <w:rFonts w:ascii="Arial" w:hAnsi="Arial" w:cs="Arial"/>
              </w:rPr>
              <w:t xml:space="preserve">instructional services excluding credit accrual services, and any services using state codes (e.g., </w:t>
            </w:r>
            <w:r>
              <w:rPr>
                <w:rFonts w:ascii="Arial" w:hAnsi="Arial" w:cs="Arial"/>
              </w:rPr>
              <w:t>California Mini-Corps</w:t>
            </w:r>
            <w:r w:rsidRPr="00B729BF">
              <w:rPr>
                <w:rFonts w:ascii="Arial" w:hAnsi="Arial" w:cs="Arial"/>
              </w:rPr>
              <w:t>)</w:t>
            </w:r>
            <w:r>
              <w:rPr>
                <w:rFonts w:ascii="Arial" w:hAnsi="Arial" w:cs="Arial"/>
              </w:rPr>
              <w:t>.</w:t>
            </w:r>
          </w:p>
        </w:tc>
        <w:tc>
          <w:tcPr>
            <w:tcW w:w="5040" w:type="dxa"/>
          </w:tcPr>
          <w:p w14:paraId="3E9044A5" w14:textId="378A6994" w:rsidR="00A21C5C" w:rsidRDefault="00146534" w:rsidP="00680283">
            <w:pPr>
              <w:pStyle w:val="ListParagraph"/>
              <w:numPr>
                <w:ilvl w:val="0"/>
                <w:numId w:val="19"/>
              </w:numPr>
              <w:spacing w:after="120"/>
              <w:ind w:left="302"/>
              <w:contextualSpacing w:val="0"/>
              <w:rPr>
                <w:rFonts w:ascii="Arial" w:hAnsi="Arial" w:cs="Arial"/>
              </w:rPr>
            </w:pPr>
            <w:r>
              <w:rPr>
                <w:rFonts w:ascii="Arial" w:hAnsi="Arial" w:cs="Arial"/>
              </w:rPr>
              <w:t>SEL</w:t>
            </w:r>
            <w:r w:rsidR="00A21C5C">
              <w:rPr>
                <w:rFonts w:ascii="Arial" w:hAnsi="Arial" w:cs="Arial"/>
              </w:rPr>
              <w:t xml:space="preserve"> learning is a new focus area. This is a </w:t>
            </w:r>
            <w:proofErr w:type="gramStart"/>
            <w:r w:rsidR="00A21C5C">
              <w:rPr>
                <w:rFonts w:ascii="Arial" w:hAnsi="Arial" w:cs="Arial"/>
              </w:rPr>
              <w:t>brand new</w:t>
            </w:r>
            <w:proofErr w:type="gramEnd"/>
            <w:r w:rsidR="00A21C5C">
              <w:rPr>
                <w:rFonts w:ascii="Arial" w:hAnsi="Arial" w:cs="Arial"/>
              </w:rPr>
              <w:t xml:space="preserve"> strategy</w:t>
            </w:r>
            <w:r w:rsidR="00680283">
              <w:rPr>
                <w:rFonts w:ascii="Arial" w:hAnsi="Arial" w:cs="Arial"/>
              </w:rPr>
              <w:t>/MPO</w:t>
            </w:r>
            <w:r w:rsidR="00A21C5C">
              <w:rPr>
                <w:rFonts w:ascii="Arial" w:hAnsi="Arial" w:cs="Arial"/>
              </w:rPr>
              <w:t>.</w:t>
            </w:r>
          </w:p>
          <w:p w14:paraId="1CFD1A21" w14:textId="3D264A3C" w:rsidR="00A21C5C" w:rsidRPr="00A21C5C" w:rsidRDefault="00A21C5C" w:rsidP="00680283">
            <w:pPr>
              <w:pStyle w:val="ListParagraph"/>
              <w:numPr>
                <w:ilvl w:val="0"/>
                <w:numId w:val="19"/>
              </w:numPr>
              <w:ind w:left="302"/>
              <w:rPr>
                <w:rFonts w:ascii="Arial" w:hAnsi="Arial" w:cs="Arial"/>
              </w:rPr>
            </w:pPr>
            <w:r>
              <w:rPr>
                <w:rFonts w:ascii="Arial" w:hAnsi="Arial" w:cs="Arial"/>
              </w:rPr>
              <w:t>The CDE will provide training resources to support the implementation of this strategy</w:t>
            </w:r>
            <w:r w:rsidR="00680283">
              <w:rPr>
                <w:rFonts w:ascii="Arial" w:hAnsi="Arial" w:cs="Arial"/>
              </w:rPr>
              <w:t xml:space="preserve"> to address students’ needs</w:t>
            </w:r>
            <w:r>
              <w:rPr>
                <w:rFonts w:ascii="Arial" w:hAnsi="Arial" w:cs="Arial"/>
              </w:rPr>
              <w:t>.</w:t>
            </w:r>
          </w:p>
        </w:tc>
      </w:tr>
      <w:tr w:rsidR="00A21C5C" w:rsidRPr="0078589E" w14:paraId="0796F64E" w14:textId="77777777" w:rsidTr="007B397C">
        <w:trPr>
          <w:cantSplit/>
        </w:trPr>
        <w:tc>
          <w:tcPr>
            <w:tcW w:w="923" w:type="dxa"/>
            <w:shd w:val="clear" w:color="auto" w:fill="D9F2D0" w:themeFill="accent6" w:themeFillTint="33"/>
          </w:tcPr>
          <w:p w14:paraId="17AE36D7" w14:textId="1B1E418A" w:rsidR="00A21C5C" w:rsidRPr="0078589E" w:rsidRDefault="007B397C" w:rsidP="00A21C5C">
            <w:pPr>
              <w:rPr>
                <w:rFonts w:ascii="Arial" w:hAnsi="Arial" w:cs="Arial"/>
              </w:rPr>
            </w:pPr>
            <w:r>
              <w:rPr>
                <w:rFonts w:ascii="Arial" w:hAnsi="Arial" w:cs="Arial"/>
              </w:rPr>
              <w:t>N/A</w:t>
            </w:r>
          </w:p>
        </w:tc>
        <w:tc>
          <w:tcPr>
            <w:tcW w:w="2672" w:type="dxa"/>
            <w:shd w:val="clear" w:color="auto" w:fill="D9F2D0" w:themeFill="accent6" w:themeFillTint="33"/>
          </w:tcPr>
          <w:p w14:paraId="117A91E7" w14:textId="72C4FC95" w:rsidR="00A21C5C" w:rsidRPr="0078589E" w:rsidRDefault="007B397C" w:rsidP="00A21C5C">
            <w:pPr>
              <w:rPr>
                <w:rFonts w:ascii="Arial" w:hAnsi="Arial" w:cs="Arial"/>
              </w:rPr>
            </w:pPr>
            <w:r>
              <w:rPr>
                <w:rFonts w:ascii="Arial" w:hAnsi="Arial" w:cs="Arial"/>
              </w:rPr>
              <w:t>N/A</w:t>
            </w:r>
          </w:p>
        </w:tc>
        <w:tc>
          <w:tcPr>
            <w:tcW w:w="923" w:type="dxa"/>
            <w:shd w:val="clear" w:color="auto" w:fill="F2CEED" w:themeFill="accent5" w:themeFillTint="33"/>
          </w:tcPr>
          <w:p w14:paraId="263BFC73" w14:textId="43707663" w:rsidR="00A21C5C" w:rsidRPr="0078589E" w:rsidRDefault="007B397C" w:rsidP="00A21C5C">
            <w:pPr>
              <w:rPr>
                <w:rFonts w:ascii="Arial" w:hAnsi="Arial" w:cs="Arial"/>
              </w:rPr>
            </w:pPr>
            <w:r>
              <w:rPr>
                <w:rFonts w:ascii="Arial" w:hAnsi="Arial" w:cs="Arial"/>
              </w:rPr>
              <w:t>N/A</w:t>
            </w:r>
          </w:p>
        </w:tc>
        <w:tc>
          <w:tcPr>
            <w:tcW w:w="7627" w:type="dxa"/>
            <w:shd w:val="clear" w:color="auto" w:fill="F2CEED" w:themeFill="accent5" w:themeFillTint="33"/>
          </w:tcPr>
          <w:p w14:paraId="581A37C8" w14:textId="77777777" w:rsidR="00A21C5C" w:rsidRPr="00B729BF" w:rsidRDefault="00A21C5C" w:rsidP="00684B9A">
            <w:pPr>
              <w:spacing w:after="120"/>
              <w:rPr>
                <w:rFonts w:ascii="Arial" w:hAnsi="Arial" w:cs="Arial"/>
              </w:rPr>
            </w:pPr>
            <w:r>
              <w:rPr>
                <w:rFonts w:ascii="Arial" w:hAnsi="Arial" w:cs="Arial"/>
                <w:b/>
                <w:bCs/>
              </w:rPr>
              <w:t xml:space="preserve">Strategy 4.2: </w:t>
            </w:r>
            <w:r w:rsidRPr="00B729BF">
              <w:rPr>
                <w:rFonts w:ascii="Arial" w:hAnsi="Arial" w:cs="Arial"/>
              </w:rPr>
              <w:t>Provide professional learning opportunities using evidence-based SEL curriculum and strategies learning how to integrate it into supplemental instructional services. Professional learning must include:</w:t>
            </w:r>
          </w:p>
          <w:p w14:paraId="00DACE19" w14:textId="77777777" w:rsidR="00A21C5C" w:rsidRPr="00B729BF" w:rsidRDefault="00A21C5C" w:rsidP="00684B9A">
            <w:pPr>
              <w:pStyle w:val="ListParagraph"/>
              <w:numPr>
                <w:ilvl w:val="0"/>
                <w:numId w:val="6"/>
              </w:numPr>
              <w:spacing w:after="120"/>
              <w:ind w:left="330"/>
              <w:contextualSpacing w:val="0"/>
              <w:rPr>
                <w:rFonts w:ascii="Arial" w:hAnsi="Arial" w:cs="Arial"/>
              </w:rPr>
            </w:pPr>
            <w:r w:rsidRPr="00B729BF">
              <w:rPr>
                <w:rFonts w:ascii="Arial" w:hAnsi="Arial" w:cs="Arial"/>
              </w:rPr>
              <w:t>Overview and benefits of incorporating SEL into lessons</w:t>
            </w:r>
          </w:p>
          <w:p w14:paraId="652151C6" w14:textId="77777777" w:rsidR="00A21C5C" w:rsidRPr="00B729BF" w:rsidRDefault="00A21C5C" w:rsidP="00684B9A">
            <w:pPr>
              <w:pStyle w:val="ListParagraph"/>
              <w:numPr>
                <w:ilvl w:val="0"/>
                <w:numId w:val="6"/>
              </w:numPr>
              <w:spacing w:after="120"/>
              <w:ind w:left="330"/>
              <w:contextualSpacing w:val="0"/>
              <w:rPr>
                <w:rFonts w:ascii="Arial" w:hAnsi="Arial" w:cs="Arial"/>
              </w:rPr>
            </w:pPr>
            <w:r w:rsidRPr="00B729BF">
              <w:rPr>
                <w:rFonts w:ascii="Arial" w:hAnsi="Arial" w:cs="Arial"/>
              </w:rPr>
              <w:t>SEL focus for the year (changes annually to build capacity)</w:t>
            </w:r>
          </w:p>
          <w:p w14:paraId="5E726C51" w14:textId="77777777" w:rsidR="00680283" w:rsidRDefault="00A21C5C" w:rsidP="00684B9A">
            <w:pPr>
              <w:pStyle w:val="ListParagraph"/>
              <w:numPr>
                <w:ilvl w:val="0"/>
                <w:numId w:val="6"/>
              </w:numPr>
              <w:spacing w:after="120"/>
              <w:ind w:left="330"/>
              <w:contextualSpacing w:val="0"/>
              <w:rPr>
                <w:rFonts w:ascii="Arial" w:hAnsi="Arial" w:cs="Arial"/>
              </w:rPr>
            </w:pPr>
            <w:r w:rsidRPr="00B729BF">
              <w:rPr>
                <w:rFonts w:ascii="Arial" w:hAnsi="Arial" w:cs="Arial"/>
              </w:rPr>
              <w:t>Building routines using SEL</w:t>
            </w:r>
          </w:p>
          <w:p w14:paraId="299E29AC" w14:textId="7E8FFE8F" w:rsidR="00A21C5C" w:rsidRPr="00684B9A" w:rsidRDefault="00A21C5C" w:rsidP="00684B9A">
            <w:pPr>
              <w:pStyle w:val="ListParagraph"/>
              <w:numPr>
                <w:ilvl w:val="0"/>
                <w:numId w:val="6"/>
              </w:numPr>
              <w:spacing w:after="120"/>
              <w:ind w:left="330"/>
              <w:contextualSpacing w:val="0"/>
              <w:rPr>
                <w:rFonts w:ascii="Arial" w:hAnsi="Arial" w:cs="Arial"/>
              </w:rPr>
            </w:pPr>
            <w:r w:rsidRPr="00680283">
              <w:rPr>
                <w:rFonts w:ascii="Arial" w:hAnsi="Arial" w:cs="Arial"/>
              </w:rPr>
              <w:t>Resources for staff, parents, OSY, and students</w:t>
            </w:r>
          </w:p>
          <w:p w14:paraId="66507DB9" w14:textId="38332C86" w:rsidR="00A21C5C" w:rsidRPr="0078589E" w:rsidRDefault="00A21C5C" w:rsidP="00684B9A">
            <w:pPr>
              <w:spacing w:after="120"/>
              <w:rPr>
                <w:rFonts w:ascii="Arial" w:hAnsi="Arial" w:cs="Arial"/>
              </w:rPr>
            </w:pPr>
            <w:r>
              <w:rPr>
                <w:rFonts w:ascii="Arial" w:hAnsi="Arial" w:cs="Arial"/>
                <w:b/>
                <w:bCs/>
              </w:rPr>
              <w:t xml:space="preserve">MPO </w:t>
            </w:r>
            <w:r w:rsidRPr="00483F80">
              <w:rPr>
                <w:rFonts w:ascii="Arial" w:hAnsi="Arial" w:cs="Arial"/>
                <w:b/>
                <w:bCs/>
              </w:rPr>
              <w:t xml:space="preserve">4.2: </w:t>
            </w:r>
            <w:r w:rsidRPr="00483F80">
              <w:rPr>
                <w:rFonts w:ascii="Arial" w:hAnsi="Arial" w:cs="Arial"/>
              </w:rPr>
              <w:t>Each year, the MEP provides at least one professional learning opportunity to staff to build the knowledge and skills to implement SEL into their lessons.</w:t>
            </w:r>
          </w:p>
        </w:tc>
        <w:tc>
          <w:tcPr>
            <w:tcW w:w="5040" w:type="dxa"/>
          </w:tcPr>
          <w:p w14:paraId="5887B7D2" w14:textId="4B8C4552" w:rsidR="00A21C5C" w:rsidRDefault="00146534" w:rsidP="00680283">
            <w:pPr>
              <w:pStyle w:val="ListParagraph"/>
              <w:numPr>
                <w:ilvl w:val="0"/>
                <w:numId w:val="19"/>
              </w:numPr>
              <w:spacing w:after="120"/>
              <w:ind w:left="302"/>
              <w:contextualSpacing w:val="0"/>
              <w:rPr>
                <w:rFonts w:ascii="Arial" w:hAnsi="Arial" w:cs="Arial"/>
              </w:rPr>
            </w:pPr>
            <w:r>
              <w:rPr>
                <w:rFonts w:ascii="Arial" w:hAnsi="Arial" w:cs="Arial"/>
              </w:rPr>
              <w:t>SEL</w:t>
            </w:r>
            <w:r w:rsidR="00A21C5C">
              <w:rPr>
                <w:rFonts w:ascii="Arial" w:hAnsi="Arial" w:cs="Arial"/>
              </w:rPr>
              <w:t xml:space="preserve"> learning is a new focus area. This is a </w:t>
            </w:r>
            <w:proofErr w:type="gramStart"/>
            <w:r w:rsidR="00A21C5C">
              <w:rPr>
                <w:rFonts w:ascii="Arial" w:hAnsi="Arial" w:cs="Arial"/>
              </w:rPr>
              <w:t>brand new</w:t>
            </w:r>
            <w:proofErr w:type="gramEnd"/>
            <w:r w:rsidR="00A21C5C">
              <w:rPr>
                <w:rFonts w:ascii="Arial" w:hAnsi="Arial" w:cs="Arial"/>
              </w:rPr>
              <w:t xml:space="preserve"> strategy</w:t>
            </w:r>
            <w:r w:rsidR="00680283">
              <w:rPr>
                <w:rFonts w:ascii="Arial" w:hAnsi="Arial" w:cs="Arial"/>
              </w:rPr>
              <w:t>/MPO</w:t>
            </w:r>
            <w:r w:rsidR="00A21C5C">
              <w:rPr>
                <w:rFonts w:ascii="Arial" w:hAnsi="Arial" w:cs="Arial"/>
              </w:rPr>
              <w:t>.</w:t>
            </w:r>
          </w:p>
          <w:p w14:paraId="38F41A05" w14:textId="5F345A4B" w:rsidR="00A21C5C" w:rsidRPr="00A21C5C" w:rsidRDefault="00A21C5C" w:rsidP="00680283">
            <w:pPr>
              <w:pStyle w:val="ListParagraph"/>
              <w:numPr>
                <w:ilvl w:val="0"/>
                <w:numId w:val="19"/>
              </w:numPr>
              <w:spacing w:after="120"/>
              <w:ind w:left="302"/>
              <w:contextualSpacing w:val="0"/>
              <w:rPr>
                <w:rFonts w:ascii="Arial" w:hAnsi="Arial" w:cs="Arial"/>
              </w:rPr>
            </w:pPr>
            <w:r>
              <w:rPr>
                <w:rFonts w:ascii="Arial" w:hAnsi="Arial" w:cs="Arial"/>
              </w:rPr>
              <w:t>The CDE will provide training resources to support the implementation of this strategy</w:t>
            </w:r>
            <w:r w:rsidR="00680283">
              <w:rPr>
                <w:rFonts w:ascii="Arial" w:hAnsi="Arial" w:cs="Arial"/>
              </w:rPr>
              <w:t xml:space="preserve"> to address students’ needs</w:t>
            </w:r>
            <w:r>
              <w:rPr>
                <w:rFonts w:ascii="Arial" w:hAnsi="Arial" w:cs="Arial"/>
              </w:rPr>
              <w:t>.</w:t>
            </w:r>
          </w:p>
        </w:tc>
      </w:tr>
    </w:tbl>
    <w:p w14:paraId="0E33C84D" w14:textId="77777777" w:rsidR="00C862B4" w:rsidRDefault="00C862B4" w:rsidP="00C862B4">
      <w:pPr>
        <w:pStyle w:val="Heading2"/>
      </w:pPr>
      <w:r>
        <w:br w:type="page"/>
      </w:r>
    </w:p>
    <w:p w14:paraId="7710D908" w14:textId="754C610B" w:rsidR="00FA3D07" w:rsidRPr="0078589E" w:rsidRDefault="00FA3D07" w:rsidP="00C862B4">
      <w:pPr>
        <w:pStyle w:val="Heading2"/>
      </w:pPr>
      <w:r w:rsidRPr="0078589E">
        <w:lastRenderedPageBreak/>
        <w:t>High School Outcomes</w:t>
      </w:r>
    </w:p>
    <w:tbl>
      <w:tblPr>
        <w:tblStyle w:val="TableGrid"/>
        <w:tblW w:w="17185" w:type="dxa"/>
        <w:tblLook w:val="04A0" w:firstRow="1" w:lastRow="0" w:firstColumn="1" w:lastColumn="0" w:noHBand="0" w:noVBand="1"/>
        <w:tblDescription w:val="High School Outcomes comparison of the 2017 SSDP Strategies and MPOs and the 2026 SDP Strategies and MPOs."/>
      </w:tblPr>
      <w:tblGrid>
        <w:gridCol w:w="1075"/>
        <w:gridCol w:w="4852"/>
        <w:gridCol w:w="923"/>
        <w:gridCol w:w="5967"/>
        <w:gridCol w:w="4368"/>
      </w:tblGrid>
      <w:tr w:rsidR="00F319A8" w:rsidRPr="00095DF3" w14:paraId="2E62F637" w14:textId="77777777" w:rsidTr="007B397C">
        <w:trPr>
          <w:cantSplit/>
          <w:tblHeader/>
        </w:trPr>
        <w:tc>
          <w:tcPr>
            <w:tcW w:w="1075" w:type="dxa"/>
            <w:shd w:val="clear" w:color="auto" w:fill="D9F2D0" w:themeFill="accent6" w:themeFillTint="33"/>
          </w:tcPr>
          <w:p w14:paraId="4C502237" w14:textId="77777777" w:rsidR="00F319A8" w:rsidRPr="00095DF3" w:rsidRDefault="00F319A8" w:rsidP="004540CC">
            <w:pPr>
              <w:rPr>
                <w:rFonts w:ascii="Arial" w:hAnsi="Arial" w:cs="Arial"/>
                <w:b/>
                <w:bCs/>
              </w:rPr>
            </w:pPr>
            <w:bookmarkStart w:id="2" w:name="_Hlk202255929"/>
            <w:r w:rsidRPr="00095DF3">
              <w:rPr>
                <w:rFonts w:ascii="Arial" w:hAnsi="Arial" w:cs="Arial"/>
                <w:b/>
                <w:bCs/>
              </w:rPr>
              <w:t xml:space="preserve">Focus Area </w:t>
            </w:r>
          </w:p>
        </w:tc>
        <w:tc>
          <w:tcPr>
            <w:tcW w:w="4852" w:type="dxa"/>
            <w:shd w:val="clear" w:color="auto" w:fill="D9F2D0" w:themeFill="accent6" w:themeFillTint="33"/>
          </w:tcPr>
          <w:p w14:paraId="393D7411" w14:textId="02E55319" w:rsidR="00F319A8" w:rsidRPr="00095DF3" w:rsidRDefault="007F0434" w:rsidP="004540CC">
            <w:pPr>
              <w:rPr>
                <w:rFonts w:ascii="Arial" w:hAnsi="Arial" w:cs="Arial"/>
                <w:b/>
                <w:bCs/>
              </w:rPr>
            </w:pPr>
            <w:r>
              <w:rPr>
                <w:rFonts w:ascii="Arial" w:hAnsi="Arial" w:cs="Arial"/>
                <w:b/>
                <w:bCs/>
              </w:rPr>
              <w:t xml:space="preserve">2017 </w:t>
            </w:r>
            <w:r w:rsidR="00F319A8" w:rsidRPr="00095DF3">
              <w:rPr>
                <w:rFonts w:ascii="Arial" w:hAnsi="Arial" w:cs="Arial"/>
                <w:b/>
                <w:bCs/>
              </w:rPr>
              <w:t>SSDP Strategies and MPOs</w:t>
            </w:r>
          </w:p>
        </w:tc>
        <w:tc>
          <w:tcPr>
            <w:tcW w:w="923" w:type="dxa"/>
            <w:shd w:val="clear" w:color="auto" w:fill="F2CEED" w:themeFill="accent5" w:themeFillTint="33"/>
          </w:tcPr>
          <w:p w14:paraId="059A9316" w14:textId="77777777" w:rsidR="00F319A8" w:rsidRPr="00095DF3" w:rsidRDefault="00F319A8" w:rsidP="004540CC">
            <w:pPr>
              <w:rPr>
                <w:rFonts w:ascii="Arial" w:hAnsi="Arial" w:cs="Arial"/>
                <w:b/>
                <w:bCs/>
              </w:rPr>
            </w:pPr>
            <w:r w:rsidRPr="00095DF3">
              <w:rPr>
                <w:rFonts w:ascii="Arial" w:hAnsi="Arial" w:cs="Arial"/>
                <w:b/>
                <w:bCs/>
              </w:rPr>
              <w:t xml:space="preserve">Focus Area </w:t>
            </w:r>
          </w:p>
        </w:tc>
        <w:tc>
          <w:tcPr>
            <w:tcW w:w="5967" w:type="dxa"/>
            <w:shd w:val="clear" w:color="auto" w:fill="F2CEED" w:themeFill="accent5" w:themeFillTint="33"/>
          </w:tcPr>
          <w:p w14:paraId="16095D7B" w14:textId="45FFE074" w:rsidR="00F319A8" w:rsidRPr="00095DF3" w:rsidRDefault="007F0434" w:rsidP="004540CC">
            <w:pPr>
              <w:rPr>
                <w:rFonts w:ascii="Arial" w:hAnsi="Arial" w:cs="Arial"/>
                <w:b/>
                <w:bCs/>
              </w:rPr>
            </w:pPr>
            <w:r>
              <w:rPr>
                <w:rFonts w:ascii="Arial" w:hAnsi="Arial" w:cs="Arial"/>
                <w:b/>
                <w:bCs/>
              </w:rPr>
              <w:t xml:space="preserve">2026 </w:t>
            </w:r>
            <w:r w:rsidR="00F319A8" w:rsidRPr="00095DF3">
              <w:rPr>
                <w:rFonts w:ascii="Arial" w:hAnsi="Arial" w:cs="Arial"/>
                <w:b/>
                <w:bCs/>
              </w:rPr>
              <w:t>SDP Strategies and MPOs</w:t>
            </w:r>
          </w:p>
        </w:tc>
        <w:tc>
          <w:tcPr>
            <w:tcW w:w="4368" w:type="dxa"/>
          </w:tcPr>
          <w:p w14:paraId="0053EACA" w14:textId="77777777" w:rsidR="00F319A8" w:rsidRPr="00095DF3" w:rsidRDefault="00F319A8" w:rsidP="004540CC">
            <w:pPr>
              <w:rPr>
                <w:rFonts w:ascii="Arial" w:hAnsi="Arial" w:cs="Arial"/>
                <w:b/>
                <w:bCs/>
              </w:rPr>
            </w:pPr>
            <w:r w:rsidRPr="00095DF3">
              <w:rPr>
                <w:rFonts w:ascii="Arial" w:hAnsi="Arial" w:cs="Arial"/>
                <w:b/>
                <w:bCs/>
              </w:rPr>
              <w:t xml:space="preserve">Comparison </w:t>
            </w:r>
          </w:p>
        </w:tc>
      </w:tr>
      <w:bookmarkEnd w:id="2"/>
      <w:tr w:rsidR="00895AD1" w:rsidRPr="0078589E" w14:paraId="6D374500" w14:textId="77777777" w:rsidTr="007B397C">
        <w:trPr>
          <w:cantSplit/>
        </w:trPr>
        <w:tc>
          <w:tcPr>
            <w:tcW w:w="1075" w:type="dxa"/>
            <w:shd w:val="clear" w:color="auto" w:fill="D9F2D0" w:themeFill="accent6" w:themeFillTint="33"/>
          </w:tcPr>
          <w:p w14:paraId="5BF46EF3" w14:textId="77777777" w:rsidR="00EC3486" w:rsidRDefault="00EC3486" w:rsidP="00895AD1">
            <w:pPr>
              <w:rPr>
                <w:rFonts w:ascii="Arial" w:hAnsi="Arial" w:cs="Arial"/>
              </w:rPr>
            </w:pPr>
            <w:r>
              <w:rPr>
                <w:rFonts w:ascii="Arial" w:hAnsi="Arial" w:cs="Arial"/>
              </w:rPr>
              <w:t>HS</w:t>
            </w:r>
          </w:p>
          <w:p w14:paraId="258C639E" w14:textId="3062DE3C" w:rsidR="00895AD1" w:rsidRPr="0078589E" w:rsidRDefault="00483F80" w:rsidP="00895AD1">
            <w:pPr>
              <w:rPr>
                <w:rFonts w:ascii="Arial" w:hAnsi="Arial" w:cs="Arial"/>
              </w:rPr>
            </w:pPr>
            <w:r>
              <w:rPr>
                <w:rFonts w:ascii="Arial" w:hAnsi="Arial" w:cs="Arial"/>
              </w:rPr>
              <w:t>5.0/6.0</w:t>
            </w:r>
          </w:p>
        </w:tc>
        <w:tc>
          <w:tcPr>
            <w:tcW w:w="4852" w:type="dxa"/>
            <w:shd w:val="clear" w:color="auto" w:fill="D9F2D0" w:themeFill="accent6" w:themeFillTint="33"/>
          </w:tcPr>
          <w:p w14:paraId="77DE6299" w14:textId="26D57FAE" w:rsidR="00895AD1" w:rsidRPr="009566EF" w:rsidRDefault="00895AD1" w:rsidP="009566EF">
            <w:pPr>
              <w:spacing w:after="120"/>
              <w:rPr>
                <w:rFonts w:ascii="Arial" w:hAnsi="Arial" w:cs="Arial"/>
              </w:rPr>
            </w:pPr>
            <w:r w:rsidRPr="0078589E">
              <w:rPr>
                <w:rFonts w:ascii="Arial" w:hAnsi="Arial" w:cs="Arial"/>
                <w:b/>
              </w:rPr>
              <w:t xml:space="preserve">Strategy 5.0/6.0: </w:t>
            </w:r>
            <w:r w:rsidRPr="0078589E">
              <w:rPr>
                <w:rFonts w:ascii="Arial" w:hAnsi="Arial" w:cs="Arial"/>
              </w:rPr>
              <w:t>Offer case management services to migratory students at risk of not graduating high school.</w:t>
            </w:r>
          </w:p>
          <w:p w14:paraId="15D658C7" w14:textId="026394C6" w:rsidR="00895AD1" w:rsidRPr="0078589E" w:rsidRDefault="00895AD1" w:rsidP="009566EF">
            <w:pPr>
              <w:spacing w:after="120"/>
              <w:rPr>
                <w:rFonts w:ascii="Arial" w:hAnsi="Arial" w:cs="Arial"/>
                <w:b/>
                <w:bCs/>
              </w:rPr>
            </w:pPr>
            <w:r w:rsidRPr="0078589E">
              <w:rPr>
                <w:rFonts w:ascii="Arial" w:hAnsi="Arial" w:cs="Arial"/>
                <w:b/>
                <w:bCs/>
              </w:rPr>
              <w:t xml:space="preserve">MPO: 5.0/6.0: </w:t>
            </w:r>
            <w:r w:rsidRPr="0078589E">
              <w:rPr>
                <w:rFonts w:ascii="Arial" w:hAnsi="Arial" w:cs="Arial"/>
              </w:rPr>
              <w:t xml:space="preserve">Each year, 80 percent of migratory </w:t>
            </w:r>
            <w:r w:rsidR="00B55FF8" w:rsidRPr="0078589E">
              <w:rPr>
                <w:rFonts w:ascii="Arial" w:hAnsi="Arial" w:cs="Arial"/>
              </w:rPr>
              <w:t>ninth</w:t>
            </w:r>
            <w:r w:rsidRPr="0078589E">
              <w:rPr>
                <w:rFonts w:ascii="Arial" w:hAnsi="Arial" w:cs="Arial"/>
              </w:rPr>
              <w:t xml:space="preserve"> grade students who scored Below Standard on their </w:t>
            </w:r>
            <w:r w:rsidR="00B55FF8" w:rsidRPr="0078589E">
              <w:rPr>
                <w:rFonts w:ascii="Arial" w:hAnsi="Arial" w:cs="Arial"/>
              </w:rPr>
              <w:t>eighth</w:t>
            </w:r>
            <w:r w:rsidRPr="0078589E">
              <w:rPr>
                <w:rFonts w:ascii="Arial" w:hAnsi="Arial" w:cs="Arial"/>
              </w:rPr>
              <w:t xml:space="preserve"> grade ELA and/or Math Smarter Balanced Assessments</w:t>
            </w:r>
            <w:r w:rsidRPr="0078589E">
              <w:rPr>
                <w:rFonts w:ascii="Arial" w:hAnsi="Arial" w:cs="Arial"/>
                <w:b/>
                <w:bCs/>
              </w:rPr>
              <w:t xml:space="preserve"> </w:t>
            </w:r>
            <w:r w:rsidRPr="0078589E">
              <w:rPr>
                <w:rFonts w:ascii="Arial" w:hAnsi="Arial" w:cs="Arial"/>
              </w:rPr>
              <w:t>will receive case management services.</w:t>
            </w:r>
          </w:p>
        </w:tc>
        <w:tc>
          <w:tcPr>
            <w:tcW w:w="923" w:type="dxa"/>
            <w:shd w:val="clear" w:color="auto" w:fill="F2CEED" w:themeFill="accent5" w:themeFillTint="33"/>
          </w:tcPr>
          <w:p w14:paraId="5B187C7E" w14:textId="4C4363D9" w:rsidR="00895AD1" w:rsidRPr="0078589E" w:rsidRDefault="00EC3486" w:rsidP="009566EF">
            <w:pPr>
              <w:spacing w:after="120"/>
              <w:rPr>
                <w:rFonts w:ascii="Arial" w:hAnsi="Arial" w:cs="Arial"/>
              </w:rPr>
            </w:pPr>
            <w:r>
              <w:rPr>
                <w:rFonts w:ascii="Arial" w:hAnsi="Arial" w:cs="Arial"/>
              </w:rPr>
              <w:t xml:space="preserve">HS </w:t>
            </w:r>
            <w:r w:rsidR="00483F80">
              <w:rPr>
                <w:rFonts w:ascii="Arial" w:hAnsi="Arial" w:cs="Arial"/>
              </w:rPr>
              <w:t>5.0</w:t>
            </w:r>
          </w:p>
        </w:tc>
        <w:tc>
          <w:tcPr>
            <w:tcW w:w="5967" w:type="dxa"/>
            <w:shd w:val="clear" w:color="auto" w:fill="F2CEED" w:themeFill="accent5" w:themeFillTint="33"/>
          </w:tcPr>
          <w:p w14:paraId="4ED9F3C6" w14:textId="77777777" w:rsidR="00483F80" w:rsidRPr="00B729BF" w:rsidRDefault="00483F80" w:rsidP="009566EF">
            <w:pPr>
              <w:spacing w:after="120"/>
              <w:rPr>
                <w:rFonts w:ascii="Arial" w:hAnsi="Arial" w:cs="Arial"/>
              </w:rPr>
            </w:pPr>
            <w:r>
              <w:rPr>
                <w:rFonts w:ascii="Arial" w:hAnsi="Arial" w:cs="Arial"/>
                <w:b/>
                <w:bCs/>
              </w:rPr>
              <w:t xml:space="preserve">Strategy 5.0: </w:t>
            </w:r>
            <w:r>
              <w:rPr>
                <w:rFonts w:ascii="Arial" w:hAnsi="Arial" w:cs="Arial"/>
              </w:rPr>
              <w:t>Collaborate with school counselors to provide a needs-based</w:t>
            </w:r>
            <w:r w:rsidRPr="00B729BF">
              <w:rPr>
                <w:rFonts w:ascii="Arial" w:hAnsi="Arial" w:cs="Arial"/>
              </w:rPr>
              <w:t xml:space="preserve"> case management service that </w:t>
            </w:r>
            <w:r>
              <w:rPr>
                <w:rFonts w:ascii="Arial" w:hAnsi="Arial" w:cs="Arial"/>
              </w:rPr>
              <w:t>includes setting goals to minimize current gaps in knowledge/skillset and for future career or higher education. Depending on goals, potential topics for this service could include</w:t>
            </w:r>
            <w:r w:rsidRPr="00B729BF">
              <w:rPr>
                <w:rFonts w:ascii="Arial" w:hAnsi="Arial" w:cs="Arial"/>
              </w:rPr>
              <w:t>:</w:t>
            </w:r>
          </w:p>
          <w:p w14:paraId="1A69DF34" w14:textId="77777777" w:rsidR="00483F80" w:rsidRPr="00B729BF" w:rsidRDefault="00483F80" w:rsidP="009566EF">
            <w:pPr>
              <w:pStyle w:val="ListParagraph"/>
              <w:numPr>
                <w:ilvl w:val="0"/>
                <w:numId w:val="7"/>
              </w:numPr>
              <w:spacing w:after="120"/>
              <w:ind w:left="330"/>
              <w:contextualSpacing w:val="0"/>
              <w:rPr>
                <w:rFonts w:ascii="Arial" w:hAnsi="Arial" w:cs="Arial"/>
              </w:rPr>
            </w:pPr>
            <w:r w:rsidRPr="00B729BF">
              <w:rPr>
                <w:rFonts w:ascii="Arial" w:hAnsi="Arial" w:cs="Arial"/>
              </w:rPr>
              <w:t xml:space="preserve">A-G </w:t>
            </w:r>
            <w:r>
              <w:rPr>
                <w:rFonts w:ascii="Arial" w:hAnsi="Arial" w:cs="Arial"/>
              </w:rPr>
              <w:t xml:space="preserve">and local high school </w:t>
            </w:r>
            <w:r w:rsidRPr="00B729BF">
              <w:rPr>
                <w:rFonts w:ascii="Arial" w:hAnsi="Arial" w:cs="Arial"/>
              </w:rPr>
              <w:t>requirements</w:t>
            </w:r>
          </w:p>
          <w:p w14:paraId="6AA4936C" w14:textId="77777777" w:rsidR="00483F80" w:rsidRDefault="00483F80" w:rsidP="009566EF">
            <w:pPr>
              <w:pStyle w:val="ListParagraph"/>
              <w:numPr>
                <w:ilvl w:val="0"/>
                <w:numId w:val="7"/>
              </w:numPr>
              <w:spacing w:after="120"/>
              <w:ind w:left="330"/>
              <w:contextualSpacing w:val="0"/>
              <w:rPr>
                <w:rFonts w:ascii="Arial" w:hAnsi="Arial" w:cs="Arial"/>
              </w:rPr>
            </w:pPr>
            <w:r>
              <w:rPr>
                <w:rFonts w:ascii="Arial" w:hAnsi="Arial" w:cs="Arial"/>
              </w:rPr>
              <w:t>T</w:t>
            </w:r>
            <w:r w:rsidRPr="00B729BF">
              <w:rPr>
                <w:rFonts w:ascii="Arial" w:hAnsi="Arial" w:cs="Arial"/>
              </w:rPr>
              <w:t>ranscript</w:t>
            </w:r>
            <w:r>
              <w:rPr>
                <w:rFonts w:ascii="Arial" w:hAnsi="Arial" w:cs="Arial"/>
              </w:rPr>
              <w:t xml:space="preserve"> review</w:t>
            </w:r>
            <w:r w:rsidRPr="00B729BF">
              <w:rPr>
                <w:rFonts w:ascii="Arial" w:hAnsi="Arial" w:cs="Arial"/>
              </w:rPr>
              <w:t xml:space="preserve"> to identify areas of need and unaddressed credit deficiencies</w:t>
            </w:r>
          </w:p>
          <w:p w14:paraId="46B885A7" w14:textId="77777777" w:rsidR="00483F80" w:rsidRPr="003F3D2C" w:rsidRDefault="00483F80" w:rsidP="009566EF">
            <w:pPr>
              <w:pStyle w:val="ListParagraph"/>
              <w:numPr>
                <w:ilvl w:val="0"/>
                <w:numId w:val="7"/>
              </w:numPr>
              <w:spacing w:after="120"/>
              <w:ind w:left="330"/>
              <w:contextualSpacing w:val="0"/>
              <w:rPr>
                <w:rFonts w:ascii="Arial" w:hAnsi="Arial" w:cs="Arial"/>
              </w:rPr>
            </w:pPr>
            <w:r w:rsidRPr="003F3D2C">
              <w:rPr>
                <w:rFonts w:ascii="Arial" w:hAnsi="Arial" w:cs="Arial"/>
              </w:rPr>
              <w:t>Ask students if they have a meaningful connection to school (e.g., relationships with teachers, peers, etc</w:t>
            </w:r>
            <w:r>
              <w:rPr>
                <w:rFonts w:ascii="Arial" w:hAnsi="Arial" w:cs="Arial"/>
              </w:rPr>
              <w:t>.)</w:t>
            </w:r>
          </w:p>
          <w:p w14:paraId="2FEC3554" w14:textId="77777777" w:rsidR="00483F80" w:rsidRPr="00B729BF" w:rsidRDefault="00483F80" w:rsidP="009566EF">
            <w:pPr>
              <w:pStyle w:val="ListParagraph"/>
              <w:numPr>
                <w:ilvl w:val="0"/>
                <w:numId w:val="7"/>
              </w:numPr>
              <w:spacing w:after="120"/>
              <w:ind w:left="330"/>
              <w:contextualSpacing w:val="0"/>
              <w:rPr>
                <w:rFonts w:ascii="Arial" w:hAnsi="Arial" w:cs="Arial"/>
              </w:rPr>
            </w:pPr>
            <w:r w:rsidRPr="00B729BF">
              <w:rPr>
                <w:rFonts w:ascii="Arial" w:hAnsi="Arial" w:cs="Arial"/>
              </w:rPr>
              <w:t>UC/CSU requirements</w:t>
            </w:r>
          </w:p>
          <w:p w14:paraId="13C6B34E" w14:textId="2D532329" w:rsidR="00483F80" w:rsidRPr="00B729BF" w:rsidRDefault="00A61302" w:rsidP="009566EF">
            <w:pPr>
              <w:pStyle w:val="ListParagraph"/>
              <w:numPr>
                <w:ilvl w:val="0"/>
                <w:numId w:val="7"/>
              </w:numPr>
              <w:spacing w:after="120"/>
              <w:ind w:left="330"/>
              <w:contextualSpacing w:val="0"/>
              <w:rPr>
                <w:rFonts w:ascii="Arial" w:hAnsi="Arial" w:cs="Arial"/>
              </w:rPr>
            </w:pPr>
            <w:r w:rsidRPr="00A61302">
              <w:rPr>
                <w:rFonts w:ascii="Arial" w:hAnsi="Arial" w:cs="Arial"/>
              </w:rPr>
              <w:t>Career Technical Education</w:t>
            </w:r>
            <w:r>
              <w:rPr>
                <w:rFonts w:ascii="Arial" w:hAnsi="Arial" w:cs="Arial"/>
              </w:rPr>
              <w:t xml:space="preserve"> (</w:t>
            </w:r>
            <w:r w:rsidR="00483F80" w:rsidRPr="00B729BF">
              <w:rPr>
                <w:rFonts w:ascii="Arial" w:hAnsi="Arial" w:cs="Arial"/>
              </w:rPr>
              <w:t>CTE</w:t>
            </w:r>
            <w:r>
              <w:rPr>
                <w:rFonts w:ascii="Arial" w:hAnsi="Arial" w:cs="Arial"/>
              </w:rPr>
              <w:t>)</w:t>
            </w:r>
            <w:r w:rsidR="00483F80" w:rsidRPr="00B729BF">
              <w:rPr>
                <w:rFonts w:ascii="Arial" w:hAnsi="Arial" w:cs="Arial"/>
              </w:rPr>
              <w:t xml:space="preserve"> programs in the area</w:t>
            </w:r>
          </w:p>
          <w:p w14:paraId="37D01CD2" w14:textId="77777777" w:rsidR="00532F2C" w:rsidRDefault="00483F80" w:rsidP="009566EF">
            <w:pPr>
              <w:pStyle w:val="ListParagraph"/>
              <w:numPr>
                <w:ilvl w:val="0"/>
                <w:numId w:val="7"/>
              </w:numPr>
              <w:spacing w:after="120"/>
              <w:ind w:left="330"/>
              <w:contextualSpacing w:val="0"/>
              <w:rPr>
                <w:rFonts w:ascii="Arial" w:hAnsi="Arial" w:cs="Arial"/>
              </w:rPr>
            </w:pPr>
            <w:r>
              <w:rPr>
                <w:rFonts w:ascii="Arial" w:hAnsi="Arial" w:cs="Arial"/>
              </w:rPr>
              <w:t>E</w:t>
            </w:r>
            <w:r w:rsidRPr="00B729BF">
              <w:rPr>
                <w:rFonts w:ascii="Arial" w:hAnsi="Arial" w:cs="Arial"/>
              </w:rPr>
              <w:t>nroll</w:t>
            </w:r>
            <w:r>
              <w:rPr>
                <w:rFonts w:ascii="Arial" w:hAnsi="Arial" w:cs="Arial"/>
              </w:rPr>
              <w:t>ment</w:t>
            </w:r>
            <w:r w:rsidRPr="00B729BF">
              <w:rPr>
                <w:rFonts w:ascii="Arial" w:hAnsi="Arial" w:cs="Arial"/>
              </w:rPr>
              <w:t xml:space="preserve"> in appropriate classes (not being overlooked because they are migrant; ideally students will complete algebra by </w:t>
            </w:r>
            <w:r>
              <w:rPr>
                <w:rFonts w:ascii="Arial" w:hAnsi="Arial" w:cs="Arial"/>
              </w:rPr>
              <w:t>eleventh</w:t>
            </w:r>
            <w:r w:rsidRPr="00B729BF">
              <w:rPr>
                <w:rFonts w:ascii="Arial" w:hAnsi="Arial" w:cs="Arial"/>
              </w:rPr>
              <w:t xml:space="preserve"> grade)</w:t>
            </w:r>
          </w:p>
          <w:p w14:paraId="0C5ECBC8" w14:textId="12EE59A9" w:rsidR="00532F2C" w:rsidRPr="009566EF" w:rsidRDefault="00483F80" w:rsidP="009566EF">
            <w:pPr>
              <w:pStyle w:val="ListParagraph"/>
              <w:numPr>
                <w:ilvl w:val="0"/>
                <w:numId w:val="7"/>
              </w:numPr>
              <w:spacing w:after="120"/>
              <w:ind w:left="330"/>
              <w:contextualSpacing w:val="0"/>
              <w:rPr>
                <w:rFonts w:ascii="Arial" w:hAnsi="Arial" w:cs="Arial"/>
              </w:rPr>
            </w:pPr>
            <w:r w:rsidRPr="00532F2C">
              <w:rPr>
                <w:rFonts w:ascii="Arial" w:hAnsi="Arial" w:cs="Arial"/>
              </w:rPr>
              <w:t>State Seal of Biliteracy requirement</w:t>
            </w:r>
            <w:r w:rsidR="00532F2C">
              <w:rPr>
                <w:rFonts w:ascii="Arial" w:hAnsi="Arial" w:cs="Arial"/>
              </w:rPr>
              <w:t>s</w:t>
            </w:r>
          </w:p>
          <w:p w14:paraId="556CE270" w14:textId="3281D0EB" w:rsidR="00532F2C" w:rsidRPr="00532F2C" w:rsidRDefault="00532F2C" w:rsidP="009566EF">
            <w:pPr>
              <w:spacing w:after="120"/>
              <w:rPr>
                <w:rFonts w:ascii="Arial" w:hAnsi="Arial" w:cs="Arial"/>
              </w:rPr>
            </w:pPr>
            <w:r w:rsidRPr="00532F2C">
              <w:rPr>
                <w:rFonts w:ascii="Arial" w:hAnsi="Arial" w:cs="Arial"/>
                <w:b/>
                <w:bCs/>
              </w:rPr>
              <w:t>MPO 5.0:</w:t>
            </w:r>
            <w:r>
              <w:rPr>
                <w:rFonts w:ascii="Arial" w:hAnsi="Arial" w:cs="Arial"/>
              </w:rPr>
              <w:t xml:space="preserve"> </w:t>
            </w:r>
            <w:r w:rsidRPr="00B729BF">
              <w:rPr>
                <w:rFonts w:ascii="Arial" w:hAnsi="Arial" w:cs="Arial"/>
              </w:rPr>
              <w:t>Each year, the MEP will provide case management services to 40 percent of</w:t>
            </w:r>
            <w:r>
              <w:rPr>
                <w:rFonts w:ascii="Arial" w:hAnsi="Arial" w:cs="Arial"/>
              </w:rPr>
              <w:t xml:space="preserve"> ninth through twelfth</w:t>
            </w:r>
            <w:r w:rsidRPr="00B729BF">
              <w:rPr>
                <w:rFonts w:ascii="Arial" w:hAnsi="Arial" w:cs="Arial"/>
              </w:rPr>
              <w:t xml:space="preserve"> grade students who are credit deficient or are at-risk of being credit deficient</w:t>
            </w:r>
            <w:r w:rsidRPr="007D443E">
              <w:rPr>
                <w:rFonts w:ascii="Arial" w:hAnsi="Arial" w:cs="Arial"/>
              </w:rPr>
              <w:t>.</w:t>
            </w:r>
          </w:p>
        </w:tc>
        <w:tc>
          <w:tcPr>
            <w:tcW w:w="4368" w:type="dxa"/>
          </w:tcPr>
          <w:p w14:paraId="01ECF6C2" w14:textId="64B9FB9C" w:rsidR="00895AD1" w:rsidRDefault="00532F2C" w:rsidP="00532F2C">
            <w:pPr>
              <w:pStyle w:val="ListParagraph"/>
              <w:numPr>
                <w:ilvl w:val="0"/>
                <w:numId w:val="11"/>
              </w:numPr>
              <w:spacing w:after="120"/>
              <w:ind w:left="403"/>
              <w:contextualSpacing w:val="0"/>
              <w:rPr>
                <w:rFonts w:ascii="Arial" w:hAnsi="Arial" w:cs="Arial"/>
              </w:rPr>
            </w:pPr>
            <w:r>
              <w:rPr>
                <w:rFonts w:ascii="Arial" w:hAnsi="Arial" w:cs="Arial"/>
              </w:rPr>
              <w:t>Expands SDP case management services to ninth through twelfth grades.</w:t>
            </w:r>
          </w:p>
          <w:p w14:paraId="53FBD07E" w14:textId="200E678C" w:rsidR="00532F2C" w:rsidRDefault="00532F2C" w:rsidP="00532F2C">
            <w:pPr>
              <w:pStyle w:val="ListParagraph"/>
              <w:numPr>
                <w:ilvl w:val="0"/>
                <w:numId w:val="11"/>
              </w:numPr>
              <w:spacing w:after="120"/>
              <w:ind w:left="403"/>
              <w:contextualSpacing w:val="0"/>
              <w:rPr>
                <w:rFonts w:ascii="Arial" w:hAnsi="Arial" w:cs="Arial"/>
              </w:rPr>
            </w:pPr>
            <w:r>
              <w:rPr>
                <w:rFonts w:ascii="Arial" w:hAnsi="Arial" w:cs="Arial"/>
              </w:rPr>
              <w:t xml:space="preserve">Includes ninth graders who scored below proficiency on the </w:t>
            </w:r>
            <w:r w:rsidR="00017F9D" w:rsidRPr="00017F9D">
              <w:rPr>
                <w:rFonts w:ascii="Arial" w:hAnsi="Arial" w:cs="Arial"/>
              </w:rPr>
              <w:t>California Assessment of Student Performance and Progress</w:t>
            </w:r>
            <w:r w:rsidR="005233E7">
              <w:rPr>
                <w:rFonts w:ascii="Arial" w:hAnsi="Arial" w:cs="Arial"/>
              </w:rPr>
              <w:t xml:space="preserve"> (</w:t>
            </w:r>
            <w:r>
              <w:rPr>
                <w:rFonts w:ascii="Arial" w:hAnsi="Arial" w:cs="Arial"/>
              </w:rPr>
              <w:t>CAASPP</w:t>
            </w:r>
            <w:r w:rsidR="005233E7">
              <w:rPr>
                <w:rFonts w:ascii="Arial" w:hAnsi="Arial" w:cs="Arial"/>
              </w:rPr>
              <w:t>)</w:t>
            </w:r>
            <w:r>
              <w:rPr>
                <w:rFonts w:ascii="Arial" w:hAnsi="Arial" w:cs="Arial"/>
              </w:rPr>
              <w:t xml:space="preserve"> ELA or math Smarter Balanced Summative Assessment and tenth through twelfth grade students who have an unaddressed credit deficiency.</w:t>
            </w:r>
          </w:p>
          <w:p w14:paraId="4EFB49F4" w14:textId="77777777" w:rsidR="00532F2C" w:rsidRDefault="00532F2C" w:rsidP="00532F2C">
            <w:pPr>
              <w:pStyle w:val="ListParagraph"/>
              <w:numPr>
                <w:ilvl w:val="0"/>
                <w:numId w:val="11"/>
              </w:numPr>
              <w:spacing w:after="120"/>
              <w:ind w:left="403"/>
              <w:contextualSpacing w:val="0"/>
              <w:rPr>
                <w:rFonts w:ascii="Arial" w:hAnsi="Arial" w:cs="Arial"/>
              </w:rPr>
            </w:pPr>
            <w:r>
              <w:rPr>
                <w:rFonts w:ascii="Arial" w:hAnsi="Arial" w:cs="Arial"/>
              </w:rPr>
              <w:t>Provides more detail on what should be completed during meetings with students.</w:t>
            </w:r>
          </w:p>
          <w:p w14:paraId="4D37B568" w14:textId="23563905" w:rsidR="00ED7DCA" w:rsidRPr="00532F2C" w:rsidRDefault="00ED7DCA" w:rsidP="00532F2C">
            <w:pPr>
              <w:pStyle w:val="ListParagraph"/>
              <w:numPr>
                <w:ilvl w:val="0"/>
                <w:numId w:val="11"/>
              </w:numPr>
              <w:spacing w:after="120"/>
              <w:ind w:left="403"/>
              <w:contextualSpacing w:val="0"/>
              <w:rPr>
                <w:rFonts w:ascii="Arial" w:hAnsi="Arial" w:cs="Arial"/>
              </w:rPr>
            </w:pPr>
            <w:r>
              <w:rPr>
                <w:rFonts w:ascii="Arial" w:hAnsi="Arial" w:cs="Arial"/>
              </w:rPr>
              <w:t xml:space="preserve">With the expansion of grades and based on previous case management participation data, 40˚percent </w:t>
            </w:r>
            <w:r w:rsidR="00D5250B">
              <w:rPr>
                <w:rFonts w:ascii="Arial" w:hAnsi="Arial" w:cs="Arial"/>
              </w:rPr>
              <w:t>is</w:t>
            </w:r>
            <w:r>
              <w:rPr>
                <w:rFonts w:ascii="Arial" w:hAnsi="Arial" w:cs="Arial"/>
              </w:rPr>
              <w:t xml:space="preserve"> a good starting point.</w:t>
            </w:r>
          </w:p>
        </w:tc>
      </w:tr>
      <w:tr w:rsidR="00195851" w:rsidRPr="0078589E" w14:paraId="4BFDF756" w14:textId="77777777" w:rsidTr="007B397C">
        <w:trPr>
          <w:cantSplit/>
        </w:trPr>
        <w:tc>
          <w:tcPr>
            <w:tcW w:w="1075" w:type="dxa"/>
            <w:shd w:val="clear" w:color="auto" w:fill="D9F2D0" w:themeFill="accent6" w:themeFillTint="33"/>
          </w:tcPr>
          <w:p w14:paraId="235107AB" w14:textId="77777777" w:rsidR="00195851" w:rsidRDefault="00195851" w:rsidP="00195851">
            <w:pPr>
              <w:rPr>
                <w:rFonts w:ascii="Arial" w:hAnsi="Arial" w:cs="Arial"/>
              </w:rPr>
            </w:pPr>
            <w:r>
              <w:rPr>
                <w:rFonts w:ascii="Arial" w:hAnsi="Arial" w:cs="Arial"/>
              </w:rPr>
              <w:lastRenderedPageBreak/>
              <w:t>HS</w:t>
            </w:r>
          </w:p>
          <w:p w14:paraId="790C81EA" w14:textId="769FECAE" w:rsidR="00195851" w:rsidRDefault="00195851" w:rsidP="00195851">
            <w:pPr>
              <w:rPr>
                <w:rFonts w:ascii="Arial" w:hAnsi="Arial" w:cs="Arial"/>
              </w:rPr>
            </w:pPr>
            <w:r>
              <w:rPr>
                <w:rFonts w:ascii="Arial" w:hAnsi="Arial" w:cs="Arial"/>
              </w:rPr>
              <w:t>5.1/6.1</w:t>
            </w:r>
          </w:p>
        </w:tc>
        <w:tc>
          <w:tcPr>
            <w:tcW w:w="4852" w:type="dxa"/>
            <w:shd w:val="clear" w:color="auto" w:fill="D9F2D0" w:themeFill="accent6" w:themeFillTint="33"/>
          </w:tcPr>
          <w:p w14:paraId="5BCB915B" w14:textId="77777777" w:rsidR="00195851" w:rsidRPr="0078589E" w:rsidRDefault="00195851" w:rsidP="00195851">
            <w:pPr>
              <w:spacing w:after="120"/>
              <w:rPr>
                <w:rFonts w:ascii="Arial" w:hAnsi="Arial" w:cs="Arial"/>
              </w:rPr>
            </w:pPr>
            <w:r w:rsidRPr="0078589E">
              <w:rPr>
                <w:rFonts w:ascii="Arial" w:hAnsi="Arial" w:cs="Arial"/>
                <w:b/>
              </w:rPr>
              <w:t xml:space="preserve">Strategy 5.1/6.1: </w:t>
            </w:r>
            <w:r w:rsidRPr="0078589E">
              <w:rPr>
                <w:rFonts w:ascii="Arial" w:hAnsi="Arial" w:cs="Arial"/>
              </w:rPr>
              <w:t>Offer credit accrual and recovery services to migratory</w:t>
            </w:r>
            <w:r>
              <w:rPr>
                <w:rFonts w:ascii="Arial" w:hAnsi="Arial" w:cs="Arial"/>
              </w:rPr>
              <w:t xml:space="preserve"> eleventh and twelfth</w:t>
            </w:r>
            <w:r w:rsidRPr="0078589E">
              <w:rPr>
                <w:rFonts w:ascii="Arial" w:hAnsi="Arial" w:cs="Arial"/>
              </w:rPr>
              <w:t xml:space="preserve"> grade migratory students who are credit deficient and are at risk of not graduating.</w:t>
            </w:r>
          </w:p>
          <w:p w14:paraId="6FE0E55E" w14:textId="2B94313E" w:rsidR="00195851" w:rsidRPr="0078589E" w:rsidRDefault="00195851" w:rsidP="00195851">
            <w:pPr>
              <w:spacing w:after="120"/>
              <w:rPr>
                <w:rFonts w:ascii="Arial" w:hAnsi="Arial" w:cs="Arial"/>
                <w:b/>
              </w:rPr>
            </w:pPr>
            <w:r w:rsidRPr="0078589E">
              <w:rPr>
                <w:rFonts w:ascii="Arial" w:hAnsi="Arial" w:cs="Arial"/>
                <w:b/>
                <w:bCs/>
              </w:rPr>
              <w:t>MPO 5.1/6.1:</w:t>
            </w:r>
            <w:r w:rsidRPr="0078589E">
              <w:rPr>
                <w:rFonts w:ascii="Arial" w:hAnsi="Arial" w:cs="Arial"/>
              </w:rPr>
              <w:t xml:space="preserve"> Each year, 80 percent of migratory 11</w:t>
            </w:r>
            <w:r w:rsidRPr="0078589E">
              <w:rPr>
                <w:rFonts w:ascii="Arial" w:hAnsi="Arial" w:cs="Arial"/>
                <w:vertAlign w:val="superscript"/>
              </w:rPr>
              <w:t>th</w:t>
            </w:r>
            <w:r w:rsidRPr="0078589E">
              <w:rPr>
                <w:rFonts w:ascii="Arial" w:hAnsi="Arial" w:cs="Arial"/>
              </w:rPr>
              <w:t xml:space="preserve"> and 12</w:t>
            </w:r>
            <w:r w:rsidRPr="0078589E">
              <w:rPr>
                <w:rFonts w:ascii="Arial" w:hAnsi="Arial" w:cs="Arial"/>
                <w:vertAlign w:val="superscript"/>
              </w:rPr>
              <w:t>th</w:t>
            </w:r>
            <w:r w:rsidRPr="0078589E">
              <w:rPr>
                <w:rFonts w:ascii="Arial" w:hAnsi="Arial" w:cs="Arial"/>
              </w:rPr>
              <w:t xml:space="preserve"> grade high school students who are credit deficient participate in up to two courses through credit accrual services during the regular school year and up to three courses for credit during summer school if present.</w:t>
            </w:r>
          </w:p>
        </w:tc>
        <w:tc>
          <w:tcPr>
            <w:tcW w:w="923" w:type="dxa"/>
            <w:shd w:val="clear" w:color="auto" w:fill="F2CEED" w:themeFill="accent5" w:themeFillTint="33"/>
          </w:tcPr>
          <w:p w14:paraId="21CC2EA0" w14:textId="607F693D" w:rsidR="00195851" w:rsidRDefault="00195851" w:rsidP="00195851">
            <w:pPr>
              <w:spacing w:after="120"/>
              <w:rPr>
                <w:rFonts w:ascii="Arial" w:hAnsi="Arial" w:cs="Arial"/>
              </w:rPr>
            </w:pPr>
            <w:r>
              <w:rPr>
                <w:rFonts w:ascii="Arial" w:hAnsi="Arial" w:cs="Arial"/>
              </w:rPr>
              <w:t>HS 6.0</w:t>
            </w:r>
          </w:p>
        </w:tc>
        <w:tc>
          <w:tcPr>
            <w:tcW w:w="5967" w:type="dxa"/>
            <w:shd w:val="clear" w:color="auto" w:fill="F2CEED" w:themeFill="accent5" w:themeFillTint="33"/>
          </w:tcPr>
          <w:p w14:paraId="55B73086" w14:textId="77777777" w:rsidR="00195851" w:rsidRDefault="00195851" w:rsidP="00195851">
            <w:pPr>
              <w:spacing w:after="120"/>
              <w:rPr>
                <w:rFonts w:ascii="Arial" w:hAnsi="Arial" w:cs="Arial"/>
              </w:rPr>
            </w:pPr>
            <w:r>
              <w:rPr>
                <w:rFonts w:ascii="Arial" w:hAnsi="Arial" w:cs="Arial"/>
                <w:b/>
                <w:bCs/>
              </w:rPr>
              <w:t xml:space="preserve">Strategy 6.0: </w:t>
            </w:r>
            <w:r w:rsidRPr="00CA68CA">
              <w:rPr>
                <w:rFonts w:ascii="Arial" w:hAnsi="Arial" w:cs="Arial"/>
              </w:rPr>
              <w:t>The MEP will provide multiple pathways for students to recover credits based on learning needs, local partnerships, and available (school board approved) curriculum. All opportunities must be approved by the local school board as the district is the only entity able to award credits.</w:t>
            </w:r>
          </w:p>
          <w:p w14:paraId="3125841F" w14:textId="6FCD77EB" w:rsidR="00195851" w:rsidRDefault="00195851" w:rsidP="00195851">
            <w:pPr>
              <w:spacing w:after="120"/>
              <w:rPr>
                <w:rFonts w:ascii="Arial" w:hAnsi="Arial" w:cs="Arial"/>
                <w:b/>
                <w:bCs/>
              </w:rPr>
            </w:pPr>
            <w:r>
              <w:rPr>
                <w:rFonts w:ascii="Arial" w:hAnsi="Arial" w:cs="Arial"/>
                <w:b/>
              </w:rPr>
              <w:t>MPO 6.0</w:t>
            </w:r>
            <w:r w:rsidRPr="00B729BF">
              <w:rPr>
                <w:rFonts w:ascii="Arial" w:hAnsi="Arial" w:cs="Arial"/>
                <w:b/>
              </w:rPr>
              <w:t xml:space="preserve">: </w:t>
            </w:r>
            <w:r w:rsidRPr="00CA68CA">
              <w:rPr>
                <w:rFonts w:ascii="Arial" w:hAnsi="Arial" w:cs="Arial"/>
              </w:rPr>
              <w:t>Each year the MEP will provide credit accrual services to 50 percent of students with an unaddressed credit deficiency need as identified by the INA. INAs must be updated during case management services if new “unaddressed” credit deficiency needs arise.</w:t>
            </w:r>
          </w:p>
        </w:tc>
        <w:tc>
          <w:tcPr>
            <w:tcW w:w="4368" w:type="dxa"/>
          </w:tcPr>
          <w:p w14:paraId="287810A5" w14:textId="77777777" w:rsidR="00195851" w:rsidRDefault="00195851" w:rsidP="00195851">
            <w:pPr>
              <w:pStyle w:val="ListParagraph"/>
              <w:numPr>
                <w:ilvl w:val="0"/>
                <w:numId w:val="20"/>
              </w:numPr>
              <w:spacing w:after="120"/>
              <w:ind w:left="389"/>
              <w:contextualSpacing w:val="0"/>
              <w:rPr>
                <w:rFonts w:ascii="Arial" w:hAnsi="Arial" w:cs="Arial"/>
              </w:rPr>
            </w:pPr>
            <w:r>
              <w:rPr>
                <w:rFonts w:ascii="Arial" w:hAnsi="Arial" w:cs="Arial"/>
              </w:rPr>
              <w:t>Strategy/MPO number change for credit accrual services.</w:t>
            </w:r>
          </w:p>
          <w:p w14:paraId="21235087" w14:textId="77777777" w:rsidR="00195851" w:rsidRDefault="00195851" w:rsidP="00195851">
            <w:pPr>
              <w:pStyle w:val="ListParagraph"/>
              <w:numPr>
                <w:ilvl w:val="0"/>
                <w:numId w:val="20"/>
              </w:numPr>
              <w:spacing w:after="120"/>
              <w:ind w:left="389"/>
              <w:contextualSpacing w:val="0"/>
              <w:rPr>
                <w:rFonts w:ascii="Arial" w:hAnsi="Arial" w:cs="Arial"/>
              </w:rPr>
            </w:pPr>
            <w:r>
              <w:rPr>
                <w:rFonts w:ascii="Arial" w:hAnsi="Arial" w:cs="Arial"/>
              </w:rPr>
              <w:t>The annual target was reduced to 50 percent based on previous years’ data.</w:t>
            </w:r>
          </w:p>
          <w:p w14:paraId="62D50290" w14:textId="77777777" w:rsidR="00195851" w:rsidRDefault="00195851" w:rsidP="00195851">
            <w:pPr>
              <w:pStyle w:val="ListParagraph"/>
              <w:numPr>
                <w:ilvl w:val="0"/>
                <w:numId w:val="20"/>
              </w:numPr>
              <w:spacing w:after="120"/>
              <w:ind w:left="389"/>
              <w:contextualSpacing w:val="0"/>
              <w:rPr>
                <w:rFonts w:ascii="Arial" w:hAnsi="Arial" w:cs="Arial"/>
              </w:rPr>
            </w:pPr>
            <w:r>
              <w:rPr>
                <w:rFonts w:ascii="Arial" w:hAnsi="Arial" w:cs="Arial"/>
              </w:rPr>
              <w:t>Specifically calls out requirement that credit accrual services need to use school board approved curriculum to accumulate credits.</w:t>
            </w:r>
          </w:p>
          <w:p w14:paraId="074A647E" w14:textId="20D03F02" w:rsidR="00195851" w:rsidRDefault="00195851" w:rsidP="00195851">
            <w:pPr>
              <w:pStyle w:val="ListParagraph"/>
              <w:numPr>
                <w:ilvl w:val="0"/>
                <w:numId w:val="11"/>
              </w:numPr>
              <w:spacing w:after="120"/>
              <w:ind w:left="403"/>
              <w:contextualSpacing w:val="0"/>
              <w:rPr>
                <w:rFonts w:ascii="Arial" w:hAnsi="Arial" w:cs="Arial"/>
              </w:rPr>
            </w:pPr>
            <w:r>
              <w:rPr>
                <w:rFonts w:ascii="Arial" w:hAnsi="Arial" w:cs="Arial"/>
              </w:rPr>
              <w:t xml:space="preserve">Explicitly includes all credit accrual opportunities (e.g., Cyber High, residential programs, etc.) </w:t>
            </w:r>
            <w:proofErr w:type="gramStart"/>
            <w:r>
              <w:rPr>
                <w:rFonts w:ascii="Arial" w:hAnsi="Arial" w:cs="Arial"/>
              </w:rPr>
              <w:t>as long as</w:t>
            </w:r>
            <w:proofErr w:type="gramEnd"/>
            <w:r>
              <w:rPr>
                <w:rFonts w:ascii="Arial" w:hAnsi="Arial" w:cs="Arial"/>
              </w:rPr>
              <w:t xml:space="preserve"> the board approved the credits for inclusion in the transcript.</w:t>
            </w:r>
          </w:p>
        </w:tc>
      </w:tr>
    </w:tbl>
    <w:p w14:paraId="50894FEC" w14:textId="77777777" w:rsidR="00195851" w:rsidRDefault="00195851" w:rsidP="00C862B4">
      <w:pPr>
        <w:pStyle w:val="Heading2"/>
      </w:pPr>
      <w:r>
        <w:br w:type="page"/>
      </w:r>
    </w:p>
    <w:p w14:paraId="53B0BD06" w14:textId="7E34F433" w:rsidR="00FA3D07" w:rsidRPr="0078589E" w:rsidRDefault="00FA3D07" w:rsidP="00C862B4">
      <w:pPr>
        <w:pStyle w:val="Heading2"/>
      </w:pPr>
      <w:r w:rsidRPr="0078589E">
        <w:lastRenderedPageBreak/>
        <w:t>School Readiness</w:t>
      </w:r>
    </w:p>
    <w:tbl>
      <w:tblPr>
        <w:tblStyle w:val="TableGrid"/>
        <w:tblW w:w="17185" w:type="dxa"/>
        <w:tblLook w:val="04A0" w:firstRow="1" w:lastRow="0" w:firstColumn="1" w:lastColumn="0" w:noHBand="0" w:noVBand="1"/>
        <w:tblDescription w:val="School Readiness comparison of the 2017 SSDP Strategies and MPOs and the 2026 SDP Strategies and MPOs."/>
      </w:tblPr>
      <w:tblGrid>
        <w:gridCol w:w="924"/>
        <w:gridCol w:w="5275"/>
        <w:gridCol w:w="923"/>
        <w:gridCol w:w="5113"/>
        <w:gridCol w:w="4950"/>
      </w:tblGrid>
      <w:tr w:rsidR="00F319A8" w:rsidRPr="00095DF3" w14:paraId="3FBC9D71" w14:textId="77777777" w:rsidTr="001A00A1">
        <w:trPr>
          <w:cantSplit/>
          <w:tblHeader/>
        </w:trPr>
        <w:tc>
          <w:tcPr>
            <w:tcW w:w="924" w:type="dxa"/>
            <w:shd w:val="clear" w:color="auto" w:fill="D9F2D0" w:themeFill="accent6" w:themeFillTint="33"/>
          </w:tcPr>
          <w:p w14:paraId="146E3341" w14:textId="77777777" w:rsidR="00F319A8" w:rsidRPr="00095DF3" w:rsidRDefault="00F319A8" w:rsidP="004540CC">
            <w:pPr>
              <w:rPr>
                <w:rFonts w:ascii="Arial" w:hAnsi="Arial" w:cs="Arial"/>
                <w:b/>
                <w:bCs/>
              </w:rPr>
            </w:pPr>
            <w:r w:rsidRPr="00095DF3">
              <w:rPr>
                <w:rFonts w:ascii="Arial" w:hAnsi="Arial" w:cs="Arial"/>
                <w:b/>
                <w:bCs/>
              </w:rPr>
              <w:t xml:space="preserve">Focus Area </w:t>
            </w:r>
          </w:p>
        </w:tc>
        <w:tc>
          <w:tcPr>
            <w:tcW w:w="5275" w:type="dxa"/>
            <w:shd w:val="clear" w:color="auto" w:fill="D9F2D0" w:themeFill="accent6" w:themeFillTint="33"/>
          </w:tcPr>
          <w:p w14:paraId="62B1001B" w14:textId="7103F402" w:rsidR="00F319A8" w:rsidRPr="00095DF3" w:rsidRDefault="007F0434" w:rsidP="004540CC">
            <w:pPr>
              <w:rPr>
                <w:rFonts w:ascii="Arial" w:hAnsi="Arial" w:cs="Arial"/>
                <w:b/>
                <w:bCs/>
              </w:rPr>
            </w:pPr>
            <w:r>
              <w:rPr>
                <w:rFonts w:ascii="Arial" w:hAnsi="Arial" w:cs="Arial"/>
                <w:b/>
                <w:bCs/>
              </w:rPr>
              <w:t xml:space="preserve">2017 </w:t>
            </w:r>
            <w:r w:rsidR="00F319A8" w:rsidRPr="00095DF3">
              <w:rPr>
                <w:rFonts w:ascii="Arial" w:hAnsi="Arial" w:cs="Arial"/>
                <w:b/>
                <w:bCs/>
              </w:rPr>
              <w:t>SSDP Strategies and MPOs</w:t>
            </w:r>
          </w:p>
        </w:tc>
        <w:tc>
          <w:tcPr>
            <w:tcW w:w="923" w:type="dxa"/>
            <w:shd w:val="clear" w:color="auto" w:fill="F2CEED" w:themeFill="accent5" w:themeFillTint="33"/>
          </w:tcPr>
          <w:p w14:paraId="3B5DFBD9" w14:textId="77777777" w:rsidR="00F319A8" w:rsidRPr="00095DF3" w:rsidRDefault="00F319A8" w:rsidP="004540CC">
            <w:pPr>
              <w:rPr>
                <w:rFonts w:ascii="Arial" w:hAnsi="Arial" w:cs="Arial"/>
                <w:b/>
                <w:bCs/>
              </w:rPr>
            </w:pPr>
            <w:r w:rsidRPr="00095DF3">
              <w:rPr>
                <w:rFonts w:ascii="Arial" w:hAnsi="Arial" w:cs="Arial"/>
                <w:b/>
                <w:bCs/>
              </w:rPr>
              <w:t xml:space="preserve">Focus Area </w:t>
            </w:r>
          </w:p>
        </w:tc>
        <w:tc>
          <w:tcPr>
            <w:tcW w:w="5113" w:type="dxa"/>
            <w:shd w:val="clear" w:color="auto" w:fill="F2CEED" w:themeFill="accent5" w:themeFillTint="33"/>
          </w:tcPr>
          <w:p w14:paraId="1F9374A6" w14:textId="6A08BCCD" w:rsidR="00F319A8" w:rsidRPr="00095DF3" w:rsidRDefault="007F0434" w:rsidP="004540CC">
            <w:pPr>
              <w:rPr>
                <w:rFonts w:ascii="Arial" w:hAnsi="Arial" w:cs="Arial"/>
                <w:b/>
                <w:bCs/>
              </w:rPr>
            </w:pPr>
            <w:r>
              <w:rPr>
                <w:rFonts w:ascii="Arial" w:hAnsi="Arial" w:cs="Arial"/>
                <w:b/>
                <w:bCs/>
              </w:rPr>
              <w:t xml:space="preserve">2026 </w:t>
            </w:r>
            <w:r w:rsidR="00F319A8" w:rsidRPr="00095DF3">
              <w:rPr>
                <w:rFonts w:ascii="Arial" w:hAnsi="Arial" w:cs="Arial"/>
                <w:b/>
                <w:bCs/>
              </w:rPr>
              <w:t>SDP Strategies and MPOs</w:t>
            </w:r>
          </w:p>
        </w:tc>
        <w:tc>
          <w:tcPr>
            <w:tcW w:w="4950" w:type="dxa"/>
          </w:tcPr>
          <w:p w14:paraId="76EEBC59" w14:textId="77777777" w:rsidR="00F319A8" w:rsidRPr="00095DF3" w:rsidRDefault="00F319A8" w:rsidP="004540CC">
            <w:pPr>
              <w:rPr>
                <w:rFonts w:ascii="Arial" w:hAnsi="Arial" w:cs="Arial"/>
                <w:b/>
                <w:bCs/>
              </w:rPr>
            </w:pPr>
            <w:r w:rsidRPr="00095DF3">
              <w:rPr>
                <w:rFonts w:ascii="Arial" w:hAnsi="Arial" w:cs="Arial"/>
                <w:b/>
                <w:bCs/>
              </w:rPr>
              <w:t xml:space="preserve">Comparison </w:t>
            </w:r>
          </w:p>
        </w:tc>
      </w:tr>
      <w:tr w:rsidR="00895AD1" w:rsidRPr="0078589E" w14:paraId="5D5E7007" w14:textId="77777777" w:rsidTr="001A00A1">
        <w:trPr>
          <w:cantSplit/>
        </w:trPr>
        <w:tc>
          <w:tcPr>
            <w:tcW w:w="924" w:type="dxa"/>
            <w:shd w:val="clear" w:color="auto" w:fill="D9F2D0" w:themeFill="accent6" w:themeFillTint="33"/>
          </w:tcPr>
          <w:p w14:paraId="41F0BC50" w14:textId="2314F91B" w:rsidR="00895AD1" w:rsidRPr="0078589E" w:rsidRDefault="00895AD1" w:rsidP="00895AD1">
            <w:pPr>
              <w:rPr>
                <w:rFonts w:ascii="Arial" w:hAnsi="Arial" w:cs="Arial"/>
              </w:rPr>
            </w:pPr>
            <w:r w:rsidRPr="0078589E">
              <w:rPr>
                <w:rFonts w:ascii="Arial" w:hAnsi="Arial" w:cs="Arial"/>
              </w:rPr>
              <w:t>SR 7.0</w:t>
            </w:r>
          </w:p>
        </w:tc>
        <w:tc>
          <w:tcPr>
            <w:tcW w:w="5275" w:type="dxa"/>
            <w:shd w:val="clear" w:color="auto" w:fill="D9F2D0" w:themeFill="accent6" w:themeFillTint="33"/>
          </w:tcPr>
          <w:p w14:paraId="364D7CF5" w14:textId="0E80D1C6" w:rsidR="00895AD1" w:rsidRPr="0078589E" w:rsidRDefault="00895AD1" w:rsidP="009566EF">
            <w:pPr>
              <w:spacing w:after="120"/>
              <w:rPr>
                <w:rFonts w:ascii="Arial" w:hAnsi="Arial" w:cs="Arial"/>
              </w:rPr>
            </w:pPr>
            <w:r w:rsidRPr="0078589E">
              <w:rPr>
                <w:rFonts w:ascii="Arial" w:hAnsi="Arial" w:cs="Arial"/>
                <w:b/>
              </w:rPr>
              <w:t>Strategy 7.0:</w:t>
            </w:r>
            <w:r w:rsidRPr="0078589E">
              <w:rPr>
                <w:rFonts w:ascii="Arial" w:hAnsi="Arial" w:cs="Arial"/>
              </w:rPr>
              <w:t xml:space="preserve"> Offer school readiness services with primary and secondary language development objectives for dual language learners (during a time when at least one parent is available to participate).</w:t>
            </w:r>
          </w:p>
          <w:p w14:paraId="4B750EBF" w14:textId="3A4138A1" w:rsidR="00895AD1" w:rsidRPr="0078589E" w:rsidRDefault="00895AD1" w:rsidP="009566EF">
            <w:pPr>
              <w:spacing w:after="120"/>
              <w:rPr>
                <w:rFonts w:ascii="Arial" w:hAnsi="Arial" w:cs="Arial"/>
              </w:rPr>
            </w:pPr>
            <w:r w:rsidRPr="0078589E">
              <w:rPr>
                <w:rFonts w:ascii="Arial" w:hAnsi="Arial" w:cs="Arial"/>
                <w:b/>
                <w:bCs/>
              </w:rPr>
              <w:t xml:space="preserve">MPO 7.0: </w:t>
            </w:r>
            <w:r w:rsidRPr="0078589E">
              <w:rPr>
                <w:rFonts w:ascii="Arial" w:hAnsi="Arial" w:cs="Arial"/>
              </w:rPr>
              <w:t>Each year, 40 percent of migratory children (ages</w:t>
            </w:r>
            <w:r w:rsidR="00D66A67">
              <w:rPr>
                <w:rFonts w:ascii="Arial" w:hAnsi="Arial" w:cs="Arial"/>
              </w:rPr>
              <w:t xml:space="preserve"> three through five</w:t>
            </w:r>
            <w:r w:rsidRPr="0078589E">
              <w:rPr>
                <w:rFonts w:ascii="Arial" w:hAnsi="Arial" w:cs="Arial"/>
              </w:rPr>
              <w:t>) will attend 15 hours or more of school readiness services for dual language learners.</w:t>
            </w:r>
          </w:p>
        </w:tc>
        <w:tc>
          <w:tcPr>
            <w:tcW w:w="923" w:type="dxa"/>
            <w:shd w:val="clear" w:color="auto" w:fill="F2CEED" w:themeFill="accent5" w:themeFillTint="33"/>
          </w:tcPr>
          <w:p w14:paraId="64C38C60" w14:textId="7223F939" w:rsidR="00895AD1" w:rsidRPr="0078589E" w:rsidRDefault="00131869" w:rsidP="009566EF">
            <w:pPr>
              <w:spacing w:after="120"/>
              <w:rPr>
                <w:rFonts w:ascii="Arial" w:hAnsi="Arial" w:cs="Arial"/>
              </w:rPr>
            </w:pPr>
            <w:r>
              <w:rPr>
                <w:rFonts w:ascii="Arial" w:hAnsi="Arial" w:cs="Arial"/>
              </w:rPr>
              <w:t>SR 7.0</w:t>
            </w:r>
          </w:p>
        </w:tc>
        <w:tc>
          <w:tcPr>
            <w:tcW w:w="5113" w:type="dxa"/>
            <w:shd w:val="clear" w:color="auto" w:fill="F2CEED" w:themeFill="accent5" w:themeFillTint="33"/>
          </w:tcPr>
          <w:p w14:paraId="0FC7C089" w14:textId="7EFC6461" w:rsidR="00131869" w:rsidRDefault="00131869" w:rsidP="009566EF">
            <w:pPr>
              <w:spacing w:after="120"/>
              <w:rPr>
                <w:rFonts w:ascii="Arial" w:hAnsi="Arial" w:cs="Arial"/>
              </w:rPr>
            </w:pPr>
            <w:r w:rsidRPr="007D443E">
              <w:rPr>
                <w:rFonts w:ascii="Arial" w:hAnsi="Arial" w:cs="Arial"/>
                <w:b/>
              </w:rPr>
              <w:t>Strategy 7.</w:t>
            </w:r>
            <w:r>
              <w:rPr>
                <w:rFonts w:ascii="Arial" w:hAnsi="Arial" w:cs="Arial"/>
                <w:b/>
              </w:rPr>
              <w:t>0</w:t>
            </w:r>
            <w:r w:rsidRPr="007D443E">
              <w:rPr>
                <w:rFonts w:ascii="Arial" w:hAnsi="Arial" w:cs="Arial"/>
                <w:b/>
              </w:rPr>
              <w:t xml:space="preserve">: </w:t>
            </w:r>
            <w:r w:rsidRPr="00083BDB">
              <w:rPr>
                <w:rFonts w:ascii="Arial" w:hAnsi="Arial" w:cs="Arial"/>
              </w:rPr>
              <w:t xml:space="preserve">Provide dual language (home language and English) instruction, foundational literacy, and </w:t>
            </w:r>
            <w:r>
              <w:rPr>
                <w:rFonts w:ascii="Arial" w:hAnsi="Arial" w:cs="Arial"/>
              </w:rPr>
              <w:t>mathematics</w:t>
            </w:r>
            <w:r w:rsidRPr="00083BDB">
              <w:rPr>
                <w:rFonts w:ascii="Arial" w:hAnsi="Arial" w:cs="Arial"/>
              </w:rPr>
              <w:t xml:space="preserve"> school readiness services to migratory </w:t>
            </w:r>
            <w:r>
              <w:rPr>
                <w:rFonts w:ascii="Arial" w:hAnsi="Arial" w:cs="Arial"/>
              </w:rPr>
              <w:t>Pre-K and TK children.</w:t>
            </w:r>
          </w:p>
          <w:p w14:paraId="3CED3AA8" w14:textId="64180406" w:rsidR="00131869" w:rsidRPr="0078589E" w:rsidRDefault="00131869" w:rsidP="009566EF">
            <w:pPr>
              <w:spacing w:after="120"/>
              <w:rPr>
                <w:rFonts w:ascii="Arial" w:hAnsi="Arial" w:cs="Arial"/>
              </w:rPr>
            </w:pPr>
            <w:r>
              <w:rPr>
                <w:rFonts w:ascii="Arial" w:hAnsi="Arial" w:cs="Arial"/>
                <w:b/>
                <w:bCs/>
              </w:rPr>
              <w:t xml:space="preserve">MPO </w:t>
            </w:r>
            <w:r w:rsidRPr="00083BDB">
              <w:rPr>
                <w:rFonts w:ascii="Arial" w:hAnsi="Arial" w:cs="Arial"/>
                <w:b/>
                <w:bCs/>
              </w:rPr>
              <w:t>7.0:</w:t>
            </w:r>
            <w:r>
              <w:rPr>
                <w:rFonts w:ascii="Arial" w:hAnsi="Arial" w:cs="Arial"/>
              </w:rPr>
              <w:t xml:space="preserve"> </w:t>
            </w:r>
            <w:r w:rsidRPr="00083BDB">
              <w:rPr>
                <w:rFonts w:ascii="Arial" w:hAnsi="Arial" w:cs="Arial"/>
              </w:rPr>
              <w:t>Each year, 40 percent of migratory children (</w:t>
            </w:r>
            <w:r>
              <w:rPr>
                <w:rFonts w:ascii="Arial" w:hAnsi="Arial" w:cs="Arial"/>
              </w:rPr>
              <w:t>i.e., Pre-K and TK</w:t>
            </w:r>
            <w:r w:rsidRPr="00083BDB">
              <w:rPr>
                <w:rFonts w:ascii="Arial" w:hAnsi="Arial" w:cs="Arial"/>
              </w:rPr>
              <w:t>) will attend 15 hours or more of school readiness services to build content knowledge and literacy in the home and English languages</w:t>
            </w:r>
            <w:r w:rsidR="008C4C07">
              <w:rPr>
                <w:rFonts w:ascii="Arial" w:hAnsi="Arial" w:cs="Arial"/>
              </w:rPr>
              <w:t>.</w:t>
            </w:r>
          </w:p>
        </w:tc>
        <w:tc>
          <w:tcPr>
            <w:tcW w:w="4950" w:type="dxa"/>
          </w:tcPr>
          <w:p w14:paraId="378E4C5D" w14:textId="278BC65D" w:rsidR="00895AD1" w:rsidRDefault="00045A01" w:rsidP="00045A01">
            <w:pPr>
              <w:pStyle w:val="ListParagraph"/>
              <w:numPr>
                <w:ilvl w:val="0"/>
                <w:numId w:val="21"/>
              </w:numPr>
              <w:spacing w:after="120"/>
              <w:ind w:left="413" w:hanging="270"/>
              <w:contextualSpacing w:val="0"/>
              <w:rPr>
                <w:rFonts w:ascii="Arial" w:hAnsi="Arial" w:cs="Arial"/>
              </w:rPr>
            </w:pPr>
            <w:r>
              <w:rPr>
                <w:rFonts w:ascii="Arial" w:hAnsi="Arial" w:cs="Arial"/>
              </w:rPr>
              <w:t xml:space="preserve">Service age </w:t>
            </w:r>
            <w:r w:rsidR="00D66A67">
              <w:rPr>
                <w:rFonts w:ascii="Arial" w:hAnsi="Arial" w:cs="Arial"/>
              </w:rPr>
              <w:t xml:space="preserve">(ages three to five) </w:t>
            </w:r>
            <w:r>
              <w:rPr>
                <w:rFonts w:ascii="Arial" w:hAnsi="Arial" w:cs="Arial"/>
              </w:rPr>
              <w:t xml:space="preserve">changes </w:t>
            </w:r>
            <w:r w:rsidR="00110EAB">
              <w:rPr>
                <w:rFonts w:ascii="Arial" w:hAnsi="Arial" w:cs="Arial"/>
              </w:rPr>
              <w:t>to grades as listed in the Migrant Student Information Network to</w:t>
            </w:r>
            <w:r>
              <w:rPr>
                <w:rFonts w:ascii="Arial" w:hAnsi="Arial" w:cs="Arial"/>
              </w:rPr>
              <w:t xml:space="preserve"> P3 through TK.</w:t>
            </w:r>
            <w:r w:rsidR="00110EAB">
              <w:rPr>
                <w:rFonts w:ascii="Arial" w:hAnsi="Arial" w:cs="Arial"/>
              </w:rPr>
              <w:t xml:space="preserve"> </w:t>
            </w:r>
            <w:r w:rsidR="00F36702">
              <w:rPr>
                <w:rFonts w:ascii="Arial" w:hAnsi="Arial" w:cs="Arial"/>
              </w:rPr>
              <w:t>Grade P3 is for children who are eligible for preschool service and three years old. Grade P4 is for children who are eligible for preschool service and four years old.</w:t>
            </w:r>
          </w:p>
          <w:p w14:paraId="16C83EA3" w14:textId="322178EB" w:rsidR="00045A01" w:rsidRDefault="00045A01" w:rsidP="00045A01">
            <w:pPr>
              <w:pStyle w:val="ListParagraph"/>
              <w:numPr>
                <w:ilvl w:val="0"/>
                <w:numId w:val="21"/>
              </w:numPr>
              <w:spacing w:after="120"/>
              <w:ind w:left="413" w:hanging="270"/>
              <w:contextualSpacing w:val="0"/>
              <w:rPr>
                <w:rFonts w:ascii="Arial" w:hAnsi="Arial" w:cs="Arial"/>
              </w:rPr>
            </w:pPr>
            <w:r>
              <w:rPr>
                <w:rFonts w:ascii="Arial" w:hAnsi="Arial" w:cs="Arial"/>
              </w:rPr>
              <w:t>Although allowed to participate, parents are not required to participate in the revised strategy.</w:t>
            </w:r>
          </w:p>
          <w:p w14:paraId="3882E7B2" w14:textId="7887B631" w:rsidR="00045A01" w:rsidRDefault="001F2A72" w:rsidP="00045A01">
            <w:pPr>
              <w:pStyle w:val="ListParagraph"/>
              <w:numPr>
                <w:ilvl w:val="0"/>
                <w:numId w:val="21"/>
              </w:numPr>
              <w:spacing w:after="120"/>
              <w:ind w:left="413" w:hanging="270"/>
              <w:contextualSpacing w:val="0"/>
              <w:rPr>
                <w:rFonts w:ascii="Arial" w:hAnsi="Arial" w:cs="Arial"/>
              </w:rPr>
            </w:pPr>
            <w:r>
              <w:rPr>
                <w:rFonts w:ascii="Arial" w:hAnsi="Arial" w:cs="Arial"/>
              </w:rPr>
              <w:t>The percentage</w:t>
            </w:r>
            <w:r w:rsidR="00045A01">
              <w:rPr>
                <w:rFonts w:ascii="Arial" w:hAnsi="Arial" w:cs="Arial"/>
              </w:rPr>
              <w:t xml:space="preserve"> target remained the same.</w:t>
            </w:r>
          </w:p>
          <w:p w14:paraId="26820360" w14:textId="0A7368A4" w:rsidR="00045A01" w:rsidRDefault="00045A01" w:rsidP="00045A01">
            <w:pPr>
              <w:pStyle w:val="ListParagraph"/>
              <w:numPr>
                <w:ilvl w:val="0"/>
                <w:numId w:val="21"/>
              </w:numPr>
              <w:spacing w:after="120"/>
              <w:ind w:left="413" w:hanging="270"/>
              <w:contextualSpacing w:val="0"/>
              <w:rPr>
                <w:rFonts w:ascii="Arial" w:hAnsi="Arial" w:cs="Arial"/>
              </w:rPr>
            </w:pPr>
            <w:r>
              <w:rPr>
                <w:rFonts w:ascii="Arial" w:hAnsi="Arial" w:cs="Arial"/>
              </w:rPr>
              <w:t>Hour requirement remains the same – as does the focus on primary and secondary language development.</w:t>
            </w:r>
          </w:p>
          <w:p w14:paraId="73F01B91" w14:textId="48450461" w:rsidR="00045A01" w:rsidRPr="00045A01" w:rsidRDefault="00045A01" w:rsidP="00045A01">
            <w:pPr>
              <w:pStyle w:val="ListParagraph"/>
              <w:numPr>
                <w:ilvl w:val="0"/>
                <w:numId w:val="21"/>
              </w:numPr>
              <w:spacing w:after="120"/>
              <w:ind w:left="413" w:hanging="270"/>
              <w:contextualSpacing w:val="0"/>
              <w:rPr>
                <w:rFonts w:ascii="Arial" w:hAnsi="Arial" w:cs="Arial"/>
              </w:rPr>
            </w:pPr>
            <w:r>
              <w:rPr>
                <w:rFonts w:ascii="Arial" w:hAnsi="Arial" w:cs="Arial"/>
              </w:rPr>
              <w:t>Explicit mentioning of foundational literacy and mathematics knowledge.</w:t>
            </w:r>
          </w:p>
        </w:tc>
      </w:tr>
      <w:tr w:rsidR="001B1D6E" w:rsidRPr="0078589E" w14:paraId="34E420B1" w14:textId="77777777" w:rsidTr="001A00A1">
        <w:trPr>
          <w:cantSplit/>
        </w:trPr>
        <w:tc>
          <w:tcPr>
            <w:tcW w:w="924" w:type="dxa"/>
            <w:shd w:val="clear" w:color="auto" w:fill="D9F2D0" w:themeFill="accent6" w:themeFillTint="33"/>
          </w:tcPr>
          <w:p w14:paraId="45D0E9E1" w14:textId="11791159" w:rsidR="001B1D6E" w:rsidRPr="0078589E" w:rsidRDefault="001B1D6E" w:rsidP="00895AD1">
            <w:pPr>
              <w:rPr>
                <w:rFonts w:ascii="Arial" w:hAnsi="Arial" w:cs="Arial"/>
              </w:rPr>
            </w:pPr>
            <w:r w:rsidRPr="0078589E">
              <w:rPr>
                <w:rFonts w:ascii="Arial" w:hAnsi="Arial" w:cs="Arial"/>
              </w:rPr>
              <w:lastRenderedPageBreak/>
              <w:t>SR 7.1</w:t>
            </w:r>
          </w:p>
        </w:tc>
        <w:tc>
          <w:tcPr>
            <w:tcW w:w="5275" w:type="dxa"/>
            <w:shd w:val="clear" w:color="auto" w:fill="D9F2D0" w:themeFill="accent6" w:themeFillTint="33"/>
          </w:tcPr>
          <w:p w14:paraId="1E645E4C" w14:textId="77777777" w:rsidR="001B1D6E" w:rsidRPr="0078589E" w:rsidRDefault="001B1D6E" w:rsidP="001B1D6E">
            <w:pPr>
              <w:spacing w:after="120"/>
              <w:rPr>
                <w:rFonts w:ascii="Arial" w:hAnsi="Arial" w:cs="Arial"/>
              </w:rPr>
            </w:pPr>
            <w:r w:rsidRPr="0078589E">
              <w:rPr>
                <w:rFonts w:ascii="Arial" w:hAnsi="Arial" w:cs="Arial"/>
                <w:b/>
              </w:rPr>
              <w:t xml:space="preserve">Strategy 7.1: </w:t>
            </w:r>
            <w:r w:rsidRPr="0078589E">
              <w:rPr>
                <w:rFonts w:ascii="Arial" w:hAnsi="Arial" w:cs="Arial"/>
              </w:rPr>
              <w:t>Provide training and resources to parents:</w:t>
            </w:r>
          </w:p>
          <w:p w14:paraId="0B82531E" w14:textId="77777777" w:rsidR="001B1D6E" w:rsidRPr="0078589E" w:rsidRDefault="001B1D6E" w:rsidP="001B1D6E">
            <w:pPr>
              <w:pStyle w:val="ListParagraph"/>
              <w:numPr>
                <w:ilvl w:val="0"/>
                <w:numId w:val="1"/>
              </w:numPr>
              <w:spacing w:after="120"/>
              <w:ind w:left="394"/>
              <w:contextualSpacing w:val="0"/>
              <w:rPr>
                <w:rFonts w:ascii="Arial" w:hAnsi="Arial" w:cs="Arial"/>
              </w:rPr>
            </w:pPr>
            <w:r w:rsidRPr="0078589E">
              <w:rPr>
                <w:rFonts w:ascii="Arial" w:hAnsi="Arial" w:cs="Arial"/>
              </w:rPr>
              <w:t>Workshops to increase awareness of the importance of and strategies to develop primary language skills</w:t>
            </w:r>
          </w:p>
          <w:p w14:paraId="21BB60A5" w14:textId="77777777" w:rsidR="001B1D6E" w:rsidRPr="0078589E" w:rsidRDefault="001B1D6E" w:rsidP="001B1D6E">
            <w:pPr>
              <w:pStyle w:val="ListParagraph"/>
              <w:numPr>
                <w:ilvl w:val="0"/>
                <w:numId w:val="1"/>
              </w:numPr>
              <w:spacing w:after="120"/>
              <w:ind w:left="394"/>
              <w:contextualSpacing w:val="0"/>
              <w:rPr>
                <w:rFonts w:ascii="Arial" w:hAnsi="Arial" w:cs="Arial"/>
              </w:rPr>
            </w:pPr>
            <w:r w:rsidRPr="0078589E">
              <w:rPr>
                <w:rFonts w:ascii="Arial" w:hAnsi="Arial" w:cs="Arial"/>
              </w:rPr>
              <w:t>Workshops to teach strategies that support early learning at home</w:t>
            </w:r>
          </w:p>
          <w:p w14:paraId="2C775D01" w14:textId="77777777" w:rsidR="001B1D6E" w:rsidRPr="009566EF" w:rsidRDefault="001B1D6E" w:rsidP="001B1D6E">
            <w:pPr>
              <w:pStyle w:val="ListParagraph"/>
              <w:numPr>
                <w:ilvl w:val="0"/>
                <w:numId w:val="1"/>
              </w:numPr>
              <w:spacing w:after="120"/>
              <w:ind w:left="394"/>
              <w:contextualSpacing w:val="0"/>
              <w:rPr>
                <w:rFonts w:ascii="Arial" w:hAnsi="Arial" w:cs="Arial"/>
              </w:rPr>
            </w:pPr>
            <w:r w:rsidRPr="0078589E">
              <w:rPr>
                <w:rFonts w:ascii="Arial" w:hAnsi="Arial" w:cs="Arial"/>
              </w:rPr>
              <w:t>Workshops to increase social emotional learning at home</w:t>
            </w:r>
          </w:p>
          <w:p w14:paraId="7AA937D9" w14:textId="7A37B8A4" w:rsidR="001B1D6E" w:rsidRPr="0078589E" w:rsidRDefault="001B1D6E" w:rsidP="001B1D6E">
            <w:pPr>
              <w:spacing w:after="120"/>
              <w:rPr>
                <w:rFonts w:ascii="Arial" w:hAnsi="Arial" w:cs="Arial"/>
                <w:b/>
              </w:rPr>
            </w:pPr>
            <w:r w:rsidRPr="0078589E">
              <w:rPr>
                <w:rFonts w:ascii="Arial" w:hAnsi="Arial" w:cs="Arial"/>
                <w:b/>
                <w:bCs/>
              </w:rPr>
              <w:t>MPO 7.1:</w:t>
            </w:r>
            <w:r w:rsidRPr="0078589E">
              <w:rPr>
                <w:rFonts w:ascii="Arial" w:hAnsi="Arial" w:cs="Arial"/>
              </w:rPr>
              <w:t xml:space="preserve"> Subgrantees provide at least one workshop on developing a student’s primary language, at least one workshop teaching parents strategies that support early learning at home, and at least one workshop that supports social emotional learning at home</w:t>
            </w:r>
          </w:p>
        </w:tc>
        <w:tc>
          <w:tcPr>
            <w:tcW w:w="923" w:type="dxa"/>
            <w:shd w:val="clear" w:color="auto" w:fill="F2CEED" w:themeFill="accent5" w:themeFillTint="33"/>
          </w:tcPr>
          <w:p w14:paraId="48D07B3D" w14:textId="0EB45E64" w:rsidR="001B1D6E" w:rsidRDefault="001B1D6E" w:rsidP="009566EF">
            <w:pPr>
              <w:spacing w:after="120"/>
              <w:rPr>
                <w:rFonts w:ascii="Arial" w:hAnsi="Arial" w:cs="Arial"/>
              </w:rPr>
            </w:pPr>
            <w:r>
              <w:rPr>
                <w:rFonts w:ascii="Arial" w:hAnsi="Arial" w:cs="Arial"/>
              </w:rPr>
              <w:t>SR 8.0</w:t>
            </w:r>
          </w:p>
        </w:tc>
        <w:tc>
          <w:tcPr>
            <w:tcW w:w="5113" w:type="dxa"/>
            <w:shd w:val="clear" w:color="auto" w:fill="F2CEED" w:themeFill="accent5" w:themeFillTint="33"/>
          </w:tcPr>
          <w:p w14:paraId="4869E63B" w14:textId="77777777" w:rsidR="001B1D6E" w:rsidRPr="00083BDB" w:rsidRDefault="001B1D6E" w:rsidP="001B1D6E">
            <w:pPr>
              <w:spacing w:after="120"/>
              <w:rPr>
                <w:rFonts w:ascii="Arial" w:hAnsi="Arial" w:cs="Arial"/>
              </w:rPr>
            </w:pPr>
            <w:r w:rsidRPr="007D443E">
              <w:rPr>
                <w:rFonts w:ascii="Arial" w:hAnsi="Arial" w:cs="Arial"/>
                <w:b/>
              </w:rPr>
              <w:t xml:space="preserve">Strategy </w:t>
            </w:r>
            <w:r>
              <w:rPr>
                <w:rFonts w:ascii="Arial" w:hAnsi="Arial" w:cs="Arial"/>
                <w:b/>
              </w:rPr>
              <w:t>8</w:t>
            </w:r>
            <w:r w:rsidRPr="007D443E">
              <w:rPr>
                <w:rFonts w:ascii="Arial" w:hAnsi="Arial" w:cs="Arial"/>
                <w:b/>
              </w:rPr>
              <w:t>.</w:t>
            </w:r>
            <w:r>
              <w:rPr>
                <w:rFonts w:ascii="Arial" w:hAnsi="Arial" w:cs="Arial"/>
                <w:b/>
              </w:rPr>
              <w:t>0</w:t>
            </w:r>
            <w:r w:rsidRPr="007D443E">
              <w:rPr>
                <w:rFonts w:ascii="Arial" w:hAnsi="Arial" w:cs="Arial"/>
                <w:b/>
              </w:rPr>
              <w:t xml:space="preserve">: </w:t>
            </w:r>
            <w:r w:rsidRPr="00083BDB">
              <w:rPr>
                <w:rFonts w:ascii="Arial" w:hAnsi="Arial" w:cs="Arial"/>
              </w:rPr>
              <w:t>Provide at least one parent workshop covering</w:t>
            </w:r>
            <w:r>
              <w:rPr>
                <w:rFonts w:ascii="Arial" w:hAnsi="Arial" w:cs="Arial"/>
              </w:rPr>
              <w:t xml:space="preserve"> all</w:t>
            </w:r>
            <w:r w:rsidRPr="00083BDB">
              <w:rPr>
                <w:rFonts w:ascii="Arial" w:hAnsi="Arial" w:cs="Arial"/>
              </w:rPr>
              <w:t xml:space="preserve"> the following topics:</w:t>
            </w:r>
          </w:p>
          <w:p w14:paraId="21B24FFC" w14:textId="77777777" w:rsidR="001B1D6E" w:rsidRPr="00083BDB" w:rsidRDefault="001B1D6E" w:rsidP="001B1D6E">
            <w:pPr>
              <w:pStyle w:val="ListParagraph"/>
              <w:numPr>
                <w:ilvl w:val="0"/>
                <w:numId w:val="8"/>
              </w:numPr>
              <w:spacing w:after="120"/>
              <w:ind w:left="330"/>
              <w:contextualSpacing w:val="0"/>
              <w:rPr>
                <w:rFonts w:ascii="Arial" w:hAnsi="Arial" w:cs="Arial"/>
              </w:rPr>
            </w:pPr>
            <w:r w:rsidRPr="00083BDB">
              <w:rPr>
                <w:rFonts w:ascii="Arial" w:hAnsi="Arial" w:cs="Arial"/>
              </w:rPr>
              <w:t>The benefits of being bilingual and strategies to develop primary language skills</w:t>
            </w:r>
          </w:p>
          <w:p w14:paraId="50B33543" w14:textId="77777777" w:rsidR="001B1D6E" w:rsidRDefault="001B1D6E" w:rsidP="001B1D6E">
            <w:pPr>
              <w:pStyle w:val="ListParagraph"/>
              <w:numPr>
                <w:ilvl w:val="0"/>
                <w:numId w:val="8"/>
              </w:numPr>
              <w:spacing w:after="120"/>
              <w:ind w:left="330"/>
              <w:contextualSpacing w:val="0"/>
              <w:rPr>
                <w:rFonts w:ascii="Arial" w:hAnsi="Arial" w:cs="Arial"/>
              </w:rPr>
            </w:pPr>
            <w:r w:rsidRPr="00083BDB">
              <w:rPr>
                <w:rFonts w:ascii="Arial" w:hAnsi="Arial" w:cs="Arial"/>
              </w:rPr>
              <w:t>Strategies that support early learning at home</w:t>
            </w:r>
          </w:p>
          <w:p w14:paraId="060F2675" w14:textId="77777777" w:rsidR="001B1D6E" w:rsidRPr="009566EF" w:rsidRDefault="001B1D6E" w:rsidP="001B1D6E">
            <w:pPr>
              <w:pStyle w:val="ListParagraph"/>
              <w:numPr>
                <w:ilvl w:val="0"/>
                <w:numId w:val="8"/>
              </w:numPr>
              <w:spacing w:after="120"/>
              <w:ind w:left="330"/>
              <w:contextualSpacing w:val="0"/>
              <w:rPr>
                <w:rFonts w:ascii="Arial" w:hAnsi="Arial" w:cs="Arial"/>
              </w:rPr>
            </w:pPr>
            <w:r w:rsidRPr="00131869">
              <w:rPr>
                <w:rFonts w:ascii="Arial" w:hAnsi="Arial" w:cs="Arial"/>
              </w:rPr>
              <w:t xml:space="preserve">Strategies to increase </w:t>
            </w:r>
            <w:r>
              <w:rPr>
                <w:rFonts w:ascii="Arial" w:hAnsi="Arial" w:cs="Arial"/>
              </w:rPr>
              <w:t>SEL</w:t>
            </w:r>
            <w:r w:rsidRPr="00131869">
              <w:rPr>
                <w:rFonts w:ascii="Arial" w:hAnsi="Arial" w:cs="Arial"/>
              </w:rPr>
              <w:t xml:space="preserve"> learning at home</w:t>
            </w:r>
          </w:p>
          <w:p w14:paraId="0114B34C" w14:textId="0E430530" w:rsidR="001B1D6E" w:rsidRPr="007D443E" w:rsidRDefault="001B1D6E" w:rsidP="001B1D6E">
            <w:pPr>
              <w:spacing w:after="120"/>
              <w:rPr>
                <w:rFonts w:ascii="Arial" w:hAnsi="Arial" w:cs="Arial"/>
                <w:b/>
              </w:rPr>
            </w:pPr>
            <w:r>
              <w:rPr>
                <w:rFonts w:ascii="Arial" w:hAnsi="Arial" w:cs="Arial"/>
                <w:b/>
                <w:bCs/>
              </w:rPr>
              <w:t>MPO 8</w:t>
            </w:r>
            <w:r w:rsidRPr="00083BDB">
              <w:rPr>
                <w:rFonts w:ascii="Arial" w:hAnsi="Arial" w:cs="Arial"/>
                <w:b/>
                <w:bCs/>
              </w:rPr>
              <w:t>.0:</w:t>
            </w:r>
            <w:r>
              <w:rPr>
                <w:rFonts w:ascii="Arial" w:hAnsi="Arial" w:cs="Arial"/>
              </w:rPr>
              <w:t xml:space="preserve"> </w:t>
            </w:r>
            <w:r w:rsidRPr="00083BDB">
              <w:rPr>
                <w:rFonts w:ascii="Arial" w:hAnsi="Arial" w:cs="Arial"/>
              </w:rPr>
              <w:t>Each year, MEP subgrantees provide at least one workshop for parents on</w:t>
            </w:r>
            <w:r>
              <w:rPr>
                <w:rFonts w:ascii="Arial" w:hAnsi="Arial" w:cs="Arial"/>
              </w:rPr>
              <w:t xml:space="preserve"> the topics identified in Strategy 8.0.</w:t>
            </w:r>
          </w:p>
        </w:tc>
        <w:tc>
          <w:tcPr>
            <w:tcW w:w="4950" w:type="dxa"/>
          </w:tcPr>
          <w:p w14:paraId="76B1E7DE" w14:textId="77777777" w:rsidR="001B1D6E" w:rsidRDefault="001B1D6E" w:rsidP="001B1D6E">
            <w:pPr>
              <w:pStyle w:val="ListParagraph"/>
              <w:numPr>
                <w:ilvl w:val="0"/>
                <w:numId w:val="9"/>
              </w:numPr>
              <w:spacing w:after="120"/>
              <w:ind w:left="475"/>
              <w:contextualSpacing w:val="0"/>
              <w:rPr>
                <w:rFonts w:ascii="Arial" w:hAnsi="Arial" w:cs="Arial"/>
              </w:rPr>
            </w:pPr>
            <w:r>
              <w:rPr>
                <w:rFonts w:ascii="Arial" w:hAnsi="Arial" w:cs="Arial"/>
              </w:rPr>
              <w:t>The strategy/MPO’s numbering has been revised.</w:t>
            </w:r>
          </w:p>
          <w:p w14:paraId="221938EB" w14:textId="77777777" w:rsidR="001B1D6E" w:rsidRDefault="001B1D6E" w:rsidP="001B1D6E">
            <w:pPr>
              <w:pStyle w:val="ListParagraph"/>
              <w:numPr>
                <w:ilvl w:val="0"/>
                <w:numId w:val="9"/>
              </w:numPr>
              <w:spacing w:after="120"/>
              <w:ind w:left="475"/>
              <w:contextualSpacing w:val="0"/>
              <w:rPr>
                <w:rFonts w:ascii="Arial" w:hAnsi="Arial" w:cs="Arial"/>
              </w:rPr>
            </w:pPr>
            <w:r>
              <w:rPr>
                <w:rFonts w:ascii="Arial" w:hAnsi="Arial" w:cs="Arial"/>
              </w:rPr>
              <w:t>Instead of three workshops (one for each topic area), MEP subgrantees can offer one workshop that covers content for all three topic areas.</w:t>
            </w:r>
          </w:p>
          <w:p w14:paraId="122F1FD0" w14:textId="3CA96038" w:rsidR="001B1D6E" w:rsidRDefault="001B1D6E" w:rsidP="001B1D6E">
            <w:pPr>
              <w:pStyle w:val="ListParagraph"/>
              <w:numPr>
                <w:ilvl w:val="0"/>
                <w:numId w:val="21"/>
              </w:numPr>
              <w:spacing w:after="120"/>
              <w:ind w:left="413" w:hanging="270"/>
              <w:contextualSpacing w:val="0"/>
              <w:rPr>
                <w:rFonts w:ascii="Arial" w:hAnsi="Arial" w:cs="Arial"/>
              </w:rPr>
            </w:pPr>
            <w:r>
              <w:rPr>
                <w:rFonts w:ascii="Arial" w:hAnsi="Arial" w:cs="Arial"/>
              </w:rPr>
              <w:t>Strategy verification will be conducted similarly in that subgrantees will need to submit documentation (e.g., agenda, workshop materials).</w:t>
            </w:r>
          </w:p>
        </w:tc>
      </w:tr>
      <w:tr w:rsidR="001B1D6E" w:rsidRPr="0078589E" w14:paraId="63E28C15" w14:textId="77777777" w:rsidTr="001B1D6E">
        <w:trPr>
          <w:cantSplit/>
        </w:trPr>
        <w:tc>
          <w:tcPr>
            <w:tcW w:w="924" w:type="dxa"/>
            <w:shd w:val="clear" w:color="auto" w:fill="D9F2D0" w:themeFill="accent6" w:themeFillTint="33"/>
          </w:tcPr>
          <w:p w14:paraId="3D2E1BFC" w14:textId="2761A308" w:rsidR="001B1D6E" w:rsidRPr="0078589E" w:rsidRDefault="001B1D6E" w:rsidP="00895AD1">
            <w:pPr>
              <w:rPr>
                <w:rFonts w:ascii="Arial" w:hAnsi="Arial" w:cs="Arial"/>
              </w:rPr>
            </w:pPr>
            <w:r w:rsidRPr="0078589E">
              <w:rPr>
                <w:rFonts w:ascii="Arial" w:hAnsi="Arial" w:cs="Arial"/>
              </w:rPr>
              <w:t>SR 8.0</w:t>
            </w:r>
          </w:p>
        </w:tc>
        <w:tc>
          <w:tcPr>
            <w:tcW w:w="5275" w:type="dxa"/>
            <w:shd w:val="clear" w:color="auto" w:fill="D9F2D0" w:themeFill="accent6" w:themeFillTint="33"/>
          </w:tcPr>
          <w:p w14:paraId="7CD9FF3E" w14:textId="77777777" w:rsidR="001B1D6E" w:rsidRPr="0078589E" w:rsidRDefault="001B1D6E" w:rsidP="001B1D6E">
            <w:pPr>
              <w:spacing w:after="120"/>
              <w:rPr>
                <w:rFonts w:ascii="Arial" w:hAnsi="Arial" w:cs="Arial"/>
              </w:rPr>
            </w:pPr>
            <w:r w:rsidRPr="0078589E">
              <w:rPr>
                <w:rFonts w:ascii="Arial" w:hAnsi="Arial" w:cs="Arial"/>
                <w:b/>
              </w:rPr>
              <w:t xml:space="preserve">Strategy 8.0: </w:t>
            </w:r>
            <w:r w:rsidRPr="0078589E">
              <w:rPr>
                <w:rFonts w:ascii="Arial" w:hAnsi="Arial" w:cs="Arial"/>
              </w:rPr>
              <w:t>Include social emotional development strategies in school readiness services.</w:t>
            </w:r>
          </w:p>
          <w:p w14:paraId="2CF46A11" w14:textId="5221F7B1" w:rsidR="001B1D6E" w:rsidRPr="0078589E" w:rsidRDefault="001B1D6E" w:rsidP="001B1D6E">
            <w:pPr>
              <w:spacing w:after="120"/>
              <w:rPr>
                <w:rFonts w:ascii="Arial" w:hAnsi="Arial" w:cs="Arial"/>
                <w:b/>
              </w:rPr>
            </w:pPr>
            <w:r w:rsidRPr="0078589E">
              <w:rPr>
                <w:rFonts w:ascii="Arial" w:hAnsi="Arial" w:cs="Arial"/>
                <w:b/>
                <w:bCs/>
              </w:rPr>
              <w:t>MPO 8.0:</w:t>
            </w:r>
            <w:r w:rsidRPr="0078589E">
              <w:rPr>
                <w:rFonts w:ascii="Arial" w:hAnsi="Arial" w:cs="Arial"/>
              </w:rPr>
              <w:t xml:space="preserve"> Each year, 100 percent of </w:t>
            </w:r>
            <w:r>
              <w:rPr>
                <w:rFonts w:ascii="Arial" w:hAnsi="Arial" w:cs="Arial"/>
              </w:rPr>
              <w:t>Migrant Education School Readiness Program</w:t>
            </w:r>
            <w:r w:rsidRPr="0078589E">
              <w:rPr>
                <w:rFonts w:ascii="Arial" w:hAnsi="Arial" w:cs="Arial"/>
              </w:rPr>
              <w:t xml:space="preserve"> services will incorporate a social emotional component.</w:t>
            </w:r>
          </w:p>
        </w:tc>
        <w:tc>
          <w:tcPr>
            <w:tcW w:w="923" w:type="dxa"/>
            <w:shd w:val="clear" w:color="auto" w:fill="F2CEED" w:themeFill="accent5" w:themeFillTint="33"/>
          </w:tcPr>
          <w:p w14:paraId="3795C7A6" w14:textId="4A82DD5E" w:rsidR="001B1D6E" w:rsidRDefault="001B1D6E" w:rsidP="009566EF">
            <w:pPr>
              <w:spacing w:after="120"/>
              <w:rPr>
                <w:rFonts w:ascii="Arial" w:hAnsi="Arial" w:cs="Arial"/>
              </w:rPr>
            </w:pPr>
            <w:r>
              <w:rPr>
                <w:rFonts w:ascii="Arial" w:hAnsi="Arial" w:cs="Arial"/>
              </w:rPr>
              <w:t>N/A</w:t>
            </w:r>
          </w:p>
        </w:tc>
        <w:tc>
          <w:tcPr>
            <w:tcW w:w="5113" w:type="dxa"/>
            <w:shd w:val="clear" w:color="auto" w:fill="F2CEED" w:themeFill="accent5" w:themeFillTint="33"/>
          </w:tcPr>
          <w:p w14:paraId="0818EAFF" w14:textId="1AB01F67" w:rsidR="001B1D6E" w:rsidRPr="007D443E" w:rsidRDefault="001B1D6E" w:rsidP="001B1D6E">
            <w:pPr>
              <w:spacing w:after="120"/>
              <w:rPr>
                <w:rFonts w:ascii="Arial" w:hAnsi="Arial" w:cs="Arial"/>
                <w:b/>
              </w:rPr>
            </w:pPr>
            <w:r w:rsidRPr="00C24F36">
              <w:rPr>
                <w:rFonts w:ascii="Arial" w:hAnsi="Arial" w:cs="Arial"/>
                <w:b/>
                <w:bCs/>
              </w:rPr>
              <w:t xml:space="preserve">This strategy </w:t>
            </w:r>
            <w:r>
              <w:rPr>
                <w:rFonts w:ascii="Arial" w:hAnsi="Arial" w:cs="Arial"/>
                <w:b/>
                <w:bCs/>
              </w:rPr>
              <w:t>is not included in the 2026 SDP.</w:t>
            </w:r>
          </w:p>
        </w:tc>
        <w:tc>
          <w:tcPr>
            <w:tcW w:w="4950" w:type="dxa"/>
            <w:shd w:val="clear" w:color="auto" w:fill="D9D9D9" w:themeFill="background1" w:themeFillShade="D9"/>
          </w:tcPr>
          <w:p w14:paraId="3EFBFB40" w14:textId="7A04A0DC" w:rsidR="001B1D6E" w:rsidRPr="001B1D6E" w:rsidRDefault="001B1D6E" w:rsidP="001B1D6E">
            <w:pPr>
              <w:spacing w:after="120"/>
              <w:ind w:left="115"/>
              <w:rPr>
                <w:rFonts w:ascii="Arial" w:hAnsi="Arial" w:cs="Arial"/>
              </w:rPr>
            </w:pPr>
            <w:r>
              <w:rPr>
                <w:rFonts w:ascii="Arial" w:hAnsi="Arial" w:cs="Arial"/>
              </w:rPr>
              <w:t>SEL learning is embedded in the California Preschool/Transitional Kindergarten Learning Foundations and should continue to be implemented in all school readiness services.</w:t>
            </w:r>
          </w:p>
        </w:tc>
      </w:tr>
    </w:tbl>
    <w:p w14:paraId="63AECF06" w14:textId="77777777" w:rsidR="002415BA" w:rsidRDefault="002415BA">
      <w:r>
        <w:br w:type="page"/>
      </w:r>
    </w:p>
    <w:p w14:paraId="77F3AC59" w14:textId="6C3FFA55" w:rsidR="00FA3D07" w:rsidRPr="0078589E" w:rsidRDefault="00FA3D07" w:rsidP="00C862B4">
      <w:pPr>
        <w:pStyle w:val="Heading2"/>
      </w:pPr>
      <w:r w:rsidRPr="0078589E">
        <w:lastRenderedPageBreak/>
        <w:t>Out of School Youth</w:t>
      </w:r>
    </w:p>
    <w:tbl>
      <w:tblPr>
        <w:tblStyle w:val="TableGrid"/>
        <w:tblW w:w="17185" w:type="dxa"/>
        <w:tblLook w:val="04A0" w:firstRow="1" w:lastRow="0" w:firstColumn="1" w:lastColumn="0" w:noHBand="0" w:noVBand="1"/>
        <w:tblDescription w:val="Out of School Youth comparison of the 2017 SSDP Strategies and MPOs and the 2026 SDP Strategies and MPOs."/>
      </w:tblPr>
      <w:tblGrid>
        <w:gridCol w:w="1075"/>
        <w:gridCol w:w="5128"/>
        <w:gridCol w:w="923"/>
        <w:gridCol w:w="4839"/>
        <w:gridCol w:w="5220"/>
      </w:tblGrid>
      <w:tr w:rsidR="00FA3D07" w:rsidRPr="00095DF3" w14:paraId="2D4A1984" w14:textId="77777777" w:rsidTr="001A00A1">
        <w:trPr>
          <w:cantSplit/>
          <w:tblHeader/>
        </w:trPr>
        <w:tc>
          <w:tcPr>
            <w:tcW w:w="1075" w:type="dxa"/>
            <w:shd w:val="clear" w:color="auto" w:fill="D9F2D0" w:themeFill="accent6" w:themeFillTint="33"/>
          </w:tcPr>
          <w:p w14:paraId="5A27DB99" w14:textId="77777777" w:rsidR="00FA3D07" w:rsidRPr="00095DF3" w:rsidRDefault="00FA3D07" w:rsidP="004540CC">
            <w:pPr>
              <w:rPr>
                <w:rFonts w:ascii="Arial" w:hAnsi="Arial" w:cs="Arial"/>
                <w:b/>
                <w:bCs/>
              </w:rPr>
            </w:pPr>
            <w:r w:rsidRPr="00095DF3">
              <w:rPr>
                <w:rFonts w:ascii="Arial" w:hAnsi="Arial" w:cs="Arial"/>
                <w:b/>
                <w:bCs/>
              </w:rPr>
              <w:t xml:space="preserve">Focus Area </w:t>
            </w:r>
          </w:p>
        </w:tc>
        <w:tc>
          <w:tcPr>
            <w:tcW w:w="5128" w:type="dxa"/>
            <w:shd w:val="clear" w:color="auto" w:fill="D9F2D0" w:themeFill="accent6" w:themeFillTint="33"/>
          </w:tcPr>
          <w:p w14:paraId="462073CB" w14:textId="77777777" w:rsidR="00FA3D07" w:rsidRPr="00095DF3" w:rsidRDefault="00FA3D07" w:rsidP="004540CC">
            <w:pPr>
              <w:rPr>
                <w:rFonts w:ascii="Arial" w:hAnsi="Arial" w:cs="Arial"/>
                <w:b/>
                <w:bCs/>
              </w:rPr>
            </w:pPr>
            <w:r w:rsidRPr="00095DF3">
              <w:rPr>
                <w:rFonts w:ascii="Arial" w:hAnsi="Arial" w:cs="Arial"/>
                <w:b/>
                <w:bCs/>
              </w:rPr>
              <w:t>SSDP Strategies and MPOs (2017)</w:t>
            </w:r>
          </w:p>
        </w:tc>
        <w:tc>
          <w:tcPr>
            <w:tcW w:w="923" w:type="dxa"/>
            <w:shd w:val="clear" w:color="auto" w:fill="F2CEED" w:themeFill="accent5" w:themeFillTint="33"/>
          </w:tcPr>
          <w:p w14:paraId="66070C35" w14:textId="77777777" w:rsidR="00FA3D07" w:rsidRPr="00095DF3" w:rsidRDefault="00FA3D07" w:rsidP="004540CC">
            <w:pPr>
              <w:rPr>
                <w:rFonts w:ascii="Arial" w:hAnsi="Arial" w:cs="Arial"/>
                <w:b/>
                <w:bCs/>
              </w:rPr>
            </w:pPr>
            <w:r w:rsidRPr="00095DF3">
              <w:rPr>
                <w:rFonts w:ascii="Arial" w:hAnsi="Arial" w:cs="Arial"/>
                <w:b/>
                <w:bCs/>
              </w:rPr>
              <w:t xml:space="preserve">Focus Area </w:t>
            </w:r>
          </w:p>
        </w:tc>
        <w:tc>
          <w:tcPr>
            <w:tcW w:w="4839" w:type="dxa"/>
            <w:shd w:val="clear" w:color="auto" w:fill="F2CEED" w:themeFill="accent5" w:themeFillTint="33"/>
          </w:tcPr>
          <w:p w14:paraId="376C48D0" w14:textId="77777777" w:rsidR="00FA3D07" w:rsidRPr="00095DF3" w:rsidRDefault="00FA3D07" w:rsidP="004540CC">
            <w:pPr>
              <w:rPr>
                <w:rFonts w:ascii="Arial" w:hAnsi="Arial" w:cs="Arial"/>
                <w:b/>
                <w:bCs/>
              </w:rPr>
            </w:pPr>
            <w:r w:rsidRPr="00095DF3">
              <w:rPr>
                <w:rFonts w:ascii="Arial" w:hAnsi="Arial" w:cs="Arial"/>
                <w:b/>
                <w:bCs/>
              </w:rPr>
              <w:t>SDP Strategies and MPOs (2026)</w:t>
            </w:r>
          </w:p>
        </w:tc>
        <w:tc>
          <w:tcPr>
            <w:tcW w:w="5220" w:type="dxa"/>
          </w:tcPr>
          <w:p w14:paraId="50321B31" w14:textId="77777777" w:rsidR="00FA3D07" w:rsidRPr="00095DF3" w:rsidRDefault="00FA3D07" w:rsidP="004540CC">
            <w:pPr>
              <w:rPr>
                <w:rFonts w:ascii="Arial" w:hAnsi="Arial" w:cs="Arial"/>
                <w:b/>
                <w:bCs/>
              </w:rPr>
            </w:pPr>
            <w:r w:rsidRPr="00095DF3">
              <w:rPr>
                <w:rFonts w:ascii="Arial" w:hAnsi="Arial" w:cs="Arial"/>
                <w:b/>
                <w:bCs/>
              </w:rPr>
              <w:t xml:space="preserve">Comparison </w:t>
            </w:r>
          </w:p>
        </w:tc>
      </w:tr>
      <w:tr w:rsidR="00C95CAD" w:rsidRPr="0078589E" w14:paraId="5CAF8B8A" w14:textId="77777777" w:rsidTr="001A00A1">
        <w:trPr>
          <w:cantSplit/>
        </w:trPr>
        <w:tc>
          <w:tcPr>
            <w:tcW w:w="1075" w:type="dxa"/>
            <w:shd w:val="clear" w:color="auto" w:fill="D9F2D0" w:themeFill="accent6" w:themeFillTint="33"/>
          </w:tcPr>
          <w:p w14:paraId="0EC1BA51" w14:textId="0A5A7291" w:rsidR="00C95CAD" w:rsidRPr="0078589E" w:rsidRDefault="00C95CAD" w:rsidP="00C95CAD">
            <w:pPr>
              <w:rPr>
                <w:rFonts w:ascii="Arial" w:hAnsi="Arial" w:cs="Arial"/>
              </w:rPr>
            </w:pPr>
            <w:r>
              <w:rPr>
                <w:rFonts w:ascii="Arial" w:hAnsi="Arial" w:cs="Arial"/>
              </w:rPr>
              <w:t>OSY 9.0</w:t>
            </w:r>
          </w:p>
        </w:tc>
        <w:tc>
          <w:tcPr>
            <w:tcW w:w="5128" w:type="dxa"/>
            <w:shd w:val="clear" w:color="auto" w:fill="D9F2D0" w:themeFill="accent6" w:themeFillTint="33"/>
          </w:tcPr>
          <w:p w14:paraId="2A1442E7" w14:textId="71209F97" w:rsidR="00C95CAD" w:rsidRPr="00A12AEC" w:rsidRDefault="00C95CAD" w:rsidP="00A12AEC">
            <w:pPr>
              <w:spacing w:after="120"/>
              <w:rPr>
                <w:rFonts w:ascii="Arial" w:hAnsi="Arial" w:cs="Arial"/>
              </w:rPr>
            </w:pPr>
            <w:r w:rsidRPr="0078589E">
              <w:rPr>
                <w:rFonts w:ascii="Arial" w:hAnsi="Arial" w:cs="Arial"/>
                <w:b/>
              </w:rPr>
              <w:t xml:space="preserve">Strategy 9.0: </w:t>
            </w:r>
            <w:r w:rsidRPr="0078589E">
              <w:rPr>
                <w:rFonts w:ascii="Arial" w:hAnsi="Arial" w:cs="Arial"/>
              </w:rPr>
              <w:t>Provide OSY with a health education workshop to address healthy eating, physical activity, and related chronic disease prevention.</w:t>
            </w:r>
          </w:p>
          <w:p w14:paraId="39157557" w14:textId="14FBC51C" w:rsidR="00C95CAD" w:rsidRPr="0078589E" w:rsidRDefault="00C95CAD" w:rsidP="00A12AEC">
            <w:pPr>
              <w:spacing w:after="120"/>
              <w:rPr>
                <w:rFonts w:ascii="Arial" w:hAnsi="Arial" w:cs="Arial"/>
                <w:b/>
                <w:bCs/>
              </w:rPr>
            </w:pPr>
            <w:r w:rsidRPr="0078589E">
              <w:rPr>
                <w:rFonts w:ascii="Arial" w:hAnsi="Arial" w:cs="Arial"/>
                <w:b/>
              </w:rPr>
              <w:t>MPO 9.0:</w:t>
            </w:r>
            <w:r w:rsidRPr="0078589E">
              <w:rPr>
                <w:rFonts w:ascii="Arial" w:hAnsi="Arial" w:cs="Arial"/>
                <w:bCs/>
              </w:rPr>
              <w:t xml:space="preserve"> </w:t>
            </w:r>
            <w:r w:rsidRPr="0078589E">
              <w:rPr>
                <w:rFonts w:ascii="Arial" w:hAnsi="Arial" w:cs="Arial"/>
              </w:rPr>
              <w:t>Each year, the MEP will offer at least one health education workshop for OSY.</w:t>
            </w:r>
            <w:r w:rsidRPr="0078589E">
              <w:rPr>
                <w:rFonts w:ascii="Arial" w:hAnsi="Arial" w:cs="Arial"/>
                <w:bCs/>
              </w:rPr>
              <w:t xml:space="preserve"> </w:t>
            </w:r>
          </w:p>
        </w:tc>
        <w:tc>
          <w:tcPr>
            <w:tcW w:w="923" w:type="dxa"/>
            <w:shd w:val="clear" w:color="auto" w:fill="F2CEED" w:themeFill="accent5" w:themeFillTint="33"/>
          </w:tcPr>
          <w:p w14:paraId="07436220" w14:textId="1076713B" w:rsidR="00C95CAD" w:rsidRPr="0078589E" w:rsidRDefault="00C95CAD" w:rsidP="00A12AEC">
            <w:pPr>
              <w:spacing w:after="120"/>
              <w:rPr>
                <w:rFonts w:ascii="Arial" w:hAnsi="Arial" w:cs="Arial"/>
              </w:rPr>
            </w:pPr>
            <w:r>
              <w:rPr>
                <w:rFonts w:ascii="Arial" w:hAnsi="Arial" w:cs="Arial"/>
              </w:rPr>
              <w:t>OSY 9.0</w:t>
            </w:r>
          </w:p>
        </w:tc>
        <w:tc>
          <w:tcPr>
            <w:tcW w:w="4839" w:type="dxa"/>
            <w:shd w:val="clear" w:color="auto" w:fill="F2CEED" w:themeFill="accent5" w:themeFillTint="33"/>
          </w:tcPr>
          <w:p w14:paraId="2D01CC5E" w14:textId="7D5EFCE5" w:rsidR="00C95CAD" w:rsidRDefault="00C95CAD" w:rsidP="00A12AEC">
            <w:pPr>
              <w:spacing w:after="120"/>
              <w:rPr>
                <w:rFonts w:ascii="Arial" w:hAnsi="Arial" w:cs="Arial"/>
              </w:rPr>
            </w:pPr>
            <w:r w:rsidRPr="009338DC">
              <w:rPr>
                <w:rFonts w:ascii="Arial" w:hAnsi="Arial" w:cs="Arial"/>
                <w:b/>
                <w:bCs/>
              </w:rPr>
              <w:t>Strategy 9.0:</w:t>
            </w:r>
            <w:r>
              <w:rPr>
                <w:rFonts w:ascii="Arial" w:hAnsi="Arial" w:cs="Arial"/>
              </w:rPr>
              <w:t xml:space="preserve"> </w:t>
            </w:r>
            <w:r w:rsidRPr="009338DC">
              <w:rPr>
                <w:rFonts w:ascii="Arial" w:hAnsi="Arial" w:cs="Arial"/>
              </w:rPr>
              <w:t xml:space="preserve">Provide one workshop on CTE offerings in the area for OSY </w:t>
            </w:r>
            <w:r w:rsidR="00B55FF8" w:rsidRPr="009338DC">
              <w:rPr>
                <w:rFonts w:ascii="Arial" w:hAnsi="Arial" w:cs="Arial"/>
              </w:rPr>
              <w:t>who have</w:t>
            </w:r>
            <w:r w:rsidRPr="009338DC">
              <w:rPr>
                <w:rFonts w:ascii="Arial" w:hAnsi="Arial" w:cs="Arial"/>
              </w:rPr>
              <w:t xml:space="preserve"> indicated a need on the INA/ILP.</w:t>
            </w:r>
          </w:p>
          <w:p w14:paraId="3F181F18" w14:textId="001B6EED" w:rsidR="00C95CAD" w:rsidRPr="00C95CAD" w:rsidRDefault="00C95CAD" w:rsidP="00A12AEC">
            <w:pPr>
              <w:spacing w:after="120"/>
              <w:rPr>
                <w:rFonts w:ascii="Arial" w:hAnsi="Arial" w:cs="Arial"/>
              </w:rPr>
            </w:pPr>
            <w:r>
              <w:rPr>
                <w:rFonts w:ascii="Arial" w:hAnsi="Arial" w:cs="Arial"/>
                <w:b/>
                <w:bCs/>
              </w:rPr>
              <w:t>MPO 9</w:t>
            </w:r>
            <w:r w:rsidRPr="009338DC">
              <w:rPr>
                <w:rFonts w:ascii="Arial" w:hAnsi="Arial" w:cs="Arial"/>
                <w:b/>
                <w:bCs/>
              </w:rPr>
              <w:t>.0:</w:t>
            </w:r>
            <w:r>
              <w:rPr>
                <w:rFonts w:ascii="Arial" w:hAnsi="Arial" w:cs="Arial"/>
              </w:rPr>
              <w:t xml:space="preserve"> </w:t>
            </w:r>
            <w:r w:rsidRPr="009338DC">
              <w:rPr>
                <w:rFonts w:ascii="Arial" w:hAnsi="Arial" w:cs="Arial"/>
              </w:rPr>
              <w:t>Each year, 65 percent of OSY who expressed an interest in the INA in learning about CTE/job training programs participate in one CTE informational session.</w:t>
            </w:r>
          </w:p>
        </w:tc>
        <w:tc>
          <w:tcPr>
            <w:tcW w:w="5220" w:type="dxa"/>
          </w:tcPr>
          <w:p w14:paraId="54B21FAF" w14:textId="17019964" w:rsidR="00C95CAD" w:rsidRDefault="00C95CAD" w:rsidP="00C95CAD">
            <w:pPr>
              <w:pStyle w:val="ListParagraph"/>
              <w:numPr>
                <w:ilvl w:val="0"/>
                <w:numId w:val="9"/>
              </w:numPr>
              <w:spacing w:after="120"/>
              <w:ind w:left="475"/>
              <w:contextualSpacing w:val="0"/>
              <w:rPr>
                <w:rFonts w:ascii="Arial" w:hAnsi="Arial" w:cs="Arial"/>
              </w:rPr>
            </w:pPr>
            <w:r>
              <w:rPr>
                <w:rFonts w:ascii="Arial" w:hAnsi="Arial" w:cs="Arial"/>
              </w:rPr>
              <w:t>While the strategy continues to provide one workshop to OSY, the content changes from health education to CTE.</w:t>
            </w:r>
          </w:p>
          <w:p w14:paraId="77C3297A" w14:textId="7997EF10" w:rsidR="00C95CAD" w:rsidRDefault="00C95CAD" w:rsidP="00C95CAD">
            <w:pPr>
              <w:pStyle w:val="ListParagraph"/>
              <w:numPr>
                <w:ilvl w:val="0"/>
                <w:numId w:val="9"/>
              </w:numPr>
              <w:spacing w:after="120"/>
              <w:ind w:left="475"/>
              <w:contextualSpacing w:val="0"/>
              <w:rPr>
                <w:rFonts w:ascii="Arial" w:hAnsi="Arial" w:cs="Arial"/>
              </w:rPr>
            </w:pPr>
            <w:r>
              <w:rPr>
                <w:rFonts w:ascii="Arial" w:hAnsi="Arial" w:cs="Arial"/>
              </w:rPr>
              <w:t xml:space="preserve">OSY’s needs in this area are determined by a </w:t>
            </w:r>
            <w:proofErr w:type="gramStart"/>
            <w:r w:rsidR="003E3210">
              <w:rPr>
                <w:rFonts w:ascii="Arial" w:hAnsi="Arial" w:cs="Arial"/>
              </w:rPr>
              <w:t>complete</w:t>
            </w:r>
            <w:r w:rsidR="00AE71AE">
              <w:rPr>
                <w:rFonts w:ascii="Arial" w:hAnsi="Arial" w:cs="Arial"/>
              </w:rPr>
              <w:t>d</w:t>
            </w:r>
            <w:proofErr w:type="gramEnd"/>
            <w:r>
              <w:rPr>
                <w:rFonts w:ascii="Arial" w:hAnsi="Arial" w:cs="Arial"/>
              </w:rPr>
              <w:t xml:space="preserve"> INA.</w:t>
            </w:r>
          </w:p>
          <w:p w14:paraId="1B6DC1C6" w14:textId="0C05E481" w:rsidR="00C95CAD" w:rsidRPr="0078589E" w:rsidRDefault="00C95CAD" w:rsidP="00C95CAD">
            <w:pPr>
              <w:rPr>
                <w:rFonts w:ascii="Arial" w:hAnsi="Arial" w:cs="Arial"/>
              </w:rPr>
            </w:pPr>
          </w:p>
        </w:tc>
      </w:tr>
      <w:tr w:rsidR="00C95CAD" w:rsidRPr="0078589E" w14:paraId="6E724D9A" w14:textId="77777777" w:rsidTr="001A00A1">
        <w:trPr>
          <w:cantSplit/>
        </w:trPr>
        <w:tc>
          <w:tcPr>
            <w:tcW w:w="1075" w:type="dxa"/>
            <w:shd w:val="clear" w:color="auto" w:fill="D9F2D0" w:themeFill="accent6" w:themeFillTint="33"/>
          </w:tcPr>
          <w:p w14:paraId="55891954" w14:textId="7F84270C" w:rsidR="00C95CAD" w:rsidRPr="0078589E" w:rsidRDefault="00C95CAD" w:rsidP="00C95CAD">
            <w:pPr>
              <w:rPr>
                <w:rFonts w:ascii="Arial" w:hAnsi="Arial" w:cs="Arial"/>
              </w:rPr>
            </w:pPr>
            <w:r>
              <w:rPr>
                <w:rFonts w:ascii="Arial" w:hAnsi="Arial" w:cs="Arial"/>
              </w:rPr>
              <w:t>OSY 9.1</w:t>
            </w:r>
          </w:p>
        </w:tc>
        <w:tc>
          <w:tcPr>
            <w:tcW w:w="5128" w:type="dxa"/>
            <w:shd w:val="clear" w:color="auto" w:fill="D9F2D0" w:themeFill="accent6" w:themeFillTint="33"/>
          </w:tcPr>
          <w:p w14:paraId="097A08ED" w14:textId="0B9765DC" w:rsidR="00C95CAD" w:rsidRPr="0078589E" w:rsidRDefault="00C95CAD" w:rsidP="00A12AEC">
            <w:pPr>
              <w:spacing w:after="120"/>
              <w:rPr>
                <w:rFonts w:ascii="Arial" w:hAnsi="Arial" w:cs="Arial"/>
              </w:rPr>
            </w:pPr>
            <w:r w:rsidRPr="0078589E">
              <w:rPr>
                <w:rFonts w:ascii="Arial" w:hAnsi="Arial" w:cs="Arial"/>
                <w:b/>
              </w:rPr>
              <w:t xml:space="preserve">Strategy 9.1: </w:t>
            </w:r>
            <w:r w:rsidRPr="0078589E">
              <w:rPr>
                <w:rFonts w:ascii="Arial" w:hAnsi="Arial" w:cs="Arial"/>
              </w:rPr>
              <w:t>Provide a variety of health services and referrals to OSY who need dental, vision, hearing, medical, or mental health services.</w:t>
            </w:r>
          </w:p>
          <w:p w14:paraId="079D9073" w14:textId="238330F0" w:rsidR="00C95CAD" w:rsidRPr="0078589E" w:rsidRDefault="00C95CAD" w:rsidP="00A12AEC">
            <w:pPr>
              <w:spacing w:after="120"/>
              <w:rPr>
                <w:rFonts w:ascii="Arial" w:hAnsi="Arial" w:cs="Arial"/>
              </w:rPr>
            </w:pPr>
            <w:r w:rsidRPr="0078589E">
              <w:rPr>
                <w:rFonts w:ascii="Arial" w:hAnsi="Arial" w:cs="Arial"/>
                <w:b/>
                <w:bCs/>
              </w:rPr>
              <w:t>MPO 9.1:</w:t>
            </w:r>
            <w:r w:rsidRPr="0078589E">
              <w:rPr>
                <w:rFonts w:ascii="Arial" w:hAnsi="Arial" w:cs="Arial"/>
              </w:rPr>
              <w:t xml:space="preserve"> Each year, the MEP will offer OSY students at least one health service.</w:t>
            </w:r>
          </w:p>
        </w:tc>
        <w:tc>
          <w:tcPr>
            <w:tcW w:w="923" w:type="dxa"/>
            <w:shd w:val="clear" w:color="auto" w:fill="F2CEED" w:themeFill="accent5" w:themeFillTint="33"/>
          </w:tcPr>
          <w:p w14:paraId="42BB3297" w14:textId="53BFFE0C" w:rsidR="00C95CAD" w:rsidRPr="0078589E" w:rsidRDefault="001A00A1" w:rsidP="00A12AEC">
            <w:pPr>
              <w:spacing w:after="120"/>
              <w:rPr>
                <w:rFonts w:ascii="Arial" w:hAnsi="Arial" w:cs="Arial"/>
              </w:rPr>
            </w:pPr>
            <w:r>
              <w:rPr>
                <w:rFonts w:ascii="Arial" w:hAnsi="Arial" w:cs="Arial"/>
              </w:rPr>
              <w:t>N/A</w:t>
            </w:r>
          </w:p>
        </w:tc>
        <w:tc>
          <w:tcPr>
            <w:tcW w:w="4839" w:type="dxa"/>
            <w:shd w:val="clear" w:color="auto" w:fill="F2CEED" w:themeFill="accent5" w:themeFillTint="33"/>
          </w:tcPr>
          <w:p w14:paraId="2290A825" w14:textId="185C45DB" w:rsidR="00C95CAD" w:rsidRPr="0078589E" w:rsidRDefault="00402D1E" w:rsidP="00A12AEC">
            <w:pPr>
              <w:spacing w:after="120"/>
              <w:rPr>
                <w:rFonts w:ascii="Arial" w:hAnsi="Arial" w:cs="Arial"/>
              </w:rPr>
            </w:pPr>
            <w:r w:rsidRPr="00C24F36">
              <w:rPr>
                <w:rFonts w:ascii="Arial" w:hAnsi="Arial" w:cs="Arial"/>
                <w:b/>
                <w:bCs/>
              </w:rPr>
              <w:t xml:space="preserve">This strategy </w:t>
            </w:r>
            <w:r>
              <w:rPr>
                <w:rFonts w:ascii="Arial" w:hAnsi="Arial" w:cs="Arial"/>
                <w:b/>
                <w:bCs/>
              </w:rPr>
              <w:t>is not included in the 2026 SDP.</w:t>
            </w:r>
          </w:p>
        </w:tc>
        <w:tc>
          <w:tcPr>
            <w:tcW w:w="5220" w:type="dxa"/>
            <w:shd w:val="clear" w:color="auto" w:fill="D9D9D9" w:themeFill="background1" w:themeFillShade="D9"/>
          </w:tcPr>
          <w:p w14:paraId="228F4C64" w14:textId="03A9DCCC" w:rsidR="00C95CAD" w:rsidRPr="0078589E" w:rsidRDefault="00C95CAD" w:rsidP="00C95CAD">
            <w:pPr>
              <w:rPr>
                <w:rFonts w:ascii="Arial" w:hAnsi="Arial" w:cs="Arial"/>
              </w:rPr>
            </w:pPr>
            <w:r>
              <w:rPr>
                <w:rFonts w:ascii="Arial" w:hAnsi="Arial" w:cs="Arial"/>
              </w:rPr>
              <w:t>OSY health service participation/referrals can still be recorded using the SSDP (2017) state codes (4000s). This allows the MEP to track specific health services to OSY. If that is not needed in your program, please include OSY health service participation/ referrals using state code 900s.</w:t>
            </w:r>
          </w:p>
        </w:tc>
      </w:tr>
      <w:tr w:rsidR="00C95CAD" w:rsidRPr="0078589E" w14:paraId="73CD81CE" w14:textId="77777777" w:rsidTr="001A00A1">
        <w:trPr>
          <w:cantSplit/>
        </w:trPr>
        <w:tc>
          <w:tcPr>
            <w:tcW w:w="1075" w:type="dxa"/>
            <w:shd w:val="clear" w:color="auto" w:fill="D9F2D0" w:themeFill="accent6" w:themeFillTint="33"/>
          </w:tcPr>
          <w:p w14:paraId="3217EC68" w14:textId="44762A92" w:rsidR="00C95CAD" w:rsidRPr="0078589E" w:rsidRDefault="00C95CAD" w:rsidP="00C95CAD">
            <w:pPr>
              <w:rPr>
                <w:rFonts w:ascii="Arial" w:hAnsi="Arial" w:cs="Arial"/>
              </w:rPr>
            </w:pPr>
            <w:r>
              <w:rPr>
                <w:rFonts w:ascii="Arial" w:hAnsi="Arial" w:cs="Arial"/>
              </w:rPr>
              <w:t>OSY 10.0</w:t>
            </w:r>
          </w:p>
        </w:tc>
        <w:tc>
          <w:tcPr>
            <w:tcW w:w="5128" w:type="dxa"/>
            <w:shd w:val="clear" w:color="auto" w:fill="D9F2D0" w:themeFill="accent6" w:themeFillTint="33"/>
          </w:tcPr>
          <w:p w14:paraId="642E322E" w14:textId="4A2B6218" w:rsidR="00C95CAD" w:rsidRPr="0078589E" w:rsidRDefault="00C95CAD" w:rsidP="00A12AEC">
            <w:pPr>
              <w:spacing w:after="120"/>
              <w:rPr>
                <w:rFonts w:ascii="Arial" w:hAnsi="Arial" w:cs="Arial"/>
              </w:rPr>
            </w:pPr>
            <w:r w:rsidRPr="0078589E">
              <w:rPr>
                <w:rFonts w:ascii="Arial" w:hAnsi="Arial" w:cs="Arial"/>
                <w:b/>
              </w:rPr>
              <w:t xml:space="preserve">Strategy 10.0: </w:t>
            </w:r>
            <w:r w:rsidRPr="0078589E">
              <w:rPr>
                <w:rFonts w:ascii="Arial" w:hAnsi="Arial" w:cs="Arial"/>
              </w:rPr>
              <w:t>Increase OSY participation in ELA, ELD (or ESL), and/or literacy classes.</w:t>
            </w:r>
          </w:p>
          <w:p w14:paraId="5AD51524" w14:textId="6C9922D0" w:rsidR="00C95CAD" w:rsidRPr="0078589E" w:rsidRDefault="00C95CAD" w:rsidP="00A12AEC">
            <w:pPr>
              <w:tabs>
                <w:tab w:val="left" w:pos="1680"/>
              </w:tabs>
              <w:spacing w:after="120"/>
              <w:rPr>
                <w:rFonts w:ascii="Arial" w:hAnsi="Arial" w:cs="Arial"/>
              </w:rPr>
            </w:pPr>
            <w:r w:rsidRPr="0078589E">
              <w:rPr>
                <w:rFonts w:ascii="Arial" w:hAnsi="Arial" w:cs="Arial"/>
                <w:b/>
                <w:bCs/>
              </w:rPr>
              <w:t>MPO 10.0:</w:t>
            </w:r>
            <w:r w:rsidRPr="0078589E">
              <w:rPr>
                <w:rFonts w:ascii="Arial" w:hAnsi="Arial" w:cs="Arial"/>
              </w:rPr>
              <w:t xml:space="preserve"> </w:t>
            </w:r>
            <w:r w:rsidRPr="007D443E">
              <w:rPr>
                <w:rFonts w:ascii="Arial" w:hAnsi="Arial" w:cs="Arial"/>
              </w:rPr>
              <w:t xml:space="preserve">Each year, 65 percent of OSY who have a desire to learn English </w:t>
            </w:r>
            <w:r>
              <w:rPr>
                <w:rFonts w:ascii="Arial" w:hAnsi="Arial" w:cs="Arial"/>
              </w:rPr>
              <w:t xml:space="preserve">as indicated on the INA/ILP </w:t>
            </w:r>
            <w:r w:rsidRPr="007D443E">
              <w:rPr>
                <w:rFonts w:ascii="Arial" w:hAnsi="Arial" w:cs="Arial"/>
              </w:rPr>
              <w:t xml:space="preserve">will </w:t>
            </w:r>
            <w:r>
              <w:rPr>
                <w:rFonts w:ascii="Arial" w:hAnsi="Arial" w:cs="Arial"/>
              </w:rPr>
              <w:t xml:space="preserve">participate in </w:t>
            </w:r>
            <w:r w:rsidRPr="007D443E">
              <w:rPr>
                <w:rFonts w:ascii="Arial" w:hAnsi="Arial" w:cs="Arial"/>
              </w:rPr>
              <w:t>an ELA or ESL service.</w:t>
            </w:r>
          </w:p>
        </w:tc>
        <w:tc>
          <w:tcPr>
            <w:tcW w:w="923" w:type="dxa"/>
            <w:shd w:val="clear" w:color="auto" w:fill="F2CEED" w:themeFill="accent5" w:themeFillTint="33"/>
          </w:tcPr>
          <w:p w14:paraId="3B98EB3B" w14:textId="174AC53C" w:rsidR="00C95CAD" w:rsidRPr="0078589E" w:rsidRDefault="00C95CAD" w:rsidP="00A12AEC">
            <w:pPr>
              <w:spacing w:after="120"/>
              <w:rPr>
                <w:rFonts w:ascii="Arial" w:hAnsi="Arial" w:cs="Arial"/>
              </w:rPr>
            </w:pPr>
            <w:r>
              <w:rPr>
                <w:rFonts w:ascii="Arial" w:hAnsi="Arial" w:cs="Arial"/>
              </w:rPr>
              <w:t>OSY 10.0</w:t>
            </w:r>
          </w:p>
        </w:tc>
        <w:tc>
          <w:tcPr>
            <w:tcW w:w="4839" w:type="dxa"/>
            <w:shd w:val="clear" w:color="auto" w:fill="F2CEED" w:themeFill="accent5" w:themeFillTint="33"/>
          </w:tcPr>
          <w:p w14:paraId="2463C981" w14:textId="4018D6A7" w:rsidR="00C95CAD" w:rsidRPr="0078589E" w:rsidRDefault="00C95CAD" w:rsidP="00A12AEC">
            <w:pPr>
              <w:spacing w:after="120"/>
              <w:rPr>
                <w:rFonts w:ascii="Arial" w:hAnsi="Arial" w:cs="Arial"/>
              </w:rPr>
            </w:pPr>
            <w:r w:rsidRPr="0078589E">
              <w:rPr>
                <w:rFonts w:ascii="Arial" w:hAnsi="Arial" w:cs="Arial"/>
                <w:b/>
              </w:rPr>
              <w:t xml:space="preserve">Strategy 10.0: </w:t>
            </w:r>
            <w:r w:rsidRPr="0078589E">
              <w:rPr>
                <w:rFonts w:ascii="Arial" w:hAnsi="Arial" w:cs="Arial"/>
              </w:rPr>
              <w:t>Increase OSY participation in ELA, ELD (or ESL), and/or literacy classes.</w:t>
            </w:r>
          </w:p>
          <w:p w14:paraId="74851883" w14:textId="47723FDF" w:rsidR="00C95CAD" w:rsidRPr="0078589E" w:rsidRDefault="00C95CAD" w:rsidP="00A12AEC">
            <w:pPr>
              <w:spacing w:after="120"/>
              <w:rPr>
                <w:rFonts w:ascii="Arial" w:hAnsi="Arial" w:cs="Arial"/>
              </w:rPr>
            </w:pPr>
            <w:r w:rsidRPr="0078589E">
              <w:rPr>
                <w:rFonts w:ascii="Arial" w:hAnsi="Arial" w:cs="Arial"/>
                <w:b/>
                <w:bCs/>
              </w:rPr>
              <w:t>MPO 10.0:</w:t>
            </w:r>
            <w:r w:rsidRPr="0078589E">
              <w:rPr>
                <w:rFonts w:ascii="Arial" w:hAnsi="Arial" w:cs="Arial"/>
              </w:rPr>
              <w:t xml:space="preserve"> </w:t>
            </w:r>
            <w:r w:rsidRPr="007D443E">
              <w:rPr>
                <w:rFonts w:ascii="Arial" w:hAnsi="Arial" w:cs="Arial"/>
              </w:rPr>
              <w:t xml:space="preserve">Each year, </w:t>
            </w:r>
            <w:r w:rsidR="00587E88">
              <w:rPr>
                <w:rFonts w:ascii="Arial" w:hAnsi="Arial" w:cs="Arial"/>
              </w:rPr>
              <w:t>70</w:t>
            </w:r>
            <w:r w:rsidRPr="007D443E">
              <w:rPr>
                <w:rFonts w:ascii="Arial" w:hAnsi="Arial" w:cs="Arial"/>
              </w:rPr>
              <w:t xml:space="preserve"> percent of OSY who have a desire to learn English </w:t>
            </w:r>
            <w:r>
              <w:rPr>
                <w:rFonts w:ascii="Arial" w:hAnsi="Arial" w:cs="Arial"/>
              </w:rPr>
              <w:t xml:space="preserve">as indicated on the INA/ILP </w:t>
            </w:r>
            <w:r w:rsidRPr="007D443E">
              <w:rPr>
                <w:rFonts w:ascii="Arial" w:hAnsi="Arial" w:cs="Arial"/>
              </w:rPr>
              <w:t xml:space="preserve">will </w:t>
            </w:r>
            <w:r>
              <w:rPr>
                <w:rFonts w:ascii="Arial" w:hAnsi="Arial" w:cs="Arial"/>
              </w:rPr>
              <w:t xml:space="preserve">participate in </w:t>
            </w:r>
            <w:r w:rsidRPr="007D443E">
              <w:rPr>
                <w:rFonts w:ascii="Arial" w:hAnsi="Arial" w:cs="Arial"/>
              </w:rPr>
              <w:t>an ELA or ESL service.</w:t>
            </w:r>
          </w:p>
        </w:tc>
        <w:tc>
          <w:tcPr>
            <w:tcW w:w="5220" w:type="dxa"/>
          </w:tcPr>
          <w:p w14:paraId="5CD94352" w14:textId="77777777" w:rsidR="00587E88" w:rsidRDefault="00587E88" w:rsidP="00587E88">
            <w:pPr>
              <w:pStyle w:val="ListParagraph"/>
              <w:numPr>
                <w:ilvl w:val="0"/>
                <w:numId w:val="10"/>
              </w:numPr>
              <w:spacing w:after="120"/>
              <w:ind w:left="391"/>
              <w:contextualSpacing w:val="0"/>
              <w:rPr>
                <w:rFonts w:ascii="Arial" w:hAnsi="Arial" w:cs="Arial"/>
              </w:rPr>
            </w:pPr>
            <w:r>
              <w:rPr>
                <w:rFonts w:ascii="Arial" w:hAnsi="Arial" w:cs="Arial"/>
              </w:rPr>
              <w:t>Both use INA data to identify a need.</w:t>
            </w:r>
          </w:p>
          <w:p w14:paraId="50CA94B2" w14:textId="17C788D6" w:rsidR="00C95CAD" w:rsidRDefault="00587E88" w:rsidP="00587E88">
            <w:pPr>
              <w:pStyle w:val="ListParagraph"/>
              <w:numPr>
                <w:ilvl w:val="0"/>
                <w:numId w:val="10"/>
              </w:numPr>
              <w:spacing w:after="120"/>
              <w:ind w:left="391"/>
              <w:contextualSpacing w:val="0"/>
              <w:rPr>
                <w:rFonts w:ascii="Arial" w:hAnsi="Arial" w:cs="Arial"/>
              </w:rPr>
            </w:pPr>
            <w:r>
              <w:rPr>
                <w:rFonts w:ascii="Arial" w:hAnsi="Arial" w:cs="Arial"/>
              </w:rPr>
              <w:t>This now includes both service and referral participation whereas only service participation was counted previously.</w:t>
            </w:r>
          </w:p>
          <w:p w14:paraId="3050268C" w14:textId="77777777" w:rsidR="0004335C" w:rsidRDefault="0004335C" w:rsidP="0004335C">
            <w:pPr>
              <w:pStyle w:val="ListParagraph"/>
              <w:numPr>
                <w:ilvl w:val="0"/>
                <w:numId w:val="10"/>
              </w:numPr>
              <w:spacing w:after="120"/>
              <w:ind w:left="391"/>
              <w:contextualSpacing w:val="0"/>
              <w:rPr>
                <w:rFonts w:ascii="Arial" w:hAnsi="Arial" w:cs="Arial"/>
              </w:rPr>
            </w:pPr>
            <w:r>
              <w:rPr>
                <w:rFonts w:ascii="Arial" w:hAnsi="Arial" w:cs="Arial"/>
              </w:rPr>
              <w:t>Includes both grades for OSY NA (not attending) and AD (adult education).</w:t>
            </w:r>
          </w:p>
          <w:p w14:paraId="310A50E0" w14:textId="0BCE8C84" w:rsidR="00587E88" w:rsidRPr="00587E88" w:rsidRDefault="00587E88" w:rsidP="00587E88">
            <w:pPr>
              <w:pStyle w:val="ListParagraph"/>
              <w:numPr>
                <w:ilvl w:val="0"/>
                <w:numId w:val="10"/>
              </w:numPr>
              <w:ind w:left="391"/>
              <w:rPr>
                <w:rFonts w:ascii="Arial" w:hAnsi="Arial" w:cs="Arial"/>
              </w:rPr>
            </w:pPr>
            <w:r>
              <w:rPr>
                <w:rFonts w:ascii="Arial" w:hAnsi="Arial" w:cs="Arial"/>
              </w:rPr>
              <w:t>The percentage was increased by five percent based on past performance.</w:t>
            </w:r>
          </w:p>
        </w:tc>
      </w:tr>
      <w:tr w:rsidR="001B1D6E" w:rsidRPr="0078589E" w14:paraId="45BDC275" w14:textId="77777777" w:rsidTr="001A00A1">
        <w:trPr>
          <w:cantSplit/>
        </w:trPr>
        <w:tc>
          <w:tcPr>
            <w:tcW w:w="1075" w:type="dxa"/>
            <w:shd w:val="clear" w:color="auto" w:fill="D9F2D0" w:themeFill="accent6" w:themeFillTint="33"/>
          </w:tcPr>
          <w:p w14:paraId="61EB888A" w14:textId="61F8A26C" w:rsidR="001B1D6E" w:rsidRDefault="001B1D6E" w:rsidP="00C95CAD">
            <w:pPr>
              <w:rPr>
                <w:rFonts w:ascii="Arial" w:hAnsi="Arial" w:cs="Arial"/>
              </w:rPr>
            </w:pPr>
            <w:r>
              <w:rPr>
                <w:rFonts w:ascii="Arial" w:hAnsi="Arial" w:cs="Arial"/>
              </w:rPr>
              <w:lastRenderedPageBreak/>
              <w:t>OSY 10.1</w:t>
            </w:r>
          </w:p>
        </w:tc>
        <w:tc>
          <w:tcPr>
            <w:tcW w:w="5128" w:type="dxa"/>
            <w:shd w:val="clear" w:color="auto" w:fill="D9F2D0" w:themeFill="accent6" w:themeFillTint="33"/>
          </w:tcPr>
          <w:p w14:paraId="4A3A12A4" w14:textId="77777777" w:rsidR="001B1D6E" w:rsidRPr="0078589E" w:rsidRDefault="001B1D6E" w:rsidP="001B1D6E">
            <w:pPr>
              <w:spacing w:after="120"/>
              <w:rPr>
                <w:rFonts w:ascii="Arial" w:hAnsi="Arial" w:cs="Arial"/>
              </w:rPr>
            </w:pPr>
            <w:r w:rsidRPr="0078589E">
              <w:rPr>
                <w:rFonts w:ascii="Arial" w:hAnsi="Arial" w:cs="Arial"/>
                <w:b/>
              </w:rPr>
              <w:t xml:space="preserve">Strategy 10.1: </w:t>
            </w:r>
            <w:r w:rsidRPr="0078589E">
              <w:rPr>
                <w:rFonts w:ascii="Arial" w:hAnsi="Arial" w:cs="Arial"/>
              </w:rPr>
              <w:t>Provide</w:t>
            </w:r>
            <w:r>
              <w:rPr>
                <w:rFonts w:ascii="Arial" w:hAnsi="Arial" w:cs="Arial"/>
              </w:rPr>
              <w:t xml:space="preserve"> </w:t>
            </w:r>
            <w:r w:rsidRPr="00A61302">
              <w:rPr>
                <w:rFonts w:ascii="Arial" w:hAnsi="Arial" w:cs="Arial"/>
              </w:rPr>
              <w:t>General Educational Developmen</w:t>
            </w:r>
            <w:r>
              <w:rPr>
                <w:rFonts w:ascii="Arial" w:hAnsi="Arial" w:cs="Arial"/>
              </w:rPr>
              <w:t>t</w:t>
            </w:r>
            <w:r w:rsidRPr="0078589E">
              <w:rPr>
                <w:rFonts w:ascii="Arial" w:hAnsi="Arial" w:cs="Arial"/>
              </w:rPr>
              <w:t xml:space="preserve"> </w:t>
            </w:r>
            <w:r>
              <w:rPr>
                <w:rFonts w:ascii="Arial" w:hAnsi="Arial" w:cs="Arial"/>
              </w:rPr>
              <w:t>(</w:t>
            </w:r>
            <w:r w:rsidRPr="0078589E">
              <w:rPr>
                <w:rFonts w:ascii="Arial" w:hAnsi="Arial" w:cs="Arial"/>
              </w:rPr>
              <w:t>GED</w:t>
            </w:r>
            <w:r>
              <w:rPr>
                <w:rFonts w:ascii="Arial" w:hAnsi="Arial" w:cs="Arial"/>
              </w:rPr>
              <w:t>)</w:t>
            </w:r>
            <w:r w:rsidRPr="0078589E">
              <w:rPr>
                <w:rFonts w:ascii="Arial" w:hAnsi="Arial" w:cs="Arial"/>
              </w:rPr>
              <w:t xml:space="preserve"> or high school equivalency services for OSY who have dropped out of school but want to obtain a GED.</w:t>
            </w:r>
          </w:p>
          <w:p w14:paraId="23E20494" w14:textId="30EA037B" w:rsidR="001B1D6E" w:rsidRPr="0078589E" w:rsidRDefault="001B1D6E" w:rsidP="001B1D6E">
            <w:pPr>
              <w:spacing w:after="120"/>
              <w:rPr>
                <w:rFonts w:ascii="Arial" w:hAnsi="Arial" w:cs="Arial"/>
                <w:b/>
              </w:rPr>
            </w:pPr>
            <w:r w:rsidRPr="0078589E">
              <w:rPr>
                <w:rFonts w:ascii="Arial" w:hAnsi="Arial" w:cs="Arial"/>
                <w:b/>
                <w:bCs/>
              </w:rPr>
              <w:t>MPO 10.1:</w:t>
            </w:r>
            <w:r w:rsidRPr="0078589E">
              <w:rPr>
                <w:rFonts w:ascii="Arial" w:hAnsi="Arial" w:cs="Arial"/>
              </w:rPr>
              <w:t xml:space="preserve"> </w:t>
            </w:r>
            <w:r w:rsidRPr="007D443E">
              <w:rPr>
                <w:rFonts w:ascii="Arial" w:hAnsi="Arial" w:cs="Arial"/>
              </w:rPr>
              <w:t xml:space="preserve">Each year, 65 percent of OSY who want to obtain a general education diploma </w:t>
            </w:r>
            <w:r>
              <w:rPr>
                <w:rFonts w:ascii="Arial" w:hAnsi="Arial" w:cs="Arial"/>
              </w:rPr>
              <w:t>as indicated on the INA/ILP participate in</w:t>
            </w:r>
            <w:r w:rsidRPr="007D443E">
              <w:rPr>
                <w:rFonts w:ascii="Arial" w:hAnsi="Arial" w:cs="Arial"/>
              </w:rPr>
              <w:t xml:space="preserve"> one GED test preparation workshop/service.</w:t>
            </w:r>
          </w:p>
        </w:tc>
        <w:tc>
          <w:tcPr>
            <w:tcW w:w="923" w:type="dxa"/>
            <w:shd w:val="clear" w:color="auto" w:fill="F2CEED" w:themeFill="accent5" w:themeFillTint="33"/>
          </w:tcPr>
          <w:p w14:paraId="30D67191" w14:textId="07EACC78" w:rsidR="001B1D6E" w:rsidRDefault="001B1D6E" w:rsidP="00A12AEC">
            <w:pPr>
              <w:spacing w:after="120"/>
              <w:rPr>
                <w:rFonts w:ascii="Arial" w:hAnsi="Arial" w:cs="Arial"/>
              </w:rPr>
            </w:pPr>
            <w:r>
              <w:rPr>
                <w:rFonts w:ascii="Arial" w:hAnsi="Arial" w:cs="Arial"/>
              </w:rPr>
              <w:t>OSY 10.1</w:t>
            </w:r>
          </w:p>
        </w:tc>
        <w:tc>
          <w:tcPr>
            <w:tcW w:w="4839" w:type="dxa"/>
            <w:shd w:val="clear" w:color="auto" w:fill="F2CEED" w:themeFill="accent5" w:themeFillTint="33"/>
          </w:tcPr>
          <w:p w14:paraId="003A8AC0" w14:textId="77777777" w:rsidR="001B1D6E" w:rsidRPr="0078589E" w:rsidRDefault="001B1D6E" w:rsidP="001B1D6E">
            <w:pPr>
              <w:spacing w:after="120"/>
              <w:rPr>
                <w:rFonts w:ascii="Arial" w:hAnsi="Arial" w:cs="Arial"/>
              </w:rPr>
            </w:pPr>
            <w:r w:rsidRPr="0078589E">
              <w:rPr>
                <w:rFonts w:ascii="Arial" w:hAnsi="Arial" w:cs="Arial"/>
                <w:b/>
              </w:rPr>
              <w:t xml:space="preserve">Strategy 10.1: </w:t>
            </w:r>
            <w:r w:rsidRPr="0078589E">
              <w:rPr>
                <w:rFonts w:ascii="Arial" w:hAnsi="Arial" w:cs="Arial"/>
              </w:rPr>
              <w:t>Provide GED or high school equivalency services for OSY who have dropped out of school but want to obtain a GED.</w:t>
            </w:r>
          </w:p>
          <w:p w14:paraId="2DCF8C50" w14:textId="60E98CFD" w:rsidR="001B1D6E" w:rsidRPr="0078589E" w:rsidRDefault="001B1D6E" w:rsidP="001B1D6E">
            <w:pPr>
              <w:spacing w:after="120"/>
              <w:rPr>
                <w:rFonts w:ascii="Arial" w:hAnsi="Arial" w:cs="Arial"/>
                <w:b/>
              </w:rPr>
            </w:pPr>
            <w:r w:rsidRPr="0078589E">
              <w:rPr>
                <w:rFonts w:ascii="Arial" w:hAnsi="Arial" w:cs="Arial"/>
                <w:b/>
                <w:bCs/>
              </w:rPr>
              <w:t>MPO 10.1:</w:t>
            </w:r>
            <w:r w:rsidRPr="0078589E">
              <w:rPr>
                <w:rFonts w:ascii="Arial" w:hAnsi="Arial" w:cs="Arial"/>
              </w:rPr>
              <w:t xml:space="preserve"> </w:t>
            </w:r>
            <w:r w:rsidRPr="007D443E">
              <w:rPr>
                <w:rFonts w:ascii="Arial" w:hAnsi="Arial" w:cs="Arial"/>
              </w:rPr>
              <w:t xml:space="preserve">Each year, </w:t>
            </w:r>
            <w:r>
              <w:rPr>
                <w:rFonts w:ascii="Arial" w:hAnsi="Arial" w:cs="Arial"/>
              </w:rPr>
              <w:t>80</w:t>
            </w:r>
            <w:r w:rsidRPr="007D443E">
              <w:rPr>
                <w:rFonts w:ascii="Arial" w:hAnsi="Arial" w:cs="Arial"/>
              </w:rPr>
              <w:t xml:space="preserve"> percent of OSY who want to obtain a general education diploma </w:t>
            </w:r>
            <w:r>
              <w:rPr>
                <w:rFonts w:ascii="Arial" w:hAnsi="Arial" w:cs="Arial"/>
              </w:rPr>
              <w:t>as indicated on the INA/ILP participate in</w:t>
            </w:r>
            <w:r w:rsidRPr="007D443E">
              <w:rPr>
                <w:rFonts w:ascii="Arial" w:hAnsi="Arial" w:cs="Arial"/>
              </w:rPr>
              <w:t xml:space="preserve"> one GED test preparation workshop/service.</w:t>
            </w:r>
          </w:p>
        </w:tc>
        <w:tc>
          <w:tcPr>
            <w:tcW w:w="5220" w:type="dxa"/>
          </w:tcPr>
          <w:p w14:paraId="5A471724" w14:textId="77777777" w:rsidR="001B1D6E" w:rsidRDefault="001B1D6E" w:rsidP="001B1D6E">
            <w:pPr>
              <w:pStyle w:val="ListParagraph"/>
              <w:numPr>
                <w:ilvl w:val="0"/>
                <w:numId w:val="10"/>
              </w:numPr>
              <w:spacing w:after="120"/>
              <w:ind w:left="391"/>
              <w:contextualSpacing w:val="0"/>
              <w:rPr>
                <w:rFonts w:ascii="Arial" w:hAnsi="Arial" w:cs="Arial"/>
              </w:rPr>
            </w:pPr>
            <w:r>
              <w:rPr>
                <w:rFonts w:ascii="Arial" w:hAnsi="Arial" w:cs="Arial"/>
              </w:rPr>
              <w:t>Both use INA data to identify a need.</w:t>
            </w:r>
          </w:p>
          <w:p w14:paraId="744FB856" w14:textId="77777777" w:rsidR="001B1D6E" w:rsidRDefault="001B1D6E" w:rsidP="001B1D6E">
            <w:pPr>
              <w:pStyle w:val="ListParagraph"/>
              <w:numPr>
                <w:ilvl w:val="0"/>
                <w:numId w:val="10"/>
              </w:numPr>
              <w:spacing w:after="120"/>
              <w:ind w:left="391"/>
              <w:contextualSpacing w:val="0"/>
              <w:rPr>
                <w:rFonts w:ascii="Arial" w:hAnsi="Arial" w:cs="Arial"/>
              </w:rPr>
            </w:pPr>
            <w:r>
              <w:rPr>
                <w:rFonts w:ascii="Arial" w:hAnsi="Arial" w:cs="Arial"/>
              </w:rPr>
              <w:t>This now includes both service and referral participation whereas only service participation was counted previously.</w:t>
            </w:r>
          </w:p>
          <w:p w14:paraId="315FA98A" w14:textId="77777777" w:rsidR="001B1D6E" w:rsidRDefault="001B1D6E" w:rsidP="001B1D6E">
            <w:pPr>
              <w:pStyle w:val="ListParagraph"/>
              <w:numPr>
                <w:ilvl w:val="0"/>
                <w:numId w:val="10"/>
              </w:numPr>
              <w:spacing w:after="120"/>
              <w:ind w:left="391"/>
              <w:contextualSpacing w:val="0"/>
              <w:rPr>
                <w:rFonts w:ascii="Arial" w:hAnsi="Arial" w:cs="Arial"/>
              </w:rPr>
            </w:pPr>
            <w:r>
              <w:rPr>
                <w:rFonts w:ascii="Arial" w:hAnsi="Arial" w:cs="Arial"/>
              </w:rPr>
              <w:t>Includes both grades for OSY (i.e., NA and AD).</w:t>
            </w:r>
          </w:p>
          <w:p w14:paraId="0E469B3A" w14:textId="3DF7D4FF" w:rsidR="001B1D6E" w:rsidRDefault="001B1D6E" w:rsidP="001B1D6E">
            <w:pPr>
              <w:pStyle w:val="ListParagraph"/>
              <w:numPr>
                <w:ilvl w:val="0"/>
                <w:numId w:val="10"/>
              </w:numPr>
              <w:spacing w:after="120"/>
              <w:ind w:left="391"/>
              <w:contextualSpacing w:val="0"/>
              <w:rPr>
                <w:rFonts w:ascii="Arial" w:hAnsi="Arial" w:cs="Arial"/>
              </w:rPr>
            </w:pPr>
            <w:r w:rsidRPr="00587E88">
              <w:rPr>
                <w:rFonts w:ascii="Arial" w:hAnsi="Arial" w:cs="Arial"/>
              </w:rPr>
              <w:t xml:space="preserve">The percentage increased by </w:t>
            </w:r>
            <w:r>
              <w:rPr>
                <w:rFonts w:ascii="Arial" w:hAnsi="Arial" w:cs="Arial"/>
              </w:rPr>
              <w:t>15</w:t>
            </w:r>
            <w:r w:rsidRPr="00587E88">
              <w:rPr>
                <w:rFonts w:ascii="Arial" w:hAnsi="Arial" w:cs="Arial"/>
              </w:rPr>
              <w:t xml:space="preserve"> percent based on past performance.</w:t>
            </w:r>
          </w:p>
        </w:tc>
      </w:tr>
      <w:tr w:rsidR="001B1D6E" w:rsidRPr="0078589E" w14:paraId="3089C2B4" w14:textId="77777777" w:rsidTr="001B1D6E">
        <w:trPr>
          <w:cantSplit/>
        </w:trPr>
        <w:tc>
          <w:tcPr>
            <w:tcW w:w="1075" w:type="dxa"/>
            <w:shd w:val="clear" w:color="auto" w:fill="D9F2D0" w:themeFill="accent6" w:themeFillTint="33"/>
          </w:tcPr>
          <w:p w14:paraId="59004B22" w14:textId="31463654" w:rsidR="001B1D6E" w:rsidRDefault="001B1D6E" w:rsidP="00C95CAD">
            <w:pPr>
              <w:rPr>
                <w:rFonts w:ascii="Arial" w:hAnsi="Arial" w:cs="Arial"/>
              </w:rPr>
            </w:pPr>
            <w:r>
              <w:rPr>
                <w:rFonts w:ascii="Arial" w:hAnsi="Arial" w:cs="Arial"/>
              </w:rPr>
              <w:t>OSY 10.2</w:t>
            </w:r>
          </w:p>
        </w:tc>
        <w:tc>
          <w:tcPr>
            <w:tcW w:w="5128" w:type="dxa"/>
            <w:shd w:val="clear" w:color="auto" w:fill="D9F2D0" w:themeFill="accent6" w:themeFillTint="33"/>
          </w:tcPr>
          <w:p w14:paraId="39BEC3DC" w14:textId="77777777" w:rsidR="001B1D6E" w:rsidRDefault="001B1D6E" w:rsidP="001B1D6E">
            <w:pPr>
              <w:spacing w:after="120"/>
              <w:rPr>
                <w:rFonts w:ascii="Arial" w:hAnsi="Arial" w:cs="Arial"/>
              </w:rPr>
            </w:pPr>
            <w:r w:rsidRPr="0078589E">
              <w:rPr>
                <w:rFonts w:ascii="Arial" w:hAnsi="Arial" w:cs="Arial"/>
                <w:b/>
              </w:rPr>
              <w:t xml:space="preserve">Strategy 10.2: </w:t>
            </w:r>
            <w:r w:rsidRPr="0078589E">
              <w:rPr>
                <w:rFonts w:ascii="Arial" w:hAnsi="Arial" w:cs="Arial"/>
              </w:rPr>
              <w:t>Provide primary language literacy services for OSY who have dropped out of school but want to obtain a high school diploma in their home country.</w:t>
            </w:r>
          </w:p>
          <w:p w14:paraId="7B4F4D6F" w14:textId="666C9594" w:rsidR="001B1D6E" w:rsidRPr="0078589E" w:rsidRDefault="001B1D6E" w:rsidP="001B1D6E">
            <w:pPr>
              <w:spacing w:after="120"/>
              <w:rPr>
                <w:rFonts w:ascii="Arial" w:hAnsi="Arial" w:cs="Arial"/>
                <w:b/>
              </w:rPr>
            </w:pPr>
            <w:r w:rsidRPr="007C16F9">
              <w:rPr>
                <w:rFonts w:ascii="Arial" w:hAnsi="Arial" w:cs="Arial"/>
                <w:b/>
                <w:bCs/>
              </w:rPr>
              <w:t>MPO 10.2:</w:t>
            </w:r>
            <w:r>
              <w:rPr>
                <w:rFonts w:ascii="Arial" w:hAnsi="Arial" w:cs="Arial"/>
              </w:rPr>
              <w:t xml:space="preserve"> </w:t>
            </w:r>
            <w:r w:rsidRPr="007D443E">
              <w:rPr>
                <w:rFonts w:ascii="Arial" w:hAnsi="Arial" w:cs="Arial"/>
              </w:rPr>
              <w:t>Each year, 50 percent of OSY who want to obtain a high school diploma</w:t>
            </w:r>
            <w:r>
              <w:rPr>
                <w:rFonts w:ascii="Arial" w:hAnsi="Arial" w:cs="Arial"/>
              </w:rPr>
              <w:t xml:space="preserve"> as indicated on the INA/ILP</w:t>
            </w:r>
            <w:r w:rsidRPr="007D443E">
              <w:rPr>
                <w:rFonts w:ascii="Arial" w:hAnsi="Arial" w:cs="Arial"/>
              </w:rPr>
              <w:t xml:space="preserve"> </w:t>
            </w:r>
            <w:r>
              <w:rPr>
                <w:rFonts w:ascii="Arial" w:hAnsi="Arial" w:cs="Arial"/>
              </w:rPr>
              <w:t>participate in</w:t>
            </w:r>
            <w:r w:rsidRPr="007D443E">
              <w:rPr>
                <w:rFonts w:ascii="Arial" w:hAnsi="Arial" w:cs="Arial"/>
              </w:rPr>
              <w:t xml:space="preserve"> a literacy service in their native language.</w:t>
            </w:r>
          </w:p>
        </w:tc>
        <w:tc>
          <w:tcPr>
            <w:tcW w:w="923" w:type="dxa"/>
            <w:shd w:val="clear" w:color="auto" w:fill="F2CEED" w:themeFill="accent5" w:themeFillTint="33"/>
          </w:tcPr>
          <w:p w14:paraId="2C5AA5B8" w14:textId="17FC0C62" w:rsidR="001B1D6E" w:rsidRDefault="001B1D6E" w:rsidP="00A12AEC">
            <w:pPr>
              <w:spacing w:after="120"/>
              <w:rPr>
                <w:rFonts w:ascii="Arial" w:hAnsi="Arial" w:cs="Arial"/>
              </w:rPr>
            </w:pPr>
            <w:r>
              <w:rPr>
                <w:rFonts w:ascii="Arial" w:hAnsi="Arial" w:cs="Arial"/>
              </w:rPr>
              <w:t>N/A</w:t>
            </w:r>
          </w:p>
        </w:tc>
        <w:tc>
          <w:tcPr>
            <w:tcW w:w="4839" w:type="dxa"/>
            <w:shd w:val="clear" w:color="auto" w:fill="F2CEED" w:themeFill="accent5" w:themeFillTint="33"/>
          </w:tcPr>
          <w:p w14:paraId="2C944A34" w14:textId="41B1BD18" w:rsidR="001B1D6E" w:rsidRPr="0078589E" w:rsidRDefault="001B1D6E" w:rsidP="001B1D6E">
            <w:pPr>
              <w:spacing w:after="120"/>
              <w:rPr>
                <w:rFonts w:ascii="Arial" w:hAnsi="Arial" w:cs="Arial"/>
                <w:b/>
              </w:rPr>
            </w:pPr>
            <w:r w:rsidRPr="00C24F36">
              <w:rPr>
                <w:rFonts w:ascii="Arial" w:hAnsi="Arial" w:cs="Arial"/>
                <w:b/>
                <w:bCs/>
              </w:rPr>
              <w:t xml:space="preserve">This strategy </w:t>
            </w:r>
            <w:r>
              <w:rPr>
                <w:rFonts w:ascii="Arial" w:hAnsi="Arial" w:cs="Arial"/>
                <w:b/>
                <w:bCs/>
              </w:rPr>
              <w:t>is not included in the 2026 SDP.</w:t>
            </w:r>
          </w:p>
        </w:tc>
        <w:tc>
          <w:tcPr>
            <w:tcW w:w="5220" w:type="dxa"/>
            <w:shd w:val="clear" w:color="auto" w:fill="D9D9D9" w:themeFill="background1" w:themeFillShade="D9"/>
          </w:tcPr>
          <w:p w14:paraId="4FEF75DF" w14:textId="51688A34" w:rsidR="001B1D6E" w:rsidRPr="001B1D6E" w:rsidRDefault="001B1D6E" w:rsidP="001B1D6E">
            <w:pPr>
              <w:spacing w:after="120"/>
              <w:ind w:left="31"/>
              <w:rPr>
                <w:rFonts w:ascii="Arial" w:hAnsi="Arial" w:cs="Arial"/>
              </w:rPr>
            </w:pPr>
            <w:r>
              <w:rPr>
                <w:rFonts w:ascii="Arial" w:hAnsi="Arial" w:cs="Arial"/>
              </w:rPr>
              <w:t xml:space="preserve">Even though </w:t>
            </w:r>
            <w:proofErr w:type="gramStart"/>
            <w:r>
              <w:rPr>
                <w:rFonts w:ascii="Arial" w:hAnsi="Arial" w:cs="Arial"/>
              </w:rPr>
              <w:t>the CDE</w:t>
            </w:r>
            <w:proofErr w:type="gramEnd"/>
            <w:r>
              <w:rPr>
                <w:rFonts w:ascii="Arial" w:hAnsi="Arial" w:cs="Arial"/>
              </w:rPr>
              <w:t xml:space="preserve"> will no longer collect this data, MEP subgrantees are able to continue to provide this service as needed.</w:t>
            </w:r>
          </w:p>
        </w:tc>
      </w:tr>
    </w:tbl>
    <w:p w14:paraId="66782E46" w14:textId="77777777" w:rsidR="00EE226E" w:rsidRDefault="00EE226E">
      <w:r>
        <w:br w:type="page"/>
      </w:r>
    </w:p>
    <w:p w14:paraId="63D53B98" w14:textId="2CBB9878" w:rsidR="00FA3D07" w:rsidRPr="0078589E" w:rsidRDefault="00FA3D07" w:rsidP="00C862B4">
      <w:pPr>
        <w:pStyle w:val="Heading2"/>
      </w:pPr>
      <w:r w:rsidRPr="0078589E">
        <w:lastRenderedPageBreak/>
        <w:t>Health</w:t>
      </w:r>
    </w:p>
    <w:tbl>
      <w:tblPr>
        <w:tblStyle w:val="TableGrid"/>
        <w:tblW w:w="17185" w:type="dxa"/>
        <w:tblLook w:val="04A0" w:firstRow="1" w:lastRow="0" w:firstColumn="1" w:lastColumn="0" w:noHBand="0" w:noVBand="1"/>
        <w:tblDescription w:val="Health comparison of the 2017 SSDP Strategies and MPOs and the 2026 SDP Strategies and MPOs."/>
      </w:tblPr>
      <w:tblGrid>
        <w:gridCol w:w="924"/>
        <w:gridCol w:w="5483"/>
        <w:gridCol w:w="923"/>
        <w:gridCol w:w="5445"/>
        <w:gridCol w:w="4410"/>
      </w:tblGrid>
      <w:tr w:rsidR="00FA3D07" w:rsidRPr="00095DF3" w14:paraId="3A1C785D" w14:textId="77777777" w:rsidTr="00C862B4">
        <w:trPr>
          <w:cantSplit/>
          <w:tblHeader/>
        </w:trPr>
        <w:tc>
          <w:tcPr>
            <w:tcW w:w="924" w:type="dxa"/>
            <w:shd w:val="clear" w:color="auto" w:fill="D9F2D0" w:themeFill="accent6" w:themeFillTint="33"/>
          </w:tcPr>
          <w:p w14:paraId="065C34ED" w14:textId="77777777" w:rsidR="00FA3D07" w:rsidRPr="00095DF3" w:rsidRDefault="00FA3D07" w:rsidP="004540CC">
            <w:pPr>
              <w:rPr>
                <w:rFonts w:ascii="Arial" w:hAnsi="Arial" w:cs="Arial"/>
                <w:b/>
                <w:bCs/>
              </w:rPr>
            </w:pPr>
            <w:r w:rsidRPr="00095DF3">
              <w:rPr>
                <w:rFonts w:ascii="Arial" w:hAnsi="Arial" w:cs="Arial"/>
                <w:b/>
                <w:bCs/>
              </w:rPr>
              <w:t xml:space="preserve">Focus Area </w:t>
            </w:r>
          </w:p>
        </w:tc>
        <w:tc>
          <w:tcPr>
            <w:tcW w:w="5483" w:type="dxa"/>
            <w:shd w:val="clear" w:color="auto" w:fill="D9F2D0" w:themeFill="accent6" w:themeFillTint="33"/>
          </w:tcPr>
          <w:p w14:paraId="1A67217F" w14:textId="77777777" w:rsidR="00FA3D07" w:rsidRPr="00095DF3" w:rsidRDefault="00FA3D07" w:rsidP="004540CC">
            <w:pPr>
              <w:rPr>
                <w:rFonts w:ascii="Arial" w:hAnsi="Arial" w:cs="Arial"/>
                <w:b/>
                <w:bCs/>
              </w:rPr>
            </w:pPr>
            <w:r w:rsidRPr="00095DF3">
              <w:rPr>
                <w:rFonts w:ascii="Arial" w:hAnsi="Arial" w:cs="Arial"/>
                <w:b/>
                <w:bCs/>
              </w:rPr>
              <w:t>SSDP Strategies and MPOs (2017)</w:t>
            </w:r>
          </w:p>
        </w:tc>
        <w:tc>
          <w:tcPr>
            <w:tcW w:w="923" w:type="dxa"/>
            <w:shd w:val="clear" w:color="auto" w:fill="F2CEED" w:themeFill="accent5" w:themeFillTint="33"/>
          </w:tcPr>
          <w:p w14:paraId="017CBDDD" w14:textId="77777777" w:rsidR="00FA3D07" w:rsidRPr="00095DF3" w:rsidRDefault="00FA3D07" w:rsidP="004540CC">
            <w:pPr>
              <w:rPr>
                <w:rFonts w:ascii="Arial" w:hAnsi="Arial" w:cs="Arial"/>
                <w:b/>
                <w:bCs/>
              </w:rPr>
            </w:pPr>
            <w:r w:rsidRPr="00095DF3">
              <w:rPr>
                <w:rFonts w:ascii="Arial" w:hAnsi="Arial" w:cs="Arial"/>
                <w:b/>
                <w:bCs/>
              </w:rPr>
              <w:t xml:space="preserve">Focus Area </w:t>
            </w:r>
          </w:p>
        </w:tc>
        <w:tc>
          <w:tcPr>
            <w:tcW w:w="5445" w:type="dxa"/>
            <w:shd w:val="clear" w:color="auto" w:fill="F2CEED" w:themeFill="accent5" w:themeFillTint="33"/>
          </w:tcPr>
          <w:p w14:paraId="298C67A8" w14:textId="77777777" w:rsidR="00FA3D07" w:rsidRPr="00095DF3" w:rsidRDefault="00FA3D07" w:rsidP="004540CC">
            <w:pPr>
              <w:rPr>
                <w:rFonts w:ascii="Arial" w:hAnsi="Arial" w:cs="Arial"/>
                <w:b/>
                <w:bCs/>
              </w:rPr>
            </w:pPr>
            <w:r w:rsidRPr="00095DF3">
              <w:rPr>
                <w:rFonts w:ascii="Arial" w:hAnsi="Arial" w:cs="Arial"/>
                <w:b/>
                <w:bCs/>
              </w:rPr>
              <w:t>SDP Strategies and MPOs (2026)</w:t>
            </w:r>
          </w:p>
        </w:tc>
        <w:tc>
          <w:tcPr>
            <w:tcW w:w="4410" w:type="dxa"/>
          </w:tcPr>
          <w:p w14:paraId="0A715D7F" w14:textId="77777777" w:rsidR="00FA3D07" w:rsidRPr="00095DF3" w:rsidRDefault="00FA3D07" w:rsidP="004540CC">
            <w:pPr>
              <w:rPr>
                <w:rFonts w:ascii="Arial" w:hAnsi="Arial" w:cs="Arial"/>
                <w:b/>
                <w:bCs/>
              </w:rPr>
            </w:pPr>
            <w:r w:rsidRPr="00095DF3">
              <w:rPr>
                <w:rFonts w:ascii="Arial" w:hAnsi="Arial" w:cs="Arial"/>
                <w:b/>
                <w:bCs/>
              </w:rPr>
              <w:t xml:space="preserve">Comparison </w:t>
            </w:r>
          </w:p>
        </w:tc>
      </w:tr>
      <w:tr w:rsidR="006A0DD8" w:rsidRPr="0078589E" w14:paraId="7414DE69" w14:textId="77777777" w:rsidTr="00C862B4">
        <w:trPr>
          <w:cantSplit/>
        </w:trPr>
        <w:tc>
          <w:tcPr>
            <w:tcW w:w="924" w:type="dxa"/>
            <w:shd w:val="clear" w:color="auto" w:fill="D9F2D0" w:themeFill="accent6" w:themeFillTint="33"/>
          </w:tcPr>
          <w:p w14:paraId="714251D9" w14:textId="0234C0AE" w:rsidR="006A0DD8" w:rsidRPr="0078589E" w:rsidRDefault="006A0DD8" w:rsidP="006A0DD8">
            <w:pPr>
              <w:rPr>
                <w:rFonts w:ascii="Arial" w:hAnsi="Arial" w:cs="Arial"/>
              </w:rPr>
            </w:pPr>
            <w:r>
              <w:rPr>
                <w:rFonts w:ascii="Arial" w:hAnsi="Arial" w:cs="Arial"/>
              </w:rPr>
              <w:t>Health 11.0</w:t>
            </w:r>
          </w:p>
        </w:tc>
        <w:tc>
          <w:tcPr>
            <w:tcW w:w="5483" w:type="dxa"/>
            <w:shd w:val="clear" w:color="auto" w:fill="D9F2D0" w:themeFill="accent6" w:themeFillTint="33"/>
          </w:tcPr>
          <w:p w14:paraId="2E9DAA5A" w14:textId="787F46AA" w:rsidR="006A0DD8" w:rsidRPr="00B76E3C" w:rsidRDefault="006A0DD8" w:rsidP="00A12AEC">
            <w:pPr>
              <w:spacing w:after="120"/>
              <w:rPr>
                <w:rFonts w:ascii="Arial" w:hAnsi="Arial" w:cs="Arial"/>
              </w:rPr>
            </w:pPr>
            <w:r w:rsidRPr="007D443E">
              <w:rPr>
                <w:rFonts w:ascii="Arial" w:hAnsi="Arial" w:cs="Arial"/>
                <w:b/>
              </w:rPr>
              <w:t xml:space="preserve">Strategy 11.0: </w:t>
            </w:r>
            <w:r w:rsidRPr="007D443E">
              <w:rPr>
                <w:rFonts w:ascii="Arial" w:hAnsi="Arial" w:cs="Arial"/>
              </w:rPr>
              <w:t>Offer health education workshops with a focus on mental health which provides students and parents with the knowledge, attitudes, and skills to make healthy choices (Family Health Nights</w:t>
            </w:r>
            <w:r>
              <w:rPr>
                <w:rFonts w:ascii="Arial" w:hAnsi="Arial" w:cs="Arial"/>
              </w:rPr>
              <w:t xml:space="preserve"> or separate workshops for parents and children</w:t>
            </w:r>
            <w:r w:rsidRPr="007D443E">
              <w:rPr>
                <w:rFonts w:ascii="Arial" w:hAnsi="Arial" w:cs="Arial"/>
              </w:rPr>
              <w:t>).</w:t>
            </w:r>
          </w:p>
          <w:p w14:paraId="184AF40F" w14:textId="18D0910C" w:rsidR="006A0DD8" w:rsidRPr="0078589E" w:rsidRDefault="006A0DD8" w:rsidP="00A12AEC">
            <w:pPr>
              <w:spacing w:after="120"/>
              <w:rPr>
                <w:rFonts w:ascii="Arial" w:hAnsi="Arial" w:cs="Arial"/>
                <w:b/>
                <w:bCs/>
              </w:rPr>
            </w:pPr>
            <w:r>
              <w:rPr>
                <w:rFonts w:ascii="Arial" w:hAnsi="Arial" w:cs="Arial"/>
                <w:b/>
                <w:bCs/>
              </w:rPr>
              <w:t xml:space="preserve">MPO 11.0: </w:t>
            </w:r>
            <w:r w:rsidRPr="007D443E">
              <w:rPr>
                <w:rFonts w:ascii="Arial" w:hAnsi="Arial" w:cs="Arial"/>
              </w:rPr>
              <w:t xml:space="preserve">Each year, MEPs will offer two health education workshops that </w:t>
            </w:r>
            <w:r w:rsidR="00EC3486" w:rsidRPr="007D443E">
              <w:rPr>
                <w:rFonts w:ascii="Arial" w:hAnsi="Arial" w:cs="Arial"/>
              </w:rPr>
              <w:t>focus</w:t>
            </w:r>
            <w:r w:rsidRPr="007D443E">
              <w:rPr>
                <w:rFonts w:ascii="Arial" w:hAnsi="Arial" w:cs="Arial"/>
              </w:rPr>
              <w:t xml:space="preserve"> on mental health (e.g., self-esteem, depression, anxiety, etc.).</w:t>
            </w:r>
          </w:p>
        </w:tc>
        <w:tc>
          <w:tcPr>
            <w:tcW w:w="923" w:type="dxa"/>
            <w:shd w:val="clear" w:color="auto" w:fill="F2CEED" w:themeFill="accent5" w:themeFillTint="33"/>
          </w:tcPr>
          <w:p w14:paraId="0E81B19A" w14:textId="6FF8DBEB" w:rsidR="006A0DD8" w:rsidRPr="0078589E" w:rsidRDefault="006A0DD8" w:rsidP="00A12AEC">
            <w:pPr>
              <w:spacing w:after="120"/>
              <w:rPr>
                <w:rFonts w:ascii="Arial" w:hAnsi="Arial" w:cs="Arial"/>
              </w:rPr>
            </w:pPr>
            <w:r>
              <w:rPr>
                <w:rFonts w:ascii="Arial" w:hAnsi="Arial" w:cs="Arial"/>
              </w:rPr>
              <w:t>Health 11.0</w:t>
            </w:r>
          </w:p>
        </w:tc>
        <w:tc>
          <w:tcPr>
            <w:tcW w:w="5445" w:type="dxa"/>
            <w:shd w:val="clear" w:color="auto" w:fill="F2CEED" w:themeFill="accent5" w:themeFillTint="33"/>
          </w:tcPr>
          <w:p w14:paraId="4CB2C86E" w14:textId="37A75EF0" w:rsidR="006A0DD8" w:rsidRDefault="006A0DD8" w:rsidP="00A12AEC">
            <w:pPr>
              <w:spacing w:after="120"/>
              <w:rPr>
                <w:rFonts w:ascii="Arial" w:hAnsi="Arial" w:cs="Arial"/>
              </w:rPr>
            </w:pPr>
            <w:r w:rsidRPr="002B4A8E">
              <w:rPr>
                <w:rFonts w:ascii="Arial" w:hAnsi="Arial" w:cs="Arial"/>
                <w:b/>
              </w:rPr>
              <w:t xml:space="preserve">Strategy 11.0: </w:t>
            </w:r>
            <w:r w:rsidRPr="002B4A8E">
              <w:rPr>
                <w:rFonts w:ascii="Arial" w:hAnsi="Arial" w:cs="Arial"/>
              </w:rPr>
              <w:t>Offer mental health information sessions for all migratory students and</w:t>
            </w:r>
            <w:r>
              <w:rPr>
                <w:rFonts w:ascii="Arial" w:hAnsi="Arial" w:cs="Arial"/>
              </w:rPr>
              <w:t>/or</w:t>
            </w:r>
            <w:r w:rsidRPr="002B4A8E">
              <w:rPr>
                <w:rFonts w:ascii="Arial" w:hAnsi="Arial" w:cs="Arial"/>
              </w:rPr>
              <w:t xml:space="preserve"> parents so they can identify when help is needed.</w:t>
            </w:r>
          </w:p>
          <w:p w14:paraId="208725BB" w14:textId="6075B8DC" w:rsidR="006A0DD8" w:rsidRPr="0078589E" w:rsidRDefault="00402D1E" w:rsidP="00A12AEC">
            <w:pPr>
              <w:spacing w:after="120"/>
              <w:rPr>
                <w:rFonts w:ascii="Arial" w:hAnsi="Arial" w:cs="Arial"/>
              </w:rPr>
            </w:pPr>
            <w:r>
              <w:rPr>
                <w:rFonts w:ascii="Arial" w:hAnsi="Arial" w:cs="Arial"/>
                <w:b/>
              </w:rPr>
              <w:t xml:space="preserve">MPO </w:t>
            </w:r>
            <w:r w:rsidR="006A0DD8" w:rsidRPr="002B4A8E">
              <w:rPr>
                <w:rFonts w:ascii="Arial" w:hAnsi="Arial" w:cs="Arial"/>
                <w:b/>
              </w:rPr>
              <w:t xml:space="preserve">11.0: </w:t>
            </w:r>
            <w:r w:rsidR="006A0DD8" w:rsidRPr="002B4A8E">
              <w:rPr>
                <w:rFonts w:ascii="Arial" w:hAnsi="Arial" w:cs="Arial"/>
              </w:rPr>
              <w:t xml:space="preserve">The MEP will offer two developmentally appropriate mental health </w:t>
            </w:r>
            <w:r w:rsidR="00AE71AE">
              <w:rPr>
                <w:rFonts w:ascii="Arial" w:hAnsi="Arial" w:cs="Arial"/>
              </w:rPr>
              <w:t xml:space="preserve">sessions </w:t>
            </w:r>
            <w:r w:rsidR="006A0DD8" w:rsidRPr="002B4A8E">
              <w:rPr>
                <w:rFonts w:ascii="Arial" w:hAnsi="Arial" w:cs="Arial"/>
              </w:rPr>
              <w:t>(e.g., one-time workshops, empowerment groups, and/or mental health education series) to meet local mental health needs.</w:t>
            </w:r>
          </w:p>
        </w:tc>
        <w:tc>
          <w:tcPr>
            <w:tcW w:w="4410" w:type="dxa"/>
          </w:tcPr>
          <w:p w14:paraId="7CC7F828" w14:textId="77777777" w:rsidR="006A0DD8" w:rsidRDefault="0010745B" w:rsidP="00AF3425">
            <w:pPr>
              <w:pStyle w:val="ListParagraph"/>
              <w:numPr>
                <w:ilvl w:val="0"/>
                <w:numId w:val="22"/>
              </w:numPr>
              <w:spacing w:after="120"/>
              <w:ind w:left="403"/>
              <w:contextualSpacing w:val="0"/>
              <w:rPr>
                <w:rFonts w:ascii="Arial" w:hAnsi="Arial" w:cs="Arial"/>
              </w:rPr>
            </w:pPr>
            <w:r>
              <w:rPr>
                <w:rFonts w:ascii="Arial" w:hAnsi="Arial" w:cs="Arial"/>
              </w:rPr>
              <w:t>The intent of this strategy</w:t>
            </w:r>
            <w:r w:rsidR="00AF3425">
              <w:rPr>
                <w:rFonts w:ascii="Arial" w:hAnsi="Arial" w:cs="Arial"/>
              </w:rPr>
              <w:t xml:space="preserve"> to provide mental health education to those who need it remains intact.</w:t>
            </w:r>
          </w:p>
          <w:p w14:paraId="4682CBFC" w14:textId="77777777" w:rsidR="00AF3425" w:rsidRDefault="00AF3425" w:rsidP="00AF3425">
            <w:pPr>
              <w:pStyle w:val="ListParagraph"/>
              <w:numPr>
                <w:ilvl w:val="0"/>
                <w:numId w:val="22"/>
              </w:numPr>
              <w:spacing w:after="120"/>
              <w:ind w:left="398"/>
              <w:contextualSpacing w:val="0"/>
              <w:rPr>
                <w:rFonts w:ascii="Arial" w:hAnsi="Arial" w:cs="Arial"/>
              </w:rPr>
            </w:pPr>
            <w:r>
              <w:rPr>
                <w:rFonts w:ascii="Arial" w:hAnsi="Arial" w:cs="Arial"/>
              </w:rPr>
              <w:t>The structure of the service remains flexible continuing the trend in the revised MPO 11.0 Strategy in the 2017 SSDP.</w:t>
            </w:r>
          </w:p>
          <w:p w14:paraId="7BBF4707" w14:textId="772DF547" w:rsidR="00AF3425" w:rsidRPr="00E64AE2" w:rsidRDefault="00595B79" w:rsidP="00442AC9">
            <w:pPr>
              <w:pStyle w:val="ListParagraph"/>
              <w:numPr>
                <w:ilvl w:val="0"/>
                <w:numId w:val="22"/>
              </w:numPr>
              <w:ind w:left="398"/>
              <w:contextualSpacing w:val="0"/>
              <w:rPr>
                <w:rFonts w:ascii="Arial" w:hAnsi="Arial" w:cs="Arial"/>
              </w:rPr>
            </w:pPr>
            <w:r>
              <w:rPr>
                <w:rFonts w:ascii="Arial" w:hAnsi="Arial" w:cs="Arial"/>
              </w:rPr>
              <w:t xml:space="preserve">Two offerings </w:t>
            </w:r>
            <w:r w:rsidR="000B00C5">
              <w:rPr>
                <w:rFonts w:ascii="Arial" w:hAnsi="Arial" w:cs="Arial"/>
              </w:rPr>
              <w:t xml:space="preserve">should be </w:t>
            </w:r>
            <w:r w:rsidR="00674F54">
              <w:rPr>
                <w:rFonts w:ascii="Arial" w:hAnsi="Arial" w:cs="Arial"/>
              </w:rPr>
              <w:t>offered,</w:t>
            </w:r>
            <w:r w:rsidR="000B00C5">
              <w:rPr>
                <w:rFonts w:ascii="Arial" w:hAnsi="Arial" w:cs="Arial"/>
              </w:rPr>
              <w:t xml:space="preserve"> </w:t>
            </w:r>
            <w:r>
              <w:rPr>
                <w:rFonts w:ascii="Arial" w:hAnsi="Arial" w:cs="Arial"/>
              </w:rPr>
              <w:t xml:space="preserve">whether </w:t>
            </w:r>
            <w:r w:rsidR="000B00C5">
              <w:rPr>
                <w:rFonts w:ascii="Arial" w:hAnsi="Arial" w:cs="Arial"/>
              </w:rPr>
              <w:t>that include</w:t>
            </w:r>
            <w:r>
              <w:rPr>
                <w:rFonts w:ascii="Arial" w:hAnsi="Arial" w:cs="Arial"/>
              </w:rPr>
              <w:t xml:space="preserve"> </w:t>
            </w:r>
            <w:r w:rsidR="00674F54">
              <w:rPr>
                <w:rFonts w:ascii="Arial" w:hAnsi="Arial" w:cs="Arial"/>
              </w:rPr>
              <w:t>two</w:t>
            </w:r>
            <w:r>
              <w:rPr>
                <w:rFonts w:ascii="Arial" w:hAnsi="Arial" w:cs="Arial"/>
              </w:rPr>
              <w:t xml:space="preserve"> one-time workshop</w:t>
            </w:r>
            <w:r w:rsidR="00674F54">
              <w:rPr>
                <w:rFonts w:ascii="Arial" w:hAnsi="Arial" w:cs="Arial"/>
              </w:rPr>
              <w:t>s</w:t>
            </w:r>
            <w:r>
              <w:rPr>
                <w:rFonts w:ascii="Arial" w:hAnsi="Arial" w:cs="Arial"/>
              </w:rPr>
              <w:t xml:space="preserve"> to</w:t>
            </w:r>
            <w:r w:rsidR="000B00C5">
              <w:rPr>
                <w:rFonts w:ascii="Arial" w:hAnsi="Arial" w:cs="Arial"/>
              </w:rPr>
              <w:t xml:space="preserve"> two</w:t>
            </w:r>
            <w:r>
              <w:rPr>
                <w:rFonts w:ascii="Arial" w:hAnsi="Arial" w:cs="Arial"/>
              </w:rPr>
              <w:t xml:space="preserve"> ongoing empowerment groups</w:t>
            </w:r>
            <w:r w:rsidR="000B00C5">
              <w:rPr>
                <w:rFonts w:ascii="Arial" w:hAnsi="Arial" w:cs="Arial"/>
              </w:rPr>
              <w:t>.</w:t>
            </w:r>
            <w:r>
              <w:rPr>
                <w:rFonts w:ascii="Arial" w:hAnsi="Arial" w:cs="Arial"/>
              </w:rPr>
              <w:t xml:space="preserve"> </w:t>
            </w:r>
          </w:p>
        </w:tc>
      </w:tr>
      <w:tr w:rsidR="006A0DD8" w:rsidRPr="0078589E" w14:paraId="0C39EF04" w14:textId="77777777" w:rsidTr="00C862B4">
        <w:trPr>
          <w:cantSplit/>
        </w:trPr>
        <w:tc>
          <w:tcPr>
            <w:tcW w:w="924" w:type="dxa"/>
            <w:shd w:val="clear" w:color="auto" w:fill="D9F2D0" w:themeFill="accent6" w:themeFillTint="33"/>
          </w:tcPr>
          <w:p w14:paraId="5FA5608C" w14:textId="08E5A480" w:rsidR="006A0DD8" w:rsidRPr="0078589E" w:rsidRDefault="006A0DD8" w:rsidP="006A0DD8">
            <w:pPr>
              <w:rPr>
                <w:rFonts w:ascii="Arial" w:hAnsi="Arial" w:cs="Arial"/>
              </w:rPr>
            </w:pPr>
            <w:r>
              <w:rPr>
                <w:rFonts w:ascii="Arial" w:hAnsi="Arial" w:cs="Arial"/>
              </w:rPr>
              <w:t>Health 11.1</w:t>
            </w:r>
          </w:p>
        </w:tc>
        <w:tc>
          <w:tcPr>
            <w:tcW w:w="5483" w:type="dxa"/>
            <w:shd w:val="clear" w:color="auto" w:fill="D9F2D0" w:themeFill="accent6" w:themeFillTint="33"/>
          </w:tcPr>
          <w:p w14:paraId="5CEC6D86" w14:textId="678E6631" w:rsidR="006A0DD8" w:rsidRDefault="006A0DD8" w:rsidP="00A12AEC">
            <w:pPr>
              <w:spacing w:after="120"/>
              <w:rPr>
                <w:rFonts w:ascii="Arial" w:hAnsi="Arial" w:cs="Arial"/>
              </w:rPr>
            </w:pPr>
            <w:r w:rsidRPr="007D443E">
              <w:rPr>
                <w:rFonts w:ascii="Arial" w:hAnsi="Arial" w:cs="Arial"/>
                <w:b/>
              </w:rPr>
              <w:t xml:space="preserve">Strategy 11.1: </w:t>
            </w:r>
            <w:r w:rsidRPr="007D443E">
              <w:rPr>
                <w:rFonts w:ascii="Arial" w:hAnsi="Arial" w:cs="Arial"/>
              </w:rPr>
              <w:t>Provide health services and referrals to migratory students who need mental health services.</w:t>
            </w:r>
          </w:p>
          <w:p w14:paraId="6675C52E" w14:textId="05CB8084" w:rsidR="006A0DD8" w:rsidRPr="0078589E" w:rsidRDefault="006A0DD8" w:rsidP="00A12AEC">
            <w:pPr>
              <w:spacing w:after="120"/>
              <w:rPr>
                <w:rFonts w:ascii="Arial" w:hAnsi="Arial" w:cs="Arial"/>
              </w:rPr>
            </w:pPr>
            <w:r w:rsidRPr="007C16F9">
              <w:rPr>
                <w:rFonts w:ascii="Arial" w:hAnsi="Arial" w:cs="Arial"/>
                <w:b/>
                <w:bCs/>
              </w:rPr>
              <w:t>MPO 11.1:</w:t>
            </w:r>
            <w:r>
              <w:rPr>
                <w:rFonts w:ascii="Arial" w:hAnsi="Arial" w:cs="Arial"/>
              </w:rPr>
              <w:t xml:space="preserve"> </w:t>
            </w:r>
            <w:r w:rsidRPr="007D443E">
              <w:rPr>
                <w:rFonts w:ascii="Arial" w:hAnsi="Arial" w:cs="Arial"/>
              </w:rPr>
              <w:t>Each year, 100 percent of migratory students who want to improve their mental health</w:t>
            </w:r>
            <w:r>
              <w:rPr>
                <w:rFonts w:ascii="Arial" w:hAnsi="Arial" w:cs="Arial"/>
              </w:rPr>
              <w:t>, as indicated on the INA/ILP,</w:t>
            </w:r>
            <w:r w:rsidRPr="007D443E">
              <w:rPr>
                <w:rFonts w:ascii="Arial" w:hAnsi="Arial" w:cs="Arial"/>
              </w:rPr>
              <w:t xml:space="preserve"> will receive at least one health service </w:t>
            </w:r>
            <w:r>
              <w:rPr>
                <w:rFonts w:ascii="Arial" w:hAnsi="Arial" w:cs="Arial"/>
              </w:rPr>
              <w:t xml:space="preserve">or </w:t>
            </w:r>
            <w:r w:rsidRPr="007D443E">
              <w:rPr>
                <w:rFonts w:ascii="Arial" w:hAnsi="Arial" w:cs="Arial"/>
              </w:rPr>
              <w:t>referral</w:t>
            </w:r>
            <w:r w:rsidR="00E56197">
              <w:rPr>
                <w:rFonts w:ascii="Arial" w:hAnsi="Arial" w:cs="Arial"/>
              </w:rPr>
              <w:t>.</w:t>
            </w:r>
          </w:p>
        </w:tc>
        <w:tc>
          <w:tcPr>
            <w:tcW w:w="923" w:type="dxa"/>
            <w:shd w:val="clear" w:color="auto" w:fill="F2CEED" w:themeFill="accent5" w:themeFillTint="33"/>
          </w:tcPr>
          <w:p w14:paraId="4F1A6C3F" w14:textId="123B98C1" w:rsidR="006A0DD8" w:rsidRPr="0078589E" w:rsidRDefault="006A0DD8" w:rsidP="00A12AEC">
            <w:pPr>
              <w:spacing w:after="120"/>
              <w:rPr>
                <w:rFonts w:ascii="Arial" w:hAnsi="Arial" w:cs="Arial"/>
              </w:rPr>
            </w:pPr>
            <w:r>
              <w:rPr>
                <w:rFonts w:ascii="Arial" w:hAnsi="Arial" w:cs="Arial"/>
              </w:rPr>
              <w:t>Health 11.1</w:t>
            </w:r>
          </w:p>
        </w:tc>
        <w:tc>
          <w:tcPr>
            <w:tcW w:w="5445" w:type="dxa"/>
            <w:shd w:val="clear" w:color="auto" w:fill="F2CEED" w:themeFill="accent5" w:themeFillTint="33"/>
          </w:tcPr>
          <w:p w14:paraId="63C58498" w14:textId="4C1C97C5" w:rsidR="006A0DD8" w:rsidRDefault="006A0DD8" w:rsidP="00A12AEC">
            <w:pPr>
              <w:spacing w:after="120"/>
              <w:rPr>
                <w:rFonts w:ascii="Arial" w:hAnsi="Arial" w:cs="Arial"/>
              </w:rPr>
            </w:pPr>
            <w:r w:rsidRPr="002B4A8E">
              <w:rPr>
                <w:rFonts w:ascii="Arial" w:hAnsi="Arial" w:cs="Arial"/>
                <w:b/>
                <w:bCs/>
              </w:rPr>
              <w:t>Strategy 11.</w:t>
            </w:r>
            <w:r>
              <w:rPr>
                <w:rFonts w:ascii="Arial" w:hAnsi="Arial" w:cs="Arial"/>
                <w:b/>
                <w:bCs/>
              </w:rPr>
              <w:t>1</w:t>
            </w:r>
            <w:r w:rsidRPr="002B4A8E">
              <w:rPr>
                <w:rFonts w:ascii="Arial" w:hAnsi="Arial" w:cs="Arial"/>
                <w:b/>
                <w:bCs/>
              </w:rPr>
              <w:t>:</w:t>
            </w:r>
            <w:r>
              <w:rPr>
                <w:rFonts w:ascii="Arial" w:hAnsi="Arial" w:cs="Arial"/>
              </w:rPr>
              <w:t xml:space="preserve"> </w:t>
            </w:r>
            <w:r w:rsidRPr="002B4A8E">
              <w:rPr>
                <w:rFonts w:ascii="Arial" w:hAnsi="Arial" w:cs="Arial"/>
              </w:rPr>
              <w:t>Provide mental health services and referrals to migratory children and youths with an identified mental health need on the INA.</w:t>
            </w:r>
          </w:p>
          <w:p w14:paraId="43B7945D" w14:textId="69FA180E" w:rsidR="006A0DD8" w:rsidRPr="0078589E" w:rsidRDefault="006A0DD8" w:rsidP="00A12AEC">
            <w:pPr>
              <w:spacing w:after="120"/>
              <w:rPr>
                <w:rFonts w:ascii="Arial" w:hAnsi="Arial" w:cs="Arial"/>
              </w:rPr>
            </w:pPr>
            <w:r>
              <w:rPr>
                <w:rFonts w:ascii="Arial" w:hAnsi="Arial" w:cs="Arial"/>
                <w:b/>
                <w:bCs/>
              </w:rPr>
              <w:t xml:space="preserve">MPO </w:t>
            </w:r>
            <w:r w:rsidRPr="002B4A8E">
              <w:rPr>
                <w:rFonts w:ascii="Arial" w:hAnsi="Arial" w:cs="Arial"/>
                <w:b/>
                <w:bCs/>
              </w:rPr>
              <w:t>11.1:</w:t>
            </w:r>
            <w:r>
              <w:rPr>
                <w:rFonts w:ascii="Arial" w:hAnsi="Arial" w:cs="Arial"/>
              </w:rPr>
              <w:t xml:space="preserve"> </w:t>
            </w:r>
            <w:r w:rsidRPr="002B4A8E">
              <w:rPr>
                <w:rFonts w:ascii="Arial" w:hAnsi="Arial" w:cs="Arial"/>
              </w:rPr>
              <w:t xml:space="preserve">Every year the MEP will ensure that </w:t>
            </w:r>
            <w:r w:rsidR="00212D09">
              <w:rPr>
                <w:rFonts w:ascii="Arial" w:hAnsi="Arial" w:cs="Arial"/>
              </w:rPr>
              <w:t>8</w:t>
            </w:r>
            <w:r w:rsidRPr="002B4A8E">
              <w:rPr>
                <w:rFonts w:ascii="Arial" w:hAnsi="Arial" w:cs="Arial"/>
              </w:rPr>
              <w:t>0 percent of migratory children and youths with an identified mental health need listed on their INA receive mental health services.</w:t>
            </w:r>
          </w:p>
        </w:tc>
        <w:tc>
          <w:tcPr>
            <w:tcW w:w="4410" w:type="dxa"/>
          </w:tcPr>
          <w:p w14:paraId="6A05761C" w14:textId="6CD5BC96" w:rsidR="006A0DD8" w:rsidRDefault="00AC4552" w:rsidP="00AC4552">
            <w:pPr>
              <w:pStyle w:val="ListParagraph"/>
              <w:numPr>
                <w:ilvl w:val="0"/>
                <w:numId w:val="23"/>
              </w:numPr>
              <w:spacing w:after="120"/>
              <w:ind w:left="403"/>
              <w:contextualSpacing w:val="0"/>
              <w:rPr>
                <w:rFonts w:ascii="Arial" w:hAnsi="Arial" w:cs="Arial"/>
              </w:rPr>
            </w:pPr>
            <w:r>
              <w:rPr>
                <w:rFonts w:ascii="Arial" w:hAnsi="Arial" w:cs="Arial"/>
              </w:rPr>
              <w:t xml:space="preserve">The intent of this strategy remains the same. </w:t>
            </w:r>
            <w:r w:rsidR="004646F9">
              <w:rPr>
                <w:rFonts w:ascii="Arial" w:hAnsi="Arial" w:cs="Arial"/>
              </w:rPr>
              <w:t>There are minor changes to include more detail in the strategy.</w:t>
            </w:r>
          </w:p>
          <w:p w14:paraId="74C387B4" w14:textId="5E0FEBD2" w:rsidR="004646F9" w:rsidRPr="00B76E3C" w:rsidRDefault="004646F9" w:rsidP="00B76E3C">
            <w:pPr>
              <w:pStyle w:val="ListParagraph"/>
              <w:numPr>
                <w:ilvl w:val="0"/>
                <w:numId w:val="23"/>
              </w:numPr>
              <w:spacing w:after="120"/>
              <w:ind w:left="398"/>
              <w:rPr>
                <w:rFonts w:ascii="Arial" w:hAnsi="Arial" w:cs="Arial"/>
              </w:rPr>
            </w:pPr>
            <w:r>
              <w:rPr>
                <w:rFonts w:ascii="Arial" w:hAnsi="Arial" w:cs="Arial"/>
              </w:rPr>
              <w:t>The MPO goal was reduced to</w:t>
            </w:r>
            <w:r w:rsidR="00212D09">
              <w:rPr>
                <w:rFonts w:ascii="Arial" w:hAnsi="Arial" w:cs="Arial"/>
              </w:rPr>
              <w:t xml:space="preserve"> 8</w:t>
            </w:r>
            <w:r>
              <w:rPr>
                <w:rFonts w:ascii="Arial" w:hAnsi="Arial" w:cs="Arial"/>
              </w:rPr>
              <w:t xml:space="preserve">0 percent given past data. </w:t>
            </w:r>
          </w:p>
        </w:tc>
      </w:tr>
      <w:tr w:rsidR="00AC4552" w:rsidRPr="0078589E" w14:paraId="553F1183" w14:textId="77777777" w:rsidTr="00C862B4">
        <w:trPr>
          <w:cantSplit/>
        </w:trPr>
        <w:tc>
          <w:tcPr>
            <w:tcW w:w="924" w:type="dxa"/>
            <w:shd w:val="clear" w:color="auto" w:fill="D9F2D0" w:themeFill="accent6" w:themeFillTint="33"/>
          </w:tcPr>
          <w:p w14:paraId="25933237" w14:textId="2FA61FA6" w:rsidR="00AC4552" w:rsidRPr="0078589E" w:rsidRDefault="00AC4552" w:rsidP="00AC4552">
            <w:pPr>
              <w:rPr>
                <w:rFonts w:ascii="Arial" w:hAnsi="Arial" w:cs="Arial"/>
              </w:rPr>
            </w:pPr>
            <w:r>
              <w:rPr>
                <w:rFonts w:ascii="Arial" w:hAnsi="Arial" w:cs="Arial"/>
              </w:rPr>
              <w:t>Health 11.2</w:t>
            </w:r>
          </w:p>
        </w:tc>
        <w:tc>
          <w:tcPr>
            <w:tcW w:w="5483" w:type="dxa"/>
            <w:shd w:val="clear" w:color="auto" w:fill="D9F2D0" w:themeFill="accent6" w:themeFillTint="33"/>
          </w:tcPr>
          <w:p w14:paraId="62771C01" w14:textId="5BF305A0" w:rsidR="00AC4552" w:rsidRDefault="00AC4552" w:rsidP="00A12AEC">
            <w:pPr>
              <w:spacing w:after="120"/>
              <w:rPr>
                <w:rFonts w:ascii="Arial" w:hAnsi="Arial" w:cs="Arial"/>
              </w:rPr>
            </w:pPr>
            <w:r w:rsidRPr="007D443E">
              <w:rPr>
                <w:rFonts w:ascii="Arial" w:hAnsi="Arial" w:cs="Arial"/>
                <w:b/>
              </w:rPr>
              <w:t xml:space="preserve">Strategy 11.2: </w:t>
            </w:r>
            <w:r w:rsidRPr="007D443E">
              <w:rPr>
                <w:rFonts w:ascii="Arial" w:hAnsi="Arial" w:cs="Arial"/>
              </w:rPr>
              <w:t xml:space="preserve">Provide professional development opportunities on physical education, health education, nutritional services, </w:t>
            </w:r>
            <w:r w:rsidR="00C80DE1">
              <w:rPr>
                <w:rFonts w:ascii="Arial" w:hAnsi="Arial" w:cs="Arial"/>
              </w:rPr>
              <w:t>etc.</w:t>
            </w:r>
            <w:r w:rsidRPr="007D443E">
              <w:rPr>
                <w:rFonts w:ascii="Arial" w:hAnsi="Arial" w:cs="Arial"/>
              </w:rPr>
              <w:t xml:space="preserve"> for all certificated and classified MEP staff.</w:t>
            </w:r>
          </w:p>
          <w:p w14:paraId="1AFA1F94" w14:textId="475EE518" w:rsidR="00AC4552" w:rsidRPr="0078589E" w:rsidRDefault="00AC4552" w:rsidP="00A12AEC">
            <w:pPr>
              <w:spacing w:after="120"/>
              <w:rPr>
                <w:rFonts w:ascii="Arial" w:hAnsi="Arial" w:cs="Arial"/>
              </w:rPr>
            </w:pPr>
            <w:r w:rsidRPr="007C16F9">
              <w:rPr>
                <w:rFonts w:ascii="Arial" w:hAnsi="Arial" w:cs="Arial"/>
                <w:b/>
                <w:bCs/>
              </w:rPr>
              <w:t>MPO 11.2:</w:t>
            </w:r>
            <w:r>
              <w:rPr>
                <w:rFonts w:ascii="Arial" w:hAnsi="Arial" w:cs="Arial"/>
              </w:rPr>
              <w:t xml:space="preserve"> </w:t>
            </w:r>
            <w:r w:rsidRPr="007D443E">
              <w:rPr>
                <w:rFonts w:ascii="Arial" w:hAnsi="Arial" w:cs="Arial"/>
              </w:rPr>
              <w:t>All 20 regions will provide professional development for MEP staff on physical education, health education, nutritional services, mental health, and social services.</w:t>
            </w:r>
          </w:p>
        </w:tc>
        <w:tc>
          <w:tcPr>
            <w:tcW w:w="923" w:type="dxa"/>
            <w:shd w:val="clear" w:color="auto" w:fill="F2CEED" w:themeFill="accent5" w:themeFillTint="33"/>
          </w:tcPr>
          <w:p w14:paraId="089A4211" w14:textId="26F6A567" w:rsidR="00AC4552" w:rsidRPr="0078589E" w:rsidRDefault="001A00A1" w:rsidP="00A12AEC">
            <w:pPr>
              <w:spacing w:after="120"/>
              <w:rPr>
                <w:rFonts w:ascii="Arial" w:hAnsi="Arial" w:cs="Arial"/>
              </w:rPr>
            </w:pPr>
            <w:r>
              <w:rPr>
                <w:rFonts w:ascii="Arial" w:hAnsi="Arial" w:cs="Arial"/>
              </w:rPr>
              <w:t>N/A</w:t>
            </w:r>
          </w:p>
        </w:tc>
        <w:tc>
          <w:tcPr>
            <w:tcW w:w="5445" w:type="dxa"/>
            <w:shd w:val="clear" w:color="auto" w:fill="F2CEED" w:themeFill="accent5" w:themeFillTint="33"/>
          </w:tcPr>
          <w:p w14:paraId="20E53CBA" w14:textId="6F556BB0" w:rsidR="00AC4552" w:rsidRPr="0078589E" w:rsidRDefault="00AC4552" w:rsidP="00A12AEC">
            <w:pPr>
              <w:spacing w:after="120"/>
              <w:rPr>
                <w:rFonts w:ascii="Arial" w:hAnsi="Arial" w:cs="Arial"/>
              </w:rPr>
            </w:pPr>
            <w:r w:rsidRPr="00C24F36">
              <w:rPr>
                <w:rFonts w:ascii="Arial" w:hAnsi="Arial" w:cs="Arial"/>
                <w:b/>
                <w:bCs/>
              </w:rPr>
              <w:t xml:space="preserve">This strategy </w:t>
            </w:r>
            <w:r>
              <w:rPr>
                <w:rFonts w:ascii="Arial" w:hAnsi="Arial" w:cs="Arial"/>
                <w:b/>
                <w:bCs/>
              </w:rPr>
              <w:t>is not included in the 2026 SDP.</w:t>
            </w:r>
          </w:p>
        </w:tc>
        <w:tc>
          <w:tcPr>
            <w:tcW w:w="4410" w:type="dxa"/>
            <w:shd w:val="clear" w:color="auto" w:fill="D9D9D9" w:themeFill="background1" w:themeFillShade="D9"/>
          </w:tcPr>
          <w:p w14:paraId="1557680A" w14:textId="5ACCC96B" w:rsidR="00AC4552" w:rsidRPr="0078589E" w:rsidRDefault="001A00A1" w:rsidP="00AC4552">
            <w:pPr>
              <w:spacing w:after="120"/>
              <w:rPr>
                <w:rFonts w:ascii="Arial" w:hAnsi="Arial" w:cs="Arial"/>
              </w:rPr>
            </w:pPr>
            <w:r>
              <w:rPr>
                <w:rFonts w:ascii="Arial" w:hAnsi="Arial" w:cs="Arial"/>
              </w:rPr>
              <w:t>N/A</w:t>
            </w:r>
          </w:p>
        </w:tc>
      </w:tr>
    </w:tbl>
    <w:p w14:paraId="580710E7" w14:textId="77777777" w:rsidR="00802D74" w:rsidRDefault="00802D74" w:rsidP="00C862B4">
      <w:pPr>
        <w:pStyle w:val="Heading2"/>
      </w:pPr>
      <w:r>
        <w:br w:type="page"/>
      </w:r>
    </w:p>
    <w:p w14:paraId="24D88F55" w14:textId="163706A8" w:rsidR="00FA3D07" w:rsidRPr="0078589E" w:rsidRDefault="00FA3D07" w:rsidP="00C862B4">
      <w:pPr>
        <w:pStyle w:val="Heading2"/>
      </w:pPr>
      <w:r w:rsidRPr="0078589E">
        <w:lastRenderedPageBreak/>
        <w:t>Parent and Family Engagement</w:t>
      </w:r>
    </w:p>
    <w:tbl>
      <w:tblPr>
        <w:tblStyle w:val="TableGrid"/>
        <w:tblW w:w="17185" w:type="dxa"/>
        <w:tblLook w:val="04A0" w:firstRow="1" w:lastRow="0" w:firstColumn="1" w:lastColumn="0" w:noHBand="0" w:noVBand="1"/>
        <w:tblDescription w:val="Parent and Family Engagement comparison of the 2017 SSDP Strategies and MPOs and the 2026 SDP Strategies and MPOs."/>
      </w:tblPr>
      <w:tblGrid>
        <w:gridCol w:w="1065"/>
        <w:gridCol w:w="6379"/>
        <w:gridCol w:w="923"/>
        <w:gridCol w:w="4597"/>
        <w:gridCol w:w="4221"/>
      </w:tblGrid>
      <w:tr w:rsidR="00FA3D07" w:rsidRPr="00095DF3" w14:paraId="7ABBD569" w14:textId="77777777" w:rsidTr="001A00A1">
        <w:trPr>
          <w:cantSplit/>
          <w:tblHeader/>
        </w:trPr>
        <w:tc>
          <w:tcPr>
            <w:tcW w:w="1065" w:type="dxa"/>
            <w:shd w:val="clear" w:color="auto" w:fill="D9F2D0" w:themeFill="accent6" w:themeFillTint="33"/>
          </w:tcPr>
          <w:p w14:paraId="22FF6DB2" w14:textId="77777777" w:rsidR="00FA3D07" w:rsidRPr="00095DF3" w:rsidRDefault="00FA3D07" w:rsidP="004540CC">
            <w:pPr>
              <w:rPr>
                <w:rFonts w:ascii="Arial" w:hAnsi="Arial" w:cs="Arial"/>
                <w:b/>
                <w:bCs/>
              </w:rPr>
            </w:pPr>
            <w:r w:rsidRPr="00095DF3">
              <w:rPr>
                <w:rFonts w:ascii="Arial" w:hAnsi="Arial" w:cs="Arial"/>
                <w:b/>
                <w:bCs/>
              </w:rPr>
              <w:t xml:space="preserve">Focus Area </w:t>
            </w:r>
          </w:p>
        </w:tc>
        <w:tc>
          <w:tcPr>
            <w:tcW w:w="6379" w:type="dxa"/>
            <w:shd w:val="clear" w:color="auto" w:fill="D9F2D0" w:themeFill="accent6" w:themeFillTint="33"/>
          </w:tcPr>
          <w:p w14:paraId="3C2019E2" w14:textId="77777777" w:rsidR="00FA3D07" w:rsidRPr="00095DF3" w:rsidRDefault="00FA3D07" w:rsidP="004540CC">
            <w:pPr>
              <w:rPr>
                <w:rFonts w:ascii="Arial" w:hAnsi="Arial" w:cs="Arial"/>
                <w:b/>
                <w:bCs/>
              </w:rPr>
            </w:pPr>
            <w:r w:rsidRPr="00095DF3">
              <w:rPr>
                <w:rFonts w:ascii="Arial" w:hAnsi="Arial" w:cs="Arial"/>
                <w:b/>
                <w:bCs/>
              </w:rPr>
              <w:t>SSDP Strategies and MPOs (2017)</w:t>
            </w:r>
          </w:p>
        </w:tc>
        <w:tc>
          <w:tcPr>
            <w:tcW w:w="923" w:type="dxa"/>
            <w:shd w:val="clear" w:color="auto" w:fill="F2CEED" w:themeFill="accent5" w:themeFillTint="33"/>
          </w:tcPr>
          <w:p w14:paraId="368DD33C" w14:textId="77777777" w:rsidR="00FA3D07" w:rsidRPr="00095DF3" w:rsidRDefault="00FA3D07" w:rsidP="004540CC">
            <w:pPr>
              <w:rPr>
                <w:rFonts w:ascii="Arial" w:hAnsi="Arial" w:cs="Arial"/>
                <w:b/>
                <w:bCs/>
              </w:rPr>
            </w:pPr>
            <w:r w:rsidRPr="00095DF3">
              <w:rPr>
                <w:rFonts w:ascii="Arial" w:hAnsi="Arial" w:cs="Arial"/>
                <w:b/>
                <w:bCs/>
              </w:rPr>
              <w:t xml:space="preserve">Focus Area </w:t>
            </w:r>
          </w:p>
        </w:tc>
        <w:tc>
          <w:tcPr>
            <w:tcW w:w="4597" w:type="dxa"/>
            <w:shd w:val="clear" w:color="auto" w:fill="F2CEED" w:themeFill="accent5" w:themeFillTint="33"/>
          </w:tcPr>
          <w:p w14:paraId="79ED805B" w14:textId="77777777" w:rsidR="00FA3D07" w:rsidRPr="00095DF3" w:rsidRDefault="00FA3D07" w:rsidP="004540CC">
            <w:pPr>
              <w:rPr>
                <w:rFonts w:ascii="Arial" w:hAnsi="Arial" w:cs="Arial"/>
                <w:b/>
                <w:bCs/>
              </w:rPr>
            </w:pPr>
            <w:r w:rsidRPr="00095DF3">
              <w:rPr>
                <w:rFonts w:ascii="Arial" w:hAnsi="Arial" w:cs="Arial"/>
                <w:b/>
                <w:bCs/>
              </w:rPr>
              <w:t>SDP Strategies and MPOs (2026)</w:t>
            </w:r>
          </w:p>
        </w:tc>
        <w:tc>
          <w:tcPr>
            <w:tcW w:w="4221" w:type="dxa"/>
          </w:tcPr>
          <w:p w14:paraId="276221EA" w14:textId="77777777" w:rsidR="00FA3D07" w:rsidRPr="00095DF3" w:rsidRDefault="00FA3D07" w:rsidP="004540CC">
            <w:pPr>
              <w:rPr>
                <w:rFonts w:ascii="Arial" w:hAnsi="Arial" w:cs="Arial"/>
                <w:b/>
                <w:bCs/>
              </w:rPr>
            </w:pPr>
            <w:r w:rsidRPr="00095DF3">
              <w:rPr>
                <w:rFonts w:ascii="Arial" w:hAnsi="Arial" w:cs="Arial"/>
                <w:b/>
                <w:bCs/>
              </w:rPr>
              <w:t xml:space="preserve">Comparison </w:t>
            </w:r>
          </w:p>
        </w:tc>
      </w:tr>
      <w:tr w:rsidR="00AC4552" w:rsidRPr="0078589E" w14:paraId="6E595670" w14:textId="77777777" w:rsidTr="001A00A1">
        <w:trPr>
          <w:cantSplit/>
        </w:trPr>
        <w:tc>
          <w:tcPr>
            <w:tcW w:w="1065" w:type="dxa"/>
            <w:shd w:val="clear" w:color="auto" w:fill="D9F2D0" w:themeFill="accent6" w:themeFillTint="33"/>
          </w:tcPr>
          <w:p w14:paraId="12F72152" w14:textId="3486EF7A" w:rsidR="00AC4552" w:rsidRPr="0078589E" w:rsidRDefault="00AC4552" w:rsidP="00AC4552">
            <w:pPr>
              <w:rPr>
                <w:rFonts w:ascii="Arial" w:hAnsi="Arial" w:cs="Arial"/>
              </w:rPr>
            </w:pPr>
            <w:r>
              <w:rPr>
                <w:rFonts w:ascii="Arial" w:hAnsi="Arial" w:cs="Arial"/>
              </w:rPr>
              <w:t>PFE 12.0</w:t>
            </w:r>
          </w:p>
        </w:tc>
        <w:tc>
          <w:tcPr>
            <w:tcW w:w="6379" w:type="dxa"/>
            <w:shd w:val="clear" w:color="auto" w:fill="D9F2D0" w:themeFill="accent6" w:themeFillTint="33"/>
          </w:tcPr>
          <w:p w14:paraId="2634AC83" w14:textId="5E1635D5" w:rsidR="00AC4552" w:rsidRPr="00B76E3C" w:rsidRDefault="00AC4552" w:rsidP="00B76E3C">
            <w:pPr>
              <w:spacing w:after="120"/>
              <w:rPr>
                <w:rFonts w:ascii="Arial" w:hAnsi="Arial" w:cs="Arial"/>
              </w:rPr>
            </w:pPr>
            <w:r w:rsidRPr="007D443E">
              <w:rPr>
                <w:rFonts w:ascii="Arial" w:hAnsi="Arial" w:cs="Arial"/>
                <w:b/>
              </w:rPr>
              <w:t xml:space="preserve">Strategy 12.0: </w:t>
            </w:r>
            <w:r w:rsidRPr="007D443E">
              <w:rPr>
                <w:rFonts w:ascii="Arial" w:hAnsi="Arial" w:cs="Arial"/>
              </w:rPr>
              <w:t>Provide appropriate resources or parent orientations on the services that the MEP offers including but not limited to how the U.S. school system works.</w:t>
            </w:r>
          </w:p>
          <w:p w14:paraId="2DC60A27" w14:textId="545023B1" w:rsidR="00AC4552" w:rsidRPr="0078589E" w:rsidRDefault="00AC4552" w:rsidP="00AC4552">
            <w:pPr>
              <w:rPr>
                <w:rFonts w:ascii="Arial" w:hAnsi="Arial" w:cs="Arial"/>
                <w:b/>
                <w:bCs/>
              </w:rPr>
            </w:pPr>
            <w:r>
              <w:rPr>
                <w:rFonts w:ascii="Arial" w:hAnsi="Arial" w:cs="Arial"/>
                <w:b/>
                <w:bCs/>
              </w:rPr>
              <w:t xml:space="preserve">MPO </w:t>
            </w:r>
            <w:r w:rsidRPr="007D443E">
              <w:rPr>
                <w:rFonts w:ascii="Arial" w:hAnsi="Arial" w:cs="Arial"/>
                <w:b/>
              </w:rPr>
              <w:t xml:space="preserve">12.0: </w:t>
            </w:r>
            <w:r w:rsidRPr="007D443E">
              <w:rPr>
                <w:rFonts w:ascii="Arial" w:hAnsi="Arial" w:cs="Arial"/>
              </w:rPr>
              <w:t>Each year, subgrantees will offer two parent orientations or provide MEP service resources to parents.</w:t>
            </w:r>
          </w:p>
        </w:tc>
        <w:tc>
          <w:tcPr>
            <w:tcW w:w="923" w:type="dxa"/>
            <w:shd w:val="clear" w:color="auto" w:fill="F2CEED" w:themeFill="accent5" w:themeFillTint="33"/>
          </w:tcPr>
          <w:p w14:paraId="218038F6" w14:textId="3E1AEB8C" w:rsidR="00AC4552" w:rsidRPr="0078589E" w:rsidRDefault="001A00A1" w:rsidP="00AC4552">
            <w:pPr>
              <w:rPr>
                <w:rFonts w:ascii="Arial" w:hAnsi="Arial" w:cs="Arial"/>
              </w:rPr>
            </w:pPr>
            <w:r>
              <w:rPr>
                <w:rFonts w:ascii="Arial" w:hAnsi="Arial" w:cs="Arial"/>
              </w:rPr>
              <w:t>N/A</w:t>
            </w:r>
          </w:p>
        </w:tc>
        <w:tc>
          <w:tcPr>
            <w:tcW w:w="4597" w:type="dxa"/>
            <w:shd w:val="clear" w:color="auto" w:fill="F2CEED" w:themeFill="accent5" w:themeFillTint="33"/>
          </w:tcPr>
          <w:p w14:paraId="4F15F116" w14:textId="6669511E" w:rsidR="00AC4552" w:rsidRPr="0078589E" w:rsidRDefault="00AC4552" w:rsidP="00AC4552">
            <w:pPr>
              <w:rPr>
                <w:rFonts w:ascii="Arial" w:hAnsi="Arial" w:cs="Arial"/>
              </w:rPr>
            </w:pPr>
            <w:r w:rsidRPr="00C24F36">
              <w:rPr>
                <w:rFonts w:ascii="Arial" w:hAnsi="Arial" w:cs="Arial"/>
                <w:b/>
                <w:bCs/>
              </w:rPr>
              <w:t xml:space="preserve">This strategy </w:t>
            </w:r>
            <w:r>
              <w:rPr>
                <w:rFonts w:ascii="Arial" w:hAnsi="Arial" w:cs="Arial"/>
                <w:b/>
                <w:bCs/>
              </w:rPr>
              <w:t>is not included in the 2026 SDP.</w:t>
            </w:r>
          </w:p>
        </w:tc>
        <w:tc>
          <w:tcPr>
            <w:tcW w:w="4221" w:type="dxa"/>
            <w:shd w:val="clear" w:color="auto" w:fill="D9D9D9" w:themeFill="background1" w:themeFillShade="D9"/>
          </w:tcPr>
          <w:p w14:paraId="17CEA9EB" w14:textId="1EC98C32" w:rsidR="00AC4552" w:rsidRPr="0078589E" w:rsidRDefault="00AC4552" w:rsidP="00AC4552">
            <w:pPr>
              <w:rPr>
                <w:rFonts w:ascii="Arial" w:hAnsi="Arial" w:cs="Arial"/>
              </w:rPr>
            </w:pPr>
            <w:r>
              <w:rPr>
                <w:rFonts w:ascii="Arial" w:hAnsi="Arial" w:cs="Arial"/>
              </w:rPr>
              <w:t>The CDE will develop a communications toolkit to support MEP outreach to districts and parents.</w:t>
            </w:r>
          </w:p>
        </w:tc>
      </w:tr>
      <w:tr w:rsidR="00AC4552" w:rsidRPr="0078589E" w14:paraId="4AD930F8" w14:textId="77777777" w:rsidTr="001A00A1">
        <w:trPr>
          <w:cantSplit/>
          <w:trHeight w:val="4139"/>
        </w:trPr>
        <w:tc>
          <w:tcPr>
            <w:tcW w:w="1065" w:type="dxa"/>
            <w:shd w:val="clear" w:color="auto" w:fill="D9F2D0" w:themeFill="accent6" w:themeFillTint="33"/>
          </w:tcPr>
          <w:p w14:paraId="7455FE1F" w14:textId="7B429B79" w:rsidR="00AC4552" w:rsidRPr="0078589E" w:rsidRDefault="00AC4552" w:rsidP="00AC4552">
            <w:pPr>
              <w:rPr>
                <w:rFonts w:ascii="Arial" w:hAnsi="Arial" w:cs="Arial"/>
              </w:rPr>
            </w:pPr>
            <w:r>
              <w:rPr>
                <w:rFonts w:ascii="Arial" w:hAnsi="Arial" w:cs="Arial"/>
              </w:rPr>
              <w:t>PFE 12.1</w:t>
            </w:r>
          </w:p>
        </w:tc>
        <w:tc>
          <w:tcPr>
            <w:tcW w:w="6379" w:type="dxa"/>
            <w:shd w:val="clear" w:color="auto" w:fill="D9F2D0" w:themeFill="accent6" w:themeFillTint="33"/>
          </w:tcPr>
          <w:p w14:paraId="26B49551" w14:textId="0DC2561E" w:rsidR="00AC4552" w:rsidRPr="007D443E" w:rsidRDefault="00AC4552" w:rsidP="00B76E3C">
            <w:pPr>
              <w:spacing w:after="120"/>
              <w:rPr>
                <w:rFonts w:ascii="Arial" w:hAnsi="Arial" w:cs="Arial"/>
              </w:rPr>
            </w:pPr>
            <w:r w:rsidRPr="007D443E">
              <w:rPr>
                <w:rFonts w:ascii="Arial" w:hAnsi="Arial" w:cs="Arial"/>
                <w:b/>
              </w:rPr>
              <w:t xml:space="preserve">Strategy 12.1: </w:t>
            </w:r>
            <w:r w:rsidRPr="007D443E">
              <w:rPr>
                <w:rFonts w:ascii="Arial" w:hAnsi="Arial" w:cs="Arial"/>
              </w:rPr>
              <w:t>Provide a variety of workshop series for parents including:</w:t>
            </w:r>
          </w:p>
          <w:p w14:paraId="78D0FDE5" w14:textId="77777777" w:rsidR="00AC4552" w:rsidRPr="007D443E" w:rsidRDefault="00AC4552" w:rsidP="00AC4552">
            <w:pPr>
              <w:numPr>
                <w:ilvl w:val="0"/>
                <w:numId w:val="3"/>
              </w:numPr>
              <w:ind w:left="424"/>
              <w:contextualSpacing/>
              <w:rPr>
                <w:rFonts w:ascii="Arial" w:hAnsi="Arial" w:cs="Arial"/>
              </w:rPr>
            </w:pPr>
            <w:r w:rsidRPr="007D443E">
              <w:rPr>
                <w:rFonts w:ascii="Arial" w:hAnsi="Arial" w:cs="Arial"/>
              </w:rPr>
              <w:t>How the U.S. school systems works and parent and family opportunities for participation within this system</w:t>
            </w:r>
          </w:p>
          <w:p w14:paraId="04A9203F" w14:textId="77777777" w:rsidR="00AC4552" w:rsidRPr="007D443E" w:rsidRDefault="00AC4552" w:rsidP="00AC4552">
            <w:pPr>
              <w:numPr>
                <w:ilvl w:val="0"/>
                <w:numId w:val="3"/>
              </w:numPr>
              <w:ind w:left="424"/>
              <w:contextualSpacing/>
              <w:rPr>
                <w:rFonts w:ascii="Arial" w:hAnsi="Arial" w:cs="Arial"/>
              </w:rPr>
            </w:pPr>
            <w:r w:rsidRPr="007D443E">
              <w:rPr>
                <w:rFonts w:ascii="Arial" w:hAnsi="Arial" w:cs="Arial"/>
              </w:rPr>
              <w:t xml:space="preserve">Parent </w:t>
            </w:r>
            <w:proofErr w:type="gramStart"/>
            <w:r w:rsidRPr="007D443E">
              <w:rPr>
                <w:rFonts w:ascii="Arial" w:hAnsi="Arial" w:cs="Arial"/>
              </w:rPr>
              <w:t>engagement evidence</w:t>
            </w:r>
            <w:proofErr w:type="gramEnd"/>
            <w:r w:rsidRPr="007D443E">
              <w:rPr>
                <w:rFonts w:ascii="Arial" w:hAnsi="Arial" w:cs="Arial"/>
              </w:rPr>
              <w:t>-</w:t>
            </w:r>
            <w:proofErr w:type="gramStart"/>
            <w:r w:rsidRPr="007D443E">
              <w:rPr>
                <w:rFonts w:ascii="Arial" w:hAnsi="Arial" w:cs="Arial"/>
              </w:rPr>
              <w:t>based strategies</w:t>
            </w:r>
            <w:proofErr w:type="gramEnd"/>
          </w:p>
          <w:p w14:paraId="6746D3A5" w14:textId="77777777" w:rsidR="00AC4552" w:rsidRPr="007D443E" w:rsidRDefault="00AC4552" w:rsidP="00AC4552">
            <w:pPr>
              <w:numPr>
                <w:ilvl w:val="0"/>
                <w:numId w:val="3"/>
              </w:numPr>
              <w:ind w:left="424"/>
              <w:contextualSpacing/>
              <w:rPr>
                <w:rFonts w:ascii="Arial" w:hAnsi="Arial" w:cs="Arial"/>
              </w:rPr>
            </w:pPr>
            <w:r w:rsidRPr="007D443E">
              <w:rPr>
                <w:rFonts w:ascii="Arial" w:hAnsi="Arial" w:cs="Arial"/>
              </w:rPr>
              <w:t>Understanding student achievement data</w:t>
            </w:r>
          </w:p>
          <w:p w14:paraId="23325B14" w14:textId="77777777" w:rsidR="00AC4552" w:rsidRPr="007D443E" w:rsidRDefault="00AC4552" w:rsidP="00AC4552">
            <w:pPr>
              <w:numPr>
                <w:ilvl w:val="0"/>
                <w:numId w:val="2"/>
              </w:numPr>
              <w:ind w:left="424"/>
              <w:contextualSpacing/>
              <w:rPr>
                <w:rFonts w:ascii="Arial" w:hAnsi="Arial" w:cs="Arial"/>
              </w:rPr>
            </w:pPr>
            <w:r w:rsidRPr="007D443E">
              <w:rPr>
                <w:rFonts w:ascii="Arial" w:hAnsi="Arial" w:cs="Arial"/>
              </w:rPr>
              <w:t>Supporting your child in obtaining a high school diploma</w:t>
            </w:r>
          </w:p>
          <w:p w14:paraId="4103C0C0" w14:textId="77777777" w:rsidR="00AC4552" w:rsidRDefault="00AC4552" w:rsidP="00AC4552">
            <w:pPr>
              <w:numPr>
                <w:ilvl w:val="0"/>
                <w:numId w:val="2"/>
              </w:numPr>
              <w:ind w:left="424"/>
              <w:contextualSpacing/>
              <w:rPr>
                <w:rFonts w:ascii="Arial" w:hAnsi="Arial" w:cs="Arial"/>
              </w:rPr>
            </w:pPr>
            <w:r w:rsidRPr="007D443E">
              <w:rPr>
                <w:rFonts w:ascii="Arial" w:hAnsi="Arial" w:cs="Arial"/>
              </w:rPr>
              <w:t>Understanding career technical education</w:t>
            </w:r>
          </w:p>
          <w:p w14:paraId="11CFC708" w14:textId="1FBA711A" w:rsidR="00AC4552" w:rsidRPr="00B76E3C" w:rsidRDefault="00AC4552" w:rsidP="00B76E3C">
            <w:pPr>
              <w:numPr>
                <w:ilvl w:val="0"/>
                <w:numId w:val="2"/>
              </w:numPr>
              <w:spacing w:after="120"/>
              <w:ind w:left="418"/>
              <w:rPr>
                <w:rFonts w:ascii="Arial" w:hAnsi="Arial" w:cs="Arial"/>
              </w:rPr>
            </w:pPr>
            <w:r w:rsidRPr="00B73422">
              <w:rPr>
                <w:rFonts w:ascii="Arial" w:hAnsi="Arial" w:cs="Arial"/>
              </w:rPr>
              <w:t>Learning educational vocabulary (acronyms, A-G, parent homework dictionary, educational glossary)</w:t>
            </w:r>
          </w:p>
          <w:p w14:paraId="2202D9C8" w14:textId="7A4F7AB7" w:rsidR="00AC4552" w:rsidRPr="00B73422" w:rsidRDefault="00AC4552" w:rsidP="00EE226E">
            <w:pPr>
              <w:spacing w:after="120"/>
              <w:rPr>
                <w:rFonts w:ascii="Arial" w:hAnsi="Arial" w:cs="Arial"/>
              </w:rPr>
            </w:pPr>
            <w:r w:rsidRPr="00B73422">
              <w:rPr>
                <w:rFonts w:ascii="Arial" w:hAnsi="Arial" w:cs="Arial"/>
                <w:b/>
                <w:bCs/>
              </w:rPr>
              <w:t xml:space="preserve">MPO </w:t>
            </w:r>
            <w:r w:rsidRPr="007D443E">
              <w:rPr>
                <w:rFonts w:ascii="Arial" w:hAnsi="Arial" w:cs="Arial"/>
                <w:b/>
              </w:rPr>
              <w:t xml:space="preserve">12.1: </w:t>
            </w:r>
            <w:r w:rsidRPr="007D443E">
              <w:rPr>
                <w:rFonts w:ascii="Arial" w:hAnsi="Arial" w:cs="Arial"/>
              </w:rPr>
              <w:t>Each year, subgrantees will offer a parent workshop series (must include three of the six trainings identified in Strategy 12.1)</w:t>
            </w:r>
            <w:r>
              <w:rPr>
                <w:rFonts w:ascii="Arial" w:hAnsi="Arial" w:cs="Arial"/>
              </w:rPr>
              <w:t>.</w:t>
            </w:r>
          </w:p>
        </w:tc>
        <w:tc>
          <w:tcPr>
            <w:tcW w:w="923" w:type="dxa"/>
            <w:shd w:val="clear" w:color="auto" w:fill="F2CEED" w:themeFill="accent5" w:themeFillTint="33"/>
          </w:tcPr>
          <w:p w14:paraId="6269A47F" w14:textId="72AA5C14" w:rsidR="00AC4552" w:rsidRPr="0078589E" w:rsidRDefault="00AC4552" w:rsidP="00AC4552">
            <w:pPr>
              <w:rPr>
                <w:rFonts w:ascii="Arial" w:hAnsi="Arial" w:cs="Arial"/>
              </w:rPr>
            </w:pPr>
            <w:r>
              <w:rPr>
                <w:rFonts w:ascii="Arial" w:hAnsi="Arial" w:cs="Arial"/>
              </w:rPr>
              <w:t>PFE 12.</w:t>
            </w:r>
            <w:r w:rsidR="00442AC9">
              <w:rPr>
                <w:rFonts w:ascii="Arial" w:hAnsi="Arial" w:cs="Arial"/>
              </w:rPr>
              <w:t>0</w:t>
            </w:r>
          </w:p>
        </w:tc>
        <w:tc>
          <w:tcPr>
            <w:tcW w:w="4597" w:type="dxa"/>
            <w:shd w:val="clear" w:color="auto" w:fill="F2CEED" w:themeFill="accent5" w:themeFillTint="33"/>
          </w:tcPr>
          <w:p w14:paraId="29EF7141" w14:textId="4298178E" w:rsidR="00AC4552" w:rsidRDefault="00AC4552" w:rsidP="00B76E3C">
            <w:pPr>
              <w:spacing w:after="120"/>
              <w:rPr>
                <w:rFonts w:ascii="Arial" w:hAnsi="Arial" w:cs="Arial"/>
              </w:rPr>
            </w:pPr>
            <w:r w:rsidRPr="007D443E">
              <w:rPr>
                <w:rFonts w:ascii="Arial" w:hAnsi="Arial" w:cs="Arial"/>
                <w:b/>
              </w:rPr>
              <w:t>Strategy 12.</w:t>
            </w:r>
            <w:r w:rsidR="00442AC9">
              <w:rPr>
                <w:rFonts w:ascii="Arial" w:hAnsi="Arial" w:cs="Arial"/>
                <w:b/>
              </w:rPr>
              <w:t>0</w:t>
            </w:r>
            <w:r w:rsidRPr="007D443E">
              <w:rPr>
                <w:rFonts w:ascii="Arial" w:hAnsi="Arial" w:cs="Arial"/>
                <w:b/>
              </w:rPr>
              <w:t xml:space="preserve">: </w:t>
            </w:r>
            <w:r w:rsidRPr="002B4A8E">
              <w:rPr>
                <w:rFonts w:ascii="Arial" w:hAnsi="Arial" w:cs="Arial"/>
              </w:rPr>
              <w:t>Offer a series of four workshops for parents that are in line with the needs of th</w:t>
            </w:r>
            <w:r>
              <w:rPr>
                <w:rFonts w:ascii="Arial" w:hAnsi="Arial" w:cs="Arial"/>
              </w:rPr>
              <w:t>e regional and</w:t>
            </w:r>
            <w:r w:rsidR="00A61302">
              <w:rPr>
                <w:rFonts w:ascii="Arial" w:hAnsi="Arial" w:cs="Arial"/>
              </w:rPr>
              <w:t xml:space="preserve"> direct-funded district</w:t>
            </w:r>
            <w:r>
              <w:rPr>
                <w:rFonts w:ascii="Arial" w:hAnsi="Arial" w:cs="Arial"/>
              </w:rPr>
              <w:t xml:space="preserve"> </w:t>
            </w:r>
            <w:r w:rsidR="00A61302">
              <w:rPr>
                <w:rFonts w:ascii="Arial" w:hAnsi="Arial" w:cs="Arial"/>
              </w:rPr>
              <w:t>(</w:t>
            </w:r>
            <w:r>
              <w:rPr>
                <w:rFonts w:ascii="Arial" w:hAnsi="Arial" w:cs="Arial"/>
              </w:rPr>
              <w:t>DFD</w:t>
            </w:r>
            <w:r w:rsidR="00A61302">
              <w:rPr>
                <w:rFonts w:ascii="Arial" w:hAnsi="Arial" w:cs="Arial"/>
              </w:rPr>
              <w:t>)</w:t>
            </w:r>
            <w:r>
              <w:rPr>
                <w:rFonts w:ascii="Arial" w:hAnsi="Arial" w:cs="Arial"/>
              </w:rPr>
              <w:t xml:space="preserve"> subgrantee.</w:t>
            </w:r>
          </w:p>
          <w:p w14:paraId="09D889FC" w14:textId="70D7A737" w:rsidR="00AC4552" w:rsidRPr="0078589E" w:rsidRDefault="00AC4552" w:rsidP="00AC4552">
            <w:pPr>
              <w:rPr>
                <w:rFonts w:ascii="Arial" w:hAnsi="Arial" w:cs="Arial"/>
              </w:rPr>
            </w:pPr>
            <w:r>
              <w:rPr>
                <w:rFonts w:ascii="Arial" w:hAnsi="Arial" w:cs="Arial"/>
                <w:b/>
              </w:rPr>
              <w:t xml:space="preserve">MPO </w:t>
            </w:r>
            <w:r w:rsidRPr="007D443E">
              <w:rPr>
                <w:rFonts w:ascii="Arial" w:hAnsi="Arial" w:cs="Arial"/>
                <w:b/>
              </w:rPr>
              <w:t>12.</w:t>
            </w:r>
            <w:r w:rsidR="00442AC9">
              <w:rPr>
                <w:rFonts w:ascii="Arial" w:hAnsi="Arial" w:cs="Arial"/>
                <w:b/>
              </w:rPr>
              <w:t>0</w:t>
            </w:r>
            <w:r w:rsidRPr="007D443E">
              <w:rPr>
                <w:rFonts w:ascii="Arial" w:hAnsi="Arial" w:cs="Arial"/>
                <w:b/>
              </w:rPr>
              <w:t xml:space="preserve">: </w:t>
            </w:r>
            <w:r w:rsidRPr="002B4A8E">
              <w:rPr>
                <w:rFonts w:ascii="Arial" w:hAnsi="Arial" w:cs="Arial"/>
              </w:rPr>
              <w:t>Each year the MEP will provide four workshops to parents annually with two topic areas selected by the</w:t>
            </w:r>
            <w:r w:rsidR="00A61302">
              <w:rPr>
                <w:rFonts w:ascii="Arial" w:hAnsi="Arial" w:cs="Arial"/>
              </w:rPr>
              <w:t xml:space="preserve"> State Parent Advisory Council</w:t>
            </w:r>
            <w:r w:rsidRPr="002B4A8E">
              <w:rPr>
                <w:rFonts w:ascii="Arial" w:hAnsi="Arial" w:cs="Arial"/>
              </w:rPr>
              <w:t xml:space="preserve"> </w:t>
            </w:r>
            <w:r w:rsidR="00A61302">
              <w:rPr>
                <w:rFonts w:ascii="Arial" w:hAnsi="Arial" w:cs="Arial"/>
              </w:rPr>
              <w:t>(</w:t>
            </w:r>
            <w:r w:rsidRPr="002B4A8E">
              <w:rPr>
                <w:rFonts w:ascii="Arial" w:hAnsi="Arial" w:cs="Arial"/>
              </w:rPr>
              <w:t>S</w:t>
            </w:r>
            <w:r>
              <w:rPr>
                <w:rFonts w:ascii="Arial" w:hAnsi="Arial" w:cs="Arial"/>
              </w:rPr>
              <w:t>PAC</w:t>
            </w:r>
            <w:r w:rsidR="00A61302">
              <w:rPr>
                <w:rFonts w:ascii="Arial" w:hAnsi="Arial" w:cs="Arial"/>
              </w:rPr>
              <w:t>)</w:t>
            </w:r>
            <w:r w:rsidRPr="002B4A8E">
              <w:rPr>
                <w:rFonts w:ascii="Arial" w:hAnsi="Arial" w:cs="Arial"/>
              </w:rPr>
              <w:t xml:space="preserve"> and two selected locally by the Regional Parent Advisory Council or DFD</w:t>
            </w:r>
            <w:r>
              <w:rPr>
                <w:rFonts w:ascii="Arial" w:hAnsi="Arial" w:cs="Arial"/>
              </w:rPr>
              <w:t xml:space="preserve"> Parent Advisory Council</w:t>
            </w:r>
            <w:r w:rsidRPr="002B4A8E">
              <w:rPr>
                <w:rFonts w:ascii="Arial" w:hAnsi="Arial" w:cs="Arial"/>
              </w:rPr>
              <w:t>.</w:t>
            </w:r>
          </w:p>
        </w:tc>
        <w:tc>
          <w:tcPr>
            <w:tcW w:w="4221" w:type="dxa"/>
          </w:tcPr>
          <w:p w14:paraId="0F42A047" w14:textId="512D7BB9" w:rsidR="00442AC9" w:rsidRDefault="00FE6138" w:rsidP="00B76E3C">
            <w:pPr>
              <w:pStyle w:val="ListParagraph"/>
              <w:numPr>
                <w:ilvl w:val="0"/>
                <w:numId w:val="24"/>
              </w:numPr>
              <w:spacing w:after="120"/>
              <w:ind w:left="403"/>
              <w:contextualSpacing w:val="0"/>
              <w:rPr>
                <w:rFonts w:ascii="Arial" w:hAnsi="Arial" w:cs="Arial"/>
              </w:rPr>
            </w:pPr>
            <w:r>
              <w:rPr>
                <w:rFonts w:ascii="Arial" w:hAnsi="Arial" w:cs="Arial"/>
              </w:rPr>
              <w:t>Strategy and MPO n</w:t>
            </w:r>
            <w:r w:rsidR="00442AC9">
              <w:rPr>
                <w:rFonts w:ascii="Arial" w:hAnsi="Arial" w:cs="Arial"/>
              </w:rPr>
              <w:t>umber change.</w:t>
            </w:r>
          </w:p>
          <w:p w14:paraId="0CDCA985" w14:textId="78C7422D" w:rsidR="00AC4552" w:rsidRDefault="008B4F6E" w:rsidP="00B76E3C">
            <w:pPr>
              <w:pStyle w:val="ListParagraph"/>
              <w:numPr>
                <w:ilvl w:val="0"/>
                <w:numId w:val="24"/>
              </w:numPr>
              <w:spacing w:after="120"/>
              <w:ind w:left="403"/>
              <w:contextualSpacing w:val="0"/>
              <w:rPr>
                <w:rFonts w:ascii="Arial" w:hAnsi="Arial" w:cs="Arial"/>
              </w:rPr>
            </w:pPr>
            <w:r>
              <w:rPr>
                <w:rFonts w:ascii="Arial" w:hAnsi="Arial" w:cs="Arial"/>
              </w:rPr>
              <w:t xml:space="preserve">The intent of the </w:t>
            </w:r>
            <w:r w:rsidR="00B31581">
              <w:rPr>
                <w:rFonts w:ascii="Arial" w:hAnsi="Arial" w:cs="Arial"/>
              </w:rPr>
              <w:t>strategy</w:t>
            </w:r>
            <w:r>
              <w:rPr>
                <w:rFonts w:ascii="Arial" w:hAnsi="Arial" w:cs="Arial"/>
              </w:rPr>
              <w:t xml:space="preserve"> </w:t>
            </w:r>
            <w:r w:rsidR="00B31581">
              <w:rPr>
                <w:rFonts w:ascii="Arial" w:hAnsi="Arial" w:cs="Arial"/>
              </w:rPr>
              <w:t xml:space="preserve">(i.e., </w:t>
            </w:r>
            <w:r>
              <w:rPr>
                <w:rFonts w:ascii="Arial" w:hAnsi="Arial" w:cs="Arial"/>
              </w:rPr>
              <w:t xml:space="preserve">to build parental and family </w:t>
            </w:r>
            <w:proofErr w:type="gramStart"/>
            <w:r>
              <w:rPr>
                <w:rFonts w:ascii="Arial" w:hAnsi="Arial" w:cs="Arial"/>
              </w:rPr>
              <w:t>capacity</w:t>
            </w:r>
            <w:proofErr w:type="gramEnd"/>
            <w:r>
              <w:rPr>
                <w:rFonts w:ascii="Arial" w:hAnsi="Arial" w:cs="Arial"/>
              </w:rPr>
              <w:t xml:space="preserve"> to support their children’s overall well-being</w:t>
            </w:r>
            <w:r w:rsidR="00B31581">
              <w:rPr>
                <w:rFonts w:ascii="Arial" w:hAnsi="Arial" w:cs="Arial"/>
              </w:rPr>
              <w:t>)</w:t>
            </w:r>
            <w:r>
              <w:rPr>
                <w:rFonts w:ascii="Arial" w:hAnsi="Arial" w:cs="Arial"/>
              </w:rPr>
              <w:t xml:space="preserve"> remains the same.</w:t>
            </w:r>
          </w:p>
          <w:p w14:paraId="5EAD213E" w14:textId="77777777" w:rsidR="008B4F6E" w:rsidRDefault="00442AC9" w:rsidP="00B76E3C">
            <w:pPr>
              <w:pStyle w:val="ListParagraph"/>
              <w:numPr>
                <w:ilvl w:val="0"/>
                <w:numId w:val="24"/>
              </w:numPr>
              <w:spacing w:after="120"/>
              <w:ind w:left="403"/>
              <w:contextualSpacing w:val="0"/>
              <w:rPr>
                <w:rFonts w:ascii="Arial" w:hAnsi="Arial" w:cs="Arial"/>
              </w:rPr>
            </w:pPr>
            <w:r>
              <w:rPr>
                <w:rFonts w:ascii="Arial" w:hAnsi="Arial" w:cs="Arial"/>
              </w:rPr>
              <w:t>The number of workshops increased from three to four in the new SDP.</w:t>
            </w:r>
          </w:p>
          <w:p w14:paraId="533246F6" w14:textId="7BC21D1B" w:rsidR="00442AC9" w:rsidRPr="00DA4DB9" w:rsidRDefault="00442AC9" w:rsidP="00442AC9">
            <w:pPr>
              <w:pStyle w:val="ListParagraph"/>
              <w:numPr>
                <w:ilvl w:val="0"/>
                <w:numId w:val="24"/>
              </w:numPr>
              <w:ind w:left="403"/>
              <w:contextualSpacing w:val="0"/>
              <w:rPr>
                <w:rFonts w:ascii="Arial" w:hAnsi="Arial" w:cs="Arial"/>
              </w:rPr>
            </w:pPr>
            <w:r>
              <w:rPr>
                <w:rFonts w:ascii="Arial" w:hAnsi="Arial" w:cs="Arial"/>
              </w:rPr>
              <w:t>Instead of selecting from a standing list of workshops, more flexibility is infused in the new standard with the SPAC and local parent advisory councils choosing workshop content.</w:t>
            </w:r>
          </w:p>
        </w:tc>
      </w:tr>
    </w:tbl>
    <w:p w14:paraId="1B364234" w14:textId="77777777" w:rsidR="00C862B4" w:rsidRDefault="00C862B4" w:rsidP="00C862B4">
      <w:pPr>
        <w:pStyle w:val="Heading2"/>
      </w:pPr>
      <w:r>
        <w:br w:type="page"/>
      </w:r>
    </w:p>
    <w:p w14:paraId="71FB1627" w14:textId="2A15A3B6" w:rsidR="00FA3D07" w:rsidRPr="0078589E" w:rsidRDefault="00FA3D07" w:rsidP="00C862B4">
      <w:pPr>
        <w:pStyle w:val="Heading2"/>
      </w:pPr>
      <w:r w:rsidRPr="0078589E">
        <w:lastRenderedPageBreak/>
        <w:t>Student Engagement</w:t>
      </w:r>
    </w:p>
    <w:tbl>
      <w:tblPr>
        <w:tblStyle w:val="TableGrid"/>
        <w:tblW w:w="17185" w:type="dxa"/>
        <w:tblLook w:val="04A0" w:firstRow="1" w:lastRow="0" w:firstColumn="1" w:lastColumn="0" w:noHBand="0" w:noVBand="1"/>
        <w:tblDescription w:val="Student Engagement comparison of the 2017 SSDP Strategies and MPOs and the 2026 SDP Strategies and MPOs."/>
      </w:tblPr>
      <w:tblGrid>
        <w:gridCol w:w="923"/>
        <w:gridCol w:w="6182"/>
        <w:gridCol w:w="923"/>
        <w:gridCol w:w="4869"/>
        <w:gridCol w:w="4288"/>
      </w:tblGrid>
      <w:tr w:rsidR="00FA3D07" w:rsidRPr="00095DF3" w14:paraId="4295E0E3" w14:textId="77777777" w:rsidTr="00C862B4">
        <w:trPr>
          <w:cantSplit/>
          <w:tblHeader/>
        </w:trPr>
        <w:tc>
          <w:tcPr>
            <w:tcW w:w="923" w:type="dxa"/>
            <w:shd w:val="clear" w:color="auto" w:fill="D9F2D0" w:themeFill="accent6" w:themeFillTint="33"/>
          </w:tcPr>
          <w:p w14:paraId="488DB926" w14:textId="77777777" w:rsidR="00FA3D07" w:rsidRPr="00095DF3" w:rsidRDefault="00FA3D07" w:rsidP="004540CC">
            <w:pPr>
              <w:rPr>
                <w:rFonts w:ascii="Arial" w:hAnsi="Arial" w:cs="Arial"/>
                <w:b/>
                <w:bCs/>
              </w:rPr>
            </w:pPr>
            <w:r w:rsidRPr="00095DF3">
              <w:rPr>
                <w:rFonts w:ascii="Arial" w:hAnsi="Arial" w:cs="Arial"/>
                <w:b/>
                <w:bCs/>
              </w:rPr>
              <w:t xml:space="preserve">Focus Area </w:t>
            </w:r>
          </w:p>
        </w:tc>
        <w:tc>
          <w:tcPr>
            <w:tcW w:w="6182" w:type="dxa"/>
            <w:shd w:val="clear" w:color="auto" w:fill="D9F2D0" w:themeFill="accent6" w:themeFillTint="33"/>
          </w:tcPr>
          <w:p w14:paraId="0004BEB3" w14:textId="77777777" w:rsidR="00FA3D07" w:rsidRPr="00095DF3" w:rsidRDefault="00FA3D07" w:rsidP="004540CC">
            <w:pPr>
              <w:rPr>
                <w:rFonts w:ascii="Arial" w:hAnsi="Arial" w:cs="Arial"/>
                <w:b/>
                <w:bCs/>
              </w:rPr>
            </w:pPr>
            <w:r w:rsidRPr="00095DF3">
              <w:rPr>
                <w:rFonts w:ascii="Arial" w:hAnsi="Arial" w:cs="Arial"/>
                <w:b/>
                <w:bCs/>
              </w:rPr>
              <w:t>SSDP Strategies and MPOs (2017)</w:t>
            </w:r>
          </w:p>
        </w:tc>
        <w:tc>
          <w:tcPr>
            <w:tcW w:w="923" w:type="dxa"/>
            <w:shd w:val="clear" w:color="auto" w:fill="F2CEED" w:themeFill="accent5" w:themeFillTint="33"/>
          </w:tcPr>
          <w:p w14:paraId="51148EFA" w14:textId="77777777" w:rsidR="00FA3D07" w:rsidRPr="00095DF3" w:rsidRDefault="00FA3D07" w:rsidP="004540CC">
            <w:pPr>
              <w:rPr>
                <w:rFonts w:ascii="Arial" w:hAnsi="Arial" w:cs="Arial"/>
                <w:b/>
                <w:bCs/>
              </w:rPr>
            </w:pPr>
            <w:r w:rsidRPr="00095DF3">
              <w:rPr>
                <w:rFonts w:ascii="Arial" w:hAnsi="Arial" w:cs="Arial"/>
                <w:b/>
                <w:bCs/>
              </w:rPr>
              <w:t xml:space="preserve">Focus Area </w:t>
            </w:r>
          </w:p>
        </w:tc>
        <w:tc>
          <w:tcPr>
            <w:tcW w:w="4869" w:type="dxa"/>
            <w:shd w:val="clear" w:color="auto" w:fill="F2CEED" w:themeFill="accent5" w:themeFillTint="33"/>
          </w:tcPr>
          <w:p w14:paraId="1CBDDE45" w14:textId="77777777" w:rsidR="00FA3D07" w:rsidRPr="00095DF3" w:rsidRDefault="00FA3D07" w:rsidP="004540CC">
            <w:pPr>
              <w:rPr>
                <w:rFonts w:ascii="Arial" w:hAnsi="Arial" w:cs="Arial"/>
                <w:b/>
                <w:bCs/>
              </w:rPr>
            </w:pPr>
            <w:r w:rsidRPr="00095DF3">
              <w:rPr>
                <w:rFonts w:ascii="Arial" w:hAnsi="Arial" w:cs="Arial"/>
                <w:b/>
                <w:bCs/>
              </w:rPr>
              <w:t>SDP Strategies and MPOs (2026)</w:t>
            </w:r>
          </w:p>
        </w:tc>
        <w:tc>
          <w:tcPr>
            <w:tcW w:w="4288" w:type="dxa"/>
          </w:tcPr>
          <w:p w14:paraId="3B04CF6A" w14:textId="77777777" w:rsidR="00FA3D07" w:rsidRPr="00095DF3" w:rsidRDefault="00FA3D07" w:rsidP="004540CC">
            <w:pPr>
              <w:rPr>
                <w:rFonts w:ascii="Arial" w:hAnsi="Arial" w:cs="Arial"/>
                <w:b/>
                <w:bCs/>
              </w:rPr>
            </w:pPr>
            <w:r w:rsidRPr="00095DF3">
              <w:rPr>
                <w:rFonts w:ascii="Arial" w:hAnsi="Arial" w:cs="Arial"/>
                <w:b/>
                <w:bCs/>
              </w:rPr>
              <w:t xml:space="preserve">Comparison </w:t>
            </w:r>
          </w:p>
        </w:tc>
      </w:tr>
      <w:tr w:rsidR="00466923" w:rsidRPr="0078589E" w14:paraId="67CE4404" w14:textId="77777777" w:rsidTr="00C862B4">
        <w:trPr>
          <w:cantSplit/>
        </w:trPr>
        <w:tc>
          <w:tcPr>
            <w:tcW w:w="923" w:type="dxa"/>
            <w:shd w:val="clear" w:color="auto" w:fill="D9F2D0" w:themeFill="accent6" w:themeFillTint="33"/>
          </w:tcPr>
          <w:p w14:paraId="0AE133F8" w14:textId="521F7F5A" w:rsidR="00466923" w:rsidRPr="0078589E" w:rsidRDefault="00466923" w:rsidP="00466923">
            <w:pPr>
              <w:rPr>
                <w:rFonts w:ascii="Arial" w:hAnsi="Arial" w:cs="Arial"/>
              </w:rPr>
            </w:pPr>
            <w:r>
              <w:rPr>
                <w:rFonts w:ascii="Arial" w:hAnsi="Arial" w:cs="Arial"/>
              </w:rPr>
              <w:t>SE 13.0</w:t>
            </w:r>
          </w:p>
        </w:tc>
        <w:tc>
          <w:tcPr>
            <w:tcW w:w="6182" w:type="dxa"/>
            <w:shd w:val="clear" w:color="auto" w:fill="D9F2D0" w:themeFill="accent6" w:themeFillTint="33"/>
          </w:tcPr>
          <w:p w14:paraId="20304C69" w14:textId="6F9E6118" w:rsidR="00466923" w:rsidRPr="00475EDB" w:rsidRDefault="00466923" w:rsidP="00A12AEC">
            <w:pPr>
              <w:spacing w:after="120"/>
              <w:rPr>
                <w:rFonts w:ascii="Arial" w:hAnsi="Arial" w:cs="Arial"/>
              </w:rPr>
            </w:pPr>
            <w:r w:rsidRPr="007D443E">
              <w:rPr>
                <w:rFonts w:ascii="Arial" w:hAnsi="Arial" w:cs="Arial"/>
                <w:b/>
              </w:rPr>
              <w:t xml:space="preserve">Strategy 13.0: </w:t>
            </w:r>
            <w:r w:rsidRPr="007D443E">
              <w:rPr>
                <w:rFonts w:ascii="Arial" w:hAnsi="Arial" w:cs="Arial"/>
              </w:rPr>
              <w:t>Services offered to migratory students need to have a cultural component</w:t>
            </w:r>
            <w:r>
              <w:rPr>
                <w:rFonts w:ascii="Arial" w:hAnsi="Arial" w:cs="Arial"/>
              </w:rPr>
              <w:t>.</w:t>
            </w:r>
          </w:p>
          <w:p w14:paraId="7C9359DA" w14:textId="1C0354C5" w:rsidR="00466923" w:rsidRPr="0078589E" w:rsidRDefault="00466923" w:rsidP="00A12AEC">
            <w:pPr>
              <w:spacing w:after="120"/>
              <w:rPr>
                <w:rFonts w:ascii="Arial" w:hAnsi="Arial" w:cs="Arial"/>
                <w:b/>
                <w:bCs/>
              </w:rPr>
            </w:pPr>
            <w:r w:rsidRPr="00B73422">
              <w:rPr>
                <w:rFonts w:ascii="Arial" w:hAnsi="Arial" w:cs="Arial"/>
                <w:b/>
              </w:rPr>
              <w:t>MPO 13.0:</w:t>
            </w:r>
            <w:r w:rsidRPr="007D443E">
              <w:rPr>
                <w:rFonts w:ascii="Arial" w:hAnsi="Arial" w:cs="Arial"/>
                <w:b/>
              </w:rPr>
              <w:t xml:space="preserve"> </w:t>
            </w:r>
            <w:r w:rsidRPr="007D443E">
              <w:rPr>
                <w:rFonts w:ascii="Arial" w:hAnsi="Arial" w:cs="Arial"/>
              </w:rPr>
              <w:t>Each year, 50 percent of MEP</w:t>
            </w:r>
            <w:r>
              <w:rPr>
                <w:rFonts w:ascii="Arial" w:hAnsi="Arial" w:cs="Arial"/>
              </w:rPr>
              <w:t xml:space="preserve"> instructional</w:t>
            </w:r>
            <w:r w:rsidRPr="007D443E">
              <w:rPr>
                <w:rFonts w:ascii="Arial" w:hAnsi="Arial" w:cs="Arial"/>
              </w:rPr>
              <w:t xml:space="preserve"> services</w:t>
            </w:r>
            <w:r>
              <w:rPr>
                <w:rFonts w:ascii="Arial" w:hAnsi="Arial" w:cs="Arial"/>
              </w:rPr>
              <w:t>, excluding credit accrual services,</w:t>
            </w:r>
            <w:r w:rsidRPr="007D443E">
              <w:rPr>
                <w:rFonts w:ascii="Arial" w:hAnsi="Arial" w:cs="Arial"/>
              </w:rPr>
              <w:t xml:space="preserve"> will </w:t>
            </w:r>
            <w:r>
              <w:rPr>
                <w:rFonts w:ascii="Arial" w:hAnsi="Arial" w:cs="Arial"/>
              </w:rPr>
              <w:t>include</w:t>
            </w:r>
            <w:r w:rsidRPr="007D443E">
              <w:rPr>
                <w:rFonts w:ascii="Arial" w:hAnsi="Arial" w:cs="Arial"/>
              </w:rPr>
              <w:t xml:space="preserve"> a cultural component</w:t>
            </w:r>
            <w:r>
              <w:rPr>
                <w:rFonts w:ascii="Arial" w:hAnsi="Arial" w:cs="Arial"/>
              </w:rPr>
              <w:t>/culturally and linguistically responsive teaching (CLRT)</w:t>
            </w:r>
            <w:r w:rsidRPr="007D443E">
              <w:rPr>
                <w:rFonts w:ascii="Arial" w:hAnsi="Arial" w:cs="Arial"/>
              </w:rPr>
              <w:t xml:space="preserve"> whether it be through </w:t>
            </w:r>
            <w:r>
              <w:rPr>
                <w:rFonts w:ascii="Arial" w:hAnsi="Arial" w:cs="Arial"/>
              </w:rPr>
              <w:t xml:space="preserve">instructional </w:t>
            </w:r>
            <w:r w:rsidRPr="007D443E">
              <w:rPr>
                <w:rFonts w:ascii="Arial" w:hAnsi="Arial" w:cs="Arial"/>
              </w:rPr>
              <w:t>services or workshops (e.g., use examples of students’ cultural history, literature, art,</w:t>
            </w:r>
            <w:r>
              <w:rPr>
                <w:rFonts w:ascii="Arial" w:hAnsi="Arial" w:cs="Arial"/>
              </w:rPr>
              <w:t xml:space="preserve"> </w:t>
            </w:r>
            <w:r w:rsidRPr="007D443E">
              <w:rPr>
                <w:rFonts w:ascii="Arial" w:hAnsi="Arial" w:cs="Arial"/>
              </w:rPr>
              <w:t>etc.).</w:t>
            </w:r>
          </w:p>
        </w:tc>
        <w:tc>
          <w:tcPr>
            <w:tcW w:w="923" w:type="dxa"/>
            <w:shd w:val="clear" w:color="auto" w:fill="F2CEED" w:themeFill="accent5" w:themeFillTint="33"/>
          </w:tcPr>
          <w:p w14:paraId="3BEAF935" w14:textId="58AE3FF8" w:rsidR="00466923" w:rsidRPr="0078589E" w:rsidRDefault="00466923" w:rsidP="00A12AEC">
            <w:pPr>
              <w:spacing w:after="120"/>
              <w:rPr>
                <w:rFonts w:ascii="Arial" w:hAnsi="Arial" w:cs="Arial"/>
              </w:rPr>
            </w:pPr>
            <w:r>
              <w:rPr>
                <w:rFonts w:ascii="Arial" w:hAnsi="Arial" w:cs="Arial"/>
              </w:rPr>
              <w:t>SE 13.0</w:t>
            </w:r>
          </w:p>
        </w:tc>
        <w:tc>
          <w:tcPr>
            <w:tcW w:w="4869" w:type="dxa"/>
            <w:shd w:val="clear" w:color="auto" w:fill="F2CEED" w:themeFill="accent5" w:themeFillTint="33"/>
          </w:tcPr>
          <w:p w14:paraId="144EECC7" w14:textId="7D750E30" w:rsidR="00466923" w:rsidRDefault="00466923" w:rsidP="00A12AEC">
            <w:pPr>
              <w:spacing w:after="120"/>
              <w:rPr>
                <w:rFonts w:ascii="Arial" w:hAnsi="Arial" w:cs="Arial"/>
              </w:rPr>
            </w:pPr>
            <w:r w:rsidRPr="001A1EE3">
              <w:rPr>
                <w:rFonts w:ascii="Arial" w:hAnsi="Arial" w:cs="Arial"/>
                <w:b/>
              </w:rPr>
              <w:t>Strategy 13.</w:t>
            </w:r>
            <w:r>
              <w:rPr>
                <w:rFonts w:ascii="Arial" w:hAnsi="Arial" w:cs="Arial"/>
                <w:b/>
              </w:rPr>
              <w:t>0</w:t>
            </w:r>
            <w:r w:rsidRPr="001A1EE3">
              <w:rPr>
                <w:rFonts w:ascii="Arial" w:hAnsi="Arial" w:cs="Arial"/>
                <w:b/>
              </w:rPr>
              <w:t xml:space="preserve">: </w:t>
            </w:r>
            <w:r w:rsidRPr="001A1EE3">
              <w:rPr>
                <w:rFonts w:ascii="Arial" w:hAnsi="Arial" w:cs="Arial"/>
              </w:rPr>
              <w:t>Culturally sustaining pedagogy (with a focus on being linguistically relevant) should be included in all instructional services excluding credit accrual services.</w:t>
            </w:r>
          </w:p>
          <w:p w14:paraId="40672738" w14:textId="1FC95F3F" w:rsidR="00466923" w:rsidRPr="0078589E" w:rsidRDefault="00466923" w:rsidP="00A12AEC">
            <w:pPr>
              <w:spacing w:after="120"/>
              <w:rPr>
                <w:rFonts w:ascii="Arial" w:hAnsi="Arial" w:cs="Arial"/>
              </w:rPr>
            </w:pPr>
            <w:r>
              <w:rPr>
                <w:rFonts w:ascii="Arial" w:hAnsi="Arial" w:cs="Arial"/>
                <w:b/>
              </w:rPr>
              <w:t>MPO</w:t>
            </w:r>
            <w:r w:rsidRPr="007D443E">
              <w:rPr>
                <w:rFonts w:ascii="Arial" w:hAnsi="Arial" w:cs="Arial"/>
                <w:b/>
              </w:rPr>
              <w:t xml:space="preserve"> 13.</w:t>
            </w:r>
            <w:r>
              <w:rPr>
                <w:rFonts w:ascii="Arial" w:hAnsi="Arial" w:cs="Arial"/>
                <w:b/>
              </w:rPr>
              <w:t xml:space="preserve">0: </w:t>
            </w:r>
            <w:r w:rsidRPr="001A1EE3">
              <w:rPr>
                <w:rFonts w:ascii="Arial" w:hAnsi="Arial" w:cs="Arial"/>
              </w:rPr>
              <w:t>Each year, 65 percent of instructional services excluding credit accrual services will include culturally sustaining pedagogy with a focus on being linguistically relevant as well.</w:t>
            </w:r>
          </w:p>
        </w:tc>
        <w:tc>
          <w:tcPr>
            <w:tcW w:w="4288" w:type="dxa"/>
          </w:tcPr>
          <w:p w14:paraId="6377933E" w14:textId="77777777" w:rsidR="00466923" w:rsidRDefault="00D04F73" w:rsidP="00B76E3C">
            <w:pPr>
              <w:pStyle w:val="ListParagraph"/>
              <w:numPr>
                <w:ilvl w:val="0"/>
                <w:numId w:val="25"/>
              </w:numPr>
              <w:spacing w:after="120"/>
              <w:ind w:left="398"/>
              <w:contextualSpacing w:val="0"/>
              <w:rPr>
                <w:rFonts w:ascii="Arial" w:hAnsi="Arial" w:cs="Arial"/>
              </w:rPr>
            </w:pPr>
            <w:r>
              <w:rPr>
                <w:rFonts w:ascii="Arial" w:hAnsi="Arial" w:cs="Arial"/>
              </w:rPr>
              <w:t>This strategy seeks to advance instruction towards deeper practice within culturally sustaining pedagogy by moving from focusing on building cultural pride to embedding culture throughout teaching and learning.</w:t>
            </w:r>
          </w:p>
          <w:p w14:paraId="50585553" w14:textId="477A521B" w:rsidR="00D04F73" w:rsidRPr="00442AC9" w:rsidRDefault="00D04F73" w:rsidP="00B76E3C">
            <w:pPr>
              <w:pStyle w:val="ListParagraph"/>
              <w:numPr>
                <w:ilvl w:val="0"/>
                <w:numId w:val="25"/>
              </w:numPr>
              <w:ind w:left="398"/>
              <w:contextualSpacing w:val="0"/>
              <w:rPr>
                <w:rFonts w:ascii="Arial" w:hAnsi="Arial" w:cs="Arial"/>
              </w:rPr>
            </w:pPr>
            <w:r>
              <w:rPr>
                <w:rFonts w:ascii="Arial" w:hAnsi="Arial" w:cs="Arial"/>
              </w:rPr>
              <w:t xml:space="preserve">Based on past years’ data, </w:t>
            </w:r>
            <w:r w:rsidR="001F2A72">
              <w:rPr>
                <w:rFonts w:ascii="Arial" w:hAnsi="Arial" w:cs="Arial"/>
              </w:rPr>
              <w:t xml:space="preserve">the percentage target was increased to 65 percent. </w:t>
            </w:r>
          </w:p>
        </w:tc>
      </w:tr>
      <w:tr w:rsidR="00442AC9" w:rsidRPr="0078589E" w14:paraId="167F08BC" w14:textId="77777777" w:rsidTr="00C862B4">
        <w:trPr>
          <w:cantSplit/>
        </w:trPr>
        <w:tc>
          <w:tcPr>
            <w:tcW w:w="923" w:type="dxa"/>
            <w:shd w:val="clear" w:color="auto" w:fill="D9F2D0" w:themeFill="accent6" w:themeFillTint="33"/>
          </w:tcPr>
          <w:p w14:paraId="6F1438BF" w14:textId="5301869C" w:rsidR="00442AC9" w:rsidRPr="0078589E" w:rsidRDefault="00442AC9" w:rsidP="00442AC9">
            <w:pPr>
              <w:rPr>
                <w:rFonts w:ascii="Arial" w:hAnsi="Arial" w:cs="Arial"/>
              </w:rPr>
            </w:pPr>
            <w:r>
              <w:rPr>
                <w:rFonts w:ascii="Arial" w:hAnsi="Arial" w:cs="Arial"/>
              </w:rPr>
              <w:t>SE 13.1</w:t>
            </w:r>
          </w:p>
        </w:tc>
        <w:tc>
          <w:tcPr>
            <w:tcW w:w="6182" w:type="dxa"/>
            <w:shd w:val="clear" w:color="auto" w:fill="D9F2D0" w:themeFill="accent6" w:themeFillTint="33"/>
          </w:tcPr>
          <w:p w14:paraId="65EB8342" w14:textId="638306ED" w:rsidR="00442AC9" w:rsidRDefault="00442AC9" w:rsidP="00A12AEC">
            <w:pPr>
              <w:spacing w:after="120"/>
              <w:rPr>
                <w:rFonts w:ascii="Arial" w:hAnsi="Arial" w:cs="Arial"/>
              </w:rPr>
            </w:pPr>
            <w:r w:rsidRPr="007D443E">
              <w:rPr>
                <w:rFonts w:ascii="Arial" w:hAnsi="Arial" w:cs="Arial"/>
                <w:b/>
              </w:rPr>
              <w:t xml:space="preserve">Strategy 13.1: </w:t>
            </w:r>
            <w:r w:rsidRPr="007D443E">
              <w:rPr>
                <w:rFonts w:ascii="Arial" w:hAnsi="Arial" w:cs="Arial"/>
              </w:rPr>
              <w:t xml:space="preserve">Increase student engagement by incorporating activities into services that build migratory students’ self-pride (e.g., confidence, self-worth, etc.). </w:t>
            </w:r>
          </w:p>
          <w:p w14:paraId="75D1FBC8" w14:textId="729EC0AD" w:rsidR="00442AC9" w:rsidRPr="0078589E" w:rsidRDefault="00442AC9" w:rsidP="00A12AEC">
            <w:pPr>
              <w:spacing w:after="120"/>
              <w:rPr>
                <w:rFonts w:ascii="Arial" w:hAnsi="Arial" w:cs="Arial"/>
              </w:rPr>
            </w:pPr>
            <w:r>
              <w:rPr>
                <w:rFonts w:ascii="Arial" w:hAnsi="Arial" w:cs="Arial"/>
                <w:b/>
              </w:rPr>
              <w:t xml:space="preserve">MPO </w:t>
            </w:r>
            <w:r w:rsidRPr="007D443E">
              <w:rPr>
                <w:rFonts w:ascii="Arial" w:hAnsi="Arial" w:cs="Arial"/>
                <w:b/>
              </w:rPr>
              <w:t xml:space="preserve">13.1: </w:t>
            </w:r>
            <w:r w:rsidRPr="007D443E">
              <w:rPr>
                <w:rFonts w:ascii="Arial" w:hAnsi="Arial" w:cs="Arial"/>
              </w:rPr>
              <w:t xml:space="preserve">Each year, 25 percent of MEP </w:t>
            </w:r>
            <w:r>
              <w:rPr>
                <w:rFonts w:ascii="Arial" w:hAnsi="Arial" w:cs="Arial"/>
              </w:rPr>
              <w:t xml:space="preserve">instructional </w:t>
            </w:r>
            <w:r w:rsidRPr="007D443E">
              <w:rPr>
                <w:rFonts w:ascii="Arial" w:hAnsi="Arial" w:cs="Arial"/>
              </w:rPr>
              <w:t>services</w:t>
            </w:r>
            <w:r>
              <w:rPr>
                <w:rFonts w:ascii="Arial" w:hAnsi="Arial" w:cs="Arial"/>
              </w:rPr>
              <w:t>, excluding credit accrual services,</w:t>
            </w:r>
            <w:r w:rsidRPr="007D443E">
              <w:rPr>
                <w:rFonts w:ascii="Arial" w:hAnsi="Arial" w:cs="Arial"/>
              </w:rPr>
              <w:t xml:space="preserve"> will include time dedicated to building student self-pride.</w:t>
            </w:r>
          </w:p>
        </w:tc>
        <w:tc>
          <w:tcPr>
            <w:tcW w:w="923" w:type="dxa"/>
            <w:shd w:val="clear" w:color="auto" w:fill="F2CEED" w:themeFill="accent5" w:themeFillTint="33"/>
          </w:tcPr>
          <w:p w14:paraId="13B5265D" w14:textId="4AFBA8FE" w:rsidR="00442AC9" w:rsidRPr="0078589E" w:rsidRDefault="001A00A1" w:rsidP="00A12AEC">
            <w:pPr>
              <w:spacing w:after="120"/>
              <w:rPr>
                <w:rFonts w:ascii="Arial" w:hAnsi="Arial" w:cs="Arial"/>
              </w:rPr>
            </w:pPr>
            <w:r>
              <w:rPr>
                <w:rFonts w:ascii="Arial" w:hAnsi="Arial" w:cs="Arial"/>
              </w:rPr>
              <w:t>N/A</w:t>
            </w:r>
          </w:p>
        </w:tc>
        <w:tc>
          <w:tcPr>
            <w:tcW w:w="4869" w:type="dxa"/>
            <w:shd w:val="clear" w:color="auto" w:fill="F2CEED" w:themeFill="accent5" w:themeFillTint="33"/>
          </w:tcPr>
          <w:p w14:paraId="278D7742" w14:textId="77334822" w:rsidR="00442AC9" w:rsidRPr="0078589E" w:rsidRDefault="00442AC9" w:rsidP="00A12AEC">
            <w:pPr>
              <w:spacing w:after="120"/>
              <w:rPr>
                <w:rFonts w:ascii="Arial" w:hAnsi="Arial" w:cs="Arial"/>
              </w:rPr>
            </w:pPr>
            <w:r w:rsidRPr="00C24F36">
              <w:rPr>
                <w:rFonts w:ascii="Arial" w:hAnsi="Arial" w:cs="Arial"/>
                <w:b/>
                <w:bCs/>
              </w:rPr>
              <w:t xml:space="preserve">This strategy </w:t>
            </w:r>
            <w:r>
              <w:rPr>
                <w:rFonts w:ascii="Arial" w:hAnsi="Arial" w:cs="Arial"/>
                <w:b/>
                <w:bCs/>
              </w:rPr>
              <w:t>is not included in the 2026 SDP.</w:t>
            </w:r>
          </w:p>
        </w:tc>
        <w:tc>
          <w:tcPr>
            <w:tcW w:w="4288" w:type="dxa"/>
            <w:shd w:val="clear" w:color="auto" w:fill="D9D9D9" w:themeFill="background1" w:themeFillShade="D9"/>
          </w:tcPr>
          <w:p w14:paraId="7924DEAA" w14:textId="342843A3" w:rsidR="00442AC9" w:rsidRPr="0078589E" w:rsidRDefault="00442AC9" w:rsidP="00B76E3C">
            <w:pPr>
              <w:spacing w:after="120"/>
              <w:rPr>
                <w:rFonts w:ascii="Arial" w:hAnsi="Arial" w:cs="Arial"/>
              </w:rPr>
            </w:pPr>
            <w:r>
              <w:rPr>
                <w:rFonts w:ascii="Arial" w:hAnsi="Arial" w:cs="Arial"/>
              </w:rPr>
              <w:t xml:space="preserve">Although this strategy is not included in the new SDP, building self-pride is woven into culturally sustaining pedagogy. </w:t>
            </w:r>
          </w:p>
        </w:tc>
      </w:tr>
      <w:tr w:rsidR="00442AC9" w:rsidRPr="0078589E" w14:paraId="768F042E" w14:textId="77777777" w:rsidTr="00C862B4">
        <w:trPr>
          <w:cantSplit/>
        </w:trPr>
        <w:tc>
          <w:tcPr>
            <w:tcW w:w="923" w:type="dxa"/>
            <w:shd w:val="clear" w:color="auto" w:fill="D9F2D0" w:themeFill="accent6" w:themeFillTint="33"/>
          </w:tcPr>
          <w:p w14:paraId="227EDA35" w14:textId="236BB207" w:rsidR="00442AC9" w:rsidRPr="0078589E" w:rsidRDefault="00442AC9" w:rsidP="00442AC9">
            <w:pPr>
              <w:rPr>
                <w:rFonts w:ascii="Arial" w:hAnsi="Arial" w:cs="Arial"/>
              </w:rPr>
            </w:pPr>
            <w:r>
              <w:rPr>
                <w:rFonts w:ascii="Arial" w:hAnsi="Arial" w:cs="Arial"/>
              </w:rPr>
              <w:t>SE 13.2</w:t>
            </w:r>
          </w:p>
        </w:tc>
        <w:tc>
          <w:tcPr>
            <w:tcW w:w="6182" w:type="dxa"/>
            <w:shd w:val="clear" w:color="auto" w:fill="D9F2D0" w:themeFill="accent6" w:themeFillTint="33"/>
          </w:tcPr>
          <w:p w14:paraId="53E97E8A" w14:textId="7BBE9AC5" w:rsidR="00442AC9" w:rsidRDefault="00442AC9" w:rsidP="00A12AEC">
            <w:pPr>
              <w:spacing w:after="120"/>
              <w:rPr>
                <w:rFonts w:ascii="Arial" w:hAnsi="Arial" w:cs="Arial"/>
              </w:rPr>
            </w:pPr>
            <w:r w:rsidRPr="007D443E">
              <w:rPr>
                <w:rFonts w:ascii="Arial" w:hAnsi="Arial" w:cs="Arial"/>
                <w:b/>
              </w:rPr>
              <w:t xml:space="preserve">Strategy 13.2: </w:t>
            </w:r>
            <w:r w:rsidRPr="007D443E">
              <w:rPr>
                <w:rFonts w:ascii="Arial" w:hAnsi="Arial" w:cs="Arial"/>
              </w:rPr>
              <w:t>Provide professional development to staff on cultural competency.</w:t>
            </w:r>
          </w:p>
          <w:p w14:paraId="7785E8C9" w14:textId="31872179" w:rsidR="00442AC9" w:rsidRPr="0078589E" w:rsidRDefault="00442AC9" w:rsidP="00A12AEC">
            <w:pPr>
              <w:spacing w:after="120"/>
              <w:rPr>
                <w:rFonts w:ascii="Arial" w:hAnsi="Arial" w:cs="Arial"/>
              </w:rPr>
            </w:pPr>
            <w:r w:rsidRPr="00B73422">
              <w:rPr>
                <w:rFonts w:ascii="Arial" w:hAnsi="Arial" w:cs="Arial"/>
                <w:b/>
                <w:bCs/>
              </w:rPr>
              <w:t>MPO 13.2:</w:t>
            </w:r>
            <w:r w:rsidRPr="007D443E">
              <w:rPr>
                <w:rFonts w:ascii="Arial" w:hAnsi="Arial" w:cs="Arial"/>
                <w:b/>
              </w:rPr>
              <w:t xml:space="preserve"> </w:t>
            </w:r>
            <w:r w:rsidRPr="007D443E">
              <w:rPr>
                <w:rFonts w:ascii="Arial" w:hAnsi="Arial" w:cs="Arial"/>
              </w:rPr>
              <w:t xml:space="preserve">Each year, MEPs will offer </w:t>
            </w:r>
            <w:r>
              <w:rPr>
                <w:rFonts w:ascii="Arial" w:hAnsi="Arial" w:cs="Arial"/>
              </w:rPr>
              <w:t>one training on</w:t>
            </w:r>
            <w:r w:rsidRPr="007D443E">
              <w:rPr>
                <w:rFonts w:ascii="Arial" w:hAnsi="Arial" w:cs="Arial"/>
              </w:rPr>
              <w:t xml:space="preserve"> cultural competency</w:t>
            </w:r>
            <w:r>
              <w:rPr>
                <w:rFonts w:ascii="Arial" w:hAnsi="Arial" w:cs="Arial"/>
              </w:rPr>
              <w:t>/CLRT</w:t>
            </w:r>
            <w:r w:rsidRPr="007D443E">
              <w:rPr>
                <w:rFonts w:ascii="Arial" w:hAnsi="Arial" w:cs="Arial"/>
              </w:rPr>
              <w:t xml:space="preserve">. </w:t>
            </w:r>
            <w:r>
              <w:rPr>
                <w:rFonts w:ascii="Arial" w:hAnsi="Arial" w:cs="Arial"/>
              </w:rPr>
              <w:t xml:space="preserve">CLRT should also be weaved into </w:t>
            </w:r>
            <w:r w:rsidR="00CF7438">
              <w:rPr>
                <w:rFonts w:ascii="Arial" w:hAnsi="Arial" w:cs="Arial"/>
              </w:rPr>
              <w:t>professional learning</w:t>
            </w:r>
            <w:r>
              <w:rPr>
                <w:rFonts w:ascii="Arial" w:hAnsi="Arial" w:cs="Arial"/>
              </w:rPr>
              <w:t xml:space="preserve"> for writing, math, and other </w:t>
            </w:r>
            <w:r w:rsidR="00A61302">
              <w:rPr>
                <w:rFonts w:ascii="Arial" w:hAnsi="Arial" w:cs="Arial"/>
              </w:rPr>
              <w:t>professional development</w:t>
            </w:r>
            <w:r>
              <w:rPr>
                <w:rFonts w:ascii="Arial" w:hAnsi="Arial" w:cs="Arial"/>
              </w:rPr>
              <w:t xml:space="preserve"> as appropriate.</w:t>
            </w:r>
          </w:p>
        </w:tc>
        <w:tc>
          <w:tcPr>
            <w:tcW w:w="923" w:type="dxa"/>
            <w:shd w:val="clear" w:color="auto" w:fill="F2CEED" w:themeFill="accent5" w:themeFillTint="33"/>
          </w:tcPr>
          <w:p w14:paraId="67405670" w14:textId="731FEADC" w:rsidR="00442AC9" w:rsidRPr="0078589E" w:rsidRDefault="00442AC9" w:rsidP="00A12AEC">
            <w:pPr>
              <w:spacing w:after="120"/>
              <w:rPr>
                <w:rFonts w:ascii="Arial" w:hAnsi="Arial" w:cs="Arial"/>
              </w:rPr>
            </w:pPr>
            <w:r>
              <w:rPr>
                <w:rFonts w:ascii="Arial" w:hAnsi="Arial" w:cs="Arial"/>
              </w:rPr>
              <w:t>SE 13.1</w:t>
            </w:r>
          </w:p>
        </w:tc>
        <w:tc>
          <w:tcPr>
            <w:tcW w:w="4869" w:type="dxa"/>
            <w:shd w:val="clear" w:color="auto" w:fill="F2CEED" w:themeFill="accent5" w:themeFillTint="33"/>
          </w:tcPr>
          <w:p w14:paraId="6DA0E832" w14:textId="000B4063" w:rsidR="00442AC9" w:rsidRDefault="00442AC9" w:rsidP="00A12AEC">
            <w:pPr>
              <w:spacing w:after="120"/>
              <w:rPr>
                <w:rFonts w:ascii="Arial" w:hAnsi="Arial" w:cs="Arial"/>
              </w:rPr>
            </w:pPr>
            <w:r w:rsidRPr="001A1EE3">
              <w:rPr>
                <w:rFonts w:ascii="Arial" w:hAnsi="Arial" w:cs="Arial"/>
                <w:b/>
              </w:rPr>
              <w:t xml:space="preserve">Strategy 13.1: </w:t>
            </w:r>
            <w:r w:rsidRPr="001A1EE3">
              <w:rPr>
                <w:rFonts w:ascii="Arial" w:hAnsi="Arial" w:cs="Arial"/>
              </w:rPr>
              <w:t>Provide professional learning opportunities to instructional staff on culturally sustaining pedagogy annually. Ensure that learning opportunities build upon prior knowledge and extend staff’s knowledge and skillset each year.</w:t>
            </w:r>
          </w:p>
          <w:p w14:paraId="2A40E46D" w14:textId="77710F9E" w:rsidR="00442AC9" w:rsidRPr="0078589E" w:rsidRDefault="00C80DE1" w:rsidP="00A12AEC">
            <w:pPr>
              <w:spacing w:after="120"/>
              <w:rPr>
                <w:rFonts w:ascii="Arial" w:hAnsi="Arial" w:cs="Arial"/>
              </w:rPr>
            </w:pPr>
            <w:r>
              <w:rPr>
                <w:rFonts w:ascii="Arial" w:hAnsi="Arial" w:cs="Arial"/>
                <w:b/>
              </w:rPr>
              <w:t xml:space="preserve">MPO </w:t>
            </w:r>
            <w:r w:rsidR="00442AC9" w:rsidRPr="007D443E">
              <w:rPr>
                <w:rFonts w:ascii="Arial" w:hAnsi="Arial" w:cs="Arial"/>
                <w:b/>
              </w:rPr>
              <w:t>13.</w:t>
            </w:r>
            <w:r w:rsidR="00442AC9">
              <w:rPr>
                <w:rFonts w:ascii="Arial" w:hAnsi="Arial" w:cs="Arial"/>
                <w:b/>
              </w:rPr>
              <w:t xml:space="preserve">1: </w:t>
            </w:r>
            <w:r w:rsidR="00442AC9" w:rsidRPr="001A1EE3">
              <w:rPr>
                <w:rFonts w:ascii="Arial" w:hAnsi="Arial" w:cs="Arial"/>
              </w:rPr>
              <w:t>Each year, the MEP will provide one professional learning opportunity on culturally sustaining pedagogy.</w:t>
            </w:r>
          </w:p>
        </w:tc>
        <w:tc>
          <w:tcPr>
            <w:tcW w:w="4288" w:type="dxa"/>
          </w:tcPr>
          <w:p w14:paraId="641BC7E4" w14:textId="429AE944" w:rsidR="00442AC9" w:rsidRDefault="00FE6138" w:rsidP="00B76E3C">
            <w:pPr>
              <w:pStyle w:val="ListParagraph"/>
              <w:numPr>
                <w:ilvl w:val="0"/>
                <w:numId w:val="25"/>
              </w:numPr>
              <w:spacing w:after="120"/>
              <w:ind w:left="403"/>
              <w:contextualSpacing w:val="0"/>
              <w:rPr>
                <w:rFonts w:ascii="Arial" w:hAnsi="Arial" w:cs="Arial"/>
              </w:rPr>
            </w:pPr>
            <w:r>
              <w:rPr>
                <w:rFonts w:ascii="Arial" w:hAnsi="Arial" w:cs="Arial"/>
              </w:rPr>
              <w:t>Strategy and MPO n</w:t>
            </w:r>
            <w:r w:rsidR="00C80DE1">
              <w:rPr>
                <w:rFonts w:ascii="Arial" w:hAnsi="Arial" w:cs="Arial"/>
              </w:rPr>
              <w:t>umber change.</w:t>
            </w:r>
          </w:p>
          <w:p w14:paraId="304E4C82" w14:textId="77777777" w:rsidR="00C80DE1" w:rsidRDefault="001F2A72" w:rsidP="00B76E3C">
            <w:pPr>
              <w:pStyle w:val="ListParagraph"/>
              <w:numPr>
                <w:ilvl w:val="0"/>
                <w:numId w:val="25"/>
              </w:numPr>
              <w:spacing w:after="120"/>
              <w:ind w:left="398"/>
              <w:contextualSpacing w:val="0"/>
              <w:rPr>
                <w:rFonts w:ascii="Arial" w:hAnsi="Arial" w:cs="Arial"/>
              </w:rPr>
            </w:pPr>
            <w:r>
              <w:rPr>
                <w:rFonts w:ascii="Arial" w:hAnsi="Arial" w:cs="Arial"/>
              </w:rPr>
              <w:t xml:space="preserve">Like the revised strategy for 13.0, this strategy seeks to extend knowledge and skills to </w:t>
            </w:r>
            <w:proofErr w:type="gramStart"/>
            <w:r>
              <w:rPr>
                <w:rFonts w:ascii="Arial" w:hAnsi="Arial" w:cs="Arial"/>
              </w:rPr>
              <w:t>implementing</w:t>
            </w:r>
            <w:proofErr w:type="gramEnd"/>
            <w:r>
              <w:rPr>
                <w:rFonts w:ascii="Arial" w:hAnsi="Arial" w:cs="Arial"/>
              </w:rPr>
              <w:t xml:space="preserve"> culturally sustaining pedagogy.</w:t>
            </w:r>
          </w:p>
          <w:p w14:paraId="1687E5FE" w14:textId="084D113F" w:rsidR="001F2A72" w:rsidRPr="00442AC9" w:rsidRDefault="001F2A72" w:rsidP="00B76E3C">
            <w:pPr>
              <w:pStyle w:val="ListParagraph"/>
              <w:numPr>
                <w:ilvl w:val="0"/>
                <w:numId w:val="25"/>
              </w:numPr>
              <w:ind w:left="398"/>
              <w:contextualSpacing w:val="0"/>
              <w:rPr>
                <w:rFonts w:ascii="Arial" w:hAnsi="Arial" w:cs="Arial"/>
              </w:rPr>
            </w:pPr>
            <w:r>
              <w:rPr>
                <w:rFonts w:ascii="Arial" w:hAnsi="Arial" w:cs="Arial"/>
              </w:rPr>
              <w:t>More detail was added to the text, but the goal of one professional learning opportunity remains.</w:t>
            </w:r>
          </w:p>
        </w:tc>
      </w:tr>
    </w:tbl>
    <w:p w14:paraId="575A3DE7" w14:textId="40296C1E" w:rsidR="00285956" w:rsidRPr="0078589E" w:rsidRDefault="00285956" w:rsidP="00285956">
      <w:pPr>
        <w:spacing w:before="240" w:after="0"/>
        <w:rPr>
          <w:rFonts w:ascii="Arial" w:hAnsi="Arial" w:cs="Arial"/>
        </w:rPr>
      </w:pPr>
      <w:r>
        <w:rPr>
          <w:rFonts w:ascii="Arial" w:hAnsi="Arial" w:cs="Arial"/>
        </w:rPr>
        <w:t>Print document on legal size paper (8.5 x 14).</w:t>
      </w:r>
    </w:p>
    <w:sectPr w:rsidR="00285956" w:rsidRPr="0078589E" w:rsidSect="00285956">
      <w:pgSz w:w="20160" w:h="12240" w:orient="landscape" w:code="5"/>
      <w:pgMar w:top="1440" w:right="1440" w:bottom="115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51CF" w14:textId="77777777" w:rsidR="00F1778D" w:rsidRDefault="00F1778D" w:rsidP="009F275B">
      <w:pPr>
        <w:spacing w:after="0" w:line="240" w:lineRule="auto"/>
      </w:pPr>
      <w:r>
        <w:separator/>
      </w:r>
    </w:p>
  </w:endnote>
  <w:endnote w:type="continuationSeparator" w:id="0">
    <w:p w14:paraId="74E6570F" w14:textId="77777777" w:rsidR="00F1778D" w:rsidRDefault="00F1778D" w:rsidP="009F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4127" w14:textId="77777777" w:rsidR="00F1778D" w:rsidRDefault="00F1778D" w:rsidP="009F275B">
      <w:pPr>
        <w:spacing w:after="0" w:line="240" w:lineRule="auto"/>
      </w:pPr>
      <w:r>
        <w:separator/>
      </w:r>
    </w:p>
  </w:footnote>
  <w:footnote w:type="continuationSeparator" w:id="0">
    <w:p w14:paraId="1D480012" w14:textId="77777777" w:rsidR="00F1778D" w:rsidRDefault="00F1778D" w:rsidP="009F275B">
      <w:pPr>
        <w:spacing w:after="0" w:line="240" w:lineRule="auto"/>
      </w:pPr>
      <w:r>
        <w:continuationSeparator/>
      </w:r>
    </w:p>
  </w:footnote>
  <w:footnote w:id="1">
    <w:p w14:paraId="35581857" w14:textId="4DD2ECCC" w:rsidR="00383C38" w:rsidRDefault="00383C38">
      <w:pPr>
        <w:pStyle w:val="FootnoteText"/>
      </w:pPr>
      <w:r>
        <w:rPr>
          <w:rStyle w:val="FootnoteReference"/>
        </w:rPr>
        <w:footnoteRef/>
      </w:r>
      <w:r>
        <w:t xml:space="preserve"> </w:t>
      </w:r>
      <w:bookmarkStart w:id="0" w:name="_Hlk212015159"/>
      <w:r w:rsidR="00420C7E">
        <w:rPr>
          <w:rFonts w:ascii="Arial" w:hAnsi="Arial" w:cs="Arial"/>
        </w:rPr>
        <w:t>Minimum s</w:t>
      </w:r>
      <w:r w:rsidRPr="00D85E8C">
        <w:rPr>
          <w:rFonts w:ascii="Arial" w:hAnsi="Arial" w:cs="Arial"/>
        </w:rPr>
        <w:t xml:space="preserve">ervice duration for </w:t>
      </w:r>
      <w:r>
        <w:rPr>
          <w:rFonts w:ascii="Arial" w:hAnsi="Arial" w:cs="Arial"/>
        </w:rPr>
        <w:t>r</w:t>
      </w:r>
      <w:r w:rsidRPr="00D85E8C">
        <w:rPr>
          <w:rFonts w:ascii="Arial" w:hAnsi="Arial" w:cs="Arial"/>
        </w:rPr>
        <w:t xml:space="preserve">egular </w:t>
      </w:r>
      <w:r>
        <w:rPr>
          <w:rFonts w:ascii="Arial" w:hAnsi="Arial" w:cs="Arial"/>
        </w:rPr>
        <w:t>s</w:t>
      </w:r>
      <w:r w:rsidRPr="00D85E8C">
        <w:rPr>
          <w:rFonts w:ascii="Arial" w:hAnsi="Arial" w:cs="Arial"/>
        </w:rPr>
        <w:t xml:space="preserve">chool </w:t>
      </w:r>
      <w:r>
        <w:rPr>
          <w:rFonts w:ascii="Arial" w:hAnsi="Arial" w:cs="Arial"/>
        </w:rPr>
        <w:t>y</w:t>
      </w:r>
      <w:r w:rsidRPr="00D85E8C">
        <w:rPr>
          <w:rFonts w:ascii="Arial" w:hAnsi="Arial" w:cs="Arial"/>
        </w:rPr>
        <w:t xml:space="preserve">ear (RSY): Option 1 - ELA services have a duration of at least 18 hours over nine weeks. Option 2: At least 30 hours for RSY. </w:t>
      </w:r>
      <w:r w:rsidR="00420C7E">
        <w:rPr>
          <w:rFonts w:ascii="Arial" w:hAnsi="Arial" w:cs="Arial"/>
        </w:rPr>
        <w:t>Minimum s</w:t>
      </w:r>
      <w:r w:rsidRPr="00D85E8C">
        <w:rPr>
          <w:rFonts w:ascii="Arial" w:hAnsi="Arial" w:cs="Arial"/>
        </w:rPr>
        <w:t xml:space="preserve">ervice duration for </w:t>
      </w:r>
      <w:r>
        <w:rPr>
          <w:rFonts w:ascii="Arial" w:hAnsi="Arial" w:cs="Arial"/>
        </w:rPr>
        <w:t>s</w:t>
      </w:r>
      <w:r w:rsidRPr="00D85E8C">
        <w:rPr>
          <w:rFonts w:ascii="Arial" w:hAnsi="Arial" w:cs="Arial"/>
        </w:rPr>
        <w:t xml:space="preserve">ummer </w:t>
      </w:r>
      <w:r>
        <w:rPr>
          <w:rFonts w:ascii="Arial" w:hAnsi="Arial" w:cs="Arial"/>
        </w:rPr>
        <w:t>s</w:t>
      </w:r>
      <w:r w:rsidRPr="00D85E8C">
        <w:rPr>
          <w:rFonts w:ascii="Arial" w:hAnsi="Arial" w:cs="Arial"/>
        </w:rPr>
        <w:t>chool (SS): All SS ELA services have a duration of at least 20 hours.</w:t>
      </w:r>
      <w:bookmarkEnd w:id="0"/>
    </w:p>
  </w:footnote>
  <w:footnote w:id="2">
    <w:p w14:paraId="414F9A3E" w14:textId="64D55563" w:rsidR="00383C38" w:rsidRDefault="00383C38">
      <w:pPr>
        <w:pStyle w:val="FootnoteText"/>
      </w:pPr>
      <w:r w:rsidRPr="00383C38">
        <w:rPr>
          <w:rStyle w:val="FootnoteReference"/>
          <w:rFonts w:ascii="Arial" w:hAnsi="Arial" w:cs="Arial"/>
        </w:rPr>
        <w:footnoteRef/>
      </w:r>
      <w:r w:rsidRPr="00383C38">
        <w:rPr>
          <w:rFonts w:ascii="Arial" w:hAnsi="Arial" w:cs="Arial"/>
        </w:rPr>
        <w:t xml:space="preserve"> </w:t>
      </w:r>
      <w:r w:rsidR="00420C7E">
        <w:rPr>
          <w:rFonts w:ascii="Arial" w:hAnsi="Arial" w:cs="Arial"/>
        </w:rPr>
        <w:t>Minimum s</w:t>
      </w:r>
      <w:r w:rsidRPr="00383C38">
        <w:rPr>
          <w:rFonts w:ascii="Arial" w:hAnsi="Arial" w:cs="Arial"/>
        </w:rPr>
        <w:t>ervice</w:t>
      </w:r>
      <w:r w:rsidRPr="00D85E8C">
        <w:rPr>
          <w:rFonts w:ascii="Arial" w:hAnsi="Arial" w:cs="Arial"/>
        </w:rPr>
        <w:t xml:space="preserve"> duration for RSY: Option 1 - </w:t>
      </w:r>
      <w:r>
        <w:rPr>
          <w:rFonts w:ascii="Arial" w:hAnsi="Arial" w:cs="Arial"/>
        </w:rPr>
        <w:t>Math</w:t>
      </w:r>
      <w:r w:rsidRPr="00D85E8C">
        <w:rPr>
          <w:rFonts w:ascii="Arial" w:hAnsi="Arial" w:cs="Arial"/>
        </w:rPr>
        <w:t xml:space="preserve"> services have a duration of at least 18 hours over nine weeks. Option 2: At least 30 hours for RSY. </w:t>
      </w:r>
      <w:r w:rsidR="00420C7E">
        <w:rPr>
          <w:rFonts w:ascii="Arial" w:hAnsi="Arial" w:cs="Arial"/>
        </w:rPr>
        <w:t>Minimum s</w:t>
      </w:r>
      <w:r w:rsidRPr="00D85E8C">
        <w:rPr>
          <w:rFonts w:ascii="Arial" w:hAnsi="Arial" w:cs="Arial"/>
        </w:rPr>
        <w:t xml:space="preserve">ervice duration for SS: All SS </w:t>
      </w:r>
      <w:r>
        <w:rPr>
          <w:rFonts w:ascii="Arial" w:hAnsi="Arial" w:cs="Arial"/>
        </w:rPr>
        <w:t>math</w:t>
      </w:r>
      <w:r w:rsidRPr="00D85E8C">
        <w:rPr>
          <w:rFonts w:ascii="Arial" w:hAnsi="Arial" w:cs="Arial"/>
        </w:rPr>
        <w:t xml:space="preserve"> services have a duration of at least 20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C8"/>
    <w:multiLevelType w:val="hybridMultilevel"/>
    <w:tmpl w:val="184EE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3EF"/>
    <w:multiLevelType w:val="hybridMultilevel"/>
    <w:tmpl w:val="C796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1A89"/>
    <w:multiLevelType w:val="hybridMultilevel"/>
    <w:tmpl w:val="4E82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F654C"/>
    <w:multiLevelType w:val="hybridMultilevel"/>
    <w:tmpl w:val="DF3C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E00E1"/>
    <w:multiLevelType w:val="hybridMultilevel"/>
    <w:tmpl w:val="D46C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907FC"/>
    <w:multiLevelType w:val="hybridMultilevel"/>
    <w:tmpl w:val="0D32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1771C"/>
    <w:multiLevelType w:val="hybridMultilevel"/>
    <w:tmpl w:val="7D0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02C72"/>
    <w:multiLevelType w:val="hybridMultilevel"/>
    <w:tmpl w:val="6682F5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82127C"/>
    <w:multiLevelType w:val="hybridMultilevel"/>
    <w:tmpl w:val="97A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D489F"/>
    <w:multiLevelType w:val="hybridMultilevel"/>
    <w:tmpl w:val="8D743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385DE8"/>
    <w:multiLevelType w:val="hybridMultilevel"/>
    <w:tmpl w:val="CE7C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4721A"/>
    <w:multiLevelType w:val="hybridMultilevel"/>
    <w:tmpl w:val="3BCE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71DC6"/>
    <w:multiLevelType w:val="hybridMultilevel"/>
    <w:tmpl w:val="0688E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D86FDC"/>
    <w:multiLevelType w:val="hybridMultilevel"/>
    <w:tmpl w:val="DEA6117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93280F"/>
    <w:multiLevelType w:val="hybridMultilevel"/>
    <w:tmpl w:val="12E4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30C48"/>
    <w:multiLevelType w:val="hybridMultilevel"/>
    <w:tmpl w:val="9AF65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4D1350"/>
    <w:multiLevelType w:val="hybridMultilevel"/>
    <w:tmpl w:val="4A96B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317E33"/>
    <w:multiLevelType w:val="hybridMultilevel"/>
    <w:tmpl w:val="609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67B94"/>
    <w:multiLevelType w:val="hybridMultilevel"/>
    <w:tmpl w:val="15560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03733"/>
    <w:multiLevelType w:val="hybridMultilevel"/>
    <w:tmpl w:val="B34C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65CCC"/>
    <w:multiLevelType w:val="hybridMultilevel"/>
    <w:tmpl w:val="732E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B0D46"/>
    <w:multiLevelType w:val="hybridMultilevel"/>
    <w:tmpl w:val="DCD2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5389E"/>
    <w:multiLevelType w:val="hybridMultilevel"/>
    <w:tmpl w:val="A1D6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32552"/>
    <w:multiLevelType w:val="hybridMultilevel"/>
    <w:tmpl w:val="ECB4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61A03"/>
    <w:multiLevelType w:val="hybridMultilevel"/>
    <w:tmpl w:val="2CA4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813198">
    <w:abstractNumId w:val="23"/>
  </w:num>
  <w:num w:numId="2" w16cid:durableId="1050349738">
    <w:abstractNumId w:val="8"/>
  </w:num>
  <w:num w:numId="3" w16cid:durableId="498040177">
    <w:abstractNumId w:val="17"/>
  </w:num>
  <w:num w:numId="4" w16cid:durableId="393507191">
    <w:abstractNumId w:val="7"/>
  </w:num>
  <w:num w:numId="5" w16cid:durableId="1952935868">
    <w:abstractNumId w:val="15"/>
  </w:num>
  <w:num w:numId="6" w16cid:durableId="702756541">
    <w:abstractNumId w:val="12"/>
  </w:num>
  <w:num w:numId="7" w16cid:durableId="161818100">
    <w:abstractNumId w:val="16"/>
  </w:num>
  <w:num w:numId="8" w16cid:durableId="1339386027">
    <w:abstractNumId w:val="9"/>
  </w:num>
  <w:num w:numId="9" w16cid:durableId="1868719293">
    <w:abstractNumId w:val="21"/>
  </w:num>
  <w:num w:numId="10" w16cid:durableId="309334625">
    <w:abstractNumId w:val="14"/>
  </w:num>
  <w:num w:numId="11" w16cid:durableId="714428411">
    <w:abstractNumId w:val="6"/>
  </w:num>
  <w:num w:numId="12" w16cid:durableId="1027634844">
    <w:abstractNumId w:val="2"/>
  </w:num>
  <w:num w:numId="13" w16cid:durableId="224150335">
    <w:abstractNumId w:val="0"/>
  </w:num>
  <w:num w:numId="14" w16cid:durableId="1865098739">
    <w:abstractNumId w:val="18"/>
  </w:num>
  <w:num w:numId="15" w16cid:durableId="314729200">
    <w:abstractNumId w:val="13"/>
  </w:num>
  <w:num w:numId="16" w16cid:durableId="99223946">
    <w:abstractNumId w:val="3"/>
  </w:num>
  <w:num w:numId="17" w16cid:durableId="1809320958">
    <w:abstractNumId w:val="11"/>
  </w:num>
  <w:num w:numId="18" w16cid:durableId="1817263922">
    <w:abstractNumId w:val="5"/>
  </w:num>
  <w:num w:numId="19" w16cid:durableId="495607730">
    <w:abstractNumId w:val="22"/>
  </w:num>
  <w:num w:numId="20" w16cid:durableId="1604536783">
    <w:abstractNumId w:val="20"/>
  </w:num>
  <w:num w:numId="21" w16cid:durableId="1545217077">
    <w:abstractNumId w:val="10"/>
  </w:num>
  <w:num w:numId="22" w16cid:durableId="422723843">
    <w:abstractNumId w:val="19"/>
  </w:num>
  <w:num w:numId="23" w16cid:durableId="1030378148">
    <w:abstractNumId w:val="4"/>
  </w:num>
  <w:num w:numId="24" w16cid:durableId="1302689636">
    <w:abstractNumId w:val="24"/>
  </w:num>
  <w:num w:numId="25" w16cid:durableId="151645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3D"/>
    <w:rsid w:val="00000F39"/>
    <w:rsid w:val="00007315"/>
    <w:rsid w:val="0001026E"/>
    <w:rsid w:val="00017F9D"/>
    <w:rsid w:val="00020DB3"/>
    <w:rsid w:val="0004335C"/>
    <w:rsid w:val="00045A01"/>
    <w:rsid w:val="00077E55"/>
    <w:rsid w:val="00081BFC"/>
    <w:rsid w:val="00095DF3"/>
    <w:rsid w:val="000A73B8"/>
    <w:rsid w:val="000B00C5"/>
    <w:rsid w:val="000C0213"/>
    <w:rsid w:val="000C29C2"/>
    <w:rsid w:val="0010745B"/>
    <w:rsid w:val="00110EAB"/>
    <w:rsid w:val="001246B0"/>
    <w:rsid w:val="00131869"/>
    <w:rsid w:val="0014577E"/>
    <w:rsid w:val="00146534"/>
    <w:rsid w:val="001575D0"/>
    <w:rsid w:val="00177981"/>
    <w:rsid w:val="00177CB1"/>
    <w:rsid w:val="001907ED"/>
    <w:rsid w:val="00195851"/>
    <w:rsid w:val="00195D20"/>
    <w:rsid w:val="001A00A1"/>
    <w:rsid w:val="001A4517"/>
    <w:rsid w:val="001A64C5"/>
    <w:rsid w:val="001A78E9"/>
    <w:rsid w:val="001B1D6E"/>
    <w:rsid w:val="001C1508"/>
    <w:rsid w:val="001E71D5"/>
    <w:rsid w:val="001F2A72"/>
    <w:rsid w:val="00212BBA"/>
    <w:rsid w:val="00212D09"/>
    <w:rsid w:val="00215A3F"/>
    <w:rsid w:val="00230EE4"/>
    <w:rsid w:val="002415BA"/>
    <w:rsid w:val="0025360F"/>
    <w:rsid w:val="00262FB1"/>
    <w:rsid w:val="00285956"/>
    <w:rsid w:val="002962C4"/>
    <w:rsid w:val="002B12B4"/>
    <w:rsid w:val="002D4F41"/>
    <w:rsid w:val="00327B0E"/>
    <w:rsid w:val="00343149"/>
    <w:rsid w:val="00350543"/>
    <w:rsid w:val="003522C9"/>
    <w:rsid w:val="00365368"/>
    <w:rsid w:val="00383C38"/>
    <w:rsid w:val="00384D21"/>
    <w:rsid w:val="00395DEF"/>
    <w:rsid w:val="003A2921"/>
    <w:rsid w:val="003D323C"/>
    <w:rsid w:val="003E3210"/>
    <w:rsid w:val="00402D1E"/>
    <w:rsid w:val="00412274"/>
    <w:rsid w:val="00420C7E"/>
    <w:rsid w:val="00442AC9"/>
    <w:rsid w:val="00457A32"/>
    <w:rsid w:val="00463508"/>
    <w:rsid w:val="004646F9"/>
    <w:rsid w:val="00466923"/>
    <w:rsid w:val="00473848"/>
    <w:rsid w:val="00475C40"/>
    <w:rsid w:val="00475EDB"/>
    <w:rsid w:val="00476CD8"/>
    <w:rsid w:val="004817D7"/>
    <w:rsid w:val="00482218"/>
    <w:rsid w:val="00483F80"/>
    <w:rsid w:val="004E1EEB"/>
    <w:rsid w:val="004E4FBD"/>
    <w:rsid w:val="005179F1"/>
    <w:rsid w:val="005233E7"/>
    <w:rsid w:val="00532F2C"/>
    <w:rsid w:val="00551FFF"/>
    <w:rsid w:val="00587E88"/>
    <w:rsid w:val="00592ABC"/>
    <w:rsid w:val="00595B79"/>
    <w:rsid w:val="005A7F4E"/>
    <w:rsid w:val="005D0D1A"/>
    <w:rsid w:val="005E31EA"/>
    <w:rsid w:val="005F4745"/>
    <w:rsid w:val="00601CD6"/>
    <w:rsid w:val="00674F54"/>
    <w:rsid w:val="00680283"/>
    <w:rsid w:val="00684B9A"/>
    <w:rsid w:val="006A0DD8"/>
    <w:rsid w:val="006B09DE"/>
    <w:rsid w:val="006B723D"/>
    <w:rsid w:val="006C610E"/>
    <w:rsid w:val="006F41EF"/>
    <w:rsid w:val="0070631F"/>
    <w:rsid w:val="00710EA9"/>
    <w:rsid w:val="007473EB"/>
    <w:rsid w:val="0075094F"/>
    <w:rsid w:val="00751BBE"/>
    <w:rsid w:val="0075353E"/>
    <w:rsid w:val="00772676"/>
    <w:rsid w:val="0078589E"/>
    <w:rsid w:val="007A1E3C"/>
    <w:rsid w:val="007B10B9"/>
    <w:rsid w:val="007B397C"/>
    <w:rsid w:val="007C16F9"/>
    <w:rsid w:val="007F0434"/>
    <w:rsid w:val="00802D74"/>
    <w:rsid w:val="0080480C"/>
    <w:rsid w:val="008462BB"/>
    <w:rsid w:val="00885AA0"/>
    <w:rsid w:val="00895AD1"/>
    <w:rsid w:val="008B4F6E"/>
    <w:rsid w:val="008B5EEF"/>
    <w:rsid w:val="008C4C07"/>
    <w:rsid w:val="008E1EDB"/>
    <w:rsid w:val="008F7E37"/>
    <w:rsid w:val="0090286D"/>
    <w:rsid w:val="009566EF"/>
    <w:rsid w:val="00976471"/>
    <w:rsid w:val="00986183"/>
    <w:rsid w:val="00997AF1"/>
    <w:rsid w:val="009D5536"/>
    <w:rsid w:val="009F275B"/>
    <w:rsid w:val="00A12AEC"/>
    <w:rsid w:val="00A1438D"/>
    <w:rsid w:val="00A21C5C"/>
    <w:rsid w:val="00A34063"/>
    <w:rsid w:val="00A61206"/>
    <w:rsid w:val="00A61302"/>
    <w:rsid w:val="00A74626"/>
    <w:rsid w:val="00A92276"/>
    <w:rsid w:val="00A95E7B"/>
    <w:rsid w:val="00AB1389"/>
    <w:rsid w:val="00AC4552"/>
    <w:rsid w:val="00AE71AE"/>
    <w:rsid w:val="00AF3425"/>
    <w:rsid w:val="00B31581"/>
    <w:rsid w:val="00B31760"/>
    <w:rsid w:val="00B55FF8"/>
    <w:rsid w:val="00B67EE7"/>
    <w:rsid w:val="00B73422"/>
    <w:rsid w:val="00B76E3C"/>
    <w:rsid w:val="00BF17A6"/>
    <w:rsid w:val="00BF36A1"/>
    <w:rsid w:val="00C01C35"/>
    <w:rsid w:val="00C1139C"/>
    <w:rsid w:val="00C24F36"/>
    <w:rsid w:val="00C32B7B"/>
    <w:rsid w:val="00C42E57"/>
    <w:rsid w:val="00C6275A"/>
    <w:rsid w:val="00C7512C"/>
    <w:rsid w:val="00C80DE1"/>
    <w:rsid w:val="00C862B4"/>
    <w:rsid w:val="00C95CAD"/>
    <w:rsid w:val="00CA6BFD"/>
    <w:rsid w:val="00CD4A1C"/>
    <w:rsid w:val="00CF7438"/>
    <w:rsid w:val="00D00CFF"/>
    <w:rsid w:val="00D04F73"/>
    <w:rsid w:val="00D10BDA"/>
    <w:rsid w:val="00D27704"/>
    <w:rsid w:val="00D5250B"/>
    <w:rsid w:val="00D53864"/>
    <w:rsid w:val="00D66A67"/>
    <w:rsid w:val="00D947BA"/>
    <w:rsid w:val="00DA4DB9"/>
    <w:rsid w:val="00DC0D70"/>
    <w:rsid w:val="00DC761C"/>
    <w:rsid w:val="00DD47DA"/>
    <w:rsid w:val="00DE4186"/>
    <w:rsid w:val="00E05D26"/>
    <w:rsid w:val="00E14967"/>
    <w:rsid w:val="00E37AAB"/>
    <w:rsid w:val="00E50E49"/>
    <w:rsid w:val="00E56197"/>
    <w:rsid w:val="00E64AE2"/>
    <w:rsid w:val="00E71780"/>
    <w:rsid w:val="00EC2661"/>
    <w:rsid w:val="00EC3486"/>
    <w:rsid w:val="00ED7DCA"/>
    <w:rsid w:val="00EE226E"/>
    <w:rsid w:val="00F1778D"/>
    <w:rsid w:val="00F319A8"/>
    <w:rsid w:val="00F349CF"/>
    <w:rsid w:val="00F36702"/>
    <w:rsid w:val="00FA3D07"/>
    <w:rsid w:val="00FB1B88"/>
    <w:rsid w:val="00FE51D6"/>
    <w:rsid w:val="00FE61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C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62B4"/>
    <w:pPr>
      <w:spacing w:after="0"/>
      <w:outlineLvl w:val="1"/>
    </w:pPr>
    <w:rPr>
      <w:rFonts w:ascii="Arial" w:hAnsi="Arial" w:cs="Arial"/>
      <w:color w:val="0F4761" w:themeColor="accent1" w:themeShade="BF"/>
      <w:sz w:val="32"/>
      <w:szCs w:val="32"/>
    </w:rPr>
  </w:style>
  <w:style w:type="paragraph" w:styleId="Heading3">
    <w:name w:val="heading 3"/>
    <w:basedOn w:val="Normal"/>
    <w:next w:val="Normal"/>
    <w:link w:val="Heading3Char"/>
    <w:uiPriority w:val="9"/>
    <w:semiHidden/>
    <w:unhideWhenUsed/>
    <w:qFormat/>
    <w:rsid w:val="006B7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62B4"/>
    <w:rPr>
      <w:rFonts w:ascii="Arial" w:hAnsi="Arial" w:cs="Arial"/>
      <w:color w:val="0F4761" w:themeColor="accent1" w:themeShade="BF"/>
      <w:sz w:val="32"/>
      <w:szCs w:val="32"/>
    </w:rPr>
  </w:style>
  <w:style w:type="character" w:customStyle="1" w:styleId="Heading3Char">
    <w:name w:val="Heading 3 Char"/>
    <w:basedOn w:val="DefaultParagraphFont"/>
    <w:link w:val="Heading3"/>
    <w:uiPriority w:val="9"/>
    <w:semiHidden/>
    <w:rsid w:val="006B7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23D"/>
    <w:rPr>
      <w:rFonts w:eastAsiaTheme="majorEastAsia" w:cstheme="majorBidi"/>
      <w:color w:val="272727" w:themeColor="text1" w:themeTint="D8"/>
    </w:rPr>
  </w:style>
  <w:style w:type="paragraph" w:styleId="Title">
    <w:name w:val="Title"/>
    <w:basedOn w:val="Normal"/>
    <w:next w:val="Normal"/>
    <w:link w:val="TitleChar"/>
    <w:uiPriority w:val="10"/>
    <w:qFormat/>
    <w:rsid w:val="006B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23D"/>
    <w:pPr>
      <w:spacing w:before="160"/>
      <w:jc w:val="center"/>
    </w:pPr>
    <w:rPr>
      <w:i/>
      <w:iCs/>
      <w:color w:val="404040" w:themeColor="text1" w:themeTint="BF"/>
    </w:rPr>
  </w:style>
  <w:style w:type="character" w:customStyle="1" w:styleId="QuoteChar">
    <w:name w:val="Quote Char"/>
    <w:basedOn w:val="DefaultParagraphFont"/>
    <w:link w:val="Quote"/>
    <w:uiPriority w:val="29"/>
    <w:rsid w:val="006B723D"/>
    <w:rPr>
      <w:i/>
      <w:iCs/>
      <w:color w:val="404040" w:themeColor="text1" w:themeTint="BF"/>
    </w:rPr>
  </w:style>
  <w:style w:type="paragraph" w:styleId="ListParagraph">
    <w:name w:val="List Paragraph"/>
    <w:basedOn w:val="Normal"/>
    <w:uiPriority w:val="34"/>
    <w:qFormat/>
    <w:rsid w:val="006B723D"/>
    <w:pPr>
      <w:ind w:left="720"/>
      <w:contextualSpacing/>
    </w:pPr>
  </w:style>
  <w:style w:type="character" w:styleId="IntenseEmphasis">
    <w:name w:val="Intense Emphasis"/>
    <w:basedOn w:val="DefaultParagraphFont"/>
    <w:uiPriority w:val="21"/>
    <w:qFormat/>
    <w:rsid w:val="006B723D"/>
    <w:rPr>
      <w:i/>
      <w:iCs/>
      <w:color w:val="0F4761" w:themeColor="accent1" w:themeShade="BF"/>
    </w:rPr>
  </w:style>
  <w:style w:type="paragraph" w:styleId="IntenseQuote">
    <w:name w:val="Intense Quote"/>
    <w:basedOn w:val="Normal"/>
    <w:next w:val="Normal"/>
    <w:link w:val="IntenseQuoteChar"/>
    <w:uiPriority w:val="30"/>
    <w:qFormat/>
    <w:rsid w:val="006B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23D"/>
    <w:rPr>
      <w:i/>
      <w:iCs/>
      <w:color w:val="0F4761" w:themeColor="accent1" w:themeShade="BF"/>
    </w:rPr>
  </w:style>
  <w:style w:type="character" w:styleId="IntenseReference">
    <w:name w:val="Intense Reference"/>
    <w:basedOn w:val="DefaultParagraphFont"/>
    <w:uiPriority w:val="32"/>
    <w:qFormat/>
    <w:rsid w:val="006B723D"/>
    <w:rPr>
      <w:b/>
      <w:bCs/>
      <w:smallCaps/>
      <w:color w:val="0F4761" w:themeColor="accent1" w:themeShade="BF"/>
      <w:spacing w:val="5"/>
    </w:rPr>
  </w:style>
  <w:style w:type="table" w:styleId="TableGrid">
    <w:name w:val="Table Grid"/>
    <w:basedOn w:val="TableNormal"/>
    <w:uiPriority w:val="39"/>
    <w:rsid w:val="006B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F275B"/>
    <w:pPr>
      <w:spacing w:after="0" w:line="240" w:lineRule="auto"/>
    </w:pPr>
    <w:rPr>
      <w:rFonts w:ascii="Calibri Light" w:eastAsia="Times New Roman" w:hAnsi="Calibri Light" w:cs="Times New Roman"/>
      <w:kern w:val="0"/>
      <w:lang w:eastAsia="zh-CN"/>
      <w14:ligatures w14:val="none"/>
    </w:rPr>
  </w:style>
  <w:style w:type="character" w:customStyle="1" w:styleId="FootnoteTextChar">
    <w:name w:val="Footnote Text Char"/>
    <w:basedOn w:val="DefaultParagraphFont"/>
    <w:link w:val="FootnoteText"/>
    <w:uiPriority w:val="99"/>
    <w:rsid w:val="009F275B"/>
    <w:rPr>
      <w:rFonts w:ascii="Calibri Light" w:eastAsia="Times New Roman" w:hAnsi="Calibri Light" w:cs="Times New Roman"/>
      <w:kern w:val="0"/>
      <w:lang w:eastAsia="zh-CN"/>
      <w14:ligatures w14:val="none"/>
    </w:rPr>
  </w:style>
  <w:style w:type="character" w:styleId="FootnoteReference">
    <w:name w:val="footnote reference"/>
    <w:uiPriority w:val="99"/>
    <w:unhideWhenUsed/>
    <w:rsid w:val="009F275B"/>
    <w:rPr>
      <w:vertAlign w:val="superscript"/>
    </w:rPr>
  </w:style>
  <w:style w:type="character" w:styleId="Hyperlink">
    <w:name w:val="Hyperlink"/>
    <w:uiPriority w:val="99"/>
    <w:unhideWhenUsed/>
    <w:rsid w:val="00B73422"/>
    <w:rPr>
      <w:color w:val="0563C1"/>
      <w:u w:val="single"/>
    </w:rPr>
  </w:style>
  <w:style w:type="paragraph" w:styleId="Header">
    <w:name w:val="header"/>
    <w:basedOn w:val="Normal"/>
    <w:link w:val="HeaderChar"/>
    <w:uiPriority w:val="99"/>
    <w:unhideWhenUsed/>
    <w:rsid w:val="000C0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13"/>
  </w:style>
  <w:style w:type="paragraph" w:styleId="Footer">
    <w:name w:val="footer"/>
    <w:basedOn w:val="Normal"/>
    <w:link w:val="FooterChar"/>
    <w:uiPriority w:val="99"/>
    <w:unhideWhenUsed/>
    <w:rsid w:val="000C0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13"/>
  </w:style>
  <w:style w:type="character" w:styleId="CommentReference">
    <w:name w:val="annotation reference"/>
    <w:basedOn w:val="DefaultParagraphFont"/>
    <w:uiPriority w:val="99"/>
    <w:semiHidden/>
    <w:unhideWhenUsed/>
    <w:rsid w:val="00045A01"/>
    <w:rPr>
      <w:sz w:val="16"/>
      <w:szCs w:val="16"/>
    </w:rPr>
  </w:style>
  <w:style w:type="paragraph" w:styleId="CommentText">
    <w:name w:val="annotation text"/>
    <w:basedOn w:val="Normal"/>
    <w:link w:val="CommentTextChar"/>
    <w:uiPriority w:val="99"/>
    <w:unhideWhenUsed/>
    <w:rsid w:val="00045A01"/>
    <w:pPr>
      <w:spacing w:line="240" w:lineRule="auto"/>
    </w:pPr>
    <w:rPr>
      <w:sz w:val="20"/>
      <w:szCs w:val="20"/>
    </w:rPr>
  </w:style>
  <w:style w:type="character" w:customStyle="1" w:styleId="CommentTextChar">
    <w:name w:val="Comment Text Char"/>
    <w:basedOn w:val="DefaultParagraphFont"/>
    <w:link w:val="CommentText"/>
    <w:uiPriority w:val="99"/>
    <w:rsid w:val="00045A01"/>
    <w:rPr>
      <w:sz w:val="20"/>
      <w:szCs w:val="20"/>
    </w:rPr>
  </w:style>
  <w:style w:type="paragraph" w:styleId="CommentSubject">
    <w:name w:val="annotation subject"/>
    <w:basedOn w:val="CommentText"/>
    <w:next w:val="CommentText"/>
    <w:link w:val="CommentSubjectChar"/>
    <w:uiPriority w:val="99"/>
    <w:semiHidden/>
    <w:unhideWhenUsed/>
    <w:rsid w:val="00045A01"/>
    <w:rPr>
      <w:b/>
      <w:bCs/>
    </w:rPr>
  </w:style>
  <w:style w:type="character" w:customStyle="1" w:styleId="CommentSubjectChar">
    <w:name w:val="Comment Subject Char"/>
    <w:basedOn w:val="CommentTextChar"/>
    <w:link w:val="CommentSubject"/>
    <w:uiPriority w:val="99"/>
    <w:semiHidden/>
    <w:rsid w:val="00045A01"/>
    <w:rPr>
      <w:b/>
      <w:bCs/>
      <w:sz w:val="20"/>
      <w:szCs w:val="20"/>
    </w:rPr>
  </w:style>
  <w:style w:type="paragraph" w:styleId="Revision">
    <w:name w:val="Revision"/>
    <w:hidden/>
    <w:uiPriority w:val="99"/>
    <w:semiHidden/>
    <w:rsid w:val="00AF34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30236">
      <w:bodyDiv w:val="1"/>
      <w:marLeft w:val="0"/>
      <w:marRight w:val="0"/>
      <w:marTop w:val="0"/>
      <w:marBottom w:val="0"/>
      <w:divBdr>
        <w:top w:val="none" w:sz="0" w:space="0" w:color="auto"/>
        <w:left w:val="none" w:sz="0" w:space="0" w:color="auto"/>
        <w:bottom w:val="none" w:sz="0" w:space="0" w:color="auto"/>
        <w:right w:val="none" w:sz="0" w:space="0" w:color="auto"/>
      </w:divBdr>
    </w:div>
    <w:div w:id="155164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7003-2E4A-4272-BFC0-60B505A5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5140</Words>
  <Characters>29047</Characters>
  <Application>Microsoft Office Word</Application>
  <DocSecurity>0</DocSecurity>
  <Lines>1037</Lines>
  <Paragraphs>422</Paragraphs>
  <ScaleCrop>false</ScaleCrop>
  <HeadingPairs>
    <vt:vector size="2" baseType="variant">
      <vt:variant>
        <vt:lpstr>Title</vt:lpstr>
      </vt:variant>
      <vt:variant>
        <vt:i4>1</vt:i4>
      </vt:variant>
    </vt:vector>
  </HeadingPairs>
  <TitlesOfParts>
    <vt:vector size="1" baseType="lpstr">
      <vt:lpstr>SDP Crosswalk - Migrant (CA Dept of Education)</vt:lpstr>
    </vt:vector>
  </TitlesOfParts>
  <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SDP Crosswalk - Migrant (CA Dept of Education)</dc:title>
  <dc:subject>Service Delivery Plan (SDP) Crosswalk showing the differences between the 2017 SDP and the 2026 SDP.</dc:subject>
  <dc:creator/>
  <cp:keywords/>
  <dc:description/>
  <cp:lastModifiedBy/>
  <cp:revision>1</cp:revision>
  <dcterms:created xsi:type="dcterms:W3CDTF">2025-10-27T20:19:00Z</dcterms:created>
  <dcterms:modified xsi:type="dcterms:W3CDTF">2026-04-16T15:21:00Z</dcterms:modified>
</cp:coreProperties>
</file>